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C1834" w14:textId="77777777" w:rsidR="00C7547B" w:rsidRPr="009A709D" w:rsidRDefault="00C7547B" w:rsidP="00C7547B">
      <w:pPr>
        <w:rPr>
          <w:i/>
          <w:lang w:val="es-ES_tradnl"/>
        </w:rPr>
      </w:pPr>
    </w:p>
    <w:p w14:paraId="63A93EAE" w14:textId="77777777" w:rsidR="00C7547B" w:rsidRPr="009A709D" w:rsidRDefault="00C7547B" w:rsidP="00C7547B">
      <w:pPr>
        <w:rPr>
          <w:lang w:val="es-ES_tradnl"/>
        </w:rPr>
      </w:pPr>
    </w:p>
    <w:p w14:paraId="6ED69776" w14:textId="77777777" w:rsidR="00C7547B" w:rsidRPr="009A709D" w:rsidRDefault="00C7547B" w:rsidP="00C7547B">
      <w:pPr>
        <w:rPr>
          <w:lang w:val="es-ES_tradnl"/>
        </w:rPr>
      </w:pPr>
    </w:p>
    <w:p w14:paraId="397D8C8B" w14:textId="77777777" w:rsidR="00C7547B" w:rsidRPr="009A709D" w:rsidRDefault="00C7547B" w:rsidP="00C7547B">
      <w:pPr>
        <w:rPr>
          <w:lang w:val="es-ES_tradnl"/>
        </w:rPr>
      </w:pPr>
    </w:p>
    <w:p w14:paraId="208581F2" w14:textId="77777777" w:rsidR="00C7547B" w:rsidRPr="009A709D" w:rsidRDefault="00C7547B" w:rsidP="00C7547B">
      <w:pPr>
        <w:rPr>
          <w:lang w:val="es-ES_tradnl"/>
        </w:rPr>
      </w:pPr>
    </w:p>
    <w:p w14:paraId="3CD6E566" w14:textId="77777777" w:rsidR="00C7547B" w:rsidRPr="009A709D" w:rsidRDefault="00C7547B" w:rsidP="00C7547B">
      <w:pPr>
        <w:rPr>
          <w:lang w:val="es-ES_tradnl"/>
        </w:rPr>
      </w:pPr>
    </w:p>
    <w:p w14:paraId="1B2B54A5" w14:textId="228A83E0" w:rsidR="00C7547B" w:rsidRPr="009A709D" w:rsidRDefault="00C7547B" w:rsidP="00C7547B">
      <w:pPr>
        <w:rPr>
          <w:lang w:val="es-ES_tradnl"/>
        </w:rPr>
      </w:pPr>
    </w:p>
    <w:p w14:paraId="685B0891" w14:textId="77777777" w:rsidR="00C7547B" w:rsidRPr="009A709D" w:rsidRDefault="00C7547B" w:rsidP="00C7547B">
      <w:pPr>
        <w:rPr>
          <w:lang w:val="es-ES_tradnl"/>
        </w:rPr>
      </w:pPr>
    </w:p>
    <w:p w14:paraId="07649F96" w14:textId="58B91A1D" w:rsidR="00C7547B" w:rsidRPr="009A709D" w:rsidRDefault="00C7547B" w:rsidP="004F1E3D">
      <w:pPr>
        <w:tabs>
          <w:tab w:val="clear" w:pos="794"/>
          <w:tab w:val="clear" w:pos="1191"/>
          <w:tab w:val="clear" w:pos="1588"/>
          <w:tab w:val="clear" w:pos="1985"/>
          <w:tab w:val="left" w:pos="5358"/>
        </w:tabs>
        <w:rPr>
          <w:lang w:val="es-ES_tradnl"/>
        </w:rPr>
      </w:pPr>
    </w:p>
    <w:p w14:paraId="3A4AE91A" w14:textId="77777777" w:rsidR="00C7547B" w:rsidRPr="009A709D" w:rsidRDefault="00C7547B" w:rsidP="00C7547B">
      <w:pPr>
        <w:rPr>
          <w:lang w:val="es-ES_tradnl"/>
        </w:rPr>
      </w:pPr>
    </w:p>
    <w:p w14:paraId="66DD5958" w14:textId="77777777" w:rsidR="00C7547B" w:rsidRPr="009A709D" w:rsidRDefault="00C7547B" w:rsidP="00C7547B">
      <w:pPr>
        <w:rPr>
          <w:lang w:val="es-ES_tradnl"/>
        </w:rPr>
      </w:pPr>
    </w:p>
    <w:p w14:paraId="54B96912" w14:textId="77777777" w:rsidR="00C7547B" w:rsidRPr="009A709D" w:rsidRDefault="00C7547B" w:rsidP="00C7547B">
      <w:pPr>
        <w:rPr>
          <w:lang w:val="es-ES_tradnl"/>
        </w:rPr>
      </w:pPr>
    </w:p>
    <w:tbl>
      <w:tblPr>
        <w:tblW w:w="10089" w:type="dxa"/>
        <w:tblLook w:val="01E0" w:firstRow="1" w:lastRow="1" w:firstColumn="1" w:lastColumn="1" w:noHBand="0" w:noVBand="0"/>
      </w:tblPr>
      <w:tblGrid>
        <w:gridCol w:w="10089"/>
      </w:tblGrid>
      <w:tr w:rsidR="00C7547B" w:rsidRPr="009A709D" w14:paraId="16434040" w14:textId="77777777" w:rsidTr="00623D19">
        <w:tc>
          <w:tcPr>
            <w:tcW w:w="10089" w:type="dxa"/>
          </w:tcPr>
          <w:p w14:paraId="6800CB27" w14:textId="77777777" w:rsidR="00C7547B" w:rsidRPr="009A709D" w:rsidRDefault="00C7547B" w:rsidP="00623D19">
            <w:pPr>
              <w:spacing w:before="380" w:line="280" w:lineRule="exact"/>
              <w:jc w:val="right"/>
              <w:rPr>
                <w:rFonts w:ascii="Tahoma" w:hAnsi="Tahoma" w:cs="Tahoma"/>
                <w:b/>
                <w:bCs/>
                <w:iCs/>
                <w:color w:val="243285"/>
                <w:sz w:val="32"/>
                <w:szCs w:val="32"/>
                <w:lang w:val="es-ES_tradnl"/>
              </w:rPr>
            </w:pPr>
          </w:p>
          <w:p w14:paraId="017E7B6D" w14:textId="604829FE" w:rsidR="00C7547B" w:rsidRPr="009A709D" w:rsidRDefault="00C7547B" w:rsidP="00366637">
            <w:pPr>
              <w:spacing w:before="380" w:line="280" w:lineRule="exact"/>
              <w:jc w:val="right"/>
              <w:rPr>
                <w:rFonts w:ascii="Tahoma" w:hAnsi="Tahoma" w:cs="Tahoma"/>
                <w:b/>
                <w:bCs/>
                <w:iCs/>
                <w:color w:val="243285"/>
                <w:sz w:val="36"/>
                <w:szCs w:val="36"/>
                <w:lang w:val="es-ES_tradnl"/>
              </w:rPr>
            </w:pPr>
            <w:r w:rsidRPr="009A709D">
              <w:rPr>
                <w:rFonts w:ascii="Tahoma" w:hAnsi="Tahoma"/>
                <w:b/>
                <w:color w:val="243285"/>
                <w:sz w:val="36"/>
                <w:lang w:val="es-ES_tradnl"/>
              </w:rPr>
              <w:t xml:space="preserve">Recomendación </w:t>
            </w:r>
            <w:r w:rsidR="00AB2931">
              <w:rPr>
                <w:rFonts w:ascii="Tahoma" w:hAnsi="Tahoma"/>
                <w:b/>
                <w:color w:val="243285"/>
                <w:sz w:val="36"/>
                <w:lang w:val="es-ES_tradnl"/>
              </w:rPr>
              <w:t xml:space="preserve"> </w:t>
            </w:r>
            <w:r w:rsidRPr="009A709D">
              <w:rPr>
                <w:rFonts w:ascii="Tahoma" w:hAnsi="Tahoma"/>
                <w:b/>
                <w:color w:val="243285"/>
                <w:sz w:val="36"/>
                <w:lang w:val="es-ES_tradnl"/>
              </w:rPr>
              <w:t xml:space="preserve">UIT-R </w:t>
            </w:r>
            <w:r w:rsidR="00AB2931">
              <w:rPr>
                <w:rFonts w:ascii="Tahoma" w:hAnsi="Tahoma"/>
                <w:b/>
                <w:color w:val="243285"/>
                <w:sz w:val="36"/>
                <w:lang w:val="es-ES_tradnl"/>
              </w:rPr>
              <w:t xml:space="preserve"> </w:t>
            </w:r>
            <w:r w:rsidRPr="009A709D">
              <w:rPr>
                <w:rFonts w:ascii="Tahoma" w:hAnsi="Tahoma"/>
                <w:b/>
                <w:color w:val="243285"/>
                <w:sz w:val="36"/>
                <w:lang w:val="es-ES_tradnl"/>
              </w:rPr>
              <w:t>SA.2142-0</w:t>
            </w:r>
          </w:p>
          <w:p w14:paraId="6C51B96B" w14:textId="036D3059" w:rsidR="00C7547B" w:rsidRPr="009A709D" w:rsidRDefault="00C7547B" w:rsidP="004A52FE">
            <w:pPr>
              <w:spacing w:before="80" w:line="280" w:lineRule="exact"/>
              <w:jc w:val="right"/>
              <w:rPr>
                <w:rFonts w:ascii="Tahoma" w:hAnsi="Tahoma" w:cs="Tahoma"/>
                <w:b/>
                <w:bCs/>
                <w:iCs/>
                <w:color w:val="243285"/>
                <w:szCs w:val="24"/>
                <w:lang w:val="es-ES_tradnl"/>
              </w:rPr>
            </w:pPr>
            <w:r w:rsidRPr="009A709D">
              <w:rPr>
                <w:rFonts w:ascii="Tahoma" w:hAnsi="Tahoma"/>
                <w:b/>
                <w:color w:val="243285"/>
                <w:lang w:val="es-ES_tradnl"/>
              </w:rPr>
              <w:t>(12/2021)</w:t>
            </w:r>
          </w:p>
        </w:tc>
      </w:tr>
      <w:tr w:rsidR="00C7547B" w:rsidRPr="009A709D" w14:paraId="2B344623" w14:textId="77777777" w:rsidTr="00623D19">
        <w:tc>
          <w:tcPr>
            <w:tcW w:w="10089" w:type="dxa"/>
          </w:tcPr>
          <w:p w14:paraId="2D04985D" w14:textId="77777777" w:rsidR="00C7547B" w:rsidRPr="009A709D" w:rsidRDefault="00C7547B" w:rsidP="00623D19">
            <w:pPr>
              <w:spacing w:before="80" w:line="500" w:lineRule="exact"/>
              <w:jc w:val="right"/>
              <w:rPr>
                <w:rFonts w:ascii="Tahoma" w:hAnsi="Tahoma" w:cs="Tahoma"/>
                <w:b/>
                <w:bCs/>
                <w:iCs/>
                <w:color w:val="243285"/>
                <w:sz w:val="44"/>
                <w:szCs w:val="44"/>
                <w:lang w:val="es-ES_tradnl"/>
              </w:rPr>
            </w:pPr>
          </w:p>
          <w:p w14:paraId="2455FBB5" w14:textId="0711C6E9" w:rsidR="00C7547B" w:rsidRPr="009A709D" w:rsidRDefault="00BA7324" w:rsidP="00366637">
            <w:pPr>
              <w:spacing w:before="80" w:line="500" w:lineRule="exact"/>
              <w:jc w:val="right"/>
              <w:rPr>
                <w:rFonts w:ascii="Tahoma" w:hAnsi="Tahoma" w:cs="Tahoma"/>
                <w:b/>
                <w:bCs/>
                <w:iCs/>
                <w:color w:val="243285"/>
                <w:sz w:val="44"/>
                <w:szCs w:val="44"/>
                <w:lang w:val="es-ES_tradnl"/>
              </w:rPr>
            </w:pPr>
            <w:r w:rsidRPr="009A709D">
              <w:rPr>
                <w:rFonts w:ascii="Tahoma" w:hAnsi="Tahoma"/>
                <w:b/>
                <w:color w:val="243285"/>
                <w:sz w:val="44"/>
                <w:lang w:val="es-ES_tradnl"/>
              </w:rPr>
              <w:t xml:space="preserve">Metodologías para el cálculo de zonas de coordinación en torno a estaciones terrenas del servicio de exploración de la Tierra por satélite y </w:t>
            </w:r>
            <w:r w:rsidR="00B72EF8" w:rsidRPr="009A709D">
              <w:rPr>
                <w:rFonts w:ascii="Tahoma" w:hAnsi="Tahoma"/>
                <w:b/>
                <w:color w:val="243285"/>
                <w:sz w:val="44"/>
                <w:lang w:val="es-ES_tradnl"/>
              </w:rPr>
              <w:t>d</w:t>
            </w:r>
            <w:r w:rsidRPr="009A709D">
              <w:rPr>
                <w:rFonts w:ascii="Tahoma" w:hAnsi="Tahoma"/>
                <w:b/>
                <w:color w:val="243285"/>
                <w:sz w:val="44"/>
                <w:lang w:val="es-ES_tradnl"/>
              </w:rPr>
              <w:t>el servicio de investigación espacial para evitar la interferencia perjudicial causada por los sistemas IMT</w:t>
            </w:r>
            <w:r w:rsidR="007E3BB3" w:rsidRPr="009A709D">
              <w:rPr>
                <w:rFonts w:ascii="Tahoma" w:hAnsi="Tahoma"/>
                <w:b/>
                <w:color w:val="243285"/>
                <w:sz w:val="44"/>
                <w:lang w:val="es-ES_tradnl"/>
              </w:rPr>
              <w:noBreakHyphen/>
            </w:r>
            <w:r w:rsidRPr="009A709D">
              <w:rPr>
                <w:rFonts w:ascii="Tahoma" w:hAnsi="Tahoma"/>
                <w:b/>
                <w:color w:val="243285"/>
                <w:sz w:val="44"/>
                <w:lang w:val="es-ES_tradnl"/>
              </w:rPr>
              <w:t>2020 en las bandas de frecuencias 25,5</w:t>
            </w:r>
            <w:r w:rsidR="007E3BB3" w:rsidRPr="009A709D">
              <w:rPr>
                <w:rFonts w:ascii="Tahoma" w:hAnsi="Tahoma"/>
                <w:b/>
                <w:color w:val="243285"/>
                <w:sz w:val="44"/>
                <w:lang w:val="es-ES_tradnl"/>
              </w:rPr>
              <w:noBreakHyphen/>
            </w:r>
            <w:r w:rsidRPr="009A709D">
              <w:rPr>
                <w:rFonts w:ascii="Tahoma" w:hAnsi="Tahoma"/>
                <w:b/>
                <w:color w:val="243285"/>
                <w:sz w:val="44"/>
                <w:lang w:val="es-ES_tradnl"/>
              </w:rPr>
              <w:t>27</w:t>
            </w:r>
            <w:r w:rsidR="007E3BB3" w:rsidRPr="009A709D">
              <w:rPr>
                <w:rFonts w:ascii="Tahoma" w:hAnsi="Tahoma"/>
                <w:b/>
                <w:color w:val="243285"/>
                <w:sz w:val="44"/>
                <w:lang w:val="es-ES_tradnl"/>
              </w:rPr>
              <w:t> </w:t>
            </w:r>
            <w:r w:rsidRPr="009A709D">
              <w:rPr>
                <w:rFonts w:ascii="Tahoma" w:hAnsi="Tahoma"/>
                <w:b/>
                <w:color w:val="243285"/>
                <w:sz w:val="44"/>
                <w:lang w:val="es-ES_tradnl"/>
              </w:rPr>
              <w:t>GHz y 37-38 GHz</w:t>
            </w:r>
          </w:p>
          <w:p w14:paraId="11A61304" w14:textId="77777777" w:rsidR="00C7547B" w:rsidRPr="009A709D" w:rsidRDefault="00C7547B" w:rsidP="00623D19">
            <w:pPr>
              <w:spacing w:before="80" w:line="500" w:lineRule="exact"/>
              <w:jc w:val="right"/>
              <w:rPr>
                <w:rFonts w:ascii="Tahoma" w:hAnsi="Tahoma" w:cs="Tahoma"/>
                <w:b/>
                <w:bCs/>
                <w:iCs/>
                <w:color w:val="243285"/>
                <w:sz w:val="40"/>
                <w:szCs w:val="40"/>
                <w:lang w:val="es-ES_tradnl"/>
              </w:rPr>
            </w:pPr>
          </w:p>
        </w:tc>
      </w:tr>
      <w:tr w:rsidR="00C7547B" w:rsidRPr="009A709D" w14:paraId="4575E019" w14:textId="77777777" w:rsidTr="00255053">
        <w:trPr>
          <w:trHeight w:val="1890"/>
        </w:trPr>
        <w:tc>
          <w:tcPr>
            <w:tcW w:w="10089" w:type="dxa"/>
          </w:tcPr>
          <w:p w14:paraId="5D908C2C" w14:textId="77777777" w:rsidR="00C7547B" w:rsidRPr="009A709D" w:rsidRDefault="00C7547B" w:rsidP="00623D19">
            <w:pPr>
              <w:spacing w:before="80" w:line="280" w:lineRule="exact"/>
              <w:ind w:right="640"/>
              <w:rPr>
                <w:rFonts w:ascii="Tahoma" w:hAnsi="Tahoma" w:cs="Tahoma"/>
                <w:b/>
                <w:bCs/>
                <w:iCs/>
                <w:color w:val="243285"/>
                <w:sz w:val="32"/>
                <w:szCs w:val="32"/>
                <w:lang w:val="es-ES_tradnl"/>
              </w:rPr>
            </w:pPr>
          </w:p>
          <w:p w14:paraId="0D5E5086" w14:textId="77777777" w:rsidR="00C7547B" w:rsidRPr="009A709D" w:rsidRDefault="00C7547B" w:rsidP="00623D19">
            <w:pPr>
              <w:spacing w:before="80" w:after="180" w:line="360" w:lineRule="exact"/>
              <w:ind w:right="720"/>
              <w:rPr>
                <w:rFonts w:ascii="Tahoma" w:hAnsi="Tahoma" w:cs="Tahoma"/>
                <w:b/>
                <w:bCs/>
                <w:iCs/>
                <w:color w:val="243285"/>
                <w:sz w:val="36"/>
                <w:szCs w:val="36"/>
                <w:lang w:val="es-ES_tradnl"/>
              </w:rPr>
            </w:pPr>
          </w:p>
          <w:p w14:paraId="7643E4AA" w14:textId="5ECE76AA" w:rsidR="00C7547B" w:rsidRPr="009A709D" w:rsidRDefault="008C4E93" w:rsidP="00623D19">
            <w:pPr>
              <w:spacing w:before="80" w:after="180" w:line="360" w:lineRule="exact"/>
              <w:jc w:val="right"/>
              <w:rPr>
                <w:rFonts w:ascii="Tahoma" w:hAnsi="Tahoma" w:cs="Tahoma"/>
                <w:b/>
                <w:bCs/>
                <w:iCs/>
                <w:color w:val="243285"/>
                <w:sz w:val="36"/>
                <w:szCs w:val="36"/>
                <w:lang w:val="es-ES_tradnl"/>
              </w:rPr>
            </w:pPr>
            <w:r w:rsidRPr="009A709D">
              <w:rPr>
                <w:rFonts w:ascii="Tahoma" w:hAnsi="Tahoma"/>
                <w:b/>
                <w:color w:val="243285"/>
                <w:sz w:val="36"/>
                <w:lang w:val="es-ES_tradnl"/>
              </w:rPr>
              <w:t>Serie SA</w:t>
            </w:r>
          </w:p>
          <w:p w14:paraId="25A8529C" w14:textId="776777C3" w:rsidR="00C7547B" w:rsidRPr="009A709D" w:rsidRDefault="00774666" w:rsidP="00623D19">
            <w:pPr>
              <w:spacing w:before="80" w:line="360" w:lineRule="exact"/>
              <w:jc w:val="right"/>
              <w:rPr>
                <w:rFonts w:ascii="Tahoma" w:hAnsi="Tahoma" w:cs="Tahoma"/>
                <w:b/>
                <w:bCs/>
                <w:iCs/>
                <w:color w:val="243285"/>
                <w:sz w:val="36"/>
                <w:szCs w:val="36"/>
                <w:lang w:val="es-ES_tradnl"/>
              </w:rPr>
            </w:pPr>
            <w:r w:rsidRPr="009A709D">
              <w:rPr>
                <w:rFonts w:ascii="Tahoma" w:hAnsi="Tahoma"/>
                <w:b/>
                <w:color w:val="243285"/>
                <w:sz w:val="36"/>
                <w:lang w:val="es-ES_tradnl"/>
              </w:rPr>
              <w:t>Aplicaciones espaciales y meteorología</w:t>
            </w:r>
          </w:p>
        </w:tc>
      </w:tr>
    </w:tbl>
    <w:p w14:paraId="5622E61D" w14:textId="77777777" w:rsidR="00C7547B" w:rsidRPr="009A709D" w:rsidRDefault="00C7547B" w:rsidP="00C7547B">
      <w:pPr>
        <w:spacing w:before="80"/>
        <w:rPr>
          <w:i/>
          <w:sz w:val="22"/>
          <w:lang w:val="es-ES_tradnl"/>
        </w:rPr>
      </w:pPr>
    </w:p>
    <w:p w14:paraId="13E2C7DF" w14:textId="77777777" w:rsidR="00C7547B" w:rsidRPr="009A709D" w:rsidRDefault="00C7547B" w:rsidP="00C7547B">
      <w:pPr>
        <w:spacing w:before="80"/>
        <w:rPr>
          <w:i/>
          <w:sz w:val="22"/>
          <w:lang w:val="es-ES_tradnl"/>
        </w:rPr>
      </w:pPr>
    </w:p>
    <w:p w14:paraId="7E1A679C" w14:textId="77777777" w:rsidR="00C7547B" w:rsidRPr="009A709D" w:rsidRDefault="00C7547B" w:rsidP="00C7547B">
      <w:pPr>
        <w:spacing w:before="80"/>
        <w:rPr>
          <w:i/>
          <w:sz w:val="22"/>
          <w:lang w:val="es-ES_tradnl"/>
        </w:rPr>
      </w:pPr>
    </w:p>
    <w:p w14:paraId="38D551D4" w14:textId="77777777" w:rsidR="00C7547B" w:rsidRPr="009A709D" w:rsidRDefault="00C7547B" w:rsidP="00C7547B">
      <w:pPr>
        <w:spacing w:before="80"/>
        <w:rPr>
          <w:i/>
          <w:sz w:val="22"/>
          <w:lang w:val="es-ES_tradnl"/>
        </w:rPr>
      </w:pPr>
    </w:p>
    <w:p w14:paraId="23071A6B" w14:textId="77777777" w:rsidR="00C7547B" w:rsidRPr="009A709D" w:rsidRDefault="00C7547B" w:rsidP="00C7547B">
      <w:pPr>
        <w:pStyle w:val="Equation"/>
        <w:tabs>
          <w:tab w:val="clear" w:pos="4820"/>
          <w:tab w:val="clear" w:pos="9639"/>
          <w:tab w:val="left" w:pos="1191"/>
          <w:tab w:val="left" w:pos="1588"/>
          <w:tab w:val="left" w:pos="1985"/>
        </w:tabs>
        <w:rPr>
          <w:rFonts w:ascii="Palatino Linotype" w:hAnsi="Palatino Linotype"/>
          <w:lang w:val="es-ES_tradnl"/>
        </w:rPr>
        <w:sectPr w:rsidR="00C7547B" w:rsidRPr="009A709D" w:rsidSect="004F1E3D">
          <w:headerReference w:type="even" r:id="rId8"/>
          <w:headerReference w:type="default" r:id="rId9"/>
          <w:headerReference w:type="first" r:id="rId10"/>
          <w:pgSz w:w="11907" w:h="16840" w:code="9"/>
          <w:pgMar w:top="1089" w:right="1089" w:bottom="284" w:left="1089" w:header="567" w:footer="284" w:gutter="0"/>
          <w:pgNumType w:start="1"/>
          <w:cols w:space="720"/>
          <w:titlePg/>
          <w:docGrid w:linePitch="326"/>
        </w:sectPr>
      </w:pPr>
    </w:p>
    <w:p w14:paraId="628D3144" w14:textId="77777777" w:rsidR="00C7547B" w:rsidRPr="009A709D" w:rsidRDefault="00C7547B" w:rsidP="000B0A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0"/>
        <w:rPr>
          <w:bCs/>
          <w:sz w:val="24"/>
          <w:szCs w:val="24"/>
          <w:lang w:val="es-ES_tradnl"/>
        </w:rPr>
      </w:pPr>
      <w:bookmarkStart w:id="0" w:name="c2tope"/>
      <w:bookmarkEnd w:id="0"/>
      <w:r w:rsidRPr="009A709D">
        <w:rPr>
          <w:sz w:val="24"/>
          <w:lang w:val="es-ES_tradnl"/>
        </w:rPr>
        <w:lastRenderedPageBreak/>
        <w:t>Prólogo</w:t>
      </w:r>
    </w:p>
    <w:p w14:paraId="5DA7F8F5" w14:textId="77777777" w:rsidR="00C7547B" w:rsidRPr="009A709D" w:rsidRDefault="00C7547B" w:rsidP="000B0A22">
      <w:pPr>
        <w:rPr>
          <w:sz w:val="20"/>
          <w:lang w:val="es-ES_tradnl"/>
        </w:rPr>
      </w:pPr>
      <w:r w:rsidRPr="009A709D">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w:t>
      </w:r>
    </w:p>
    <w:p w14:paraId="1006C77E" w14:textId="5B038B28" w:rsidR="00C7547B" w:rsidRPr="009A709D" w:rsidRDefault="00C7547B" w:rsidP="00C7547B">
      <w:pPr>
        <w:rPr>
          <w:sz w:val="20"/>
          <w:lang w:val="es-ES_tradnl"/>
        </w:rPr>
      </w:pPr>
      <w:r w:rsidRPr="009A709D">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6F1FE33E" w14:textId="77777777" w:rsidR="00C7547B" w:rsidRPr="009A709D" w:rsidRDefault="00C7547B" w:rsidP="000B0A22">
      <w:pPr>
        <w:pStyle w:val="Heading1"/>
        <w:spacing w:before="360"/>
        <w:jc w:val="center"/>
        <w:rPr>
          <w:szCs w:val="24"/>
          <w:lang w:val="es-ES_tradnl"/>
        </w:rPr>
      </w:pPr>
      <w:bookmarkStart w:id="1" w:name="_Toc86738362"/>
      <w:bookmarkStart w:id="2" w:name="_Toc102570753"/>
      <w:bookmarkStart w:id="3" w:name="_Toc102986146"/>
      <w:r w:rsidRPr="009A709D">
        <w:rPr>
          <w:lang w:val="es-ES_tradnl"/>
        </w:rPr>
        <w:t>Política sobre Derechos de Propiedad Intelectual (IPR)</w:t>
      </w:r>
      <w:bookmarkEnd w:id="1"/>
      <w:bookmarkEnd w:id="2"/>
      <w:bookmarkEnd w:id="3"/>
    </w:p>
    <w:p w14:paraId="355DC3C0" w14:textId="7A23D9C6" w:rsidR="00C7547B" w:rsidRPr="009A709D" w:rsidRDefault="00C7547B" w:rsidP="00C7547B">
      <w:pPr>
        <w:tabs>
          <w:tab w:val="clear" w:pos="794"/>
          <w:tab w:val="clear" w:pos="1191"/>
          <w:tab w:val="clear" w:pos="1588"/>
          <w:tab w:val="clear" w:pos="1985"/>
        </w:tabs>
        <w:spacing w:before="240"/>
        <w:rPr>
          <w:sz w:val="20"/>
          <w:lang w:val="es-ES_tradnl"/>
        </w:rPr>
      </w:pPr>
      <w:r w:rsidRPr="009A709D">
        <w:rPr>
          <w:sz w:val="20"/>
          <w:lang w:val="es-ES_tradnl"/>
        </w:rPr>
        <w:t>La política del UIT R sobre IPR se describe en la Política Común de Patentes UIT T/UIT R/ISO/CEI a la que se hace referencia en la Resolución UIT</w:t>
      </w:r>
      <w:r w:rsidR="00B72EF8" w:rsidRPr="009A709D">
        <w:rPr>
          <w:sz w:val="20"/>
          <w:lang w:val="es-ES_tradnl"/>
        </w:rPr>
        <w:t>-</w:t>
      </w:r>
      <w:r w:rsidRPr="009A709D">
        <w:rPr>
          <w:sz w:val="20"/>
          <w:lang w:val="es-ES_tradnl"/>
        </w:rPr>
        <w:t>R</w:t>
      </w:r>
      <w:r w:rsidR="00B72EF8" w:rsidRPr="009A709D">
        <w:rPr>
          <w:sz w:val="20"/>
          <w:lang w:val="es-ES_tradnl"/>
        </w:rPr>
        <w:t xml:space="preserve"> </w:t>
      </w:r>
      <w:r w:rsidRPr="009A709D">
        <w:rPr>
          <w:sz w:val="20"/>
          <w:lang w:val="es-ES_tradnl"/>
        </w:rPr>
        <w:t xml:space="preserve">1. Los formularios que deben utilizarse en la declaración sobre patentes y utilización de patentes por los titulares de las mismas figuran en la dirección web </w:t>
      </w:r>
      <w:hyperlink r:id="rId11" w:history="1">
        <w:r w:rsidRPr="009A709D">
          <w:rPr>
            <w:rStyle w:val="Hyperlink"/>
            <w:sz w:val="20"/>
            <w:lang w:val="es-ES_tradnl"/>
          </w:rPr>
          <w:t>http://www.itu.int/ITU-R/go/patents/es</w:t>
        </w:r>
      </w:hyperlink>
      <w:r w:rsidRPr="009A709D">
        <w:rPr>
          <w:sz w:val="20"/>
          <w:lang w:val="es-ES_tradnl"/>
        </w:rPr>
        <w:t>, donde también aparecen las Directrices para la implementación de la Política Común de Patentes UIT</w:t>
      </w:r>
      <w:r w:rsidRPr="009A709D">
        <w:rPr>
          <w:sz w:val="20"/>
          <w:lang w:val="es-ES_tradnl"/>
        </w:rPr>
        <w:noBreakHyphen/>
        <w:t>T/UIT</w:t>
      </w:r>
      <w:r w:rsidRPr="009A709D">
        <w:rPr>
          <w:sz w:val="20"/>
          <w:lang w:val="es-ES_tradnl"/>
        </w:rPr>
        <w:noBreakHyphen/>
        <w:t>R/ISO/CEI y la base de datos sobre información de patentes del UIT-R.</w:t>
      </w:r>
    </w:p>
    <w:p w14:paraId="41B0E4B4" w14:textId="77777777" w:rsidR="00C7547B" w:rsidRPr="009A709D" w:rsidRDefault="00C7547B" w:rsidP="00C7547B">
      <w:pPr>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7547B" w:rsidRPr="009A709D" w14:paraId="35E3A36A" w14:textId="77777777" w:rsidTr="00623D19">
        <w:tc>
          <w:tcPr>
            <w:tcW w:w="9360" w:type="dxa"/>
            <w:gridSpan w:val="2"/>
          </w:tcPr>
          <w:p w14:paraId="3A429D7D" w14:textId="3ADF8DBC" w:rsidR="00C7547B" w:rsidRPr="009A709D" w:rsidRDefault="00C7547B" w:rsidP="000B0A2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9A709D">
              <w:rPr>
                <w:sz w:val="22"/>
                <w:lang w:val="es-ES_tradnl"/>
              </w:rPr>
              <w:t>Series de las Recomendaciones UIT-R</w:t>
            </w:r>
          </w:p>
          <w:p w14:paraId="28A0A4EB" w14:textId="6D7FACE0" w:rsidR="00C7547B" w:rsidRPr="009A709D"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9A709D">
              <w:rPr>
                <w:b w:val="0"/>
                <w:sz w:val="18"/>
                <w:lang w:val="es-ES_tradnl"/>
              </w:rPr>
              <w:t xml:space="preserve">(También disponible en línea en </w:t>
            </w:r>
            <w:hyperlink r:id="rId12" w:history="1">
              <w:r w:rsidRPr="009A709D">
                <w:rPr>
                  <w:rStyle w:val="Hyperlink"/>
                  <w:b w:val="0"/>
                  <w:sz w:val="18"/>
                  <w:lang w:val="es-ES_tradnl"/>
                </w:rPr>
                <w:t>http://www.itu.int/publ/R-REC/es</w:t>
              </w:r>
            </w:hyperlink>
            <w:r w:rsidRPr="009A709D">
              <w:rPr>
                <w:b w:val="0"/>
                <w:sz w:val="18"/>
                <w:lang w:val="es-ES_tradnl"/>
              </w:rPr>
              <w:t>)</w:t>
            </w:r>
          </w:p>
        </w:tc>
      </w:tr>
      <w:tr w:rsidR="00C7547B" w:rsidRPr="009A709D" w14:paraId="210C20DE" w14:textId="77777777" w:rsidTr="00623D19">
        <w:tc>
          <w:tcPr>
            <w:tcW w:w="1140" w:type="dxa"/>
          </w:tcPr>
          <w:p w14:paraId="7900DD64" w14:textId="77777777" w:rsidR="00C7547B" w:rsidRPr="009A709D" w:rsidRDefault="00C7547B" w:rsidP="000B0A22">
            <w:pPr>
              <w:spacing w:before="90" w:after="100"/>
              <w:ind w:left="57"/>
              <w:rPr>
                <w:b/>
                <w:bCs/>
                <w:sz w:val="20"/>
                <w:lang w:val="es-ES_tradnl"/>
              </w:rPr>
            </w:pPr>
            <w:r w:rsidRPr="009A709D">
              <w:rPr>
                <w:b/>
                <w:sz w:val="20"/>
                <w:lang w:val="es-ES_tradnl"/>
              </w:rPr>
              <w:t>Series</w:t>
            </w:r>
          </w:p>
        </w:tc>
        <w:tc>
          <w:tcPr>
            <w:tcW w:w="8220" w:type="dxa"/>
          </w:tcPr>
          <w:p w14:paraId="313A34E6" w14:textId="77777777" w:rsidR="00C7547B" w:rsidRPr="009A709D" w:rsidRDefault="00C7547B" w:rsidP="000B0A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s-ES_tradnl"/>
              </w:rPr>
            </w:pPr>
            <w:r w:rsidRPr="009A709D">
              <w:rPr>
                <w:sz w:val="20"/>
                <w:lang w:val="es-ES_tradnl"/>
              </w:rPr>
              <w:t>Título</w:t>
            </w:r>
          </w:p>
        </w:tc>
      </w:tr>
      <w:tr w:rsidR="00C7547B" w:rsidRPr="009A709D" w14:paraId="3BB25704" w14:textId="77777777" w:rsidTr="00623D19">
        <w:tc>
          <w:tcPr>
            <w:tcW w:w="1140" w:type="dxa"/>
          </w:tcPr>
          <w:p w14:paraId="695598CC" w14:textId="77777777" w:rsidR="00C7547B" w:rsidRPr="009A709D" w:rsidRDefault="00C7547B" w:rsidP="00623D19">
            <w:pPr>
              <w:spacing w:before="30" w:after="30"/>
              <w:ind w:left="57"/>
              <w:jc w:val="left"/>
              <w:rPr>
                <w:b/>
                <w:bCs/>
                <w:sz w:val="20"/>
                <w:lang w:val="es-ES_tradnl"/>
              </w:rPr>
            </w:pPr>
            <w:r w:rsidRPr="009A709D">
              <w:rPr>
                <w:b/>
                <w:sz w:val="20"/>
                <w:lang w:val="es-ES_tradnl"/>
              </w:rPr>
              <w:t>BO</w:t>
            </w:r>
          </w:p>
        </w:tc>
        <w:tc>
          <w:tcPr>
            <w:tcW w:w="8220" w:type="dxa"/>
          </w:tcPr>
          <w:p w14:paraId="13D3B423" w14:textId="77777777" w:rsidR="00C7547B" w:rsidRPr="009A709D"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9A709D">
              <w:rPr>
                <w:b w:val="0"/>
                <w:sz w:val="20"/>
                <w:lang w:val="es-ES_tradnl"/>
              </w:rPr>
              <w:t>Distribución por satélite</w:t>
            </w:r>
          </w:p>
        </w:tc>
      </w:tr>
      <w:tr w:rsidR="00C7547B" w:rsidRPr="009A709D" w14:paraId="4EA9A4C9" w14:textId="77777777" w:rsidTr="00623D19">
        <w:tc>
          <w:tcPr>
            <w:tcW w:w="1140" w:type="dxa"/>
            <w:tcBorders>
              <w:bottom w:val="nil"/>
            </w:tcBorders>
          </w:tcPr>
          <w:p w14:paraId="43C1060D" w14:textId="77777777" w:rsidR="00C7547B" w:rsidRPr="009A709D" w:rsidRDefault="00C7547B" w:rsidP="00623D19">
            <w:pPr>
              <w:spacing w:before="30" w:after="30"/>
              <w:ind w:left="57"/>
              <w:jc w:val="left"/>
              <w:rPr>
                <w:b/>
                <w:bCs/>
                <w:sz w:val="20"/>
                <w:lang w:val="es-ES_tradnl"/>
              </w:rPr>
            </w:pPr>
            <w:r w:rsidRPr="009A709D">
              <w:rPr>
                <w:b/>
                <w:sz w:val="20"/>
                <w:lang w:val="es-ES_tradnl"/>
              </w:rPr>
              <w:t>BR</w:t>
            </w:r>
          </w:p>
        </w:tc>
        <w:tc>
          <w:tcPr>
            <w:tcW w:w="8220" w:type="dxa"/>
            <w:tcBorders>
              <w:bottom w:val="nil"/>
            </w:tcBorders>
          </w:tcPr>
          <w:p w14:paraId="5F11F324" w14:textId="77777777" w:rsidR="00C7547B" w:rsidRPr="009A709D"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A709D">
              <w:rPr>
                <w:b w:val="0"/>
                <w:sz w:val="20"/>
                <w:lang w:val="es-ES_tradnl"/>
              </w:rPr>
              <w:t>Registro para producción, archivo y reproducción; películas en televisión</w:t>
            </w:r>
          </w:p>
        </w:tc>
      </w:tr>
      <w:tr w:rsidR="00C7547B" w:rsidRPr="009A709D" w14:paraId="039E84BC" w14:textId="77777777" w:rsidTr="00623D19">
        <w:tc>
          <w:tcPr>
            <w:tcW w:w="1140" w:type="dxa"/>
            <w:tcBorders>
              <w:top w:val="nil"/>
              <w:bottom w:val="nil"/>
            </w:tcBorders>
            <w:shd w:val="clear" w:color="auto" w:fill="auto"/>
          </w:tcPr>
          <w:p w14:paraId="5D23A4C2" w14:textId="77777777" w:rsidR="00C7547B" w:rsidRPr="009A709D" w:rsidRDefault="00C7547B" w:rsidP="00623D19">
            <w:pPr>
              <w:spacing w:before="30" w:after="30"/>
              <w:ind w:left="57"/>
              <w:jc w:val="left"/>
              <w:rPr>
                <w:rFonts w:hAnsi="Times New Roman Bold"/>
                <w:b/>
                <w:bCs/>
                <w:sz w:val="20"/>
                <w:lang w:val="es-ES_tradnl"/>
              </w:rPr>
            </w:pPr>
            <w:r w:rsidRPr="009A709D">
              <w:rPr>
                <w:rFonts w:hAnsi="Times New Roman Bold"/>
                <w:b/>
                <w:sz w:val="20"/>
                <w:lang w:val="es-ES_tradnl"/>
              </w:rPr>
              <w:t>BS</w:t>
            </w:r>
          </w:p>
        </w:tc>
        <w:tc>
          <w:tcPr>
            <w:tcW w:w="8220" w:type="dxa"/>
            <w:tcBorders>
              <w:top w:val="nil"/>
              <w:bottom w:val="nil"/>
            </w:tcBorders>
            <w:shd w:val="clear" w:color="auto" w:fill="auto"/>
          </w:tcPr>
          <w:p w14:paraId="3B749C57" w14:textId="77777777" w:rsidR="00C7547B" w:rsidRPr="009A709D"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9A709D">
              <w:rPr>
                <w:rFonts w:hAnsi="Times New Roman Bold"/>
                <w:b w:val="0"/>
                <w:sz w:val="20"/>
                <w:lang w:val="es-ES_tradnl"/>
              </w:rPr>
              <w:t>Servicio de radiodifusi</w:t>
            </w:r>
            <w:r w:rsidRPr="009A709D">
              <w:rPr>
                <w:rFonts w:hAnsi="Times New Roman Bold"/>
                <w:b w:val="0"/>
                <w:sz w:val="20"/>
                <w:lang w:val="es-ES_tradnl"/>
              </w:rPr>
              <w:t>ó</w:t>
            </w:r>
            <w:r w:rsidRPr="009A709D">
              <w:rPr>
                <w:rFonts w:hAnsi="Times New Roman Bold"/>
                <w:b w:val="0"/>
                <w:sz w:val="20"/>
                <w:lang w:val="es-ES_tradnl"/>
              </w:rPr>
              <w:t>n (sonora)</w:t>
            </w:r>
          </w:p>
        </w:tc>
      </w:tr>
      <w:tr w:rsidR="00C7547B" w:rsidRPr="009A709D" w14:paraId="03AC4BFC" w14:textId="77777777" w:rsidTr="00623D19">
        <w:tc>
          <w:tcPr>
            <w:tcW w:w="1140" w:type="dxa"/>
            <w:tcBorders>
              <w:top w:val="nil"/>
              <w:bottom w:val="nil"/>
            </w:tcBorders>
            <w:shd w:val="clear" w:color="auto" w:fill="auto"/>
          </w:tcPr>
          <w:p w14:paraId="7356CC94" w14:textId="77777777" w:rsidR="00C7547B" w:rsidRPr="009A709D" w:rsidRDefault="00C7547B" w:rsidP="00623D19">
            <w:pPr>
              <w:spacing w:before="30" w:after="30"/>
              <w:ind w:left="57"/>
              <w:jc w:val="left"/>
              <w:rPr>
                <w:b/>
                <w:bCs/>
                <w:sz w:val="20"/>
                <w:lang w:val="es-ES_tradnl"/>
              </w:rPr>
            </w:pPr>
            <w:r w:rsidRPr="009A709D">
              <w:rPr>
                <w:b/>
                <w:sz w:val="20"/>
                <w:lang w:val="es-ES_tradnl"/>
              </w:rPr>
              <w:t>BT</w:t>
            </w:r>
          </w:p>
        </w:tc>
        <w:tc>
          <w:tcPr>
            <w:tcW w:w="8220" w:type="dxa"/>
            <w:tcBorders>
              <w:top w:val="nil"/>
              <w:bottom w:val="nil"/>
            </w:tcBorders>
            <w:shd w:val="clear" w:color="auto" w:fill="auto"/>
          </w:tcPr>
          <w:p w14:paraId="63F33104" w14:textId="77777777" w:rsidR="00C7547B" w:rsidRPr="009A709D"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A709D">
              <w:rPr>
                <w:b w:val="0"/>
                <w:sz w:val="20"/>
                <w:lang w:val="es-ES_tradnl"/>
              </w:rPr>
              <w:t>Servicio de radiodifusión (televisión)</w:t>
            </w:r>
          </w:p>
        </w:tc>
      </w:tr>
      <w:tr w:rsidR="00C7547B" w:rsidRPr="009A709D" w14:paraId="7F16F4B1" w14:textId="77777777" w:rsidTr="00623D19">
        <w:tc>
          <w:tcPr>
            <w:tcW w:w="1140" w:type="dxa"/>
            <w:tcBorders>
              <w:top w:val="nil"/>
              <w:bottom w:val="nil"/>
            </w:tcBorders>
            <w:shd w:val="clear" w:color="auto" w:fill="auto"/>
          </w:tcPr>
          <w:p w14:paraId="03EBBABF" w14:textId="77777777" w:rsidR="00C7547B" w:rsidRPr="009A709D" w:rsidRDefault="00C7547B" w:rsidP="00623D19">
            <w:pPr>
              <w:spacing w:before="30" w:after="30"/>
              <w:ind w:left="57"/>
              <w:jc w:val="left"/>
              <w:rPr>
                <w:rFonts w:hAnsi="Times New Roman Bold"/>
                <w:b/>
                <w:bCs/>
                <w:sz w:val="20"/>
                <w:lang w:val="es-ES_tradnl"/>
              </w:rPr>
            </w:pPr>
            <w:r w:rsidRPr="009A709D">
              <w:rPr>
                <w:rFonts w:hAnsi="Times New Roman Bold"/>
                <w:b/>
                <w:sz w:val="20"/>
                <w:lang w:val="es-ES_tradnl"/>
              </w:rPr>
              <w:t>F</w:t>
            </w:r>
          </w:p>
        </w:tc>
        <w:tc>
          <w:tcPr>
            <w:tcW w:w="8220" w:type="dxa"/>
            <w:tcBorders>
              <w:top w:val="nil"/>
              <w:bottom w:val="nil"/>
            </w:tcBorders>
            <w:shd w:val="clear" w:color="auto" w:fill="auto"/>
          </w:tcPr>
          <w:p w14:paraId="0567EDB5" w14:textId="77777777" w:rsidR="00C7547B" w:rsidRPr="009A709D"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s-ES_tradnl"/>
              </w:rPr>
            </w:pPr>
            <w:r w:rsidRPr="009A709D">
              <w:rPr>
                <w:rFonts w:hAnsi="Times New Roman Bold"/>
                <w:sz w:val="20"/>
                <w:lang w:val="es-ES_tradnl"/>
              </w:rPr>
              <w:t>Servicio fijo</w:t>
            </w:r>
          </w:p>
        </w:tc>
      </w:tr>
      <w:tr w:rsidR="00C7547B" w:rsidRPr="009A709D" w14:paraId="2781378A" w14:textId="77777777" w:rsidTr="00623D19">
        <w:tc>
          <w:tcPr>
            <w:tcW w:w="1140" w:type="dxa"/>
            <w:tcBorders>
              <w:top w:val="nil"/>
              <w:bottom w:val="nil"/>
            </w:tcBorders>
            <w:shd w:val="clear" w:color="auto" w:fill="auto"/>
          </w:tcPr>
          <w:p w14:paraId="2EB6367E" w14:textId="77777777" w:rsidR="00C7547B" w:rsidRPr="009A709D" w:rsidRDefault="00C7547B" w:rsidP="00623D19">
            <w:pPr>
              <w:spacing w:before="30" w:after="30"/>
              <w:ind w:left="57"/>
              <w:jc w:val="left"/>
              <w:rPr>
                <w:rFonts w:ascii="Times New Roman Bold" w:hAnsi="Times New Roman Bold" w:cs="Times New Roman Bold"/>
                <w:b/>
                <w:sz w:val="20"/>
                <w:lang w:val="es-ES_tradnl"/>
              </w:rPr>
            </w:pPr>
            <w:r w:rsidRPr="009A709D">
              <w:rPr>
                <w:rFonts w:ascii="Times New Roman Bold" w:hAnsi="Times New Roman Bold"/>
                <w:b/>
                <w:sz w:val="20"/>
                <w:lang w:val="es-ES_tradnl"/>
              </w:rPr>
              <w:t>M</w:t>
            </w:r>
          </w:p>
        </w:tc>
        <w:tc>
          <w:tcPr>
            <w:tcW w:w="8220" w:type="dxa"/>
            <w:tcBorders>
              <w:top w:val="nil"/>
              <w:bottom w:val="nil"/>
            </w:tcBorders>
            <w:shd w:val="clear" w:color="auto" w:fill="auto"/>
          </w:tcPr>
          <w:p w14:paraId="1F5553EC" w14:textId="77777777" w:rsidR="00C7547B" w:rsidRPr="009A709D"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s-ES_tradnl"/>
              </w:rPr>
            </w:pPr>
            <w:r w:rsidRPr="009A709D">
              <w:rPr>
                <w:rFonts w:hAnsi="Times New Roman Bold"/>
                <w:b w:val="0"/>
                <w:sz w:val="20"/>
                <w:lang w:val="es-ES_tradnl"/>
              </w:rPr>
              <w:t>Servicios m</w:t>
            </w:r>
            <w:r w:rsidRPr="009A709D">
              <w:rPr>
                <w:rFonts w:hAnsi="Times New Roman Bold"/>
                <w:b w:val="0"/>
                <w:sz w:val="20"/>
                <w:lang w:val="es-ES_tradnl"/>
              </w:rPr>
              <w:t>ó</w:t>
            </w:r>
            <w:r w:rsidRPr="009A709D">
              <w:rPr>
                <w:rFonts w:hAnsi="Times New Roman Bold"/>
                <w:b w:val="0"/>
                <w:sz w:val="20"/>
                <w:lang w:val="es-ES_tradnl"/>
              </w:rPr>
              <w:t>viles, de radiodeterminaci</w:t>
            </w:r>
            <w:r w:rsidRPr="009A709D">
              <w:rPr>
                <w:rFonts w:hAnsi="Times New Roman Bold"/>
                <w:b w:val="0"/>
                <w:sz w:val="20"/>
                <w:lang w:val="es-ES_tradnl"/>
              </w:rPr>
              <w:t>ó</w:t>
            </w:r>
            <w:r w:rsidRPr="009A709D">
              <w:rPr>
                <w:rFonts w:hAnsi="Times New Roman Bold"/>
                <w:b w:val="0"/>
                <w:sz w:val="20"/>
                <w:lang w:val="es-ES_tradnl"/>
              </w:rPr>
              <w:t>n, de aficionados y otros servicios por sat</w:t>
            </w:r>
            <w:r w:rsidRPr="009A709D">
              <w:rPr>
                <w:rFonts w:hAnsi="Times New Roman Bold"/>
                <w:b w:val="0"/>
                <w:sz w:val="20"/>
                <w:lang w:val="es-ES_tradnl"/>
              </w:rPr>
              <w:t>é</w:t>
            </w:r>
            <w:r w:rsidRPr="009A709D">
              <w:rPr>
                <w:rFonts w:hAnsi="Times New Roman Bold"/>
                <w:b w:val="0"/>
                <w:sz w:val="20"/>
                <w:lang w:val="es-ES_tradnl"/>
              </w:rPr>
              <w:t>lite conexos</w:t>
            </w:r>
          </w:p>
        </w:tc>
      </w:tr>
      <w:tr w:rsidR="00C7547B" w:rsidRPr="009A709D" w14:paraId="4E70B2D4" w14:textId="77777777" w:rsidTr="002538D4">
        <w:tc>
          <w:tcPr>
            <w:tcW w:w="1140" w:type="dxa"/>
            <w:tcBorders>
              <w:top w:val="nil"/>
              <w:bottom w:val="nil"/>
            </w:tcBorders>
            <w:shd w:val="clear" w:color="auto" w:fill="auto"/>
          </w:tcPr>
          <w:p w14:paraId="233C6274" w14:textId="77777777" w:rsidR="00C7547B" w:rsidRPr="009A709D" w:rsidRDefault="00C7547B" w:rsidP="00623D19">
            <w:pPr>
              <w:spacing w:before="30" w:after="30"/>
              <w:ind w:left="57"/>
              <w:jc w:val="left"/>
              <w:rPr>
                <w:rFonts w:hAnsi="Times New Roman Bold"/>
                <w:b/>
                <w:bCs/>
                <w:sz w:val="20"/>
                <w:lang w:val="es-ES_tradnl"/>
              </w:rPr>
            </w:pPr>
            <w:r w:rsidRPr="009A709D">
              <w:rPr>
                <w:rFonts w:hAnsi="Times New Roman Bold"/>
                <w:b/>
                <w:sz w:val="20"/>
                <w:lang w:val="es-ES_tradnl"/>
              </w:rPr>
              <w:t>P</w:t>
            </w:r>
          </w:p>
        </w:tc>
        <w:tc>
          <w:tcPr>
            <w:tcW w:w="8220" w:type="dxa"/>
            <w:tcBorders>
              <w:top w:val="nil"/>
              <w:bottom w:val="nil"/>
            </w:tcBorders>
            <w:shd w:val="clear" w:color="auto" w:fill="auto"/>
          </w:tcPr>
          <w:p w14:paraId="5E99D441" w14:textId="77777777" w:rsidR="00C7547B" w:rsidRPr="009A709D" w:rsidRDefault="00C7547B" w:rsidP="00623D19">
            <w:pPr>
              <w:spacing w:before="30" w:after="30"/>
              <w:jc w:val="left"/>
              <w:rPr>
                <w:rFonts w:hAnsi="Times New Roman Bold"/>
                <w:sz w:val="20"/>
                <w:lang w:val="es-ES_tradnl"/>
              </w:rPr>
            </w:pPr>
            <w:r w:rsidRPr="009A709D">
              <w:rPr>
                <w:rFonts w:hAnsi="Times New Roman Bold"/>
                <w:sz w:val="20"/>
                <w:lang w:val="es-ES_tradnl"/>
              </w:rPr>
              <w:t>Propagaci</w:t>
            </w:r>
            <w:r w:rsidRPr="009A709D">
              <w:rPr>
                <w:rFonts w:hAnsi="Times New Roman Bold"/>
                <w:sz w:val="20"/>
                <w:lang w:val="es-ES_tradnl"/>
              </w:rPr>
              <w:t>ó</w:t>
            </w:r>
            <w:r w:rsidRPr="009A709D">
              <w:rPr>
                <w:rFonts w:hAnsi="Times New Roman Bold"/>
                <w:sz w:val="20"/>
                <w:lang w:val="es-ES_tradnl"/>
              </w:rPr>
              <w:t>n de las ondas radioel</w:t>
            </w:r>
            <w:r w:rsidRPr="009A709D">
              <w:rPr>
                <w:rFonts w:hAnsi="Times New Roman Bold"/>
                <w:sz w:val="20"/>
                <w:lang w:val="es-ES_tradnl"/>
              </w:rPr>
              <w:t>é</w:t>
            </w:r>
            <w:r w:rsidRPr="009A709D">
              <w:rPr>
                <w:rFonts w:hAnsi="Times New Roman Bold"/>
                <w:sz w:val="20"/>
                <w:lang w:val="es-ES_tradnl"/>
              </w:rPr>
              <w:t>ctricas</w:t>
            </w:r>
          </w:p>
        </w:tc>
      </w:tr>
      <w:tr w:rsidR="00C7547B" w:rsidRPr="009A709D" w14:paraId="6D70A420" w14:textId="77777777" w:rsidTr="00623D19">
        <w:tc>
          <w:tcPr>
            <w:tcW w:w="1140" w:type="dxa"/>
            <w:tcBorders>
              <w:top w:val="nil"/>
            </w:tcBorders>
          </w:tcPr>
          <w:p w14:paraId="54895A76" w14:textId="77777777" w:rsidR="00C7547B" w:rsidRPr="009A709D" w:rsidRDefault="00C7547B" w:rsidP="00623D19">
            <w:pPr>
              <w:spacing w:before="30" w:after="30"/>
              <w:ind w:left="57"/>
              <w:jc w:val="left"/>
              <w:rPr>
                <w:b/>
                <w:bCs/>
                <w:sz w:val="20"/>
                <w:lang w:val="es-ES_tradnl"/>
              </w:rPr>
            </w:pPr>
            <w:r w:rsidRPr="009A709D">
              <w:rPr>
                <w:b/>
                <w:sz w:val="20"/>
                <w:lang w:val="es-ES_tradnl"/>
              </w:rPr>
              <w:t>RA</w:t>
            </w:r>
          </w:p>
        </w:tc>
        <w:tc>
          <w:tcPr>
            <w:tcW w:w="8220" w:type="dxa"/>
            <w:tcBorders>
              <w:top w:val="nil"/>
            </w:tcBorders>
          </w:tcPr>
          <w:p w14:paraId="34604CD7" w14:textId="77777777" w:rsidR="00C7547B" w:rsidRPr="009A709D"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9A709D">
              <w:rPr>
                <w:sz w:val="20"/>
                <w:lang w:val="es-ES_tradnl"/>
              </w:rPr>
              <w:t>Radioastronomía</w:t>
            </w:r>
          </w:p>
        </w:tc>
      </w:tr>
      <w:tr w:rsidR="00C7547B" w:rsidRPr="009A709D" w14:paraId="07B186A4" w14:textId="77777777" w:rsidTr="00623D19">
        <w:tc>
          <w:tcPr>
            <w:tcW w:w="1140" w:type="dxa"/>
          </w:tcPr>
          <w:p w14:paraId="15555F88" w14:textId="77777777" w:rsidR="00C7547B" w:rsidRPr="009A709D" w:rsidRDefault="00C7547B" w:rsidP="00623D19">
            <w:pPr>
              <w:spacing w:before="30" w:after="30"/>
              <w:ind w:left="57"/>
              <w:jc w:val="left"/>
              <w:rPr>
                <w:b/>
                <w:bCs/>
                <w:sz w:val="20"/>
                <w:lang w:val="es-ES_tradnl"/>
              </w:rPr>
            </w:pPr>
            <w:r w:rsidRPr="009A709D">
              <w:rPr>
                <w:b/>
                <w:sz w:val="20"/>
                <w:lang w:val="es-ES_tradnl"/>
              </w:rPr>
              <w:t>RS</w:t>
            </w:r>
          </w:p>
        </w:tc>
        <w:tc>
          <w:tcPr>
            <w:tcW w:w="8220" w:type="dxa"/>
          </w:tcPr>
          <w:p w14:paraId="073E9A49" w14:textId="77777777" w:rsidR="00C7547B" w:rsidRPr="009A709D"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9A709D">
              <w:rPr>
                <w:sz w:val="20"/>
                <w:lang w:val="es-ES_tradnl"/>
              </w:rPr>
              <w:t>Sistemas de detección a distancia</w:t>
            </w:r>
          </w:p>
        </w:tc>
      </w:tr>
      <w:tr w:rsidR="00C7547B" w:rsidRPr="009A709D" w14:paraId="2AE52804" w14:textId="77777777" w:rsidTr="00623D19">
        <w:tc>
          <w:tcPr>
            <w:tcW w:w="1140" w:type="dxa"/>
          </w:tcPr>
          <w:p w14:paraId="4086E3D2" w14:textId="77777777" w:rsidR="00C7547B" w:rsidRPr="009A709D" w:rsidRDefault="00C7547B" w:rsidP="00623D19">
            <w:pPr>
              <w:spacing w:before="30" w:after="30"/>
              <w:ind w:left="57"/>
              <w:jc w:val="left"/>
              <w:rPr>
                <w:b/>
                <w:bCs/>
                <w:sz w:val="20"/>
                <w:lang w:val="es-ES_tradnl"/>
              </w:rPr>
            </w:pPr>
            <w:r w:rsidRPr="009A709D">
              <w:rPr>
                <w:b/>
                <w:sz w:val="20"/>
                <w:lang w:val="es-ES_tradnl"/>
              </w:rPr>
              <w:t>S</w:t>
            </w:r>
          </w:p>
        </w:tc>
        <w:tc>
          <w:tcPr>
            <w:tcW w:w="8220" w:type="dxa"/>
          </w:tcPr>
          <w:p w14:paraId="11DEC982" w14:textId="77777777" w:rsidR="00C7547B" w:rsidRPr="009A709D" w:rsidRDefault="00C7547B" w:rsidP="00623D19">
            <w:pPr>
              <w:spacing w:before="30" w:after="30"/>
              <w:jc w:val="left"/>
              <w:rPr>
                <w:sz w:val="20"/>
                <w:lang w:val="es-ES_tradnl"/>
              </w:rPr>
            </w:pPr>
            <w:r w:rsidRPr="009A709D">
              <w:rPr>
                <w:sz w:val="20"/>
                <w:lang w:val="es-ES_tradnl"/>
              </w:rPr>
              <w:t>Servicio fijo por satélite</w:t>
            </w:r>
          </w:p>
        </w:tc>
      </w:tr>
      <w:tr w:rsidR="00C7547B" w:rsidRPr="009A709D" w14:paraId="47E6FE7C" w14:textId="77777777" w:rsidTr="00623D19">
        <w:tc>
          <w:tcPr>
            <w:tcW w:w="1140" w:type="dxa"/>
          </w:tcPr>
          <w:p w14:paraId="343CE63D" w14:textId="77777777" w:rsidR="00C7547B" w:rsidRPr="009A709D" w:rsidRDefault="00C7547B" w:rsidP="00623D19">
            <w:pPr>
              <w:spacing w:before="30" w:after="30"/>
              <w:ind w:left="57"/>
              <w:jc w:val="left"/>
              <w:rPr>
                <w:rFonts w:ascii="Times New Roman Bold" w:hAnsi="Times New Roman Bold" w:cs="Times New Roman Bold"/>
                <w:color w:val="000080"/>
                <w:sz w:val="20"/>
                <w:lang w:val="es-ES_tradnl"/>
              </w:rPr>
            </w:pPr>
            <w:r w:rsidRPr="009A709D">
              <w:rPr>
                <w:rFonts w:ascii="Times New Roman Bold" w:hAnsi="Times New Roman Bold"/>
                <w:color w:val="000080"/>
                <w:sz w:val="20"/>
                <w:lang w:val="es-ES_tradnl"/>
              </w:rPr>
              <w:t>SA</w:t>
            </w:r>
          </w:p>
        </w:tc>
        <w:tc>
          <w:tcPr>
            <w:tcW w:w="8220" w:type="dxa"/>
          </w:tcPr>
          <w:p w14:paraId="1F598243" w14:textId="77777777" w:rsidR="00C7547B" w:rsidRPr="009A709D" w:rsidRDefault="00C7547B" w:rsidP="00623D19">
            <w:pPr>
              <w:spacing w:before="30" w:after="30"/>
              <w:jc w:val="left"/>
              <w:rPr>
                <w:rFonts w:ascii="Times New Roman Bold" w:hAnsi="Times New Roman Bold" w:cs="Times New Roman Bold"/>
                <w:color w:val="000080"/>
                <w:sz w:val="20"/>
                <w:lang w:val="es-ES_tradnl"/>
              </w:rPr>
            </w:pPr>
            <w:r w:rsidRPr="009A709D">
              <w:rPr>
                <w:rFonts w:ascii="Times New Roman Bold" w:hAnsi="Times New Roman Bold"/>
                <w:color w:val="000080"/>
                <w:sz w:val="20"/>
                <w:lang w:val="es-ES_tradnl"/>
              </w:rPr>
              <w:t>Aplicaciones espaciales y meteorología</w:t>
            </w:r>
          </w:p>
        </w:tc>
      </w:tr>
      <w:tr w:rsidR="00C7547B" w:rsidRPr="009A709D" w14:paraId="62163CBA" w14:textId="77777777" w:rsidTr="00623D19">
        <w:tc>
          <w:tcPr>
            <w:tcW w:w="1140" w:type="dxa"/>
            <w:tcBorders>
              <w:bottom w:val="nil"/>
            </w:tcBorders>
          </w:tcPr>
          <w:p w14:paraId="03BDB317" w14:textId="77777777" w:rsidR="00C7547B" w:rsidRPr="009A709D" w:rsidRDefault="00C7547B" w:rsidP="00623D19">
            <w:pPr>
              <w:spacing w:before="30" w:after="30"/>
              <w:ind w:left="57"/>
              <w:jc w:val="left"/>
              <w:rPr>
                <w:b/>
                <w:bCs/>
                <w:sz w:val="20"/>
                <w:lang w:val="es-ES_tradnl"/>
              </w:rPr>
            </w:pPr>
            <w:r w:rsidRPr="009A709D">
              <w:rPr>
                <w:b/>
                <w:sz w:val="20"/>
                <w:lang w:val="es-ES_tradnl"/>
              </w:rPr>
              <w:t>SF</w:t>
            </w:r>
          </w:p>
        </w:tc>
        <w:tc>
          <w:tcPr>
            <w:tcW w:w="8220" w:type="dxa"/>
            <w:tcBorders>
              <w:bottom w:val="nil"/>
            </w:tcBorders>
          </w:tcPr>
          <w:p w14:paraId="1F8C3D3E" w14:textId="77777777" w:rsidR="00C7547B" w:rsidRPr="009A709D" w:rsidRDefault="00C7547B" w:rsidP="00623D19">
            <w:pPr>
              <w:spacing w:before="30" w:after="30"/>
              <w:jc w:val="left"/>
              <w:rPr>
                <w:sz w:val="20"/>
                <w:lang w:val="es-ES_tradnl"/>
              </w:rPr>
            </w:pPr>
            <w:r w:rsidRPr="009A709D">
              <w:rPr>
                <w:sz w:val="20"/>
                <w:lang w:val="es-ES_tradnl"/>
              </w:rPr>
              <w:t>Compartición de frecuencias y coordinación entre los sistemas del servicio fijo por satélite y del servicio fijo</w:t>
            </w:r>
          </w:p>
        </w:tc>
      </w:tr>
      <w:tr w:rsidR="00C7547B" w:rsidRPr="009A709D" w14:paraId="7086D966" w14:textId="77777777" w:rsidTr="00623D19">
        <w:tc>
          <w:tcPr>
            <w:tcW w:w="1140" w:type="dxa"/>
            <w:tcBorders>
              <w:top w:val="nil"/>
              <w:bottom w:val="nil"/>
            </w:tcBorders>
            <w:shd w:val="clear" w:color="auto" w:fill="auto"/>
          </w:tcPr>
          <w:p w14:paraId="0A24972C" w14:textId="77777777" w:rsidR="00C7547B" w:rsidRPr="009A709D" w:rsidRDefault="00C7547B" w:rsidP="00623D19">
            <w:pPr>
              <w:spacing w:before="30" w:after="30"/>
              <w:ind w:left="57"/>
              <w:jc w:val="left"/>
              <w:rPr>
                <w:b/>
                <w:bCs/>
                <w:sz w:val="20"/>
                <w:lang w:val="es-ES_tradnl"/>
              </w:rPr>
            </w:pPr>
            <w:r w:rsidRPr="009A709D">
              <w:rPr>
                <w:b/>
                <w:sz w:val="20"/>
                <w:lang w:val="es-ES_tradnl"/>
              </w:rPr>
              <w:t>SM</w:t>
            </w:r>
          </w:p>
        </w:tc>
        <w:tc>
          <w:tcPr>
            <w:tcW w:w="8220" w:type="dxa"/>
            <w:tcBorders>
              <w:top w:val="nil"/>
              <w:bottom w:val="nil"/>
            </w:tcBorders>
            <w:shd w:val="clear" w:color="auto" w:fill="auto"/>
          </w:tcPr>
          <w:p w14:paraId="38C8202B" w14:textId="77777777" w:rsidR="00C7547B" w:rsidRPr="009A709D" w:rsidRDefault="00C7547B" w:rsidP="00623D19">
            <w:pPr>
              <w:spacing w:before="30" w:after="30"/>
              <w:jc w:val="left"/>
              <w:rPr>
                <w:sz w:val="20"/>
                <w:lang w:val="es-ES_tradnl"/>
              </w:rPr>
            </w:pPr>
            <w:r w:rsidRPr="009A709D">
              <w:rPr>
                <w:sz w:val="20"/>
                <w:lang w:val="es-ES_tradnl"/>
              </w:rPr>
              <w:t>Gestión del espectro</w:t>
            </w:r>
          </w:p>
        </w:tc>
      </w:tr>
      <w:tr w:rsidR="00C7547B" w:rsidRPr="009A709D" w14:paraId="703163E8" w14:textId="77777777" w:rsidTr="00623D19">
        <w:tc>
          <w:tcPr>
            <w:tcW w:w="1140" w:type="dxa"/>
            <w:tcBorders>
              <w:top w:val="nil"/>
            </w:tcBorders>
          </w:tcPr>
          <w:p w14:paraId="004F1EB6" w14:textId="77777777" w:rsidR="00C7547B" w:rsidRPr="009A709D" w:rsidRDefault="00C7547B" w:rsidP="00623D19">
            <w:pPr>
              <w:spacing w:before="30" w:after="30"/>
              <w:ind w:left="57"/>
              <w:jc w:val="left"/>
              <w:rPr>
                <w:b/>
                <w:bCs/>
                <w:sz w:val="20"/>
                <w:lang w:val="es-ES_tradnl"/>
              </w:rPr>
            </w:pPr>
            <w:r w:rsidRPr="009A709D">
              <w:rPr>
                <w:b/>
                <w:sz w:val="20"/>
                <w:lang w:val="es-ES_tradnl"/>
              </w:rPr>
              <w:t>SNG</w:t>
            </w:r>
          </w:p>
        </w:tc>
        <w:tc>
          <w:tcPr>
            <w:tcW w:w="8220" w:type="dxa"/>
            <w:tcBorders>
              <w:top w:val="nil"/>
            </w:tcBorders>
          </w:tcPr>
          <w:p w14:paraId="7659DAF2" w14:textId="77777777" w:rsidR="00C7547B" w:rsidRPr="009A709D" w:rsidRDefault="00C7547B" w:rsidP="00623D19">
            <w:pPr>
              <w:spacing w:before="30" w:after="30"/>
              <w:jc w:val="left"/>
              <w:rPr>
                <w:sz w:val="20"/>
                <w:lang w:val="es-ES_tradnl"/>
              </w:rPr>
            </w:pPr>
            <w:r w:rsidRPr="009A709D">
              <w:rPr>
                <w:sz w:val="20"/>
                <w:lang w:val="es-ES_tradnl"/>
              </w:rPr>
              <w:t>Periodismo electrónico por satélite</w:t>
            </w:r>
          </w:p>
        </w:tc>
      </w:tr>
      <w:tr w:rsidR="00C7547B" w:rsidRPr="009A709D" w14:paraId="018823CC" w14:textId="77777777" w:rsidTr="00623D19">
        <w:tc>
          <w:tcPr>
            <w:tcW w:w="1140" w:type="dxa"/>
          </w:tcPr>
          <w:p w14:paraId="31D2BC62" w14:textId="77777777" w:rsidR="00C7547B" w:rsidRPr="009A709D" w:rsidRDefault="00C7547B" w:rsidP="00623D19">
            <w:pPr>
              <w:spacing w:before="30" w:after="30"/>
              <w:ind w:left="57"/>
              <w:jc w:val="left"/>
              <w:rPr>
                <w:b/>
                <w:bCs/>
                <w:sz w:val="20"/>
                <w:lang w:val="es-ES_tradnl"/>
              </w:rPr>
            </w:pPr>
            <w:r w:rsidRPr="009A709D">
              <w:rPr>
                <w:b/>
                <w:sz w:val="20"/>
                <w:lang w:val="es-ES_tradnl"/>
              </w:rPr>
              <w:t>TF</w:t>
            </w:r>
          </w:p>
        </w:tc>
        <w:tc>
          <w:tcPr>
            <w:tcW w:w="8220" w:type="dxa"/>
          </w:tcPr>
          <w:p w14:paraId="7C91D43D" w14:textId="77777777" w:rsidR="00C7547B" w:rsidRPr="009A709D" w:rsidRDefault="00C7547B" w:rsidP="00623D19">
            <w:pPr>
              <w:spacing w:before="30" w:after="30"/>
              <w:jc w:val="left"/>
              <w:rPr>
                <w:sz w:val="20"/>
                <w:lang w:val="es-ES_tradnl"/>
              </w:rPr>
            </w:pPr>
            <w:r w:rsidRPr="009A709D">
              <w:rPr>
                <w:sz w:val="20"/>
                <w:lang w:val="es-ES_tradnl"/>
              </w:rPr>
              <w:t>Emisiones de frecuencias patrón y señales horarias</w:t>
            </w:r>
          </w:p>
        </w:tc>
      </w:tr>
      <w:tr w:rsidR="00C7547B" w:rsidRPr="009A709D" w14:paraId="7163704A" w14:textId="77777777" w:rsidTr="00623D19">
        <w:tc>
          <w:tcPr>
            <w:tcW w:w="1140" w:type="dxa"/>
          </w:tcPr>
          <w:p w14:paraId="5ED1F17F" w14:textId="77777777" w:rsidR="00C7547B" w:rsidRPr="009A709D" w:rsidRDefault="00C7547B" w:rsidP="00623D19">
            <w:pPr>
              <w:spacing w:before="30" w:after="30"/>
              <w:ind w:left="57"/>
              <w:jc w:val="left"/>
              <w:rPr>
                <w:b/>
                <w:bCs/>
                <w:sz w:val="20"/>
                <w:lang w:val="es-ES_tradnl"/>
              </w:rPr>
            </w:pPr>
            <w:r w:rsidRPr="009A709D">
              <w:rPr>
                <w:b/>
                <w:sz w:val="20"/>
                <w:lang w:val="es-ES_tradnl"/>
              </w:rPr>
              <w:t>V</w:t>
            </w:r>
          </w:p>
        </w:tc>
        <w:tc>
          <w:tcPr>
            <w:tcW w:w="8220" w:type="dxa"/>
          </w:tcPr>
          <w:p w14:paraId="372A6B4E" w14:textId="77777777" w:rsidR="00C7547B" w:rsidRPr="009A709D" w:rsidRDefault="00C7547B" w:rsidP="00623D19">
            <w:pPr>
              <w:spacing w:before="30" w:after="180"/>
              <w:jc w:val="left"/>
              <w:rPr>
                <w:sz w:val="20"/>
                <w:lang w:val="es-ES_tradnl"/>
              </w:rPr>
            </w:pPr>
            <w:r w:rsidRPr="009A709D">
              <w:rPr>
                <w:sz w:val="20"/>
                <w:lang w:val="es-ES_tradnl"/>
              </w:rPr>
              <w:t>Vocabulario y cuestiones afines</w:t>
            </w:r>
          </w:p>
        </w:tc>
      </w:tr>
    </w:tbl>
    <w:p w14:paraId="0ED7C8BD" w14:textId="77777777" w:rsidR="00C7547B" w:rsidRPr="009A709D" w:rsidRDefault="00C7547B" w:rsidP="000B0A22">
      <w:pPr>
        <w:spacing w:before="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C7547B" w:rsidRPr="009A709D" w14:paraId="3CB5149D" w14:textId="77777777" w:rsidTr="00623D19">
        <w:tc>
          <w:tcPr>
            <w:tcW w:w="720" w:type="dxa"/>
          </w:tcPr>
          <w:p w14:paraId="073CA5E6" w14:textId="77777777" w:rsidR="00C7547B" w:rsidRPr="009A709D" w:rsidRDefault="00C7547B" w:rsidP="000B0A22">
            <w:pPr>
              <w:spacing w:before="0"/>
              <w:jc w:val="center"/>
              <w:rPr>
                <w:sz w:val="22"/>
                <w:lang w:val="es-ES_tradnl"/>
              </w:rPr>
            </w:pPr>
          </w:p>
        </w:tc>
      </w:tr>
    </w:tbl>
    <w:p w14:paraId="09E49D63" w14:textId="77777777" w:rsidR="00C7547B" w:rsidRPr="009A709D" w:rsidRDefault="00C7547B" w:rsidP="000B0A2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7547B" w:rsidRPr="009A709D" w14:paraId="37B203AF" w14:textId="77777777" w:rsidTr="00623D19">
        <w:tc>
          <w:tcPr>
            <w:tcW w:w="9360" w:type="dxa"/>
          </w:tcPr>
          <w:p w14:paraId="227683FB" w14:textId="76D61741" w:rsidR="00C7547B" w:rsidRPr="009A709D" w:rsidRDefault="00C7547B" w:rsidP="00F33AB1">
            <w:pPr>
              <w:spacing w:after="120"/>
              <w:jc w:val="left"/>
              <w:rPr>
                <w:sz w:val="20"/>
                <w:lang w:val="es-ES_tradnl"/>
              </w:rPr>
            </w:pPr>
            <w:r w:rsidRPr="009A709D">
              <w:rPr>
                <w:b/>
                <w:i/>
                <w:sz w:val="20"/>
                <w:lang w:val="es-ES_tradnl"/>
              </w:rPr>
              <w:t>Nota</w:t>
            </w:r>
            <w:r w:rsidRPr="009A709D">
              <w:rPr>
                <w:sz w:val="20"/>
                <w:lang w:val="es-ES_tradnl"/>
              </w:rPr>
              <w:t xml:space="preserve">: </w:t>
            </w:r>
            <w:r w:rsidRPr="009A709D">
              <w:rPr>
                <w:i/>
                <w:sz w:val="20"/>
                <w:lang w:val="es-ES_tradnl"/>
              </w:rPr>
              <w:t>Esta Recomendación UIT-R fue aprobada en inglés conforme al procedimiento detallado en la Resolución</w:t>
            </w:r>
            <w:r w:rsidR="00F33AB1">
              <w:rPr>
                <w:i/>
                <w:sz w:val="20"/>
                <w:lang w:val="es-ES_tradnl"/>
              </w:rPr>
              <w:t> </w:t>
            </w:r>
            <w:r w:rsidRPr="009A709D">
              <w:rPr>
                <w:i/>
                <w:sz w:val="20"/>
                <w:lang w:val="es-ES_tradnl"/>
              </w:rPr>
              <w:t>UIT-R 1.</w:t>
            </w:r>
          </w:p>
        </w:tc>
      </w:tr>
    </w:tbl>
    <w:p w14:paraId="43441FB3" w14:textId="77777777" w:rsidR="00C7547B" w:rsidRPr="009A709D" w:rsidRDefault="00C7547B" w:rsidP="00C7547B">
      <w:pPr>
        <w:spacing w:before="0"/>
        <w:jc w:val="center"/>
        <w:rPr>
          <w:sz w:val="22"/>
          <w:lang w:val="es-ES_tradnl"/>
        </w:rPr>
      </w:pPr>
    </w:p>
    <w:p w14:paraId="176AF5BD" w14:textId="77777777" w:rsidR="00C7547B" w:rsidRPr="009A709D" w:rsidRDefault="00C7547B" w:rsidP="00C7547B">
      <w:pPr>
        <w:spacing w:before="0"/>
        <w:jc w:val="right"/>
        <w:rPr>
          <w:i/>
          <w:iCs/>
          <w:sz w:val="20"/>
          <w:lang w:val="es-ES_tradnl"/>
        </w:rPr>
      </w:pPr>
      <w:r w:rsidRPr="009A709D">
        <w:rPr>
          <w:i/>
          <w:sz w:val="20"/>
          <w:lang w:val="es-ES_tradnl"/>
        </w:rPr>
        <w:t>Publicación electrónica</w:t>
      </w:r>
    </w:p>
    <w:p w14:paraId="7D6212AC" w14:textId="6AB05580" w:rsidR="00C7547B" w:rsidRPr="009A709D" w:rsidRDefault="00C7547B" w:rsidP="00C7547B">
      <w:pPr>
        <w:spacing w:before="0"/>
        <w:jc w:val="right"/>
        <w:rPr>
          <w:sz w:val="20"/>
          <w:lang w:val="es-ES_tradnl"/>
        </w:rPr>
      </w:pPr>
      <w:r w:rsidRPr="009A709D">
        <w:rPr>
          <w:sz w:val="20"/>
          <w:lang w:val="es-ES_tradnl"/>
        </w:rPr>
        <w:t>Ginebra, 202</w:t>
      </w:r>
      <w:r w:rsidR="00F33AB1">
        <w:rPr>
          <w:sz w:val="20"/>
          <w:lang w:val="es-ES_tradnl"/>
        </w:rPr>
        <w:t>2</w:t>
      </w:r>
    </w:p>
    <w:p w14:paraId="36734779" w14:textId="77777777" w:rsidR="00C7547B" w:rsidRPr="009A709D" w:rsidRDefault="00C7547B" w:rsidP="00C7547B">
      <w:pPr>
        <w:jc w:val="center"/>
        <w:rPr>
          <w:sz w:val="22"/>
          <w:lang w:val="es-ES_tradnl"/>
        </w:rPr>
      </w:pPr>
    </w:p>
    <w:p w14:paraId="7F89B183" w14:textId="2C987F33" w:rsidR="00C7547B" w:rsidRPr="009A709D" w:rsidRDefault="00C7547B" w:rsidP="00C7547B">
      <w:pPr>
        <w:jc w:val="center"/>
        <w:rPr>
          <w:sz w:val="20"/>
          <w:lang w:val="es-ES_tradnl"/>
        </w:rPr>
      </w:pPr>
      <w:r w:rsidRPr="009A709D">
        <w:rPr>
          <w:sz w:val="20"/>
          <w:lang w:val="es-ES_tradnl"/>
        </w:rPr>
        <w:sym w:font="Symbol" w:char="F0E3"/>
      </w:r>
      <w:r w:rsidRPr="009A709D">
        <w:rPr>
          <w:sz w:val="20"/>
          <w:lang w:val="es-ES_tradnl"/>
        </w:rPr>
        <w:t xml:space="preserve"> UIT </w:t>
      </w:r>
      <w:bookmarkStart w:id="4" w:name="iiannee"/>
      <w:bookmarkEnd w:id="4"/>
      <w:r w:rsidRPr="009A709D">
        <w:rPr>
          <w:sz w:val="20"/>
          <w:lang w:val="es-ES_tradnl"/>
        </w:rPr>
        <w:t>202</w:t>
      </w:r>
      <w:r w:rsidR="00F33AB1">
        <w:rPr>
          <w:sz w:val="20"/>
          <w:lang w:val="es-ES_tradnl"/>
        </w:rPr>
        <w:t>2</w:t>
      </w:r>
    </w:p>
    <w:p w14:paraId="606BF682" w14:textId="77777777" w:rsidR="00C7547B" w:rsidRPr="009A709D" w:rsidRDefault="00C7547B" w:rsidP="00C7547B">
      <w:pPr>
        <w:rPr>
          <w:sz w:val="18"/>
          <w:szCs w:val="18"/>
          <w:lang w:val="es-ES_tradnl"/>
        </w:rPr>
      </w:pPr>
      <w:r w:rsidRPr="009A709D">
        <w:rPr>
          <w:sz w:val="18"/>
          <w:lang w:val="es-ES_tradnl"/>
        </w:rPr>
        <w:t>Todos los derechos reservados. Ninguna parte de esta publicación puede reproducirse por ningún procedimiento sin previa autorización escrita por parte de la UIT.</w:t>
      </w:r>
    </w:p>
    <w:p w14:paraId="28DCC640" w14:textId="77777777" w:rsidR="00C7547B" w:rsidRPr="009A709D" w:rsidRDefault="00C7547B" w:rsidP="00C7547B">
      <w:pPr>
        <w:spacing w:before="160"/>
        <w:rPr>
          <w:i/>
          <w:sz w:val="20"/>
          <w:lang w:val="es-ES_tradnl"/>
        </w:rPr>
        <w:sectPr w:rsidR="00C7547B" w:rsidRPr="009A709D" w:rsidSect="00623D19">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8AE43BE" w14:textId="7DC52500" w:rsidR="00C7547B" w:rsidRPr="009A709D" w:rsidRDefault="00C7547B" w:rsidP="00F33AB1">
      <w:pPr>
        <w:pStyle w:val="RecNo"/>
        <w:spacing w:before="0"/>
        <w:rPr>
          <w:lang w:val="es-ES_tradnl"/>
        </w:rPr>
      </w:pPr>
      <w:bookmarkStart w:id="5" w:name="irecnoe"/>
      <w:bookmarkEnd w:id="5"/>
      <w:r w:rsidRPr="009A709D">
        <w:rPr>
          <w:lang w:val="es-ES_tradnl"/>
        </w:rPr>
        <w:lastRenderedPageBreak/>
        <w:t xml:space="preserve">RECOMENDACIÓN </w:t>
      </w:r>
      <w:r w:rsidR="00F33AB1">
        <w:rPr>
          <w:lang w:val="es-ES_tradnl"/>
        </w:rPr>
        <w:t xml:space="preserve"> </w:t>
      </w:r>
      <w:r w:rsidRPr="009A709D">
        <w:rPr>
          <w:rStyle w:val="href"/>
          <w:lang w:val="es-ES_tradnl"/>
        </w:rPr>
        <w:t xml:space="preserve">UIT-R </w:t>
      </w:r>
      <w:r w:rsidR="00F33AB1">
        <w:rPr>
          <w:rStyle w:val="href"/>
          <w:lang w:val="es-ES_tradnl"/>
        </w:rPr>
        <w:t xml:space="preserve"> </w:t>
      </w:r>
      <w:r w:rsidRPr="009A709D">
        <w:rPr>
          <w:rStyle w:val="href"/>
          <w:lang w:val="es-ES_tradnl"/>
        </w:rPr>
        <w:t>SA.2142-0</w:t>
      </w:r>
    </w:p>
    <w:p w14:paraId="4CB20EAB" w14:textId="65B36742" w:rsidR="00A24283" w:rsidRPr="009A709D" w:rsidRDefault="00D2022D" w:rsidP="00A24283">
      <w:pPr>
        <w:pStyle w:val="Rectitle"/>
        <w:rPr>
          <w:noProof/>
          <w:lang w:val="es-ES_tradnl"/>
        </w:rPr>
      </w:pPr>
      <w:r w:rsidRPr="009A709D">
        <w:rPr>
          <w:lang w:val="es-ES_tradnl"/>
        </w:rPr>
        <w:t xml:space="preserve">Metodologías para el cálculo de zonas de coordinación en torno a estaciones terrenas del servicio de exploración de la Tierra por satélite y </w:t>
      </w:r>
      <w:r w:rsidR="00B72EF8" w:rsidRPr="009A709D">
        <w:rPr>
          <w:lang w:val="es-ES_tradnl"/>
        </w:rPr>
        <w:t>d</w:t>
      </w:r>
      <w:r w:rsidRPr="009A709D">
        <w:rPr>
          <w:lang w:val="es-ES_tradnl"/>
        </w:rPr>
        <w:t>el servicio</w:t>
      </w:r>
      <w:r w:rsidR="0003241A" w:rsidRPr="009A709D">
        <w:rPr>
          <w:lang w:val="es-ES_tradnl"/>
        </w:rPr>
        <w:br/>
      </w:r>
      <w:r w:rsidRPr="009A709D">
        <w:rPr>
          <w:lang w:val="es-ES_tradnl"/>
        </w:rPr>
        <w:t>de investigación espacial para evitar la interferencia perjudicial</w:t>
      </w:r>
      <w:r w:rsidR="0003241A" w:rsidRPr="009A709D">
        <w:rPr>
          <w:lang w:val="es-ES_tradnl"/>
        </w:rPr>
        <w:br/>
      </w:r>
      <w:r w:rsidRPr="009A709D">
        <w:rPr>
          <w:lang w:val="es-ES_tradnl"/>
        </w:rPr>
        <w:t>causada por los sistemas IMT-2020 en las bandas</w:t>
      </w:r>
      <w:r w:rsidR="0003241A" w:rsidRPr="009A709D">
        <w:rPr>
          <w:lang w:val="es-ES_tradnl"/>
        </w:rPr>
        <w:br/>
      </w:r>
      <w:r w:rsidRPr="009A709D">
        <w:rPr>
          <w:lang w:val="es-ES_tradnl"/>
        </w:rPr>
        <w:t>de frecuencias</w:t>
      </w:r>
      <w:r w:rsidR="0003241A" w:rsidRPr="009A709D">
        <w:rPr>
          <w:lang w:val="es-ES_tradnl"/>
        </w:rPr>
        <w:t xml:space="preserve"> </w:t>
      </w:r>
      <w:r w:rsidRPr="009A709D">
        <w:rPr>
          <w:lang w:val="es-ES_tradnl"/>
        </w:rPr>
        <w:t>25,5-27 GHz y 37-38 GHz</w:t>
      </w:r>
    </w:p>
    <w:p w14:paraId="2D1DF0AB" w14:textId="4DE10D1A" w:rsidR="00A24283" w:rsidRPr="009A709D" w:rsidRDefault="00A24283" w:rsidP="00A24283">
      <w:pPr>
        <w:pStyle w:val="Recdate"/>
        <w:rPr>
          <w:noProof/>
          <w:lang w:val="es-ES_tradnl"/>
        </w:rPr>
      </w:pPr>
      <w:r w:rsidRPr="009A709D">
        <w:rPr>
          <w:lang w:val="es-ES_tradnl"/>
        </w:rPr>
        <w:t>(2021)</w:t>
      </w:r>
    </w:p>
    <w:p w14:paraId="3207AEAE" w14:textId="77777777" w:rsidR="002A03FC" w:rsidRPr="009A709D" w:rsidRDefault="002A03FC" w:rsidP="0003241A">
      <w:pPr>
        <w:pStyle w:val="HeadingSum"/>
        <w:rPr>
          <w:noProof/>
        </w:rPr>
      </w:pPr>
      <w:r w:rsidRPr="009A709D">
        <w:t>Cometido</w:t>
      </w:r>
    </w:p>
    <w:p w14:paraId="6BC50F0B" w14:textId="49820912" w:rsidR="002A03FC" w:rsidRPr="009A709D" w:rsidRDefault="00005C2F" w:rsidP="0003241A">
      <w:pPr>
        <w:pStyle w:val="Summary"/>
      </w:pPr>
      <w:r w:rsidRPr="009A709D">
        <w:t>Esta Recomendación contiene metodologías para el cálculo de zonas de coordinación en torno a estaciones terrenas (ET) del servicio de exploración de la Tierra por satélite (SETS) y del servicio de investigación espacial (SIE) para evitar la interferencia perjudicial causada por los sistemas IMT</w:t>
      </w:r>
      <w:r w:rsidR="00B72EF8" w:rsidRPr="009A709D">
        <w:t>-</w:t>
      </w:r>
      <w:r w:rsidRPr="009A709D">
        <w:t>2020 que puedan implantarse en las bandas de frecuencias 25,5-27 GHz y 37</w:t>
      </w:r>
      <w:r w:rsidRPr="009A709D">
        <w:noBreakHyphen/>
        <w:t>38 GHz. Dado que los criterios de protección y el funcionamiento de las estaciones terrenas difieren entre los sistemas del SETS y los del SIE, se presentan metodologías distintas para el SIE, el SETS geoestacionario y el SETS no geoestacionario.</w:t>
      </w:r>
    </w:p>
    <w:p w14:paraId="01DEFDEE" w14:textId="77777777" w:rsidR="002A03FC" w:rsidRPr="009A709D" w:rsidRDefault="002A03FC" w:rsidP="0003241A">
      <w:pPr>
        <w:pStyle w:val="Headingb"/>
        <w:rPr>
          <w:lang w:val="es-ES_tradnl"/>
        </w:rPr>
      </w:pPr>
      <w:r w:rsidRPr="009A709D">
        <w:rPr>
          <w:lang w:val="es-ES_tradnl"/>
        </w:rPr>
        <w:t>Palabras clave</w:t>
      </w:r>
    </w:p>
    <w:p w14:paraId="62C03A59" w14:textId="63735C7A" w:rsidR="002A03FC" w:rsidRPr="009A709D" w:rsidRDefault="0036406E" w:rsidP="002A03FC">
      <w:pPr>
        <w:rPr>
          <w:szCs w:val="24"/>
          <w:lang w:val="es-ES_tradnl"/>
        </w:rPr>
      </w:pPr>
      <w:r w:rsidRPr="009A709D">
        <w:rPr>
          <w:lang w:val="es-ES_tradnl"/>
        </w:rPr>
        <w:t>IMT</w:t>
      </w:r>
      <w:r w:rsidRPr="009A709D">
        <w:rPr>
          <w:lang w:val="es-ES_tradnl"/>
        </w:rPr>
        <w:noBreakHyphen/>
        <w:t>2020, estaciones terrenas del SETS, estaciones terrenas del SIE, servicios móviles, cuestiones sobre compartición y compatibilidad</w:t>
      </w:r>
    </w:p>
    <w:p w14:paraId="55BE81C8" w14:textId="77777777" w:rsidR="00B14736" w:rsidRPr="009A709D" w:rsidRDefault="00B14736" w:rsidP="00B14736">
      <w:pPr>
        <w:pStyle w:val="Headingb"/>
        <w:rPr>
          <w:lang w:val="es-ES_tradnl"/>
        </w:rPr>
      </w:pPr>
      <w:bookmarkStart w:id="6" w:name="_Toc83389335"/>
      <w:r w:rsidRPr="009A709D">
        <w:rPr>
          <w:lang w:val="es-ES_tradnl"/>
        </w:rPr>
        <w:t>Lista de abreviaturas</w:t>
      </w:r>
      <w:bookmarkEnd w:id="6"/>
    </w:p>
    <w:p w14:paraId="0885ADA0" w14:textId="71E578C8" w:rsidR="00B14736" w:rsidRPr="009A709D" w:rsidRDefault="00F019B4" w:rsidP="00F33AB1">
      <w:pPr>
        <w:tabs>
          <w:tab w:val="clear" w:pos="794"/>
          <w:tab w:val="left" w:pos="1276"/>
        </w:tabs>
        <w:rPr>
          <w:lang w:val="es-ES_tradnl"/>
        </w:rPr>
      </w:pPr>
      <w:r w:rsidRPr="009A709D">
        <w:rPr>
          <w:lang w:val="es-ES_tradnl"/>
        </w:rPr>
        <w:t>EB</w:t>
      </w:r>
      <w:r w:rsidR="00B14736" w:rsidRPr="009A709D">
        <w:rPr>
          <w:lang w:val="es-ES_tradnl"/>
        </w:rPr>
        <w:tab/>
      </w:r>
      <w:r w:rsidR="00F33AB1" w:rsidRPr="009A709D">
        <w:rPr>
          <w:lang w:val="es-ES_tradnl"/>
        </w:rPr>
        <w:t xml:space="preserve">Estación </w:t>
      </w:r>
      <w:r w:rsidR="00B14736" w:rsidRPr="009A709D">
        <w:rPr>
          <w:lang w:val="es-ES_tradnl"/>
        </w:rPr>
        <w:t>base</w:t>
      </w:r>
    </w:p>
    <w:p w14:paraId="5F3CC352" w14:textId="145A8394" w:rsidR="00B14736" w:rsidRPr="009A709D" w:rsidRDefault="00B14736" w:rsidP="00F33AB1">
      <w:pPr>
        <w:tabs>
          <w:tab w:val="clear" w:pos="794"/>
          <w:tab w:val="left" w:pos="1276"/>
        </w:tabs>
        <w:rPr>
          <w:lang w:val="es-ES_tradnl"/>
        </w:rPr>
      </w:pPr>
      <w:r w:rsidRPr="009A709D">
        <w:rPr>
          <w:lang w:val="es-ES_tradnl"/>
        </w:rPr>
        <w:t>ET</w:t>
      </w:r>
      <w:r w:rsidRPr="009A709D">
        <w:rPr>
          <w:lang w:val="es-ES_tradnl"/>
        </w:rPr>
        <w:tab/>
      </w:r>
      <w:r w:rsidR="00F33AB1" w:rsidRPr="009A709D">
        <w:rPr>
          <w:lang w:val="es-ES_tradnl"/>
        </w:rPr>
        <w:t xml:space="preserve">Estaciones </w:t>
      </w:r>
      <w:r w:rsidRPr="009A709D">
        <w:rPr>
          <w:lang w:val="es-ES_tradnl"/>
        </w:rPr>
        <w:t>terrenas</w:t>
      </w:r>
    </w:p>
    <w:p w14:paraId="50BFA628" w14:textId="51E43F9A" w:rsidR="00B14736" w:rsidRPr="009A709D" w:rsidRDefault="00B14736" w:rsidP="00F33AB1">
      <w:pPr>
        <w:tabs>
          <w:tab w:val="clear" w:pos="794"/>
          <w:tab w:val="left" w:pos="1276"/>
        </w:tabs>
        <w:rPr>
          <w:lang w:val="es-ES_tradnl"/>
        </w:rPr>
      </w:pPr>
      <w:r w:rsidRPr="009A709D">
        <w:rPr>
          <w:lang w:val="es-ES_tradnl"/>
        </w:rPr>
        <w:t>HEO</w:t>
      </w:r>
      <w:r w:rsidRPr="009A709D">
        <w:rPr>
          <w:lang w:val="es-ES_tradnl"/>
        </w:rPr>
        <w:tab/>
      </w:r>
      <w:r w:rsidR="00F33AB1" w:rsidRPr="009A709D">
        <w:rPr>
          <w:lang w:val="es-ES_tradnl"/>
        </w:rPr>
        <w:t xml:space="preserve">Órbita </w:t>
      </w:r>
      <w:r w:rsidRPr="009A709D">
        <w:rPr>
          <w:lang w:val="es-ES_tradnl"/>
        </w:rPr>
        <w:t>muy elíptica (</w:t>
      </w:r>
      <w:r w:rsidRPr="009A709D">
        <w:rPr>
          <w:i/>
          <w:iCs/>
          <w:lang w:val="es-ES_tradnl"/>
        </w:rPr>
        <w:t>highly elliptical orbit</w:t>
      </w:r>
      <w:r w:rsidRPr="009A709D">
        <w:rPr>
          <w:lang w:val="es-ES_tradnl"/>
        </w:rPr>
        <w:t>)</w:t>
      </w:r>
    </w:p>
    <w:p w14:paraId="635628EA" w14:textId="44E63B21" w:rsidR="00B14736" w:rsidRPr="009A709D" w:rsidRDefault="00B14736" w:rsidP="00F33AB1">
      <w:pPr>
        <w:tabs>
          <w:tab w:val="clear" w:pos="794"/>
          <w:tab w:val="left" w:pos="1276"/>
        </w:tabs>
        <w:rPr>
          <w:lang w:val="es-ES_tradnl"/>
        </w:rPr>
      </w:pPr>
      <w:r w:rsidRPr="009A709D">
        <w:rPr>
          <w:lang w:val="es-ES_tradnl"/>
        </w:rPr>
        <w:t>IMT</w:t>
      </w:r>
      <w:r w:rsidRPr="009A709D">
        <w:rPr>
          <w:lang w:val="es-ES_tradnl"/>
        </w:rPr>
        <w:tab/>
      </w:r>
      <w:r w:rsidR="00F33AB1" w:rsidRPr="009A709D">
        <w:rPr>
          <w:lang w:val="es-ES_tradnl"/>
        </w:rPr>
        <w:t xml:space="preserve">Telecomunicaciones móviles internacionales </w:t>
      </w:r>
      <w:r w:rsidRPr="009A709D">
        <w:rPr>
          <w:lang w:val="es-ES_tradnl"/>
        </w:rPr>
        <w:t>(</w:t>
      </w:r>
      <w:r w:rsidR="00F33AB1" w:rsidRPr="009A709D">
        <w:rPr>
          <w:i/>
          <w:iCs/>
          <w:lang w:val="es-ES_tradnl"/>
        </w:rPr>
        <w:t>international mobile telecommunications</w:t>
      </w:r>
      <w:r w:rsidRPr="009A709D">
        <w:rPr>
          <w:lang w:val="es-ES_tradnl"/>
        </w:rPr>
        <w:t>)</w:t>
      </w:r>
    </w:p>
    <w:p w14:paraId="7B6C97C8" w14:textId="340523E7" w:rsidR="00B14736" w:rsidRPr="009A709D" w:rsidRDefault="00B14736" w:rsidP="00F33AB1">
      <w:pPr>
        <w:tabs>
          <w:tab w:val="clear" w:pos="794"/>
          <w:tab w:val="left" w:pos="1276"/>
        </w:tabs>
        <w:rPr>
          <w:lang w:val="es-ES_tradnl"/>
        </w:rPr>
      </w:pPr>
      <w:r w:rsidRPr="009A709D">
        <w:rPr>
          <w:lang w:val="es-ES_tradnl"/>
        </w:rPr>
        <w:t>LEO</w:t>
      </w:r>
      <w:r w:rsidRPr="009A709D">
        <w:rPr>
          <w:lang w:val="es-ES_tradnl"/>
        </w:rPr>
        <w:tab/>
      </w:r>
      <w:r w:rsidR="00F33AB1" w:rsidRPr="009A709D">
        <w:rPr>
          <w:lang w:val="es-ES_tradnl"/>
        </w:rPr>
        <w:t xml:space="preserve">Órbita </w:t>
      </w:r>
      <w:r w:rsidRPr="009A709D">
        <w:rPr>
          <w:lang w:val="es-ES_tradnl"/>
        </w:rPr>
        <w:t>terrestre baja (</w:t>
      </w:r>
      <w:r w:rsidRPr="009A709D">
        <w:rPr>
          <w:i/>
          <w:iCs/>
          <w:lang w:val="es-ES_tradnl"/>
        </w:rPr>
        <w:t>low Earth orbit</w:t>
      </w:r>
      <w:r w:rsidRPr="009A709D">
        <w:rPr>
          <w:lang w:val="es-ES_tradnl"/>
        </w:rPr>
        <w:t>)</w:t>
      </w:r>
    </w:p>
    <w:p w14:paraId="05D313CC" w14:textId="46101180" w:rsidR="006A2E06" w:rsidRPr="009A709D" w:rsidRDefault="006A2E06" w:rsidP="00F33AB1">
      <w:pPr>
        <w:tabs>
          <w:tab w:val="clear" w:pos="794"/>
          <w:tab w:val="left" w:pos="1276"/>
        </w:tabs>
        <w:rPr>
          <w:lang w:val="es-ES_tradnl" w:eastAsia="ja-JP"/>
        </w:rPr>
      </w:pPr>
      <w:r w:rsidRPr="009A709D">
        <w:rPr>
          <w:lang w:val="es-ES_tradnl"/>
        </w:rPr>
        <w:t>OSG</w:t>
      </w:r>
      <w:r w:rsidRPr="009A709D">
        <w:rPr>
          <w:lang w:val="es-ES_tradnl"/>
        </w:rPr>
        <w:tab/>
      </w:r>
      <w:r w:rsidR="00F33AB1" w:rsidRPr="009A709D">
        <w:rPr>
          <w:lang w:val="es-ES_tradnl"/>
        </w:rPr>
        <w:t xml:space="preserve">Órbita </w:t>
      </w:r>
      <w:r w:rsidRPr="009A709D">
        <w:rPr>
          <w:lang w:val="es-ES_tradnl"/>
        </w:rPr>
        <w:t>geoestacionaria</w:t>
      </w:r>
    </w:p>
    <w:p w14:paraId="1007E0C0" w14:textId="50C9E9FE" w:rsidR="00B14736" w:rsidRPr="009A709D" w:rsidRDefault="00B14736" w:rsidP="00F33AB1">
      <w:pPr>
        <w:tabs>
          <w:tab w:val="clear" w:pos="794"/>
          <w:tab w:val="left" w:pos="1276"/>
        </w:tabs>
        <w:rPr>
          <w:lang w:val="es-ES_tradnl"/>
        </w:rPr>
      </w:pPr>
      <w:r w:rsidRPr="009A709D">
        <w:rPr>
          <w:lang w:val="es-ES_tradnl"/>
        </w:rPr>
        <w:t>no OSG</w:t>
      </w:r>
      <w:r w:rsidRPr="009A709D">
        <w:rPr>
          <w:lang w:val="es-ES_tradnl"/>
        </w:rPr>
        <w:tab/>
      </w:r>
      <w:r w:rsidR="00F33AB1" w:rsidRPr="009A709D">
        <w:rPr>
          <w:lang w:val="es-ES_tradnl"/>
        </w:rPr>
        <w:t xml:space="preserve">Órbita </w:t>
      </w:r>
      <w:r w:rsidRPr="009A709D">
        <w:rPr>
          <w:lang w:val="es-ES_tradnl"/>
        </w:rPr>
        <w:t>no geoestacionaria</w:t>
      </w:r>
    </w:p>
    <w:p w14:paraId="27D955AD" w14:textId="5C2074DA" w:rsidR="00B14736" w:rsidRPr="009A709D" w:rsidRDefault="00B14736" w:rsidP="00F33AB1">
      <w:pPr>
        <w:tabs>
          <w:tab w:val="clear" w:pos="794"/>
          <w:tab w:val="left" w:pos="1276"/>
        </w:tabs>
        <w:rPr>
          <w:lang w:val="es-ES_tradnl"/>
        </w:rPr>
      </w:pPr>
      <w:r w:rsidRPr="009A709D">
        <w:rPr>
          <w:lang w:val="es-ES_tradnl"/>
        </w:rPr>
        <w:t>PRT</w:t>
      </w:r>
      <w:r w:rsidRPr="009A709D">
        <w:rPr>
          <w:lang w:val="es-ES_tradnl"/>
        </w:rPr>
        <w:tab/>
      </w:r>
      <w:r w:rsidR="00F33AB1" w:rsidRPr="009A709D">
        <w:rPr>
          <w:lang w:val="es-ES_tradnl"/>
        </w:rPr>
        <w:t xml:space="preserve">Potencia </w:t>
      </w:r>
      <w:r w:rsidRPr="009A709D">
        <w:rPr>
          <w:lang w:val="es-ES_tradnl"/>
        </w:rPr>
        <w:t>radiada total</w:t>
      </w:r>
    </w:p>
    <w:p w14:paraId="32687B3E" w14:textId="28D04691" w:rsidR="006A2E06" w:rsidRPr="009A709D" w:rsidRDefault="006A2E06" w:rsidP="00F33AB1">
      <w:pPr>
        <w:tabs>
          <w:tab w:val="clear" w:pos="794"/>
          <w:tab w:val="left" w:pos="1276"/>
        </w:tabs>
        <w:rPr>
          <w:lang w:val="es-ES_tradnl"/>
        </w:rPr>
      </w:pPr>
      <w:r w:rsidRPr="009A709D">
        <w:rPr>
          <w:lang w:val="es-ES_tradnl"/>
        </w:rPr>
        <w:t>SETS</w:t>
      </w:r>
      <w:r w:rsidRPr="009A709D">
        <w:rPr>
          <w:lang w:val="es-ES_tradnl"/>
        </w:rPr>
        <w:tab/>
      </w:r>
      <w:r w:rsidR="00F33AB1" w:rsidRPr="009A709D">
        <w:rPr>
          <w:lang w:val="es-ES_tradnl"/>
        </w:rPr>
        <w:t xml:space="preserve">Servicio </w:t>
      </w:r>
      <w:r w:rsidRPr="009A709D">
        <w:rPr>
          <w:lang w:val="es-ES_tradnl"/>
        </w:rPr>
        <w:t>de exploración de la Tierra por satélite</w:t>
      </w:r>
    </w:p>
    <w:p w14:paraId="1E039082" w14:textId="303A53D1" w:rsidR="006A2E06" w:rsidRPr="009A709D" w:rsidRDefault="006A2E06" w:rsidP="00F33AB1">
      <w:pPr>
        <w:tabs>
          <w:tab w:val="clear" w:pos="794"/>
          <w:tab w:val="left" w:pos="1276"/>
        </w:tabs>
        <w:rPr>
          <w:lang w:val="es-ES_tradnl" w:eastAsia="zh-CN"/>
        </w:rPr>
      </w:pPr>
      <w:r w:rsidRPr="009A709D">
        <w:rPr>
          <w:lang w:val="es-ES_tradnl"/>
        </w:rPr>
        <w:t>SIE</w:t>
      </w:r>
      <w:r w:rsidRPr="009A709D">
        <w:rPr>
          <w:lang w:val="es-ES_tradnl"/>
        </w:rPr>
        <w:tab/>
      </w:r>
      <w:r w:rsidR="00F33AB1" w:rsidRPr="009A709D">
        <w:rPr>
          <w:lang w:val="es-ES_tradnl"/>
        </w:rPr>
        <w:t xml:space="preserve">Servicio </w:t>
      </w:r>
      <w:r w:rsidRPr="009A709D">
        <w:rPr>
          <w:lang w:val="es-ES_tradnl"/>
        </w:rPr>
        <w:t>de investigación espacial</w:t>
      </w:r>
    </w:p>
    <w:p w14:paraId="57B88BAA" w14:textId="2E309E2B" w:rsidR="00B14736" w:rsidRPr="009A709D" w:rsidRDefault="00B14736" w:rsidP="00F33AB1">
      <w:pPr>
        <w:tabs>
          <w:tab w:val="clear" w:pos="794"/>
          <w:tab w:val="left" w:pos="1276"/>
        </w:tabs>
        <w:rPr>
          <w:lang w:val="es-ES_tradnl"/>
        </w:rPr>
      </w:pPr>
      <w:r w:rsidRPr="009A709D">
        <w:rPr>
          <w:lang w:val="es-ES_tradnl"/>
        </w:rPr>
        <w:t>TVG</w:t>
      </w:r>
      <w:r w:rsidRPr="009A709D">
        <w:rPr>
          <w:lang w:val="es-ES_tradnl"/>
        </w:rPr>
        <w:tab/>
      </w:r>
      <w:r w:rsidR="00F33AB1" w:rsidRPr="009A709D">
        <w:rPr>
          <w:lang w:val="es-ES_tradnl"/>
        </w:rPr>
        <w:t xml:space="preserve">Ganancia </w:t>
      </w:r>
      <w:r w:rsidRPr="009A709D">
        <w:rPr>
          <w:lang w:val="es-ES_tradnl"/>
        </w:rPr>
        <w:t>dependiente del tiempo (</w:t>
      </w:r>
      <w:r w:rsidRPr="009A709D">
        <w:rPr>
          <w:i/>
          <w:iCs/>
          <w:lang w:val="es-ES_tradnl"/>
        </w:rPr>
        <w:t>time-variant gain</w:t>
      </w:r>
      <w:r w:rsidRPr="009A709D">
        <w:rPr>
          <w:lang w:val="es-ES_tradnl"/>
        </w:rPr>
        <w:t>)</w:t>
      </w:r>
    </w:p>
    <w:p w14:paraId="5DD2CCFA" w14:textId="619AC816" w:rsidR="00B14736" w:rsidRPr="009A709D" w:rsidRDefault="00B14736" w:rsidP="00F33AB1">
      <w:pPr>
        <w:tabs>
          <w:tab w:val="clear" w:pos="794"/>
          <w:tab w:val="left" w:pos="1276"/>
        </w:tabs>
        <w:rPr>
          <w:lang w:val="es-ES_tradnl"/>
        </w:rPr>
      </w:pPr>
      <w:r w:rsidRPr="009A709D">
        <w:rPr>
          <w:lang w:val="es-ES_tradnl"/>
        </w:rPr>
        <w:t>UE</w:t>
      </w:r>
      <w:r w:rsidRPr="009A709D">
        <w:rPr>
          <w:lang w:val="es-ES_tradnl"/>
        </w:rPr>
        <w:tab/>
      </w:r>
      <w:r w:rsidR="00F33AB1" w:rsidRPr="009A709D">
        <w:rPr>
          <w:lang w:val="es-ES_tradnl"/>
        </w:rPr>
        <w:t xml:space="preserve">Equipo </w:t>
      </w:r>
      <w:r w:rsidRPr="009A709D">
        <w:rPr>
          <w:lang w:val="es-ES_tradnl"/>
        </w:rPr>
        <w:t>de usuario (</w:t>
      </w:r>
      <w:r w:rsidRPr="009A709D">
        <w:rPr>
          <w:i/>
          <w:iCs/>
          <w:lang w:val="es-ES_tradnl"/>
        </w:rPr>
        <w:t>user equipment</w:t>
      </w:r>
      <w:r w:rsidRPr="009A709D">
        <w:rPr>
          <w:lang w:val="es-ES_tradnl"/>
        </w:rPr>
        <w:t>)</w:t>
      </w:r>
    </w:p>
    <w:p w14:paraId="7B0E72F3" w14:textId="77777777" w:rsidR="00B14736" w:rsidRPr="009A709D" w:rsidRDefault="00B14736" w:rsidP="00B14736">
      <w:pPr>
        <w:pStyle w:val="Headingb"/>
        <w:rPr>
          <w:lang w:val="es-ES_tradnl"/>
        </w:rPr>
      </w:pPr>
      <w:bookmarkStart w:id="7" w:name="_Toc83389334"/>
      <w:r w:rsidRPr="009A709D">
        <w:rPr>
          <w:lang w:val="es-ES_tradnl"/>
        </w:rPr>
        <w:t>Recomendaciones e Informes conexos</w:t>
      </w:r>
      <w:bookmarkEnd w:id="7"/>
    </w:p>
    <w:p w14:paraId="1D4A1EE4" w14:textId="22AF5BAC" w:rsidR="00E8084F" w:rsidRPr="009A709D" w:rsidRDefault="00E8084F" w:rsidP="00F33AB1">
      <w:pPr>
        <w:pStyle w:val="Reftext"/>
        <w:rPr>
          <w:rFonts w:eastAsia="Batang"/>
          <w:lang w:val="es-ES_tradnl"/>
        </w:rPr>
      </w:pPr>
      <w:r w:rsidRPr="00F33AB1">
        <w:t>Recomendación</w:t>
      </w:r>
      <w:r w:rsidRPr="009A709D">
        <w:rPr>
          <w:lang w:val="es-ES_tradnl"/>
        </w:rPr>
        <w:t xml:space="preserve"> UIT-R</w:t>
      </w:r>
      <w:r w:rsidR="00F33AB1">
        <w:rPr>
          <w:lang w:val="es-ES_tradnl"/>
        </w:rPr>
        <w:t> </w:t>
      </w:r>
      <w:hyperlink r:id="rId15" w:history="1">
        <w:r w:rsidRPr="009A709D">
          <w:rPr>
            <w:lang w:val="es-ES_tradnl"/>
          </w:rPr>
          <w:t>M.2101</w:t>
        </w:r>
      </w:hyperlink>
      <w:r w:rsidR="00F33AB1">
        <w:rPr>
          <w:lang w:val="es-ES_tradnl"/>
        </w:rPr>
        <w:t> </w:t>
      </w:r>
      <w:r w:rsidRPr="009A709D">
        <w:rPr>
          <w:lang w:val="es-ES_tradnl"/>
        </w:rPr>
        <w:t>–</w:t>
      </w:r>
      <w:r w:rsidR="00F33AB1">
        <w:rPr>
          <w:lang w:val="es-ES_tradnl"/>
        </w:rPr>
        <w:t> </w:t>
      </w:r>
      <w:r w:rsidRPr="009A709D">
        <w:rPr>
          <w:lang w:val="es-ES_tradnl"/>
        </w:rPr>
        <w:t>Modelización y simulación de redes y sistemas IMT con miras a su utilización en estudios de compartición y compatibilidad</w:t>
      </w:r>
    </w:p>
    <w:p w14:paraId="745CD633" w14:textId="48E81752" w:rsidR="00B14736" w:rsidRPr="009A709D" w:rsidRDefault="00B14736" w:rsidP="00F33AB1">
      <w:pPr>
        <w:pStyle w:val="Reftext"/>
        <w:rPr>
          <w:rFonts w:eastAsia="Batang"/>
          <w:lang w:val="es-ES_tradnl"/>
        </w:rPr>
      </w:pPr>
      <w:r w:rsidRPr="00F33AB1">
        <w:t>Recomendación</w:t>
      </w:r>
      <w:r w:rsidRPr="009A709D">
        <w:rPr>
          <w:lang w:val="es-ES_tradnl"/>
        </w:rPr>
        <w:t xml:space="preserve"> UIT-R </w:t>
      </w:r>
      <w:hyperlink r:id="rId16" w:history="1">
        <w:r w:rsidRPr="009A709D">
          <w:rPr>
            <w:rStyle w:val="Hyperlink"/>
            <w:color w:val="auto"/>
            <w:u w:val="none"/>
            <w:lang w:val="es-ES_tradnl"/>
          </w:rPr>
          <w:t>P.452</w:t>
        </w:r>
      </w:hyperlink>
      <w:r w:rsidR="00F33AB1">
        <w:rPr>
          <w:lang w:val="es-ES_tradnl"/>
        </w:rPr>
        <w:t> </w:t>
      </w:r>
      <w:r w:rsidRPr="009A709D">
        <w:rPr>
          <w:lang w:val="es-ES_tradnl"/>
        </w:rPr>
        <w:t>–</w:t>
      </w:r>
      <w:r w:rsidR="00F33AB1">
        <w:rPr>
          <w:lang w:val="es-ES_tradnl"/>
        </w:rPr>
        <w:t> </w:t>
      </w:r>
      <w:r w:rsidRPr="009A709D">
        <w:rPr>
          <w:lang w:val="es-ES_tradnl"/>
        </w:rPr>
        <w:t>Procedimiento de predicción para evaluar la interferencia entre estaciones situadas en la superficie de la Tierra a frecuencias superiores a unos 0,1 GHz</w:t>
      </w:r>
    </w:p>
    <w:p w14:paraId="28926188" w14:textId="4F593A47" w:rsidR="00B14736" w:rsidRPr="009A709D" w:rsidRDefault="00B14736" w:rsidP="00F33AB1">
      <w:pPr>
        <w:pStyle w:val="Reftext"/>
        <w:rPr>
          <w:shd w:val="clear" w:color="auto" w:fill="FFFFFF"/>
          <w:lang w:val="es-ES_tradnl"/>
        </w:rPr>
      </w:pPr>
      <w:r w:rsidRPr="00F33AB1">
        <w:t>Recomendación</w:t>
      </w:r>
      <w:r w:rsidRPr="009A709D">
        <w:rPr>
          <w:lang w:val="es-ES_tradnl"/>
        </w:rPr>
        <w:t xml:space="preserve"> UIT-R </w:t>
      </w:r>
      <w:hyperlink r:id="rId17" w:history="1">
        <w:r w:rsidRPr="009A709D">
          <w:rPr>
            <w:lang w:val="es-ES_tradnl"/>
          </w:rPr>
          <w:t>SA.609</w:t>
        </w:r>
      </w:hyperlink>
      <w:r w:rsidR="00F33AB1">
        <w:rPr>
          <w:lang w:val="es-ES_tradnl"/>
        </w:rPr>
        <w:t> </w:t>
      </w:r>
      <w:r w:rsidRPr="009A709D">
        <w:rPr>
          <w:lang w:val="es-ES_tradnl"/>
        </w:rPr>
        <w:t>–</w:t>
      </w:r>
      <w:r w:rsidR="00F33AB1">
        <w:rPr>
          <w:lang w:val="es-ES_tradnl"/>
        </w:rPr>
        <w:t> </w:t>
      </w:r>
      <w:r w:rsidRPr="009A709D">
        <w:rPr>
          <w:shd w:val="clear" w:color="auto" w:fill="FFFFFF"/>
          <w:lang w:val="es-ES_tradnl"/>
        </w:rPr>
        <w:t>Criterios de protección para los enlaces de radiocomunicación con satélites de investigación espacial, tripulados o no tripulados, próximos a la Tierra</w:t>
      </w:r>
    </w:p>
    <w:p w14:paraId="12B473C1" w14:textId="184D1247" w:rsidR="00B14736" w:rsidRPr="009A709D" w:rsidRDefault="00B14736" w:rsidP="00F33AB1">
      <w:pPr>
        <w:pStyle w:val="Reftext"/>
        <w:rPr>
          <w:b/>
          <w:lang w:val="es-ES_tradnl"/>
        </w:rPr>
      </w:pPr>
      <w:r w:rsidRPr="00F33AB1">
        <w:lastRenderedPageBreak/>
        <w:t>Recomendación</w:t>
      </w:r>
      <w:r w:rsidRPr="009A709D">
        <w:rPr>
          <w:lang w:val="es-ES_tradnl"/>
        </w:rPr>
        <w:t xml:space="preserve"> UIT-R</w:t>
      </w:r>
      <w:r w:rsidR="00F33AB1">
        <w:rPr>
          <w:lang w:val="es-ES_tradnl"/>
        </w:rPr>
        <w:t> </w:t>
      </w:r>
      <w:hyperlink r:id="rId18" w:history="1">
        <w:r w:rsidRPr="009A709D">
          <w:rPr>
            <w:lang w:val="es-ES_tradnl"/>
          </w:rPr>
          <w:t>SA.1027</w:t>
        </w:r>
      </w:hyperlink>
      <w:r w:rsidR="00F33AB1">
        <w:rPr>
          <w:lang w:val="es-ES_tradnl"/>
        </w:rPr>
        <w:t> </w:t>
      </w:r>
      <w:r w:rsidRPr="009A709D">
        <w:rPr>
          <w:lang w:val="es-ES_tradnl"/>
        </w:rPr>
        <w:t>–</w:t>
      </w:r>
      <w:r w:rsidR="00F33AB1">
        <w:rPr>
          <w:lang w:val="es-ES_tradnl"/>
        </w:rPr>
        <w:t> </w:t>
      </w:r>
      <w:r w:rsidRPr="009A709D">
        <w:rPr>
          <w:lang w:val="es-ES_tradnl"/>
        </w:rPr>
        <w:t>Criterios de compartición para los sistemas de transmisión de datos espacio</w:t>
      </w:r>
      <w:r w:rsidR="006A2E06" w:rsidRPr="009A709D">
        <w:rPr>
          <w:lang w:val="es-ES_tradnl"/>
        </w:rPr>
        <w:noBreakHyphen/>
      </w:r>
      <w:r w:rsidRPr="009A709D">
        <w:rPr>
          <w:lang w:val="es-ES_tradnl"/>
        </w:rPr>
        <w:t>Tierra de los servicios de exploración de la Tierra por satélite y de meteorología por satélite que utilizan satélites de órbita terrestre baja</w:t>
      </w:r>
    </w:p>
    <w:p w14:paraId="2FC96252" w14:textId="790CD225" w:rsidR="00B14736" w:rsidRPr="009A709D" w:rsidRDefault="00B14736" w:rsidP="00F33AB1">
      <w:pPr>
        <w:pStyle w:val="Reftext"/>
        <w:rPr>
          <w:lang w:val="es-ES_tradnl"/>
        </w:rPr>
      </w:pPr>
      <w:r w:rsidRPr="00F33AB1">
        <w:t>Recomendación</w:t>
      </w:r>
      <w:r w:rsidRPr="009A709D">
        <w:rPr>
          <w:lang w:val="es-ES_tradnl"/>
        </w:rPr>
        <w:t xml:space="preserve"> UIT-R</w:t>
      </w:r>
      <w:r w:rsidR="00F33AB1">
        <w:rPr>
          <w:lang w:val="es-ES_tradnl"/>
        </w:rPr>
        <w:t> </w:t>
      </w:r>
      <w:hyperlink r:id="rId19" w:history="1">
        <w:r w:rsidRPr="009A709D">
          <w:rPr>
            <w:lang w:val="es-ES_tradnl"/>
          </w:rPr>
          <w:t>SA.1161</w:t>
        </w:r>
      </w:hyperlink>
      <w:r w:rsidR="00F33AB1">
        <w:rPr>
          <w:lang w:val="es-ES_tradnl"/>
        </w:rPr>
        <w:t> </w:t>
      </w:r>
      <w:r w:rsidRPr="009A709D">
        <w:rPr>
          <w:lang w:val="es-ES_tradnl"/>
        </w:rPr>
        <w:t>–</w:t>
      </w:r>
      <w:r w:rsidR="00F33AB1">
        <w:rPr>
          <w:lang w:val="es-ES_tradnl"/>
        </w:rPr>
        <w:t> </w:t>
      </w:r>
      <w:r w:rsidRPr="009A709D">
        <w:rPr>
          <w:shd w:val="clear" w:color="auto" w:fill="FFFFFF"/>
          <w:lang w:val="es-ES_tradnl"/>
        </w:rPr>
        <w:t>Criterios de compartición y coordinación para sistemas de difusión y toma directa de datos que funcionan en los servicios de exploración de la Tierra por satélite y de meteorología por satélite que utilizan satélites de órbita geoestacionaria</w:t>
      </w:r>
    </w:p>
    <w:p w14:paraId="5BCDA7E6" w14:textId="400467CE" w:rsidR="00B14736" w:rsidRPr="009A709D" w:rsidRDefault="00B14736" w:rsidP="00F33AB1">
      <w:pPr>
        <w:pStyle w:val="Reftext"/>
        <w:rPr>
          <w:lang w:val="es-ES_tradnl"/>
        </w:rPr>
      </w:pPr>
      <w:r w:rsidRPr="00F33AB1">
        <w:t>Recomendación</w:t>
      </w:r>
      <w:r w:rsidRPr="009A709D">
        <w:rPr>
          <w:lang w:val="es-ES_tradnl"/>
        </w:rPr>
        <w:t xml:space="preserve"> UIT-R</w:t>
      </w:r>
      <w:r w:rsidR="00F33AB1">
        <w:rPr>
          <w:lang w:val="es-ES_tradnl"/>
        </w:rPr>
        <w:t> </w:t>
      </w:r>
      <w:hyperlink r:id="rId20" w:history="1">
        <w:r w:rsidRPr="009A709D">
          <w:rPr>
            <w:lang w:val="es-ES_tradnl"/>
          </w:rPr>
          <w:t>SA.1396</w:t>
        </w:r>
      </w:hyperlink>
      <w:r w:rsidR="00F33AB1">
        <w:rPr>
          <w:lang w:val="es-ES_tradnl"/>
        </w:rPr>
        <w:t> </w:t>
      </w:r>
      <w:r w:rsidRPr="009A709D">
        <w:rPr>
          <w:lang w:val="es-ES_tradnl"/>
        </w:rPr>
        <w:t>–</w:t>
      </w:r>
      <w:r w:rsidR="00F33AB1">
        <w:rPr>
          <w:lang w:val="es-ES_tradnl"/>
        </w:rPr>
        <w:t> </w:t>
      </w:r>
      <w:r w:rsidRPr="009A709D">
        <w:rPr>
          <w:lang w:val="es-ES_tradnl"/>
        </w:rPr>
        <w:t>Criterios de protección para el servicio de investigación espacial en las bandas 37</w:t>
      </w:r>
      <w:r w:rsidRPr="009A709D">
        <w:rPr>
          <w:lang w:val="es-ES_tradnl"/>
        </w:rPr>
        <w:noBreakHyphen/>
        <w:t>38 GHz y 40-40,5 GHz</w:t>
      </w:r>
    </w:p>
    <w:p w14:paraId="03B958FF" w14:textId="3ED5BE47" w:rsidR="00B14736" w:rsidRPr="009A709D" w:rsidRDefault="00B14736" w:rsidP="00F33AB1">
      <w:pPr>
        <w:pStyle w:val="Reftext"/>
        <w:rPr>
          <w:rFonts w:eastAsia="Batang"/>
          <w:lang w:val="es-ES_tradnl"/>
        </w:rPr>
      </w:pPr>
      <w:r w:rsidRPr="00F33AB1">
        <w:t>Informe</w:t>
      </w:r>
      <w:r w:rsidRPr="009A709D">
        <w:rPr>
          <w:lang w:val="es-ES_tradnl"/>
        </w:rPr>
        <w:t xml:space="preserve"> </w:t>
      </w:r>
      <w:hyperlink r:id="rId21" w:history="1">
        <w:r w:rsidRPr="009A709D">
          <w:rPr>
            <w:lang w:val="es-ES_tradnl"/>
          </w:rPr>
          <w:t>UIT-R</w:t>
        </w:r>
        <w:r w:rsidR="00F33AB1">
          <w:rPr>
            <w:lang w:val="es-ES_tradnl"/>
          </w:rPr>
          <w:t> </w:t>
        </w:r>
        <w:r w:rsidRPr="009A709D">
          <w:rPr>
            <w:lang w:val="es-ES_tradnl"/>
          </w:rPr>
          <w:t>M.2292</w:t>
        </w:r>
      </w:hyperlink>
      <w:r w:rsidR="00F33AB1">
        <w:rPr>
          <w:lang w:val="es-ES_tradnl"/>
        </w:rPr>
        <w:t> </w:t>
      </w:r>
      <w:r w:rsidRPr="009A709D">
        <w:rPr>
          <w:lang w:val="es-ES_tradnl"/>
        </w:rPr>
        <w:sym w:font="Symbol" w:char="F02D"/>
      </w:r>
      <w:r w:rsidR="00F33AB1">
        <w:rPr>
          <w:lang w:val="es-ES_tradnl"/>
        </w:rPr>
        <w:t> </w:t>
      </w:r>
      <w:r w:rsidRPr="009A709D">
        <w:rPr>
          <w:lang w:val="es-ES_tradnl"/>
        </w:rPr>
        <w:t>Características de los sistemas terrenales de las IMT-Avanzadas a los efectos de compartición de frecuencias/análisis de interferencias</w:t>
      </w:r>
    </w:p>
    <w:p w14:paraId="4B832F48" w14:textId="77777777" w:rsidR="00520F87" w:rsidRPr="009A709D" w:rsidRDefault="00520F87" w:rsidP="0003241A">
      <w:pPr>
        <w:pStyle w:val="Normalaftertitle"/>
        <w:rPr>
          <w:lang w:val="es-ES_tradnl"/>
        </w:rPr>
      </w:pPr>
      <w:r w:rsidRPr="009A709D">
        <w:rPr>
          <w:lang w:val="es-ES_tradnl"/>
        </w:rPr>
        <w:t>La Asamblea de Radiocomunicaciones de la UIT,</w:t>
      </w:r>
    </w:p>
    <w:p w14:paraId="02B9B2A7" w14:textId="77777777" w:rsidR="00520F87" w:rsidRPr="009A709D" w:rsidRDefault="00520F87" w:rsidP="0003241A">
      <w:pPr>
        <w:pStyle w:val="Call"/>
        <w:rPr>
          <w:lang w:val="es-ES_tradnl"/>
        </w:rPr>
      </w:pPr>
      <w:r w:rsidRPr="009A709D">
        <w:rPr>
          <w:lang w:val="es-ES_tradnl"/>
        </w:rPr>
        <w:t>considerando</w:t>
      </w:r>
    </w:p>
    <w:p w14:paraId="29076DD0" w14:textId="123E5969" w:rsidR="00520F87" w:rsidRPr="009A709D" w:rsidRDefault="00520F87" w:rsidP="0003241A">
      <w:pPr>
        <w:rPr>
          <w:lang w:val="es-ES_tradnl"/>
        </w:rPr>
      </w:pPr>
      <w:r w:rsidRPr="009A709D">
        <w:rPr>
          <w:i/>
          <w:lang w:val="es-ES_tradnl"/>
        </w:rPr>
        <w:t>a)</w:t>
      </w:r>
      <w:r w:rsidRPr="009A709D">
        <w:rPr>
          <w:lang w:val="es-ES_tradnl"/>
        </w:rPr>
        <w:tab/>
        <w:t>que se requiere una metodología para calcular las zonas de coordinación en torno a las estaciones terrenas del SIE</w:t>
      </w:r>
      <w:r w:rsidR="00E634D4" w:rsidRPr="009A709D">
        <w:rPr>
          <w:lang w:val="es-ES_tradnl"/>
        </w:rPr>
        <w:t>, a fin de garantizar</w:t>
      </w:r>
      <w:r w:rsidRPr="009A709D">
        <w:rPr>
          <w:lang w:val="es-ES_tradnl"/>
        </w:rPr>
        <w:t xml:space="preserve"> la compatibilidad con los sistemas IMT-2020 implantados en las bandas de frecuencias 25,5</w:t>
      </w:r>
      <w:r w:rsidRPr="009A709D">
        <w:rPr>
          <w:lang w:val="es-ES_tradnl"/>
        </w:rPr>
        <w:noBreakHyphen/>
        <w:t>27 GHz y 37</w:t>
      </w:r>
      <w:r w:rsidRPr="009A709D">
        <w:rPr>
          <w:lang w:val="es-ES_tradnl"/>
        </w:rPr>
        <w:noBreakHyphen/>
        <w:t>38 GHz;</w:t>
      </w:r>
    </w:p>
    <w:p w14:paraId="1D0C806F" w14:textId="17978063" w:rsidR="00520F87" w:rsidRPr="009A709D" w:rsidRDefault="00520F87" w:rsidP="0003241A">
      <w:pPr>
        <w:rPr>
          <w:lang w:val="es-ES_tradnl"/>
        </w:rPr>
      </w:pPr>
      <w:r w:rsidRPr="009A709D">
        <w:rPr>
          <w:i/>
          <w:lang w:val="es-ES_tradnl"/>
        </w:rPr>
        <w:t>b)</w:t>
      </w:r>
      <w:r w:rsidRPr="009A709D">
        <w:rPr>
          <w:lang w:val="es-ES_tradnl"/>
        </w:rPr>
        <w:tab/>
        <w:t>que se requiere una metodología para calcular las zonas de coordinación</w:t>
      </w:r>
      <w:r w:rsidR="00E634D4" w:rsidRPr="009A709D">
        <w:rPr>
          <w:lang w:val="es-ES_tradnl"/>
        </w:rPr>
        <w:t xml:space="preserve"> en torno a las estaciones terrenas del SETS, a fin de garantizar</w:t>
      </w:r>
      <w:r w:rsidRPr="009A709D">
        <w:rPr>
          <w:lang w:val="es-ES_tradnl"/>
        </w:rPr>
        <w:t xml:space="preserve"> la compatibilidad con los sistemas IMT-2020 implantados en la banda de frecuencias 25,5-27 GHz;</w:t>
      </w:r>
    </w:p>
    <w:p w14:paraId="03A7F1D4" w14:textId="125F33A1" w:rsidR="00520F87" w:rsidRPr="009A709D" w:rsidRDefault="00520F87" w:rsidP="0003241A">
      <w:pPr>
        <w:rPr>
          <w:lang w:val="es-ES_tradnl"/>
        </w:rPr>
      </w:pPr>
      <w:r w:rsidRPr="009A709D">
        <w:rPr>
          <w:i/>
          <w:lang w:val="es-ES_tradnl"/>
        </w:rPr>
        <w:t>c)</w:t>
      </w:r>
      <w:r w:rsidRPr="009A709D">
        <w:rPr>
          <w:lang w:val="es-ES_tradnl"/>
        </w:rPr>
        <w:tab/>
        <w:t xml:space="preserve">que las zonas de coordinación </w:t>
      </w:r>
      <w:r w:rsidR="00E634D4" w:rsidRPr="009A709D">
        <w:rPr>
          <w:lang w:val="es-ES_tradnl"/>
        </w:rPr>
        <w:t xml:space="preserve">resultantes de los análisis </w:t>
      </w:r>
      <w:r w:rsidRPr="009A709D">
        <w:rPr>
          <w:lang w:val="es-ES_tradnl"/>
        </w:rPr>
        <w:t xml:space="preserve">diferirán </w:t>
      </w:r>
      <w:r w:rsidR="00E634D4" w:rsidRPr="009A709D">
        <w:rPr>
          <w:lang w:val="es-ES_tradnl"/>
        </w:rPr>
        <w:t>de una estación terrena a otra</w:t>
      </w:r>
      <w:r w:rsidRPr="009A709D">
        <w:rPr>
          <w:lang w:val="es-ES_tradnl"/>
        </w:rPr>
        <w:t xml:space="preserve">, debido a las especificidades del terreno </w:t>
      </w:r>
      <w:r w:rsidR="00E634D4" w:rsidRPr="009A709D">
        <w:rPr>
          <w:lang w:val="es-ES_tradnl"/>
        </w:rPr>
        <w:t>que rodea</w:t>
      </w:r>
      <w:r w:rsidRPr="009A709D">
        <w:rPr>
          <w:lang w:val="es-ES_tradnl"/>
        </w:rPr>
        <w:t xml:space="preserve"> a cada una de estas estaciones terrenas,</w:t>
      </w:r>
    </w:p>
    <w:p w14:paraId="5CF4FAC6" w14:textId="77777777" w:rsidR="00520F87" w:rsidRPr="009A709D" w:rsidRDefault="00520F87" w:rsidP="0003241A">
      <w:pPr>
        <w:pStyle w:val="Call"/>
        <w:rPr>
          <w:lang w:val="es-ES_tradnl"/>
        </w:rPr>
      </w:pPr>
      <w:r w:rsidRPr="009A709D">
        <w:rPr>
          <w:lang w:val="es-ES_tradnl"/>
        </w:rPr>
        <w:t>reconociendo</w:t>
      </w:r>
    </w:p>
    <w:p w14:paraId="3D4576F0" w14:textId="5CE238BA" w:rsidR="00520F87" w:rsidRPr="009A709D" w:rsidRDefault="00520F87" w:rsidP="0003241A">
      <w:pPr>
        <w:rPr>
          <w:lang w:val="es-ES_tradnl"/>
        </w:rPr>
      </w:pPr>
      <w:r w:rsidRPr="009A709D">
        <w:rPr>
          <w:i/>
          <w:lang w:val="es-ES_tradnl"/>
        </w:rPr>
        <w:t>a)</w:t>
      </w:r>
      <w:r w:rsidRPr="009A709D">
        <w:rPr>
          <w:lang w:val="es-ES_tradnl"/>
        </w:rPr>
        <w:tab/>
        <w:t xml:space="preserve">que la Resolución </w:t>
      </w:r>
      <w:r w:rsidRPr="009A709D">
        <w:rPr>
          <w:b/>
          <w:lang w:val="es-ES_tradnl"/>
        </w:rPr>
        <w:t>242</w:t>
      </w:r>
      <w:r w:rsidRPr="009A709D">
        <w:rPr>
          <w:lang w:val="es-ES_tradnl"/>
        </w:rPr>
        <w:t xml:space="preserve"> </w:t>
      </w:r>
      <w:r w:rsidRPr="009A709D">
        <w:rPr>
          <w:b/>
          <w:lang w:val="es-ES_tradnl"/>
        </w:rPr>
        <w:t>(CMR-19)</w:t>
      </w:r>
      <w:r w:rsidRPr="009A709D">
        <w:rPr>
          <w:lang w:val="es-ES_tradnl"/>
        </w:rPr>
        <w:t xml:space="preserve"> </w:t>
      </w:r>
      <w:r w:rsidR="00E634D4" w:rsidRPr="009A709D">
        <w:rPr>
          <w:lang w:val="es-ES_tradnl"/>
        </w:rPr>
        <w:t xml:space="preserve">de la Conferencia Mundial de Radiocomunicaciones (CMR) </w:t>
      </w:r>
      <w:r w:rsidRPr="009A709D">
        <w:rPr>
          <w:lang w:val="es-ES_tradnl"/>
        </w:rPr>
        <w:t>invita al Sector de Radiocomunicaciones de la UIT a elaborar una Recomendación UIT-R sobre metodologías para el cálculo de zonas de coordinación en torno a</w:t>
      </w:r>
      <w:r w:rsidR="00E634D4" w:rsidRPr="009A709D">
        <w:rPr>
          <w:lang w:val="es-ES_tradnl"/>
        </w:rPr>
        <w:t xml:space="preserve"> las</w:t>
      </w:r>
      <w:r w:rsidRPr="009A709D">
        <w:rPr>
          <w:lang w:val="es-ES_tradnl"/>
        </w:rPr>
        <w:t xml:space="preserve"> estaciones terrenas del SETS y el SIE con el fin de evitar la interferencia perjudicial causada por los sistemas IMT en la banda de frecuencias 25,5</w:t>
      </w:r>
      <w:r w:rsidRPr="009A709D">
        <w:rPr>
          <w:lang w:val="es-ES_tradnl"/>
        </w:rPr>
        <w:noBreakHyphen/>
        <w:t>27</w:t>
      </w:r>
      <w:r w:rsidR="0003241A" w:rsidRPr="009A709D">
        <w:rPr>
          <w:lang w:val="es-ES_tradnl"/>
        </w:rPr>
        <w:t> </w:t>
      </w:r>
      <w:r w:rsidRPr="009A709D">
        <w:rPr>
          <w:lang w:val="es-ES_tradnl"/>
        </w:rPr>
        <w:t>GHz;</w:t>
      </w:r>
    </w:p>
    <w:p w14:paraId="2CF0BC71" w14:textId="5E695F0C" w:rsidR="00520F87" w:rsidRPr="009A709D" w:rsidRDefault="00520F87" w:rsidP="0003241A">
      <w:pPr>
        <w:rPr>
          <w:lang w:val="es-ES_tradnl"/>
        </w:rPr>
      </w:pPr>
      <w:r w:rsidRPr="009A709D">
        <w:rPr>
          <w:i/>
          <w:lang w:val="es-ES_tradnl"/>
        </w:rPr>
        <w:t>b)</w:t>
      </w:r>
      <w:r w:rsidRPr="009A709D">
        <w:rPr>
          <w:lang w:val="es-ES_tradnl"/>
        </w:rPr>
        <w:tab/>
        <w:t xml:space="preserve">que la Resolución </w:t>
      </w:r>
      <w:r w:rsidRPr="009A709D">
        <w:rPr>
          <w:b/>
          <w:lang w:val="es-ES_tradnl"/>
        </w:rPr>
        <w:t>243</w:t>
      </w:r>
      <w:r w:rsidRPr="009A709D">
        <w:rPr>
          <w:lang w:val="es-ES_tradnl"/>
        </w:rPr>
        <w:t xml:space="preserve"> </w:t>
      </w:r>
      <w:r w:rsidRPr="009A709D">
        <w:rPr>
          <w:b/>
          <w:lang w:val="es-ES_tradnl"/>
        </w:rPr>
        <w:t>(CMR-19)</w:t>
      </w:r>
      <w:r w:rsidRPr="009A709D">
        <w:rPr>
          <w:lang w:val="es-ES_tradnl"/>
        </w:rPr>
        <w:t xml:space="preserve"> </w:t>
      </w:r>
      <w:r w:rsidR="005420C4" w:rsidRPr="009A709D">
        <w:rPr>
          <w:lang w:val="es-ES_tradnl"/>
        </w:rPr>
        <w:t xml:space="preserve">de la CMR </w:t>
      </w:r>
      <w:r w:rsidRPr="009A709D">
        <w:rPr>
          <w:lang w:val="es-ES_tradnl"/>
        </w:rPr>
        <w:t>invita al Sector de Radiocomunicaciones de la UIT a elaborar una Recomendación UIT-R sobre métodos de cálculo de las zonas de coordinación en torno a las estaciones terrenas del SIE a fin de evitar que los sistemas IMT causen interferencia perjudicial en la banda de frecuencias 37-38</w:t>
      </w:r>
      <w:r w:rsidR="0003241A" w:rsidRPr="009A709D">
        <w:rPr>
          <w:lang w:val="es-ES_tradnl"/>
        </w:rPr>
        <w:t> </w:t>
      </w:r>
      <w:r w:rsidRPr="009A709D">
        <w:rPr>
          <w:lang w:val="es-ES_tradnl"/>
        </w:rPr>
        <w:t>GHz;</w:t>
      </w:r>
    </w:p>
    <w:p w14:paraId="2A79FA11" w14:textId="2AFC6B94" w:rsidR="00520F87" w:rsidRPr="009A709D" w:rsidRDefault="00520F87" w:rsidP="0003241A">
      <w:pPr>
        <w:rPr>
          <w:lang w:val="es-ES_tradnl"/>
        </w:rPr>
      </w:pPr>
      <w:r w:rsidRPr="009A709D">
        <w:rPr>
          <w:i/>
          <w:lang w:val="es-ES_tradnl"/>
        </w:rPr>
        <w:t>c)</w:t>
      </w:r>
      <w:r w:rsidRPr="009A709D">
        <w:rPr>
          <w:lang w:val="es-ES_tradnl"/>
        </w:rPr>
        <w:tab/>
        <w:t>que</w:t>
      </w:r>
      <w:r w:rsidR="005420C4" w:rsidRPr="009A709D">
        <w:rPr>
          <w:lang w:val="es-ES_tradnl"/>
        </w:rPr>
        <w:t>, en</w:t>
      </w:r>
      <w:r w:rsidRPr="009A709D">
        <w:rPr>
          <w:lang w:val="es-ES_tradnl"/>
        </w:rPr>
        <w:t xml:space="preserve"> </w:t>
      </w:r>
      <w:r w:rsidR="005420C4" w:rsidRPr="009A709D">
        <w:rPr>
          <w:color w:val="000000" w:themeColor="text1"/>
          <w:lang w:val="es-ES_tradnl"/>
        </w:rPr>
        <w:t>la banda de frecuencias 25,5-27 GHz,</w:t>
      </w:r>
      <w:r w:rsidR="005420C4" w:rsidRPr="009A709D">
        <w:rPr>
          <w:lang w:val="es-ES_tradnl"/>
        </w:rPr>
        <w:t xml:space="preserve"> </w:t>
      </w:r>
      <w:r w:rsidRPr="009A709D">
        <w:rPr>
          <w:lang w:val="es-ES_tradnl"/>
        </w:rPr>
        <w:t>se aplica el</w:t>
      </w:r>
      <w:r w:rsidR="00FA13B2" w:rsidRPr="009A709D">
        <w:rPr>
          <w:lang w:val="es-ES_tradnl"/>
        </w:rPr>
        <w:t xml:space="preserve"> </w:t>
      </w:r>
      <w:r w:rsidRPr="009A709D">
        <w:rPr>
          <w:color w:val="000000" w:themeColor="text1"/>
          <w:lang w:val="es-ES_tradnl"/>
        </w:rPr>
        <w:t xml:space="preserve">número </w:t>
      </w:r>
      <w:r w:rsidRPr="009A709D">
        <w:rPr>
          <w:b/>
          <w:color w:val="000000" w:themeColor="text1"/>
          <w:lang w:val="es-ES_tradnl"/>
        </w:rPr>
        <w:t>5.536A</w:t>
      </w:r>
      <w:r w:rsidRPr="009A709D">
        <w:rPr>
          <w:i/>
          <w:color w:val="000000" w:themeColor="text1"/>
          <w:lang w:val="es-ES_tradnl"/>
        </w:rPr>
        <w:t xml:space="preserve"> </w:t>
      </w:r>
      <w:r w:rsidRPr="009A709D">
        <w:rPr>
          <w:color w:val="000000" w:themeColor="text1"/>
          <w:lang w:val="es-ES_tradnl"/>
        </w:rPr>
        <w:t>d</w:t>
      </w:r>
      <w:r w:rsidR="00A7798D" w:rsidRPr="009A709D">
        <w:rPr>
          <w:color w:val="000000" w:themeColor="text1"/>
          <w:lang w:val="es-ES_tradnl"/>
        </w:rPr>
        <w:t>e</w:t>
      </w:r>
      <w:r w:rsidRPr="009A709D">
        <w:rPr>
          <w:color w:val="000000" w:themeColor="text1"/>
          <w:lang w:val="es-ES_tradnl"/>
        </w:rPr>
        <w:t xml:space="preserve">l </w:t>
      </w:r>
      <w:r w:rsidR="005420C4" w:rsidRPr="009A709D">
        <w:rPr>
          <w:color w:val="000000" w:themeColor="text1"/>
          <w:lang w:val="es-ES_tradnl"/>
        </w:rPr>
        <w:t>Reglamento de Radiocomunicaciones (</w:t>
      </w:r>
      <w:r w:rsidRPr="009A709D">
        <w:rPr>
          <w:color w:val="000000" w:themeColor="text1"/>
          <w:lang w:val="es-ES_tradnl"/>
        </w:rPr>
        <w:t>RR</w:t>
      </w:r>
      <w:r w:rsidR="005420C4" w:rsidRPr="009A709D">
        <w:rPr>
          <w:color w:val="000000" w:themeColor="text1"/>
          <w:lang w:val="es-ES_tradnl"/>
        </w:rPr>
        <w:t>)</w:t>
      </w:r>
      <w:r w:rsidRPr="009A709D">
        <w:rPr>
          <w:lang w:val="es-ES_tradnl"/>
        </w:rPr>
        <w:t>,</w:t>
      </w:r>
    </w:p>
    <w:p w14:paraId="247B2ECD" w14:textId="77777777" w:rsidR="00520F87" w:rsidRPr="009A709D" w:rsidRDefault="00520F87" w:rsidP="0003241A">
      <w:pPr>
        <w:pStyle w:val="Call"/>
        <w:rPr>
          <w:rFonts w:eastAsia="MS Mincho"/>
          <w:lang w:val="es-ES_tradnl"/>
        </w:rPr>
      </w:pPr>
      <w:r w:rsidRPr="009A709D">
        <w:rPr>
          <w:lang w:val="es-ES_tradnl"/>
        </w:rPr>
        <w:t>observando</w:t>
      </w:r>
    </w:p>
    <w:p w14:paraId="24BF3309" w14:textId="0CA8149C" w:rsidR="00520F87" w:rsidRPr="009A709D" w:rsidRDefault="00520F87" w:rsidP="0003241A">
      <w:pPr>
        <w:rPr>
          <w:rFonts w:eastAsia="MS Mincho"/>
          <w:spacing w:val="-2"/>
          <w:lang w:val="es-ES_tradnl"/>
        </w:rPr>
      </w:pPr>
      <w:r w:rsidRPr="009A709D">
        <w:rPr>
          <w:i/>
          <w:lang w:val="es-ES_tradnl"/>
        </w:rPr>
        <w:t>a)</w:t>
      </w:r>
      <w:r w:rsidRPr="009A709D">
        <w:rPr>
          <w:lang w:val="es-ES_tradnl"/>
        </w:rPr>
        <w:tab/>
        <w:t>que</w:t>
      </w:r>
      <w:r w:rsidR="002D351F" w:rsidRPr="009A709D">
        <w:rPr>
          <w:lang w:val="es-ES_tradnl"/>
        </w:rPr>
        <w:t>, si bien</w:t>
      </w:r>
      <w:r w:rsidRPr="009A709D">
        <w:rPr>
          <w:lang w:val="es-ES_tradnl"/>
        </w:rPr>
        <w:t xml:space="preserve"> la Recomendación UIT-R</w:t>
      </w:r>
      <w:r w:rsidR="00F33AB1">
        <w:rPr>
          <w:lang w:val="es-ES_tradnl"/>
        </w:rPr>
        <w:t> </w:t>
      </w:r>
      <w:hyperlink r:id="rId22" w:history="1">
        <w:r w:rsidRPr="009A709D">
          <w:rPr>
            <w:lang w:val="es-ES_tradnl"/>
          </w:rPr>
          <w:t>M.2101</w:t>
        </w:r>
      </w:hyperlink>
      <w:r w:rsidRPr="009A709D">
        <w:rPr>
          <w:lang w:val="es-ES_tradnl"/>
        </w:rPr>
        <w:t xml:space="preserve"> </w:t>
      </w:r>
      <w:r w:rsidR="002D351F" w:rsidRPr="009A709D">
        <w:rPr>
          <w:lang w:val="es-ES_tradnl"/>
        </w:rPr>
        <w:t>contiene</w:t>
      </w:r>
      <w:r w:rsidRPr="009A709D">
        <w:rPr>
          <w:lang w:val="es-ES_tradnl"/>
        </w:rPr>
        <w:t xml:space="preserve"> la metodologí</w:t>
      </w:r>
      <w:r w:rsidR="002D351F" w:rsidRPr="009A709D">
        <w:rPr>
          <w:lang w:val="es-ES_tradnl"/>
        </w:rPr>
        <w:t xml:space="preserve">a para la modelización y simulación de redes </w:t>
      </w:r>
      <w:r w:rsidR="006A2E06" w:rsidRPr="009A709D">
        <w:rPr>
          <w:lang w:val="es-ES_tradnl"/>
        </w:rPr>
        <w:t xml:space="preserve">y sistemas </w:t>
      </w:r>
      <w:r w:rsidR="002D351F" w:rsidRPr="009A709D">
        <w:rPr>
          <w:lang w:val="es-ES_tradnl"/>
        </w:rPr>
        <w:t>IMT que debe utilizarse en los estudios de compartición y compatibilidad,</w:t>
      </w:r>
      <w:r w:rsidRPr="009A709D">
        <w:rPr>
          <w:lang w:val="es-ES_tradnl"/>
        </w:rPr>
        <w:t xml:space="preserve"> la presente Recomendación </w:t>
      </w:r>
      <w:r w:rsidR="002D351F" w:rsidRPr="009A709D">
        <w:rPr>
          <w:lang w:val="es-ES_tradnl"/>
        </w:rPr>
        <w:t xml:space="preserve">define metodologías </w:t>
      </w:r>
      <w:r w:rsidRPr="009A709D">
        <w:rPr>
          <w:lang w:val="es-ES_tradnl"/>
        </w:rPr>
        <w:t>especialmente diseñadas para determinar zonas de cooperación en torno a estaciones terrenas del SETS y el SIE</w:t>
      </w:r>
      <w:r w:rsidR="002D351F" w:rsidRPr="009A709D">
        <w:rPr>
          <w:lang w:val="es-ES_tradnl"/>
        </w:rPr>
        <w:t>, que</w:t>
      </w:r>
      <w:r w:rsidRPr="009A709D">
        <w:rPr>
          <w:lang w:val="es-ES_tradnl"/>
        </w:rPr>
        <w:t xml:space="preserve"> podrían no ser aplicables a otras situaciones;</w:t>
      </w:r>
    </w:p>
    <w:p w14:paraId="56159B76" w14:textId="40D02177" w:rsidR="00520F87" w:rsidRPr="009A709D" w:rsidRDefault="00520F87" w:rsidP="0003241A">
      <w:pPr>
        <w:rPr>
          <w:rFonts w:eastAsia="MS Mincho"/>
          <w:lang w:val="es-ES_tradnl"/>
        </w:rPr>
      </w:pPr>
      <w:r w:rsidRPr="009A709D">
        <w:rPr>
          <w:i/>
          <w:lang w:val="es-ES_tradnl"/>
        </w:rPr>
        <w:t>b)</w:t>
      </w:r>
      <w:r w:rsidRPr="009A709D">
        <w:rPr>
          <w:lang w:val="es-ES_tradnl"/>
        </w:rPr>
        <w:tab/>
        <w:t>que las metodologías desarrolladas en la presente Recomendación derivan del método de ganancia dependiente del tiempo (TVG), que figura en el Apéndice</w:t>
      </w:r>
      <w:r w:rsidR="00F33AB1">
        <w:rPr>
          <w:lang w:val="es-ES_tradnl"/>
        </w:rPr>
        <w:t> </w:t>
      </w:r>
      <w:r w:rsidRPr="009A709D">
        <w:rPr>
          <w:b/>
          <w:lang w:val="es-ES_tradnl"/>
        </w:rPr>
        <w:t>7</w:t>
      </w:r>
      <w:r w:rsidRPr="009A709D">
        <w:rPr>
          <w:lang w:val="es-ES_tradnl"/>
        </w:rPr>
        <w:t xml:space="preserve"> del Reglamento de Radiocomunicaciones;</w:t>
      </w:r>
    </w:p>
    <w:p w14:paraId="15F9EABE" w14:textId="77777777" w:rsidR="00520F87" w:rsidRPr="009A709D" w:rsidRDefault="00520F87" w:rsidP="0003241A">
      <w:pPr>
        <w:rPr>
          <w:rFonts w:eastAsia="MS Mincho"/>
          <w:i/>
          <w:lang w:val="es-ES_tradnl"/>
        </w:rPr>
      </w:pPr>
      <w:r w:rsidRPr="009A709D">
        <w:rPr>
          <w:i/>
          <w:lang w:val="es-ES_tradnl"/>
        </w:rPr>
        <w:t>c)</w:t>
      </w:r>
      <w:r w:rsidRPr="009A709D">
        <w:rPr>
          <w:i/>
          <w:lang w:val="es-ES_tradnl"/>
        </w:rPr>
        <w:tab/>
      </w:r>
      <w:r w:rsidRPr="009A709D">
        <w:rPr>
          <w:lang w:val="es-ES_tradnl"/>
        </w:rPr>
        <w:t>que las zonas de coordinación derivadas en consecuencia indican la región fuera de la cual no se rebasará el nivel de interferencia admisible, no siendo por tanto necesaria la coordinación;</w:t>
      </w:r>
    </w:p>
    <w:p w14:paraId="2FAF2B94" w14:textId="2C408959" w:rsidR="00520F87" w:rsidRPr="009A709D" w:rsidRDefault="00520F87" w:rsidP="0003241A">
      <w:pPr>
        <w:rPr>
          <w:rFonts w:eastAsia="MS Mincho"/>
          <w:lang w:val="es-ES_tradnl"/>
        </w:rPr>
      </w:pPr>
      <w:r w:rsidRPr="009A709D">
        <w:rPr>
          <w:i/>
          <w:lang w:val="es-ES_tradnl"/>
        </w:rPr>
        <w:lastRenderedPageBreak/>
        <w:t>d)</w:t>
      </w:r>
      <w:r w:rsidRPr="009A709D">
        <w:rPr>
          <w:lang w:val="es-ES_tradnl"/>
        </w:rPr>
        <w:tab/>
        <w:t>que un análisis más detallado</w:t>
      </w:r>
      <w:r w:rsidR="002D351F" w:rsidRPr="009A709D">
        <w:rPr>
          <w:lang w:val="es-ES_tradnl"/>
        </w:rPr>
        <w:t>, en el que se apliquen</w:t>
      </w:r>
      <w:r w:rsidRPr="009A709D">
        <w:rPr>
          <w:lang w:val="es-ES_tradnl"/>
        </w:rPr>
        <w:t xml:space="preserve"> las condiciones locales y las Recomendaciones UIT-R</w:t>
      </w:r>
      <w:r w:rsidR="006A2E06" w:rsidRPr="009A709D">
        <w:rPr>
          <w:lang w:val="es-ES_tradnl"/>
        </w:rPr>
        <w:t xml:space="preserve"> relevantes</w:t>
      </w:r>
      <w:r w:rsidRPr="009A709D">
        <w:rPr>
          <w:lang w:val="es-ES_tradnl"/>
        </w:rPr>
        <w:t xml:space="preserve"> ante</w:t>
      </w:r>
      <w:r w:rsidR="002D351F" w:rsidRPr="009A709D">
        <w:rPr>
          <w:lang w:val="es-ES_tradnl"/>
        </w:rPr>
        <w:t>s</w:t>
      </w:r>
      <w:r w:rsidRPr="009A709D">
        <w:rPr>
          <w:lang w:val="es-ES_tradnl"/>
        </w:rPr>
        <w:t xml:space="preserve"> mencionadas</w:t>
      </w:r>
      <w:r w:rsidR="002D351F" w:rsidRPr="009A709D">
        <w:rPr>
          <w:lang w:val="es-ES_tradnl"/>
        </w:rPr>
        <w:t>,</w:t>
      </w:r>
      <w:r w:rsidRPr="009A709D">
        <w:rPr>
          <w:lang w:val="es-ES_tradnl"/>
        </w:rPr>
        <w:t xml:space="preserve"> podría revelar que es posible</w:t>
      </w:r>
      <w:r w:rsidR="00DC7FDF" w:rsidRPr="009A709D">
        <w:rPr>
          <w:lang w:val="es-ES_tradnl"/>
        </w:rPr>
        <w:t xml:space="preserve"> que varios </w:t>
      </w:r>
      <w:r w:rsidRPr="009A709D">
        <w:rPr>
          <w:lang w:val="es-ES_tradnl"/>
        </w:rPr>
        <w:t>sistemas IMT</w:t>
      </w:r>
      <w:r w:rsidR="0003241A" w:rsidRPr="009A709D">
        <w:rPr>
          <w:lang w:val="es-ES_tradnl"/>
        </w:rPr>
        <w:noBreakHyphen/>
      </w:r>
      <w:r w:rsidRPr="009A709D">
        <w:rPr>
          <w:lang w:val="es-ES_tradnl"/>
        </w:rPr>
        <w:t xml:space="preserve">2020 ubicados en la zona de coordinación en torno a una estación terrena del SETS </w:t>
      </w:r>
      <w:r w:rsidR="00DC7FDF" w:rsidRPr="009A709D">
        <w:rPr>
          <w:lang w:val="es-ES_tradnl"/>
        </w:rPr>
        <w:t>o</w:t>
      </w:r>
      <w:r w:rsidRPr="009A709D">
        <w:rPr>
          <w:lang w:val="es-ES_tradnl"/>
        </w:rPr>
        <w:t xml:space="preserve"> el SIE</w:t>
      </w:r>
      <w:r w:rsidR="00DC7FDF" w:rsidRPr="009A709D">
        <w:rPr>
          <w:lang w:val="es-ES_tradnl"/>
        </w:rPr>
        <w:t xml:space="preserve"> funcionen en términos compatibles</w:t>
      </w:r>
      <w:r w:rsidRPr="009A709D">
        <w:rPr>
          <w:lang w:val="es-ES_tradnl"/>
        </w:rPr>
        <w:t>,</w:t>
      </w:r>
    </w:p>
    <w:p w14:paraId="6E279B37" w14:textId="77777777" w:rsidR="00520F87" w:rsidRPr="009A709D" w:rsidRDefault="00520F87" w:rsidP="0003241A">
      <w:pPr>
        <w:pStyle w:val="Call"/>
        <w:rPr>
          <w:lang w:val="es-ES_tradnl"/>
        </w:rPr>
      </w:pPr>
      <w:r w:rsidRPr="009A709D">
        <w:rPr>
          <w:lang w:val="es-ES_tradnl"/>
        </w:rPr>
        <w:t>recomienda</w:t>
      </w:r>
    </w:p>
    <w:p w14:paraId="007A6DA4" w14:textId="46FD45E1" w:rsidR="00520F87" w:rsidRPr="009A709D" w:rsidRDefault="00520F87" w:rsidP="0003241A">
      <w:pPr>
        <w:rPr>
          <w:rFonts w:eastAsia="Batang"/>
          <w:lang w:val="es-ES_tradnl"/>
        </w:rPr>
      </w:pPr>
      <w:r w:rsidRPr="009A709D">
        <w:rPr>
          <w:b/>
          <w:lang w:val="es-ES_tradnl"/>
        </w:rPr>
        <w:t>1</w:t>
      </w:r>
      <w:r w:rsidRPr="009A709D">
        <w:rPr>
          <w:lang w:val="es-ES_tradnl"/>
        </w:rPr>
        <w:tab/>
        <w:t>que se utilice la metodología descrita en el Anexo 1 para calcular la</w:t>
      </w:r>
      <w:r w:rsidR="00DC7FDF" w:rsidRPr="009A709D">
        <w:rPr>
          <w:lang w:val="es-ES_tradnl"/>
        </w:rPr>
        <w:t>s</w:t>
      </w:r>
      <w:r w:rsidRPr="009A709D">
        <w:rPr>
          <w:lang w:val="es-ES_tradnl"/>
        </w:rPr>
        <w:t xml:space="preserve"> zona</w:t>
      </w:r>
      <w:r w:rsidR="00DC7FDF" w:rsidRPr="009A709D">
        <w:rPr>
          <w:lang w:val="es-ES_tradnl"/>
        </w:rPr>
        <w:t>s</w:t>
      </w:r>
      <w:r w:rsidRPr="009A709D">
        <w:rPr>
          <w:lang w:val="es-ES_tradnl"/>
        </w:rPr>
        <w:t xml:space="preserve"> de coordinación en torno a las estaciones terrenas</w:t>
      </w:r>
      <w:r w:rsidR="00DC7FDF" w:rsidRPr="009A709D">
        <w:rPr>
          <w:lang w:val="es-ES_tradnl"/>
        </w:rPr>
        <w:t xml:space="preserve"> del SIE</w:t>
      </w:r>
      <w:r w:rsidRPr="009A709D">
        <w:rPr>
          <w:lang w:val="es-ES_tradnl"/>
        </w:rPr>
        <w:t xml:space="preserve"> que funcionan en las bandas de frecuencias 25,5-27</w:t>
      </w:r>
      <w:r w:rsidR="0003241A" w:rsidRPr="009A709D">
        <w:rPr>
          <w:lang w:val="es-ES_tradnl"/>
        </w:rPr>
        <w:t> </w:t>
      </w:r>
      <w:r w:rsidRPr="009A709D">
        <w:rPr>
          <w:lang w:val="es-ES_tradnl"/>
        </w:rPr>
        <w:t>GHz y 37</w:t>
      </w:r>
      <w:r w:rsidRPr="009A709D">
        <w:rPr>
          <w:lang w:val="es-ES_tradnl"/>
        </w:rPr>
        <w:noBreakHyphen/>
        <w:t>38</w:t>
      </w:r>
      <w:r w:rsidR="0003241A" w:rsidRPr="009A709D">
        <w:rPr>
          <w:lang w:val="es-ES_tradnl"/>
        </w:rPr>
        <w:t> </w:t>
      </w:r>
      <w:r w:rsidRPr="009A709D">
        <w:rPr>
          <w:lang w:val="es-ES_tradnl"/>
        </w:rPr>
        <w:t>GHz;</w:t>
      </w:r>
    </w:p>
    <w:p w14:paraId="73CCEC57" w14:textId="40CD9C75" w:rsidR="00520F87" w:rsidRPr="009A709D" w:rsidRDefault="00520F87" w:rsidP="0003241A">
      <w:pPr>
        <w:rPr>
          <w:rFonts w:eastAsia="Batang"/>
          <w:lang w:val="es-ES_tradnl"/>
        </w:rPr>
      </w:pPr>
      <w:r w:rsidRPr="009A709D">
        <w:rPr>
          <w:b/>
          <w:lang w:val="es-ES_tradnl"/>
        </w:rPr>
        <w:t>2</w:t>
      </w:r>
      <w:r w:rsidRPr="009A709D">
        <w:rPr>
          <w:lang w:val="es-ES_tradnl"/>
        </w:rPr>
        <w:tab/>
        <w:t xml:space="preserve">que se utilice la metodología descrita en el Anexo 2 para calcular </w:t>
      </w:r>
      <w:r w:rsidR="00A7798D" w:rsidRPr="009A709D">
        <w:rPr>
          <w:lang w:val="es-ES_tradnl"/>
        </w:rPr>
        <w:t>la</w:t>
      </w:r>
      <w:r w:rsidR="00DC7FDF" w:rsidRPr="009A709D">
        <w:rPr>
          <w:lang w:val="es-ES_tradnl"/>
        </w:rPr>
        <w:t>s</w:t>
      </w:r>
      <w:r w:rsidR="00A7798D" w:rsidRPr="009A709D">
        <w:rPr>
          <w:lang w:val="es-ES_tradnl"/>
        </w:rPr>
        <w:t xml:space="preserve"> zona</w:t>
      </w:r>
      <w:r w:rsidR="00DC7FDF" w:rsidRPr="009A709D">
        <w:rPr>
          <w:lang w:val="es-ES_tradnl"/>
        </w:rPr>
        <w:t>s</w:t>
      </w:r>
      <w:r w:rsidR="00A7798D" w:rsidRPr="009A709D">
        <w:rPr>
          <w:lang w:val="es-ES_tradnl"/>
        </w:rPr>
        <w:t xml:space="preserve"> </w:t>
      </w:r>
      <w:r w:rsidRPr="009A709D">
        <w:rPr>
          <w:lang w:val="es-ES_tradnl"/>
        </w:rPr>
        <w:t xml:space="preserve">de coordinación en torno a </w:t>
      </w:r>
      <w:r w:rsidR="00DC7FDF" w:rsidRPr="009A709D">
        <w:rPr>
          <w:lang w:val="es-ES_tradnl"/>
        </w:rPr>
        <w:t xml:space="preserve">las </w:t>
      </w:r>
      <w:r w:rsidRPr="009A709D">
        <w:rPr>
          <w:lang w:val="es-ES_tradnl"/>
        </w:rPr>
        <w:t xml:space="preserve">estaciones terrenas del SETS </w:t>
      </w:r>
      <w:r w:rsidR="00DC7FDF" w:rsidRPr="009A709D">
        <w:rPr>
          <w:lang w:val="es-ES_tradnl"/>
        </w:rPr>
        <w:t xml:space="preserve">no OSG </w:t>
      </w:r>
      <w:r w:rsidRPr="009A709D">
        <w:rPr>
          <w:lang w:val="es-ES_tradnl"/>
        </w:rPr>
        <w:t>que funcionan en la banda de frecuencias 25,5</w:t>
      </w:r>
      <w:r w:rsidR="0003241A" w:rsidRPr="009A709D">
        <w:rPr>
          <w:lang w:val="es-ES_tradnl"/>
        </w:rPr>
        <w:noBreakHyphen/>
      </w:r>
      <w:r w:rsidRPr="009A709D">
        <w:rPr>
          <w:lang w:val="es-ES_tradnl"/>
        </w:rPr>
        <w:t>27 GHz;</w:t>
      </w:r>
    </w:p>
    <w:p w14:paraId="1793B58D" w14:textId="575FA2A1" w:rsidR="00520F87" w:rsidRPr="009A709D" w:rsidRDefault="00520F87" w:rsidP="0003241A">
      <w:pPr>
        <w:rPr>
          <w:spacing w:val="-4"/>
          <w:lang w:val="es-ES_tradnl"/>
        </w:rPr>
      </w:pPr>
      <w:r w:rsidRPr="009A709D">
        <w:rPr>
          <w:b/>
          <w:spacing w:val="-4"/>
          <w:lang w:val="es-ES_tradnl"/>
        </w:rPr>
        <w:t>3</w:t>
      </w:r>
      <w:r w:rsidRPr="009A709D">
        <w:rPr>
          <w:spacing w:val="-4"/>
          <w:lang w:val="es-ES_tradnl"/>
        </w:rPr>
        <w:tab/>
        <w:t>que se utilice la metodología descrita en el Anexo 3 para calcular la</w:t>
      </w:r>
      <w:r w:rsidR="00DC7FDF" w:rsidRPr="009A709D">
        <w:rPr>
          <w:spacing w:val="-4"/>
          <w:lang w:val="es-ES_tradnl"/>
        </w:rPr>
        <w:t>s</w:t>
      </w:r>
      <w:r w:rsidRPr="009A709D">
        <w:rPr>
          <w:spacing w:val="-4"/>
          <w:lang w:val="es-ES_tradnl"/>
        </w:rPr>
        <w:t xml:space="preserve"> zona</w:t>
      </w:r>
      <w:r w:rsidR="00DC7FDF" w:rsidRPr="009A709D">
        <w:rPr>
          <w:spacing w:val="-4"/>
          <w:lang w:val="es-ES_tradnl"/>
        </w:rPr>
        <w:t>s</w:t>
      </w:r>
      <w:r w:rsidRPr="009A709D">
        <w:rPr>
          <w:spacing w:val="-4"/>
          <w:lang w:val="es-ES_tradnl"/>
        </w:rPr>
        <w:t xml:space="preserve"> de coordinación en torno a las estaciones terrenas del STS </w:t>
      </w:r>
      <w:r w:rsidR="00DC7FDF" w:rsidRPr="009A709D">
        <w:rPr>
          <w:spacing w:val="-4"/>
          <w:lang w:val="es-ES_tradnl"/>
        </w:rPr>
        <w:t xml:space="preserve">OSG </w:t>
      </w:r>
      <w:r w:rsidRPr="009A709D">
        <w:rPr>
          <w:spacing w:val="-4"/>
          <w:lang w:val="es-ES_tradnl"/>
        </w:rPr>
        <w:t>que funcionan en la banda de frecuencias 25,5-27</w:t>
      </w:r>
      <w:r w:rsidR="0003241A" w:rsidRPr="009A709D">
        <w:rPr>
          <w:spacing w:val="-4"/>
          <w:lang w:val="es-ES_tradnl"/>
        </w:rPr>
        <w:t> </w:t>
      </w:r>
      <w:r w:rsidRPr="009A709D">
        <w:rPr>
          <w:spacing w:val="-4"/>
          <w:lang w:val="es-ES_tradnl"/>
        </w:rPr>
        <w:t>GHz,</w:t>
      </w:r>
    </w:p>
    <w:p w14:paraId="18A8AF7A" w14:textId="236D7987" w:rsidR="00520F87" w:rsidRPr="009A709D" w:rsidRDefault="00520F87" w:rsidP="00520F87">
      <w:pPr>
        <w:pStyle w:val="Call"/>
        <w:rPr>
          <w:lang w:val="es-ES_tradnl"/>
        </w:rPr>
      </w:pPr>
      <w:r w:rsidRPr="009A709D">
        <w:rPr>
          <w:lang w:val="es-ES_tradnl"/>
        </w:rPr>
        <w:t>recomienda además</w:t>
      </w:r>
    </w:p>
    <w:p w14:paraId="1A609937" w14:textId="33116920" w:rsidR="00520F87" w:rsidRPr="009A709D" w:rsidRDefault="00520F87" w:rsidP="00520F87">
      <w:pPr>
        <w:rPr>
          <w:lang w:val="es-ES_tradnl"/>
        </w:rPr>
      </w:pPr>
      <w:r w:rsidRPr="009A709D">
        <w:rPr>
          <w:b/>
          <w:lang w:val="es-ES_tradnl"/>
        </w:rPr>
        <w:t>1</w:t>
      </w:r>
      <w:r w:rsidRPr="009A709D">
        <w:rPr>
          <w:lang w:val="es-ES_tradnl"/>
        </w:rPr>
        <w:tab/>
        <w:t xml:space="preserve">que las administraciones consideren </w:t>
      </w:r>
      <w:r w:rsidR="00DC7FDF" w:rsidRPr="009A709D">
        <w:rPr>
          <w:lang w:val="es-ES_tradnl"/>
        </w:rPr>
        <w:t xml:space="preserve">la posibilidad de efectuar </w:t>
      </w:r>
      <w:r w:rsidRPr="009A709D">
        <w:rPr>
          <w:lang w:val="es-ES_tradnl"/>
        </w:rPr>
        <w:t>un análisis detallado de las ubicaciones específicas dentro de la zona de coordinación</w:t>
      </w:r>
      <w:r w:rsidR="00DC7FDF" w:rsidRPr="009A709D">
        <w:rPr>
          <w:lang w:val="es-ES_tradnl"/>
        </w:rPr>
        <w:t>,</w:t>
      </w:r>
      <w:r w:rsidRPr="009A709D">
        <w:rPr>
          <w:lang w:val="es-ES_tradnl"/>
        </w:rPr>
        <w:t xml:space="preserve"> para determinar la compatibilidad </w:t>
      </w:r>
      <w:r w:rsidR="00DC7FDF" w:rsidRPr="009A709D">
        <w:rPr>
          <w:lang w:val="es-ES_tradnl"/>
        </w:rPr>
        <w:t xml:space="preserve">operativa </w:t>
      </w:r>
      <w:r w:rsidRPr="009A709D">
        <w:rPr>
          <w:lang w:val="es-ES_tradnl"/>
        </w:rPr>
        <w:t xml:space="preserve">de las IMT y </w:t>
      </w:r>
      <w:r w:rsidR="00203F22" w:rsidRPr="009A709D">
        <w:rPr>
          <w:lang w:val="es-ES_tradnl"/>
        </w:rPr>
        <w:t xml:space="preserve">el </w:t>
      </w:r>
      <w:r w:rsidRPr="009A709D">
        <w:rPr>
          <w:lang w:val="es-ES_tradnl"/>
        </w:rPr>
        <w:t>SETS/SIE;</w:t>
      </w:r>
    </w:p>
    <w:p w14:paraId="41F2D04A" w14:textId="73FDF0D1" w:rsidR="002A03FC" w:rsidRDefault="00520F87" w:rsidP="006140A2">
      <w:pPr>
        <w:rPr>
          <w:lang w:val="es-ES_tradnl"/>
        </w:rPr>
      </w:pPr>
      <w:r w:rsidRPr="009A709D">
        <w:rPr>
          <w:b/>
          <w:lang w:val="es-ES_tradnl"/>
        </w:rPr>
        <w:t>2</w:t>
      </w:r>
      <w:r w:rsidRPr="009A709D">
        <w:rPr>
          <w:lang w:val="es-ES_tradnl"/>
        </w:rPr>
        <w:tab/>
        <w:t xml:space="preserve">que se utilicen metodologías como la descrita en el Anexo 4 para abordar la protección de las estaciones terrenas del SETS </w:t>
      </w:r>
      <w:r w:rsidR="00DC7FDF" w:rsidRPr="009A709D">
        <w:rPr>
          <w:lang w:val="es-ES_tradnl"/>
        </w:rPr>
        <w:t>frente a las</w:t>
      </w:r>
      <w:r w:rsidRPr="009A709D">
        <w:rPr>
          <w:lang w:val="es-ES_tradnl"/>
        </w:rPr>
        <w:t xml:space="preserve"> estaciones IMT </w:t>
      </w:r>
      <w:r w:rsidR="00DC7FDF" w:rsidRPr="009A709D">
        <w:rPr>
          <w:lang w:val="es-ES_tradnl"/>
        </w:rPr>
        <w:t>instaladas en</w:t>
      </w:r>
      <w:r w:rsidRPr="009A709D">
        <w:rPr>
          <w:lang w:val="es-ES_tradnl"/>
        </w:rPr>
        <w:t xml:space="preserve"> la zona de coordinación determinada con arreglo a los </w:t>
      </w:r>
      <w:r w:rsidR="006140A2" w:rsidRPr="006140A2">
        <w:rPr>
          <w:i/>
          <w:lang w:val="es-ES_tradnl"/>
        </w:rPr>
        <w:t>recomienda</w:t>
      </w:r>
      <w:r w:rsidR="006140A2" w:rsidRPr="006140A2">
        <w:rPr>
          <w:i/>
          <w:lang w:val="es-ES_tradnl"/>
        </w:rPr>
        <w:t xml:space="preserve"> </w:t>
      </w:r>
      <w:r w:rsidRPr="009A709D">
        <w:rPr>
          <w:lang w:val="es-ES_tradnl"/>
        </w:rPr>
        <w:t>2 y 3.</w:t>
      </w:r>
    </w:p>
    <w:p w14:paraId="700C8100" w14:textId="0BDCE853" w:rsidR="006140A2" w:rsidRDefault="006140A2" w:rsidP="006140A2">
      <w:pPr>
        <w:rPr>
          <w:lang w:val="es-ES_tradnl"/>
        </w:rPr>
      </w:pPr>
    </w:p>
    <w:p w14:paraId="34C97FDC" w14:textId="167D0586" w:rsidR="006140A2" w:rsidRDefault="006140A2" w:rsidP="006140A2">
      <w:pPr>
        <w:rPr>
          <w:lang w:val="es-ES_tradnl"/>
        </w:rPr>
      </w:pPr>
    </w:p>
    <w:p w14:paraId="5549A195" w14:textId="77777777" w:rsidR="006140A2" w:rsidRPr="009A709D" w:rsidRDefault="006140A2" w:rsidP="006140A2">
      <w:pPr>
        <w:rPr>
          <w:lang w:val="es-ES_tradnl"/>
        </w:rPr>
      </w:pPr>
    </w:p>
    <w:p w14:paraId="63863515" w14:textId="2AC6FA28" w:rsidR="00E46596" w:rsidRPr="009A709D" w:rsidRDefault="00E8084F" w:rsidP="006140A2">
      <w:pPr>
        <w:jc w:val="center"/>
        <w:rPr>
          <w:noProof/>
          <w:lang w:val="es-ES_tradnl"/>
        </w:rPr>
      </w:pPr>
      <w:r w:rsidRPr="009A709D">
        <w:rPr>
          <w:lang w:val="es-ES_tradnl"/>
        </w:rPr>
        <w:t>ÍNDICE</w:t>
      </w:r>
    </w:p>
    <w:p w14:paraId="0A2FB590" w14:textId="0DA95DDA" w:rsidR="00E8084F" w:rsidRPr="009A709D" w:rsidRDefault="00E8084F" w:rsidP="00E8084F">
      <w:pPr>
        <w:pStyle w:val="toc0"/>
        <w:jc w:val="right"/>
        <w:rPr>
          <w:lang w:val="es-ES_tradnl"/>
        </w:rPr>
      </w:pPr>
      <w:r w:rsidRPr="009A709D">
        <w:rPr>
          <w:lang w:val="es-ES_tradnl"/>
        </w:rPr>
        <w:t>Página</w:t>
      </w:r>
    </w:p>
    <w:bookmarkStart w:id="8" w:name="_Toc109438454"/>
    <w:p w14:paraId="6EBFFEAA" w14:textId="399D44F1" w:rsidR="00FE41BB" w:rsidRPr="009A709D" w:rsidRDefault="00FE41BB">
      <w:pPr>
        <w:pStyle w:val="TOC1"/>
        <w:rPr>
          <w:rFonts w:asciiTheme="minorHAnsi" w:eastAsiaTheme="minorEastAsia" w:hAnsiTheme="minorHAnsi" w:cstheme="minorBidi"/>
          <w:noProof/>
          <w:sz w:val="22"/>
          <w:szCs w:val="22"/>
          <w:lang w:val="es-ES_tradnl" w:eastAsia="en-GB"/>
        </w:rPr>
      </w:pPr>
      <w:r w:rsidRPr="009A709D">
        <w:rPr>
          <w:lang w:val="es-ES_tradnl"/>
        </w:rPr>
        <w:fldChar w:fldCharType="begin"/>
      </w:r>
      <w:r w:rsidRPr="009A709D">
        <w:rPr>
          <w:lang w:val="es-ES_tradnl"/>
        </w:rPr>
        <w:instrText xml:space="preserve"> TOC \o "1-2" \h \z \u </w:instrText>
      </w:r>
      <w:r w:rsidRPr="009A709D">
        <w:rPr>
          <w:lang w:val="es-ES_tradnl"/>
        </w:rPr>
        <w:fldChar w:fldCharType="separate"/>
      </w:r>
      <w:hyperlink w:anchor="_Toc102986146" w:history="1">
        <w:r w:rsidRPr="009A709D">
          <w:rPr>
            <w:rStyle w:val="Hyperlink"/>
            <w:noProof/>
            <w:lang w:val="es-ES_tradnl"/>
          </w:rPr>
          <w:t>Política sobre Derechos de Propiedad Intelectual (IPR)</w:t>
        </w:r>
        <w:r w:rsidRPr="009A709D">
          <w:rPr>
            <w:noProof/>
            <w:webHidden/>
            <w:lang w:val="es-ES_tradnl"/>
          </w:rPr>
          <w:tab/>
        </w:r>
        <w:r w:rsidRPr="009A709D">
          <w:rPr>
            <w:noProof/>
            <w:webHidden/>
            <w:lang w:val="es-ES_tradnl"/>
          </w:rPr>
          <w:tab/>
        </w:r>
        <w:r w:rsidRPr="009A709D">
          <w:rPr>
            <w:noProof/>
            <w:webHidden/>
            <w:lang w:val="es-ES_tradnl"/>
          </w:rPr>
          <w:fldChar w:fldCharType="begin"/>
        </w:r>
        <w:r w:rsidRPr="009A709D">
          <w:rPr>
            <w:noProof/>
            <w:webHidden/>
            <w:lang w:val="es-ES_tradnl"/>
          </w:rPr>
          <w:instrText xml:space="preserve"> PAGEREF _Toc102986146 \h </w:instrText>
        </w:r>
        <w:r w:rsidRPr="009A709D">
          <w:rPr>
            <w:noProof/>
            <w:webHidden/>
            <w:lang w:val="es-ES_tradnl"/>
          </w:rPr>
        </w:r>
        <w:r w:rsidRPr="009A709D">
          <w:rPr>
            <w:noProof/>
            <w:webHidden/>
            <w:lang w:val="es-ES_tradnl"/>
          </w:rPr>
          <w:fldChar w:fldCharType="separate"/>
        </w:r>
        <w:r w:rsidR="00AA64D7">
          <w:rPr>
            <w:noProof/>
            <w:webHidden/>
            <w:lang w:val="es-ES_tradnl"/>
          </w:rPr>
          <w:t>ii</w:t>
        </w:r>
        <w:r w:rsidRPr="009A709D">
          <w:rPr>
            <w:noProof/>
            <w:webHidden/>
            <w:lang w:val="es-ES_tradnl"/>
          </w:rPr>
          <w:fldChar w:fldCharType="end"/>
        </w:r>
      </w:hyperlink>
    </w:p>
    <w:p w14:paraId="5699C3A1" w14:textId="7CFFEDEF" w:rsidR="00FE41BB" w:rsidRPr="009A709D" w:rsidRDefault="00F33AB1" w:rsidP="006A2E06">
      <w:pPr>
        <w:pStyle w:val="TOC1"/>
        <w:tabs>
          <w:tab w:val="clear" w:pos="567"/>
        </w:tabs>
        <w:ind w:left="0" w:firstLine="0"/>
        <w:rPr>
          <w:rFonts w:asciiTheme="minorHAnsi" w:eastAsiaTheme="minorEastAsia" w:hAnsiTheme="minorHAnsi" w:cstheme="minorBidi"/>
          <w:noProof/>
          <w:sz w:val="22"/>
          <w:szCs w:val="22"/>
          <w:lang w:val="es-ES_tradnl" w:eastAsia="en-GB"/>
        </w:rPr>
      </w:pPr>
      <w:hyperlink w:anchor="_Toc102986147" w:history="1">
        <w:r w:rsidR="00FE41BB" w:rsidRPr="009A709D">
          <w:rPr>
            <w:rStyle w:val="Hyperlink"/>
            <w:noProof/>
            <w:lang w:val="es-ES_tradnl"/>
          </w:rPr>
          <w:t xml:space="preserve">Anexo 1 </w:t>
        </w:r>
        <w:r w:rsidR="006A2E06" w:rsidRPr="009A709D">
          <w:rPr>
            <w:rStyle w:val="Hyperlink"/>
            <w:noProof/>
            <w:lang w:val="es-ES_tradnl"/>
          </w:rPr>
          <w:t>–</w:t>
        </w:r>
        <w:r w:rsidR="00FE41BB" w:rsidRPr="009A709D">
          <w:rPr>
            <w:rStyle w:val="Hyperlink"/>
            <w:noProof/>
            <w:lang w:val="es-ES_tradnl"/>
          </w:rPr>
          <w:t xml:space="preserve"> Metodología para el cálculo de zonas de coordinación en torno a estaciones terrenas del SIE</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_Toc102986147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5</w:t>
        </w:r>
        <w:r w:rsidR="00FE41BB" w:rsidRPr="009A709D">
          <w:rPr>
            <w:noProof/>
            <w:webHidden/>
            <w:lang w:val="es-ES_tradnl"/>
          </w:rPr>
          <w:fldChar w:fldCharType="end"/>
        </w:r>
      </w:hyperlink>
    </w:p>
    <w:p w14:paraId="63F2EBB3" w14:textId="267A4C1E"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48" w:history="1">
        <w:r w:rsidR="00FE41BB" w:rsidRPr="009A709D">
          <w:rPr>
            <w:rStyle w:val="Hyperlink"/>
            <w:noProof/>
            <w:lang w:val="es-ES_tradnl"/>
          </w:rPr>
          <w:t>1</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Introducción</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_Toc102986148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5</w:t>
        </w:r>
        <w:r w:rsidR="00FE41BB" w:rsidRPr="009A709D">
          <w:rPr>
            <w:noProof/>
            <w:webHidden/>
            <w:lang w:val="es-ES_tradnl"/>
          </w:rPr>
          <w:fldChar w:fldCharType="end"/>
        </w:r>
      </w:hyperlink>
    </w:p>
    <w:p w14:paraId="794927A9" w14:textId="34469AC3"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49" w:history="1">
        <w:r w:rsidR="00FE41BB" w:rsidRPr="009A709D">
          <w:rPr>
            <w:rStyle w:val="Hyperlink"/>
            <w:noProof/>
            <w:lang w:val="es-ES_tradnl"/>
          </w:rPr>
          <w:t>2</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Metodología TVG estándar</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_Toc102986149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6</w:t>
        </w:r>
        <w:r w:rsidR="00FE41BB" w:rsidRPr="009A709D">
          <w:rPr>
            <w:noProof/>
            <w:webHidden/>
            <w:lang w:val="es-ES_tradnl"/>
          </w:rPr>
          <w:fldChar w:fldCharType="end"/>
        </w:r>
      </w:hyperlink>
    </w:p>
    <w:p w14:paraId="06838558" w14:textId="478A4C69"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50" w:history="1">
        <w:r w:rsidR="00FE41BB" w:rsidRPr="009A709D">
          <w:rPr>
            <w:rStyle w:val="Hyperlink"/>
            <w:noProof/>
            <w:lang w:val="es-ES_tradnl"/>
          </w:rPr>
          <w:t>3</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 la potencia total de la estación base IMT-2020</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_Toc102986150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7</w:t>
        </w:r>
        <w:r w:rsidR="00FE41BB" w:rsidRPr="009A709D">
          <w:rPr>
            <w:noProof/>
            <w:webHidden/>
            <w:lang w:val="es-ES_tradnl"/>
          </w:rPr>
          <w:fldChar w:fldCharType="end"/>
        </w:r>
      </w:hyperlink>
    </w:p>
    <w:p w14:paraId="7E9F39B0" w14:textId="2D97F462"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51" w:history="1">
        <w:r w:rsidR="00FE41BB" w:rsidRPr="009A709D">
          <w:rPr>
            <w:rStyle w:val="Hyperlink"/>
            <w:noProof/>
            <w:lang w:val="es-ES_tradnl"/>
          </w:rPr>
          <w:t>4</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 la distribución de la ganancia hacia el horizonte de la antena de la estación base IMT-2020</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_Toc102986151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7</w:t>
        </w:r>
        <w:r w:rsidR="00FE41BB" w:rsidRPr="009A709D">
          <w:rPr>
            <w:noProof/>
            <w:webHidden/>
            <w:lang w:val="es-ES_tradnl"/>
          </w:rPr>
          <w:fldChar w:fldCharType="end"/>
        </w:r>
      </w:hyperlink>
    </w:p>
    <w:p w14:paraId="3D750209" w14:textId="0EFE9B39"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52" w:history="1">
        <w:r w:rsidR="00FE41BB" w:rsidRPr="009A709D">
          <w:rPr>
            <w:rStyle w:val="Hyperlink"/>
            <w:noProof/>
            <w:lang w:val="es-ES_tradnl"/>
          </w:rPr>
          <w:t>5</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 la ganancia de la antena del SIE</w:t>
        </w:r>
        <w:r w:rsidR="00FE41BB" w:rsidRPr="009A709D">
          <w:rPr>
            <w:rStyle w:val="Hyperlink"/>
            <w:i/>
            <w:noProof/>
            <w:lang w:val="es-ES_tradnl"/>
          </w:rPr>
          <w:t xml:space="preserve"> G</w:t>
        </w:r>
        <w:r w:rsidR="00FE41BB" w:rsidRPr="009A709D">
          <w:rPr>
            <w:rStyle w:val="Hyperlink"/>
            <w:i/>
            <w:noProof/>
            <w:vertAlign w:val="subscript"/>
            <w:lang w:val="es-ES_tradnl"/>
          </w:rPr>
          <w:t>r</w:t>
        </w:r>
        <w:r w:rsidR="00FE41BB" w:rsidRPr="009A709D">
          <w:rPr>
            <w:rStyle w:val="Hyperlink"/>
            <w:noProof/>
            <w:lang w:val="es-ES_tradnl"/>
          </w:rPr>
          <w:t xml:space="preserve"> hacia el horizonte</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_Toc102986152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11</w:t>
        </w:r>
        <w:r w:rsidR="00FE41BB" w:rsidRPr="009A709D">
          <w:rPr>
            <w:noProof/>
            <w:webHidden/>
            <w:lang w:val="es-ES_tradnl"/>
          </w:rPr>
          <w:fldChar w:fldCharType="end"/>
        </w:r>
      </w:hyperlink>
    </w:p>
    <w:p w14:paraId="4CDBD8BA" w14:textId="7B3F424A"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53" w:history="1">
        <w:r w:rsidR="00FE41BB" w:rsidRPr="009A709D">
          <w:rPr>
            <w:rStyle w:val="Hyperlink"/>
            <w:noProof/>
            <w:lang w:val="es-ES_tradnl"/>
          </w:rPr>
          <w:t>6</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del umbral de protección del SIE y el ancho de banda de referencia</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_Toc102986153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13</w:t>
        </w:r>
        <w:r w:rsidR="00FE41BB" w:rsidRPr="009A709D">
          <w:rPr>
            <w:noProof/>
            <w:webHidden/>
            <w:lang w:val="es-ES_tradnl"/>
          </w:rPr>
          <w:fldChar w:fldCharType="end"/>
        </w:r>
      </w:hyperlink>
    </w:p>
    <w:p w14:paraId="29164006" w14:textId="393851DA"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54" w:history="1">
        <w:r w:rsidR="00FE41BB" w:rsidRPr="009A709D">
          <w:rPr>
            <w:rStyle w:val="Hyperlink"/>
            <w:noProof/>
            <w:lang w:val="es-ES_tradnl"/>
          </w:rPr>
          <w:t>7</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 la pérdida de propagación requerida y del porcentaje de tiempo conexo</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_Toc102986154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13</w:t>
        </w:r>
        <w:r w:rsidR="00FE41BB" w:rsidRPr="009A709D">
          <w:rPr>
            <w:noProof/>
            <w:webHidden/>
            <w:lang w:val="es-ES_tradnl"/>
          </w:rPr>
          <w:fldChar w:fldCharType="end"/>
        </w:r>
      </w:hyperlink>
    </w:p>
    <w:p w14:paraId="0291C953" w14:textId="77777777" w:rsidR="00441D18" w:rsidRPr="009A709D" w:rsidRDefault="00441D18" w:rsidP="00441D18">
      <w:pPr>
        <w:pStyle w:val="toc0"/>
        <w:jc w:val="right"/>
        <w:rPr>
          <w:lang w:val="es-ES_tradnl"/>
        </w:rPr>
      </w:pPr>
      <w:r w:rsidRPr="009A709D">
        <w:rPr>
          <w:lang w:val="es-ES_tradnl"/>
        </w:rPr>
        <w:lastRenderedPageBreak/>
        <w:t>Página</w:t>
      </w:r>
    </w:p>
    <w:p w14:paraId="55A2E199" w14:textId="29B0D398"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55" w:history="1">
        <w:r w:rsidR="00FE41BB" w:rsidRPr="009A709D">
          <w:rPr>
            <w:rStyle w:val="Hyperlink"/>
            <w:noProof/>
            <w:lang w:val="es-ES_tradnl"/>
          </w:rPr>
          <w:t>8</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del contorno de coordinación</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_Toc102986155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13</w:t>
        </w:r>
        <w:r w:rsidR="00FE41BB" w:rsidRPr="009A709D">
          <w:rPr>
            <w:noProof/>
            <w:webHidden/>
            <w:lang w:val="es-ES_tradnl"/>
          </w:rPr>
          <w:fldChar w:fldCharType="end"/>
        </w:r>
      </w:hyperlink>
    </w:p>
    <w:p w14:paraId="64B585FE" w14:textId="7255BDB8" w:rsidR="00FE41BB" w:rsidRPr="009A709D" w:rsidRDefault="00F33AB1" w:rsidP="006A2E06">
      <w:pPr>
        <w:pStyle w:val="TOC1"/>
        <w:tabs>
          <w:tab w:val="clear" w:pos="567"/>
        </w:tabs>
        <w:ind w:left="0" w:firstLine="0"/>
        <w:rPr>
          <w:rFonts w:asciiTheme="minorHAnsi" w:eastAsiaTheme="minorEastAsia" w:hAnsiTheme="minorHAnsi" w:cstheme="minorBidi"/>
          <w:noProof/>
          <w:sz w:val="22"/>
          <w:szCs w:val="22"/>
          <w:lang w:val="es-ES_tradnl" w:eastAsia="en-GB"/>
        </w:rPr>
      </w:pPr>
      <w:hyperlink w:anchor="_Toc102986156" w:history="1">
        <w:r w:rsidR="00FE41BB" w:rsidRPr="009A709D">
          <w:rPr>
            <w:rStyle w:val="Hyperlink"/>
            <w:noProof/>
            <w:lang w:val="es-ES_tradnl"/>
          </w:rPr>
          <w:t>Anexo 2</w:t>
        </w:r>
        <w:r w:rsidR="006A2E06" w:rsidRPr="009A709D">
          <w:rPr>
            <w:rStyle w:val="Hyperlink"/>
            <w:noProof/>
            <w:lang w:val="es-ES_tradnl"/>
          </w:rPr>
          <w:t xml:space="preserve"> – </w:t>
        </w:r>
        <w:r w:rsidR="00FE41BB" w:rsidRPr="009A709D">
          <w:rPr>
            <w:rStyle w:val="Hyperlink"/>
            <w:noProof/>
            <w:lang w:val="es-ES_tradnl"/>
          </w:rPr>
          <w:t>Metodología para el cálculo de la zona de coordinación en torno a las estaciones terrenas no OSG del SETS en la banda 25,5-27 GHz</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_Toc102986156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15</w:t>
        </w:r>
        <w:r w:rsidR="00FE41BB" w:rsidRPr="009A709D">
          <w:rPr>
            <w:noProof/>
            <w:webHidden/>
            <w:lang w:val="es-ES_tradnl"/>
          </w:rPr>
          <w:fldChar w:fldCharType="end"/>
        </w:r>
      </w:hyperlink>
    </w:p>
    <w:p w14:paraId="22E25231" w14:textId="0FF79276"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57" w:history="1">
        <w:r w:rsidR="00FE41BB" w:rsidRPr="009A709D">
          <w:rPr>
            <w:rStyle w:val="Hyperlink"/>
            <w:noProof/>
            <w:lang w:val="es-ES_tradnl"/>
          </w:rPr>
          <w:t>1</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Introducción</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_Toc102986157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15</w:t>
        </w:r>
        <w:r w:rsidR="00FE41BB" w:rsidRPr="009A709D">
          <w:rPr>
            <w:noProof/>
            <w:webHidden/>
            <w:lang w:val="es-ES_tradnl"/>
          </w:rPr>
          <w:fldChar w:fldCharType="end"/>
        </w:r>
      </w:hyperlink>
    </w:p>
    <w:p w14:paraId="5F77F15F" w14:textId="340C7277"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58" w:history="1">
        <w:r w:rsidR="00FE41BB" w:rsidRPr="009A709D">
          <w:rPr>
            <w:rStyle w:val="Hyperlink"/>
            <w:noProof/>
            <w:lang w:val="es-ES_tradnl"/>
          </w:rPr>
          <w:t>2</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Metodología TVG modificada</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_Toc102986158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15</w:t>
        </w:r>
        <w:r w:rsidR="00FE41BB" w:rsidRPr="009A709D">
          <w:rPr>
            <w:noProof/>
            <w:webHidden/>
            <w:lang w:val="es-ES_tradnl"/>
          </w:rPr>
          <w:fldChar w:fldCharType="end"/>
        </w:r>
      </w:hyperlink>
    </w:p>
    <w:p w14:paraId="1773C5F8" w14:textId="1AFFA8AD"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59" w:history="1">
        <w:r w:rsidR="00FE41BB" w:rsidRPr="009A709D">
          <w:rPr>
            <w:rStyle w:val="Hyperlink"/>
            <w:noProof/>
            <w:lang w:val="es-ES_tradnl"/>
          </w:rPr>
          <w:t>3</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 la potencia total de la estación base IMT-2020</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_Toc102986159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16</w:t>
        </w:r>
        <w:r w:rsidR="00FE41BB" w:rsidRPr="009A709D">
          <w:rPr>
            <w:noProof/>
            <w:webHidden/>
            <w:lang w:val="es-ES_tradnl"/>
          </w:rPr>
          <w:fldChar w:fldCharType="end"/>
        </w:r>
      </w:hyperlink>
    </w:p>
    <w:p w14:paraId="4F7E899E" w14:textId="0002CE8A"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60" w:history="1">
        <w:r w:rsidR="00FE41BB" w:rsidRPr="009A709D">
          <w:rPr>
            <w:rStyle w:val="Hyperlink"/>
            <w:noProof/>
            <w:lang w:val="es-ES_tradnl"/>
          </w:rPr>
          <w:t>4</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 la distribución de la ganancia de la antena de la EB IMT-2020 hacia el horizonte</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_Toc102986160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16</w:t>
        </w:r>
        <w:r w:rsidR="00FE41BB" w:rsidRPr="009A709D">
          <w:rPr>
            <w:noProof/>
            <w:webHidden/>
            <w:lang w:val="es-ES_tradnl"/>
          </w:rPr>
          <w:fldChar w:fldCharType="end"/>
        </w:r>
      </w:hyperlink>
    </w:p>
    <w:p w14:paraId="44725A06" w14:textId="32CE7802"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61" w:history="1">
        <w:r w:rsidR="00FE41BB" w:rsidRPr="009A709D">
          <w:rPr>
            <w:rStyle w:val="Hyperlink"/>
            <w:noProof/>
            <w:lang w:val="es-ES_tradnl"/>
          </w:rPr>
          <w:t>5</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 la ganancia de la antena del SETS Gr hacia el horizonte</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_Toc102986161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16</w:t>
        </w:r>
        <w:r w:rsidR="00FE41BB" w:rsidRPr="009A709D">
          <w:rPr>
            <w:noProof/>
            <w:webHidden/>
            <w:lang w:val="es-ES_tradnl"/>
          </w:rPr>
          <w:fldChar w:fldCharType="end"/>
        </w:r>
      </w:hyperlink>
    </w:p>
    <w:p w14:paraId="71F47A09" w14:textId="3B189738"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62" w:history="1">
        <w:r w:rsidR="00FE41BB" w:rsidRPr="009A709D">
          <w:rPr>
            <w:rStyle w:val="Hyperlink"/>
            <w:noProof/>
            <w:lang w:val="es-ES_tradnl"/>
          </w:rPr>
          <w:t>6</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 la convolución Gtot para las ganancias hacia el horizonte de las dos antenas</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_Toc102986162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19</w:t>
        </w:r>
        <w:r w:rsidR="00FE41BB" w:rsidRPr="009A709D">
          <w:rPr>
            <w:noProof/>
            <w:webHidden/>
            <w:lang w:val="es-ES_tradnl"/>
          </w:rPr>
          <w:fldChar w:fldCharType="end"/>
        </w:r>
      </w:hyperlink>
    </w:p>
    <w:p w14:paraId="4AFA8DA6" w14:textId="4DA9AA30"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63" w:history="1">
        <w:r w:rsidR="00FE41BB" w:rsidRPr="009A709D">
          <w:rPr>
            <w:rStyle w:val="Hyperlink"/>
            <w:noProof/>
            <w:lang w:val="es-ES_tradnl"/>
          </w:rPr>
          <w:t>7</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del umbral de protección del SETS y el ancho de banda de referencia</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_Toc102986163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19</w:t>
        </w:r>
        <w:r w:rsidR="00FE41BB" w:rsidRPr="009A709D">
          <w:rPr>
            <w:noProof/>
            <w:webHidden/>
            <w:lang w:val="es-ES_tradnl"/>
          </w:rPr>
          <w:fldChar w:fldCharType="end"/>
        </w:r>
      </w:hyperlink>
    </w:p>
    <w:p w14:paraId="0919062E" w14:textId="7F663B31"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64" w:history="1">
        <w:r w:rsidR="00FE41BB" w:rsidRPr="009A709D">
          <w:rPr>
            <w:rStyle w:val="Hyperlink"/>
            <w:noProof/>
            <w:lang w:val="es-ES_tradnl"/>
          </w:rPr>
          <w:t>8</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 la pérdida de propagación requerida y el porcentaje de tiempo conexo</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_Toc102986164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20</w:t>
        </w:r>
        <w:r w:rsidR="00FE41BB" w:rsidRPr="009A709D">
          <w:rPr>
            <w:noProof/>
            <w:webHidden/>
            <w:lang w:val="es-ES_tradnl"/>
          </w:rPr>
          <w:fldChar w:fldCharType="end"/>
        </w:r>
      </w:hyperlink>
    </w:p>
    <w:p w14:paraId="200EC344" w14:textId="7C3A6FBC"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65" w:history="1">
        <w:r w:rsidR="00FE41BB" w:rsidRPr="009A709D">
          <w:rPr>
            <w:rStyle w:val="Hyperlink"/>
            <w:noProof/>
            <w:lang w:val="es-ES_tradnl"/>
          </w:rPr>
          <w:t>9</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del contorno de la zona de coordinación</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_Toc102986165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20</w:t>
        </w:r>
        <w:r w:rsidR="00FE41BB" w:rsidRPr="009A709D">
          <w:rPr>
            <w:noProof/>
            <w:webHidden/>
            <w:lang w:val="es-ES_tradnl"/>
          </w:rPr>
          <w:fldChar w:fldCharType="end"/>
        </w:r>
      </w:hyperlink>
    </w:p>
    <w:p w14:paraId="7165D626" w14:textId="1406C81C" w:rsidR="00FE41BB" w:rsidRPr="009A709D" w:rsidRDefault="00F33AB1" w:rsidP="006A2E06">
      <w:pPr>
        <w:pStyle w:val="TOC1"/>
        <w:tabs>
          <w:tab w:val="clear" w:pos="567"/>
        </w:tabs>
        <w:ind w:left="0" w:firstLine="0"/>
        <w:rPr>
          <w:rFonts w:asciiTheme="minorHAnsi" w:eastAsiaTheme="minorEastAsia" w:hAnsiTheme="minorHAnsi" w:cstheme="minorBidi"/>
          <w:noProof/>
          <w:sz w:val="22"/>
          <w:szCs w:val="22"/>
          <w:lang w:val="es-ES_tradnl" w:eastAsia="en-GB"/>
        </w:rPr>
      </w:pPr>
      <w:hyperlink w:anchor="_Toc102986166" w:history="1">
        <w:r w:rsidR="00FE41BB" w:rsidRPr="009A709D">
          <w:rPr>
            <w:rStyle w:val="Hyperlink"/>
            <w:noProof/>
            <w:lang w:val="es-ES_tradnl"/>
          </w:rPr>
          <w:t>Anexo 3</w:t>
        </w:r>
        <w:r w:rsidR="006A2E06" w:rsidRPr="009A709D">
          <w:rPr>
            <w:rStyle w:val="Hyperlink"/>
            <w:noProof/>
            <w:lang w:val="es-ES_tradnl"/>
          </w:rPr>
          <w:t xml:space="preserve"> – </w:t>
        </w:r>
        <w:r w:rsidR="00FE41BB" w:rsidRPr="009A709D">
          <w:rPr>
            <w:rStyle w:val="Hyperlink"/>
            <w:noProof/>
            <w:lang w:val="es-ES_tradnl"/>
          </w:rPr>
          <w:t>Metodología para el cálculo de la zona de coordinación en torno a las estaciones terrenas del SETS OSG en la banda 25,25-27,5 GHz</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_Toc102986166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21</w:t>
        </w:r>
        <w:r w:rsidR="00FE41BB" w:rsidRPr="009A709D">
          <w:rPr>
            <w:noProof/>
            <w:webHidden/>
            <w:lang w:val="es-ES_tradnl"/>
          </w:rPr>
          <w:fldChar w:fldCharType="end"/>
        </w:r>
      </w:hyperlink>
    </w:p>
    <w:p w14:paraId="6AD576D3" w14:textId="6721F561"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67" w:history="1">
        <w:r w:rsidR="00FE41BB" w:rsidRPr="009A709D">
          <w:rPr>
            <w:rStyle w:val="Hyperlink"/>
            <w:noProof/>
            <w:lang w:val="es-ES_tradnl"/>
          </w:rPr>
          <w:t>1</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Introducción</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_Toc102986167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21</w:t>
        </w:r>
        <w:r w:rsidR="00FE41BB" w:rsidRPr="009A709D">
          <w:rPr>
            <w:noProof/>
            <w:webHidden/>
            <w:lang w:val="es-ES_tradnl"/>
          </w:rPr>
          <w:fldChar w:fldCharType="end"/>
        </w:r>
      </w:hyperlink>
    </w:p>
    <w:p w14:paraId="1A3C62C8" w14:textId="5B8701B4"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68" w:history="1">
        <w:r w:rsidR="00FE41BB" w:rsidRPr="009A709D">
          <w:rPr>
            <w:rStyle w:val="Hyperlink"/>
            <w:noProof/>
            <w:lang w:val="es-ES_tradnl"/>
          </w:rPr>
          <w:t>2</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Metodología TVG estándar</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_Toc102986168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21</w:t>
        </w:r>
        <w:r w:rsidR="00FE41BB" w:rsidRPr="009A709D">
          <w:rPr>
            <w:noProof/>
            <w:webHidden/>
            <w:lang w:val="es-ES_tradnl"/>
          </w:rPr>
          <w:fldChar w:fldCharType="end"/>
        </w:r>
      </w:hyperlink>
    </w:p>
    <w:p w14:paraId="19A65C50" w14:textId="2B59A510"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69" w:history="1">
        <w:r w:rsidR="00FE41BB" w:rsidRPr="009A709D">
          <w:rPr>
            <w:rStyle w:val="Hyperlink"/>
            <w:noProof/>
            <w:lang w:val="es-ES_tradnl"/>
          </w:rPr>
          <w:t>3</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 la potencia total de la estación base IMT-2020</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_Toc102986169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21</w:t>
        </w:r>
        <w:r w:rsidR="00FE41BB" w:rsidRPr="009A709D">
          <w:rPr>
            <w:noProof/>
            <w:webHidden/>
            <w:lang w:val="es-ES_tradnl"/>
          </w:rPr>
          <w:fldChar w:fldCharType="end"/>
        </w:r>
      </w:hyperlink>
    </w:p>
    <w:p w14:paraId="1E3031BF" w14:textId="026ED42F"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70" w:history="1">
        <w:r w:rsidR="00FE41BB" w:rsidRPr="009A709D">
          <w:rPr>
            <w:rStyle w:val="Hyperlink"/>
            <w:noProof/>
            <w:lang w:val="es-ES_tradnl"/>
          </w:rPr>
          <w:t>4</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 la distribución de la ganancia hacia el horizonte de la antena de la EB IMT-2020</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_Toc102986170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21</w:t>
        </w:r>
        <w:r w:rsidR="00FE41BB" w:rsidRPr="009A709D">
          <w:rPr>
            <w:noProof/>
            <w:webHidden/>
            <w:lang w:val="es-ES_tradnl"/>
          </w:rPr>
          <w:fldChar w:fldCharType="end"/>
        </w:r>
      </w:hyperlink>
    </w:p>
    <w:p w14:paraId="39F12735" w14:textId="495D7220"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71" w:history="1">
        <w:r w:rsidR="00FE41BB" w:rsidRPr="009A709D">
          <w:rPr>
            <w:rStyle w:val="Hyperlink"/>
            <w:noProof/>
            <w:lang w:val="es-ES_tradnl"/>
          </w:rPr>
          <w:t>5</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 la ganancia Gr hacia el horizonte de la antena del SETS</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_Toc102986171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21</w:t>
        </w:r>
        <w:r w:rsidR="00FE41BB" w:rsidRPr="009A709D">
          <w:rPr>
            <w:noProof/>
            <w:webHidden/>
            <w:lang w:val="es-ES_tradnl"/>
          </w:rPr>
          <w:fldChar w:fldCharType="end"/>
        </w:r>
      </w:hyperlink>
    </w:p>
    <w:p w14:paraId="7379E648" w14:textId="369382A0"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72" w:history="1">
        <w:r w:rsidR="00FE41BB" w:rsidRPr="009A709D">
          <w:rPr>
            <w:rStyle w:val="Hyperlink"/>
            <w:noProof/>
            <w:lang w:val="es-ES_tradnl"/>
          </w:rPr>
          <w:t>6</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del umbral de protección del SETS y el ancho de banda de referencia</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_Toc102986172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22</w:t>
        </w:r>
        <w:r w:rsidR="00FE41BB" w:rsidRPr="009A709D">
          <w:rPr>
            <w:noProof/>
            <w:webHidden/>
            <w:lang w:val="es-ES_tradnl"/>
          </w:rPr>
          <w:fldChar w:fldCharType="end"/>
        </w:r>
      </w:hyperlink>
    </w:p>
    <w:p w14:paraId="268443AE" w14:textId="2BAFE56D"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73" w:history="1">
        <w:r w:rsidR="00FE41BB" w:rsidRPr="009A709D">
          <w:rPr>
            <w:rStyle w:val="Hyperlink"/>
            <w:noProof/>
            <w:lang w:val="es-ES_tradnl"/>
          </w:rPr>
          <w:t>7</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 la pérdida de propagación requerida y el porcentaje de tiempo conexo</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_Toc102986173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22</w:t>
        </w:r>
        <w:r w:rsidR="00FE41BB" w:rsidRPr="009A709D">
          <w:rPr>
            <w:noProof/>
            <w:webHidden/>
            <w:lang w:val="es-ES_tradnl"/>
          </w:rPr>
          <w:fldChar w:fldCharType="end"/>
        </w:r>
      </w:hyperlink>
    </w:p>
    <w:p w14:paraId="3B2536DD" w14:textId="48BEB555"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74" w:history="1">
        <w:r w:rsidR="00FE41BB" w:rsidRPr="009A709D">
          <w:rPr>
            <w:rStyle w:val="Hyperlink"/>
            <w:noProof/>
            <w:lang w:val="es-ES_tradnl"/>
          </w:rPr>
          <w:t>8</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Determinación del contorno de la zona de coordinación</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_Toc102986174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22</w:t>
        </w:r>
        <w:r w:rsidR="00FE41BB" w:rsidRPr="009A709D">
          <w:rPr>
            <w:noProof/>
            <w:webHidden/>
            <w:lang w:val="es-ES_tradnl"/>
          </w:rPr>
          <w:fldChar w:fldCharType="end"/>
        </w:r>
      </w:hyperlink>
    </w:p>
    <w:p w14:paraId="1DB68F29" w14:textId="33ECC154" w:rsidR="00FE41BB" w:rsidRPr="009A709D" w:rsidRDefault="00F33AB1" w:rsidP="006A2E06">
      <w:pPr>
        <w:pStyle w:val="TOC1"/>
        <w:tabs>
          <w:tab w:val="clear" w:pos="567"/>
        </w:tabs>
        <w:ind w:left="0" w:firstLine="0"/>
        <w:rPr>
          <w:rFonts w:asciiTheme="minorHAnsi" w:eastAsiaTheme="minorEastAsia" w:hAnsiTheme="minorHAnsi" w:cstheme="minorBidi"/>
          <w:noProof/>
          <w:sz w:val="22"/>
          <w:szCs w:val="22"/>
          <w:lang w:val="es-ES_tradnl" w:eastAsia="en-GB"/>
        </w:rPr>
      </w:pPr>
      <w:hyperlink w:anchor="_Toc102986175" w:history="1">
        <w:r w:rsidR="00FE41BB" w:rsidRPr="009A709D">
          <w:rPr>
            <w:rStyle w:val="Hyperlink"/>
            <w:noProof/>
            <w:lang w:val="es-ES_tradnl"/>
          </w:rPr>
          <w:t>Anexo 4</w:t>
        </w:r>
        <w:r w:rsidR="006A2E06" w:rsidRPr="009A709D">
          <w:rPr>
            <w:rStyle w:val="Hyperlink"/>
            <w:noProof/>
            <w:lang w:val="es-ES_tradnl"/>
          </w:rPr>
          <w:t xml:space="preserve"> – </w:t>
        </w:r>
        <w:r w:rsidR="00FE41BB" w:rsidRPr="009A709D">
          <w:rPr>
            <w:rStyle w:val="Hyperlink"/>
            <w:noProof/>
            <w:lang w:val="es-ES_tradnl"/>
          </w:rPr>
          <w:t>Metodología para garantizar la protección de las estaciones terrenas del SETS frente a las estaciones IMT instaladas dentro de la zona de coordinación</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_Toc102986175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23</w:t>
        </w:r>
        <w:r w:rsidR="00FE41BB" w:rsidRPr="009A709D">
          <w:rPr>
            <w:noProof/>
            <w:webHidden/>
            <w:lang w:val="es-ES_tradnl"/>
          </w:rPr>
          <w:fldChar w:fldCharType="end"/>
        </w:r>
      </w:hyperlink>
    </w:p>
    <w:p w14:paraId="7F9EC752" w14:textId="456D4F5B"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76" w:history="1">
        <w:r w:rsidR="00FE41BB" w:rsidRPr="009A709D">
          <w:rPr>
            <w:rStyle w:val="Hyperlink"/>
            <w:noProof/>
            <w:lang w:val="es-ES_tradnl"/>
          </w:rPr>
          <w:t>1</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Introducción</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_Toc102986176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23</w:t>
        </w:r>
        <w:r w:rsidR="00FE41BB" w:rsidRPr="009A709D">
          <w:rPr>
            <w:noProof/>
            <w:webHidden/>
            <w:lang w:val="es-ES_tradnl"/>
          </w:rPr>
          <w:fldChar w:fldCharType="end"/>
        </w:r>
      </w:hyperlink>
    </w:p>
    <w:p w14:paraId="57429E10" w14:textId="77777777" w:rsidR="00441D18" w:rsidRPr="009A709D" w:rsidRDefault="00441D18" w:rsidP="00441D18">
      <w:pPr>
        <w:pStyle w:val="toc0"/>
        <w:keepNext/>
        <w:keepLines/>
        <w:jc w:val="right"/>
        <w:rPr>
          <w:lang w:val="es-ES_tradnl"/>
        </w:rPr>
      </w:pPr>
      <w:r w:rsidRPr="009A709D">
        <w:rPr>
          <w:lang w:val="es-ES_tradnl"/>
        </w:rPr>
        <w:lastRenderedPageBreak/>
        <w:t>Página</w:t>
      </w:r>
    </w:p>
    <w:p w14:paraId="0951942C" w14:textId="08E3A1A9" w:rsidR="00FE41BB" w:rsidRPr="009A709D" w:rsidRDefault="00F33AB1" w:rsidP="00441D18">
      <w:pPr>
        <w:pStyle w:val="TOC1"/>
        <w:keepNext/>
        <w:rPr>
          <w:rFonts w:asciiTheme="minorHAnsi" w:eastAsiaTheme="minorEastAsia" w:hAnsiTheme="minorHAnsi" w:cstheme="minorBidi"/>
          <w:noProof/>
          <w:sz w:val="22"/>
          <w:szCs w:val="22"/>
          <w:lang w:val="es-ES_tradnl" w:eastAsia="en-GB"/>
        </w:rPr>
      </w:pPr>
      <w:hyperlink w:anchor="_Toc102986177" w:history="1">
        <w:r w:rsidR="00FE41BB" w:rsidRPr="009A709D">
          <w:rPr>
            <w:rStyle w:val="Hyperlink"/>
            <w:noProof/>
            <w:lang w:val="es-ES_tradnl"/>
          </w:rPr>
          <w:t>2</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Pérdidas de propagación</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_Toc102986177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24</w:t>
        </w:r>
        <w:r w:rsidR="00FE41BB" w:rsidRPr="009A709D">
          <w:rPr>
            <w:noProof/>
            <w:webHidden/>
            <w:lang w:val="es-ES_tradnl"/>
          </w:rPr>
          <w:fldChar w:fldCharType="end"/>
        </w:r>
      </w:hyperlink>
    </w:p>
    <w:p w14:paraId="19AE075F" w14:textId="4758B293"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78" w:history="1">
        <w:r w:rsidR="00FE41BB" w:rsidRPr="009A709D">
          <w:rPr>
            <w:rStyle w:val="Hyperlink"/>
            <w:noProof/>
            <w:lang w:val="es-ES_tradnl"/>
          </w:rPr>
          <w:t>3</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Efecto combinado de varias estaciones base IMT-2020 en una estación terrena del SETS</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_Toc102986178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25</w:t>
        </w:r>
        <w:r w:rsidR="00FE41BB" w:rsidRPr="009A709D">
          <w:rPr>
            <w:noProof/>
            <w:webHidden/>
            <w:lang w:val="es-ES_tradnl"/>
          </w:rPr>
          <w:fldChar w:fldCharType="end"/>
        </w:r>
      </w:hyperlink>
    </w:p>
    <w:p w14:paraId="445D8182" w14:textId="75043ADC"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79" w:history="1">
        <w:r w:rsidR="00FE41BB" w:rsidRPr="009A709D">
          <w:rPr>
            <w:rStyle w:val="Hyperlink"/>
            <w:noProof/>
            <w:lang w:val="es-ES_tradnl"/>
          </w:rPr>
          <w:t>4</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Estación terrena que sigue a un satélite OSG</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_Toc102986179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25</w:t>
        </w:r>
        <w:r w:rsidR="00FE41BB" w:rsidRPr="009A709D">
          <w:rPr>
            <w:noProof/>
            <w:webHidden/>
            <w:lang w:val="es-ES_tradnl"/>
          </w:rPr>
          <w:fldChar w:fldCharType="end"/>
        </w:r>
      </w:hyperlink>
    </w:p>
    <w:p w14:paraId="523E2254" w14:textId="137BB695" w:rsidR="00FE41BB" w:rsidRPr="009A709D" w:rsidRDefault="00F33AB1">
      <w:pPr>
        <w:pStyle w:val="TOC2"/>
        <w:rPr>
          <w:rFonts w:asciiTheme="minorHAnsi" w:eastAsiaTheme="minorEastAsia" w:hAnsiTheme="minorHAnsi" w:cstheme="minorBidi"/>
          <w:noProof/>
          <w:sz w:val="22"/>
          <w:szCs w:val="22"/>
          <w:lang w:val="es-ES_tradnl" w:eastAsia="en-GB"/>
        </w:rPr>
      </w:pPr>
      <w:hyperlink w:anchor="_Toc102986180" w:history="1">
        <w:r w:rsidR="00FE41BB" w:rsidRPr="009A709D">
          <w:rPr>
            <w:rStyle w:val="Hyperlink"/>
            <w:noProof/>
            <w:lang w:val="es-ES_tradnl"/>
          </w:rPr>
          <w:t>4.1</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Normas generales</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_Toc102986180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25</w:t>
        </w:r>
        <w:r w:rsidR="00FE41BB" w:rsidRPr="009A709D">
          <w:rPr>
            <w:noProof/>
            <w:webHidden/>
            <w:lang w:val="es-ES_tradnl"/>
          </w:rPr>
          <w:fldChar w:fldCharType="end"/>
        </w:r>
      </w:hyperlink>
    </w:p>
    <w:p w14:paraId="34B7E302" w14:textId="14A125E8" w:rsidR="00FE41BB" w:rsidRPr="009A709D" w:rsidRDefault="00F33AB1">
      <w:pPr>
        <w:pStyle w:val="TOC2"/>
        <w:rPr>
          <w:rFonts w:asciiTheme="minorHAnsi" w:eastAsiaTheme="minorEastAsia" w:hAnsiTheme="minorHAnsi" w:cstheme="minorBidi"/>
          <w:noProof/>
          <w:sz w:val="22"/>
          <w:szCs w:val="22"/>
          <w:lang w:val="es-ES_tradnl" w:eastAsia="en-GB"/>
        </w:rPr>
      </w:pPr>
      <w:hyperlink w:anchor="_Toc102986181" w:history="1">
        <w:r w:rsidR="00FE41BB" w:rsidRPr="009A709D">
          <w:rPr>
            <w:rStyle w:val="Hyperlink"/>
            <w:noProof/>
            <w:lang w:val="es-ES_tradnl"/>
          </w:rPr>
          <w:t>4.2</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Atenuación mínima hacia la estación terrena del SETS</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_Toc102986181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26</w:t>
        </w:r>
        <w:r w:rsidR="00FE41BB" w:rsidRPr="009A709D">
          <w:rPr>
            <w:noProof/>
            <w:webHidden/>
            <w:lang w:val="es-ES_tradnl"/>
          </w:rPr>
          <w:fldChar w:fldCharType="end"/>
        </w:r>
      </w:hyperlink>
    </w:p>
    <w:p w14:paraId="0D8C8C30" w14:textId="4F3671A3" w:rsidR="00FE41BB" w:rsidRPr="009A709D" w:rsidRDefault="00F33AB1">
      <w:pPr>
        <w:pStyle w:val="TOC1"/>
        <w:rPr>
          <w:rFonts w:asciiTheme="minorHAnsi" w:eastAsiaTheme="minorEastAsia" w:hAnsiTheme="minorHAnsi" w:cstheme="minorBidi"/>
          <w:noProof/>
          <w:sz w:val="22"/>
          <w:szCs w:val="22"/>
          <w:lang w:val="es-ES_tradnl" w:eastAsia="en-GB"/>
        </w:rPr>
      </w:pPr>
      <w:hyperlink w:anchor="_Toc102986182" w:history="1">
        <w:r w:rsidR="00FE41BB" w:rsidRPr="009A709D">
          <w:rPr>
            <w:rStyle w:val="Hyperlink"/>
            <w:noProof/>
            <w:lang w:val="es-ES_tradnl"/>
          </w:rPr>
          <w:t>5</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Estación terrena que sigue a un satélite no OSG</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_Toc102986182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28</w:t>
        </w:r>
        <w:r w:rsidR="00FE41BB" w:rsidRPr="009A709D">
          <w:rPr>
            <w:noProof/>
            <w:webHidden/>
            <w:lang w:val="es-ES_tradnl"/>
          </w:rPr>
          <w:fldChar w:fldCharType="end"/>
        </w:r>
      </w:hyperlink>
    </w:p>
    <w:p w14:paraId="63EAB359" w14:textId="321E90F5" w:rsidR="00FE41BB" w:rsidRPr="009A709D" w:rsidRDefault="00F33AB1">
      <w:pPr>
        <w:pStyle w:val="TOC2"/>
        <w:rPr>
          <w:rFonts w:asciiTheme="minorHAnsi" w:eastAsiaTheme="minorEastAsia" w:hAnsiTheme="minorHAnsi" w:cstheme="minorBidi"/>
          <w:noProof/>
          <w:sz w:val="22"/>
          <w:szCs w:val="22"/>
          <w:lang w:val="es-ES_tradnl" w:eastAsia="en-GB"/>
        </w:rPr>
      </w:pPr>
      <w:hyperlink w:anchor="_Toc102986183" w:history="1">
        <w:r w:rsidR="00FE41BB" w:rsidRPr="009A709D">
          <w:rPr>
            <w:rStyle w:val="Hyperlink"/>
            <w:noProof/>
            <w:lang w:val="es-ES_tradnl"/>
          </w:rPr>
          <w:t>5.1</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Normas generales</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_Toc102986183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28</w:t>
        </w:r>
        <w:r w:rsidR="00FE41BB" w:rsidRPr="009A709D">
          <w:rPr>
            <w:noProof/>
            <w:webHidden/>
            <w:lang w:val="es-ES_tradnl"/>
          </w:rPr>
          <w:fldChar w:fldCharType="end"/>
        </w:r>
      </w:hyperlink>
    </w:p>
    <w:p w14:paraId="3DEF5A17" w14:textId="30CF5C4C" w:rsidR="00FE41BB" w:rsidRPr="009A709D" w:rsidRDefault="00F33AB1">
      <w:pPr>
        <w:pStyle w:val="TOC2"/>
        <w:rPr>
          <w:rFonts w:asciiTheme="minorHAnsi" w:eastAsiaTheme="minorEastAsia" w:hAnsiTheme="minorHAnsi" w:cstheme="minorBidi"/>
          <w:noProof/>
          <w:sz w:val="22"/>
          <w:szCs w:val="22"/>
          <w:lang w:val="es-ES_tradnl" w:eastAsia="en-GB"/>
        </w:rPr>
      </w:pPr>
      <w:hyperlink w:anchor="_Toc102986184" w:history="1">
        <w:r w:rsidR="00FE41BB" w:rsidRPr="009A709D">
          <w:rPr>
            <w:rStyle w:val="Hyperlink"/>
            <w:noProof/>
            <w:lang w:val="es-ES_tradnl"/>
          </w:rPr>
          <w:t>5.2</w:t>
        </w:r>
        <w:r w:rsidR="00FE41BB" w:rsidRPr="009A709D">
          <w:rPr>
            <w:rFonts w:asciiTheme="minorHAnsi" w:eastAsiaTheme="minorEastAsia" w:hAnsiTheme="minorHAnsi" w:cstheme="minorBidi"/>
            <w:noProof/>
            <w:sz w:val="22"/>
            <w:szCs w:val="22"/>
            <w:lang w:val="es-ES_tradnl" w:eastAsia="en-GB"/>
          </w:rPr>
          <w:tab/>
        </w:r>
        <w:r w:rsidR="00FE41BB" w:rsidRPr="009A709D">
          <w:rPr>
            <w:rStyle w:val="Hyperlink"/>
            <w:noProof/>
            <w:lang w:val="es-ES_tradnl"/>
          </w:rPr>
          <w:t>Caso práctico</w:t>
        </w:r>
        <w:r w:rsidR="00FE41BB" w:rsidRPr="009A709D">
          <w:rPr>
            <w:noProof/>
            <w:webHidden/>
            <w:lang w:val="es-ES_tradnl"/>
          </w:rPr>
          <w:tab/>
        </w:r>
        <w:r w:rsidR="006A2E06" w:rsidRPr="009A709D">
          <w:rPr>
            <w:noProof/>
            <w:webHidden/>
            <w:lang w:val="es-ES_tradnl"/>
          </w:rPr>
          <w:tab/>
        </w:r>
        <w:r w:rsidR="00FE41BB" w:rsidRPr="009A709D">
          <w:rPr>
            <w:noProof/>
            <w:webHidden/>
            <w:lang w:val="es-ES_tradnl"/>
          </w:rPr>
          <w:fldChar w:fldCharType="begin"/>
        </w:r>
        <w:r w:rsidR="00FE41BB" w:rsidRPr="009A709D">
          <w:rPr>
            <w:noProof/>
            <w:webHidden/>
            <w:lang w:val="es-ES_tradnl"/>
          </w:rPr>
          <w:instrText xml:space="preserve"> PAGEREF _Toc102986184 \h </w:instrText>
        </w:r>
        <w:r w:rsidR="00FE41BB" w:rsidRPr="009A709D">
          <w:rPr>
            <w:noProof/>
            <w:webHidden/>
            <w:lang w:val="es-ES_tradnl"/>
          </w:rPr>
        </w:r>
        <w:r w:rsidR="00FE41BB" w:rsidRPr="009A709D">
          <w:rPr>
            <w:noProof/>
            <w:webHidden/>
            <w:lang w:val="es-ES_tradnl"/>
          </w:rPr>
          <w:fldChar w:fldCharType="separate"/>
        </w:r>
        <w:r w:rsidR="00AA64D7">
          <w:rPr>
            <w:noProof/>
            <w:webHidden/>
            <w:lang w:val="es-ES_tradnl"/>
          </w:rPr>
          <w:t>28</w:t>
        </w:r>
        <w:r w:rsidR="00FE41BB" w:rsidRPr="009A709D">
          <w:rPr>
            <w:noProof/>
            <w:webHidden/>
            <w:lang w:val="es-ES_tradnl"/>
          </w:rPr>
          <w:fldChar w:fldCharType="end"/>
        </w:r>
      </w:hyperlink>
    </w:p>
    <w:p w14:paraId="3BC90ACC" w14:textId="100678BB" w:rsidR="006140A2" w:rsidRDefault="00FE41BB" w:rsidP="00441D18">
      <w:pPr>
        <w:pStyle w:val="TOC1"/>
        <w:rPr>
          <w:lang w:val="es-ES_tradnl"/>
        </w:rPr>
      </w:pPr>
      <w:r w:rsidRPr="009A709D">
        <w:rPr>
          <w:lang w:val="es-ES_tradnl"/>
        </w:rPr>
        <w:fldChar w:fldCharType="end"/>
      </w:r>
    </w:p>
    <w:p w14:paraId="4C727806" w14:textId="77777777" w:rsidR="006140A2" w:rsidRDefault="006140A2" w:rsidP="006140A2">
      <w:pPr>
        <w:rPr>
          <w:lang w:val="es-ES_tradnl"/>
        </w:rPr>
      </w:pPr>
    </w:p>
    <w:p w14:paraId="1B2D82BF" w14:textId="2BA4D19A" w:rsidR="002A03FC" w:rsidRPr="009A709D" w:rsidRDefault="002A03FC" w:rsidP="00AB187A">
      <w:pPr>
        <w:pStyle w:val="AnnexNoTitle"/>
        <w:rPr>
          <w:lang w:val="es-ES_tradnl"/>
        </w:rPr>
      </w:pPr>
      <w:bookmarkStart w:id="9" w:name="_Toc86738363"/>
      <w:bookmarkStart w:id="10" w:name="_Toc102570754"/>
      <w:bookmarkStart w:id="11" w:name="_Toc102986147"/>
      <w:r w:rsidRPr="009A709D">
        <w:rPr>
          <w:lang w:val="es-ES_tradnl"/>
        </w:rPr>
        <w:t>Anexo 1</w:t>
      </w:r>
      <w:bookmarkEnd w:id="8"/>
      <w:r w:rsidRPr="009A709D">
        <w:rPr>
          <w:lang w:val="es-ES_tradnl"/>
        </w:rPr>
        <w:br/>
      </w:r>
      <w:r w:rsidRPr="009A709D">
        <w:rPr>
          <w:lang w:val="es-ES_tradnl"/>
        </w:rPr>
        <w:br/>
      </w:r>
      <w:bookmarkStart w:id="12" w:name="_Toc83389051"/>
      <w:bookmarkStart w:id="13" w:name="_Toc83389337"/>
      <w:r w:rsidRPr="009A709D">
        <w:rPr>
          <w:lang w:val="es-ES_tradnl"/>
        </w:rPr>
        <w:t>Metodología para el cálculo de zona</w:t>
      </w:r>
      <w:r w:rsidR="00314A1C" w:rsidRPr="009A709D">
        <w:rPr>
          <w:lang w:val="es-ES_tradnl"/>
        </w:rPr>
        <w:t>s</w:t>
      </w:r>
      <w:r w:rsidRPr="009A709D">
        <w:rPr>
          <w:lang w:val="es-ES_tradnl"/>
        </w:rPr>
        <w:t xml:space="preserve"> de coordinación </w:t>
      </w:r>
      <w:r w:rsidR="006140A2">
        <w:rPr>
          <w:lang w:val="es-ES_tradnl"/>
        </w:rPr>
        <w:br/>
      </w:r>
      <w:r w:rsidRPr="009A709D">
        <w:rPr>
          <w:lang w:val="es-ES_tradnl"/>
        </w:rPr>
        <w:t>en torno a estaciones terrenas del SIE</w:t>
      </w:r>
      <w:bookmarkEnd w:id="9"/>
      <w:bookmarkEnd w:id="12"/>
      <w:bookmarkEnd w:id="13"/>
      <w:bookmarkEnd w:id="10"/>
      <w:bookmarkEnd w:id="11"/>
    </w:p>
    <w:p w14:paraId="054B024E" w14:textId="77777777" w:rsidR="00123C74" w:rsidRPr="009A709D" w:rsidRDefault="00123C74" w:rsidP="00AB187A">
      <w:pPr>
        <w:pStyle w:val="Heading1"/>
        <w:rPr>
          <w:lang w:val="es-ES_tradnl"/>
        </w:rPr>
      </w:pPr>
      <w:bookmarkStart w:id="14" w:name="_Toc83389338"/>
      <w:bookmarkStart w:id="15" w:name="_Toc83712962"/>
      <w:bookmarkStart w:id="16" w:name="_Toc83713035"/>
      <w:bookmarkStart w:id="17" w:name="_Toc83713148"/>
      <w:bookmarkStart w:id="18" w:name="_Toc83723551"/>
      <w:bookmarkStart w:id="19" w:name="_Toc86738364"/>
      <w:bookmarkStart w:id="20" w:name="_Toc102570755"/>
      <w:bookmarkStart w:id="21" w:name="_Toc102986148"/>
      <w:r w:rsidRPr="009A709D">
        <w:rPr>
          <w:lang w:val="es-ES_tradnl"/>
        </w:rPr>
        <w:t>1</w:t>
      </w:r>
      <w:r w:rsidRPr="009A709D">
        <w:rPr>
          <w:lang w:val="es-ES_tradnl"/>
        </w:rPr>
        <w:tab/>
        <w:t>Introducción</w:t>
      </w:r>
      <w:bookmarkEnd w:id="14"/>
      <w:bookmarkEnd w:id="15"/>
      <w:bookmarkEnd w:id="16"/>
      <w:bookmarkEnd w:id="17"/>
      <w:bookmarkEnd w:id="18"/>
      <w:bookmarkEnd w:id="19"/>
      <w:bookmarkEnd w:id="20"/>
      <w:bookmarkEnd w:id="21"/>
    </w:p>
    <w:p w14:paraId="29A413B3" w14:textId="3542AEA9" w:rsidR="00123C74" w:rsidRPr="009A709D" w:rsidRDefault="00123C74" w:rsidP="00AB187A">
      <w:pPr>
        <w:rPr>
          <w:lang w:val="es-ES_tradnl"/>
        </w:rPr>
      </w:pPr>
      <w:r w:rsidRPr="009A709D">
        <w:rPr>
          <w:lang w:val="es-ES_tradnl"/>
        </w:rPr>
        <w:t>Aunque</w:t>
      </w:r>
      <w:r w:rsidR="00D11A17" w:rsidRPr="009A709D">
        <w:rPr>
          <w:lang w:val="es-ES_tradnl"/>
        </w:rPr>
        <w:t xml:space="preserve"> es bien sabido que las </w:t>
      </w:r>
      <w:r w:rsidRPr="009A709D">
        <w:rPr>
          <w:lang w:val="es-ES_tradnl"/>
        </w:rPr>
        <w:t>estaci</w:t>
      </w:r>
      <w:r w:rsidR="00D11A17" w:rsidRPr="009A709D">
        <w:rPr>
          <w:lang w:val="es-ES_tradnl"/>
        </w:rPr>
        <w:t>ones</w:t>
      </w:r>
      <w:r w:rsidRPr="009A709D">
        <w:rPr>
          <w:lang w:val="es-ES_tradnl"/>
        </w:rPr>
        <w:t xml:space="preserve"> terrena</w:t>
      </w:r>
      <w:r w:rsidR="00D11A17" w:rsidRPr="009A709D">
        <w:rPr>
          <w:lang w:val="es-ES_tradnl"/>
        </w:rPr>
        <w:t>s</w:t>
      </w:r>
      <w:r w:rsidRPr="009A709D">
        <w:rPr>
          <w:lang w:val="es-ES_tradnl"/>
        </w:rPr>
        <w:t xml:space="preserve"> del SIE pasa</w:t>
      </w:r>
      <w:r w:rsidR="00D11A17" w:rsidRPr="009A709D">
        <w:rPr>
          <w:lang w:val="es-ES_tradnl"/>
        </w:rPr>
        <w:t>n</w:t>
      </w:r>
      <w:r w:rsidRPr="009A709D">
        <w:rPr>
          <w:lang w:val="es-ES_tradnl"/>
        </w:rPr>
        <w:t xml:space="preserve"> la mayor parte del tiempo siguiendo a </w:t>
      </w:r>
      <w:r w:rsidR="00D11A17" w:rsidRPr="009A709D">
        <w:rPr>
          <w:lang w:val="es-ES_tradnl"/>
        </w:rPr>
        <w:t>un</w:t>
      </w:r>
      <w:r w:rsidRPr="009A709D">
        <w:rPr>
          <w:lang w:val="es-ES_tradnl"/>
        </w:rPr>
        <w:t xml:space="preserve"> vehículo espacial no OSG y</w:t>
      </w:r>
      <w:r w:rsidR="00D11A17" w:rsidRPr="009A709D">
        <w:rPr>
          <w:lang w:val="es-ES_tradnl"/>
        </w:rPr>
        <w:t xml:space="preserve"> que</w:t>
      </w:r>
      <w:r w:rsidRPr="009A709D">
        <w:rPr>
          <w:lang w:val="es-ES_tradnl"/>
        </w:rPr>
        <w:t xml:space="preserve">, por tanto, su ganancia hacia el horizonte varía con el tiempo, la trayectoria de </w:t>
      </w:r>
      <w:r w:rsidR="00D11A17" w:rsidRPr="009A709D">
        <w:rPr>
          <w:lang w:val="es-ES_tradnl"/>
        </w:rPr>
        <w:t>estos</w:t>
      </w:r>
      <w:r w:rsidRPr="009A709D">
        <w:rPr>
          <w:lang w:val="es-ES_tradnl"/>
        </w:rPr>
        <w:t xml:space="preserve"> vehículo</w:t>
      </w:r>
      <w:r w:rsidR="00D11A17" w:rsidRPr="009A709D">
        <w:rPr>
          <w:lang w:val="es-ES_tradnl"/>
        </w:rPr>
        <w:t>s</w:t>
      </w:r>
      <w:r w:rsidRPr="009A709D">
        <w:rPr>
          <w:lang w:val="es-ES_tradnl"/>
        </w:rPr>
        <w:t xml:space="preserve"> </w:t>
      </w:r>
      <w:r w:rsidR="00D11A17" w:rsidRPr="009A709D">
        <w:rPr>
          <w:lang w:val="es-ES_tradnl"/>
        </w:rPr>
        <w:t>también difiere</w:t>
      </w:r>
      <w:r w:rsidRPr="009A709D">
        <w:rPr>
          <w:lang w:val="es-ES_tradnl"/>
        </w:rPr>
        <w:t xml:space="preserve"> considerablemente de una misión a otra. </w:t>
      </w:r>
      <w:r w:rsidR="00D11A17" w:rsidRPr="009A709D">
        <w:rPr>
          <w:lang w:val="es-ES_tradnl"/>
        </w:rPr>
        <w:t>El SIE comprende todo tipo</w:t>
      </w:r>
      <w:r w:rsidRPr="009A709D">
        <w:rPr>
          <w:lang w:val="es-ES_tradnl"/>
        </w:rPr>
        <w:t xml:space="preserve"> de misiones (</w:t>
      </w:r>
      <w:r w:rsidR="007E51D4" w:rsidRPr="009A709D">
        <w:rPr>
          <w:lang w:val="es-ES_tradnl"/>
        </w:rPr>
        <w:t>cerca de</w:t>
      </w:r>
      <w:r w:rsidRPr="009A709D">
        <w:rPr>
          <w:lang w:val="es-ES_tradnl"/>
        </w:rPr>
        <w:t xml:space="preserve"> la tierra), desde</w:t>
      </w:r>
      <w:r w:rsidR="00D11A17" w:rsidRPr="009A709D">
        <w:rPr>
          <w:lang w:val="es-ES_tradnl"/>
        </w:rPr>
        <w:t xml:space="preserve"> misiones en</w:t>
      </w:r>
      <w:r w:rsidRPr="009A709D">
        <w:rPr>
          <w:lang w:val="es-ES_tradnl"/>
        </w:rPr>
        <w:t xml:space="preserve"> órbitas terrestres bajas (LEO) hasta misiones en torno a </w:t>
      </w:r>
      <w:r w:rsidR="00727140" w:rsidRPr="009A709D">
        <w:rPr>
          <w:lang w:val="es-ES_tradnl"/>
        </w:rPr>
        <w:t>ciert</w:t>
      </w:r>
      <w:r w:rsidRPr="009A709D">
        <w:rPr>
          <w:lang w:val="es-ES_tradnl"/>
        </w:rPr>
        <w:t xml:space="preserve">os puntos de Lagrange, </w:t>
      </w:r>
      <w:r w:rsidR="00D11A17" w:rsidRPr="009A709D">
        <w:rPr>
          <w:lang w:val="es-ES_tradnl"/>
        </w:rPr>
        <w:t>pasando por</w:t>
      </w:r>
      <w:r w:rsidRPr="009A709D">
        <w:rPr>
          <w:lang w:val="es-ES_tradnl"/>
        </w:rPr>
        <w:t xml:space="preserve"> órbitas terrestres geosíncronas (OSG), órbitas muy elípticas (HEO) </w:t>
      </w:r>
      <w:r w:rsidR="00D11A17" w:rsidRPr="009A709D">
        <w:rPr>
          <w:lang w:val="es-ES_tradnl"/>
        </w:rPr>
        <w:t>y misiones</w:t>
      </w:r>
      <w:r w:rsidRPr="009A709D">
        <w:rPr>
          <w:lang w:val="es-ES_tradnl"/>
        </w:rPr>
        <w:t xml:space="preserve"> lunares. De forma similar, las misiones del SIE (</w:t>
      </w:r>
      <w:r w:rsidR="00D11A17" w:rsidRPr="009A709D">
        <w:rPr>
          <w:lang w:val="es-ES_tradnl"/>
        </w:rPr>
        <w:t xml:space="preserve">en el </w:t>
      </w:r>
      <w:r w:rsidRPr="009A709D">
        <w:rPr>
          <w:lang w:val="es-ES_tradnl"/>
        </w:rPr>
        <w:t xml:space="preserve">espacio lejano) suelen centrarse en planetas en el plano elíptico, pero pueden mantenerse durante un </w:t>
      </w:r>
      <w:r w:rsidR="004F1E3D" w:rsidRPr="009A709D">
        <w:rPr>
          <w:lang w:val="es-ES_tradnl"/>
        </w:rPr>
        <w:t>periodo</w:t>
      </w:r>
      <w:r w:rsidRPr="009A709D">
        <w:rPr>
          <w:lang w:val="es-ES_tradnl"/>
        </w:rPr>
        <w:t xml:space="preserve"> de tiempo </w:t>
      </w:r>
      <w:r w:rsidR="00727140" w:rsidRPr="009A709D">
        <w:rPr>
          <w:lang w:val="es-ES_tradnl"/>
        </w:rPr>
        <w:t xml:space="preserve">prolongado </w:t>
      </w:r>
      <w:r w:rsidRPr="009A709D">
        <w:rPr>
          <w:lang w:val="es-ES_tradnl"/>
        </w:rPr>
        <w:t>en órbitas cercanas a la Tierra</w:t>
      </w:r>
      <w:r w:rsidR="00D11A17" w:rsidRPr="009A709D">
        <w:rPr>
          <w:lang w:val="es-ES_tradnl"/>
        </w:rPr>
        <w:t>,</w:t>
      </w:r>
      <w:r w:rsidRPr="009A709D">
        <w:rPr>
          <w:lang w:val="es-ES_tradnl"/>
        </w:rPr>
        <w:t xml:space="preserve"> o salir del plano elíptico para seguir cometas, asteroides u otros cuerpos.</w:t>
      </w:r>
    </w:p>
    <w:p w14:paraId="169477B2" w14:textId="0DE095FE" w:rsidR="00123C74" w:rsidRPr="009A709D" w:rsidRDefault="00123C74" w:rsidP="00AB187A">
      <w:pPr>
        <w:rPr>
          <w:lang w:val="es-ES_tradnl"/>
        </w:rPr>
      </w:pPr>
      <w:r w:rsidRPr="009A709D">
        <w:rPr>
          <w:lang w:val="es-ES_tradnl"/>
        </w:rPr>
        <w:t>Para garantizar que la metodología aquí descrita abarque todo tipo de misiones del SIE, se asume que la</w:t>
      </w:r>
      <w:r w:rsidR="00D11A17" w:rsidRPr="009A709D">
        <w:rPr>
          <w:lang w:val="es-ES_tradnl"/>
        </w:rPr>
        <w:t>s</w:t>
      </w:r>
      <w:r w:rsidRPr="009A709D">
        <w:rPr>
          <w:lang w:val="es-ES_tradnl"/>
        </w:rPr>
        <w:t xml:space="preserve"> </w:t>
      </w:r>
      <w:r w:rsidR="003574B6" w:rsidRPr="009A709D">
        <w:rPr>
          <w:lang w:val="es-ES_tradnl"/>
        </w:rPr>
        <w:t>a</w:t>
      </w:r>
      <w:r w:rsidRPr="009A709D">
        <w:rPr>
          <w:lang w:val="es-ES_tradnl"/>
        </w:rPr>
        <w:t>ntena</w:t>
      </w:r>
      <w:r w:rsidR="00D11A17" w:rsidRPr="009A709D">
        <w:rPr>
          <w:lang w:val="es-ES_tradnl"/>
        </w:rPr>
        <w:t>s</w:t>
      </w:r>
      <w:r w:rsidRPr="009A709D">
        <w:rPr>
          <w:lang w:val="es-ES_tradnl"/>
        </w:rPr>
        <w:t xml:space="preserve"> de la</w:t>
      </w:r>
      <w:r w:rsidR="00D11A17" w:rsidRPr="009A709D">
        <w:rPr>
          <w:lang w:val="es-ES_tradnl"/>
        </w:rPr>
        <w:t>s</w:t>
      </w:r>
      <w:r w:rsidRPr="009A709D">
        <w:rPr>
          <w:lang w:val="es-ES_tradnl"/>
        </w:rPr>
        <w:t xml:space="preserve"> estaci</w:t>
      </w:r>
      <w:r w:rsidR="00D11A17" w:rsidRPr="009A709D">
        <w:rPr>
          <w:lang w:val="es-ES_tradnl"/>
        </w:rPr>
        <w:t>ones</w:t>
      </w:r>
      <w:r w:rsidRPr="009A709D">
        <w:rPr>
          <w:lang w:val="es-ES_tradnl"/>
        </w:rPr>
        <w:t xml:space="preserve"> terrena</w:t>
      </w:r>
      <w:r w:rsidR="00D11A17" w:rsidRPr="009A709D">
        <w:rPr>
          <w:lang w:val="es-ES_tradnl"/>
        </w:rPr>
        <w:t>s</w:t>
      </w:r>
      <w:r w:rsidRPr="009A709D">
        <w:rPr>
          <w:lang w:val="es-ES_tradnl"/>
        </w:rPr>
        <w:t xml:space="preserve"> del SIE apunta</w:t>
      </w:r>
      <w:r w:rsidR="00D11A17" w:rsidRPr="009A709D">
        <w:rPr>
          <w:lang w:val="es-ES_tradnl"/>
        </w:rPr>
        <w:t>n</w:t>
      </w:r>
      <w:r w:rsidRPr="009A709D">
        <w:rPr>
          <w:lang w:val="es-ES_tradnl"/>
        </w:rPr>
        <w:t xml:space="preserve"> al acimut de la estación IMT-2020 en su ángulo de elevación mínimo.</w:t>
      </w:r>
    </w:p>
    <w:p w14:paraId="58C0ADF2" w14:textId="2751F5EB" w:rsidR="00123C74" w:rsidRPr="009A709D" w:rsidRDefault="00123C74" w:rsidP="00AB187A">
      <w:pPr>
        <w:rPr>
          <w:lang w:val="es-ES_tradnl"/>
        </w:rPr>
      </w:pPr>
      <w:r w:rsidRPr="009A709D">
        <w:rPr>
          <w:lang w:val="es-ES_tradnl"/>
        </w:rPr>
        <w:t xml:space="preserve">La zona que se determina mediante esta metodología puede ser relativamente grande, habida cuenta de la sensibilidad de las estaciones terrenas del SIE y de la imposibilidad de considerar una trayectoria u órbita específica para el vehículo espacial. Por tanto, estas zonas </w:t>
      </w:r>
      <w:r w:rsidR="001C0629" w:rsidRPr="009A709D">
        <w:rPr>
          <w:lang w:val="es-ES_tradnl"/>
        </w:rPr>
        <w:t xml:space="preserve">deberían </w:t>
      </w:r>
      <w:r w:rsidRPr="009A709D">
        <w:rPr>
          <w:lang w:val="es-ES_tradnl"/>
        </w:rPr>
        <w:t>considerar</w:t>
      </w:r>
      <w:r w:rsidR="001C0629" w:rsidRPr="009A709D">
        <w:rPr>
          <w:lang w:val="es-ES_tradnl"/>
        </w:rPr>
        <w:t>se</w:t>
      </w:r>
      <w:r w:rsidRPr="009A709D">
        <w:rPr>
          <w:lang w:val="es-ES_tradnl"/>
        </w:rPr>
        <w:t xml:space="preserve"> como zonas de coordinación en las que aún </w:t>
      </w:r>
      <w:r w:rsidR="001C0629" w:rsidRPr="009A709D">
        <w:rPr>
          <w:lang w:val="es-ES_tradnl"/>
        </w:rPr>
        <w:t xml:space="preserve">podrían instalarse </w:t>
      </w:r>
      <w:r w:rsidRPr="009A709D">
        <w:rPr>
          <w:lang w:val="es-ES_tradnl"/>
        </w:rPr>
        <w:t>sistema</w:t>
      </w:r>
      <w:r w:rsidR="001C0629" w:rsidRPr="009A709D">
        <w:rPr>
          <w:lang w:val="es-ES_tradnl"/>
        </w:rPr>
        <w:t>s</w:t>
      </w:r>
      <w:r w:rsidRPr="009A709D">
        <w:rPr>
          <w:lang w:val="es-ES_tradnl"/>
        </w:rPr>
        <w:t xml:space="preserve"> IMT</w:t>
      </w:r>
      <w:r w:rsidRPr="009A709D">
        <w:rPr>
          <w:lang w:val="es-ES_tradnl"/>
        </w:rPr>
        <w:noBreakHyphen/>
        <w:t>2020</w:t>
      </w:r>
      <w:r w:rsidR="001C0629" w:rsidRPr="009A709D">
        <w:rPr>
          <w:lang w:val="es-ES_tradnl"/>
        </w:rPr>
        <w:t>, previa obtención del</w:t>
      </w:r>
      <w:r w:rsidRPr="009A709D">
        <w:rPr>
          <w:lang w:val="es-ES_tradnl"/>
        </w:rPr>
        <w:t xml:space="preserve"> consentimiento del operador del SIE.</w:t>
      </w:r>
    </w:p>
    <w:p w14:paraId="72DE0549" w14:textId="6D878B2A" w:rsidR="00123C74" w:rsidRPr="009A709D" w:rsidRDefault="00123C74" w:rsidP="00AB187A">
      <w:pPr>
        <w:rPr>
          <w:lang w:val="es-ES_tradnl"/>
        </w:rPr>
      </w:pPr>
      <w:r w:rsidRPr="009A709D">
        <w:rPr>
          <w:lang w:val="es-ES_tradnl"/>
        </w:rPr>
        <w:t>La metodología empleada es la de ganancia dependiente del tiempo (TVG)</w:t>
      </w:r>
      <w:r w:rsidR="001C0629" w:rsidRPr="009A709D">
        <w:rPr>
          <w:lang w:val="es-ES_tradnl"/>
        </w:rPr>
        <w:t>,</w:t>
      </w:r>
      <w:r w:rsidRPr="009A709D">
        <w:rPr>
          <w:lang w:val="es-ES_tradnl"/>
        </w:rPr>
        <w:t xml:space="preserve"> que se desarrolla en el Apéndice </w:t>
      </w:r>
      <w:r w:rsidRPr="009A709D">
        <w:rPr>
          <w:b/>
          <w:lang w:val="es-ES_tradnl"/>
        </w:rPr>
        <w:t>7</w:t>
      </w:r>
      <w:r w:rsidRPr="009A709D">
        <w:rPr>
          <w:lang w:val="es-ES_tradnl"/>
        </w:rPr>
        <w:t xml:space="preserve"> del RR. Esta metodología arroja resultados similares a los de un análisis de Monte Carlo, pero de </w:t>
      </w:r>
      <w:r w:rsidR="001C0629" w:rsidRPr="009A709D">
        <w:rPr>
          <w:lang w:val="es-ES_tradnl"/>
        </w:rPr>
        <w:t xml:space="preserve">una </w:t>
      </w:r>
      <w:r w:rsidRPr="009A709D">
        <w:rPr>
          <w:lang w:val="es-ES_tradnl"/>
        </w:rPr>
        <w:t>forma mucho más rápida y eficiente. Para validar</w:t>
      </w:r>
      <w:r w:rsidR="001C0629" w:rsidRPr="009A709D">
        <w:rPr>
          <w:lang w:val="es-ES_tradnl"/>
        </w:rPr>
        <w:t xml:space="preserve"> este enfoque, se procedió a comparar </w:t>
      </w:r>
      <w:r w:rsidRPr="009A709D">
        <w:rPr>
          <w:lang w:val="es-ES_tradnl"/>
        </w:rPr>
        <w:t xml:space="preserve">los resultados obtenidos a partir de un análisis de Monte Carlo para </w:t>
      </w:r>
      <w:r w:rsidR="001C0629" w:rsidRPr="009A709D">
        <w:rPr>
          <w:lang w:val="es-ES_tradnl"/>
        </w:rPr>
        <w:t>ciert</w:t>
      </w:r>
      <w:r w:rsidRPr="009A709D">
        <w:rPr>
          <w:lang w:val="es-ES_tradnl"/>
        </w:rPr>
        <w:t xml:space="preserve">os puntos del contorno, </w:t>
      </w:r>
      <w:r w:rsidR="001C0629" w:rsidRPr="009A709D">
        <w:rPr>
          <w:lang w:val="es-ES_tradnl"/>
        </w:rPr>
        <w:lastRenderedPageBreak/>
        <w:t xml:space="preserve">conforme a </w:t>
      </w:r>
      <w:r w:rsidRPr="009A709D">
        <w:rPr>
          <w:lang w:val="es-ES_tradnl"/>
        </w:rPr>
        <w:t>la Recomendación UIT-R</w:t>
      </w:r>
      <w:r w:rsidR="006140A2">
        <w:rPr>
          <w:lang w:val="es-ES_tradnl"/>
        </w:rPr>
        <w:t> </w:t>
      </w:r>
      <w:hyperlink r:id="rId23" w:history="1">
        <w:r w:rsidRPr="009A709D">
          <w:rPr>
            <w:lang w:val="es-ES_tradnl"/>
          </w:rPr>
          <w:t>M.2101</w:t>
        </w:r>
      </w:hyperlink>
      <w:r w:rsidR="001C0629" w:rsidRPr="009A709D">
        <w:rPr>
          <w:lang w:val="es-ES_tradnl"/>
        </w:rPr>
        <w:t xml:space="preserve">. </w:t>
      </w:r>
      <w:r w:rsidR="00E97535" w:rsidRPr="009A709D">
        <w:rPr>
          <w:lang w:val="es-ES_tradnl"/>
        </w:rPr>
        <w:t xml:space="preserve">Dicha comparación reveló que </w:t>
      </w:r>
      <w:r w:rsidRPr="009A709D">
        <w:rPr>
          <w:lang w:val="es-ES_tradnl"/>
        </w:rPr>
        <w:t xml:space="preserve">los criterios de protección del SIE </w:t>
      </w:r>
      <w:r w:rsidR="00E97535" w:rsidRPr="009A709D">
        <w:rPr>
          <w:lang w:val="es-ES_tradnl"/>
        </w:rPr>
        <w:t>se cumplían si l</w:t>
      </w:r>
      <w:r w:rsidRPr="009A709D">
        <w:rPr>
          <w:lang w:val="es-ES_tradnl"/>
        </w:rPr>
        <w:t>a estación base (</w:t>
      </w:r>
      <w:r w:rsidR="00F019B4" w:rsidRPr="009A709D">
        <w:rPr>
          <w:lang w:val="es-ES_tradnl"/>
        </w:rPr>
        <w:t>EB</w:t>
      </w:r>
      <w:r w:rsidRPr="009A709D">
        <w:rPr>
          <w:lang w:val="es-ES_tradnl"/>
        </w:rPr>
        <w:t>)</w:t>
      </w:r>
      <w:r w:rsidR="00E97535" w:rsidRPr="009A709D">
        <w:rPr>
          <w:lang w:val="es-ES_tradnl"/>
        </w:rPr>
        <w:t xml:space="preserve"> se hallaba inmediatamente fuera </w:t>
      </w:r>
      <w:r w:rsidRPr="009A709D">
        <w:rPr>
          <w:lang w:val="es-ES_tradnl"/>
        </w:rPr>
        <w:t>de</w:t>
      </w:r>
      <w:r w:rsidR="00E97535" w:rsidRPr="009A709D">
        <w:rPr>
          <w:lang w:val="es-ES_tradnl"/>
        </w:rPr>
        <w:t xml:space="preserve"> </w:t>
      </w:r>
      <w:r w:rsidRPr="009A709D">
        <w:rPr>
          <w:lang w:val="es-ES_tradnl"/>
        </w:rPr>
        <w:t>l</w:t>
      </w:r>
      <w:r w:rsidR="00E97535" w:rsidRPr="009A709D">
        <w:rPr>
          <w:lang w:val="es-ES_tradnl"/>
        </w:rPr>
        <w:t>os límites del</w:t>
      </w:r>
      <w:r w:rsidRPr="009A709D">
        <w:rPr>
          <w:lang w:val="es-ES_tradnl"/>
        </w:rPr>
        <w:t xml:space="preserve"> contorno, </w:t>
      </w:r>
      <w:r w:rsidR="00E97535" w:rsidRPr="009A709D">
        <w:rPr>
          <w:lang w:val="es-ES_tradnl"/>
        </w:rPr>
        <w:t xml:space="preserve">pero </w:t>
      </w:r>
      <w:r w:rsidRPr="009A709D">
        <w:rPr>
          <w:lang w:val="es-ES_tradnl"/>
        </w:rPr>
        <w:t xml:space="preserve">se excedían </w:t>
      </w:r>
      <w:r w:rsidR="00E97535" w:rsidRPr="009A709D">
        <w:rPr>
          <w:lang w:val="es-ES_tradnl"/>
        </w:rPr>
        <w:t>si la estación se hallaba inmediatamente dentro de dichos límites</w:t>
      </w:r>
      <w:r w:rsidRPr="009A709D">
        <w:rPr>
          <w:lang w:val="es-ES_tradnl"/>
        </w:rPr>
        <w:t>. Dado</w:t>
      </w:r>
      <w:r w:rsidR="006140A2">
        <w:rPr>
          <w:lang w:val="es-ES_tradnl"/>
        </w:rPr>
        <w:t> </w:t>
      </w:r>
      <w:r w:rsidRPr="009A709D">
        <w:rPr>
          <w:lang w:val="es-ES_tradnl"/>
        </w:rPr>
        <w:t xml:space="preserve">que </w:t>
      </w:r>
      <w:r w:rsidR="00E97535" w:rsidRPr="009A709D">
        <w:rPr>
          <w:lang w:val="es-ES_tradnl"/>
        </w:rPr>
        <w:t>los</w:t>
      </w:r>
      <w:r w:rsidR="003574B6" w:rsidRPr="009A709D">
        <w:rPr>
          <w:lang w:val="es-ES_tradnl"/>
        </w:rPr>
        <w:t xml:space="preserve"> equipo</w:t>
      </w:r>
      <w:r w:rsidR="00E97535" w:rsidRPr="009A709D">
        <w:rPr>
          <w:lang w:val="es-ES_tradnl"/>
        </w:rPr>
        <w:t>s</w:t>
      </w:r>
      <w:r w:rsidR="003574B6" w:rsidRPr="009A709D">
        <w:rPr>
          <w:lang w:val="es-ES_tradnl"/>
        </w:rPr>
        <w:t xml:space="preserve"> de usuario</w:t>
      </w:r>
      <w:r w:rsidRPr="009A709D">
        <w:rPr>
          <w:lang w:val="es-ES_tradnl"/>
        </w:rPr>
        <w:t xml:space="preserve"> </w:t>
      </w:r>
      <w:r w:rsidR="00F02B9E" w:rsidRPr="009A709D">
        <w:rPr>
          <w:lang w:val="es-ES_tradnl"/>
        </w:rPr>
        <w:t xml:space="preserve">(UE) </w:t>
      </w:r>
      <w:r w:rsidR="003574B6" w:rsidRPr="009A709D">
        <w:rPr>
          <w:lang w:val="es-ES_tradnl"/>
        </w:rPr>
        <w:t xml:space="preserve">se </w:t>
      </w:r>
      <w:r w:rsidRPr="009A709D">
        <w:rPr>
          <w:lang w:val="es-ES_tradnl"/>
        </w:rPr>
        <w:t>utiliza</w:t>
      </w:r>
      <w:r w:rsidR="00E97535" w:rsidRPr="009A709D">
        <w:rPr>
          <w:lang w:val="es-ES_tradnl"/>
        </w:rPr>
        <w:t>n</w:t>
      </w:r>
      <w:r w:rsidRPr="009A709D">
        <w:rPr>
          <w:lang w:val="es-ES_tradnl"/>
        </w:rPr>
        <w:t xml:space="preserve"> bien en interiores</w:t>
      </w:r>
      <w:r w:rsidR="002141EE" w:rsidRPr="009A709D">
        <w:rPr>
          <w:lang w:val="es-ES_tradnl"/>
        </w:rPr>
        <w:t>,</w:t>
      </w:r>
      <w:r w:rsidRPr="009A709D">
        <w:rPr>
          <w:lang w:val="es-ES_tradnl"/>
        </w:rPr>
        <w:t xml:space="preserve"> bien en condiciones de ecos intensos, la metodología se centra en la</w:t>
      </w:r>
      <w:r w:rsidR="002141EE" w:rsidRPr="009A709D">
        <w:rPr>
          <w:lang w:val="es-ES_tradnl"/>
        </w:rPr>
        <w:t>s</w:t>
      </w:r>
      <w:r w:rsidRPr="009A709D">
        <w:rPr>
          <w:lang w:val="es-ES_tradnl"/>
        </w:rPr>
        <w:t xml:space="preserve"> estaci</w:t>
      </w:r>
      <w:r w:rsidR="002141EE" w:rsidRPr="009A709D">
        <w:rPr>
          <w:lang w:val="es-ES_tradnl"/>
        </w:rPr>
        <w:t>ones</w:t>
      </w:r>
      <w:r w:rsidRPr="009A709D">
        <w:rPr>
          <w:lang w:val="es-ES_tradnl"/>
        </w:rPr>
        <w:t xml:space="preserve"> base IMT-2020. Puesto que los estudios han mostrado que </w:t>
      </w:r>
      <w:r w:rsidR="002141EE" w:rsidRPr="009A709D">
        <w:rPr>
          <w:lang w:val="es-ES_tradnl"/>
        </w:rPr>
        <w:t>las</w:t>
      </w:r>
      <w:r w:rsidRPr="009A709D">
        <w:rPr>
          <w:lang w:val="es-ES_tradnl"/>
        </w:rPr>
        <w:t xml:space="preserve"> estaciones base y l</w:t>
      </w:r>
      <w:r w:rsidR="002141EE" w:rsidRPr="009A709D">
        <w:rPr>
          <w:lang w:val="es-ES_tradnl"/>
        </w:rPr>
        <w:t>os</w:t>
      </w:r>
      <w:r w:rsidRPr="009A709D">
        <w:rPr>
          <w:lang w:val="es-ES_tradnl"/>
        </w:rPr>
        <w:t xml:space="preserve"> equipo</w:t>
      </w:r>
      <w:r w:rsidR="00AB187A" w:rsidRPr="009A709D">
        <w:rPr>
          <w:lang w:val="es-ES_tradnl"/>
        </w:rPr>
        <w:t>s</w:t>
      </w:r>
      <w:r w:rsidRPr="009A709D">
        <w:rPr>
          <w:lang w:val="es-ES_tradnl"/>
        </w:rPr>
        <w:t xml:space="preserve"> de usuario cercanos a la estación terrena</w:t>
      </w:r>
      <w:r w:rsidR="002141EE" w:rsidRPr="009A709D">
        <w:rPr>
          <w:lang w:val="es-ES_tradnl"/>
        </w:rPr>
        <w:t xml:space="preserve"> producen un escaso efecto combinado</w:t>
      </w:r>
      <w:r w:rsidRPr="009A709D">
        <w:rPr>
          <w:lang w:val="es-ES_tradnl"/>
        </w:rPr>
        <w:t xml:space="preserve">, la metodología considera una única estación base IMT-2020. </w:t>
      </w:r>
      <w:r w:rsidR="00727140" w:rsidRPr="009A709D">
        <w:rPr>
          <w:lang w:val="es-ES_tradnl"/>
        </w:rPr>
        <w:t>En los casos en que se combinen</w:t>
      </w:r>
      <w:r w:rsidRPr="009A709D">
        <w:rPr>
          <w:lang w:val="es-ES_tradnl"/>
        </w:rPr>
        <w:t xml:space="preserve"> múltiples </w:t>
      </w:r>
      <w:r w:rsidR="00F019B4" w:rsidRPr="009A709D">
        <w:rPr>
          <w:lang w:val="es-ES_tradnl"/>
        </w:rPr>
        <w:t>EB</w:t>
      </w:r>
      <w:r w:rsidRPr="009A709D">
        <w:rPr>
          <w:lang w:val="es-ES_tradnl"/>
        </w:rPr>
        <w:t xml:space="preserve">, no </w:t>
      </w:r>
      <w:r w:rsidR="00727140" w:rsidRPr="009A709D">
        <w:rPr>
          <w:lang w:val="es-ES_tradnl"/>
        </w:rPr>
        <w:t>cabe</w:t>
      </w:r>
      <w:r w:rsidRPr="009A709D">
        <w:rPr>
          <w:lang w:val="es-ES_tradnl"/>
        </w:rPr>
        <w:t xml:space="preserve"> espera</w:t>
      </w:r>
      <w:r w:rsidR="00727140" w:rsidRPr="009A709D">
        <w:rPr>
          <w:lang w:val="es-ES_tradnl"/>
        </w:rPr>
        <w:t>r un aumento de</w:t>
      </w:r>
      <w:r w:rsidRPr="009A709D">
        <w:rPr>
          <w:lang w:val="es-ES_tradnl"/>
        </w:rPr>
        <w:t xml:space="preserve"> las distancias siempre que los paneles de la</w:t>
      </w:r>
      <w:r w:rsidR="003574B6" w:rsidRPr="009A709D">
        <w:rPr>
          <w:lang w:val="es-ES_tradnl"/>
        </w:rPr>
        <w:t>s</w:t>
      </w:r>
      <w:r w:rsidRPr="009A709D">
        <w:rPr>
          <w:lang w:val="es-ES_tradnl"/>
        </w:rPr>
        <w:t xml:space="preserve"> antena</w:t>
      </w:r>
      <w:r w:rsidR="003574B6" w:rsidRPr="009A709D">
        <w:rPr>
          <w:lang w:val="es-ES_tradnl"/>
        </w:rPr>
        <w:t>s</w:t>
      </w:r>
      <w:r w:rsidRPr="009A709D">
        <w:rPr>
          <w:lang w:val="es-ES_tradnl"/>
        </w:rPr>
        <w:t xml:space="preserve"> de las </w:t>
      </w:r>
      <w:r w:rsidR="00727140" w:rsidRPr="009A709D">
        <w:rPr>
          <w:lang w:val="es-ES_tradnl"/>
        </w:rPr>
        <w:t xml:space="preserve">estaciones en cuestión </w:t>
      </w:r>
      <w:r w:rsidRPr="009A709D">
        <w:rPr>
          <w:lang w:val="es-ES_tradnl"/>
        </w:rPr>
        <w:t>no apunten de forma concurrente a la ET en acimut. Sin</w:t>
      </w:r>
      <w:r w:rsidR="00AB187A" w:rsidRPr="009A709D">
        <w:rPr>
          <w:lang w:val="es-ES_tradnl"/>
        </w:rPr>
        <w:t> </w:t>
      </w:r>
      <w:r w:rsidRPr="009A709D">
        <w:rPr>
          <w:lang w:val="es-ES_tradnl"/>
        </w:rPr>
        <w:t>embargo,</w:t>
      </w:r>
      <w:r w:rsidR="00727140" w:rsidRPr="009A709D">
        <w:rPr>
          <w:lang w:val="es-ES_tradnl"/>
        </w:rPr>
        <w:t xml:space="preserve"> </w:t>
      </w:r>
      <w:r w:rsidR="00214D90" w:rsidRPr="009A709D">
        <w:rPr>
          <w:lang w:val="es-ES_tradnl"/>
        </w:rPr>
        <w:t>el factor de combinación</w:t>
      </w:r>
      <w:r w:rsidR="00727140" w:rsidRPr="009A709D">
        <w:rPr>
          <w:lang w:val="es-ES_tradnl"/>
        </w:rPr>
        <w:t xml:space="preserve"> </w:t>
      </w:r>
      <w:r w:rsidRPr="009A709D">
        <w:rPr>
          <w:lang w:val="es-ES_tradnl"/>
        </w:rPr>
        <w:t>deberá</w:t>
      </w:r>
      <w:r w:rsidR="00727140" w:rsidRPr="009A709D">
        <w:rPr>
          <w:lang w:val="es-ES_tradnl"/>
        </w:rPr>
        <w:t xml:space="preserve"> tenerse en cuenta a la hora de planificar la instalación de una </w:t>
      </w:r>
      <w:r w:rsidR="00F019B4" w:rsidRPr="009A709D">
        <w:rPr>
          <w:lang w:val="es-ES_tradnl"/>
        </w:rPr>
        <w:t>EB</w:t>
      </w:r>
      <w:r w:rsidR="00727140" w:rsidRPr="009A709D">
        <w:rPr>
          <w:lang w:val="es-ES_tradnl"/>
        </w:rPr>
        <w:t xml:space="preserve"> </w:t>
      </w:r>
      <w:r w:rsidRPr="009A709D">
        <w:rPr>
          <w:lang w:val="es-ES_tradnl"/>
        </w:rPr>
        <w:t>dentro de la zona de coordinación</w:t>
      </w:r>
      <w:r w:rsidR="006A2E06" w:rsidRPr="009A709D">
        <w:rPr>
          <w:lang w:val="es-ES_tradnl"/>
        </w:rPr>
        <w:t>.</w:t>
      </w:r>
    </w:p>
    <w:p w14:paraId="4A7DC2B2" w14:textId="77777777" w:rsidR="00123C74" w:rsidRPr="009A709D" w:rsidRDefault="00123C74" w:rsidP="00AB187A">
      <w:pPr>
        <w:pStyle w:val="Heading1"/>
        <w:rPr>
          <w:lang w:val="es-ES_tradnl"/>
        </w:rPr>
      </w:pPr>
      <w:bookmarkStart w:id="22" w:name="_Toc172936"/>
      <w:bookmarkStart w:id="23" w:name="_Toc83389339"/>
      <w:bookmarkStart w:id="24" w:name="_Toc83712963"/>
      <w:bookmarkStart w:id="25" w:name="_Toc83713036"/>
      <w:bookmarkStart w:id="26" w:name="_Toc83713149"/>
      <w:bookmarkStart w:id="27" w:name="_Toc83723552"/>
      <w:bookmarkStart w:id="28" w:name="_Toc86738365"/>
      <w:bookmarkStart w:id="29" w:name="_Toc102570756"/>
      <w:bookmarkStart w:id="30" w:name="_Toc102986149"/>
      <w:r w:rsidRPr="009A709D">
        <w:rPr>
          <w:lang w:val="es-ES_tradnl"/>
        </w:rPr>
        <w:t>2</w:t>
      </w:r>
      <w:r w:rsidRPr="009A709D">
        <w:rPr>
          <w:lang w:val="es-ES_tradnl"/>
        </w:rPr>
        <w:tab/>
        <w:t>Metodología TVG estándar</w:t>
      </w:r>
      <w:bookmarkEnd w:id="22"/>
      <w:bookmarkEnd w:id="23"/>
      <w:bookmarkEnd w:id="24"/>
      <w:bookmarkEnd w:id="25"/>
      <w:bookmarkEnd w:id="26"/>
      <w:bookmarkEnd w:id="27"/>
      <w:bookmarkEnd w:id="28"/>
      <w:bookmarkEnd w:id="29"/>
      <w:bookmarkEnd w:id="30"/>
    </w:p>
    <w:p w14:paraId="55A30632" w14:textId="7724D988" w:rsidR="00123C74" w:rsidRPr="009A709D" w:rsidRDefault="00123C74" w:rsidP="00AB187A">
      <w:pPr>
        <w:rPr>
          <w:lang w:val="es-ES_tradnl"/>
        </w:rPr>
      </w:pPr>
      <w:r w:rsidRPr="009A709D">
        <w:rPr>
          <w:lang w:val="es-ES_tradnl"/>
        </w:rPr>
        <w:t>La pérdida de propagación mínima requerida viene dada por la ecuación (1).</w:t>
      </w:r>
    </w:p>
    <w:p w14:paraId="3FC368F5" w14:textId="77777777" w:rsidR="006140A2" w:rsidRPr="00A475C8" w:rsidRDefault="006140A2" w:rsidP="006140A2">
      <w:pPr>
        <w:pStyle w:val="Blanc"/>
      </w:pPr>
    </w:p>
    <w:p w14:paraId="6C3D8879" w14:textId="77777777" w:rsidR="006140A2" w:rsidRPr="006140A2" w:rsidRDefault="006140A2" w:rsidP="006140A2">
      <w:pPr>
        <w:pStyle w:val="Equation"/>
        <w:rPr>
          <w:lang w:val="fr-FR"/>
        </w:rPr>
      </w:pPr>
      <w:r w:rsidRPr="006140A2">
        <w:rPr>
          <w:vertAlign w:val="subscript"/>
          <w:lang w:val="fr-FR"/>
        </w:rPr>
        <w:tab/>
      </w:r>
      <w:r w:rsidRPr="006140A2">
        <w:rPr>
          <w:vertAlign w:val="subscript"/>
          <w:lang w:val="fr-FR"/>
        </w:rPr>
        <w:tab/>
      </w:r>
      <m:oMath>
        <m:sSub>
          <m:sSubPr>
            <m:ctrlPr>
              <w:rPr>
                <w:rFonts w:ascii="Cambria Math" w:eastAsia="Cambria Math" w:hAnsi="Cambria Math"/>
                <w:vertAlign w:val="subscript"/>
                <w:lang w:val="fr-FR"/>
              </w:rPr>
            </m:ctrlPr>
          </m:sSubPr>
          <m:e>
            <m:r>
              <w:rPr>
                <w:rFonts w:ascii="Cambria Math" w:eastAsia="Cambria Math" w:hAnsi="Cambria Math"/>
                <w:vertAlign w:val="subscript"/>
                <w:lang w:val="fr-FR"/>
              </w:rPr>
              <m:t>L</m:t>
            </m:r>
          </m:e>
          <m:sub>
            <m:r>
              <w:rPr>
                <w:rFonts w:ascii="Cambria Math" w:eastAsia="Cambria Math" w:hAnsi="Cambria Math"/>
                <w:vertAlign w:val="subscript"/>
                <w:lang w:val="fr-FR"/>
              </w:rPr>
              <m:t>req</m:t>
            </m:r>
          </m:sub>
        </m:sSub>
        <m:d>
          <m:dPr>
            <m:ctrlPr>
              <w:rPr>
                <w:rFonts w:ascii="Cambria Math" w:eastAsia="Cambria Math" w:hAnsi="Cambria Math"/>
                <w:lang w:val="fr-FR"/>
              </w:rPr>
            </m:ctrlPr>
          </m:dPr>
          <m:e>
            <m:sSub>
              <m:sSubPr>
                <m:ctrlPr>
                  <w:rPr>
                    <w:rFonts w:ascii="Cambria Math" w:eastAsia="Cambria Math" w:hAnsi="Cambria Math"/>
                    <w:lang w:val="fr-FR"/>
                  </w:rPr>
                </m:ctrlPr>
              </m:sSubPr>
              <m:e>
                <m:r>
                  <w:rPr>
                    <w:rFonts w:ascii="Cambria Math" w:eastAsia="Cambria Math" w:hAnsi="Cambria Math"/>
                    <w:lang w:val="fr-FR"/>
                  </w:rPr>
                  <m:t>p</m:t>
                </m:r>
              </m:e>
              <m:sub>
                <m:r>
                  <w:rPr>
                    <w:rFonts w:ascii="Cambria Math" w:eastAsia="Cambria Math" w:hAnsi="Cambria Math"/>
                    <w:vertAlign w:val="subscript"/>
                    <w:lang w:val="fr-FR"/>
                  </w:rPr>
                  <m:t>v</m:t>
                </m:r>
              </m:sub>
            </m:sSub>
          </m:e>
        </m:d>
        <m:r>
          <m:rPr>
            <m:sty m:val="p"/>
          </m:rPr>
          <w:rPr>
            <w:rFonts w:ascii="Cambria Math" w:eastAsia="Cambria Math" w:hAnsi="Cambria Math"/>
            <w:lang w:val="fr-FR"/>
          </w:rPr>
          <m:t xml:space="preserve">= </m:t>
        </m:r>
        <m:sSub>
          <m:sSubPr>
            <m:ctrlPr>
              <w:rPr>
                <w:rFonts w:ascii="Cambria Math" w:eastAsia="Cambria Math" w:hAnsi="Cambria Math"/>
                <w:lang w:val="fr-FR"/>
              </w:rPr>
            </m:ctrlPr>
          </m:sSubPr>
          <m:e>
            <m:r>
              <w:rPr>
                <w:rFonts w:ascii="Cambria Math" w:eastAsia="Cambria Math" w:hAnsi="Cambria Math"/>
                <w:lang w:val="fr-FR"/>
              </w:rPr>
              <m:t>P</m:t>
            </m:r>
          </m:e>
          <m:sub>
            <m:r>
              <w:rPr>
                <w:rFonts w:ascii="Cambria Math" w:eastAsia="Cambria Math" w:hAnsi="Cambria Math"/>
                <w:vertAlign w:val="subscript"/>
                <w:lang w:val="fr-FR"/>
              </w:rPr>
              <m:t>t</m:t>
            </m:r>
          </m:sub>
        </m:sSub>
        <m:r>
          <m:rPr>
            <m:sty m:val="p"/>
          </m:rPr>
          <w:rPr>
            <w:rFonts w:ascii="Cambria Math" w:eastAsia="Cambria Math" w:hAnsi="Cambria Math"/>
            <w:vertAlign w:val="subscript"/>
            <w:lang w:val="fr-FR"/>
          </w:rPr>
          <m:t>+</m:t>
        </m:r>
        <m:sSub>
          <m:sSubPr>
            <m:ctrlPr>
              <w:rPr>
                <w:rFonts w:ascii="Cambria Math" w:eastAsia="Cambria Math" w:hAnsi="Cambria Math"/>
                <w:lang w:val="fr-FR"/>
              </w:rPr>
            </m:ctrlPr>
          </m:sSubPr>
          <m:e>
            <m:r>
              <w:rPr>
                <w:rFonts w:ascii="Cambria Math" w:eastAsia="Cambria Math" w:hAnsi="Cambria Math"/>
                <w:lang w:val="fr-FR"/>
              </w:rPr>
              <m:t>G</m:t>
            </m:r>
          </m:e>
          <m:sub>
            <m:r>
              <w:rPr>
                <w:rFonts w:ascii="Cambria Math" w:eastAsia="Cambria Math" w:hAnsi="Cambria Math"/>
                <w:vertAlign w:val="subscript"/>
                <w:lang w:val="fr-FR"/>
              </w:rPr>
              <m:t>t</m:t>
            </m:r>
          </m:sub>
        </m:sSub>
        <m:d>
          <m:dPr>
            <m:ctrlPr>
              <w:rPr>
                <w:rFonts w:ascii="Cambria Math" w:eastAsia="Cambria Math" w:hAnsi="Cambria Math"/>
                <w:lang w:val="fr-FR"/>
              </w:rPr>
            </m:ctrlPr>
          </m:dPr>
          <m:e>
            <m:sSub>
              <m:sSubPr>
                <m:ctrlPr>
                  <w:rPr>
                    <w:rFonts w:ascii="Cambria Math" w:eastAsia="Cambria Math" w:hAnsi="Cambria Math"/>
                    <w:lang w:val="fr-FR"/>
                  </w:rPr>
                </m:ctrlPr>
              </m:sSubPr>
              <m:e>
                <m:r>
                  <w:rPr>
                    <w:rFonts w:ascii="Cambria Math" w:eastAsia="Cambria Math" w:hAnsi="Cambria Math"/>
                    <w:lang w:val="fr-FR"/>
                  </w:rPr>
                  <m:t>p</m:t>
                </m:r>
              </m:e>
              <m:sub>
                <m:r>
                  <w:rPr>
                    <w:rFonts w:ascii="Cambria Math" w:eastAsia="Cambria Math" w:hAnsi="Cambria Math"/>
                    <w:vertAlign w:val="subscript"/>
                    <w:lang w:val="fr-FR"/>
                  </w:rPr>
                  <m:t>n</m:t>
                </m:r>
              </m:sub>
            </m:sSub>
          </m:e>
        </m:d>
        <m:r>
          <m:rPr>
            <m:sty m:val="p"/>
          </m:rPr>
          <w:rPr>
            <w:rFonts w:ascii="Cambria Math" w:eastAsia="Cambria Math" w:hAnsi="Cambria Math"/>
            <w:lang w:val="fr-FR"/>
          </w:rPr>
          <m:t xml:space="preserve">+ </m:t>
        </m:r>
        <m:sSub>
          <m:sSubPr>
            <m:ctrlPr>
              <w:rPr>
                <w:rFonts w:ascii="Cambria Math" w:eastAsia="Cambria Math" w:hAnsi="Cambria Math"/>
                <w:lang w:val="fr-FR"/>
              </w:rPr>
            </m:ctrlPr>
          </m:sSubPr>
          <m:e>
            <m:r>
              <w:rPr>
                <w:rFonts w:ascii="Cambria Math" w:eastAsia="Cambria Math" w:hAnsi="Cambria Math"/>
                <w:lang w:val="fr-FR"/>
              </w:rPr>
              <m:t>G</m:t>
            </m:r>
          </m:e>
          <m:sub>
            <m:r>
              <w:rPr>
                <w:rFonts w:ascii="Cambria Math" w:eastAsia="Cambria Math" w:hAnsi="Cambria Math"/>
                <w:vertAlign w:val="subscript"/>
                <w:lang w:val="fr-FR"/>
              </w:rPr>
              <m:t>r</m:t>
            </m:r>
          </m:sub>
        </m:sSub>
        <m:r>
          <m:rPr>
            <m:sty m:val="p"/>
          </m:rPr>
          <w:rPr>
            <w:rFonts w:ascii="Cambria Math" w:eastAsia="Cambria Math" w:hAnsi="Cambria Math"/>
            <w:vertAlign w:val="subscript"/>
            <w:lang w:val="fr-FR"/>
          </w:rPr>
          <m:t xml:space="preserve"> </m:t>
        </m:r>
        <m:r>
          <m:rPr>
            <m:sty m:val="p"/>
          </m:rPr>
          <w:rPr>
            <w:rFonts w:ascii="Cambria Math" w:eastAsia="Cambria Math" w:hAnsi="Cambria Math"/>
            <w:lang w:val="fr-FR"/>
          </w:rPr>
          <m:t xml:space="preserve">- </m:t>
        </m:r>
        <m:r>
          <w:rPr>
            <w:rFonts w:ascii="Cambria Math" w:eastAsia="Cambria Math" w:hAnsi="Cambria Math"/>
            <w:lang w:val="fr-FR"/>
          </w:rPr>
          <m:t>I</m:t>
        </m:r>
        <m:d>
          <m:dPr>
            <m:ctrlPr>
              <w:rPr>
                <w:rFonts w:ascii="Cambria Math" w:eastAsia="Cambria Math" w:hAnsi="Cambria Math"/>
                <w:lang w:val="fr-FR"/>
              </w:rPr>
            </m:ctrlPr>
          </m:dPr>
          <m:e>
            <m:r>
              <w:rPr>
                <w:rFonts w:ascii="Cambria Math" w:eastAsia="Cambria Math" w:hAnsi="Cambria Math"/>
                <w:lang w:val="fr-FR"/>
              </w:rPr>
              <m:t>p</m:t>
            </m:r>
          </m:e>
        </m:d>
        <m:r>
          <m:rPr>
            <m:sty m:val="p"/>
          </m:rPr>
          <w:rPr>
            <w:rFonts w:ascii="Cambria Math" w:eastAsia="Cambria Math" w:hAnsi="Cambria Math" w:cs="Cambria Math"/>
            <w:lang w:val="fr-FR"/>
          </w:rPr>
          <m:t>-</m:t>
        </m:r>
        <m:sSub>
          <m:sSubPr>
            <m:ctrlPr>
              <w:rPr>
                <w:rFonts w:ascii="Cambria Math" w:eastAsia="Cambria Math" w:hAnsi="Cambria Math" w:cs="Cambria Math"/>
                <w:szCs w:val="24"/>
                <w:lang w:val="fr-FR" w:eastAsia="de-DE"/>
              </w:rPr>
            </m:ctrlPr>
          </m:sSubPr>
          <m:e>
            <m:r>
              <w:rPr>
                <w:rFonts w:ascii="Cambria Math" w:eastAsia="Cambria Math" w:hAnsi="Cambria Math" w:cs="Cambria Math"/>
                <w:lang w:val="fr-FR"/>
              </w:rPr>
              <m:t>L</m:t>
            </m:r>
          </m:e>
          <m:sub>
            <m:r>
              <w:rPr>
                <w:rFonts w:ascii="Cambria Math" w:eastAsia="Cambria Math" w:hAnsi="Cambria Math" w:cs="Cambria Math"/>
                <w:lang w:val="fr-FR"/>
              </w:rPr>
              <m:t>c</m:t>
            </m:r>
          </m:sub>
        </m:sSub>
      </m:oMath>
      <w:r w:rsidRPr="006140A2">
        <w:rPr>
          <w:lang w:val="fr-FR"/>
        </w:rPr>
        <w:tab/>
        <w:t>(1)</w:t>
      </w:r>
    </w:p>
    <w:p w14:paraId="0C559EDA" w14:textId="0FAFEA7E" w:rsidR="00123C74" w:rsidRPr="009A709D" w:rsidRDefault="002E34E2" w:rsidP="00AB187A">
      <w:pPr>
        <w:rPr>
          <w:lang w:val="es-ES_tradnl"/>
        </w:rPr>
      </w:pPr>
      <w:r w:rsidRPr="009A709D">
        <w:rPr>
          <w:lang w:val="es-ES_tradnl"/>
        </w:rPr>
        <w:t>donde</w:t>
      </w:r>
      <w:r w:rsidR="00123C74" w:rsidRPr="009A709D">
        <w:rPr>
          <w:lang w:val="es-ES_tradnl"/>
        </w:rPr>
        <w:t>:</w:t>
      </w:r>
    </w:p>
    <w:p w14:paraId="4BBBD588" w14:textId="0BA6A6A1" w:rsidR="00123C74" w:rsidRPr="009A709D" w:rsidRDefault="00123C74" w:rsidP="006140A2">
      <w:pPr>
        <w:pStyle w:val="Equationlegend"/>
        <w:rPr>
          <w:lang w:val="es-ES_tradnl"/>
        </w:rPr>
      </w:pPr>
      <w:r w:rsidRPr="009A709D">
        <w:rPr>
          <w:lang w:val="es-ES_tradnl"/>
        </w:rPr>
        <w:tab/>
      </w:r>
      <w:r w:rsidR="003574B6" w:rsidRPr="009A709D">
        <w:rPr>
          <w:rFonts w:ascii="Cambria Math" w:eastAsia="Cambria Math" w:hAnsi="Cambria Math" w:cs="Cambria Math"/>
          <w:lang w:val="es-ES_tradnl"/>
        </w:rPr>
        <w:t>𝑃</w:t>
      </w:r>
      <w:r w:rsidR="003574B6" w:rsidRPr="009A709D">
        <w:rPr>
          <w:rFonts w:ascii="Cambria Math" w:eastAsia="Cambria Math" w:hAnsi="Cambria Math" w:cs="Cambria Math"/>
          <w:vertAlign w:val="subscript"/>
          <w:lang w:val="es-ES_tradnl"/>
        </w:rPr>
        <w:t>𝑡</w:t>
      </w:r>
      <w:r w:rsidR="003574B6" w:rsidRPr="009A709D">
        <w:rPr>
          <w:lang w:val="es-ES_tradnl"/>
        </w:rPr>
        <w:t>:</w:t>
      </w:r>
      <w:r w:rsidRPr="009A709D">
        <w:rPr>
          <w:lang w:val="es-ES_tradnl"/>
        </w:rPr>
        <w:tab/>
        <w:t xml:space="preserve">nivel de potencia transmisora total (dBW) en </w:t>
      </w:r>
      <w:r w:rsidR="00214D90" w:rsidRPr="009A709D">
        <w:rPr>
          <w:lang w:val="es-ES_tradnl"/>
        </w:rPr>
        <w:t>el ancho</w:t>
      </w:r>
      <w:r w:rsidRPr="009A709D">
        <w:rPr>
          <w:lang w:val="es-ES_tradnl"/>
        </w:rPr>
        <w:t xml:space="preserve"> de banda de referencia de una estación base IMT-2020 transmisora</w:t>
      </w:r>
    </w:p>
    <w:p w14:paraId="7FFB8F0E" w14:textId="401F48E1" w:rsidR="00123C74" w:rsidRPr="009A709D" w:rsidRDefault="00123C74" w:rsidP="00123C74">
      <w:pPr>
        <w:pStyle w:val="Equationlegend"/>
        <w:rPr>
          <w:lang w:val="es-ES_tradnl"/>
        </w:rPr>
      </w:pPr>
      <w:r w:rsidRPr="009A709D">
        <w:rPr>
          <w:lang w:val="es-ES_tradnl"/>
        </w:rPr>
        <w:tab/>
      </w:r>
      <w:r w:rsidR="006140A2" w:rsidRPr="00D81D07">
        <w:rPr>
          <w:i/>
          <w:iCs/>
        </w:rPr>
        <w:t>I</w:t>
      </w:r>
      <w:r w:rsidR="006140A2" w:rsidRPr="00D81D07">
        <w:rPr>
          <w:rFonts w:ascii="Cambria Math" w:eastAsia="Cambria Math" w:hAnsi="Cambria Math" w:cs="Cambria Math"/>
        </w:rPr>
        <w:t>(𝑝)</w:t>
      </w:r>
      <w:r w:rsidR="003574B6" w:rsidRPr="009A709D">
        <w:rPr>
          <w:iCs/>
          <w:lang w:val="es-ES_tradnl"/>
        </w:rPr>
        <w:t>:</w:t>
      </w:r>
      <w:r w:rsidRPr="009A709D">
        <w:rPr>
          <w:rFonts w:ascii="Cambria Math" w:hAnsi="Cambria Math"/>
          <w:lang w:val="es-ES_tradnl"/>
        </w:rPr>
        <w:tab/>
      </w:r>
      <w:r w:rsidRPr="009A709D">
        <w:rPr>
          <w:lang w:val="es-ES_tradnl"/>
        </w:rPr>
        <w:t xml:space="preserve">umbral de protección (dBW) en </w:t>
      </w:r>
      <w:r w:rsidR="003842C9" w:rsidRPr="009A709D">
        <w:rPr>
          <w:lang w:val="es-ES_tradnl"/>
        </w:rPr>
        <w:t>el ancho de</w:t>
      </w:r>
      <w:r w:rsidRPr="009A709D">
        <w:rPr>
          <w:lang w:val="es-ES_tradnl"/>
        </w:rPr>
        <w:t xml:space="preserve"> banda de referencia</w:t>
      </w:r>
      <w:r w:rsidR="003842C9" w:rsidRPr="009A709D">
        <w:rPr>
          <w:lang w:val="es-ES_tradnl"/>
        </w:rPr>
        <w:t>,</w:t>
      </w:r>
      <w:r w:rsidRPr="009A709D">
        <w:rPr>
          <w:lang w:val="es-ES_tradnl"/>
        </w:rPr>
        <w:t xml:space="preserve"> que no </w:t>
      </w:r>
      <w:r w:rsidR="003842C9" w:rsidRPr="009A709D">
        <w:rPr>
          <w:lang w:val="es-ES_tradnl"/>
        </w:rPr>
        <w:t xml:space="preserve">podrá rebasarse </w:t>
      </w:r>
      <w:r w:rsidRPr="009A709D">
        <w:rPr>
          <w:lang w:val="es-ES_tradnl"/>
        </w:rPr>
        <w:t xml:space="preserve">durante más del </w:t>
      </w:r>
      <w:r w:rsidR="003574B6" w:rsidRPr="009A709D">
        <w:rPr>
          <w:rFonts w:ascii="Cambria Math" w:hAnsi="Cambria Math" w:cs="Cambria Math"/>
          <w:lang w:val="es-ES_tradnl"/>
        </w:rPr>
        <w:t>𝑝</w:t>
      </w:r>
      <w:r w:rsidR="003574B6" w:rsidRPr="009A709D">
        <w:rPr>
          <w:i/>
          <w:iCs/>
          <w:lang w:val="es-ES_tradnl"/>
        </w:rPr>
        <w:t>%</w:t>
      </w:r>
      <w:r w:rsidR="003574B6" w:rsidRPr="009A709D">
        <w:rPr>
          <w:lang w:val="es-ES_tradnl"/>
        </w:rPr>
        <w:t xml:space="preserve"> </w:t>
      </w:r>
      <w:r w:rsidRPr="009A709D">
        <w:rPr>
          <w:lang w:val="es-ES_tradnl"/>
        </w:rPr>
        <w:t>del tiempo en la entrada de la antena de la estación terrena</w:t>
      </w:r>
      <w:r w:rsidR="003842C9" w:rsidRPr="009A709D">
        <w:rPr>
          <w:lang w:val="es-ES_tradnl"/>
        </w:rPr>
        <w:t xml:space="preserve"> receptora</w:t>
      </w:r>
      <w:r w:rsidRPr="009A709D">
        <w:rPr>
          <w:lang w:val="es-ES_tradnl"/>
        </w:rPr>
        <w:t xml:space="preserve"> del </w:t>
      </w:r>
      <w:r w:rsidR="00EA15A9" w:rsidRPr="009A709D">
        <w:rPr>
          <w:lang w:val="es-ES_tradnl"/>
        </w:rPr>
        <w:t>SIE</w:t>
      </w:r>
      <w:r w:rsidRPr="009A709D">
        <w:rPr>
          <w:lang w:val="es-ES_tradnl"/>
        </w:rPr>
        <w:t xml:space="preserve"> que pueda sufrir interferencia</w:t>
      </w:r>
    </w:p>
    <w:p w14:paraId="70AC0551" w14:textId="7F54456F" w:rsidR="00123C74" w:rsidRPr="009A709D" w:rsidRDefault="00123C74" w:rsidP="00123C74">
      <w:pPr>
        <w:pStyle w:val="Equationlegend"/>
        <w:rPr>
          <w:lang w:val="es-ES_tradnl"/>
        </w:rPr>
      </w:pPr>
      <w:r w:rsidRPr="009A709D">
        <w:rPr>
          <w:lang w:val="es-ES_tradnl"/>
        </w:rPr>
        <w:tab/>
      </w:r>
      <w:r w:rsidR="003574B6" w:rsidRPr="009A709D">
        <w:rPr>
          <w:rFonts w:ascii="Cambria Math" w:eastAsia="Cambria Math" w:hAnsi="Cambria Math" w:cs="Cambria Math"/>
          <w:lang w:val="es-ES_tradnl"/>
        </w:rPr>
        <w:t>𝐺</w:t>
      </w:r>
      <w:r w:rsidR="003574B6" w:rsidRPr="009A709D">
        <w:rPr>
          <w:rFonts w:ascii="Cambria Math" w:eastAsia="Cambria Math" w:hAnsi="Cambria Math" w:cs="Cambria Math"/>
          <w:vertAlign w:val="subscript"/>
          <w:lang w:val="es-ES_tradnl"/>
        </w:rPr>
        <w:t>t</w:t>
      </w:r>
      <w:r w:rsidR="003574B6" w:rsidRPr="009A709D">
        <w:rPr>
          <w:rFonts w:ascii="Cambria Math" w:eastAsia="Cambria Math" w:hAnsi="Cambria Math" w:cs="Cambria Math"/>
          <w:lang w:val="es-ES_tradnl"/>
        </w:rPr>
        <w:t>(𝑝</w:t>
      </w:r>
      <w:r w:rsidR="003574B6" w:rsidRPr="009A709D">
        <w:rPr>
          <w:rFonts w:ascii="Cambria Math" w:eastAsia="Cambria Math" w:hAnsi="Cambria Math" w:cs="Cambria Math"/>
          <w:vertAlign w:val="subscript"/>
          <w:lang w:val="es-ES_tradnl"/>
        </w:rPr>
        <w:t>𝑛</w:t>
      </w:r>
      <w:r w:rsidR="003574B6" w:rsidRPr="009A709D">
        <w:rPr>
          <w:rFonts w:ascii="Cambria Math" w:eastAsia="Cambria Math" w:hAnsi="Cambria Math" w:cs="Cambria Math"/>
          <w:lang w:val="es-ES_tradnl"/>
        </w:rPr>
        <w:t>)</w:t>
      </w:r>
      <w:r w:rsidRPr="009A709D">
        <w:rPr>
          <w:rFonts w:ascii="Cambria Math" w:hAnsi="Cambria Math"/>
          <w:lang w:val="es-ES_tradnl"/>
        </w:rPr>
        <w:t>:</w:t>
      </w:r>
      <w:r w:rsidRPr="009A709D">
        <w:rPr>
          <w:rFonts w:ascii="Cambria Math" w:hAnsi="Cambria Math"/>
          <w:lang w:val="es-ES_tradnl"/>
        </w:rPr>
        <w:tab/>
      </w:r>
      <w:r w:rsidRPr="009A709D">
        <w:rPr>
          <w:lang w:val="es-ES_tradnl"/>
        </w:rPr>
        <w:t xml:space="preserve">ganancia de la antena transmisora </w:t>
      </w:r>
      <w:r w:rsidR="005E56C6" w:rsidRPr="009A709D">
        <w:rPr>
          <w:lang w:val="es-ES_tradnl"/>
        </w:rPr>
        <w:t xml:space="preserve">hacia el horizonte </w:t>
      </w:r>
      <w:r w:rsidRPr="009A709D">
        <w:rPr>
          <w:lang w:val="es-ES_tradnl"/>
        </w:rPr>
        <w:t>(dBi)</w:t>
      </w:r>
      <w:r w:rsidR="0059064F" w:rsidRPr="009A709D">
        <w:rPr>
          <w:lang w:val="es-ES_tradnl"/>
        </w:rPr>
        <w:t>,</w:t>
      </w:r>
      <w:r w:rsidRPr="009A709D">
        <w:rPr>
          <w:lang w:val="es-ES_tradnl"/>
        </w:rPr>
        <w:t xml:space="preserve"> que se rebasa durante un </w:t>
      </w:r>
      <w:r w:rsidR="000A597C" w:rsidRPr="009A709D">
        <w:rPr>
          <w:rFonts w:ascii="Cambria Math" w:eastAsia="Cambria Math" w:hAnsi="Cambria Math" w:cs="Cambria Math"/>
          <w:lang w:val="es-ES_tradnl"/>
        </w:rPr>
        <w:t>𝑝</w:t>
      </w:r>
      <w:r w:rsidR="000A597C" w:rsidRPr="009A709D">
        <w:rPr>
          <w:rFonts w:ascii="Cambria Math" w:eastAsia="Cambria Math" w:hAnsi="Cambria Math" w:cs="Cambria Math"/>
          <w:vertAlign w:val="subscript"/>
          <w:lang w:val="es-ES_tradnl"/>
        </w:rPr>
        <w:t>𝑛</w:t>
      </w:r>
      <w:r w:rsidR="000A597C" w:rsidRPr="009A709D">
        <w:rPr>
          <w:lang w:val="es-ES_tradnl"/>
        </w:rPr>
        <w:t>%</w:t>
      </w:r>
      <w:r w:rsidRPr="009A709D">
        <w:rPr>
          <w:lang w:val="es-ES_tradnl"/>
        </w:rPr>
        <w:t xml:space="preserve"> del tiempo en el acimut considerado</w:t>
      </w:r>
    </w:p>
    <w:p w14:paraId="1254F0BC" w14:textId="3D9E94CA" w:rsidR="00123C74" w:rsidRPr="009A709D" w:rsidRDefault="00123C74" w:rsidP="00123C74">
      <w:pPr>
        <w:pStyle w:val="Equationlegend"/>
        <w:rPr>
          <w:lang w:val="es-ES_tradnl"/>
        </w:rPr>
      </w:pPr>
      <w:r w:rsidRPr="009A709D">
        <w:rPr>
          <w:lang w:val="es-ES_tradnl"/>
        </w:rPr>
        <w:tab/>
      </w:r>
      <w:r w:rsidR="000A597C" w:rsidRPr="009A709D">
        <w:rPr>
          <w:rFonts w:ascii="Cambria Math" w:eastAsia="Cambria Math" w:hAnsi="Cambria Math" w:cs="Cambria Math"/>
          <w:lang w:val="es-ES_tradnl"/>
        </w:rPr>
        <w:t>𝐺</w:t>
      </w:r>
      <w:r w:rsidR="000A597C" w:rsidRPr="009A709D">
        <w:rPr>
          <w:rFonts w:ascii="Cambria Math" w:eastAsia="Cambria Math" w:hAnsi="Cambria Math" w:cs="Cambria Math"/>
          <w:vertAlign w:val="subscript"/>
          <w:lang w:val="es-ES_tradnl"/>
        </w:rPr>
        <w:t>𝑟</w:t>
      </w:r>
      <w:r w:rsidRPr="009A709D">
        <w:rPr>
          <w:rFonts w:ascii="Cambria Math" w:hAnsi="Cambria Math"/>
          <w:lang w:val="es-ES_tradnl"/>
        </w:rPr>
        <w:t>:</w:t>
      </w:r>
      <w:r w:rsidRPr="009A709D">
        <w:rPr>
          <w:rFonts w:ascii="Cambria Math" w:hAnsi="Cambria Math"/>
          <w:lang w:val="es-ES_tradnl"/>
        </w:rPr>
        <w:tab/>
      </w:r>
      <w:r w:rsidRPr="009A709D">
        <w:rPr>
          <w:lang w:val="es-ES_tradnl"/>
        </w:rPr>
        <w:t xml:space="preserve">ganancia hacia el horizonte físico para un acimut dado (dBi) de la antena de la estación terrena del SIE </w:t>
      </w:r>
      <w:r w:rsidR="0059064F" w:rsidRPr="009A709D">
        <w:rPr>
          <w:lang w:val="es-ES_tradnl"/>
        </w:rPr>
        <w:t>objeto de interferencia</w:t>
      </w:r>
    </w:p>
    <w:p w14:paraId="5FA41CF5" w14:textId="17813C98" w:rsidR="00123C74" w:rsidRPr="009A709D" w:rsidRDefault="00123C74" w:rsidP="00123C74">
      <w:pPr>
        <w:pStyle w:val="Equationlegend"/>
        <w:rPr>
          <w:lang w:val="es-ES_tradnl"/>
        </w:rPr>
      </w:pPr>
      <w:r w:rsidRPr="009A709D">
        <w:rPr>
          <w:lang w:val="es-ES_tradnl"/>
        </w:rPr>
        <w:tab/>
      </w:r>
      <m:oMath>
        <m:sSub>
          <m:sSubPr>
            <m:ctrlPr>
              <w:rPr>
                <w:rFonts w:ascii="Cambria Math" w:eastAsia="Cambria Math" w:hAnsi="Cambria Math"/>
                <w:vertAlign w:val="subscript"/>
                <w:lang w:val="es-ES_tradnl"/>
              </w:rPr>
            </m:ctrlPr>
          </m:sSubPr>
          <m:e>
            <m:r>
              <w:rPr>
                <w:rFonts w:ascii="Cambria Math" w:eastAsia="Cambria Math" w:hAnsi="Cambria Math"/>
                <w:vertAlign w:val="subscript"/>
                <w:lang w:val="es-ES_tradnl"/>
              </w:rPr>
              <m:t>L</m:t>
            </m:r>
          </m:e>
          <m:sub>
            <m:r>
              <w:rPr>
                <w:rFonts w:ascii="Cambria Math" w:eastAsia="Cambria Math" w:hAnsi="Cambria Math"/>
                <w:vertAlign w:val="subscript"/>
                <w:lang w:val="es-ES_tradnl"/>
              </w:rPr>
              <m:t>req</m:t>
            </m:r>
          </m:sub>
        </m:sSub>
      </m:oMath>
      <w:r w:rsidR="000A597C" w:rsidRPr="009A709D">
        <w:rPr>
          <w:rFonts w:ascii="Cambria Math" w:eastAsia="Cambria Math" w:hAnsi="Cambria Math" w:cs="Cambria Math"/>
          <w:lang w:val="es-ES_tradnl"/>
        </w:rPr>
        <w:t>(𝑝</w:t>
      </w:r>
      <w:r w:rsidR="000A597C" w:rsidRPr="009A709D">
        <w:rPr>
          <w:rFonts w:ascii="Cambria Math" w:eastAsia="Cambria Math" w:hAnsi="Cambria Math" w:cs="Cambria Math"/>
          <w:vertAlign w:val="subscript"/>
          <w:lang w:val="es-ES_tradnl"/>
        </w:rPr>
        <w:t>𝑣</w:t>
      </w:r>
      <w:r w:rsidR="000A597C" w:rsidRPr="009A709D">
        <w:rPr>
          <w:rFonts w:ascii="Cambria Math" w:eastAsia="Cambria Math" w:hAnsi="Cambria Math" w:cs="Cambria Math"/>
          <w:lang w:val="es-ES_tradnl"/>
        </w:rPr>
        <w:t>)</w:t>
      </w:r>
      <w:r w:rsidRPr="009A709D">
        <w:rPr>
          <w:rFonts w:ascii="Cambria Math" w:hAnsi="Cambria Math"/>
          <w:lang w:val="es-ES_tradnl"/>
        </w:rPr>
        <w:t>:</w:t>
      </w:r>
      <w:r w:rsidRPr="009A709D">
        <w:rPr>
          <w:rFonts w:ascii="Cambria Math" w:hAnsi="Cambria Math"/>
          <w:lang w:val="es-ES_tradnl"/>
        </w:rPr>
        <w:tab/>
      </w:r>
      <w:r w:rsidRPr="009A709D">
        <w:rPr>
          <w:lang w:val="es-ES_tradnl"/>
        </w:rPr>
        <w:t xml:space="preserve">pérdida de propagación mínima requerida (dB) durante </w:t>
      </w:r>
      <w:r w:rsidR="0059064F" w:rsidRPr="009A709D">
        <w:rPr>
          <w:lang w:val="es-ES_tradnl"/>
        </w:rPr>
        <w:t>el</w:t>
      </w:r>
      <w:r w:rsidRPr="009A709D">
        <w:rPr>
          <w:lang w:val="es-ES_tradnl"/>
        </w:rPr>
        <w:t xml:space="preserve"> </w:t>
      </w:r>
      <w:r w:rsidR="000A597C" w:rsidRPr="009A709D">
        <w:rPr>
          <w:rFonts w:ascii="Cambria Math" w:eastAsia="Cambria Math" w:hAnsi="Cambria Math" w:cs="Cambria Math"/>
          <w:lang w:val="es-ES_tradnl"/>
        </w:rPr>
        <w:t>𝑝</w:t>
      </w:r>
      <w:r w:rsidR="000A597C" w:rsidRPr="009A709D">
        <w:rPr>
          <w:rFonts w:ascii="Cambria Math" w:eastAsia="Cambria Math" w:hAnsi="Cambria Math" w:cs="Cambria Math"/>
          <w:vertAlign w:val="subscript"/>
          <w:lang w:val="es-ES_tradnl"/>
        </w:rPr>
        <w:t>𝑣</w:t>
      </w:r>
      <w:r w:rsidR="000A597C" w:rsidRPr="009A709D">
        <w:rPr>
          <w:lang w:val="es-ES_tradnl"/>
        </w:rPr>
        <w:t>% d</w:t>
      </w:r>
      <w:r w:rsidRPr="009A709D">
        <w:rPr>
          <w:lang w:val="es-ES_tradnl"/>
        </w:rPr>
        <w:t xml:space="preserve">el tiempo; esta pérdida debe ser superada por las pérdidas en el trayecto de propagación para todos los valores </w:t>
      </w:r>
      <w:r w:rsidR="000A597C" w:rsidRPr="009A709D">
        <w:rPr>
          <w:lang w:val="es-ES_tradnl"/>
        </w:rPr>
        <w:t xml:space="preserve">posibles </w:t>
      </w:r>
      <w:r w:rsidRPr="009A709D">
        <w:rPr>
          <w:lang w:val="es-ES_tradnl"/>
        </w:rPr>
        <w:t xml:space="preserve">de </w:t>
      </w:r>
      <w:r w:rsidR="000A597C" w:rsidRPr="009A709D">
        <w:rPr>
          <w:rFonts w:ascii="Cambria Math" w:eastAsia="Cambria Math" w:hAnsi="Cambria Math" w:cs="Cambria Math"/>
          <w:lang w:val="es-ES_tradnl"/>
        </w:rPr>
        <w:t>𝑝</w:t>
      </w:r>
      <w:r w:rsidR="000A597C" w:rsidRPr="009A709D">
        <w:rPr>
          <w:rFonts w:ascii="Cambria Math" w:eastAsia="Cambria Math" w:hAnsi="Cambria Math" w:cs="Cambria Math"/>
          <w:vertAlign w:val="subscript"/>
          <w:lang w:val="es-ES_tradnl"/>
        </w:rPr>
        <w:t>𝑣</w:t>
      </w:r>
      <w:r w:rsidR="000A597C" w:rsidRPr="009A709D">
        <w:rPr>
          <w:lang w:val="es-ES_tradnl"/>
        </w:rPr>
        <w:t>% obtenidos mediant</w:t>
      </w:r>
      <w:r w:rsidRPr="009A709D">
        <w:rPr>
          <w:lang w:val="es-ES_tradnl"/>
        </w:rPr>
        <w:t xml:space="preserve">e la función de distribución acumulativa complementaria </w:t>
      </w:r>
      <w:r w:rsidR="00447F2A" w:rsidRPr="009A709D">
        <w:rPr>
          <w:lang w:val="es-ES_tradnl"/>
        </w:rPr>
        <w:t xml:space="preserve">(FDAC) </w:t>
      </w:r>
      <w:r w:rsidRPr="009A709D">
        <w:rPr>
          <w:lang w:val="es-ES_tradnl"/>
        </w:rPr>
        <w:t>de</w:t>
      </w:r>
      <w:r w:rsidR="005128D0" w:rsidRPr="009A709D">
        <w:rPr>
          <w:lang w:val="es-ES_tradnl"/>
        </w:rPr>
        <w:t xml:space="preserve"> la</w:t>
      </w:r>
      <w:r w:rsidRPr="009A709D">
        <w:rPr>
          <w:lang w:val="es-ES_tradnl"/>
        </w:rPr>
        <w:t xml:space="preserve"> ganancia considerada</w:t>
      </w:r>
      <w:r w:rsidR="000A597C" w:rsidRPr="009A709D">
        <w:rPr>
          <w:lang w:val="es-ES_tradnl"/>
        </w:rPr>
        <w:t xml:space="preserve">. </w:t>
      </w:r>
      <w:r w:rsidR="000A597C" w:rsidRPr="009A709D">
        <w:rPr>
          <w:rFonts w:ascii="Cambria Math" w:eastAsia="Cambria Math" w:hAnsi="Cambria Math" w:cs="Cambria Math"/>
          <w:lang w:val="es-ES_tradnl"/>
        </w:rPr>
        <w:t>𝑝</w:t>
      </w:r>
      <w:r w:rsidR="000A597C" w:rsidRPr="009A709D">
        <w:rPr>
          <w:rFonts w:ascii="Cambria Math" w:eastAsia="Cambria Math" w:hAnsi="Cambria Math" w:cs="Cambria Math"/>
          <w:vertAlign w:val="subscript"/>
          <w:lang w:val="es-ES_tradnl"/>
        </w:rPr>
        <w:t>𝑣</w:t>
      </w:r>
      <w:r w:rsidR="000A597C" w:rsidRPr="009A709D">
        <w:rPr>
          <w:lang w:val="es-ES_tradnl"/>
        </w:rPr>
        <w:t xml:space="preserve"> </w:t>
      </w:r>
      <w:r w:rsidRPr="009A709D">
        <w:rPr>
          <w:lang w:val="es-ES_tradnl"/>
        </w:rPr>
        <w:t xml:space="preserve">es el porcentaje de tiempo que aproxima la convolución entre la ganancia </w:t>
      </w:r>
      <w:r w:rsidR="00C1676C" w:rsidRPr="009A709D">
        <w:rPr>
          <w:lang w:val="es-ES_tradnl"/>
        </w:rPr>
        <w:t>hacia el</w:t>
      </w:r>
      <w:r w:rsidRPr="009A709D">
        <w:rPr>
          <w:lang w:val="es-ES_tradnl"/>
        </w:rPr>
        <w:t xml:space="preserve"> horizonte variable y las pérdidas </w:t>
      </w:r>
      <w:r w:rsidR="00C1676C" w:rsidRPr="009A709D">
        <w:rPr>
          <w:lang w:val="es-ES_tradnl"/>
        </w:rPr>
        <w:t>de</w:t>
      </w:r>
      <w:r w:rsidRPr="009A709D">
        <w:rPr>
          <w:lang w:val="es-ES_tradnl"/>
        </w:rPr>
        <w:t xml:space="preserve"> trayecto de</w:t>
      </w:r>
      <w:r w:rsidR="00C1676C" w:rsidRPr="009A709D">
        <w:rPr>
          <w:lang w:val="es-ES_tradnl"/>
        </w:rPr>
        <w:t>bidas a</w:t>
      </w:r>
      <w:r w:rsidRPr="009A709D">
        <w:rPr>
          <w:lang w:val="es-ES_tradnl"/>
        </w:rPr>
        <w:t>l modo de propagación, y viene dado por la ecuación (2)</w:t>
      </w:r>
    </w:p>
    <w:p w14:paraId="35F7D9D7" w14:textId="0ADD9077" w:rsidR="00123C74" w:rsidRPr="009A709D" w:rsidRDefault="00123C74" w:rsidP="005128D0">
      <w:pPr>
        <w:pStyle w:val="Equationlegend"/>
        <w:rPr>
          <w:rFonts w:ascii="Cambria Math" w:eastAsia="Cambria Math" w:hAnsi="Cambria Math" w:cs="Cambria Math"/>
          <w:lang w:val="es-ES_tradnl"/>
        </w:rPr>
      </w:pPr>
      <w:r w:rsidRPr="009A709D">
        <w:rPr>
          <w:lang w:val="es-ES_tradnl"/>
        </w:rPr>
        <w:tab/>
      </w:r>
      <w:r w:rsidRPr="009A709D">
        <w:rPr>
          <w:i/>
          <w:lang w:val="es-ES_tradnl"/>
        </w:rPr>
        <w:t>Lc</w:t>
      </w:r>
      <w:r w:rsidRPr="009A709D">
        <w:rPr>
          <w:lang w:val="es-ES_tradnl"/>
        </w:rPr>
        <w:t>:</w:t>
      </w:r>
      <w:r w:rsidRPr="009A709D">
        <w:rPr>
          <w:lang w:val="es-ES_tradnl"/>
        </w:rPr>
        <w:tab/>
        <w:t>pérdida debida a la ocupación del suelo (dB) aplicable al entorno específico de la estación terrena del SIE, si procede. La pérdida debida a la ocupación del suelo aplicable a la estación base IMT debe</w:t>
      </w:r>
      <w:r w:rsidR="00C1676C" w:rsidRPr="009A709D">
        <w:rPr>
          <w:lang w:val="es-ES_tradnl"/>
        </w:rPr>
        <w:t>ría</w:t>
      </w:r>
      <w:r w:rsidRPr="009A709D">
        <w:rPr>
          <w:lang w:val="es-ES_tradnl"/>
        </w:rPr>
        <w:t xml:space="preserve"> abordarse </w:t>
      </w:r>
      <w:r w:rsidR="005128D0" w:rsidRPr="009A709D">
        <w:rPr>
          <w:lang w:val="es-ES_tradnl"/>
        </w:rPr>
        <w:t>en el marco de una coordinación exhaustiva</w:t>
      </w:r>
      <w:r w:rsidRPr="009A709D">
        <w:rPr>
          <w:lang w:val="es-ES_tradnl"/>
        </w:rPr>
        <w:t>, cuando se conozca el entorno en el que está ubicada la estación base:</w:t>
      </w:r>
    </w:p>
    <w:p w14:paraId="305CCE9F" w14:textId="77777777" w:rsidR="006140A2" w:rsidRDefault="006140A2" w:rsidP="006140A2">
      <w:pPr>
        <w:pStyle w:val="Blanc"/>
        <w:rPr>
          <w:lang w:val="es-ES_tradnl"/>
        </w:rPr>
      </w:pPr>
    </w:p>
    <w:p w14:paraId="46EB8744" w14:textId="1017982A" w:rsidR="006140A2" w:rsidRPr="006140A2" w:rsidRDefault="006140A2" w:rsidP="006140A2">
      <w:pPr>
        <w:tabs>
          <w:tab w:val="clear" w:pos="1191"/>
          <w:tab w:val="clear" w:pos="1588"/>
          <w:tab w:val="clear" w:pos="1985"/>
          <w:tab w:val="center" w:pos="4820"/>
          <w:tab w:val="right" w:pos="9639"/>
        </w:tabs>
        <w:rPr>
          <w:rFonts w:eastAsia="Cambria Math"/>
          <w:vertAlign w:val="subscript"/>
          <w:lang w:val="en-GB"/>
        </w:rPr>
      </w:pPr>
      <w:r w:rsidRPr="006140A2">
        <w:rPr>
          <w:rFonts w:eastAsia="Cambria Math"/>
          <w:vertAlign w:val="subscript"/>
          <w:lang w:val="en-GB"/>
        </w:rPr>
        <w:tab/>
      </w:r>
      <w:r w:rsidRPr="006140A2">
        <w:rPr>
          <w:rFonts w:eastAsia="Cambria Math"/>
          <w:vertAlign w:val="subscript"/>
          <w:lang w:val="en-GB"/>
        </w:rPr>
        <w:tab/>
      </w:r>
      <w:r w:rsidRPr="006140A2">
        <w:rPr>
          <w:rFonts w:eastAsia="Cambria Math"/>
          <w:position w:val="-50"/>
          <w:vertAlign w:val="subscript"/>
          <w:lang w:val="fr-FR"/>
        </w:rPr>
        <w:object w:dxaOrig="5100" w:dyaOrig="1120" w14:anchorId="3DCB9A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54.25pt;height:59.25pt" o:ole="" fillcolor="window">
            <v:imagedata r:id="rId24" o:title=""/>
          </v:shape>
          <o:OLEObject Type="Embed" ProgID="Equation.DSMT4" ShapeID="_x0000_i1044" DrawAspect="Content" ObjectID="_1713774983" r:id="rId25"/>
        </w:object>
      </w:r>
      <w:r w:rsidRPr="006140A2">
        <w:rPr>
          <w:rFonts w:eastAsia="Cambria Math"/>
          <w:vertAlign w:val="subscript"/>
          <w:lang w:val="en-GB"/>
        </w:rPr>
        <w:tab/>
      </w:r>
      <w:r w:rsidRPr="006140A2">
        <w:rPr>
          <w:lang w:val="en-GB"/>
        </w:rPr>
        <w:t>(2)</w:t>
      </w:r>
    </w:p>
    <w:p w14:paraId="1537E95B" w14:textId="77777777" w:rsidR="006140A2" w:rsidRDefault="006140A2" w:rsidP="006140A2">
      <w:pPr>
        <w:pStyle w:val="Blanc"/>
        <w:rPr>
          <w:lang w:val="es-ES_tradnl"/>
        </w:rPr>
      </w:pPr>
    </w:p>
    <w:p w14:paraId="6D5D5E27" w14:textId="7334D031" w:rsidR="00123C74" w:rsidRPr="009A709D" w:rsidRDefault="00123C74" w:rsidP="00123C74">
      <w:pPr>
        <w:rPr>
          <w:lang w:val="es-ES_tradnl"/>
        </w:rPr>
      </w:pPr>
      <w:r w:rsidRPr="009A709D">
        <w:rPr>
          <w:lang w:val="es-ES_tradnl"/>
        </w:rPr>
        <w:t>La limitación del 50% procede del modelo de propagación empleado</w:t>
      </w:r>
      <w:r w:rsidR="00C1676C" w:rsidRPr="009A709D">
        <w:rPr>
          <w:lang w:val="es-ES_tradnl"/>
        </w:rPr>
        <w:t xml:space="preserve"> (véase</w:t>
      </w:r>
      <w:r w:rsidRPr="009A709D">
        <w:rPr>
          <w:lang w:val="es-ES_tradnl"/>
        </w:rPr>
        <w:t xml:space="preserve"> la Recomendación UIT</w:t>
      </w:r>
      <w:r w:rsidR="00CA01A7" w:rsidRPr="009A709D">
        <w:rPr>
          <w:lang w:val="es-ES_tradnl"/>
        </w:rPr>
        <w:noBreakHyphen/>
      </w:r>
      <w:r w:rsidRPr="009A709D">
        <w:rPr>
          <w:lang w:val="es-ES_tradnl"/>
        </w:rPr>
        <w:t>R</w:t>
      </w:r>
      <w:r w:rsidR="006140A2">
        <w:rPr>
          <w:lang w:val="es-ES_tradnl"/>
        </w:rPr>
        <w:t> </w:t>
      </w:r>
      <w:hyperlink r:id="rId26" w:history="1">
        <w:r w:rsidRPr="009A709D">
          <w:rPr>
            <w:rStyle w:val="Hyperlink"/>
            <w:color w:val="auto"/>
            <w:u w:val="none"/>
            <w:lang w:val="es-ES_tradnl"/>
          </w:rPr>
          <w:t>P.452</w:t>
        </w:r>
      </w:hyperlink>
      <w:r w:rsidR="00C1676C" w:rsidRPr="009A709D">
        <w:rPr>
          <w:rStyle w:val="Hyperlink"/>
          <w:color w:val="auto"/>
          <w:u w:val="none"/>
          <w:lang w:val="es-ES_tradnl"/>
        </w:rPr>
        <w:t>)</w:t>
      </w:r>
      <w:r w:rsidRPr="009A709D">
        <w:rPr>
          <w:lang w:val="es-ES_tradnl"/>
        </w:rPr>
        <w:t xml:space="preserve">, que </w:t>
      </w:r>
      <w:r w:rsidR="002E34E2" w:rsidRPr="009A709D">
        <w:rPr>
          <w:lang w:val="es-ES_tradnl"/>
        </w:rPr>
        <w:t>se</w:t>
      </w:r>
      <w:r w:rsidRPr="009A709D">
        <w:rPr>
          <w:lang w:val="es-ES_tradnl"/>
        </w:rPr>
        <w:t xml:space="preserve"> limita a porcentajes de tiempo de hasta el 50%.</w:t>
      </w:r>
    </w:p>
    <w:p w14:paraId="31F1EA4B" w14:textId="77777777" w:rsidR="00123C74" w:rsidRPr="009A709D" w:rsidRDefault="00123C74" w:rsidP="006140A2">
      <w:pPr>
        <w:pStyle w:val="Heading1"/>
        <w:rPr>
          <w:lang w:val="es-ES_tradnl"/>
        </w:rPr>
      </w:pPr>
      <w:bookmarkStart w:id="31" w:name="_Toc83389340"/>
      <w:bookmarkStart w:id="32" w:name="_Toc83712964"/>
      <w:bookmarkStart w:id="33" w:name="_Toc83713037"/>
      <w:bookmarkStart w:id="34" w:name="_Toc83713150"/>
      <w:bookmarkStart w:id="35" w:name="_Toc83723553"/>
      <w:bookmarkStart w:id="36" w:name="_Toc86738366"/>
      <w:bookmarkStart w:id="37" w:name="_Toc102570757"/>
      <w:bookmarkStart w:id="38" w:name="_Toc102986150"/>
      <w:r w:rsidRPr="009A709D">
        <w:rPr>
          <w:lang w:val="es-ES_tradnl"/>
        </w:rPr>
        <w:lastRenderedPageBreak/>
        <w:t>3</w:t>
      </w:r>
      <w:r w:rsidRPr="009A709D">
        <w:rPr>
          <w:lang w:val="es-ES_tradnl"/>
        </w:rPr>
        <w:tab/>
        <w:t>Determinación de la potencia total de la estación base IMT-2020</w:t>
      </w:r>
      <w:bookmarkEnd w:id="31"/>
      <w:bookmarkEnd w:id="32"/>
      <w:bookmarkEnd w:id="33"/>
      <w:bookmarkEnd w:id="34"/>
      <w:bookmarkEnd w:id="35"/>
      <w:bookmarkEnd w:id="36"/>
      <w:bookmarkEnd w:id="37"/>
      <w:bookmarkEnd w:id="38"/>
    </w:p>
    <w:p w14:paraId="28B60275" w14:textId="5CDD6534" w:rsidR="00123C74" w:rsidRPr="009A709D" w:rsidRDefault="00123C74" w:rsidP="006140A2">
      <w:pPr>
        <w:keepNext/>
        <w:keepLines/>
        <w:rPr>
          <w:rFonts w:eastAsiaTheme="minorEastAsia"/>
          <w:szCs w:val="24"/>
          <w:lang w:val="es-ES_tradnl"/>
        </w:rPr>
      </w:pPr>
      <w:r w:rsidRPr="009A709D">
        <w:rPr>
          <w:lang w:val="es-ES_tradnl"/>
        </w:rPr>
        <w:t xml:space="preserve">La potencia total de la estación base IMT-2020, </w:t>
      </w:r>
      <w:r w:rsidRPr="009A709D">
        <w:rPr>
          <w:i/>
          <w:lang w:val="es-ES_tradnl"/>
        </w:rPr>
        <w:t>P</w:t>
      </w:r>
      <w:r w:rsidRPr="009A709D">
        <w:rPr>
          <w:i/>
          <w:vertAlign w:val="subscript"/>
          <w:lang w:val="es-ES_tradnl"/>
        </w:rPr>
        <w:t>t</w:t>
      </w:r>
      <w:r w:rsidR="002E34E2" w:rsidRPr="009A709D">
        <w:rPr>
          <w:lang w:val="es-ES_tradnl"/>
        </w:rPr>
        <w:t>, e</w:t>
      </w:r>
      <w:r w:rsidRPr="009A709D">
        <w:rPr>
          <w:lang w:val="es-ES_tradnl"/>
        </w:rPr>
        <w:t>n dBW, viene dada por la ecuación (3).</w:t>
      </w:r>
    </w:p>
    <w:p w14:paraId="79FB4317" w14:textId="77777777" w:rsidR="006140A2" w:rsidRPr="00A475C8" w:rsidRDefault="006140A2" w:rsidP="006140A2">
      <w:pPr>
        <w:pStyle w:val="Blanc"/>
      </w:pPr>
    </w:p>
    <w:p w14:paraId="698919B8" w14:textId="15EF785F" w:rsidR="00123C74" w:rsidRPr="006140A2" w:rsidRDefault="00123C74" w:rsidP="006140A2">
      <w:pPr>
        <w:pStyle w:val="Equation"/>
        <w:keepNext/>
        <w:keepLines/>
      </w:pPr>
      <w:r w:rsidRPr="006140A2">
        <w:tab/>
      </w:r>
      <w:r w:rsidRPr="006140A2">
        <w:tab/>
      </w:r>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m:t>
            </m:r>
          </m:sub>
        </m:sSub>
        <m:r>
          <m:rPr>
            <m:sty m:val="p"/>
          </m:rP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N</m:t>
                </m:r>
              </m:e>
            </m:d>
          </m:e>
        </m:func>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O</m:t>
            </m:r>
          </m:sub>
        </m:sSub>
        <m:r>
          <m:rPr>
            <m:sty m:val="p"/>
          </m:rPr>
          <w:rPr>
            <w:rFonts w:ascii="Cambria Math" w:eastAsia="Cambria Math" w:hAnsi="Cambria Math"/>
          </w:rPr>
          <m:t>- 30 +10log</m:t>
        </m:r>
        <m:d>
          <m:dPr>
            <m:ctrlPr>
              <w:rPr>
                <w:rFonts w:ascii="Cambria Math" w:eastAsia="Cambria Math" w:hAnsi="Cambria Math"/>
              </w:rPr>
            </m:ctrlPr>
          </m:dPr>
          <m:e>
            <m:f>
              <m:fPr>
                <m:ctrlPr>
                  <w:rPr>
                    <w:rFonts w:ascii="Cambria Math" w:eastAsia="Cambria Math" w:hAnsi="Cambria Math"/>
                  </w:rPr>
                </m:ctrlPr>
              </m:fPr>
              <m:num>
                <m:sSub>
                  <m:sSubPr>
                    <m:ctrlPr>
                      <w:rPr>
                        <w:rFonts w:ascii="Cambria Math" w:eastAsia="Cambria Math" w:hAnsi="Cambria Math"/>
                      </w:rPr>
                    </m:ctrlPr>
                  </m:sSubPr>
                  <m:e>
                    <m:r>
                      <w:rPr>
                        <w:rFonts w:ascii="Cambria Math" w:eastAsia="Cambria Math" w:hAnsi="Cambria Math"/>
                      </w:rPr>
                      <m:t>B</m:t>
                    </m:r>
                  </m:e>
                  <m:sub>
                    <m:r>
                      <w:rPr>
                        <w:rFonts w:ascii="Cambria Math" w:eastAsia="Cambria Math" w:hAnsi="Cambria Math"/>
                      </w:rPr>
                      <m:t>ref</m:t>
                    </m:r>
                  </m:sub>
                </m:sSub>
              </m:num>
              <m:den>
                <m:sSub>
                  <m:sSubPr>
                    <m:ctrlPr>
                      <w:rPr>
                        <w:rFonts w:ascii="Cambria Math" w:eastAsia="Cambria Math" w:hAnsi="Cambria Math"/>
                      </w:rPr>
                    </m:ctrlPr>
                  </m:sSubPr>
                  <m:e>
                    <m:r>
                      <w:rPr>
                        <w:rFonts w:ascii="Cambria Math" w:eastAsia="Cambria Math" w:hAnsi="Cambria Math"/>
                      </w:rPr>
                      <m:t>B</m:t>
                    </m:r>
                  </m:e>
                  <m:sub>
                    <m:r>
                      <w:rPr>
                        <w:rFonts w:ascii="Cambria Math" w:eastAsia="Cambria Math" w:hAnsi="Cambria Math"/>
                      </w:rPr>
                      <m:t>IMT</m:t>
                    </m:r>
                  </m:sub>
                </m:sSub>
              </m:den>
            </m:f>
          </m:e>
        </m:d>
      </m:oMath>
      <w:r w:rsidRPr="006140A2">
        <w:tab/>
        <w:t>(3)</w:t>
      </w:r>
    </w:p>
    <w:p w14:paraId="4BAC922B" w14:textId="77777777" w:rsidR="00123C74" w:rsidRPr="009A709D" w:rsidRDefault="00123C74" w:rsidP="00AB187A">
      <w:pPr>
        <w:rPr>
          <w:lang w:val="es-ES_tradnl"/>
        </w:rPr>
      </w:pPr>
      <w:r w:rsidRPr="009A709D">
        <w:rPr>
          <w:lang w:val="es-ES_tradnl"/>
        </w:rPr>
        <w:t>donde:</w:t>
      </w:r>
    </w:p>
    <w:p w14:paraId="36704BCC" w14:textId="44DCA719" w:rsidR="00123C74" w:rsidRPr="009A709D" w:rsidRDefault="00123C74" w:rsidP="006140A2">
      <w:pPr>
        <w:pStyle w:val="Equationlegend"/>
        <w:rPr>
          <w:rFonts w:eastAsia="Cambria Math"/>
          <w:lang w:val="es-ES_tradnl"/>
        </w:rPr>
      </w:pPr>
      <w:r w:rsidRPr="009A709D">
        <w:rPr>
          <w:rFonts w:ascii="Cambria Math" w:hAnsi="Cambria Math"/>
          <w:lang w:val="es-ES_tradnl"/>
        </w:rPr>
        <w:tab/>
      </w:r>
      <w:r w:rsidRPr="009A709D">
        <w:rPr>
          <w:i/>
          <w:lang w:val="es-ES_tradnl"/>
        </w:rPr>
        <w:t>P</w:t>
      </w:r>
      <w:r w:rsidRPr="009A709D">
        <w:rPr>
          <w:i/>
          <w:vertAlign w:val="subscript"/>
          <w:lang w:val="es-ES_tradnl"/>
        </w:rPr>
        <w:t>e</w:t>
      </w:r>
      <w:r w:rsidRPr="009A709D">
        <w:rPr>
          <w:i/>
          <w:lang w:val="es-ES_tradnl"/>
        </w:rPr>
        <w:t xml:space="preserve"> (dBm)</w:t>
      </w:r>
      <w:r w:rsidRPr="009A709D">
        <w:rPr>
          <w:lang w:val="es-ES_tradnl"/>
        </w:rPr>
        <w:t>:</w:t>
      </w:r>
      <w:r w:rsidRPr="009A709D">
        <w:rPr>
          <w:lang w:val="es-ES_tradnl"/>
        </w:rPr>
        <w:tab/>
        <w:t>potencia por elemento de antena</w:t>
      </w:r>
    </w:p>
    <w:p w14:paraId="0D18923A" w14:textId="1FFC593F" w:rsidR="00123C74" w:rsidRPr="009A709D" w:rsidRDefault="00123C74" w:rsidP="00123C74">
      <w:pPr>
        <w:pStyle w:val="Equationlegend"/>
        <w:rPr>
          <w:rFonts w:eastAsia="Cambria Math"/>
          <w:lang w:val="es-ES_tradnl"/>
        </w:rPr>
      </w:pPr>
      <w:r w:rsidRPr="009A709D">
        <w:rPr>
          <w:rFonts w:ascii="Cambria Math" w:hAnsi="Cambria Math"/>
          <w:lang w:val="es-ES_tradnl"/>
        </w:rPr>
        <w:tab/>
      </w:r>
      <w:r w:rsidRPr="009A709D">
        <w:rPr>
          <w:i/>
          <w:lang w:val="es-ES_tradnl"/>
        </w:rPr>
        <w:t>N</w:t>
      </w:r>
      <w:r w:rsidRPr="009A709D">
        <w:rPr>
          <w:lang w:val="es-ES_tradnl"/>
        </w:rPr>
        <w:t>:</w:t>
      </w:r>
      <w:r w:rsidRPr="009A709D">
        <w:rPr>
          <w:i/>
          <w:lang w:val="es-ES_tradnl"/>
        </w:rPr>
        <w:tab/>
      </w:r>
      <w:r w:rsidRPr="009A709D">
        <w:rPr>
          <w:lang w:val="es-ES_tradnl"/>
        </w:rPr>
        <w:t>número de elementos de antena</w:t>
      </w:r>
    </w:p>
    <w:p w14:paraId="02AE68A1" w14:textId="3E6011B9" w:rsidR="00123C74" w:rsidRPr="009A709D" w:rsidRDefault="00123C74" w:rsidP="00123C74">
      <w:pPr>
        <w:pStyle w:val="Equationlegend"/>
        <w:rPr>
          <w:rFonts w:eastAsia="Cambria Math"/>
          <w:lang w:val="es-ES_tradnl"/>
        </w:rPr>
      </w:pPr>
      <w:r w:rsidRPr="009A709D">
        <w:rPr>
          <w:rFonts w:ascii="Cambria Math" w:hAnsi="Cambria Math"/>
          <w:lang w:val="es-ES_tradnl"/>
        </w:rPr>
        <w:tab/>
      </w:r>
      <w:r w:rsidRPr="009A709D">
        <w:rPr>
          <w:i/>
          <w:lang w:val="es-ES_tradnl"/>
        </w:rPr>
        <w:t>L</w:t>
      </w:r>
      <w:r w:rsidRPr="009A709D">
        <w:rPr>
          <w:i/>
          <w:vertAlign w:val="subscript"/>
          <w:lang w:val="es-ES_tradnl"/>
        </w:rPr>
        <w:t>O</w:t>
      </w:r>
      <w:r w:rsidRPr="009A709D">
        <w:rPr>
          <w:i/>
          <w:lang w:val="es-ES_tradnl"/>
        </w:rPr>
        <w:t xml:space="preserve"> (dB)</w:t>
      </w:r>
      <w:r w:rsidRPr="009A709D">
        <w:rPr>
          <w:lang w:val="es-ES_tradnl"/>
        </w:rPr>
        <w:t>:</w:t>
      </w:r>
      <w:r w:rsidRPr="009A709D">
        <w:rPr>
          <w:lang w:val="es-ES_tradnl"/>
        </w:rPr>
        <w:tab/>
        <w:t>pérdidas óhmicas</w:t>
      </w:r>
    </w:p>
    <w:p w14:paraId="77F0ACBF" w14:textId="4CD215E7" w:rsidR="00123C74" w:rsidRPr="009A709D" w:rsidRDefault="00123C74" w:rsidP="00123C74">
      <w:pPr>
        <w:pStyle w:val="Equationlegend"/>
        <w:rPr>
          <w:rFonts w:eastAsia="Cambria Math"/>
          <w:lang w:val="es-ES_tradnl"/>
        </w:rPr>
      </w:pPr>
      <w:r w:rsidRPr="009A709D">
        <w:rPr>
          <w:rFonts w:ascii="Cambria Math" w:hAnsi="Cambria Math"/>
          <w:lang w:val="es-ES_tradnl"/>
        </w:rPr>
        <w:tab/>
      </w:r>
      <w:r w:rsidRPr="009A709D">
        <w:rPr>
          <w:i/>
          <w:lang w:val="es-ES_tradnl"/>
        </w:rPr>
        <w:t>B</w:t>
      </w:r>
      <w:r w:rsidRPr="009A709D">
        <w:rPr>
          <w:i/>
          <w:vertAlign w:val="subscript"/>
          <w:lang w:val="es-ES_tradnl"/>
        </w:rPr>
        <w:t>ref</w:t>
      </w:r>
      <w:r w:rsidRPr="009A709D">
        <w:rPr>
          <w:lang w:val="es-ES_tradnl"/>
        </w:rPr>
        <w:t>:</w:t>
      </w:r>
      <w:r w:rsidRPr="009A709D">
        <w:rPr>
          <w:i/>
          <w:lang w:val="es-ES_tradnl"/>
        </w:rPr>
        <w:tab/>
      </w:r>
      <w:r w:rsidR="002E34E2" w:rsidRPr="009A709D">
        <w:rPr>
          <w:lang w:val="es-ES_tradnl"/>
        </w:rPr>
        <w:t>ancho de</w:t>
      </w:r>
      <w:r w:rsidRPr="009A709D">
        <w:rPr>
          <w:lang w:val="es-ES_tradnl"/>
        </w:rPr>
        <w:t xml:space="preserve"> banda de referencia del criterio de protección del SIE (MHz para 26 GHz, Hz para 37-38 GHz)</w:t>
      </w:r>
    </w:p>
    <w:p w14:paraId="6720076F" w14:textId="588969F7" w:rsidR="00123C74" w:rsidRPr="009A709D" w:rsidRDefault="00123C74" w:rsidP="00123C74">
      <w:pPr>
        <w:pStyle w:val="Equationlegend"/>
        <w:rPr>
          <w:rFonts w:eastAsia="Cambria Math"/>
          <w:lang w:val="es-ES_tradnl"/>
        </w:rPr>
      </w:pPr>
      <w:r w:rsidRPr="009A709D">
        <w:rPr>
          <w:rFonts w:ascii="Cambria Math" w:hAnsi="Cambria Math"/>
          <w:lang w:val="es-ES_tradnl"/>
        </w:rPr>
        <w:tab/>
      </w:r>
      <w:r w:rsidRPr="009A709D">
        <w:rPr>
          <w:i/>
          <w:lang w:val="es-ES_tradnl"/>
        </w:rPr>
        <w:t>B</w:t>
      </w:r>
      <w:r w:rsidRPr="009A709D">
        <w:rPr>
          <w:i/>
          <w:vertAlign w:val="subscript"/>
          <w:lang w:val="es-ES_tradnl"/>
        </w:rPr>
        <w:t>IMT</w:t>
      </w:r>
      <w:r w:rsidRPr="009A709D">
        <w:rPr>
          <w:lang w:val="es-ES_tradnl"/>
        </w:rPr>
        <w:t>:</w:t>
      </w:r>
      <w:r w:rsidRPr="009A709D">
        <w:rPr>
          <w:lang w:val="es-ES_tradnl"/>
        </w:rPr>
        <w:tab/>
      </w:r>
      <w:r w:rsidR="002E34E2" w:rsidRPr="009A709D">
        <w:rPr>
          <w:lang w:val="es-ES_tradnl"/>
        </w:rPr>
        <w:t>ancho de</w:t>
      </w:r>
      <w:r w:rsidRPr="009A709D">
        <w:rPr>
          <w:lang w:val="es-ES_tradnl"/>
        </w:rPr>
        <w:t xml:space="preserve"> banda de referencia para la estación base IMT (MHz para 26 GHz, Hz para 37</w:t>
      </w:r>
      <w:r w:rsidRPr="009A709D">
        <w:rPr>
          <w:lang w:val="es-ES_tradnl"/>
        </w:rPr>
        <w:noBreakHyphen/>
        <w:t>38 GHz).</w:t>
      </w:r>
    </w:p>
    <w:p w14:paraId="52CA1B65" w14:textId="2881311A" w:rsidR="00123C74" w:rsidRPr="009A709D" w:rsidRDefault="00123C74" w:rsidP="00AB187A">
      <w:pPr>
        <w:rPr>
          <w:spacing w:val="-2"/>
          <w:lang w:val="es-ES_tradnl"/>
        </w:rPr>
      </w:pPr>
      <w:r w:rsidRPr="009A709D">
        <w:rPr>
          <w:lang w:val="es-ES_tradnl"/>
        </w:rPr>
        <w:t>A modo de ejemplo, una antena urbana o suburbana de 8 × 8 elementos a 26 GHz con una potencia de entrada de 10 dB(m/200 MHz) por elemento y una pérdida óhmica de 3 dB tendría una potencia total de −28 dB(W/MHz).</w:t>
      </w:r>
    </w:p>
    <w:p w14:paraId="2E89C503" w14:textId="77777777" w:rsidR="00123C74" w:rsidRPr="009A709D" w:rsidRDefault="00123C74" w:rsidP="00123C74">
      <w:pPr>
        <w:pStyle w:val="Heading1"/>
        <w:rPr>
          <w:lang w:val="es-ES_tradnl"/>
        </w:rPr>
      </w:pPr>
      <w:bookmarkStart w:id="39" w:name="_Toc83389341"/>
      <w:bookmarkStart w:id="40" w:name="_Toc83712965"/>
      <w:bookmarkStart w:id="41" w:name="_Toc83713038"/>
      <w:bookmarkStart w:id="42" w:name="_Toc83713151"/>
      <w:bookmarkStart w:id="43" w:name="_Toc83723554"/>
      <w:bookmarkStart w:id="44" w:name="_Toc86738367"/>
      <w:bookmarkStart w:id="45" w:name="_Toc102570758"/>
      <w:bookmarkStart w:id="46" w:name="_Toc102986151"/>
      <w:r w:rsidRPr="009A709D">
        <w:rPr>
          <w:lang w:val="es-ES_tradnl"/>
        </w:rPr>
        <w:t>4</w:t>
      </w:r>
      <w:r w:rsidRPr="009A709D">
        <w:rPr>
          <w:lang w:val="es-ES_tradnl"/>
        </w:rPr>
        <w:tab/>
        <w:t>Determinación de la distribución de la ganancia hacia el horizonte de la antena de la estación base IMT-2020</w:t>
      </w:r>
      <w:bookmarkEnd w:id="39"/>
      <w:bookmarkEnd w:id="40"/>
      <w:bookmarkEnd w:id="41"/>
      <w:bookmarkEnd w:id="42"/>
      <w:bookmarkEnd w:id="43"/>
      <w:bookmarkEnd w:id="44"/>
      <w:bookmarkEnd w:id="45"/>
      <w:bookmarkEnd w:id="46"/>
    </w:p>
    <w:p w14:paraId="7657DD54" w14:textId="063C3D31" w:rsidR="00123C74" w:rsidRPr="009A709D" w:rsidRDefault="00123C74" w:rsidP="00AB187A">
      <w:pPr>
        <w:rPr>
          <w:lang w:val="es-ES_tradnl"/>
        </w:rPr>
      </w:pPr>
      <w:r w:rsidRPr="009A709D">
        <w:rPr>
          <w:lang w:val="es-ES_tradnl"/>
        </w:rPr>
        <w:t xml:space="preserve">Se asume que el panel de la antena de la estación base apunta hacia la estación terrena del SIE en acimut. La distribución de la ganancia hacia el horizonte de la antena se determina a partir de la distribución de los ángulos de acimut eléctrico </w:t>
      </w:r>
      <w:r w:rsidRPr="009A709D">
        <w:rPr>
          <w:rFonts w:ascii="Cambria Math" w:hAnsi="Cambria Math"/>
          <w:lang w:val="es-ES_tradnl"/>
        </w:rPr>
        <w:t>φ</w:t>
      </w:r>
      <w:r w:rsidRPr="009A709D">
        <w:rPr>
          <w:rFonts w:ascii="Cambria Math" w:hAnsi="Cambria Math"/>
          <w:i/>
          <w:vertAlign w:val="subscript"/>
          <w:lang w:val="es-ES_tradnl"/>
        </w:rPr>
        <w:t>escan</w:t>
      </w:r>
      <w:r w:rsidRPr="009A709D">
        <w:rPr>
          <w:lang w:val="es-ES_tradnl"/>
        </w:rPr>
        <w:t xml:space="preserve"> y los ángulos de inclinación eléctrica </w:t>
      </w:r>
      <w:r w:rsidRPr="009A709D">
        <w:rPr>
          <w:rFonts w:ascii="Cambria Math" w:hAnsi="Cambria Math"/>
          <w:lang w:val="es-ES_tradnl"/>
        </w:rPr>
        <w:t>θ</w:t>
      </w:r>
      <w:r w:rsidRPr="009A709D">
        <w:rPr>
          <w:rFonts w:ascii="Cambria Math" w:hAnsi="Cambria Math"/>
          <w:i/>
          <w:vertAlign w:val="subscript"/>
          <w:lang w:val="es-ES_tradnl"/>
        </w:rPr>
        <w:t>etilt</w:t>
      </w:r>
      <w:r w:rsidRPr="009A709D">
        <w:rPr>
          <w:lang w:val="es-ES_tradnl"/>
        </w:rPr>
        <w:t>, así como</w:t>
      </w:r>
      <w:r w:rsidR="003966CE" w:rsidRPr="009A709D">
        <w:rPr>
          <w:lang w:val="es-ES_tradnl"/>
        </w:rPr>
        <w:t xml:space="preserve"> de</w:t>
      </w:r>
      <w:r w:rsidRPr="009A709D">
        <w:rPr>
          <w:lang w:val="es-ES_tradnl"/>
        </w:rPr>
        <w:t xml:space="preserve"> la inclinación mecánica </w:t>
      </w:r>
      <w:r w:rsidRPr="009A709D">
        <w:rPr>
          <w:rFonts w:ascii="Cambria Math" w:hAnsi="Cambria Math"/>
          <w:lang w:val="es-ES_tradnl"/>
        </w:rPr>
        <w:t>θ</w:t>
      </w:r>
      <w:r w:rsidRPr="009A709D">
        <w:rPr>
          <w:rFonts w:ascii="Cambria Math" w:hAnsi="Cambria Math"/>
          <w:i/>
          <w:vertAlign w:val="subscript"/>
          <w:lang w:val="es-ES_tradnl"/>
        </w:rPr>
        <w:t>mtilt</w:t>
      </w:r>
      <w:r w:rsidRPr="009A709D">
        <w:rPr>
          <w:lang w:val="es-ES_tradnl"/>
        </w:rPr>
        <w:t xml:space="preserve">. Estas distribuciones vienen dadas por las distribuciones de los </w:t>
      </w:r>
      <w:r w:rsidR="00A7798D" w:rsidRPr="009A709D">
        <w:rPr>
          <w:lang w:val="es-ES_tradnl"/>
        </w:rPr>
        <w:t>acimuts</w:t>
      </w:r>
      <w:r w:rsidRPr="009A709D">
        <w:rPr>
          <w:lang w:val="es-ES_tradnl"/>
        </w:rPr>
        <w:t xml:space="preserve"> y las distancias de</w:t>
      </w:r>
      <w:r w:rsidR="003966CE" w:rsidRPr="009A709D">
        <w:rPr>
          <w:lang w:val="es-ES_tradnl"/>
        </w:rPr>
        <w:t xml:space="preserve"> </w:t>
      </w:r>
      <w:r w:rsidRPr="009A709D">
        <w:rPr>
          <w:lang w:val="es-ES_tradnl"/>
        </w:rPr>
        <w:t>l</w:t>
      </w:r>
      <w:r w:rsidR="003966CE" w:rsidRPr="009A709D">
        <w:rPr>
          <w:lang w:val="es-ES_tradnl"/>
        </w:rPr>
        <w:t>os</w:t>
      </w:r>
      <w:r w:rsidRPr="009A709D">
        <w:rPr>
          <w:lang w:val="es-ES_tradnl"/>
        </w:rPr>
        <w:t xml:space="preserve"> equipo</w:t>
      </w:r>
      <w:r w:rsidR="003966CE" w:rsidRPr="009A709D">
        <w:rPr>
          <w:lang w:val="es-ES_tradnl"/>
        </w:rPr>
        <w:t>s</w:t>
      </w:r>
      <w:r w:rsidRPr="009A709D">
        <w:rPr>
          <w:lang w:val="es-ES_tradnl"/>
        </w:rPr>
        <w:t xml:space="preserve"> de usuario</w:t>
      </w:r>
      <w:r w:rsidR="003966CE" w:rsidRPr="009A709D">
        <w:rPr>
          <w:lang w:val="es-ES_tradnl"/>
        </w:rPr>
        <w:t>,</w:t>
      </w:r>
      <w:r w:rsidRPr="009A709D">
        <w:rPr>
          <w:lang w:val="es-ES_tradnl"/>
        </w:rPr>
        <w:t xml:space="preserve"> tal y como se aprecian desde la estación base, utilizando las alturas de antena de la </w:t>
      </w:r>
      <w:r w:rsidR="00F019B4" w:rsidRPr="009A709D">
        <w:rPr>
          <w:lang w:val="es-ES_tradnl"/>
        </w:rPr>
        <w:t>EB</w:t>
      </w:r>
      <w:r w:rsidRPr="009A709D">
        <w:rPr>
          <w:lang w:val="es-ES_tradnl"/>
        </w:rPr>
        <w:t xml:space="preserve"> y </w:t>
      </w:r>
      <w:r w:rsidR="003966CE" w:rsidRPr="009A709D">
        <w:rPr>
          <w:lang w:val="es-ES_tradnl"/>
        </w:rPr>
        <w:t>los equipos de usuario</w:t>
      </w:r>
      <w:r w:rsidRPr="009A709D">
        <w:rPr>
          <w:lang w:val="es-ES_tradnl"/>
        </w:rPr>
        <w:t>.</w:t>
      </w:r>
      <w:bookmarkStart w:id="47" w:name="_GoBack"/>
      <w:bookmarkEnd w:id="47"/>
    </w:p>
    <w:p w14:paraId="23D2C62B" w14:textId="003EC4D2" w:rsidR="00123C74" w:rsidRPr="009A709D" w:rsidRDefault="00123C74" w:rsidP="00AB187A">
      <w:pPr>
        <w:rPr>
          <w:lang w:val="es-ES_tradnl"/>
        </w:rPr>
      </w:pPr>
      <w:r w:rsidRPr="009A709D">
        <w:rPr>
          <w:lang w:val="es-ES_tradnl"/>
        </w:rPr>
        <w:t xml:space="preserve">En esta Recomendación, la inclinación mecánica hace referencia al plano horizontal. Dado que el panel de la antena está siempre orientado hacia el suelo, este valor es negativo. La inclinación eléctrica se define con respecto al ángulo perpendicular al panel de la antena, donde un valor negativo hace referencia a una inclinación eléctrica descendente. La siguiente distribución de la ganancia hacia el horizonte de la antena de la </w:t>
      </w:r>
      <w:r w:rsidR="00F019B4" w:rsidRPr="009A709D">
        <w:rPr>
          <w:lang w:val="es-ES_tradnl"/>
        </w:rPr>
        <w:t>EB</w:t>
      </w:r>
      <w:r w:rsidRPr="009A709D">
        <w:rPr>
          <w:lang w:val="es-ES_tradnl"/>
        </w:rPr>
        <w:t xml:space="preserve"> IMT-2020 se ha derivado de una estación base urbana/suburbana a 6 m de altura con una inclinación mecánica de la antena de −10°, y </w:t>
      </w:r>
      <w:r w:rsidR="004C4B97" w:rsidRPr="009A709D">
        <w:rPr>
          <w:lang w:val="es-ES_tradnl"/>
        </w:rPr>
        <w:t>un</w:t>
      </w:r>
      <w:r w:rsidRPr="009A709D">
        <w:rPr>
          <w:lang w:val="es-ES_tradnl"/>
        </w:rPr>
        <w:t xml:space="preserve"> equipo del usuario a 1,5 m de altura. En este caso, la</w:t>
      </w:r>
      <w:r w:rsidR="004C4B97" w:rsidRPr="009A709D">
        <w:rPr>
          <w:lang w:val="es-ES_tradnl"/>
        </w:rPr>
        <w:t xml:space="preserve"> precisión de</w:t>
      </w:r>
      <w:r w:rsidRPr="009A709D">
        <w:rPr>
          <w:lang w:val="es-ES_tradnl"/>
        </w:rPr>
        <w:t xml:space="preserve"> puntería de</w:t>
      </w:r>
      <w:r w:rsidR="004C4B97" w:rsidRPr="009A709D">
        <w:rPr>
          <w:lang w:val="es-ES_tradnl"/>
        </w:rPr>
        <w:t>l</w:t>
      </w:r>
      <w:r w:rsidRPr="009A709D">
        <w:rPr>
          <w:lang w:val="es-ES_tradnl"/>
        </w:rPr>
        <w:t xml:space="preserve"> haz e</w:t>
      </w:r>
      <w:r w:rsidR="004C4B97" w:rsidRPr="009A709D">
        <w:rPr>
          <w:lang w:val="es-ES_tradnl"/>
        </w:rPr>
        <w:t>n</w:t>
      </w:r>
      <w:r w:rsidRPr="009A709D">
        <w:rPr>
          <w:lang w:val="es-ES_tradnl"/>
        </w:rPr>
        <w:t xml:space="preserve"> acimut </w:t>
      </w:r>
      <w:r w:rsidRPr="009A709D">
        <w:rPr>
          <w:rFonts w:ascii="Cambria Math" w:hAnsi="Cambria Math"/>
          <w:lang w:val="es-ES_tradnl"/>
        </w:rPr>
        <w:t>φ</w:t>
      </w:r>
      <w:r w:rsidRPr="009A709D">
        <w:rPr>
          <w:rFonts w:ascii="Cambria Math" w:hAnsi="Cambria Math"/>
          <w:i/>
          <w:vertAlign w:val="subscript"/>
          <w:lang w:val="es-ES_tradnl"/>
        </w:rPr>
        <w:t>escan</w:t>
      </w:r>
      <w:r w:rsidRPr="009A709D">
        <w:rPr>
          <w:lang w:val="es-ES_tradnl"/>
        </w:rPr>
        <w:t xml:space="preserve"> puede simplificarse </w:t>
      </w:r>
      <w:r w:rsidR="009E68B1" w:rsidRPr="009A709D">
        <w:rPr>
          <w:lang w:val="es-ES_tradnl"/>
        </w:rPr>
        <w:t>como una</w:t>
      </w:r>
      <w:r w:rsidRPr="009A709D">
        <w:rPr>
          <w:lang w:val="es-ES_tradnl"/>
        </w:rPr>
        <w:t xml:space="preserve"> distribución normal en acimut </w:t>
      </w:r>
      <w:r w:rsidR="009E68B1" w:rsidRPr="009A709D">
        <w:rPr>
          <w:rFonts w:ascii="Cambria Math" w:eastAsia="Cambria Math" w:hAnsi="Cambria Math" w:cs="Cambria Math"/>
          <w:lang w:val="es-ES_tradnl"/>
        </w:rPr>
        <w:t>𝒩(𝜇, 𝜎</w:t>
      </w:r>
      <w:r w:rsidR="009E68B1" w:rsidRPr="009A709D">
        <w:rPr>
          <w:rFonts w:ascii="Cambria Math" w:eastAsia="Cambria Math" w:hAnsi="Cambria Math" w:cs="Cambria Math"/>
          <w:vertAlign w:val="superscript"/>
          <w:lang w:val="es-ES_tradnl"/>
        </w:rPr>
        <w:t>2</w:t>
      </w:r>
      <w:r w:rsidR="009E68B1" w:rsidRPr="009A709D">
        <w:rPr>
          <w:rFonts w:ascii="Cambria Math" w:eastAsia="Cambria Math" w:hAnsi="Cambria Math" w:cs="Cambria Math"/>
          <w:lang w:val="es-ES_tradnl"/>
        </w:rPr>
        <w:t>)</w:t>
      </w:r>
      <w:r w:rsidR="009E68B1" w:rsidRPr="009A709D">
        <w:rPr>
          <w:lang w:val="es-ES_tradnl"/>
        </w:rPr>
        <w:t xml:space="preserve"> </w:t>
      </w:r>
      <w:r w:rsidRPr="009A709D">
        <w:rPr>
          <w:lang w:val="es-ES_tradnl"/>
        </w:rPr>
        <w:t>de media cero</w:t>
      </w:r>
      <w:r w:rsidRPr="009A709D">
        <w:rPr>
          <w:rFonts w:ascii="Cambria Math" w:hAnsi="Cambria Math"/>
          <w:lang w:val="es-ES_tradnl"/>
        </w:rPr>
        <w:t xml:space="preserve"> </w:t>
      </w:r>
      <w:r w:rsidR="006140A2" w:rsidRPr="00D81D07">
        <w:rPr>
          <w:i/>
          <w:iCs/>
        </w:rPr>
        <w:t>µ</w:t>
      </w:r>
      <w:r w:rsidR="006140A2" w:rsidRPr="00D81D07">
        <w:t xml:space="preserve"> = 0° et </w:t>
      </w:r>
      <w:r w:rsidR="006140A2" w:rsidRPr="00D81D07">
        <w:rPr>
          <w:rFonts w:ascii="Cambria Math" w:eastAsia="Cambria Math" w:hAnsi="Cambria Math" w:cs="Cambria Math"/>
        </w:rPr>
        <w:t>𝜎</w:t>
      </w:r>
      <w:r w:rsidR="006140A2" w:rsidRPr="00D81D07">
        <w:t xml:space="preserve"> = 30°, </w:t>
      </w:r>
      <w:r w:rsidRPr="009A709D">
        <w:rPr>
          <w:lang w:val="es-ES_tradnl"/>
        </w:rPr>
        <w:t>limitad</w:t>
      </w:r>
      <w:r w:rsidR="004C4B97" w:rsidRPr="009A709D">
        <w:rPr>
          <w:lang w:val="es-ES_tradnl"/>
        </w:rPr>
        <w:t>a</w:t>
      </w:r>
      <w:r w:rsidRPr="009A709D">
        <w:rPr>
          <w:lang w:val="es-ES_tradnl"/>
        </w:rPr>
        <w:t xml:space="preserve"> a −60° y +60°. La</w:t>
      </w:r>
      <w:r w:rsidR="00556C70">
        <w:rPr>
          <w:lang w:val="es-ES_tradnl"/>
        </w:rPr>
        <w:t> </w:t>
      </w:r>
      <w:r w:rsidRPr="009A709D">
        <w:rPr>
          <w:lang w:val="es-ES_tradnl"/>
        </w:rPr>
        <w:t xml:space="preserve">distribución </w:t>
      </w:r>
      <w:r w:rsidRPr="009A709D">
        <w:rPr>
          <w:rFonts w:ascii="Cambria Math" w:hAnsi="Cambria Math"/>
          <w:lang w:val="es-ES_tradnl"/>
        </w:rPr>
        <w:t>φ</w:t>
      </w:r>
      <w:r w:rsidRPr="009A709D">
        <w:rPr>
          <w:rFonts w:ascii="Cambria Math" w:hAnsi="Cambria Math"/>
          <w:i/>
          <w:vertAlign w:val="subscript"/>
          <w:lang w:val="es-ES_tradnl"/>
        </w:rPr>
        <w:t>escan</w:t>
      </w:r>
      <w:r w:rsidRPr="009A709D">
        <w:rPr>
          <w:lang w:val="es-ES_tradnl"/>
        </w:rPr>
        <w:t xml:space="preserve"> se muestra en la Fig.</w:t>
      </w:r>
      <w:r w:rsidR="006140A2">
        <w:rPr>
          <w:lang w:val="es-ES_tradnl"/>
        </w:rPr>
        <w:t> </w:t>
      </w:r>
      <w:r w:rsidRPr="009A709D">
        <w:rPr>
          <w:lang w:val="es-ES_tradnl"/>
        </w:rPr>
        <w:t>1.</w:t>
      </w:r>
    </w:p>
    <w:p w14:paraId="680933C3" w14:textId="7CCEBC98" w:rsidR="00123C74" w:rsidRPr="009A709D" w:rsidRDefault="00123C74" w:rsidP="00AB187A">
      <w:pPr>
        <w:pStyle w:val="FigureNo"/>
        <w:rPr>
          <w:rFonts w:eastAsia="SimSun"/>
          <w:lang w:val="es-ES_tradnl"/>
        </w:rPr>
      </w:pPr>
      <w:r w:rsidRPr="009A709D">
        <w:rPr>
          <w:lang w:val="es-ES_tradnl"/>
        </w:rPr>
        <w:lastRenderedPageBreak/>
        <w:t>FIGURA 1</w:t>
      </w:r>
    </w:p>
    <w:p w14:paraId="4413BF5E" w14:textId="22D4AEE9" w:rsidR="00123C74" w:rsidRPr="009A709D" w:rsidRDefault="00F019B4" w:rsidP="00AB187A">
      <w:pPr>
        <w:pStyle w:val="Figuretitle"/>
        <w:rPr>
          <w:lang w:val="es-ES_tradnl"/>
        </w:rPr>
      </w:pPr>
      <w:r w:rsidRPr="009A709D">
        <w:rPr>
          <w:lang w:val="es-ES_tradnl"/>
        </w:rPr>
        <w:t>EB</w:t>
      </w:r>
      <w:r w:rsidR="00123C74" w:rsidRPr="009A709D">
        <w:rPr>
          <w:lang w:val="es-ES_tradnl"/>
        </w:rPr>
        <w:t xml:space="preserve"> IMT-2020 (urbana/suburbana) – Distribución de la</w:t>
      </w:r>
      <w:r w:rsidR="004C4B97" w:rsidRPr="009A709D">
        <w:rPr>
          <w:lang w:val="es-ES_tradnl"/>
        </w:rPr>
        <w:t xml:space="preserve"> precisión de</w:t>
      </w:r>
      <w:r w:rsidR="00123C74" w:rsidRPr="009A709D">
        <w:rPr>
          <w:lang w:val="es-ES_tradnl"/>
        </w:rPr>
        <w:t xml:space="preserve"> puntería de haz </w:t>
      </w:r>
      <w:r w:rsidR="004C4B97" w:rsidRPr="009A709D">
        <w:rPr>
          <w:lang w:val="es-ES_tradnl"/>
        </w:rPr>
        <w:t>en</w:t>
      </w:r>
      <w:r w:rsidR="00123C74" w:rsidRPr="009A709D">
        <w:rPr>
          <w:lang w:val="es-ES_tradnl"/>
        </w:rPr>
        <w:t xml:space="preserve"> acimut</w:t>
      </w:r>
    </w:p>
    <w:p w14:paraId="4584DA0E" w14:textId="55BEEF38" w:rsidR="006E44B0" w:rsidRPr="006E44B0" w:rsidRDefault="006E44B0" w:rsidP="006E44B0">
      <w:pPr>
        <w:pStyle w:val="Figure"/>
        <w:rPr>
          <w:lang w:val="es-ES_tradnl"/>
        </w:rPr>
      </w:pPr>
      <w:r>
        <w:rPr>
          <w:lang w:val="es-ES_tradnl"/>
        </w:rPr>
        <w:drawing>
          <wp:inline distT="0" distB="0" distL="0" distR="0" wp14:anchorId="18EC227E" wp14:editId="4802A8FD">
            <wp:extent cx="3782576" cy="3282703"/>
            <wp:effectExtent l="0" t="0" r="889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2142-0_1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82576" cy="3282703"/>
                    </a:xfrm>
                    <a:prstGeom prst="rect">
                      <a:avLst/>
                    </a:prstGeom>
                  </pic:spPr>
                </pic:pic>
              </a:graphicData>
            </a:graphic>
          </wp:inline>
        </w:drawing>
      </w:r>
    </w:p>
    <w:p w14:paraId="7CD9BB7E" w14:textId="64866641" w:rsidR="00123C74" w:rsidRPr="009A709D" w:rsidRDefault="00123C74" w:rsidP="008D09C0">
      <w:pPr>
        <w:pStyle w:val="Normalaftertitle"/>
        <w:rPr>
          <w:spacing w:val="-4"/>
          <w:lang w:val="es-ES_tradnl"/>
        </w:rPr>
      </w:pPr>
      <w:r w:rsidRPr="009A709D">
        <w:rPr>
          <w:spacing w:val="-4"/>
          <w:lang w:val="es-ES_tradnl"/>
        </w:rPr>
        <w:t xml:space="preserve">La distribución de la inclinación </w:t>
      </w:r>
      <w:r w:rsidR="00F02B9E" w:rsidRPr="009A709D">
        <w:rPr>
          <w:spacing w:val="-4"/>
          <w:lang w:val="es-ES_tradnl"/>
        </w:rPr>
        <w:t>en</w:t>
      </w:r>
      <w:r w:rsidRPr="009A709D">
        <w:rPr>
          <w:spacing w:val="-4"/>
          <w:lang w:val="es-ES_tradnl"/>
        </w:rPr>
        <w:t xml:space="preserve"> elevación θ</w:t>
      </w:r>
      <w:r w:rsidRPr="009A709D">
        <w:rPr>
          <w:i/>
          <w:spacing w:val="-4"/>
          <w:vertAlign w:val="subscript"/>
          <w:lang w:val="es-ES_tradnl"/>
        </w:rPr>
        <w:t>tilt TOT</w:t>
      </w:r>
      <w:r w:rsidRPr="009A709D">
        <w:rPr>
          <w:spacing w:val="-4"/>
          <w:lang w:val="es-ES_tradnl"/>
        </w:rPr>
        <w:t xml:space="preserve"> = θ</w:t>
      </w:r>
      <w:r w:rsidRPr="009A709D">
        <w:rPr>
          <w:i/>
          <w:spacing w:val="-4"/>
          <w:vertAlign w:val="subscript"/>
          <w:lang w:val="es-ES_tradnl"/>
        </w:rPr>
        <w:t>etilt</w:t>
      </w:r>
      <w:r w:rsidRPr="009A709D">
        <w:rPr>
          <w:spacing w:val="-4"/>
          <w:lang w:val="es-ES_tradnl"/>
        </w:rPr>
        <w:t xml:space="preserve"> + θ</w:t>
      </w:r>
      <w:r w:rsidRPr="009A709D">
        <w:rPr>
          <w:i/>
          <w:spacing w:val="-4"/>
          <w:vertAlign w:val="subscript"/>
          <w:lang w:val="es-ES_tradnl"/>
        </w:rPr>
        <w:t>mtilt</w:t>
      </w:r>
      <w:r w:rsidRPr="009A709D">
        <w:rPr>
          <w:i/>
          <w:spacing w:val="-4"/>
          <w:lang w:val="es-ES_tradnl"/>
        </w:rPr>
        <w:t xml:space="preserve"> </w:t>
      </w:r>
      <w:r w:rsidRPr="009A709D">
        <w:rPr>
          <w:spacing w:val="-4"/>
          <w:lang w:val="es-ES_tradnl"/>
        </w:rPr>
        <w:t>(véase la Fig. 2) debe obtenerse</w:t>
      </w:r>
      <w:r w:rsidR="00F02B9E" w:rsidRPr="009A709D">
        <w:rPr>
          <w:spacing w:val="-4"/>
          <w:lang w:val="es-ES_tradnl"/>
        </w:rPr>
        <w:t xml:space="preserve"> a partir</w:t>
      </w:r>
      <w:r w:rsidRPr="009A709D">
        <w:rPr>
          <w:spacing w:val="-4"/>
          <w:lang w:val="es-ES_tradnl"/>
        </w:rPr>
        <w:t xml:space="preserve"> de la distribución de la distancia entre la </w:t>
      </w:r>
      <w:r w:rsidR="00F019B4" w:rsidRPr="009A709D">
        <w:rPr>
          <w:spacing w:val="-4"/>
          <w:lang w:val="es-ES_tradnl"/>
        </w:rPr>
        <w:t>EB</w:t>
      </w:r>
      <w:r w:rsidRPr="009A709D">
        <w:rPr>
          <w:spacing w:val="-4"/>
          <w:lang w:val="es-ES_tradnl"/>
        </w:rPr>
        <w:t xml:space="preserve"> y los UE, </w:t>
      </w:r>
      <w:r w:rsidR="00582E17" w:rsidRPr="009A709D">
        <w:rPr>
          <w:spacing w:val="-4"/>
          <w:lang w:val="es-ES_tradnl"/>
        </w:rPr>
        <w:t>incluida</w:t>
      </w:r>
      <w:r w:rsidRPr="009A709D">
        <w:rPr>
          <w:spacing w:val="-4"/>
          <w:lang w:val="es-ES_tradnl"/>
        </w:rPr>
        <w:t xml:space="preserve"> la distribución de Rayleigh (</w:t>
      </w:r>
      <w:r w:rsidR="009E68B1" w:rsidRPr="009A709D">
        <w:rPr>
          <w:rFonts w:ascii="Cambria Math" w:eastAsia="Cambria Math" w:hAnsi="Cambria Math" w:cs="Cambria Math"/>
          <w:spacing w:val="-4"/>
          <w:lang w:val="es-ES_tradnl"/>
        </w:rPr>
        <w:t>𝜎</w:t>
      </w:r>
      <w:r w:rsidRPr="009A709D">
        <w:rPr>
          <w:spacing w:val="-4"/>
          <w:lang w:val="es-ES_tradnl"/>
        </w:rPr>
        <w:t xml:space="preserve"> = 32 m).</w:t>
      </w:r>
    </w:p>
    <w:p w14:paraId="47FAC1FD" w14:textId="6D396652" w:rsidR="00123C74" w:rsidRPr="009A709D" w:rsidRDefault="00123C74" w:rsidP="00123C74">
      <w:pPr>
        <w:pStyle w:val="FigureNo"/>
        <w:rPr>
          <w:rFonts w:eastAsia="SimSun"/>
          <w:lang w:val="es-ES_tradnl"/>
        </w:rPr>
      </w:pPr>
      <w:r w:rsidRPr="009A709D">
        <w:rPr>
          <w:lang w:val="es-ES_tradnl"/>
        </w:rPr>
        <w:t>FIGURA 2</w:t>
      </w:r>
    </w:p>
    <w:p w14:paraId="79F0F26E" w14:textId="0CFEABF8" w:rsidR="00123C74" w:rsidRPr="009A709D" w:rsidRDefault="00F019B4" w:rsidP="00AB187A">
      <w:pPr>
        <w:pStyle w:val="Figuretitle"/>
        <w:rPr>
          <w:lang w:val="es-ES_tradnl"/>
        </w:rPr>
      </w:pPr>
      <w:r w:rsidRPr="009A709D">
        <w:rPr>
          <w:lang w:val="es-ES_tradnl"/>
        </w:rPr>
        <w:t>EB</w:t>
      </w:r>
      <w:r w:rsidR="00123C74" w:rsidRPr="009A709D">
        <w:rPr>
          <w:lang w:val="es-ES_tradnl"/>
        </w:rPr>
        <w:t xml:space="preserve"> IMT-2020 (urbana/suburbana) – Definición de la inclinación total</w:t>
      </w:r>
    </w:p>
    <w:p w14:paraId="7976A76E" w14:textId="0977078C" w:rsidR="006E44B0" w:rsidRPr="006E44B0" w:rsidRDefault="006E44B0" w:rsidP="006E44B0">
      <w:pPr>
        <w:pStyle w:val="Figure"/>
        <w:rPr>
          <w:noProof/>
          <w:lang w:val="es-ES_tradnl" w:eastAsia="es-ES"/>
        </w:rPr>
      </w:pPr>
      <w:r>
        <w:rPr>
          <w:noProof/>
          <w:lang w:val="es-ES_tradnl" w:eastAsia="es-ES"/>
        </w:rPr>
        <w:drawing>
          <wp:inline distT="0" distB="0" distL="0" distR="0" wp14:anchorId="36693823" wp14:editId="362F386F">
            <wp:extent cx="6120765" cy="278638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2142-0_2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2786380"/>
                    </a:xfrm>
                    <a:prstGeom prst="rect">
                      <a:avLst/>
                    </a:prstGeom>
                  </pic:spPr>
                </pic:pic>
              </a:graphicData>
            </a:graphic>
          </wp:inline>
        </w:drawing>
      </w:r>
    </w:p>
    <w:p w14:paraId="020C61F9" w14:textId="789EE524" w:rsidR="00123C74" w:rsidRPr="009A709D" w:rsidRDefault="00123C74" w:rsidP="006E44B0">
      <w:pPr>
        <w:pStyle w:val="Normalaftertitle"/>
        <w:rPr>
          <w:lang w:val="es-ES_tradnl"/>
        </w:rPr>
      </w:pPr>
      <w:r w:rsidRPr="009A709D">
        <w:rPr>
          <w:lang w:val="es-ES_tradnl"/>
        </w:rPr>
        <w:t>La distancia de</w:t>
      </w:r>
      <w:r w:rsidR="00582E17" w:rsidRPr="009A709D">
        <w:rPr>
          <w:lang w:val="es-ES_tradnl"/>
        </w:rPr>
        <w:t xml:space="preserve"> </w:t>
      </w:r>
      <w:r w:rsidRPr="009A709D">
        <w:rPr>
          <w:lang w:val="es-ES_tradnl"/>
        </w:rPr>
        <w:t>l</w:t>
      </w:r>
      <w:r w:rsidR="00582E17" w:rsidRPr="009A709D">
        <w:rPr>
          <w:lang w:val="es-ES_tradnl"/>
        </w:rPr>
        <w:t>os</w:t>
      </w:r>
      <w:r w:rsidRPr="009A709D">
        <w:rPr>
          <w:lang w:val="es-ES_tradnl"/>
        </w:rPr>
        <w:t xml:space="preserve"> UE y las funciones de densidad de probabilidad (F</w:t>
      </w:r>
      <w:r w:rsidR="00582E17" w:rsidRPr="009A709D">
        <w:rPr>
          <w:lang w:val="es-ES_tradnl"/>
        </w:rPr>
        <w:t>DP</w:t>
      </w:r>
      <w:r w:rsidRPr="009A709D">
        <w:rPr>
          <w:lang w:val="es-ES_tradnl"/>
        </w:rPr>
        <w:t xml:space="preserve">) </w:t>
      </w:r>
      <w:r w:rsidRPr="009A709D">
        <w:rPr>
          <w:rFonts w:ascii="Cambria Math" w:hAnsi="Cambria Math"/>
          <w:lang w:val="es-ES_tradnl"/>
        </w:rPr>
        <w:t>θ</w:t>
      </w:r>
      <w:r w:rsidRPr="009A709D">
        <w:rPr>
          <w:rFonts w:ascii="Cambria Math" w:hAnsi="Cambria Math"/>
          <w:i/>
          <w:vertAlign w:val="subscript"/>
          <w:lang w:val="es-ES_tradnl"/>
        </w:rPr>
        <w:t>tilt TOT</w:t>
      </w:r>
      <w:r w:rsidRPr="009A709D">
        <w:rPr>
          <w:lang w:val="es-ES_tradnl"/>
        </w:rPr>
        <w:t xml:space="preserve"> se muestran en las Fig</w:t>
      </w:r>
      <w:r w:rsidR="00CA01A7" w:rsidRPr="009A709D">
        <w:rPr>
          <w:lang w:val="es-ES_tradnl"/>
        </w:rPr>
        <w:t>s</w:t>
      </w:r>
      <w:r w:rsidRPr="009A709D">
        <w:rPr>
          <w:lang w:val="es-ES_tradnl"/>
        </w:rPr>
        <w:t>. 3 y 4.</w:t>
      </w:r>
    </w:p>
    <w:p w14:paraId="30174EF2" w14:textId="1141DCDC" w:rsidR="00123C74" w:rsidRPr="009A709D" w:rsidRDefault="00123C74" w:rsidP="00AB187A">
      <w:pPr>
        <w:pStyle w:val="FigureNo"/>
        <w:rPr>
          <w:rFonts w:eastAsia="SimSun"/>
          <w:lang w:val="es-ES_tradnl"/>
        </w:rPr>
      </w:pPr>
      <w:r w:rsidRPr="009A709D">
        <w:rPr>
          <w:lang w:val="es-ES_tradnl"/>
        </w:rPr>
        <w:lastRenderedPageBreak/>
        <w:t>FIGURA 3</w:t>
      </w:r>
    </w:p>
    <w:p w14:paraId="093C6A51" w14:textId="4BFAE4EF" w:rsidR="00123C74" w:rsidRPr="009A709D" w:rsidRDefault="00F019B4" w:rsidP="00AB187A">
      <w:pPr>
        <w:pStyle w:val="Figuretitle"/>
        <w:rPr>
          <w:lang w:val="es-ES_tradnl"/>
        </w:rPr>
      </w:pPr>
      <w:r w:rsidRPr="009A709D">
        <w:rPr>
          <w:lang w:val="es-ES_tradnl"/>
        </w:rPr>
        <w:t>EB</w:t>
      </w:r>
      <w:r w:rsidR="00123C74" w:rsidRPr="009A709D">
        <w:rPr>
          <w:lang w:val="es-ES_tradnl"/>
        </w:rPr>
        <w:t xml:space="preserve"> IMT-2020 (urbana/suburbana) – F</w:t>
      </w:r>
      <w:r w:rsidR="00BD2B0F" w:rsidRPr="009A709D">
        <w:rPr>
          <w:lang w:val="es-ES_tradnl"/>
        </w:rPr>
        <w:t>DP</w:t>
      </w:r>
      <w:r w:rsidR="00123C74" w:rsidRPr="009A709D">
        <w:rPr>
          <w:lang w:val="es-ES_tradnl"/>
        </w:rPr>
        <w:t xml:space="preserve"> de la distancia entre l</w:t>
      </w:r>
      <w:r w:rsidR="00BD2B0F" w:rsidRPr="009A709D">
        <w:rPr>
          <w:lang w:val="es-ES_tradnl"/>
        </w:rPr>
        <w:t>os</w:t>
      </w:r>
      <w:r w:rsidR="00123C74" w:rsidRPr="009A709D">
        <w:rPr>
          <w:lang w:val="es-ES_tradnl"/>
        </w:rPr>
        <w:t xml:space="preserve"> UE y la </w:t>
      </w:r>
      <w:r w:rsidRPr="009A709D">
        <w:rPr>
          <w:lang w:val="es-ES_tradnl"/>
        </w:rPr>
        <w:t>EB</w:t>
      </w:r>
    </w:p>
    <w:p w14:paraId="13879B40" w14:textId="63FB0947" w:rsidR="006E44B0" w:rsidRPr="006E44B0" w:rsidRDefault="006E44B0" w:rsidP="006E44B0">
      <w:pPr>
        <w:pStyle w:val="Figure"/>
        <w:rPr>
          <w:noProof/>
          <w:lang w:val="es-ES_tradnl" w:eastAsia="es-ES"/>
        </w:rPr>
      </w:pPr>
      <w:r>
        <w:rPr>
          <w:noProof/>
          <w:lang w:val="es-ES_tradnl" w:eastAsia="es-ES"/>
        </w:rPr>
        <w:drawing>
          <wp:inline distT="0" distB="0" distL="0" distR="0" wp14:anchorId="309FCD33" wp14:editId="734E2208">
            <wp:extent cx="5239523" cy="3118110"/>
            <wp:effectExtent l="0" t="0" r="0" b="635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2142-0_3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39523" cy="3118110"/>
                    </a:xfrm>
                    <a:prstGeom prst="rect">
                      <a:avLst/>
                    </a:prstGeom>
                  </pic:spPr>
                </pic:pic>
              </a:graphicData>
            </a:graphic>
          </wp:inline>
        </w:drawing>
      </w:r>
    </w:p>
    <w:p w14:paraId="168A467C" w14:textId="7CEEF8CC" w:rsidR="00123C74" w:rsidRPr="009A709D" w:rsidRDefault="00123C74" w:rsidP="00123C74">
      <w:pPr>
        <w:pStyle w:val="FigureNo"/>
        <w:rPr>
          <w:rFonts w:eastAsia="SimSun"/>
          <w:lang w:val="es-ES_tradnl"/>
        </w:rPr>
      </w:pPr>
      <w:r w:rsidRPr="009A709D">
        <w:rPr>
          <w:lang w:val="es-ES_tradnl"/>
        </w:rPr>
        <w:t>FIGURA 4</w:t>
      </w:r>
    </w:p>
    <w:p w14:paraId="51BEC967" w14:textId="467E5D3A" w:rsidR="00123C74" w:rsidRPr="009A709D" w:rsidRDefault="00F019B4" w:rsidP="00123C74">
      <w:pPr>
        <w:pStyle w:val="Figuretitle"/>
        <w:rPr>
          <w:lang w:val="es-ES_tradnl"/>
        </w:rPr>
      </w:pPr>
      <w:r w:rsidRPr="009A709D">
        <w:rPr>
          <w:lang w:val="es-ES_tradnl"/>
        </w:rPr>
        <w:t>EB</w:t>
      </w:r>
      <w:r w:rsidR="00123C74" w:rsidRPr="009A709D">
        <w:rPr>
          <w:lang w:val="es-ES_tradnl"/>
        </w:rPr>
        <w:t xml:space="preserve"> IMT-2020 (urbana/suburbana) – </w:t>
      </w:r>
      <w:r w:rsidR="00BD2B0F" w:rsidRPr="009A709D">
        <w:rPr>
          <w:lang w:val="es-ES_tradnl"/>
        </w:rPr>
        <w:t>FDP</w:t>
      </w:r>
      <w:r w:rsidR="00123C74" w:rsidRPr="009A709D">
        <w:rPr>
          <w:lang w:val="es-ES_tradnl"/>
        </w:rPr>
        <w:t xml:space="preserve"> de la inclinación </w:t>
      </w:r>
      <w:r w:rsidR="00BD2B0F" w:rsidRPr="009A709D">
        <w:rPr>
          <w:lang w:val="es-ES_tradnl"/>
        </w:rPr>
        <w:t>en</w:t>
      </w:r>
      <w:r w:rsidR="00123C74" w:rsidRPr="009A709D">
        <w:rPr>
          <w:lang w:val="es-ES_tradnl"/>
        </w:rPr>
        <w:t xml:space="preserve"> elevación total</w:t>
      </w:r>
    </w:p>
    <w:p w14:paraId="4D760239" w14:textId="24E48C38" w:rsidR="006E44B0" w:rsidRPr="006E44B0" w:rsidRDefault="006E44B0" w:rsidP="006E44B0">
      <w:pPr>
        <w:pStyle w:val="Figure"/>
        <w:rPr>
          <w:noProof/>
          <w:lang w:val="es-ES_tradnl" w:eastAsia="es-ES"/>
        </w:rPr>
      </w:pPr>
      <w:r>
        <w:rPr>
          <w:noProof/>
          <w:lang w:val="es-ES_tradnl" w:eastAsia="es-ES"/>
        </w:rPr>
        <w:drawing>
          <wp:inline distT="0" distB="0" distL="0" distR="0" wp14:anchorId="6EE4111D" wp14:editId="4CD80825">
            <wp:extent cx="5590043" cy="3051054"/>
            <wp:effectExtent l="0" t="0" r="0" b="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2142-0_4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90043" cy="3051054"/>
                    </a:xfrm>
                    <a:prstGeom prst="rect">
                      <a:avLst/>
                    </a:prstGeom>
                  </pic:spPr>
                </pic:pic>
              </a:graphicData>
            </a:graphic>
          </wp:inline>
        </w:drawing>
      </w:r>
    </w:p>
    <w:p w14:paraId="2A9D0689" w14:textId="24FA4E62" w:rsidR="00123C74" w:rsidRPr="009A709D" w:rsidRDefault="00123C74" w:rsidP="00AB187A">
      <w:pPr>
        <w:pStyle w:val="Normalaftertitle"/>
        <w:rPr>
          <w:lang w:val="es-ES_tradnl"/>
        </w:rPr>
      </w:pPr>
      <w:r w:rsidRPr="009A709D">
        <w:rPr>
          <w:lang w:val="es-ES_tradnl"/>
        </w:rPr>
        <w:t xml:space="preserve">A partir de estas distribuciones, es posible determinar la distribución de la ganancia de la antena hacia la estación terrena </w:t>
      </w:r>
      <w:r w:rsidR="00AB17A4" w:rsidRPr="009A709D">
        <w:rPr>
          <w:lang w:val="es-ES_tradnl"/>
        </w:rPr>
        <w:t>objeto de interferencia,</w:t>
      </w:r>
      <w:r w:rsidRPr="009A709D">
        <w:rPr>
          <w:lang w:val="es-ES_tradnl"/>
        </w:rPr>
        <w:t xml:space="preserve"> utilizando el diagrama de antena de la Recomendación UIT-R </w:t>
      </w:r>
      <w:hyperlink r:id="rId31" w:history="1">
        <w:r w:rsidRPr="009A709D">
          <w:rPr>
            <w:lang w:val="es-ES_tradnl"/>
          </w:rPr>
          <w:t>M.2101</w:t>
        </w:r>
      </w:hyperlink>
      <w:r w:rsidRPr="009A709D">
        <w:rPr>
          <w:lang w:val="es-ES_tradnl"/>
        </w:rPr>
        <w:t>. En la Fig.</w:t>
      </w:r>
      <w:r w:rsidR="006E44B0">
        <w:rPr>
          <w:lang w:val="es-ES_tradnl"/>
        </w:rPr>
        <w:t> </w:t>
      </w:r>
      <w:r w:rsidRPr="009A709D">
        <w:rPr>
          <w:lang w:val="es-ES_tradnl"/>
        </w:rPr>
        <w:t xml:space="preserve">5, se indica el diagrama para una antena de 8 × 8 con una apertura de elemento de 65°, </w:t>
      </w:r>
      <w:r w:rsidR="009505AC" w:rsidRPr="009A709D">
        <w:rPr>
          <w:lang w:val="es-ES_tradnl"/>
        </w:rPr>
        <w:t xml:space="preserve">una </w:t>
      </w:r>
      <w:r w:rsidRPr="009A709D">
        <w:rPr>
          <w:lang w:val="es-ES_tradnl"/>
        </w:rPr>
        <w:t xml:space="preserve">ganancia de antena de 5 dBi y una relación de 30 dB entre los lóbulos frontal y trasero. El diagrama de radiación de la antena de la Recomendación UIT-R </w:t>
      </w:r>
      <w:hyperlink r:id="rId32" w:history="1">
        <w:r w:rsidRPr="009A709D">
          <w:rPr>
            <w:lang w:val="es-ES_tradnl"/>
          </w:rPr>
          <w:t>M.2101</w:t>
        </w:r>
      </w:hyperlink>
      <w:r w:rsidRPr="009A709D">
        <w:rPr>
          <w:lang w:val="es-ES_tradnl"/>
        </w:rPr>
        <w:t xml:space="preserve"> se ha limitado a −30 dBi (que es el valor mínimo del diagrama de radiación de elemento único del conjunto).</w:t>
      </w:r>
    </w:p>
    <w:p w14:paraId="65106F50" w14:textId="44E7703F" w:rsidR="00123C74" w:rsidRPr="009A709D" w:rsidRDefault="00123C74" w:rsidP="00AB187A">
      <w:pPr>
        <w:pStyle w:val="FigureNo"/>
        <w:rPr>
          <w:rFonts w:eastAsia="SimSun"/>
          <w:lang w:val="es-ES_tradnl"/>
        </w:rPr>
      </w:pPr>
      <w:r w:rsidRPr="009A709D">
        <w:rPr>
          <w:lang w:val="es-ES_tradnl"/>
        </w:rPr>
        <w:lastRenderedPageBreak/>
        <w:t>FIGURA 5</w:t>
      </w:r>
    </w:p>
    <w:p w14:paraId="428B3D15" w14:textId="24E877E9" w:rsidR="00123C74" w:rsidRPr="009A709D" w:rsidRDefault="00F019B4" w:rsidP="00AB187A">
      <w:pPr>
        <w:pStyle w:val="Figuretitle"/>
        <w:rPr>
          <w:lang w:val="es-ES_tradnl"/>
        </w:rPr>
      </w:pPr>
      <w:r w:rsidRPr="009A709D">
        <w:rPr>
          <w:lang w:val="es-ES_tradnl"/>
        </w:rPr>
        <w:t>EB</w:t>
      </w:r>
      <w:r w:rsidR="00123C74" w:rsidRPr="009A709D">
        <w:rPr>
          <w:lang w:val="es-ES_tradnl"/>
        </w:rPr>
        <w:t xml:space="preserve"> IMT-2020 (urbana/suburbana) – Diagrama de antena de la </w:t>
      </w:r>
      <w:r w:rsidRPr="009A709D">
        <w:rPr>
          <w:lang w:val="es-ES_tradnl"/>
        </w:rPr>
        <w:t>EB</w:t>
      </w:r>
      <w:r w:rsidR="00123C74" w:rsidRPr="009A709D">
        <w:rPr>
          <w:lang w:val="es-ES_tradnl"/>
        </w:rPr>
        <w:t xml:space="preserve"> con una inclinación eléctrica de 0 grados</w:t>
      </w:r>
    </w:p>
    <w:p w14:paraId="3E449588" w14:textId="0E5A4AB6" w:rsidR="00CA2D68" w:rsidRPr="00CA2D68" w:rsidRDefault="00CA2D68" w:rsidP="00CA2D68">
      <w:pPr>
        <w:pStyle w:val="Figure"/>
        <w:rPr>
          <w:b/>
          <w:noProof/>
          <w:color w:val="4F81BD"/>
          <w:lang w:val="es-ES_tradnl" w:eastAsia="es-ES"/>
        </w:rPr>
      </w:pPr>
      <w:r w:rsidRPr="00CA2D68">
        <w:rPr>
          <w:b/>
          <w:noProof/>
          <w:color w:val="4F81BD"/>
          <w:lang w:val="es-ES_tradnl" w:eastAsia="es-ES"/>
        </w:rPr>
        <w:drawing>
          <wp:inline distT="0" distB="0" distL="0" distR="0" wp14:anchorId="38F0D5E6" wp14:editId="508F03D5">
            <wp:extent cx="5754636" cy="3136398"/>
            <wp:effectExtent l="0" t="0" r="0" b="6985"/>
            <wp:docPr id="6" name="Picture 6"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2142-0_5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4636" cy="3136398"/>
                    </a:xfrm>
                    <a:prstGeom prst="rect">
                      <a:avLst/>
                    </a:prstGeom>
                  </pic:spPr>
                </pic:pic>
              </a:graphicData>
            </a:graphic>
          </wp:inline>
        </w:drawing>
      </w:r>
    </w:p>
    <w:p w14:paraId="5FCAE241" w14:textId="3FBFA6D3" w:rsidR="00123C74" w:rsidRPr="009A709D" w:rsidRDefault="00123C74" w:rsidP="00AB187A">
      <w:pPr>
        <w:pStyle w:val="Normalaftertitle"/>
        <w:rPr>
          <w:lang w:val="es-ES_tradnl"/>
        </w:rPr>
      </w:pPr>
      <w:r w:rsidRPr="009A709D">
        <w:rPr>
          <w:lang w:val="es-ES_tradnl"/>
        </w:rPr>
        <w:t>La distribución se ha calculado con la premisa de un terreno plano, es decir, con el horizonte a 0</w:t>
      </w:r>
      <w:r w:rsidR="00CA2D68">
        <w:rPr>
          <w:lang w:val="es-ES_tradnl"/>
        </w:rPr>
        <w:t> </w:t>
      </w:r>
      <w:r w:rsidRPr="009A709D">
        <w:rPr>
          <w:lang w:val="es-ES_tradnl"/>
        </w:rPr>
        <w:t xml:space="preserve">grados. Esta es </w:t>
      </w:r>
      <w:r w:rsidR="009C6CEE" w:rsidRPr="009A709D">
        <w:rPr>
          <w:lang w:val="es-ES_tradnl"/>
        </w:rPr>
        <w:t>la</w:t>
      </w:r>
      <w:r w:rsidRPr="009A709D">
        <w:rPr>
          <w:lang w:val="es-ES_tradnl"/>
        </w:rPr>
        <w:t xml:space="preserve"> hipótesis de</w:t>
      </w:r>
      <w:r w:rsidR="009C6CEE" w:rsidRPr="009A709D">
        <w:rPr>
          <w:lang w:val="es-ES_tradnl"/>
        </w:rPr>
        <w:t>l</w:t>
      </w:r>
      <w:r w:rsidRPr="009A709D">
        <w:rPr>
          <w:lang w:val="es-ES_tradnl"/>
        </w:rPr>
        <w:t xml:space="preserve"> caso más desfavorable, </w:t>
      </w:r>
      <w:r w:rsidR="009C6CEE" w:rsidRPr="009A709D">
        <w:rPr>
          <w:lang w:val="es-ES_tradnl"/>
        </w:rPr>
        <w:t>puesto</w:t>
      </w:r>
      <w:r w:rsidRPr="009A709D">
        <w:rPr>
          <w:lang w:val="es-ES_tradnl"/>
        </w:rPr>
        <w:t xml:space="preserve"> que</w:t>
      </w:r>
      <w:r w:rsidR="00983791" w:rsidRPr="009A709D">
        <w:rPr>
          <w:lang w:val="es-ES_tradnl"/>
        </w:rPr>
        <w:t xml:space="preserve"> un</w:t>
      </w:r>
      <w:r w:rsidRPr="009A709D">
        <w:rPr>
          <w:lang w:val="es-ES_tradnl"/>
        </w:rPr>
        <w:t xml:space="preserve"> ángulo má</w:t>
      </w:r>
      <w:r w:rsidR="00983791" w:rsidRPr="009A709D">
        <w:rPr>
          <w:lang w:val="es-ES_tradnl"/>
        </w:rPr>
        <w:t>s</w:t>
      </w:r>
      <w:r w:rsidRPr="009A709D">
        <w:rPr>
          <w:lang w:val="es-ES_tradnl"/>
        </w:rPr>
        <w:t xml:space="preserve"> elevado </w:t>
      </w:r>
      <w:r w:rsidR="009C6CEE" w:rsidRPr="009A709D">
        <w:rPr>
          <w:lang w:val="es-ES_tradnl"/>
        </w:rPr>
        <w:t xml:space="preserve">con respecto al horizonte </w:t>
      </w:r>
      <w:r w:rsidRPr="009A709D">
        <w:rPr>
          <w:lang w:val="es-ES_tradnl"/>
        </w:rPr>
        <w:t>ofrecería</w:t>
      </w:r>
      <w:r w:rsidR="00983791" w:rsidRPr="009A709D">
        <w:rPr>
          <w:lang w:val="es-ES_tradnl"/>
        </w:rPr>
        <w:t xml:space="preserve"> un</w:t>
      </w:r>
      <w:r w:rsidRPr="009A709D">
        <w:rPr>
          <w:lang w:val="es-ES_tradnl"/>
        </w:rPr>
        <w:t xml:space="preserve"> valor de ganancia </w:t>
      </w:r>
      <w:r w:rsidR="00983791" w:rsidRPr="009A709D">
        <w:rPr>
          <w:lang w:val="es-ES_tradnl"/>
        </w:rPr>
        <w:t>de</w:t>
      </w:r>
      <w:r w:rsidRPr="009A709D">
        <w:rPr>
          <w:lang w:val="es-ES_tradnl"/>
        </w:rPr>
        <w:t xml:space="preserve"> antena más bajo (la antena apunta hacia el suelo). </w:t>
      </w:r>
      <w:r w:rsidR="00983791" w:rsidRPr="009A709D">
        <w:rPr>
          <w:lang w:val="es-ES_tradnl"/>
        </w:rPr>
        <w:t>Los</w:t>
      </w:r>
      <w:r w:rsidR="00CA2D68">
        <w:rPr>
          <w:lang w:val="es-ES_tradnl"/>
        </w:rPr>
        <w:t> </w:t>
      </w:r>
      <w:r w:rsidR="00983791" w:rsidRPr="009A709D">
        <w:rPr>
          <w:lang w:val="es-ES_tradnl"/>
        </w:rPr>
        <w:t>valores s</w:t>
      </w:r>
      <w:r w:rsidRPr="009A709D">
        <w:rPr>
          <w:lang w:val="es-ES_tradnl"/>
        </w:rPr>
        <w:t>e indica</w:t>
      </w:r>
      <w:r w:rsidR="00983791" w:rsidRPr="009A709D">
        <w:rPr>
          <w:lang w:val="es-ES_tradnl"/>
        </w:rPr>
        <w:t>n</w:t>
      </w:r>
      <w:r w:rsidRPr="009A709D">
        <w:rPr>
          <w:lang w:val="es-ES_tradnl"/>
        </w:rPr>
        <w:t xml:space="preserve"> para 26 GHz en la Fig. 6 y para 37 GHz en la Fig. 7. La ganancia en el eje X es </w:t>
      </w:r>
      <w:r w:rsidRPr="009A709D">
        <w:rPr>
          <w:i/>
          <w:iCs/>
          <w:lang w:val="es-ES_tradnl"/>
        </w:rPr>
        <w:t>G</w:t>
      </w:r>
      <w:r w:rsidRPr="009A709D">
        <w:rPr>
          <w:i/>
          <w:iCs/>
          <w:vertAlign w:val="subscript"/>
          <w:lang w:val="es-ES_tradnl"/>
        </w:rPr>
        <w:t>t</w:t>
      </w:r>
      <w:r w:rsidRPr="009A709D">
        <w:rPr>
          <w:lang w:val="es-ES_tradnl"/>
        </w:rPr>
        <w:t xml:space="preserve"> y el porcentaje en el eje Y es </w:t>
      </w:r>
      <w:r w:rsidRPr="009A709D">
        <w:rPr>
          <w:i/>
          <w:iCs/>
          <w:lang w:val="es-ES_tradnl"/>
        </w:rPr>
        <w:t>p</w:t>
      </w:r>
      <w:r w:rsidRPr="009A709D">
        <w:rPr>
          <w:i/>
          <w:iCs/>
          <w:vertAlign w:val="subscript"/>
          <w:lang w:val="es-ES_tradnl"/>
        </w:rPr>
        <w:t>n</w:t>
      </w:r>
      <w:r w:rsidRPr="009A709D">
        <w:rPr>
          <w:lang w:val="es-ES_tradnl"/>
        </w:rPr>
        <w:t>, tal y como se describe en la ecuación (1).</w:t>
      </w:r>
    </w:p>
    <w:p w14:paraId="0556B919" w14:textId="409473AA" w:rsidR="00123C74" w:rsidRPr="009A709D" w:rsidRDefault="00123C74" w:rsidP="00123C74">
      <w:pPr>
        <w:pStyle w:val="FigureNo"/>
        <w:rPr>
          <w:rFonts w:eastAsia="SimSun"/>
          <w:lang w:val="es-ES_tradnl"/>
        </w:rPr>
      </w:pPr>
      <w:r w:rsidRPr="009A709D">
        <w:rPr>
          <w:lang w:val="es-ES_tradnl"/>
        </w:rPr>
        <w:t>FIGURA 6</w:t>
      </w:r>
    </w:p>
    <w:p w14:paraId="6B07B39E" w14:textId="3E4B2AC2" w:rsidR="00123C74" w:rsidRPr="009A709D" w:rsidRDefault="00123C74" w:rsidP="00123C74">
      <w:pPr>
        <w:pStyle w:val="Figuretitle"/>
        <w:rPr>
          <w:lang w:val="es-ES_tradnl"/>
        </w:rPr>
      </w:pPr>
      <w:r w:rsidRPr="009A709D">
        <w:rPr>
          <w:lang w:val="es-ES_tradnl"/>
        </w:rPr>
        <w:t>FDAC de ganancia hacia el horizonte (</w:t>
      </w:r>
      <w:r w:rsidR="00F019B4" w:rsidRPr="009A709D">
        <w:rPr>
          <w:lang w:val="es-ES_tradnl"/>
        </w:rPr>
        <w:t>EB</w:t>
      </w:r>
      <w:r w:rsidRPr="009A709D">
        <w:rPr>
          <w:lang w:val="es-ES_tradnl"/>
        </w:rPr>
        <w:t xml:space="preserve"> IMT-2020 urbana/suburbana, 24,25-27,5 GHz)</w:t>
      </w:r>
    </w:p>
    <w:p w14:paraId="3D91F6F0" w14:textId="3C969E04" w:rsidR="00CA2D68" w:rsidRPr="00CA2D68" w:rsidRDefault="00CA2D68" w:rsidP="00CA2D68">
      <w:pPr>
        <w:pStyle w:val="Figure"/>
        <w:rPr>
          <w:noProof/>
          <w:lang w:val="es-ES_tradnl" w:eastAsia="es-ES"/>
        </w:rPr>
      </w:pPr>
      <w:r>
        <w:rPr>
          <w:noProof/>
          <w:lang w:val="es-ES_tradnl" w:eastAsia="es-ES"/>
        </w:rPr>
        <w:drawing>
          <wp:inline distT="0" distB="0" distL="0" distR="0" wp14:anchorId="7938DB16" wp14:editId="2A7A00AA">
            <wp:extent cx="5251715" cy="3203455"/>
            <wp:effectExtent l="0" t="0" r="635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2142-0_6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51715" cy="3203455"/>
                    </a:xfrm>
                    <a:prstGeom prst="rect">
                      <a:avLst/>
                    </a:prstGeom>
                  </pic:spPr>
                </pic:pic>
              </a:graphicData>
            </a:graphic>
          </wp:inline>
        </w:drawing>
      </w:r>
    </w:p>
    <w:p w14:paraId="2E8547A0" w14:textId="5EE5FDD1" w:rsidR="00123C74" w:rsidRPr="009A709D" w:rsidRDefault="00123C74" w:rsidP="00123C74">
      <w:pPr>
        <w:pStyle w:val="FigureNo"/>
        <w:rPr>
          <w:rFonts w:eastAsia="SimSun"/>
          <w:lang w:val="es-ES_tradnl"/>
        </w:rPr>
      </w:pPr>
      <w:r w:rsidRPr="009A709D">
        <w:rPr>
          <w:lang w:val="es-ES_tradnl"/>
        </w:rPr>
        <w:lastRenderedPageBreak/>
        <w:t>FIGURA 7</w:t>
      </w:r>
    </w:p>
    <w:p w14:paraId="4A1989E9" w14:textId="43B5E328" w:rsidR="00123C74" w:rsidRPr="009A709D" w:rsidRDefault="00123C74" w:rsidP="00123C74">
      <w:pPr>
        <w:pStyle w:val="Figuretitle"/>
        <w:rPr>
          <w:lang w:val="es-ES_tradnl"/>
        </w:rPr>
      </w:pPr>
      <w:r w:rsidRPr="009A709D">
        <w:rPr>
          <w:lang w:val="es-ES_tradnl"/>
        </w:rPr>
        <w:t>FDAC de ganancia hacia el horizonte (</w:t>
      </w:r>
      <w:r w:rsidR="00F019B4" w:rsidRPr="009A709D">
        <w:rPr>
          <w:lang w:val="es-ES_tradnl"/>
        </w:rPr>
        <w:t>EB</w:t>
      </w:r>
      <w:r w:rsidRPr="009A709D">
        <w:rPr>
          <w:lang w:val="es-ES_tradnl"/>
        </w:rPr>
        <w:t xml:space="preserve"> IMT-2020 urbana/suburbana, 37,00-43,50 GHz)</w:t>
      </w:r>
    </w:p>
    <w:p w14:paraId="63B2884C" w14:textId="47C01842" w:rsidR="00CA2D68" w:rsidRPr="00CA2D68" w:rsidRDefault="00CA2D68" w:rsidP="00CA2D68">
      <w:pPr>
        <w:pStyle w:val="Figure"/>
        <w:rPr>
          <w:noProof/>
          <w:lang w:val="es-ES_tradnl" w:eastAsia="es-ES"/>
        </w:rPr>
      </w:pPr>
      <w:r>
        <w:rPr>
          <w:noProof/>
          <w:lang w:val="es-ES_tradnl" w:eastAsia="es-ES"/>
        </w:rPr>
        <w:drawing>
          <wp:inline distT="0" distB="0" distL="0" distR="0" wp14:anchorId="2F6F87A6" wp14:editId="4591BC10">
            <wp:extent cx="5358395" cy="3319279"/>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2142-0_7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58395" cy="3319279"/>
                    </a:xfrm>
                    <a:prstGeom prst="rect">
                      <a:avLst/>
                    </a:prstGeom>
                  </pic:spPr>
                </pic:pic>
              </a:graphicData>
            </a:graphic>
          </wp:inline>
        </w:drawing>
      </w:r>
    </w:p>
    <w:p w14:paraId="504D7C88" w14:textId="6E3F30FB" w:rsidR="00123C74" w:rsidRPr="009A709D" w:rsidRDefault="00123C74" w:rsidP="00AB187A">
      <w:pPr>
        <w:pStyle w:val="Normalaftertitle"/>
        <w:rPr>
          <w:lang w:val="es-ES_tradnl"/>
        </w:rPr>
      </w:pPr>
      <w:bookmarkStart w:id="48" w:name="_Hlk49404330"/>
      <w:r w:rsidRPr="009A709D">
        <w:rPr>
          <w:lang w:val="es-ES_tradnl"/>
        </w:rPr>
        <w:t xml:space="preserve">Las distribuciones de ganancia hacia el horizonte de la antena </w:t>
      </w:r>
      <w:r w:rsidR="00354E9A" w:rsidRPr="009A709D">
        <w:rPr>
          <w:lang w:val="es-ES_tradnl"/>
        </w:rPr>
        <w:t xml:space="preserve">de la </w:t>
      </w:r>
      <w:r w:rsidR="00F019B4" w:rsidRPr="009A709D">
        <w:rPr>
          <w:lang w:val="es-ES_tradnl"/>
        </w:rPr>
        <w:t>EB</w:t>
      </w:r>
      <w:r w:rsidRPr="009A709D">
        <w:rPr>
          <w:lang w:val="es-ES_tradnl"/>
        </w:rPr>
        <w:t xml:space="preserve"> IMT-2020 que se indican más arriba representan un ejemplo</w:t>
      </w:r>
      <w:r w:rsidR="00354E9A" w:rsidRPr="009A709D">
        <w:rPr>
          <w:lang w:val="es-ES_tradnl"/>
        </w:rPr>
        <w:t xml:space="preserve"> basado en</w:t>
      </w:r>
      <w:r w:rsidRPr="009A709D">
        <w:rPr>
          <w:lang w:val="es-ES_tradnl"/>
        </w:rPr>
        <w:t xml:space="preserve"> el diagrama de antena de la Recomendación UIT-R </w:t>
      </w:r>
      <w:hyperlink r:id="rId36" w:history="1">
        <w:r w:rsidRPr="009A709D">
          <w:rPr>
            <w:lang w:val="es-ES_tradnl"/>
          </w:rPr>
          <w:t>M.2101</w:t>
        </w:r>
      </w:hyperlink>
      <w:r w:rsidRPr="009A709D">
        <w:rPr>
          <w:lang w:val="es-ES_tradnl"/>
        </w:rPr>
        <w:t xml:space="preserve"> y e</w:t>
      </w:r>
      <w:r w:rsidR="00354E9A" w:rsidRPr="009A709D">
        <w:rPr>
          <w:lang w:val="es-ES_tradnl"/>
        </w:rPr>
        <w:t>n</w:t>
      </w:r>
      <w:r w:rsidRPr="009A709D">
        <w:rPr>
          <w:lang w:val="es-ES_tradnl"/>
        </w:rPr>
        <w:t xml:space="preserve"> la premisa de que el haz siempre se </w:t>
      </w:r>
      <w:r w:rsidR="00354E9A" w:rsidRPr="009A709D">
        <w:rPr>
          <w:lang w:val="es-ES_tradnl"/>
        </w:rPr>
        <w:t>orienta</w:t>
      </w:r>
      <w:r w:rsidRPr="009A709D">
        <w:rPr>
          <w:lang w:val="es-ES_tradnl"/>
        </w:rPr>
        <w:t xml:space="preserve"> automáticamente hacia l</w:t>
      </w:r>
      <w:r w:rsidR="00354E9A" w:rsidRPr="009A709D">
        <w:rPr>
          <w:lang w:val="es-ES_tradnl"/>
        </w:rPr>
        <w:t>os</w:t>
      </w:r>
      <w:r w:rsidRPr="009A709D">
        <w:rPr>
          <w:lang w:val="es-ES_tradnl"/>
        </w:rPr>
        <w:t xml:space="preserve"> UE dentro de la zona de cobertura. Las distribuciones de ganancia de la antena de la </w:t>
      </w:r>
      <w:r w:rsidR="00F019B4" w:rsidRPr="009A709D">
        <w:rPr>
          <w:lang w:val="es-ES_tradnl"/>
        </w:rPr>
        <w:t>EB</w:t>
      </w:r>
      <w:r w:rsidRPr="009A709D">
        <w:rPr>
          <w:lang w:val="es-ES_tradnl"/>
        </w:rPr>
        <w:t xml:space="preserve"> IMT-2020 pueden derivarse utilizando diagramas alternativos de ganancia de antena para </w:t>
      </w:r>
      <w:r w:rsidR="00F019B4" w:rsidRPr="009A709D">
        <w:rPr>
          <w:lang w:val="es-ES_tradnl"/>
        </w:rPr>
        <w:t>EB</w:t>
      </w:r>
      <w:r w:rsidRPr="009A709D">
        <w:rPr>
          <w:lang w:val="es-ES_tradnl"/>
        </w:rPr>
        <w:t xml:space="preserve"> IMT-2020, </w:t>
      </w:r>
      <w:r w:rsidR="00354E9A" w:rsidRPr="009A709D">
        <w:rPr>
          <w:lang w:val="es-ES_tradnl"/>
        </w:rPr>
        <w:t>incluidos</w:t>
      </w:r>
      <w:r w:rsidRPr="009A709D">
        <w:rPr>
          <w:lang w:val="es-ES_tradnl"/>
        </w:rPr>
        <w:t xml:space="preserve"> diagramas </w:t>
      </w:r>
      <w:r w:rsidR="00354E9A" w:rsidRPr="009A709D">
        <w:rPr>
          <w:lang w:val="es-ES_tradnl"/>
        </w:rPr>
        <w:t xml:space="preserve">de antena </w:t>
      </w:r>
      <w:r w:rsidRPr="009A709D">
        <w:rPr>
          <w:lang w:val="es-ES_tradnl"/>
        </w:rPr>
        <w:t xml:space="preserve">reales, si se dispone de </w:t>
      </w:r>
      <w:r w:rsidR="000C49B2" w:rsidRPr="009A709D">
        <w:rPr>
          <w:lang w:val="es-ES_tradnl"/>
        </w:rPr>
        <w:t>las</w:t>
      </w:r>
      <w:r w:rsidR="00354E9A" w:rsidRPr="009A709D">
        <w:rPr>
          <w:lang w:val="es-ES_tradnl"/>
        </w:rPr>
        <w:t xml:space="preserve"> mediciones</w:t>
      </w:r>
      <w:r w:rsidR="000C49B2" w:rsidRPr="009A709D">
        <w:rPr>
          <w:lang w:val="es-ES_tradnl"/>
        </w:rPr>
        <w:t xml:space="preserve"> correspondientes</w:t>
      </w:r>
      <w:r w:rsidRPr="009A709D">
        <w:rPr>
          <w:lang w:val="es-ES_tradnl"/>
        </w:rPr>
        <w:t xml:space="preserve">. Al calcular las estadísticas de ganancia de la </w:t>
      </w:r>
      <w:r w:rsidR="00F019B4" w:rsidRPr="009A709D">
        <w:rPr>
          <w:lang w:val="es-ES_tradnl"/>
        </w:rPr>
        <w:t>EB</w:t>
      </w:r>
      <w:r w:rsidRPr="009A709D">
        <w:rPr>
          <w:lang w:val="es-ES_tradnl"/>
        </w:rPr>
        <w:t xml:space="preserve"> IMT-2020 hacia la estación terrena </w:t>
      </w:r>
      <w:r w:rsidR="0046514B" w:rsidRPr="009A709D">
        <w:rPr>
          <w:lang w:val="es-ES_tradnl"/>
        </w:rPr>
        <w:t>objeto de interferencia</w:t>
      </w:r>
      <w:r w:rsidRPr="009A709D">
        <w:rPr>
          <w:lang w:val="es-ES_tradnl"/>
        </w:rPr>
        <w:t>, también deben tenerse en cuenta los casos en que la</w:t>
      </w:r>
      <w:r w:rsidR="0046514B" w:rsidRPr="009A709D">
        <w:rPr>
          <w:lang w:val="es-ES_tradnl"/>
        </w:rPr>
        <w:t>s</w:t>
      </w:r>
      <w:r w:rsidRPr="009A709D">
        <w:rPr>
          <w:lang w:val="es-ES_tradnl"/>
        </w:rPr>
        <w:t xml:space="preserve"> </w:t>
      </w:r>
      <w:r w:rsidR="00F019B4" w:rsidRPr="009A709D">
        <w:rPr>
          <w:lang w:val="es-ES_tradnl"/>
        </w:rPr>
        <w:t>EB</w:t>
      </w:r>
      <w:r w:rsidRPr="009A709D">
        <w:rPr>
          <w:lang w:val="es-ES_tradnl"/>
        </w:rPr>
        <w:t xml:space="preserve"> IMT-2020 implemente</w:t>
      </w:r>
      <w:r w:rsidR="000C49B2" w:rsidRPr="009A709D">
        <w:rPr>
          <w:lang w:val="es-ES_tradnl"/>
        </w:rPr>
        <w:t>n</w:t>
      </w:r>
      <w:r w:rsidRPr="009A709D">
        <w:rPr>
          <w:lang w:val="es-ES_tradnl"/>
        </w:rPr>
        <w:t xml:space="preserve"> tecnología de </w:t>
      </w:r>
      <w:r w:rsidR="000C49B2" w:rsidRPr="009A709D">
        <w:rPr>
          <w:lang w:val="es-ES_tradnl"/>
        </w:rPr>
        <w:t xml:space="preserve">conmutación de haces, es decir, aquellos en que </w:t>
      </w:r>
      <w:r w:rsidRPr="009A709D">
        <w:rPr>
          <w:lang w:val="es-ES_tradnl"/>
        </w:rPr>
        <w:t xml:space="preserve">los haces de la </w:t>
      </w:r>
      <w:r w:rsidR="00F019B4" w:rsidRPr="009A709D">
        <w:rPr>
          <w:lang w:val="es-ES_tradnl"/>
        </w:rPr>
        <w:t>EB</w:t>
      </w:r>
      <w:r w:rsidRPr="009A709D">
        <w:rPr>
          <w:lang w:val="es-ES_tradnl"/>
        </w:rPr>
        <w:t xml:space="preserve"> </w:t>
      </w:r>
      <w:r w:rsidR="000C49B2" w:rsidRPr="009A709D">
        <w:rPr>
          <w:lang w:val="es-ES_tradnl"/>
        </w:rPr>
        <w:t>sea</w:t>
      </w:r>
      <w:r w:rsidRPr="009A709D">
        <w:rPr>
          <w:lang w:val="es-ES_tradnl"/>
        </w:rPr>
        <w:t>n fijos y se</w:t>
      </w:r>
      <w:r w:rsidR="000C49B2" w:rsidRPr="009A709D">
        <w:rPr>
          <w:lang w:val="es-ES_tradnl"/>
        </w:rPr>
        <w:t xml:space="preserve"> vayan asignando a los distintos </w:t>
      </w:r>
      <w:r w:rsidRPr="009A709D">
        <w:rPr>
          <w:lang w:val="es-ES_tradnl"/>
        </w:rPr>
        <w:t xml:space="preserve">UE a medida que </w:t>
      </w:r>
      <w:r w:rsidR="000C49B2" w:rsidRPr="009A709D">
        <w:rPr>
          <w:lang w:val="es-ES_tradnl"/>
        </w:rPr>
        <w:t xml:space="preserve">estos </w:t>
      </w:r>
      <w:r w:rsidRPr="009A709D">
        <w:rPr>
          <w:lang w:val="es-ES_tradnl"/>
        </w:rPr>
        <w:t>se despla</w:t>
      </w:r>
      <w:r w:rsidR="000C49B2" w:rsidRPr="009A709D">
        <w:rPr>
          <w:lang w:val="es-ES_tradnl"/>
        </w:rPr>
        <w:t>ce</w:t>
      </w:r>
      <w:r w:rsidRPr="009A709D">
        <w:rPr>
          <w:lang w:val="es-ES_tradnl"/>
        </w:rPr>
        <w:t xml:space="preserve">n por la zona de cobertura de la </w:t>
      </w:r>
      <w:r w:rsidR="000C49B2" w:rsidRPr="009A709D">
        <w:rPr>
          <w:lang w:val="es-ES_tradnl"/>
        </w:rPr>
        <w:t>estación</w:t>
      </w:r>
      <w:r w:rsidRPr="009A709D">
        <w:rPr>
          <w:lang w:val="es-ES_tradnl"/>
        </w:rPr>
        <w:t xml:space="preserve">, o </w:t>
      </w:r>
      <w:r w:rsidR="000C49B2" w:rsidRPr="009A709D">
        <w:rPr>
          <w:lang w:val="es-ES_tradnl"/>
        </w:rPr>
        <w:t xml:space="preserve">aquellos en que </w:t>
      </w:r>
      <w:r w:rsidRPr="009A709D">
        <w:rPr>
          <w:lang w:val="es-ES_tradnl"/>
        </w:rPr>
        <w:t xml:space="preserve">la ubicación de los UE </w:t>
      </w:r>
      <w:r w:rsidR="000C49B2" w:rsidRPr="009A709D">
        <w:rPr>
          <w:lang w:val="es-ES_tradnl"/>
        </w:rPr>
        <w:t>sea</w:t>
      </w:r>
      <w:r w:rsidRPr="009A709D">
        <w:rPr>
          <w:lang w:val="es-ES_tradnl"/>
        </w:rPr>
        <w:t xml:space="preserve"> fija.</w:t>
      </w:r>
      <w:bookmarkEnd w:id="48"/>
    </w:p>
    <w:p w14:paraId="47AF4572" w14:textId="404A901B" w:rsidR="00123C74" w:rsidRPr="009A709D" w:rsidRDefault="00123C74" w:rsidP="00123C74">
      <w:pPr>
        <w:pStyle w:val="Heading1"/>
        <w:rPr>
          <w:lang w:val="es-ES_tradnl"/>
        </w:rPr>
      </w:pPr>
      <w:bookmarkStart w:id="49" w:name="_Toc102570759"/>
      <w:bookmarkStart w:id="50" w:name="_Toc102986152"/>
      <w:bookmarkStart w:id="51" w:name="_Toc83389342"/>
      <w:bookmarkStart w:id="52" w:name="_Toc83712966"/>
      <w:bookmarkStart w:id="53" w:name="_Toc83713039"/>
      <w:bookmarkStart w:id="54" w:name="_Toc83713152"/>
      <w:bookmarkStart w:id="55" w:name="_Toc83723555"/>
      <w:bookmarkStart w:id="56" w:name="_Toc86738368"/>
      <w:r w:rsidRPr="009A709D">
        <w:rPr>
          <w:lang w:val="es-ES_tradnl"/>
        </w:rPr>
        <w:t>5</w:t>
      </w:r>
      <w:r w:rsidRPr="009A709D">
        <w:rPr>
          <w:lang w:val="es-ES_tradnl"/>
        </w:rPr>
        <w:tab/>
        <w:t xml:space="preserve">Determinación de la ganancia </w:t>
      </w:r>
      <w:r w:rsidR="00C05BA6" w:rsidRPr="009A709D">
        <w:rPr>
          <w:lang w:val="es-ES_tradnl"/>
        </w:rPr>
        <w:t>de la antena del SIE</w:t>
      </w:r>
      <w:r w:rsidR="00C05BA6" w:rsidRPr="009A709D">
        <w:rPr>
          <w:i/>
          <w:lang w:val="es-ES_tradnl"/>
        </w:rPr>
        <w:t xml:space="preserve"> </w:t>
      </w:r>
      <w:r w:rsidRPr="009A709D">
        <w:rPr>
          <w:i/>
          <w:lang w:val="es-ES_tradnl"/>
        </w:rPr>
        <w:t>G</w:t>
      </w:r>
      <w:r w:rsidRPr="009A709D">
        <w:rPr>
          <w:i/>
          <w:vertAlign w:val="subscript"/>
          <w:lang w:val="es-ES_tradnl"/>
        </w:rPr>
        <w:t>r</w:t>
      </w:r>
      <w:r w:rsidRPr="009A709D">
        <w:rPr>
          <w:lang w:val="es-ES_tradnl"/>
        </w:rPr>
        <w:t xml:space="preserve"> hacia el horizonte</w:t>
      </w:r>
      <w:bookmarkEnd w:id="49"/>
      <w:bookmarkEnd w:id="50"/>
      <w:bookmarkEnd w:id="51"/>
      <w:bookmarkEnd w:id="52"/>
      <w:bookmarkEnd w:id="53"/>
      <w:bookmarkEnd w:id="54"/>
      <w:bookmarkEnd w:id="55"/>
      <w:bookmarkEnd w:id="56"/>
    </w:p>
    <w:p w14:paraId="2A0810AA" w14:textId="29681BC9" w:rsidR="00123C74" w:rsidRPr="009A709D" w:rsidRDefault="00123C74" w:rsidP="00C05BA6">
      <w:pPr>
        <w:rPr>
          <w:lang w:val="es-ES_tradnl"/>
        </w:rPr>
      </w:pPr>
      <w:r w:rsidRPr="009A709D">
        <w:rPr>
          <w:lang w:val="es-ES_tradnl"/>
        </w:rPr>
        <w:t xml:space="preserve">La ganancia </w:t>
      </w:r>
      <w:r w:rsidR="00C05BA6" w:rsidRPr="009A709D">
        <w:rPr>
          <w:lang w:val="es-ES_tradnl"/>
        </w:rPr>
        <w:t xml:space="preserve">de la antena del SIE </w:t>
      </w:r>
      <w:r w:rsidRPr="009A709D">
        <w:rPr>
          <w:lang w:val="es-ES_tradnl"/>
        </w:rPr>
        <w:t xml:space="preserve">hacia el horizonte se determina </w:t>
      </w:r>
      <w:r w:rsidR="00C05BA6" w:rsidRPr="009A709D">
        <w:rPr>
          <w:lang w:val="es-ES_tradnl"/>
        </w:rPr>
        <w:t>a partir</w:t>
      </w:r>
      <w:r w:rsidRPr="009A709D">
        <w:rPr>
          <w:lang w:val="es-ES_tradnl"/>
        </w:rPr>
        <w:t xml:space="preserve"> </w:t>
      </w:r>
      <w:r w:rsidR="00C05BA6" w:rsidRPr="009A709D">
        <w:rPr>
          <w:lang w:val="es-ES_tradnl"/>
        </w:rPr>
        <w:t>d</w:t>
      </w:r>
      <w:r w:rsidRPr="009A709D">
        <w:rPr>
          <w:lang w:val="es-ES_tradnl"/>
        </w:rPr>
        <w:t xml:space="preserve">el ángulo </w:t>
      </w:r>
      <w:r w:rsidR="00C05BA6" w:rsidRPr="009A709D">
        <w:rPr>
          <w:lang w:val="es-ES_tradnl"/>
        </w:rPr>
        <w:t xml:space="preserve">mínimo de puntería en elevación </w:t>
      </w:r>
      <w:r w:rsidRPr="009A709D">
        <w:rPr>
          <w:lang w:val="es-ES_tradnl"/>
        </w:rPr>
        <w:t xml:space="preserve">para el acimut considerado y el diagrama de antena </w:t>
      </w:r>
      <w:r w:rsidR="00C05BA6" w:rsidRPr="009A709D">
        <w:rPr>
          <w:lang w:val="es-ES_tradnl"/>
        </w:rPr>
        <w:t>correspondiente</w:t>
      </w:r>
      <w:r w:rsidRPr="009A709D">
        <w:rPr>
          <w:lang w:val="es-ES_tradnl"/>
        </w:rPr>
        <w:t>.</w:t>
      </w:r>
    </w:p>
    <w:p w14:paraId="127412F7" w14:textId="65211786" w:rsidR="00123C74" w:rsidRPr="009A709D" w:rsidRDefault="00123C74" w:rsidP="00123C74">
      <w:pPr>
        <w:pStyle w:val="enumlev1"/>
        <w:rPr>
          <w:lang w:val="es-ES_tradnl"/>
        </w:rPr>
      </w:pPr>
      <w:r w:rsidRPr="009A709D">
        <w:rPr>
          <w:lang w:val="es-ES_tradnl"/>
        </w:rPr>
        <w:t>–</w:t>
      </w:r>
      <w:r w:rsidRPr="009A709D">
        <w:rPr>
          <w:lang w:val="es-ES_tradnl"/>
        </w:rPr>
        <w:tab/>
        <w:t xml:space="preserve">El ángulo mínimo de elevación para el SIE (cercano a la </w:t>
      </w:r>
      <w:r w:rsidR="00CA01A7" w:rsidRPr="009A709D">
        <w:rPr>
          <w:lang w:val="es-ES_tradnl"/>
        </w:rPr>
        <w:t>Tierra</w:t>
      </w:r>
      <w:r w:rsidRPr="009A709D">
        <w:rPr>
          <w:lang w:val="es-ES_tradnl"/>
        </w:rPr>
        <w:t>) en las bandas 25,5-27</w:t>
      </w:r>
      <w:r w:rsidR="00001BF9" w:rsidRPr="009A709D">
        <w:rPr>
          <w:lang w:val="es-ES_tradnl"/>
        </w:rPr>
        <w:t> </w:t>
      </w:r>
      <w:r w:rsidRPr="009A709D">
        <w:rPr>
          <w:lang w:val="es-ES_tradnl"/>
        </w:rPr>
        <w:t>GHz y 37</w:t>
      </w:r>
      <w:r w:rsidRPr="009A709D">
        <w:rPr>
          <w:lang w:val="es-ES_tradnl"/>
        </w:rPr>
        <w:noBreakHyphen/>
        <w:t xml:space="preserve">38 GHz es de 5 grados; si </w:t>
      </w:r>
      <w:r w:rsidR="00DD0DD3" w:rsidRPr="009A709D">
        <w:rPr>
          <w:lang w:val="es-ES_tradnl"/>
        </w:rPr>
        <w:t>el ángulo de</w:t>
      </w:r>
      <w:r w:rsidRPr="009A709D">
        <w:rPr>
          <w:lang w:val="es-ES_tradnl"/>
        </w:rPr>
        <w:t xml:space="preserve"> elevación </w:t>
      </w:r>
      <w:r w:rsidR="00DD0DD3" w:rsidRPr="009A709D">
        <w:rPr>
          <w:lang w:val="es-ES_tradnl"/>
        </w:rPr>
        <w:t>con respecto a</w:t>
      </w:r>
      <w:r w:rsidRPr="009A709D">
        <w:rPr>
          <w:lang w:val="es-ES_tradnl"/>
        </w:rPr>
        <w:t xml:space="preserve">l horizonte </w:t>
      </w:r>
      <w:r w:rsidR="00DD0DD3" w:rsidRPr="009A709D">
        <w:rPr>
          <w:lang w:val="es-ES_tradnl"/>
        </w:rPr>
        <w:t>supera los</w:t>
      </w:r>
      <w:r w:rsidRPr="009A709D">
        <w:rPr>
          <w:lang w:val="es-ES_tradnl"/>
        </w:rPr>
        <w:t xml:space="preserve"> 4</w:t>
      </w:r>
      <w:r w:rsidR="00CA2D68">
        <w:rPr>
          <w:lang w:val="es-ES_tradnl"/>
        </w:rPr>
        <w:t> </w:t>
      </w:r>
      <w:r w:rsidRPr="009A709D">
        <w:rPr>
          <w:lang w:val="es-ES_tradnl"/>
        </w:rPr>
        <w:t>grados, se asume que la elevación mínima es de 1 grado por encima del horizonte.</w:t>
      </w:r>
    </w:p>
    <w:p w14:paraId="0A0852F8" w14:textId="06ED3FBF" w:rsidR="00123C74" w:rsidRPr="009A709D" w:rsidRDefault="00123C74" w:rsidP="00DD0DD3">
      <w:pPr>
        <w:pStyle w:val="enumlev1"/>
        <w:rPr>
          <w:lang w:val="es-ES_tradnl"/>
        </w:rPr>
      </w:pPr>
      <w:r w:rsidRPr="009A709D">
        <w:rPr>
          <w:lang w:val="es-ES_tradnl"/>
        </w:rPr>
        <w:t>–</w:t>
      </w:r>
      <w:r w:rsidRPr="009A709D">
        <w:rPr>
          <w:lang w:val="es-ES_tradnl"/>
        </w:rPr>
        <w:tab/>
        <w:t>El ángulo mínimo de elevación para el SIE (espacio lejano) en la banda 37</w:t>
      </w:r>
      <w:r w:rsidRPr="009A709D">
        <w:rPr>
          <w:lang w:val="es-ES_tradnl"/>
        </w:rPr>
        <w:noBreakHyphen/>
        <w:t>38 GHz es de 10</w:t>
      </w:r>
      <w:r w:rsidR="00001BF9" w:rsidRPr="009A709D">
        <w:rPr>
          <w:lang w:val="es-ES_tradnl"/>
        </w:rPr>
        <w:t> </w:t>
      </w:r>
      <w:r w:rsidRPr="009A709D">
        <w:rPr>
          <w:lang w:val="es-ES_tradnl"/>
        </w:rPr>
        <w:t xml:space="preserve">grados; </w:t>
      </w:r>
      <w:r w:rsidR="00DD0DD3" w:rsidRPr="009A709D">
        <w:rPr>
          <w:lang w:val="es-ES_tradnl"/>
        </w:rPr>
        <w:t>si el ángulo de elevación con respecto al horizonte supera los</w:t>
      </w:r>
      <w:r w:rsidRPr="009A709D">
        <w:rPr>
          <w:lang w:val="es-ES_tradnl"/>
        </w:rPr>
        <w:t xml:space="preserve"> 9 grados, se asume que la elevación mínima es de 1 grado por encima del horizonte.</w:t>
      </w:r>
    </w:p>
    <w:p w14:paraId="7C63A146" w14:textId="25ACFC06" w:rsidR="00123C74" w:rsidRPr="009A709D" w:rsidRDefault="00123C74" w:rsidP="00123C74">
      <w:pPr>
        <w:rPr>
          <w:lang w:val="es-ES_tradnl"/>
        </w:rPr>
      </w:pPr>
      <w:r w:rsidRPr="009A709D">
        <w:rPr>
          <w:lang w:val="es-ES_tradnl"/>
        </w:rPr>
        <w:t>A modo de ejemplo, la Fig.</w:t>
      </w:r>
      <w:r w:rsidR="00CA2D68">
        <w:rPr>
          <w:lang w:val="es-ES_tradnl"/>
        </w:rPr>
        <w:t> </w:t>
      </w:r>
      <w:r w:rsidRPr="009A709D">
        <w:rPr>
          <w:lang w:val="es-ES_tradnl"/>
        </w:rPr>
        <w:t xml:space="preserve">8 </w:t>
      </w:r>
      <w:r w:rsidR="00DD0DD3" w:rsidRPr="009A709D">
        <w:rPr>
          <w:lang w:val="es-ES_tradnl"/>
        </w:rPr>
        <w:t>ilustra</w:t>
      </w:r>
      <w:r w:rsidRPr="009A709D">
        <w:rPr>
          <w:lang w:val="es-ES_tradnl"/>
        </w:rPr>
        <w:t xml:space="preserve"> el perfil de horizonte </w:t>
      </w:r>
      <w:r w:rsidR="00DD0DD3" w:rsidRPr="009A709D">
        <w:rPr>
          <w:lang w:val="es-ES_tradnl"/>
        </w:rPr>
        <w:t>de</w:t>
      </w:r>
      <w:r w:rsidRPr="009A709D">
        <w:rPr>
          <w:lang w:val="es-ES_tradnl"/>
        </w:rPr>
        <w:t xml:space="preserve"> la estación terrena del SIE</w:t>
      </w:r>
      <w:r w:rsidR="00DD0DD3" w:rsidRPr="009A709D">
        <w:rPr>
          <w:lang w:val="es-ES_tradnl"/>
        </w:rPr>
        <w:t xml:space="preserve"> situada</w:t>
      </w:r>
      <w:r w:rsidRPr="009A709D">
        <w:rPr>
          <w:lang w:val="es-ES_tradnl"/>
        </w:rPr>
        <w:t xml:space="preserve"> en Robledo (España). E</w:t>
      </w:r>
      <w:r w:rsidR="00F1369B" w:rsidRPr="009A709D">
        <w:rPr>
          <w:lang w:val="es-ES_tradnl"/>
        </w:rPr>
        <w:t>n este caso, los</w:t>
      </w:r>
      <w:r w:rsidRPr="009A709D">
        <w:rPr>
          <w:lang w:val="es-ES_tradnl"/>
        </w:rPr>
        <w:t xml:space="preserve"> ángulo</w:t>
      </w:r>
      <w:r w:rsidR="00F1369B" w:rsidRPr="009A709D">
        <w:rPr>
          <w:lang w:val="es-ES_tradnl"/>
        </w:rPr>
        <w:t>s</w:t>
      </w:r>
      <w:r w:rsidRPr="009A709D">
        <w:rPr>
          <w:lang w:val="es-ES_tradnl"/>
        </w:rPr>
        <w:t xml:space="preserve"> de elevación</w:t>
      </w:r>
      <w:r w:rsidR="00F1369B" w:rsidRPr="009A709D">
        <w:rPr>
          <w:lang w:val="es-ES_tradnl"/>
        </w:rPr>
        <w:t xml:space="preserve"> en acimut de</w:t>
      </w:r>
      <w:r w:rsidRPr="009A709D">
        <w:rPr>
          <w:lang w:val="es-ES_tradnl"/>
        </w:rPr>
        <w:t xml:space="preserve"> en torno a 75 grados y</w:t>
      </w:r>
      <w:r w:rsidR="00F1369B" w:rsidRPr="009A709D">
        <w:rPr>
          <w:lang w:val="es-ES_tradnl"/>
        </w:rPr>
        <w:t xml:space="preserve"> de más de </w:t>
      </w:r>
      <w:r w:rsidRPr="009A709D">
        <w:rPr>
          <w:lang w:val="es-ES_tradnl"/>
        </w:rPr>
        <w:t xml:space="preserve">250 grados </w:t>
      </w:r>
      <w:r w:rsidR="00DD0DD3" w:rsidRPr="009A709D">
        <w:rPr>
          <w:lang w:val="es-ES_tradnl"/>
        </w:rPr>
        <w:t>supera</w:t>
      </w:r>
      <w:r w:rsidR="00F1369B" w:rsidRPr="009A709D">
        <w:rPr>
          <w:lang w:val="es-ES_tradnl"/>
        </w:rPr>
        <w:t>n</w:t>
      </w:r>
      <w:r w:rsidRPr="009A709D">
        <w:rPr>
          <w:lang w:val="es-ES_tradnl"/>
        </w:rPr>
        <w:t xml:space="preserve"> los 4 grados</w:t>
      </w:r>
      <w:r w:rsidR="00F1369B" w:rsidRPr="009A709D">
        <w:rPr>
          <w:lang w:val="es-ES_tradnl"/>
        </w:rPr>
        <w:t xml:space="preserve"> de elevación</w:t>
      </w:r>
      <w:r w:rsidRPr="009A709D">
        <w:rPr>
          <w:lang w:val="es-ES_tradnl"/>
        </w:rPr>
        <w:t xml:space="preserve">; por tanto, el ángulo de elevación mínimo es de </w:t>
      </w:r>
      <w:r w:rsidR="00E83559" w:rsidRPr="009A709D">
        <w:rPr>
          <w:lang w:val="es-ES_tradnl"/>
        </w:rPr>
        <w:t>1</w:t>
      </w:r>
      <w:r w:rsidR="00CA2D68">
        <w:rPr>
          <w:lang w:val="es-ES_tradnl"/>
        </w:rPr>
        <w:t> </w:t>
      </w:r>
      <w:r w:rsidRPr="009A709D">
        <w:rPr>
          <w:lang w:val="es-ES_tradnl"/>
        </w:rPr>
        <w:t xml:space="preserve">grado por encima de este horizonte para el SIE (cercano a la </w:t>
      </w:r>
      <w:r w:rsidR="00CA01A7" w:rsidRPr="009A709D">
        <w:rPr>
          <w:lang w:val="es-ES_tradnl"/>
        </w:rPr>
        <w:t>Tierra</w:t>
      </w:r>
      <w:r w:rsidRPr="009A709D">
        <w:rPr>
          <w:lang w:val="es-ES_tradnl"/>
        </w:rPr>
        <w:t>). En cualquier otro caso, el valor relevante sería de 5 grados.</w:t>
      </w:r>
    </w:p>
    <w:p w14:paraId="152EE894" w14:textId="12A8DB4C" w:rsidR="00123C74" w:rsidRPr="009A709D" w:rsidRDefault="00123C74" w:rsidP="00123C74">
      <w:pPr>
        <w:pStyle w:val="FigureNo"/>
        <w:rPr>
          <w:rFonts w:eastAsia="SimSun"/>
          <w:lang w:val="es-ES_tradnl"/>
        </w:rPr>
      </w:pPr>
      <w:r w:rsidRPr="009A709D">
        <w:rPr>
          <w:lang w:val="es-ES_tradnl"/>
        </w:rPr>
        <w:lastRenderedPageBreak/>
        <w:t>FIGURA 8</w:t>
      </w:r>
    </w:p>
    <w:p w14:paraId="439D29D7" w14:textId="77777777" w:rsidR="00123C74" w:rsidRPr="009A709D" w:rsidRDefault="00123C74" w:rsidP="00123C74">
      <w:pPr>
        <w:pStyle w:val="Figuretitle"/>
        <w:rPr>
          <w:lang w:val="es-ES_tradnl"/>
        </w:rPr>
      </w:pPr>
      <w:r w:rsidRPr="009A709D">
        <w:rPr>
          <w:lang w:val="es-ES_tradnl"/>
        </w:rPr>
        <w:t>Perfil del horizonte en torno a Robledo</w:t>
      </w:r>
    </w:p>
    <w:p w14:paraId="57F511E0" w14:textId="3CDCFEE1" w:rsidR="00BD59C4" w:rsidRPr="00BD59C4" w:rsidRDefault="00BD59C4" w:rsidP="00BD59C4">
      <w:pPr>
        <w:pStyle w:val="Figure"/>
      </w:pPr>
      <w:r w:rsidRPr="00BD59C4">
        <w:drawing>
          <wp:inline distT="0" distB="0" distL="0" distR="0" wp14:anchorId="052AE285" wp14:editId="7945AE65">
            <wp:extent cx="3355855" cy="2865126"/>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2142-0_8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55855" cy="2865126"/>
                    </a:xfrm>
                    <a:prstGeom prst="rect">
                      <a:avLst/>
                    </a:prstGeom>
                  </pic:spPr>
                </pic:pic>
              </a:graphicData>
            </a:graphic>
          </wp:inline>
        </w:drawing>
      </w:r>
    </w:p>
    <w:p w14:paraId="612203AD" w14:textId="62827365" w:rsidR="00123C74" w:rsidRPr="009A709D" w:rsidRDefault="00123C74" w:rsidP="00B17252">
      <w:pPr>
        <w:pStyle w:val="Normalaftertitle"/>
        <w:rPr>
          <w:lang w:val="es-ES_tradnl"/>
        </w:rPr>
      </w:pPr>
      <w:r w:rsidRPr="009A709D">
        <w:rPr>
          <w:lang w:val="es-ES_tradnl"/>
        </w:rPr>
        <w:t xml:space="preserve">Conviene tener en cuenta que la Recomendación UIT-R </w:t>
      </w:r>
      <w:hyperlink r:id="rId38" w:history="1">
        <w:r w:rsidRPr="009A709D">
          <w:rPr>
            <w:rStyle w:val="Hyperlink"/>
            <w:color w:val="auto"/>
            <w:u w:val="none"/>
            <w:lang w:val="es-ES_tradnl"/>
          </w:rPr>
          <w:t>P.452</w:t>
        </w:r>
      </w:hyperlink>
      <w:r w:rsidRPr="009A709D">
        <w:rPr>
          <w:lang w:val="es-ES_tradnl"/>
        </w:rPr>
        <w:t xml:space="preserve"> </w:t>
      </w:r>
      <w:r w:rsidR="0038399F" w:rsidRPr="009A709D">
        <w:rPr>
          <w:lang w:val="es-ES_tradnl"/>
        </w:rPr>
        <w:t>calcula</w:t>
      </w:r>
      <w:r w:rsidRPr="009A709D">
        <w:rPr>
          <w:lang w:val="es-ES_tradnl"/>
        </w:rPr>
        <w:t xml:space="preserve"> el ángulo de elevación </w:t>
      </w:r>
      <w:r w:rsidR="0038399F" w:rsidRPr="009A709D">
        <w:rPr>
          <w:lang w:val="es-ES_tradnl"/>
        </w:rPr>
        <w:t>de</w:t>
      </w:r>
      <w:r w:rsidRPr="009A709D">
        <w:rPr>
          <w:lang w:val="es-ES_tradnl"/>
        </w:rPr>
        <w:t xml:space="preserve"> todos los puntos del modelo de terreno entre el transmisor y el receptor y, </w:t>
      </w:r>
      <w:r w:rsidR="0038399F" w:rsidRPr="009A709D">
        <w:rPr>
          <w:lang w:val="es-ES_tradnl"/>
        </w:rPr>
        <w:t>a continuación</w:t>
      </w:r>
      <w:r w:rsidRPr="009A709D">
        <w:rPr>
          <w:lang w:val="es-ES_tradnl"/>
        </w:rPr>
        <w:t xml:space="preserve">, determina el valor máximo de elevación tal y como se percibe desde el lado del transmisor y desde el lado del receptor. En este caso, el valor extraído de la Recomendación UIT-R </w:t>
      </w:r>
      <w:hyperlink r:id="rId39" w:history="1">
        <w:r w:rsidRPr="009A709D">
          <w:rPr>
            <w:rStyle w:val="Hyperlink"/>
            <w:color w:val="auto"/>
            <w:u w:val="none"/>
            <w:lang w:val="es-ES_tradnl"/>
          </w:rPr>
          <w:t>P.452</w:t>
        </w:r>
      </w:hyperlink>
      <w:r w:rsidRPr="009A709D">
        <w:rPr>
          <w:lang w:val="es-ES_tradnl"/>
        </w:rPr>
        <w:t xml:space="preserve"> para el lado del receptor</w:t>
      </w:r>
      <w:r w:rsidR="0050710A" w:rsidRPr="009A709D">
        <w:rPr>
          <w:lang w:val="es-ES_tradnl"/>
        </w:rPr>
        <w:t xml:space="preserve"> y</w:t>
      </w:r>
      <w:r w:rsidRPr="009A709D">
        <w:rPr>
          <w:lang w:val="es-ES_tradnl"/>
        </w:rPr>
        <w:t xml:space="preserve"> para todos los </w:t>
      </w:r>
      <w:r w:rsidR="00A7798D" w:rsidRPr="009A709D">
        <w:rPr>
          <w:lang w:val="es-ES_tradnl"/>
        </w:rPr>
        <w:t>acimuts</w:t>
      </w:r>
      <w:r w:rsidRPr="009A709D">
        <w:rPr>
          <w:lang w:val="es-ES_tradnl"/>
        </w:rPr>
        <w:t xml:space="preserve"> permitiría generar directa</w:t>
      </w:r>
      <w:r w:rsidR="0050710A" w:rsidRPr="009A709D">
        <w:rPr>
          <w:lang w:val="es-ES_tradnl"/>
        </w:rPr>
        <w:t>mente</w:t>
      </w:r>
      <w:r w:rsidRPr="009A709D">
        <w:rPr>
          <w:lang w:val="es-ES_tradnl"/>
        </w:rPr>
        <w:t xml:space="preserve"> el perfil de horizonte ilustrado en la Fig.</w:t>
      </w:r>
      <w:r w:rsidR="00BD59C4">
        <w:rPr>
          <w:lang w:val="es-ES_tradnl"/>
        </w:rPr>
        <w:t> </w:t>
      </w:r>
      <w:r w:rsidRPr="009A709D">
        <w:rPr>
          <w:lang w:val="es-ES_tradnl"/>
        </w:rPr>
        <w:t>8.</w:t>
      </w:r>
    </w:p>
    <w:p w14:paraId="70F3FB81" w14:textId="27CCDE6E" w:rsidR="00123C74" w:rsidRPr="009A709D" w:rsidRDefault="00123C74" w:rsidP="00123C74">
      <w:pPr>
        <w:rPr>
          <w:spacing w:val="-2"/>
          <w:lang w:val="es-ES_tradnl"/>
        </w:rPr>
      </w:pPr>
      <w:r w:rsidRPr="009A709D">
        <w:rPr>
          <w:lang w:val="es-ES_tradnl"/>
        </w:rPr>
        <w:t xml:space="preserve">El diagrama de antena del SIE depende de </w:t>
      </w:r>
      <w:r w:rsidR="0050710A" w:rsidRPr="009A709D">
        <w:rPr>
          <w:lang w:val="es-ES_tradnl"/>
        </w:rPr>
        <w:t>la</w:t>
      </w:r>
      <w:r w:rsidRPr="009A709D">
        <w:rPr>
          <w:lang w:val="es-ES_tradnl"/>
        </w:rPr>
        <w:t xml:space="preserve"> antena y de la banda de frecuencias de interés. La</w:t>
      </w:r>
      <w:r w:rsidR="00BD59C4">
        <w:rPr>
          <w:lang w:val="es-ES_tradnl"/>
        </w:rPr>
        <w:t> </w:t>
      </w:r>
      <w:r w:rsidRPr="009A709D">
        <w:rPr>
          <w:lang w:val="es-ES_tradnl"/>
        </w:rPr>
        <w:t xml:space="preserve">Recomendación UIT-R </w:t>
      </w:r>
      <w:hyperlink r:id="rId40" w:history="1">
        <w:r w:rsidRPr="009A709D">
          <w:rPr>
            <w:rStyle w:val="Hyperlink"/>
            <w:color w:val="auto"/>
            <w:u w:val="none"/>
            <w:lang w:val="es-ES_tradnl"/>
          </w:rPr>
          <w:t>SA.509</w:t>
        </w:r>
      </w:hyperlink>
      <w:r w:rsidRPr="009A709D">
        <w:rPr>
          <w:lang w:val="es-ES_tradnl"/>
        </w:rPr>
        <w:t xml:space="preserve"> puede utilizarse en la banda 25,5-27 GHz, y la Recomendación UIT</w:t>
      </w:r>
      <w:r w:rsidR="00CA01A7" w:rsidRPr="009A709D">
        <w:rPr>
          <w:lang w:val="es-ES_tradnl"/>
        </w:rPr>
        <w:noBreakHyphen/>
      </w:r>
      <w:r w:rsidRPr="009A709D">
        <w:rPr>
          <w:lang w:val="es-ES_tradnl"/>
        </w:rPr>
        <w:t xml:space="preserve">R </w:t>
      </w:r>
      <w:hyperlink r:id="rId41" w:history="1">
        <w:r w:rsidRPr="009A709D">
          <w:rPr>
            <w:rStyle w:val="Hyperlink"/>
            <w:color w:val="auto"/>
            <w:u w:val="none"/>
            <w:lang w:val="es-ES_tradnl"/>
          </w:rPr>
          <w:t>SA.1811</w:t>
        </w:r>
      </w:hyperlink>
      <w:r w:rsidRPr="009A709D">
        <w:rPr>
          <w:lang w:val="es-ES_tradnl"/>
        </w:rPr>
        <w:t xml:space="preserve"> puede considerarse para la banda 37-38 GHz. Como alternativa, pueden considerarse los diagramas de antena descritos en los Apéndices </w:t>
      </w:r>
      <w:r w:rsidRPr="009A709D">
        <w:rPr>
          <w:b/>
          <w:lang w:val="es-ES_tradnl"/>
        </w:rPr>
        <w:t>7</w:t>
      </w:r>
      <w:r w:rsidRPr="009A709D">
        <w:rPr>
          <w:lang w:val="es-ES_tradnl"/>
        </w:rPr>
        <w:t xml:space="preserve"> u </w:t>
      </w:r>
      <w:r w:rsidRPr="009A709D">
        <w:rPr>
          <w:b/>
          <w:lang w:val="es-ES_tradnl"/>
        </w:rPr>
        <w:t>8</w:t>
      </w:r>
      <w:r w:rsidRPr="009A709D">
        <w:rPr>
          <w:lang w:val="es-ES_tradnl"/>
        </w:rPr>
        <w:t xml:space="preserve"> del RR.</w:t>
      </w:r>
    </w:p>
    <w:p w14:paraId="5B048723" w14:textId="60E3B59D" w:rsidR="00123C74" w:rsidRPr="009A709D" w:rsidRDefault="00123C74" w:rsidP="00123C74">
      <w:pPr>
        <w:rPr>
          <w:lang w:val="es-ES_tradnl"/>
        </w:rPr>
      </w:pPr>
      <w:r w:rsidRPr="009A709D">
        <w:rPr>
          <w:lang w:val="es-ES_tradnl"/>
        </w:rPr>
        <w:t>La Fig</w:t>
      </w:r>
      <w:r w:rsidR="00CA01A7" w:rsidRPr="009A709D">
        <w:rPr>
          <w:lang w:val="es-ES_tradnl"/>
        </w:rPr>
        <w:t>.</w:t>
      </w:r>
      <w:r w:rsidR="00BD59C4">
        <w:rPr>
          <w:lang w:val="es-ES_tradnl"/>
        </w:rPr>
        <w:t> </w:t>
      </w:r>
      <w:r w:rsidRPr="009A709D">
        <w:rPr>
          <w:lang w:val="es-ES_tradnl"/>
        </w:rPr>
        <w:t xml:space="preserve">9 ofrece un ejemplo de ganancia </w:t>
      </w:r>
      <w:r w:rsidR="0050710A" w:rsidRPr="009A709D">
        <w:rPr>
          <w:lang w:val="es-ES_tradnl"/>
        </w:rPr>
        <w:t xml:space="preserve">de antena del SIE </w:t>
      </w:r>
      <w:r w:rsidRPr="009A709D">
        <w:rPr>
          <w:i/>
          <w:lang w:val="es-ES_tradnl"/>
        </w:rPr>
        <w:t>G</w:t>
      </w:r>
      <w:r w:rsidRPr="009A709D">
        <w:rPr>
          <w:i/>
          <w:vertAlign w:val="subscript"/>
          <w:lang w:val="es-ES_tradnl"/>
        </w:rPr>
        <w:t>r</w:t>
      </w:r>
      <w:r w:rsidRPr="009A709D">
        <w:rPr>
          <w:lang w:val="es-ES_tradnl"/>
        </w:rPr>
        <w:t xml:space="preserve"> como función del acimut en torno a la estación terrena del SIE en Robledo (España).</w:t>
      </w:r>
    </w:p>
    <w:p w14:paraId="57C12C8B" w14:textId="252E7D0A" w:rsidR="00123C74" w:rsidRPr="009A709D" w:rsidRDefault="00123C74" w:rsidP="00123C74">
      <w:pPr>
        <w:pStyle w:val="FigureNo"/>
        <w:rPr>
          <w:rFonts w:eastAsia="SimSun"/>
          <w:lang w:val="es-ES_tradnl"/>
        </w:rPr>
      </w:pPr>
      <w:r w:rsidRPr="009A709D">
        <w:rPr>
          <w:lang w:val="es-ES_tradnl"/>
        </w:rPr>
        <w:t>FIGURA 9</w:t>
      </w:r>
    </w:p>
    <w:p w14:paraId="28D6C0BE" w14:textId="1CDA24B3" w:rsidR="00123C74" w:rsidRPr="009A709D" w:rsidRDefault="00123C74" w:rsidP="00123C74">
      <w:pPr>
        <w:pStyle w:val="Figuretitle"/>
        <w:rPr>
          <w:lang w:val="es-ES_tradnl"/>
        </w:rPr>
      </w:pPr>
      <w:r w:rsidRPr="009A709D">
        <w:rPr>
          <w:lang w:val="es-ES_tradnl"/>
        </w:rPr>
        <w:t xml:space="preserve">Ganancia de la antena de la estación terrena del SIE </w:t>
      </w:r>
      <w:r w:rsidR="002A7580" w:rsidRPr="009A709D">
        <w:rPr>
          <w:lang w:val="es-ES_tradnl"/>
        </w:rPr>
        <w:t xml:space="preserve">hacia el horizonte </w:t>
      </w:r>
      <w:r w:rsidRPr="009A709D">
        <w:rPr>
          <w:lang w:val="es-ES_tradnl"/>
        </w:rPr>
        <w:t>en torno a Robledo</w:t>
      </w:r>
    </w:p>
    <w:p w14:paraId="7A0D8453" w14:textId="452915E3" w:rsidR="00BD59C4" w:rsidRPr="009A709D" w:rsidRDefault="00BD59C4" w:rsidP="00BD59C4">
      <w:pPr>
        <w:pStyle w:val="Figure"/>
        <w:rPr>
          <w:lang w:val="es-ES_tradnl"/>
        </w:rPr>
      </w:pPr>
      <w:r>
        <w:rPr>
          <w:noProof/>
          <w:lang w:val="es-ES_tradnl"/>
        </w:rPr>
        <w:drawing>
          <wp:inline distT="0" distB="0" distL="0" distR="0" wp14:anchorId="54397D94" wp14:editId="67491B41">
            <wp:extent cx="3300991" cy="2828550"/>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2142-0_9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00991" cy="2828550"/>
                    </a:xfrm>
                    <a:prstGeom prst="rect">
                      <a:avLst/>
                    </a:prstGeom>
                  </pic:spPr>
                </pic:pic>
              </a:graphicData>
            </a:graphic>
          </wp:inline>
        </w:drawing>
      </w:r>
    </w:p>
    <w:p w14:paraId="728975B4" w14:textId="26FF0459" w:rsidR="00123C74" w:rsidRPr="009A709D" w:rsidRDefault="00123C74" w:rsidP="00001BF9">
      <w:pPr>
        <w:pStyle w:val="Heading1"/>
        <w:rPr>
          <w:lang w:val="es-ES_tradnl"/>
        </w:rPr>
      </w:pPr>
      <w:bookmarkStart w:id="57" w:name="_Toc83389343"/>
      <w:bookmarkStart w:id="58" w:name="_Toc83712967"/>
      <w:bookmarkStart w:id="59" w:name="_Toc83713040"/>
      <w:bookmarkStart w:id="60" w:name="_Toc83713153"/>
      <w:bookmarkStart w:id="61" w:name="_Toc83723556"/>
      <w:bookmarkStart w:id="62" w:name="_Toc86738369"/>
      <w:bookmarkStart w:id="63" w:name="_Toc102570760"/>
      <w:bookmarkStart w:id="64" w:name="_Toc102986153"/>
      <w:r w:rsidRPr="009A709D">
        <w:rPr>
          <w:lang w:val="es-ES_tradnl"/>
        </w:rPr>
        <w:lastRenderedPageBreak/>
        <w:t>6</w:t>
      </w:r>
      <w:r w:rsidRPr="009A709D">
        <w:rPr>
          <w:lang w:val="es-ES_tradnl"/>
        </w:rPr>
        <w:tab/>
        <w:t xml:space="preserve">Determinación del umbral de protección del SIE y </w:t>
      </w:r>
      <w:r w:rsidR="003842C9" w:rsidRPr="009A709D">
        <w:rPr>
          <w:lang w:val="es-ES_tradnl"/>
        </w:rPr>
        <w:t>el ancho de</w:t>
      </w:r>
      <w:r w:rsidRPr="009A709D">
        <w:rPr>
          <w:lang w:val="es-ES_tradnl"/>
        </w:rPr>
        <w:t xml:space="preserve"> banda de referencia</w:t>
      </w:r>
      <w:bookmarkEnd w:id="57"/>
      <w:bookmarkEnd w:id="58"/>
      <w:bookmarkEnd w:id="59"/>
      <w:bookmarkEnd w:id="60"/>
      <w:bookmarkEnd w:id="61"/>
      <w:bookmarkEnd w:id="62"/>
      <w:bookmarkEnd w:id="63"/>
      <w:bookmarkEnd w:id="64"/>
    </w:p>
    <w:p w14:paraId="1E756BE9" w14:textId="3A2E5DE0" w:rsidR="00123C74" w:rsidRPr="009A709D" w:rsidRDefault="00123C74" w:rsidP="00001BF9">
      <w:pPr>
        <w:pStyle w:val="enumlev1"/>
        <w:rPr>
          <w:lang w:val="es-ES_tradnl"/>
        </w:rPr>
      </w:pPr>
      <w:r w:rsidRPr="009A709D">
        <w:rPr>
          <w:lang w:val="es-ES_tradnl"/>
        </w:rPr>
        <w:t>–</w:t>
      </w:r>
      <w:r w:rsidRPr="009A709D">
        <w:rPr>
          <w:lang w:val="es-ES_tradnl"/>
        </w:rPr>
        <w:tab/>
        <w:t xml:space="preserve">El umbral de protección I del SIE viene determinado en la Recomendación UIT-R </w:t>
      </w:r>
      <w:hyperlink r:id="rId43" w:history="1">
        <w:r w:rsidRPr="009A709D">
          <w:rPr>
            <w:lang w:val="es-ES_tradnl"/>
          </w:rPr>
          <w:t>SA.609</w:t>
        </w:r>
      </w:hyperlink>
      <w:r w:rsidRPr="009A709D">
        <w:rPr>
          <w:lang w:val="es-ES_tradnl"/>
        </w:rPr>
        <w:t xml:space="preserve"> para el SIE (cercano a la tierra) </w:t>
      </w:r>
      <w:r w:rsidR="00E83559" w:rsidRPr="009A709D">
        <w:rPr>
          <w:lang w:val="es-ES_tradnl"/>
        </w:rPr>
        <w:t>por debajo de los</w:t>
      </w:r>
      <w:r w:rsidRPr="009A709D">
        <w:rPr>
          <w:lang w:val="es-ES_tradnl"/>
        </w:rPr>
        <w:t xml:space="preserve"> 30 GHz como −156 dBW en un </w:t>
      </w:r>
      <w:r w:rsidR="002E34E2" w:rsidRPr="009A709D">
        <w:rPr>
          <w:lang w:val="es-ES_tradnl"/>
        </w:rPr>
        <w:t>ancho de</w:t>
      </w:r>
      <w:r w:rsidRPr="009A709D">
        <w:rPr>
          <w:lang w:val="es-ES_tradnl"/>
        </w:rPr>
        <w:t xml:space="preserve"> banda de referencia </w:t>
      </w:r>
      <w:r w:rsidRPr="009A709D">
        <w:rPr>
          <w:i/>
          <w:iCs/>
          <w:lang w:val="es-ES_tradnl"/>
        </w:rPr>
        <w:t>B</w:t>
      </w:r>
      <w:r w:rsidRPr="009A709D">
        <w:rPr>
          <w:i/>
          <w:iCs/>
          <w:vertAlign w:val="subscript"/>
          <w:lang w:val="es-ES_tradnl"/>
        </w:rPr>
        <w:t>ref</w:t>
      </w:r>
      <w:r w:rsidRPr="009A709D">
        <w:rPr>
          <w:lang w:val="es-ES_tradnl"/>
        </w:rPr>
        <w:t xml:space="preserve"> de 1 MHz. El porcentaje de tiempo </w:t>
      </w:r>
      <w:r w:rsidRPr="009A709D">
        <w:rPr>
          <w:i/>
          <w:iCs/>
          <w:lang w:val="es-ES_tradnl"/>
        </w:rPr>
        <w:t>p</w:t>
      </w:r>
      <w:r w:rsidRPr="009A709D">
        <w:rPr>
          <w:lang w:val="es-ES_tradnl"/>
        </w:rPr>
        <w:t xml:space="preserve"> conexo es bien del 0,1% para misiones no tripuladas</w:t>
      </w:r>
      <w:r w:rsidR="009227AC" w:rsidRPr="009A709D">
        <w:rPr>
          <w:lang w:val="es-ES_tradnl"/>
        </w:rPr>
        <w:t>,</w:t>
      </w:r>
      <w:r w:rsidRPr="009A709D">
        <w:rPr>
          <w:lang w:val="es-ES_tradnl"/>
        </w:rPr>
        <w:t xml:space="preserve"> bien del 0,001% para misiones tripuladas. Dado que la mayoría de las estaciones terrenas del SIE pueden </w:t>
      </w:r>
      <w:r w:rsidR="00E83559" w:rsidRPr="009A709D">
        <w:rPr>
          <w:lang w:val="es-ES_tradnl"/>
        </w:rPr>
        <w:t>utilizarse</w:t>
      </w:r>
      <w:r w:rsidRPr="009A709D">
        <w:rPr>
          <w:lang w:val="es-ES_tradnl"/>
        </w:rPr>
        <w:t xml:space="preserve"> para misiones tanto tripuladas como no tripuladas, debe emplearse el valor de 0,001%.</w:t>
      </w:r>
    </w:p>
    <w:p w14:paraId="19B98451" w14:textId="1FAFB77D" w:rsidR="00123C74" w:rsidRPr="009A709D" w:rsidRDefault="00123C74" w:rsidP="00001BF9">
      <w:pPr>
        <w:pStyle w:val="enumlev1"/>
        <w:rPr>
          <w:lang w:val="es-ES_tradnl"/>
        </w:rPr>
      </w:pPr>
      <w:r w:rsidRPr="009A709D">
        <w:rPr>
          <w:lang w:val="es-ES_tradnl"/>
        </w:rPr>
        <w:t>–</w:t>
      </w:r>
      <w:r w:rsidRPr="009A709D">
        <w:rPr>
          <w:lang w:val="es-ES_tradnl"/>
        </w:rPr>
        <w:tab/>
        <w:t xml:space="preserve">El umbral de protección I del SIE viene determinado en la Recomendación UIT-R </w:t>
      </w:r>
      <w:hyperlink r:id="rId44" w:history="1">
        <w:r w:rsidRPr="009A709D">
          <w:rPr>
            <w:lang w:val="es-ES_tradnl"/>
          </w:rPr>
          <w:t>SA.1396</w:t>
        </w:r>
      </w:hyperlink>
      <w:r w:rsidRPr="009A709D">
        <w:rPr>
          <w:lang w:val="es-ES_tradnl"/>
        </w:rPr>
        <w:t xml:space="preserve"> para el SIE en la banda 37-38 GHz como −217 dBW en un</w:t>
      </w:r>
      <w:r w:rsidR="002E34E2" w:rsidRPr="009A709D">
        <w:rPr>
          <w:lang w:val="es-ES_tradnl"/>
        </w:rPr>
        <w:t xml:space="preserve"> ancho de</w:t>
      </w:r>
      <w:r w:rsidRPr="009A709D">
        <w:rPr>
          <w:lang w:val="es-ES_tradnl"/>
        </w:rPr>
        <w:t xml:space="preserve"> banda de referencia </w:t>
      </w:r>
      <w:r w:rsidRPr="009A709D">
        <w:rPr>
          <w:i/>
          <w:iCs/>
          <w:lang w:val="es-ES_tradnl"/>
        </w:rPr>
        <w:t>B</w:t>
      </w:r>
      <w:r w:rsidRPr="009A709D">
        <w:rPr>
          <w:i/>
          <w:iCs/>
          <w:vertAlign w:val="subscript"/>
          <w:lang w:val="es-ES_tradnl"/>
        </w:rPr>
        <w:t>ref</w:t>
      </w:r>
      <w:r w:rsidRPr="009A709D">
        <w:rPr>
          <w:lang w:val="es-ES_tradnl"/>
        </w:rPr>
        <w:t xml:space="preserve"> de 1 Hz. El porcentaje de tiempo </w:t>
      </w:r>
      <w:r w:rsidRPr="009A709D">
        <w:rPr>
          <w:i/>
          <w:iCs/>
          <w:lang w:val="es-ES_tradnl"/>
        </w:rPr>
        <w:t>p</w:t>
      </w:r>
      <w:r w:rsidRPr="009A709D">
        <w:rPr>
          <w:lang w:val="es-ES_tradnl"/>
        </w:rPr>
        <w:t xml:space="preserve"> conexo es bien del 0,1% para misiones no tripuladas</w:t>
      </w:r>
      <w:r w:rsidR="009227AC" w:rsidRPr="009A709D">
        <w:rPr>
          <w:lang w:val="es-ES_tradnl"/>
        </w:rPr>
        <w:t>,</w:t>
      </w:r>
      <w:r w:rsidRPr="009A709D">
        <w:rPr>
          <w:lang w:val="es-ES_tradnl"/>
        </w:rPr>
        <w:t xml:space="preserve"> bien del 0,001% para misiones tripuladas. Dado que la mayoría de las estaciones terrenas del SIE pueden </w:t>
      </w:r>
      <w:r w:rsidR="009227AC" w:rsidRPr="009A709D">
        <w:rPr>
          <w:lang w:val="es-ES_tradnl"/>
        </w:rPr>
        <w:t xml:space="preserve">utilizarse </w:t>
      </w:r>
      <w:r w:rsidRPr="009A709D">
        <w:rPr>
          <w:lang w:val="es-ES_tradnl"/>
        </w:rPr>
        <w:t>para misiones tanto tripuladas como no tripuladas, debe emplearse el valor de 0,001%.</w:t>
      </w:r>
    </w:p>
    <w:p w14:paraId="7D15D384" w14:textId="77777777" w:rsidR="00123C74" w:rsidRPr="009A709D" w:rsidRDefault="00123C74" w:rsidP="00123C74">
      <w:pPr>
        <w:rPr>
          <w:lang w:val="es-ES_tradnl"/>
        </w:rPr>
      </w:pPr>
      <w:r w:rsidRPr="009A709D">
        <w:rPr>
          <w:lang w:val="es-ES_tradnl"/>
        </w:rPr>
        <w:t>Estos criterios no incluyen ninguna distribución que pueda plantearse caso por caso.</w:t>
      </w:r>
    </w:p>
    <w:p w14:paraId="496062B8" w14:textId="66DB1B8C" w:rsidR="00123C74" w:rsidRPr="009A709D" w:rsidRDefault="00123C74" w:rsidP="00123C74">
      <w:pPr>
        <w:pStyle w:val="Heading1"/>
        <w:rPr>
          <w:lang w:val="es-ES_tradnl"/>
        </w:rPr>
      </w:pPr>
      <w:bookmarkStart w:id="65" w:name="_Toc83389344"/>
      <w:bookmarkStart w:id="66" w:name="_Toc83712968"/>
      <w:bookmarkStart w:id="67" w:name="_Toc83713041"/>
      <w:bookmarkStart w:id="68" w:name="_Toc83713154"/>
      <w:bookmarkStart w:id="69" w:name="_Toc83723557"/>
      <w:bookmarkStart w:id="70" w:name="_Toc86738370"/>
      <w:bookmarkStart w:id="71" w:name="_Toc102570761"/>
      <w:bookmarkStart w:id="72" w:name="_Toc102986154"/>
      <w:r w:rsidRPr="009A709D">
        <w:rPr>
          <w:lang w:val="es-ES_tradnl"/>
        </w:rPr>
        <w:t>7</w:t>
      </w:r>
      <w:r w:rsidRPr="009A709D">
        <w:rPr>
          <w:lang w:val="es-ES_tradnl"/>
        </w:rPr>
        <w:tab/>
        <w:t xml:space="preserve">Determinación de la pérdida de propagación requerida y </w:t>
      </w:r>
      <w:r w:rsidR="009227AC" w:rsidRPr="009A709D">
        <w:rPr>
          <w:lang w:val="es-ES_tradnl"/>
        </w:rPr>
        <w:t>d</w:t>
      </w:r>
      <w:r w:rsidRPr="009A709D">
        <w:rPr>
          <w:lang w:val="es-ES_tradnl"/>
        </w:rPr>
        <w:t>el porcentaje de tiempo conexo</w:t>
      </w:r>
      <w:bookmarkEnd w:id="65"/>
      <w:bookmarkEnd w:id="66"/>
      <w:bookmarkEnd w:id="67"/>
      <w:bookmarkEnd w:id="68"/>
      <w:bookmarkEnd w:id="69"/>
      <w:bookmarkEnd w:id="70"/>
      <w:bookmarkEnd w:id="71"/>
      <w:bookmarkEnd w:id="72"/>
    </w:p>
    <w:p w14:paraId="11B7F8C0" w14:textId="5F972C98" w:rsidR="00123C74" w:rsidRPr="009A709D" w:rsidRDefault="00123C74" w:rsidP="00123C74">
      <w:pPr>
        <w:rPr>
          <w:szCs w:val="24"/>
          <w:lang w:val="es-ES_tradnl"/>
        </w:rPr>
      </w:pPr>
      <w:r w:rsidRPr="009A709D">
        <w:rPr>
          <w:lang w:val="es-ES_tradnl"/>
        </w:rPr>
        <w:t xml:space="preserve">Para cada acimut en torno a la estación terrena del SIE y cada porcentaje de tiempo </w:t>
      </w:r>
      <w:r w:rsidRPr="009A709D">
        <w:rPr>
          <w:i/>
          <w:lang w:val="es-ES_tradnl"/>
        </w:rPr>
        <w:t>p</w:t>
      </w:r>
      <w:r w:rsidRPr="009A709D">
        <w:rPr>
          <w:i/>
          <w:vertAlign w:val="subscript"/>
          <w:lang w:val="es-ES_tradnl"/>
        </w:rPr>
        <w:t>n</w:t>
      </w:r>
      <w:r w:rsidRPr="009A709D">
        <w:rPr>
          <w:lang w:val="es-ES_tradnl"/>
        </w:rPr>
        <w:t xml:space="preserve"> determinado en el </w:t>
      </w:r>
      <w:r w:rsidR="00BD59C4" w:rsidRPr="00D81D07">
        <w:t>§ </w:t>
      </w:r>
      <w:r w:rsidRPr="009A709D">
        <w:rPr>
          <w:lang w:val="es-ES_tradnl"/>
        </w:rPr>
        <w:t xml:space="preserve">2, la pérdida de propagación necesaria </w:t>
      </w:r>
      <w:r w:rsidRPr="009A709D">
        <w:rPr>
          <w:i/>
          <w:lang w:val="es-ES_tradnl"/>
        </w:rPr>
        <w:t>L</w:t>
      </w:r>
      <w:r w:rsidRPr="009A709D">
        <w:rPr>
          <w:i/>
          <w:vertAlign w:val="subscript"/>
          <w:lang w:val="es-ES_tradnl"/>
        </w:rPr>
        <w:t>req</w:t>
      </w:r>
      <w:r w:rsidRPr="009A709D">
        <w:rPr>
          <w:lang w:val="es-ES_tradnl"/>
        </w:rPr>
        <w:t xml:space="preserve"> y el porcentaje de tiempo conexo </w:t>
      </w:r>
      <w:r w:rsidR="00E83559" w:rsidRPr="009A709D">
        <w:rPr>
          <w:rFonts w:ascii="Cambria Math" w:eastAsia="Cambria Math" w:hAnsi="Cambria Math" w:cs="Cambria Math"/>
          <w:lang w:val="es-ES_tradnl"/>
        </w:rPr>
        <w:t>𝑝</w:t>
      </w:r>
      <w:r w:rsidR="00E83559" w:rsidRPr="009A709D">
        <w:rPr>
          <w:rFonts w:ascii="Cambria Math" w:eastAsia="Cambria Math" w:hAnsi="Cambria Math" w:cs="Cambria Math"/>
          <w:vertAlign w:val="subscript"/>
          <w:lang w:val="es-ES_tradnl"/>
        </w:rPr>
        <w:t>𝑣</w:t>
      </w:r>
      <w:r w:rsidRPr="009A709D">
        <w:rPr>
          <w:lang w:val="es-ES_tradnl"/>
        </w:rPr>
        <w:t xml:space="preserve"> deben determinarse utilizando</w:t>
      </w:r>
      <w:r w:rsidR="009227AC" w:rsidRPr="009A709D">
        <w:rPr>
          <w:lang w:val="es-ES_tradnl"/>
        </w:rPr>
        <w:t xml:space="preserve"> las ecuaciones (1) y (2)</w:t>
      </w:r>
      <w:r w:rsidRPr="009A709D">
        <w:rPr>
          <w:lang w:val="es-ES_tradnl"/>
        </w:rPr>
        <w:t>, respectivamente.</w:t>
      </w:r>
    </w:p>
    <w:p w14:paraId="59CE914D" w14:textId="77777777" w:rsidR="00123C74" w:rsidRPr="009A709D" w:rsidRDefault="00123C74" w:rsidP="00123C74">
      <w:pPr>
        <w:pStyle w:val="Heading1"/>
        <w:rPr>
          <w:lang w:val="es-ES_tradnl"/>
        </w:rPr>
      </w:pPr>
      <w:bookmarkStart w:id="73" w:name="_Toc83389345"/>
      <w:bookmarkStart w:id="74" w:name="_Toc83712969"/>
      <w:bookmarkStart w:id="75" w:name="_Toc83713042"/>
      <w:bookmarkStart w:id="76" w:name="_Toc83713155"/>
      <w:bookmarkStart w:id="77" w:name="_Toc83723558"/>
      <w:bookmarkStart w:id="78" w:name="_Toc86738371"/>
      <w:bookmarkStart w:id="79" w:name="_Toc102570762"/>
      <w:bookmarkStart w:id="80" w:name="_Toc102986155"/>
      <w:r w:rsidRPr="009A709D">
        <w:rPr>
          <w:lang w:val="es-ES_tradnl"/>
        </w:rPr>
        <w:t>8</w:t>
      </w:r>
      <w:r w:rsidRPr="009A709D">
        <w:rPr>
          <w:lang w:val="es-ES_tradnl"/>
        </w:rPr>
        <w:tab/>
        <w:t>Determinación del contorno de coordinación</w:t>
      </w:r>
      <w:bookmarkEnd w:id="73"/>
      <w:bookmarkEnd w:id="74"/>
      <w:bookmarkEnd w:id="75"/>
      <w:bookmarkEnd w:id="76"/>
      <w:bookmarkEnd w:id="77"/>
      <w:bookmarkEnd w:id="78"/>
      <w:bookmarkEnd w:id="79"/>
      <w:bookmarkEnd w:id="80"/>
    </w:p>
    <w:p w14:paraId="64A90F9C" w14:textId="1763A781" w:rsidR="00123C74" w:rsidRPr="009A709D" w:rsidRDefault="00123C74" w:rsidP="00123C74">
      <w:pPr>
        <w:rPr>
          <w:szCs w:val="24"/>
          <w:lang w:val="es-ES_tradnl"/>
        </w:rPr>
      </w:pPr>
      <w:r w:rsidRPr="009A709D">
        <w:rPr>
          <w:lang w:val="es-ES_tradnl"/>
        </w:rPr>
        <w:t xml:space="preserve">Para cada acimut en torno a la estación terrena del SIE, cada distancia respecto de la ubicación de la estación terrena del SIE y cada porcentaje de tiempo </w:t>
      </w:r>
      <w:r w:rsidR="00E83559" w:rsidRPr="009A709D">
        <w:rPr>
          <w:rFonts w:ascii="Cambria Math" w:eastAsia="Cambria Math" w:hAnsi="Cambria Math" w:cs="Cambria Math"/>
          <w:lang w:val="es-ES_tradnl"/>
        </w:rPr>
        <w:t>𝑝</w:t>
      </w:r>
      <w:r w:rsidR="00E83559" w:rsidRPr="009A709D">
        <w:rPr>
          <w:rFonts w:ascii="Cambria Math" w:eastAsia="Cambria Math" w:hAnsi="Cambria Math" w:cs="Cambria Math"/>
          <w:vertAlign w:val="subscript"/>
          <w:lang w:val="es-ES_tradnl"/>
        </w:rPr>
        <w:t>𝑣</w:t>
      </w:r>
      <w:r w:rsidRPr="009A709D">
        <w:rPr>
          <w:lang w:val="es-ES_tradnl"/>
        </w:rPr>
        <w:t xml:space="preserve"> determinados en el </w:t>
      </w:r>
      <w:r w:rsidR="00BD59C4" w:rsidRPr="00D81D07">
        <w:t>§ </w:t>
      </w:r>
      <w:r w:rsidRPr="009A709D">
        <w:rPr>
          <w:lang w:val="es-ES_tradnl"/>
        </w:rPr>
        <w:t xml:space="preserve">7, la pérdida de propagación debe determinarse por medio de un modelo de propagación </w:t>
      </w:r>
      <w:r w:rsidR="007B1CB2" w:rsidRPr="009A709D">
        <w:rPr>
          <w:lang w:val="es-ES_tradnl"/>
        </w:rPr>
        <w:t>adecuado</w:t>
      </w:r>
      <w:r w:rsidRPr="009A709D">
        <w:rPr>
          <w:lang w:val="es-ES_tradnl"/>
        </w:rPr>
        <w:t xml:space="preserve">, como el que se describe en la Recomendación UIT-R </w:t>
      </w:r>
      <w:hyperlink r:id="rId45" w:history="1">
        <w:r w:rsidRPr="009A709D">
          <w:rPr>
            <w:rStyle w:val="Hyperlink"/>
            <w:color w:val="auto"/>
            <w:u w:val="none"/>
            <w:lang w:val="es-ES_tradnl"/>
          </w:rPr>
          <w:t>P.452</w:t>
        </w:r>
      </w:hyperlink>
      <w:r w:rsidRPr="009A709D">
        <w:rPr>
          <w:lang w:val="es-ES_tradnl"/>
        </w:rPr>
        <w:t xml:space="preserve"> o la Recomendación UIT-R </w:t>
      </w:r>
      <w:hyperlink r:id="rId46" w:history="1">
        <w:r w:rsidRPr="009A709D">
          <w:rPr>
            <w:rStyle w:val="Hyperlink"/>
            <w:color w:val="auto"/>
            <w:u w:val="none"/>
            <w:lang w:val="es-ES_tradnl"/>
          </w:rPr>
          <w:t>P.2001</w:t>
        </w:r>
      </w:hyperlink>
      <w:r w:rsidRPr="009A709D">
        <w:rPr>
          <w:lang w:val="es-ES_tradnl"/>
        </w:rPr>
        <w:t xml:space="preserve">, tomando en consideración la elevación del terreno y la ocupación local del suelo en torno a la estación terrena. En caso de que se utilice la Recomendación UIT-R </w:t>
      </w:r>
      <w:hyperlink r:id="rId47" w:history="1">
        <w:r w:rsidRPr="009A709D">
          <w:rPr>
            <w:rStyle w:val="Hyperlink"/>
            <w:color w:val="auto"/>
            <w:u w:val="none"/>
            <w:lang w:val="es-ES_tradnl"/>
          </w:rPr>
          <w:t>P.2001</w:t>
        </w:r>
      </w:hyperlink>
      <w:r w:rsidRPr="009A709D">
        <w:rPr>
          <w:lang w:val="es-ES_tradnl"/>
        </w:rPr>
        <w:t xml:space="preserve">, el porcentaje de tiempo </w:t>
      </w:r>
      <w:r w:rsidRPr="009A709D">
        <w:rPr>
          <w:i/>
          <w:lang w:val="es-ES_tradnl"/>
        </w:rPr>
        <w:t>p</w:t>
      </w:r>
      <w:r w:rsidRPr="009A709D">
        <w:rPr>
          <w:i/>
          <w:vertAlign w:val="subscript"/>
          <w:lang w:val="es-ES_tradnl"/>
        </w:rPr>
        <w:t>v</w:t>
      </w:r>
      <w:r w:rsidRPr="009A709D">
        <w:rPr>
          <w:lang w:val="es-ES_tradnl"/>
        </w:rPr>
        <w:t xml:space="preserve"> conexo obtenido a partir de la ecuación (2) no debe limitarse al 50%.</w:t>
      </w:r>
    </w:p>
    <w:p w14:paraId="44C8CF4E" w14:textId="41C5FE94" w:rsidR="00123C74" w:rsidRPr="009A709D" w:rsidRDefault="00123C74" w:rsidP="00123C74">
      <w:pPr>
        <w:ind w:left="-5"/>
        <w:rPr>
          <w:szCs w:val="24"/>
          <w:lang w:val="es-ES_tradnl"/>
        </w:rPr>
      </w:pPr>
      <w:r w:rsidRPr="009A709D">
        <w:rPr>
          <w:lang w:val="es-ES_tradnl"/>
        </w:rPr>
        <w:t>El modelo de elevación del terreno puede basarse en</w:t>
      </w:r>
      <w:r w:rsidR="00A11E5F" w:rsidRPr="009A709D">
        <w:rPr>
          <w:lang w:val="es-ES_tradnl"/>
        </w:rPr>
        <w:t xml:space="preserve"> los</w:t>
      </w:r>
      <w:r w:rsidRPr="009A709D">
        <w:rPr>
          <w:lang w:val="es-ES_tradnl"/>
        </w:rPr>
        <w:t xml:space="preserve"> datos de perfil de</w:t>
      </w:r>
      <w:r w:rsidR="00104526" w:rsidRPr="009A709D">
        <w:rPr>
          <w:lang w:val="es-ES_tradnl"/>
        </w:rPr>
        <w:t>l</w:t>
      </w:r>
      <w:r w:rsidRPr="009A709D">
        <w:rPr>
          <w:lang w:val="es-ES_tradnl"/>
        </w:rPr>
        <w:t xml:space="preserve"> terreno de 1 segundo de arco </w:t>
      </w:r>
      <w:r w:rsidR="00A11E5F" w:rsidRPr="009A709D">
        <w:rPr>
          <w:lang w:val="es-ES_tradnl"/>
        </w:rPr>
        <w:t xml:space="preserve">de resolución </w:t>
      </w:r>
      <w:r w:rsidRPr="009A709D">
        <w:rPr>
          <w:lang w:val="es-ES_tradnl"/>
        </w:rPr>
        <w:t xml:space="preserve">de la Misión Topográfica del Radar del Transbordador Espacial (Shuttle Radar Topography Mission, SRTM); sin embargo, </w:t>
      </w:r>
      <w:r w:rsidR="00104526" w:rsidRPr="009A709D">
        <w:rPr>
          <w:lang w:val="es-ES_tradnl"/>
        </w:rPr>
        <w:t xml:space="preserve">también </w:t>
      </w:r>
      <w:r w:rsidRPr="009A709D">
        <w:rPr>
          <w:lang w:val="es-ES_tradnl"/>
        </w:rPr>
        <w:t xml:space="preserve">pueden emplearse modelos de terreno más detallados, incluidos los modelos de zonas construidas. Es posible muestrear los perfiles de terreno </w:t>
      </w:r>
      <w:r w:rsidR="008047DB" w:rsidRPr="009A709D">
        <w:rPr>
          <w:lang w:val="es-ES_tradnl"/>
        </w:rPr>
        <w:t xml:space="preserve">por tramos </w:t>
      </w:r>
      <w:r w:rsidRPr="009A709D">
        <w:rPr>
          <w:lang w:val="es-ES_tradnl"/>
        </w:rPr>
        <w:t xml:space="preserve">de acimut de 1 grado en torno a la estación terrena de interés y </w:t>
      </w:r>
      <w:r w:rsidR="008047DB" w:rsidRPr="009A709D">
        <w:rPr>
          <w:lang w:val="es-ES_tradnl"/>
        </w:rPr>
        <w:t>tramos</w:t>
      </w:r>
      <w:r w:rsidRPr="009A709D">
        <w:rPr>
          <w:lang w:val="es-ES_tradnl"/>
        </w:rPr>
        <w:t xml:space="preserve"> de distancia de 25 m. </w:t>
      </w:r>
      <w:r w:rsidR="008047DB" w:rsidRPr="009A709D">
        <w:rPr>
          <w:lang w:val="es-ES_tradnl"/>
        </w:rPr>
        <w:t xml:space="preserve">A continuación, pueden calcularse </w:t>
      </w:r>
      <w:r w:rsidRPr="009A709D">
        <w:rPr>
          <w:lang w:val="es-ES_tradnl"/>
        </w:rPr>
        <w:t xml:space="preserve">las pérdidas en torno a la estación </w:t>
      </w:r>
      <w:r w:rsidR="008047DB" w:rsidRPr="009A709D">
        <w:rPr>
          <w:lang w:val="es-ES_tradnl"/>
        </w:rPr>
        <w:t xml:space="preserve">por tramos </w:t>
      </w:r>
      <w:r w:rsidRPr="009A709D">
        <w:rPr>
          <w:lang w:val="es-ES_tradnl"/>
        </w:rPr>
        <w:t xml:space="preserve">de acimut de 1 grado y </w:t>
      </w:r>
      <w:r w:rsidR="008047DB" w:rsidRPr="009A709D">
        <w:rPr>
          <w:lang w:val="es-ES_tradnl"/>
        </w:rPr>
        <w:t>tramos</w:t>
      </w:r>
      <w:r w:rsidRPr="009A709D">
        <w:rPr>
          <w:lang w:val="es-ES_tradnl"/>
        </w:rPr>
        <w:t xml:space="preserve"> de distancia de 100 m.</w:t>
      </w:r>
    </w:p>
    <w:p w14:paraId="66C5B1EF" w14:textId="15E41BFD" w:rsidR="00123C74" w:rsidRPr="009A709D" w:rsidRDefault="00123C74" w:rsidP="00123C74">
      <w:pPr>
        <w:ind w:left="-5"/>
        <w:rPr>
          <w:szCs w:val="24"/>
          <w:lang w:val="es-ES_tradnl"/>
        </w:rPr>
      </w:pPr>
      <w:r w:rsidRPr="009A709D">
        <w:rPr>
          <w:lang w:val="es-ES_tradnl"/>
        </w:rPr>
        <w:t xml:space="preserve">Para cada acimut y cada porcentaje de tiempo </w:t>
      </w:r>
      <w:r w:rsidR="00E83559" w:rsidRPr="009A709D">
        <w:rPr>
          <w:rFonts w:ascii="Cambria Math" w:eastAsia="Cambria Math" w:hAnsi="Cambria Math" w:cs="Cambria Math"/>
          <w:lang w:val="es-ES_tradnl"/>
        </w:rPr>
        <w:t>𝑝</w:t>
      </w:r>
      <w:r w:rsidR="00E83559" w:rsidRPr="009A709D">
        <w:rPr>
          <w:rFonts w:ascii="Cambria Math" w:eastAsia="Cambria Math" w:hAnsi="Cambria Math" w:cs="Cambria Math"/>
          <w:vertAlign w:val="subscript"/>
          <w:lang w:val="es-ES_tradnl"/>
        </w:rPr>
        <w:t>𝑣</w:t>
      </w:r>
      <w:r w:rsidRPr="009A709D">
        <w:rPr>
          <w:lang w:val="es-ES_tradnl"/>
        </w:rPr>
        <w:t xml:space="preserve">, la distancia de coordinación requerida es la distancia máxima </w:t>
      </w:r>
      <w:r w:rsidR="008047DB" w:rsidRPr="009A709D">
        <w:rPr>
          <w:lang w:val="es-ES_tradnl"/>
        </w:rPr>
        <w:t>a</w:t>
      </w:r>
      <w:r w:rsidRPr="009A709D">
        <w:rPr>
          <w:lang w:val="es-ES_tradnl"/>
        </w:rPr>
        <w:t xml:space="preserve"> la cual la pérdida de propagación calculada se encuentra justo por debajo del nivel requerido de pérdida de propagación </w:t>
      </w:r>
      <w:r w:rsidRPr="009A709D">
        <w:rPr>
          <w:i/>
          <w:lang w:val="es-ES_tradnl"/>
        </w:rPr>
        <w:t>L</w:t>
      </w:r>
      <w:r w:rsidRPr="009A709D">
        <w:rPr>
          <w:i/>
          <w:vertAlign w:val="subscript"/>
          <w:lang w:val="es-ES_tradnl"/>
        </w:rPr>
        <w:t>req</w:t>
      </w:r>
      <w:r w:rsidRPr="009A709D">
        <w:rPr>
          <w:lang w:val="es-ES_tradnl"/>
        </w:rPr>
        <w:t>(</w:t>
      </w:r>
      <w:r w:rsidR="00E83559" w:rsidRPr="009A709D">
        <w:rPr>
          <w:rFonts w:ascii="Cambria Math" w:eastAsia="Cambria Math" w:hAnsi="Cambria Math" w:cs="Cambria Math"/>
          <w:lang w:val="es-ES_tradnl"/>
        </w:rPr>
        <w:t>𝑝</w:t>
      </w:r>
      <w:r w:rsidR="00E83559" w:rsidRPr="009A709D">
        <w:rPr>
          <w:rFonts w:ascii="Cambria Math" w:eastAsia="Cambria Math" w:hAnsi="Cambria Math" w:cs="Cambria Math"/>
          <w:vertAlign w:val="subscript"/>
          <w:lang w:val="es-ES_tradnl"/>
        </w:rPr>
        <w:t>𝑣</w:t>
      </w:r>
      <w:r w:rsidRPr="009A709D">
        <w:rPr>
          <w:lang w:val="es-ES_tradnl"/>
        </w:rPr>
        <w:t xml:space="preserve">). La distancia de coordinación para el ángulo acimutal considerado es la máxima distancia obtenida para todos los valores de </w:t>
      </w:r>
      <w:r w:rsidR="00E83559" w:rsidRPr="009A709D">
        <w:rPr>
          <w:rFonts w:ascii="Cambria Math" w:eastAsia="Cambria Math" w:hAnsi="Cambria Math" w:cs="Cambria Math"/>
          <w:lang w:val="es-ES_tradnl"/>
        </w:rPr>
        <w:t>𝑝</w:t>
      </w:r>
      <w:r w:rsidR="00E83559" w:rsidRPr="009A709D">
        <w:rPr>
          <w:rFonts w:ascii="Cambria Math" w:eastAsia="Cambria Math" w:hAnsi="Cambria Math" w:cs="Cambria Math"/>
          <w:vertAlign w:val="subscript"/>
          <w:lang w:val="es-ES_tradnl"/>
        </w:rPr>
        <w:t>𝑣</w:t>
      </w:r>
      <w:r w:rsidRPr="009A709D">
        <w:rPr>
          <w:lang w:val="es-ES_tradnl"/>
        </w:rPr>
        <w:t>.</w:t>
      </w:r>
    </w:p>
    <w:p w14:paraId="49480C6B" w14:textId="479D95FF" w:rsidR="00123C74" w:rsidRPr="009A709D" w:rsidRDefault="00123C74" w:rsidP="00123C74">
      <w:pPr>
        <w:ind w:left="-5"/>
        <w:rPr>
          <w:szCs w:val="24"/>
          <w:lang w:val="es-ES_tradnl"/>
        </w:rPr>
      </w:pPr>
      <w:r w:rsidRPr="009A709D">
        <w:rPr>
          <w:lang w:val="es-ES_tradnl"/>
        </w:rPr>
        <w:t>La Fig</w:t>
      </w:r>
      <w:r w:rsidR="00BD59C4">
        <w:rPr>
          <w:lang w:val="es-ES_tradnl"/>
        </w:rPr>
        <w:t>. </w:t>
      </w:r>
      <w:r w:rsidRPr="009A709D">
        <w:rPr>
          <w:lang w:val="es-ES_tradnl"/>
        </w:rPr>
        <w:t>10 ofrece, a modo de ejemplo, el contorno de coordinación obtenido en torno a la estación del SIE en Cebreros (España) para una estación base urbana/suburbana de 8 × 8 a 26 GHz. Los círculos blancos se encuentran a una distancia relativa de 10 km.</w:t>
      </w:r>
    </w:p>
    <w:p w14:paraId="6C11429B" w14:textId="56EF5A15" w:rsidR="00123C74" w:rsidRPr="009A709D" w:rsidRDefault="00123C74" w:rsidP="00123C74">
      <w:pPr>
        <w:pStyle w:val="FigureNo"/>
        <w:rPr>
          <w:rFonts w:eastAsia="SimSun"/>
          <w:lang w:val="es-ES_tradnl"/>
        </w:rPr>
      </w:pPr>
      <w:r w:rsidRPr="009A709D">
        <w:rPr>
          <w:lang w:val="es-ES_tradnl"/>
        </w:rPr>
        <w:lastRenderedPageBreak/>
        <w:t>FIGURA 10</w:t>
      </w:r>
    </w:p>
    <w:p w14:paraId="6D351710" w14:textId="384B2ACA" w:rsidR="00123C74" w:rsidRPr="009A709D" w:rsidRDefault="00123C74" w:rsidP="00123C74">
      <w:pPr>
        <w:pStyle w:val="Figuretitle"/>
        <w:rPr>
          <w:lang w:val="es-ES_tradnl"/>
        </w:rPr>
      </w:pPr>
      <w:r w:rsidRPr="009A709D">
        <w:rPr>
          <w:lang w:val="es-ES_tradnl"/>
        </w:rPr>
        <w:t xml:space="preserve">Vista del contorno de coordinación </w:t>
      </w:r>
      <w:r w:rsidR="009855D2" w:rsidRPr="009A709D">
        <w:rPr>
          <w:lang w:val="es-ES_tradnl"/>
        </w:rPr>
        <w:t>e infracciones</w:t>
      </w:r>
      <w:r w:rsidRPr="009A709D">
        <w:rPr>
          <w:lang w:val="es-ES_tradnl"/>
        </w:rPr>
        <w:t xml:space="preserve"> del nivel de protección en torno a Cebreros</w:t>
      </w:r>
    </w:p>
    <w:p w14:paraId="07925C00" w14:textId="286C5256" w:rsidR="00BD59C4" w:rsidRDefault="00BD59C4" w:rsidP="00BD59C4">
      <w:pPr>
        <w:pStyle w:val="Figure"/>
        <w:rPr>
          <w:lang w:val="es-ES_tradnl"/>
        </w:rPr>
      </w:pPr>
      <w:bookmarkStart w:id="81" w:name="_Toc86738372"/>
      <w:bookmarkStart w:id="82" w:name="_Toc102570763"/>
      <w:r>
        <w:rPr>
          <w:lang w:val="es-ES_tradnl"/>
        </w:rPr>
        <w:drawing>
          <wp:inline distT="0" distB="0" distL="0" distR="0" wp14:anchorId="41324732" wp14:editId="6BA4BD8F">
            <wp:extent cx="6120765" cy="6492875"/>
            <wp:effectExtent l="0" t="0" r="0" b="3175"/>
            <wp:docPr id="11" name="Picture 11" descr="A picture containing text,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2142-0_10S.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6492875"/>
                    </a:xfrm>
                    <a:prstGeom prst="rect">
                      <a:avLst/>
                    </a:prstGeom>
                  </pic:spPr>
                </pic:pic>
              </a:graphicData>
            </a:graphic>
          </wp:inline>
        </w:drawing>
      </w:r>
    </w:p>
    <w:p w14:paraId="5E9F6909" w14:textId="54D17878" w:rsidR="00BD59C4" w:rsidRDefault="00BD59C4" w:rsidP="00BD59C4">
      <w:pPr>
        <w:rPr>
          <w:lang w:val="es-ES_tradnl"/>
        </w:rPr>
      </w:pPr>
    </w:p>
    <w:p w14:paraId="03077B13" w14:textId="77777777" w:rsidR="00BD59C4" w:rsidRPr="00BD59C4" w:rsidRDefault="00BD59C4" w:rsidP="00BD59C4">
      <w:pPr>
        <w:rPr>
          <w:lang w:val="es-ES_tradnl"/>
        </w:rPr>
      </w:pPr>
    </w:p>
    <w:p w14:paraId="6F3D6E6B" w14:textId="6452BE7C" w:rsidR="00123C74" w:rsidRPr="009A709D" w:rsidRDefault="00123C74" w:rsidP="00B17252">
      <w:pPr>
        <w:pStyle w:val="AnnexNoTitle"/>
        <w:rPr>
          <w:lang w:val="es-ES_tradnl"/>
        </w:rPr>
      </w:pPr>
      <w:bookmarkStart w:id="83" w:name="_Toc102986156"/>
      <w:r w:rsidRPr="009A709D">
        <w:rPr>
          <w:lang w:val="es-ES_tradnl"/>
        </w:rPr>
        <w:lastRenderedPageBreak/>
        <w:t>Anexo 2</w:t>
      </w:r>
      <w:r w:rsidRPr="009A709D">
        <w:rPr>
          <w:lang w:val="es-ES_tradnl"/>
        </w:rPr>
        <w:br/>
      </w:r>
      <w:r w:rsidRPr="009A709D">
        <w:rPr>
          <w:lang w:val="es-ES_tradnl"/>
        </w:rPr>
        <w:br/>
      </w:r>
      <w:bookmarkStart w:id="84" w:name="_Toc83389061"/>
      <w:bookmarkStart w:id="85" w:name="_Toc83389347"/>
      <w:r w:rsidRPr="009A709D">
        <w:rPr>
          <w:lang w:val="es-ES_tradnl"/>
        </w:rPr>
        <w:t>Metodología para el cálculo de la zona de coordinación en torno</w:t>
      </w:r>
      <w:r w:rsidR="00190EC7" w:rsidRPr="009A709D">
        <w:rPr>
          <w:lang w:val="es-ES_tradnl"/>
        </w:rPr>
        <w:t xml:space="preserve"> </w:t>
      </w:r>
      <w:r w:rsidRPr="009A709D">
        <w:rPr>
          <w:lang w:val="es-ES_tradnl"/>
        </w:rPr>
        <w:t>a las estaciones terrenas no OSG del SETS en la banda 25,5-27 GHz</w:t>
      </w:r>
      <w:bookmarkEnd w:id="81"/>
      <w:bookmarkEnd w:id="82"/>
      <w:bookmarkEnd w:id="83"/>
      <w:bookmarkEnd w:id="84"/>
      <w:bookmarkEnd w:id="85"/>
    </w:p>
    <w:p w14:paraId="5AAF3F4F" w14:textId="77777777" w:rsidR="0051376E" w:rsidRPr="009A709D" w:rsidRDefault="0051376E" w:rsidP="00F31513">
      <w:pPr>
        <w:pStyle w:val="Heading1"/>
        <w:rPr>
          <w:lang w:val="es-ES_tradnl"/>
        </w:rPr>
      </w:pPr>
      <w:bookmarkStart w:id="86" w:name="_Toc83389348"/>
      <w:bookmarkStart w:id="87" w:name="_Toc83712970"/>
      <w:bookmarkStart w:id="88" w:name="_Toc83713043"/>
      <w:bookmarkStart w:id="89" w:name="_Toc83713156"/>
      <w:bookmarkStart w:id="90" w:name="_Toc83723559"/>
      <w:bookmarkStart w:id="91" w:name="_Toc86738373"/>
      <w:bookmarkStart w:id="92" w:name="_Toc102570764"/>
      <w:bookmarkStart w:id="93" w:name="_Toc102986157"/>
      <w:r w:rsidRPr="009A709D">
        <w:rPr>
          <w:lang w:val="es-ES_tradnl"/>
        </w:rPr>
        <w:t>1</w:t>
      </w:r>
      <w:r w:rsidRPr="009A709D">
        <w:rPr>
          <w:lang w:val="es-ES_tradnl"/>
        </w:rPr>
        <w:tab/>
        <w:t>Introducción</w:t>
      </w:r>
      <w:bookmarkEnd w:id="86"/>
      <w:bookmarkEnd w:id="87"/>
      <w:bookmarkEnd w:id="88"/>
      <w:bookmarkEnd w:id="89"/>
      <w:bookmarkEnd w:id="90"/>
      <w:bookmarkEnd w:id="91"/>
      <w:bookmarkEnd w:id="92"/>
      <w:bookmarkEnd w:id="93"/>
    </w:p>
    <w:p w14:paraId="101CAF91" w14:textId="258208B8" w:rsidR="0051376E" w:rsidRPr="009A709D" w:rsidRDefault="0051376E" w:rsidP="00B17252">
      <w:pPr>
        <w:keepNext/>
        <w:keepLines/>
        <w:rPr>
          <w:lang w:val="es-ES_tradnl"/>
        </w:rPr>
      </w:pPr>
      <w:r w:rsidRPr="009A709D">
        <w:rPr>
          <w:lang w:val="es-ES_tradnl"/>
        </w:rPr>
        <w:t>La mayoría de los satélites no OSG del SETS que utilizan esta banda de frecuencias s</w:t>
      </w:r>
      <w:r w:rsidR="001D0CE5" w:rsidRPr="009A709D">
        <w:rPr>
          <w:lang w:val="es-ES_tradnl"/>
        </w:rPr>
        <w:t>o</w:t>
      </w:r>
      <w:r w:rsidRPr="009A709D">
        <w:rPr>
          <w:lang w:val="es-ES_tradnl"/>
        </w:rPr>
        <w:t xml:space="preserve">n satélites LEO en órbitas polares. </w:t>
      </w:r>
      <w:r w:rsidR="001D0CE5" w:rsidRPr="009A709D">
        <w:rPr>
          <w:lang w:val="es-ES_tradnl"/>
        </w:rPr>
        <w:t>Si bien cabe la posibilidad de utilizar o</w:t>
      </w:r>
      <w:r w:rsidRPr="009A709D">
        <w:rPr>
          <w:lang w:val="es-ES_tradnl"/>
        </w:rPr>
        <w:t>tros tipos de órbitas con inclinaciones diferentes, no se espera que</w:t>
      </w:r>
      <w:r w:rsidR="001D0CE5" w:rsidRPr="009A709D">
        <w:rPr>
          <w:lang w:val="es-ES_tradnl"/>
        </w:rPr>
        <w:t xml:space="preserve"> ello incida</w:t>
      </w:r>
      <w:r w:rsidRPr="009A709D">
        <w:rPr>
          <w:lang w:val="es-ES_tradnl"/>
        </w:rPr>
        <w:t xml:space="preserve"> </w:t>
      </w:r>
      <w:r w:rsidR="001D0CE5" w:rsidRPr="009A709D">
        <w:rPr>
          <w:lang w:val="es-ES_tradnl"/>
        </w:rPr>
        <w:t>en</w:t>
      </w:r>
      <w:r w:rsidRPr="009A709D">
        <w:rPr>
          <w:lang w:val="es-ES_tradnl"/>
        </w:rPr>
        <w:t xml:space="preserve"> los resultados obtenidos </w:t>
      </w:r>
      <w:r w:rsidR="001D0CE5" w:rsidRPr="009A709D">
        <w:rPr>
          <w:lang w:val="es-ES_tradnl"/>
        </w:rPr>
        <w:t>con</w:t>
      </w:r>
      <w:r w:rsidRPr="009A709D">
        <w:rPr>
          <w:lang w:val="es-ES_tradnl"/>
        </w:rPr>
        <w:t xml:space="preserve"> esta metodología </w:t>
      </w:r>
      <w:r w:rsidR="001D0CE5" w:rsidRPr="009A709D">
        <w:rPr>
          <w:lang w:val="es-ES_tradnl"/>
        </w:rPr>
        <w:t>para</w:t>
      </w:r>
      <w:r w:rsidRPr="009A709D">
        <w:rPr>
          <w:lang w:val="es-ES_tradnl"/>
        </w:rPr>
        <w:t xml:space="preserve"> un satélite particular en una órbita heliosíncrona a 400 km, como se propone en el </w:t>
      </w:r>
      <w:r w:rsidR="00BD59C4" w:rsidRPr="00D81D07">
        <w:t>§ </w:t>
      </w:r>
      <w:r w:rsidRPr="009A709D">
        <w:rPr>
          <w:lang w:val="es-ES_tradnl"/>
        </w:rPr>
        <w:t>5.</w:t>
      </w:r>
    </w:p>
    <w:p w14:paraId="3787F670" w14:textId="169986B4" w:rsidR="0051376E" w:rsidRPr="009A709D" w:rsidRDefault="0051376E" w:rsidP="002035B6">
      <w:pPr>
        <w:rPr>
          <w:lang w:val="es-ES_tradnl"/>
        </w:rPr>
      </w:pPr>
      <w:r w:rsidRPr="009A709D">
        <w:rPr>
          <w:lang w:val="es-ES_tradnl"/>
        </w:rPr>
        <w:t>La metodología empleada se basa en la de ganancia dependiente del tiempo (TVG)</w:t>
      </w:r>
      <w:r w:rsidR="002035B6" w:rsidRPr="009A709D">
        <w:rPr>
          <w:lang w:val="es-ES_tradnl"/>
        </w:rPr>
        <w:t>, que se desarrolla en el Apéndice</w:t>
      </w:r>
      <w:r w:rsidR="00BD59C4">
        <w:rPr>
          <w:lang w:val="es-ES_tradnl"/>
        </w:rPr>
        <w:t> </w:t>
      </w:r>
      <w:r w:rsidR="002035B6" w:rsidRPr="009A709D">
        <w:rPr>
          <w:b/>
          <w:lang w:val="es-ES_tradnl"/>
        </w:rPr>
        <w:t>7</w:t>
      </w:r>
      <w:r w:rsidR="002035B6" w:rsidRPr="009A709D">
        <w:rPr>
          <w:lang w:val="es-ES_tradnl"/>
        </w:rPr>
        <w:t xml:space="preserve"> del RR</w:t>
      </w:r>
      <w:r w:rsidRPr="009A709D">
        <w:rPr>
          <w:lang w:val="es-ES_tradnl"/>
        </w:rPr>
        <w:t>. Sin embargo, puesto que las ganancias de las antenas transmisora</w:t>
      </w:r>
      <w:r w:rsidR="002035B6" w:rsidRPr="009A709D">
        <w:rPr>
          <w:lang w:val="es-ES_tradnl"/>
        </w:rPr>
        <w:t>s</w:t>
      </w:r>
      <w:r w:rsidRPr="009A709D">
        <w:rPr>
          <w:lang w:val="es-ES_tradnl"/>
        </w:rPr>
        <w:t xml:space="preserve"> y receptora</w:t>
      </w:r>
      <w:r w:rsidR="002035B6" w:rsidRPr="009A709D">
        <w:rPr>
          <w:lang w:val="es-ES_tradnl"/>
        </w:rPr>
        <w:t>s</w:t>
      </w:r>
      <w:r w:rsidRPr="009A709D">
        <w:rPr>
          <w:lang w:val="es-ES_tradnl"/>
        </w:rPr>
        <w:t xml:space="preserve"> son variables, debe realizarse una convolución entre las distribuciones de dichas ganancias y, por tanto, </w:t>
      </w:r>
      <w:r w:rsidR="00B5527C" w:rsidRPr="009A709D">
        <w:rPr>
          <w:lang w:val="es-ES_tradnl"/>
        </w:rPr>
        <w:t>conviene</w:t>
      </w:r>
      <w:r w:rsidRPr="009A709D">
        <w:rPr>
          <w:lang w:val="es-ES_tradnl"/>
        </w:rPr>
        <w:t xml:space="preserve"> revisar ligeramente la metodología. También en este caso, la metodología se ha validado mediante una simulación de Monte Carlo adicional para algunos de los puntos de contorno.</w:t>
      </w:r>
    </w:p>
    <w:p w14:paraId="7605F955" w14:textId="1343B851" w:rsidR="0051376E" w:rsidRPr="009A709D" w:rsidRDefault="0051376E" w:rsidP="0046514B">
      <w:pPr>
        <w:rPr>
          <w:lang w:val="es-ES_tradnl"/>
        </w:rPr>
      </w:pPr>
      <w:r w:rsidRPr="009A709D">
        <w:rPr>
          <w:lang w:val="es-ES_tradnl"/>
        </w:rPr>
        <w:t>Dado que los equipos de usuario se utilizarán bien en interiores</w:t>
      </w:r>
      <w:r w:rsidR="00B5527C" w:rsidRPr="009A709D">
        <w:rPr>
          <w:lang w:val="es-ES_tradnl"/>
        </w:rPr>
        <w:t>,</w:t>
      </w:r>
      <w:r w:rsidRPr="009A709D">
        <w:rPr>
          <w:lang w:val="es-ES_tradnl"/>
        </w:rPr>
        <w:t xml:space="preserve"> bien en condiciones de ecos intensos, la metodología se centra en la</w:t>
      </w:r>
      <w:r w:rsidR="00B5527C" w:rsidRPr="009A709D">
        <w:rPr>
          <w:lang w:val="es-ES_tradnl"/>
        </w:rPr>
        <w:t>s</w:t>
      </w:r>
      <w:r w:rsidRPr="009A709D">
        <w:rPr>
          <w:lang w:val="es-ES_tradnl"/>
        </w:rPr>
        <w:t xml:space="preserve"> estaci</w:t>
      </w:r>
      <w:r w:rsidR="00B5527C" w:rsidRPr="009A709D">
        <w:rPr>
          <w:lang w:val="es-ES_tradnl"/>
        </w:rPr>
        <w:t>ones</w:t>
      </w:r>
      <w:r w:rsidRPr="009A709D">
        <w:rPr>
          <w:lang w:val="es-ES_tradnl"/>
        </w:rPr>
        <w:t xml:space="preserve"> base IMT-2020. Para derivar zonas de coordinación cuyo tamaño pueda ser superior a las distancias finales obtenidas mediante cálculos detallados durante la </w:t>
      </w:r>
      <w:r w:rsidR="00B5527C" w:rsidRPr="009A709D">
        <w:rPr>
          <w:lang w:val="es-ES_tradnl"/>
        </w:rPr>
        <w:t xml:space="preserve">fase de </w:t>
      </w:r>
      <w:r w:rsidRPr="009A709D">
        <w:rPr>
          <w:lang w:val="es-ES_tradnl"/>
        </w:rPr>
        <w:t>coordinación, se asume que el panel de la estación base considerad</w:t>
      </w:r>
      <w:r w:rsidR="00C6390A" w:rsidRPr="009A709D">
        <w:rPr>
          <w:lang w:val="es-ES_tradnl"/>
        </w:rPr>
        <w:t>a</w:t>
      </w:r>
      <w:r w:rsidRPr="009A709D">
        <w:rPr>
          <w:lang w:val="es-ES_tradnl"/>
        </w:rPr>
        <w:t xml:space="preserve"> apunta físicamente en el mismo acimut que la estación terrena del SETS </w:t>
      </w:r>
      <w:r w:rsidR="0046514B" w:rsidRPr="009A709D">
        <w:rPr>
          <w:lang w:val="es-ES_tradnl"/>
        </w:rPr>
        <w:t>objeto de interferencia</w:t>
      </w:r>
      <w:r w:rsidRPr="009A709D">
        <w:rPr>
          <w:lang w:val="es-ES_tradnl"/>
        </w:rPr>
        <w:t>.</w:t>
      </w:r>
    </w:p>
    <w:p w14:paraId="5E3B1921" w14:textId="77777777" w:rsidR="0051376E" w:rsidRPr="009A709D" w:rsidRDefault="0051376E" w:rsidP="00F31513">
      <w:pPr>
        <w:pStyle w:val="Heading1"/>
        <w:rPr>
          <w:lang w:val="es-ES_tradnl"/>
        </w:rPr>
      </w:pPr>
      <w:bookmarkStart w:id="94" w:name="_Toc83389349"/>
      <w:bookmarkStart w:id="95" w:name="_Toc83712971"/>
      <w:bookmarkStart w:id="96" w:name="_Toc83713044"/>
      <w:bookmarkStart w:id="97" w:name="_Toc83713157"/>
      <w:bookmarkStart w:id="98" w:name="_Toc83723560"/>
      <w:bookmarkStart w:id="99" w:name="_Toc86738374"/>
      <w:bookmarkStart w:id="100" w:name="_Toc102570765"/>
      <w:bookmarkStart w:id="101" w:name="_Toc102986158"/>
      <w:r w:rsidRPr="009A709D">
        <w:rPr>
          <w:lang w:val="es-ES_tradnl"/>
        </w:rPr>
        <w:t>2</w:t>
      </w:r>
      <w:r w:rsidRPr="009A709D">
        <w:rPr>
          <w:lang w:val="es-ES_tradnl"/>
        </w:rPr>
        <w:tab/>
        <w:t>Metodología TVG modificada</w:t>
      </w:r>
      <w:bookmarkEnd w:id="94"/>
      <w:bookmarkEnd w:id="95"/>
      <w:bookmarkEnd w:id="96"/>
      <w:bookmarkEnd w:id="97"/>
      <w:bookmarkEnd w:id="98"/>
      <w:bookmarkEnd w:id="99"/>
      <w:bookmarkEnd w:id="100"/>
      <w:bookmarkEnd w:id="101"/>
    </w:p>
    <w:p w14:paraId="1C3FEC85" w14:textId="239D41EB" w:rsidR="0051376E" w:rsidRPr="009A709D" w:rsidRDefault="0051376E" w:rsidP="00F31513">
      <w:pPr>
        <w:rPr>
          <w:lang w:val="es-ES_tradnl"/>
        </w:rPr>
      </w:pPr>
      <w:r w:rsidRPr="009A709D">
        <w:rPr>
          <w:lang w:val="es-ES_tradnl"/>
        </w:rPr>
        <w:t xml:space="preserve">Se ha utilizado una versión modificada de la metodología TVG </w:t>
      </w:r>
      <w:r w:rsidR="00C6390A" w:rsidRPr="009A709D">
        <w:rPr>
          <w:lang w:val="es-ES_tradnl"/>
        </w:rPr>
        <w:t>que figura</w:t>
      </w:r>
      <w:r w:rsidRPr="009A709D">
        <w:rPr>
          <w:lang w:val="es-ES_tradnl"/>
        </w:rPr>
        <w:t xml:space="preserve"> en el Apéndice</w:t>
      </w:r>
      <w:r w:rsidR="00BD59C4">
        <w:rPr>
          <w:lang w:val="es-ES_tradnl"/>
        </w:rPr>
        <w:t> </w:t>
      </w:r>
      <w:r w:rsidRPr="009A709D">
        <w:rPr>
          <w:b/>
          <w:lang w:val="es-ES_tradnl"/>
        </w:rPr>
        <w:t>7</w:t>
      </w:r>
      <w:r w:rsidRPr="009A709D">
        <w:rPr>
          <w:lang w:val="es-ES_tradnl"/>
        </w:rPr>
        <w:t xml:space="preserve"> del RR para aproximar la convolución de las distribuciones de ganancia de la antena transmisora (la estación base sigue al UE), la ganancia de la antena receptora (la estación terrena del SETS sigue a un satélite del SETS en una órbita polar típica) y el modelo de propagación. La ecuación (1) puede reformular</w:t>
      </w:r>
      <w:r w:rsidR="00C6390A" w:rsidRPr="009A709D">
        <w:rPr>
          <w:lang w:val="es-ES_tradnl"/>
        </w:rPr>
        <w:t>se</w:t>
      </w:r>
      <w:r w:rsidRPr="009A709D">
        <w:rPr>
          <w:lang w:val="es-ES_tradnl"/>
        </w:rPr>
        <w:t xml:space="preserve"> de la manera siguiente:</w:t>
      </w:r>
    </w:p>
    <w:p w14:paraId="5B616283" w14:textId="76D828ED" w:rsidR="0051376E" w:rsidRPr="009A709D" w:rsidRDefault="0051376E" w:rsidP="00F31513">
      <w:pPr>
        <w:pStyle w:val="Equation"/>
        <w:spacing w:before="240"/>
        <w:rPr>
          <w:lang w:val="es-ES_tradnl"/>
        </w:rPr>
      </w:pPr>
      <w:r w:rsidRPr="009A709D">
        <w:rPr>
          <w:rFonts w:ascii="Calibri" w:hAnsi="Calibri"/>
          <w:lang w:val="es-ES_tradnl"/>
        </w:rPr>
        <w:tab/>
      </w:r>
      <w:r w:rsidRPr="009A709D">
        <w:rPr>
          <w:rFonts w:ascii="Calibri" w:hAnsi="Calibri"/>
          <w:lang w:val="es-ES_tradnl"/>
        </w:rPr>
        <w:tab/>
      </w:r>
      <w:bookmarkStart w:id="102" w:name="lt_pId291"/>
      <w:r w:rsidR="00322016" w:rsidRPr="009A709D">
        <w:rPr>
          <w:rFonts w:ascii="Cambria Math" w:eastAsia="Cambria Math" w:hAnsi="Cambria Math" w:cs="Cambria Math"/>
          <w:lang w:val="es-ES_tradnl"/>
        </w:rPr>
        <w:t>𝐿</w:t>
      </w:r>
      <w:r w:rsidR="00322016" w:rsidRPr="009A709D">
        <w:rPr>
          <w:rFonts w:ascii="Cambria Math" w:eastAsia="Cambria Math" w:hAnsi="Cambria Math" w:cs="Cambria Math"/>
          <w:vertAlign w:val="subscript"/>
          <w:lang w:val="es-ES_tradnl"/>
        </w:rPr>
        <w:t>𝑟𝑒</w:t>
      </w:r>
      <w:r w:rsidR="00322016" w:rsidRPr="009A709D">
        <w:rPr>
          <w:rFonts w:eastAsia="Cambria Math"/>
          <w:vertAlign w:val="subscript"/>
          <w:lang w:val="es-ES_tradnl"/>
        </w:rPr>
        <w:t>q</w:t>
      </w:r>
      <w:r w:rsidR="00322016" w:rsidRPr="009A709D">
        <w:rPr>
          <w:rFonts w:eastAsia="Cambria Math"/>
          <w:lang w:val="es-ES_tradnl"/>
        </w:rPr>
        <w:t>(</w:t>
      </w:r>
      <w:r w:rsidR="00322016" w:rsidRPr="009A709D">
        <w:rPr>
          <w:rFonts w:ascii="Cambria Math" w:eastAsia="Cambria Math" w:hAnsi="Cambria Math" w:cs="Cambria Math"/>
          <w:lang w:val="es-ES_tradnl"/>
        </w:rPr>
        <w:t>𝑝</w:t>
      </w:r>
      <w:r w:rsidR="00322016" w:rsidRPr="009A709D">
        <w:rPr>
          <w:rFonts w:ascii="Cambria Math" w:eastAsia="Cambria Math" w:hAnsi="Cambria Math" w:cs="Cambria Math"/>
          <w:vertAlign w:val="subscript"/>
          <w:lang w:val="es-ES_tradnl"/>
        </w:rPr>
        <w:t>𝑣</w:t>
      </w:r>
      <w:r w:rsidR="00322016" w:rsidRPr="009A709D">
        <w:rPr>
          <w:rFonts w:eastAsia="Cambria Math"/>
          <w:lang w:val="es-ES_tradnl"/>
        </w:rPr>
        <w:t xml:space="preserve">) = </w:t>
      </w:r>
      <w:r w:rsidR="00322016" w:rsidRPr="009A709D">
        <w:rPr>
          <w:rFonts w:ascii="Cambria Math" w:eastAsia="Cambria Math" w:hAnsi="Cambria Math" w:cs="Cambria Math"/>
          <w:lang w:val="es-ES_tradnl"/>
        </w:rPr>
        <w:t>𝑃</w:t>
      </w:r>
      <w:r w:rsidR="00322016" w:rsidRPr="009A709D">
        <w:rPr>
          <w:rFonts w:ascii="Cambria Math" w:eastAsia="Cambria Math" w:hAnsi="Cambria Math" w:cs="Cambria Math"/>
          <w:vertAlign w:val="subscript"/>
          <w:lang w:val="es-ES_tradnl"/>
        </w:rPr>
        <w:t>𝑡</w:t>
      </w:r>
      <w:r w:rsidR="00322016" w:rsidRPr="009A709D">
        <w:rPr>
          <w:rFonts w:eastAsia="Cambria Math"/>
          <w:vertAlign w:val="subscript"/>
          <w:lang w:val="es-ES_tradnl"/>
        </w:rPr>
        <w:t xml:space="preserve"> </w:t>
      </w:r>
      <w:r w:rsidR="00322016" w:rsidRPr="009A709D">
        <w:rPr>
          <w:rFonts w:eastAsia="Cambria Math"/>
          <w:lang w:val="es-ES_tradnl"/>
        </w:rPr>
        <w:t xml:space="preserve">+ </w:t>
      </w:r>
      <w:r w:rsidR="00322016" w:rsidRPr="009A709D">
        <w:rPr>
          <w:rFonts w:ascii="Cambria Math" w:eastAsia="Cambria Math" w:hAnsi="Cambria Math" w:cs="Cambria Math"/>
          <w:lang w:val="es-ES_tradnl"/>
        </w:rPr>
        <w:t>𝐺</w:t>
      </w:r>
      <w:r w:rsidR="00322016" w:rsidRPr="009A709D">
        <w:rPr>
          <w:rFonts w:ascii="Cambria Math" w:eastAsia="Cambria Math" w:hAnsi="Cambria Math" w:cs="Cambria Math"/>
          <w:vertAlign w:val="subscript"/>
          <w:lang w:val="es-ES_tradnl"/>
        </w:rPr>
        <w:t>𝑡</w:t>
      </w:r>
      <w:r w:rsidR="00322016" w:rsidRPr="009A709D">
        <w:rPr>
          <w:rFonts w:eastAsia="Cambria Math"/>
          <w:lang w:val="es-ES_tradnl"/>
        </w:rPr>
        <w:t>(</w:t>
      </w:r>
      <w:r w:rsidR="00322016" w:rsidRPr="009A709D">
        <w:rPr>
          <w:rFonts w:ascii="Cambria Math" w:eastAsia="Cambria Math" w:hAnsi="Cambria Math" w:cs="Cambria Math"/>
          <w:lang w:val="es-ES_tradnl"/>
        </w:rPr>
        <w:t>𝑝</w:t>
      </w:r>
      <w:r w:rsidR="00322016" w:rsidRPr="009A709D">
        <w:rPr>
          <w:rFonts w:ascii="Cambria Math" w:eastAsia="Cambria Math" w:hAnsi="Cambria Math" w:cs="Cambria Math"/>
          <w:vertAlign w:val="subscript"/>
          <w:lang w:val="es-ES_tradnl"/>
        </w:rPr>
        <w:t>𝑡</w:t>
      </w:r>
      <w:r w:rsidR="00322016" w:rsidRPr="009A709D">
        <w:rPr>
          <w:rFonts w:eastAsia="Cambria Math"/>
          <w:lang w:val="es-ES_tradnl"/>
        </w:rPr>
        <w:t xml:space="preserve">) + </w:t>
      </w:r>
      <w:r w:rsidR="00322016" w:rsidRPr="009A709D">
        <w:rPr>
          <w:rFonts w:ascii="Cambria Math" w:eastAsia="Cambria Math" w:hAnsi="Cambria Math" w:cs="Cambria Math"/>
          <w:lang w:val="es-ES_tradnl"/>
        </w:rPr>
        <w:t>𝐺</w:t>
      </w:r>
      <w:r w:rsidR="00322016" w:rsidRPr="009A709D">
        <w:rPr>
          <w:rFonts w:eastAsia="Cambria Math"/>
          <w:i/>
          <w:vertAlign w:val="subscript"/>
          <w:lang w:val="es-ES_tradnl"/>
        </w:rPr>
        <w:t>r</w:t>
      </w:r>
      <w:r w:rsidR="00322016" w:rsidRPr="009A709D">
        <w:rPr>
          <w:rFonts w:eastAsia="Cambria Math"/>
          <w:lang w:val="es-ES_tradnl"/>
        </w:rPr>
        <w:t>(</w:t>
      </w:r>
      <w:r w:rsidR="00322016" w:rsidRPr="009A709D">
        <w:rPr>
          <w:rFonts w:ascii="Cambria Math" w:eastAsia="Cambria Math" w:hAnsi="Cambria Math" w:cs="Cambria Math"/>
          <w:lang w:val="es-ES_tradnl"/>
        </w:rPr>
        <w:t>𝑝</w:t>
      </w:r>
      <w:r w:rsidR="00322016" w:rsidRPr="009A709D">
        <w:rPr>
          <w:rFonts w:ascii="Cambria Math" w:eastAsia="Cambria Math" w:hAnsi="Cambria Math" w:cs="Cambria Math"/>
          <w:vertAlign w:val="subscript"/>
          <w:lang w:val="es-ES_tradnl"/>
        </w:rPr>
        <w:t>𝑟</w:t>
      </w:r>
      <w:r w:rsidR="00322016" w:rsidRPr="009A709D">
        <w:rPr>
          <w:rFonts w:eastAsia="Cambria Math"/>
          <w:lang w:val="es-ES_tradnl"/>
        </w:rPr>
        <w:t xml:space="preserve">) − </w:t>
      </w:r>
      <w:r w:rsidR="00322016" w:rsidRPr="009A709D">
        <w:rPr>
          <w:rFonts w:ascii="Cambria Math" w:eastAsia="Cambria Math" w:hAnsi="Cambria Math" w:cs="Cambria Math"/>
          <w:lang w:val="es-ES_tradnl"/>
        </w:rPr>
        <w:t>𝐼</w:t>
      </w:r>
      <w:r w:rsidR="00322016" w:rsidRPr="009A709D">
        <w:rPr>
          <w:rFonts w:eastAsia="Cambria Math"/>
          <w:lang w:val="es-ES_tradnl"/>
        </w:rPr>
        <w:t>(</w:t>
      </w:r>
      <w:r w:rsidR="00322016" w:rsidRPr="009A709D">
        <w:rPr>
          <w:rFonts w:ascii="Cambria Math" w:eastAsia="Cambria Math" w:hAnsi="Cambria Math" w:cs="Cambria Math"/>
          <w:lang w:val="es-ES_tradnl"/>
        </w:rPr>
        <w:t>𝑝</w:t>
      </w:r>
      <w:r w:rsidR="00322016" w:rsidRPr="009A709D">
        <w:rPr>
          <w:rFonts w:eastAsia="Cambria Math"/>
          <w:lang w:val="es-ES_tradnl"/>
        </w:rPr>
        <w:t xml:space="preserve">) – </w:t>
      </w:r>
      <w:r w:rsidR="00322016" w:rsidRPr="009A709D">
        <w:rPr>
          <w:rFonts w:eastAsia="Cambria Math"/>
          <w:i/>
          <w:lang w:val="es-ES_tradnl"/>
        </w:rPr>
        <w:t xml:space="preserve">Lc </w:t>
      </w:r>
      <w:r w:rsidR="00322016" w:rsidRPr="009A709D">
        <w:rPr>
          <w:rFonts w:eastAsia="Cambria Math"/>
          <w:lang w:val="es-ES_tradnl"/>
        </w:rPr>
        <w:t xml:space="preserve">= </w:t>
      </w:r>
      <w:r w:rsidR="00322016" w:rsidRPr="009A709D">
        <w:rPr>
          <w:rFonts w:ascii="Cambria Math" w:eastAsia="Cambria Math" w:hAnsi="Cambria Math" w:cs="Cambria Math"/>
          <w:lang w:val="es-ES_tradnl"/>
        </w:rPr>
        <w:t>𝑃</w:t>
      </w:r>
      <w:r w:rsidR="00322016" w:rsidRPr="009A709D">
        <w:rPr>
          <w:rFonts w:ascii="Cambria Math" w:eastAsia="Cambria Math" w:hAnsi="Cambria Math" w:cs="Cambria Math"/>
          <w:vertAlign w:val="subscript"/>
          <w:lang w:val="es-ES_tradnl"/>
        </w:rPr>
        <w:t>𝑡</w:t>
      </w:r>
      <w:r w:rsidR="00322016" w:rsidRPr="009A709D">
        <w:rPr>
          <w:rFonts w:eastAsia="Cambria Math"/>
          <w:vertAlign w:val="subscript"/>
          <w:lang w:val="es-ES_tradnl"/>
        </w:rPr>
        <w:t xml:space="preserve"> </w:t>
      </w:r>
      <w:r w:rsidR="00322016" w:rsidRPr="009A709D">
        <w:rPr>
          <w:rFonts w:eastAsia="Cambria Math"/>
          <w:lang w:val="es-ES_tradnl"/>
        </w:rPr>
        <w:t xml:space="preserve">+ </w:t>
      </w:r>
      <w:r w:rsidR="00322016" w:rsidRPr="009A709D">
        <w:rPr>
          <w:rFonts w:ascii="Cambria Math" w:eastAsia="Cambria Math" w:hAnsi="Cambria Math" w:cs="Cambria Math"/>
          <w:lang w:val="es-ES_tradnl"/>
        </w:rPr>
        <w:t>𝐺</w:t>
      </w:r>
      <w:r w:rsidR="00322016" w:rsidRPr="009A709D">
        <w:rPr>
          <w:rFonts w:ascii="Cambria Math" w:eastAsia="Cambria Math" w:hAnsi="Cambria Math" w:cs="Cambria Math"/>
          <w:vertAlign w:val="subscript"/>
          <w:lang w:val="es-ES_tradnl"/>
        </w:rPr>
        <w:t>𝑡𝑜𝑡</w:t>
      </w:r>
      <w:r w:rsidR="00322016" w:rsidRPr="009A709D">
        <w:rPr>
          <w:rFonts w:eastAsia="Cambria Math"/>
          <w:lang w:val="es-ES_tradnl"/>
        </w:rPr>
        <w:t>(</w:t>
      </w:r>
      <w:r w:rsidR="00322016" w:rsidRPr="009A709D">
        <w:rPr>
          <w:rFonts w:ascii="Cambria Math" w:eastAsia="Cambria Math" w:hAnsi="Cambria Math" w:cs="Cambria Math"/>
          <w:lang w:val="es-ES_tradnl"/>
        </w:rPr>
        <w:t>𝑝</w:t>
      </w:r>
      <w:r w:rsidR="00322016" w:rsidRPr="009A709D">
        <w:rPr>
          <w:rFonts w:ascii="Cambria Math" w:eastAsia="Cambria Math" w:hAnsi="Cambria Math" w:cs="Cambria Math"/>
          <w:vertAlign w:val="subscript"/>
          <w:lang w:val="es-ES_tradnl"/>
        </w:rPr>
        <w:t>𝑛</w:t>
      </w:r>
      <w:r w:rsidR="00322016" w:rsidRPr="009A709D">
        <w:rPr>
          <w:rFonts w:eastAsia="Cambria Math"/>
          <w:lang w:val="es-ES_tradnl"/>
        </w:rPr>
        <w:t xml:space="preserve">) − </w:t>
      </w:r>
      <w:r w:rsidR="00322016" w:rsidRPr="009A709D">
        <w:rPr>
          <w:rFonts w:ascii="Cambria Math" w:eastAsia="Cambria Math" w:hAnsi="Cambria Math" w:cs="Cambria Math"/>
          <w:lang w:val="es-ES_tradnl"/>
        </w:rPr>
        <w:t>𝐼</w:t>
      </w:r>
      <w:r w:rsidR="00322016" w:rsidRPr="009A709D">
        <w:rPr>
          <w:rFonts w:eastAsia="Cambria Math"/>
          <w:lang w:val="es-ES_tradnl"/>
        </w:rPr>
        <w:t>(</w:t>
      </w:r>
      <w:r w:rsidR="00322016" w:rsidRPr="009A709D">
        <w:rPr>
          <w:rFonts w:ascii="Cambria Math" w:eastAsia="Cambria Math" w:hAnsi="Cambria Math" w:cs="Cambria Math"/>
          <w:lang w:val="es-ES_tradnl"/>
        </w:rPr>
        <w:t>𝑝</w:t>
      </w:r>
      <w:r w:rsidR="00322016" w:rsidRPr="009A709D">
        <w:rPr>
          <w:rFonts w:eastAsia="Cambria Math"/>
          <w:lang w:val="es-ES_tradnl"/>
        </w:rPr>
        <w:t xml:space="preserve">) – </w:t>
      </w:r>
      <w:r w:rsidR="00322016" w:rsidRPr="009A709D">
        <w:rPr>
          <w:rFonts w:eastAsia="Cambria Math"/>
          <w:i/>
          <w:lang w:val="es-ES_tradnl"/>
        </w:rPr>
        <w:t>Lc</w:t>
      </w:r>
      <w:bookmarkEnd w:id="102"/>
      <w:r w:rsidRPr="009A709D">
        <w:rPr>
          <w:lang w:val="es-ES_tradnl"/>
        </w:rPr>
        <w:tab/>
        <w:t>(4)</w:t>
      </w:r>
    </w:p>
    <w:p w14:paraId="420D1E45" w14:textId="77777777" w:rsidR="0051376E" w:rsidRPr="009A709D" w:rsidRDefault="0051376E" w:rsidP="0051376E">
      <w:pPr>
        <w:spacing w:after="53"/>
        <w:ind w:left="-5"/>
        <w:rPr>
          <w:lang w:val="es-ES_tradnl"/>
        </w:rPr>
      </w:pPr>
      <w:r w:rsidRPr="009A709D">
        <w:rPr>
          <w:lang w:val="es-ES_tradnl"/>
        </w:rPr>
        <w:t>donde:</w:t>
      </w:r>
    </w:p>
    <w:p w14:paraId="0C4F1F60" w14:textId="74B66981" w:rsidR="0051376E" w:rsidRPr="009A709D" w:rsidRDefault="0051376E" w:rsidP="00BD59C4">
      <w:pPr>
        <w:pStyle w:val="Equationlegend"/>
        <w:rPr>
          <w:lang w:val="es-ES_tradnl"/>
        </w:rPr>
      </w:pPr>
      <w:r w:rsidRPr="009A709D">
        <w:rPr>
          <w:rFonts w:ascii="Cambria Math" w:hAnsi="Cambria Math"/>
          <w:lang w:val="es-ES_tradnl"/>
        </w:rPr>
        <w:tab/>
      </w:r>
      <w:r w:rsidR="00322016" w:rsidRPr="009A709D">
        <w:rPr>
          <w:rFonts w:ascii="Cambria Math" w:eastAsia="Cambria Math" w:hAnsi="Cambria Math" w:cs="Cambria Math"/>
          <w:lang w:val="es-ES_tradnl"/>
        </w:rPr>
        <w:t>𝑃</w:t>
      </w:r>
      <w:r w:rsidR="00322016" w:rsidRPr="009A709D">
        <w:rPr>
          <w:rFonts w:ascii="Cambria Math" w:eastAsia="Cambria Math" w:hAnsi="Cambria Math" w:cs="Cambria Math"/>
          <w:vertAlign w:val="subscript"/>
          <w:lang w:val="es-ES_tradnl"/>
        </w:rPr>
        <w:t>𝑡</w:t>
      </w:r>
      <w:r w:rsidRPr="009A709D">
        <w:rPr>
          <w:lang w:val="es-ES_tradnl"/>
        </w:rPr>
        <w:t>:</w:t>
      </w:r>
      <w:r w:rsidRPr="009A709D">
        <w:rPr>
          <w:rFonts w:ascii="Cambria Math" w:hAnsi="Cambria Math"/>
          <w:lang w:val="es-ES_tradnl"/>
        </w:rPr>
        <w:tab/>
      </w:r>
      <w:r w:rsidRPr="00BD59C4">
        <w:t>nivel</w:t>
      </w:r>
      <w:r w:rsidRPr="009A709D">
        <w:rPr>
          <w:lang w:val="es-ES_tradnl"/>
        </w:rPr>
        <w:t xml:space="preserve"> de potencia transmisora total (dBW) en </w:t>
      </w:r>
      <w:r w:rsidR="003842C9" w:rsidRPr="009A709D">
        <w:rPr>
          <w:lang w:val="es-ES_tradnl"/>
        </w:rPr>
        <w:t>el ancho de</w:t>
      </w:r>
      <w:r w:rsidRPr="009A709D">
        <w:rPr>
          <w:lang w:val="es-ES_tradnl"/>
        </w:rPr>
        <w:t xml:space="preserve"> banda de referencia de una estación base IMT-2020 transmisora</w:t>
      </w:r>
    </w:p>
    <w:p w14:paraId="52736557" w14:textId="1804A827" w:rsidR="0051376E" w:rsidRPr="009A709D" w:rsidRDefault="0051376E" w:rsidP="0051376E">
      <w:pPr>
        <w:pStyle w:val="Equationlegend"/>
        <w:rPr>
          <w:lang w:val="es-ES_tradnl"/>
        </w:rPr>
      </w:pPr>
      <w:r w:rsidRPr="009A709D">
        <w:rPr>
          <w:lang w:val="es-ES_tradnl"/>
        </w:rPr>
        <w:tab/>
      </w:r>
      <w:r w:rsidRPr="009A709D">
        <w:rPr>
          <w:i/>
          <w:lang w:val="es-ES_tradnl"/>
        </w:rPr>
        <w:t>I</w:t>
      </w:r>
      <w:r w:rsidRPr="009A709D">
        <w:rPr>
          <w:lang w:val="es-ES_tradnl"/>
        </w:rPr>
        <w:t>(</w:t>
      </w:r>
      <w:r w:rsidR="00322016" w:rsidRPr="009A709D">
        <w:rPr>
          <w:rFonts w:ascii="Cambria Math" w:eastAsia="Cambria Math" w:hAnsi="Cambria Math" w:cs="Cambria Math"/>
          <w:lang w:val="es-ES_tradnl"/>
        </w:rPr>
        <w:t>𝑝</w:t>
      </w:r>
      <w:r w:rsidRPr="009A709D">
        <w:rPr>
          <w:lang w:val="es-ES_tradnl"/>
        </w:rPr>
        <w:t>):</w:t>
      </w:r>
      <w:r w:rsidRPr="009A709D">
        <w:rPr>
          <w:lang w:val="es-ES_tradnl"/>
        </w:rPr>
        <w:tab/>
        <w:t xml:space="preserve">umbral de protección (dBW) en </w:t>
      </w:r>
      <w:r w:rsidR="003842C9" w:rsidRPr="009A709D">
        <w:rPr>
          <w:lang w:val="es-ES_tradnl"/>
        </w:rPr>
        <w:t>el ancho de</w:t>
      </w:r>
      <w:r w:rsidRPr="009A709D">
        <w:rPr>
          <w:lang w:val="es-ES_tradnl"/>
        </w:rPr>
        <w:t xml:space="preserve"> banda de referencia</w:t>
      </w:r>
      <w:r w:rsidR="005E56C6" w:rsidRPr="009A709D">
        <w:rPr>
          <w:lang w:val="es-ES_tradnl"/>
        </w:rPr>
        <w:t>,</w:t>
      </w:r>
      <w:r w:rsidRPr="009A709D">
        <w:rPr>
          <w:lang w:val="es-ES_tradnl"/>
        </w:rPr>
        <w:t xml:space="preserve"> que no </w:t>
      </w:r>
      <w:r w:rsidR="005E56C6" w:rsidRPr="009A709D">
        <w:rPr>
          <w:lang w:val="es-ES_tradnl"/>
        </w:rPr>
        <w:t>pod</w:t>
      </w:r>
      <w:r w:rsidRPr="009A709D">
        <w:rPr>
          <w:lang w:val="es-ES_tradnl"/>
        </w:rPr>
        <w:t>rá rebasa</w:t>
      </w:r>
      <w:r w:rsidR="005E56C6" w:rsidRPr="009A709D">
        <w:rPr>
          <w:lang w:val="es-ES_tradnl"/>
        </w:rPr>
        <w:t>rse</w:t>
      </w:r>
      <w:r w:rsidRPr="009A709D">
        <w:rPr>
          <w:lang w:val="es-ES_tradnl"/>
        </w:rPr>
        <w:t xml:space="preserve"> durante más del </w:t>
      </w:r>
      <w:r w:rsidR="00322016" w:rsidRPr="009A709D">
        <w:rPr>
          <w:rFonts w:ascii="Cambria Math" w:hAnsi="Cambria Math" w:cs="Cambria Math"/>
          <w:lang w:val="es-ES_tradnl"/>
        </w:rPr>
        <w:t>𝑝</w:t>
      </w:r>
      <w:r w:rsidRPr="009A709D">
        <w:rPr>
          <w:lang w:val="es-ES_tradnl"/>
        </w:rPr>
        <w:t xml:space="preserve">% del tiempo en la entrada de la antena de la estación terrena </w:t>
      </w:r>
      <w:r w:rsidR="00CA01A7" w:rsidRPr="009A709D">
        <w:rPr>
          <w:lang w:val="es-ES_tradnl"/>
        </w:rPr>
        <w:t xml:space="preserve">receptora </w:t>
      </w:r>
      <w:r w:rsidRPr="009A709D">
        <w:rPr>
          <w:lang w:val="es-ES_tradnl"/>
        </w:rPr>
        <w:t xml:space="preserve">del </w:t>
      </w:r>
      <w:r w:rsidR="00322016" w:rsidRPr="009A709D">
        <w:rPr>
          <w:lang w:val="es-ES_tradnl"/>
        </w:rPr>
        <w:t>SETS</w:t>
      </w:r>
      <w:r w:rsidRPr="009A709D">
        <w:rPr>
          <w:lang w:val="es-ES_tradnl"/>
        </w:rPr>
        <w:t xml:space="preserve"> que pueda sufrir interferencia</w:t>
      </w:r>
    </w:p>
    <w:p w14:paraId="30038EAD" w14:textId="5BCC6F5B" w:rsidR="0051376E" w:rsidRPr="009A709D" w:rsidRDefault="0051376E" w:rsidP="0051376E">
      <w:pPr>
        <w:pStyle w:val="Equationlegend"/>
        <w:rPr>
          <w:lang w:val="es-ES_tradnl"/>
        </w:rPr>
      </w:pPr>
      <w:r w:rsidRPr="009A709D">
        <w:rPr>
          <w:lang w:val="es-ES_tradnl"/>
        </w:rPr>
        <w:tab/>
      </w:r>
      <w:r w:rsidR="00322016" w:rsidRPr="009A709D">
        <w:rPr>
          <w:rFonts w:eastAsia="Cambria Math"/>
          <w:i/>
          <w:iCs/>
          <w:lang w:val="es-ES_tradnl"/>
        </w:rPr>
        <w:t>G</w:t>
      </w:r>
      <w:r w:rsidR="00322016" w:rsidRPr="009A709D">
        <w:rPr>
          <w:rFonts w:eastAsia="Cambria Math"/>
          <w:i/>
          <w:iCs/>
          <w:vertAlign w:val="subscript"/>
          <w:lang w:val="es-ES_tradnl"/>
        </w:rPr>
        <w:t>t</w:t>
      </w:r>
      <w:r w:rsidR="00322016" w:rsidRPr="009A709D">
        <w:rPr>
          <w:rFonts w:eastAsia="Cambria Math"/>
          <w:lang w:val="es-ES_tradnl"/>
        </w:rPr>
        <w:t>(</w:t>
      </w:r>
      <w:r w:rsidR="00322016" w:rsidRPr="009A709D">
        <w:rPr>
          <w:rFonts w:ascii="Cambria Math" w:eastAsia="Cambria Math" w:hAnsi="Cambria Math" w:cs="Cambria Math"/>
          <w:lang w:val="es-ES_tradnl"/>
        </w:rPr>
        <w:t>𝑝</w:t>
      </w:r>
      <w:r w:rsidR="00322016" w:rsidRPr="009A709D">
        <w:rPr>
          <w:rFonts w:eastAsia="Cambria Math"/>
          <w:i/>
          <w:vertAlign w:val="subscript"/>
          <w:lang w:val="es-ES_tradnl"/>
        </w:rPr>
        <w:t>t</w:t>
      </w:r>
      <w:r w:rsidR="00322016" w:rsidRPr="009A709D">
        <w:rPr>
          <w:rFonts w:eastAsia="Cambria Math"/>
          <w:lang w:val="es-ES_tradnl"/>
        </w:rPr>
        <w:t>)</w:t>
      </w:r>
      <w:r w:rsidRPr="009A709D">
        <w:rPr>
          <w:lang w:val="es-ES_tradnl"/>
        </w:rPr>
        <w:t>:</w:t>
      </w:r>
      <w:r w:rsidRPr="009A709D">
        <w:rPr>
          <w:lang w:val="es-ES_tradnl"/>
        </w:rPr>
        <w:tab/>
        <w:t xml:space="preserve">ganancia de la antena transmisora </w:t>
      </w:r>
      <w:r w:rsidR="005E56C6" w:rsidRPr="009A709D">
        <w:rPr>
          <w:lang w:val="es-ES_tradnl"/>
        </w:rPr>
        <w:t xml:space="preserve">hacia el horizonte </w:t>
      </w:r>
      <w:r w:rsidRPr="009A709D">
        <w:rPr>
          <w:lang w:val="es-ES_tradnl"/>
        </w:rPr>
        <w:t xml:space="preserve">(dBi) que se rebasa durante un </w:t>
      </w:r>
      <w:r w:rsidR="00322016" w:rsidRPr="009A709D">
        <w:rPr>
          <w:rFonts w:ascii="Cambria Math" w:hAnsi="Cambria Math" w:cs="Cambria Math"/>
          <w:lang w:val="es-ES_tradnl"/>
        </w:rPr>
        <w:t>𝑝</w:t>
      </w:r>
      <w:r w:rsidRPr="009A709D">
        <w:rPr>
          <w:i/>
          <w:vertAlign w:val="subscript"/>
          <w:lang w:val="es-ES_tradnl"/>
        </w:rPr>
        <w:t>t</w:t>
      </w:r>
      <w:r w:rsidRPr="009A709D">
        <w:rPr>
          <w:lang w:val="es-ES_tradnl"/>
        </w:rPr>
        <w:t>% del tiempo en el acimut considerado</w:t>
      </w:r>
    </w:p>
    <w:p w14:paraId="1385550C" w14:textId="2B56DB26" w:rsidR="0051376E" w:rsidRPr="009A709D" w:rsidRDefault="0051376E" w:rsidP="0046514B">
      <w:pPr>
        <w:pStyle w:val="Equationlegend"/>
        <w:rPr>
          <w:lang w:val="es-ES_tradnl"/>
        </w:rPr>
      </w:pPr>
      <w:r w:rsidRPr="009A709D">
        <w:rPr>
          <w:lang w:val="es-ES_tradnl"/>
        </w:rPr>
        <w:tab/>
      </w:r>
      <w:r w:rsidRPr="009A709D">
        <w:rPr>
          <w:i/>
          <w:lang w:val="es-ES_tradnl"/>
        </w:rPr>
        <w:t>G</w:t>
      </w:r>
      <w:r w:rsidRPr="009A709D">
        <w:rPr>
          <w:i/>
          <w:vertAlign w:val="subscript"/>
          <w:lang w:val="es-ES_tradnl"/>
        </w:rPr>
        <w:t>r</w:t>
      </w:r>
      <w:r w:rsidRPr="009A709D">
        <w:rPr>
          <w:rFonts w:ascii="Cambria Math" w:hAnsi="Cambria Math"/>
          <w:lang w:val="es-ES_tradnl"/>
        </w:rPr>
        <w:t>(</w:t>
      </w:r>
      <w:r w:rsidRPr="009A709D">
        <w:rPr>
          <w:rFonts w:ascii="Cambria Math" w:hAnsi="Cambria Math"/>
          <w:i/>
          <w:lang w:val="es-ES_tradnl"/>
        </w:rPr>
        <w:t>p</w:t>
      </w:r>
      <w:r w:rsidRPr="009A709D">
        <w:rPr>
          <w:rFonts w:ascii="Cambria Math" w:hAnsi="Cambria Math"/>
          <w:i/>
          <w:vertAlign w:val="subscript"/>
          <w:lang w:val="es-ES_tradnl"/>
        </w:rPr>
        <w:t>r</w:t>
      </w:r>
      <w:r w:rsidRPr="009A709D">
        <w:rPr>
          <w:rFonts w:ascii="Cambria Math" w:hAnsi="Cambria Math"/>
          <w:lang w:val="es-ES_tradnl"/>
        </w:rPr>
        <w:t>)</w:t>
      </w:r>
      <w:r w:rsidRPr="009A709D">
        <w:rPr>
          <w:lang w:val="es-ES_tradnl"/>
        </w:rPr>
        <w:t>:</w:t>
      </w:r>
      <w:r w:rsidRPr="009A709D">
        <w:rPr>
          <w:lang w:val="es-ES_tradnl"/>
        </w:rPr>
        <w:tab/>
        <w:t xml:space="preserve">ganancia hacia el horizonte físico para un acimut dado (dBi) de la antena de la estación terrena del </w:t>
      </w:r>
      <w:r w:rsidR="00322016" w:rsidRPr="009A709D">
        <w:rPr>
          <w:lang w:val="es-ES_tradnl"/>
        </w:rPr>
        <w:t>SETS</w:t>
      </w:r>
      <w:r w:rsidRPr="009A709D">
        <w:rPr>
          <w:lang w:val="es-ES_tradnl"/>
        </w:rPr>
        <w:t xml:space="preserve"> </w:t>
      </w:r>
      <w:r w:rsidR="0046514B" w:rsidRPr="009A709D">
        <w:rPr>
          <w:lang w:val="es-ES_tradnl"/>
        </w:rPr>
        <w:t>objeto de interferencia</w:t>
      </w:r>
      <w:r w:rsidR="005E56C6" w:rsidRPr="009A709D">
        <w:rPr>
          <w:lang w:val="es-ES_tradnl"/>
        </w:rPr>
        <w:t>,</w:t>
      </w:r>
      <w:r w:rsidR="0046514B" w:rsidRPr="009A709D">
        <w:rPr>
          <w:lang w:val="es-ES_tradnl"/>
        </w:rPr>
        <w:t xml:space="preserve"> </w:t>
      </w:r>
      <w:r w:rsidRPr="009A709D">
        <w:rPr>
          <w:lang w:val="es-ES_tradnl"/>
        </w:rPr>
        <w:t xml:space="preserve">que se rebasa durante un </w:t>
      </w:r>
      <w:r w:rsidR="00322016" w:rsidRPr="009A709D">
        <w:rPr>
          <w:rFonts w:ascii="Cambria Math" w:hAnsi="Cambria Math" w:cs="Cambria Math"/>
          <w:lang w:val="es-ES_tradnl"/>
        </w:rPr>
        <w:t>𝑝</w:t>
      </w:r>
      <w:r w:rsidRPr="009A709D">
        <w:rPr>
          <w:i/>
          <w:vertAlign w:val="subscript"/>
          <w:lang w:val="es-ES_tradnl"/>
        </w:rPr>
        <w:t>r</w:t>
      </w:r>
      <w:r w:rsidRPr="009A709D">
        <w:rPr>
          <w:lang w:val="es-ES_tradnl"/>
        </w:rPr>
        <w:t>% del tiempo en el acimut considerado</w:t>
      </w:r>
    </w:p>
    <w:p w14:paraId="7D1C6ACC" w14:textId="3C450763" w:rsidR="0051376E" w:rsidRPr="009A709D" w:rsidRDefault="00322016" w:rsidP="0046514B">
      <w:pPr>
        <w:pStyle w:val="Equationlegend"/>
        <w:rPr>
          <w:lang w:val="es-ES_tradnl"/>
        </w:rPr>
      </w:pPr>
      <w:r w:rsidRPr="009A709D">
        <w:rPr>
          <w:rFonts w:ascii="Cambria Math" w:eastAsia="Cambria Math" w:hAnsi="Cambria Math" w:cs="Cambria Math"/>
          <w:lang w:val="es-ES_tradnl"/>
        </w:rPr>
        <w:t>𝐺</w:t>
      </w:r>
      <w:r w:rsidRPr="009A709D">
        <w:rPr>
          <w:rFonts w:ascii="Cambria Math" w:eastAsia="Cambria Math" w:hAnsi="Cambria Math" w:cs="Cambria Math"/>
          <w:i/>
          <w:vertAlign w:val="subscript"/>
          <w:lang w:val="es-ES_tradnl"/>
        </w:rPr>
        <w:t>tot</w:t>
      </w:r>
      <w:r w:rsidRPr="009A709D">
        <w:rPr>
          <w:rFonts w:eastAsia="Cambria Math"/>
          <w:lang w:val="es-ES_tradnl"/>
        </w:rPr>
        <w:t>(</w:t>
      </w:r>
      <w:r w:rsidRPr="009A709D">
        <w:rPr>
          <w:rFonts w:ascii="Cambria Math" w:eastAsia="Cambria Math" w:hAnsi="Cambria Math" w:cs="Cambria Math"/>
          <w:lang w:val="es-ES_tradnl"/>
        </w:rPr>
        <w:t>𝑝𝑛</w:t>
      </w:r>
      <w:r w:rsidRPr="009A709D">
        <w:rPr>
          <w:rFonts w:eastAsia="Cambria Math"/>
          <w:lang w:val="es-ES_tradnl"/>
        </w:rPr>
        <w:t xml:space="preserve">) = </w:t>
      </w:r>
      <w:r w:rsidRPr="009A709D">
        <w:rPr>
          <w:rFonts w:ascii="Cambria Math" w:eastAsia="Cambria Math" w:hAnsi="Cambria Math" w:cs="Cambria Math"/>
          <w:lang w:val="es-ES_tradnl"/>
        </w:rPr>
        <w:t>𝐺</w:t>
      </w:r>
      <w:r w:rsidRPr="009A709D">
        <w:rPr>
          <w:rFonts w:ascii="Cambria Math" w:eastAsia="Cambria Math" w:hAnsi="Cambria Math" w:cs="Cambria Math"/>
          <w:vertAlign w:val="subscript"/>
          <w:lang w:val="es-ES_tradnl"/>
        </w:rPr>
        <w:t>𝑡</w:t>
      </w:r>
      <w:r w:rsidRPr="009A709D">
        <w:rPr>
          <w:rFonts w:eastAsia="Cambria Math"/>
          <w:lang w:val="es-ES_tradnl"/>
        </w:rPr>
        <w:t>(</w:t>
      </w:r>
      <w:r w:rsidRPr="009A709D">
        <w:rPr>
          <w:rFonts w:ascii="Cambria Math" w:eastAsia="Cambria Math" w:hAnsi="Cambria Math" w:cs="Cambria Math"/>
          <w:lang w:val="es-ES_tradnl"/>
        </w:rPr>
        <w:t>𝑝</w:t>
      </w:r>
      <w:r w:rsidRPr="009A709D">
        <w:rPr>
          <w:rFonts w:ascii="Cambria Math" w:eastAsia="Cambria Math" w:hAnsi="Cambria Math" w:cs="Cambria Math"/>
          <w:vertAlign w:val="subscript"/>
          <w:lang w:val="es-ES_tradnl"/>
        </w:rPr>
        <w:t>𝑡</w:t>
      </w:r>
      <w:r w:rsidRPr="009A709D">
        <w:rPr>
          <w:rFonts w:eastAsia="Cambria Math"/>
          <w:lang w:val="es-ES_tradnl"/>
        </w:rPr>
        <w:t xml:space="preserve">) + </w:t>
      </w:r>
      <w:r w:rsidRPr="009A709D">
        <w:rPr>
          <w:rFonts w:ascii="Cambria Math" w:eastAsia="Cambria Math" w:hAnsi="Cambria Math" w:cs="Cambria Math"/>
          <w:lang w:val="es-ES_tradnl"/>
        </w:rPr>
        <w:t>𝐺</w:t>
      </w:r>
      <w:r w:rsidRPr="009A709D">
        <w:rPr>
          <w:rFonts w:ascii="Cambria Math" w:eastAsia="Cambria Math" w:hAnsi="Cambria Math" w:cs="Cambria Math"/>
          <w:vertAlign w:val="subscript"/>
          <w:lang w:val="es-ES_tradnl"/>
        </w:rPr>
        <w:t>𝑟</w:t>
      </w:r>
      <w:r w:rsidRPr="009A709D">
        <w:rPr>
          <w:rFonts w:eastAsia="Cambria Math"/>
          <w:lang w:val="es-ES_tradnl"/>
        </w:rPr>
        <w:t>(</w:t>
      </w:r>
      <w:r w:rsidRPr="009A709D">
        <w:rPr>
          <w:rFonts w:ascii="Cambria Math" w:eastAsia="Cambria Math" w:hAnsi="Cambria Math" w:cs="Cambria Math"/>
          <w:lang w:val="es-ES_tradnl"/>
        </w:rPr>
        <w:t>𝑝</w:t>
      </w:r>
      <w:r w:rsidRPr="009A709D">
        <w:rPr>
          <w:rFonts w:ascii="Cambria Math" w:eastAsia="Cambria Math" w:hAnsi="Cambria Math" w:cs="Cambria Math"/>
          <w:vertAlign w:val="subscript"/>
          <w:lang w:val="es-ES_tradnl"/>
        </w:rPr>
        <w:t>𝑟</w:t>
      </w:r>
      <w:r w:rsidRPr="009A709D">
        <w:rPr>
          <w:rFonts w:eastAsia="Cambria Math"/>
          <w:lang w:val="es-ES_tradnl"/>
        </w:rPr>
        <w:t>)</w:t>
      </w:r>
      <w:r w:rsidR="0051376E" w:rsidRPr="009A709D">
        <w:rPr>
          <w:lang w:val="es-ES_tradnl"/>
        </w:rPr>
        <w:t>:</w:t>
      </w:r>
      <w:r w:rsidR="0051376E" w:rsidRPr="009A709D">
        <w:rPr>
          <w:lang w:val="es-ES_tradnl"/>
        </w:rPr>
        <w:tab/>
      </w:r>
      <w:r w:rsidRPr="009A709D">
        <w:rPr>
          <w:lang w:val="es-ES_tradnl"/>
        </w:rPr>
        <w:t>valor</w:t>
      </w:r>
      <w:r w:rsidR="0051376E" w:rsidRPr="009A709D">
        <w:rPr>
          <w:lang w:val="es-ES_tradnl"/>
        </w:rPr>
        <w:t xml:space="preserve"> dado por la convolución entre la distribución de la ganancia de transmisión </w:t>
      </w:r>
      <w:r w:rsidRPr="009A709D">
        <w:rPr>
          <w:rFonts w:ascii="Cambria Math" w:eastAsia="Cambria Math" w:hAnsi="Cambria Math" w:cs="Cambria Math"/>
          <w:lang w:val="es-ES_tradnl"/>
        </w:rPr>
        <w:t>𝐺</w:t>
      </w:r>
      <w:r w:rsidRPr="009A709D">
        <w:rPr>
          <w:rFonts w:ascii="Cambria Math" w:eastAsia="Cambria Math" w:hAnsi="Cambria Math" w:cs="Cambria Math"/>
          <w:vertAlign w:val="subscript"/>
          <w:lang w:val="es-ES_tradnl"/>
        </w:rPr>
        <w:t>𝑡</w:t>
      </w:r>
      <w:r w:rsidRPr="009A709D">
        <w:rPr>
          <w:rFonts w:eastAsia="Cambria Math"/>
          <w:lang w:val="es-ES_tradnl"/>
        </w:rPr>
        <w:t>(</w:t>
      </w:r>
      <w:r w:rsidRPr="009A709D">
        <w:rPr>
          <w:rFonts w:ascii="Cambria Math" w:eastAsia="Cambria Math" w:hAnsi="Cambria Math" w:cs="Cambria Math"/>
          <w:lang w:val="es-ES_tradnl"/>
        </w:rPr>
        <w:t>𝑝</w:t>
      </w:r>
      <w:r w:rsidRPr="009A709D">
        <w:rPr>
          <w:rFonts w:ascii="Cambria Math" w:eastAsia="Cambria Math" w:hAnsi="Cambria Math" w:cs="Cambria Math"/>
          <w:vertAlign w:val="subscript"/>
          <w:lang w:val="es-ES_tradnl"/>
        </w:rPr>
        <w:t>𝑡</w:t>
      </w:r>
      <w:r w:rsidRPr="009A709D">
        <w:rPr>
          <w:rFonts w:eastAsia="Cambria Math"/>
          <w:lang w:val="es-ES_tradnl"/>
        </w:rPr>
        <w:t>)</w:t>
      </w:r>
      <w:r w:rsidR="0051376E" w:rsidRPr="009A709D">
        <w:rPr>
          <w:lang w:val="es-ES_tradnl"/>
        </w:rPr>
        <w:t xml:space="preserve"> y la distribución de la estación terrena </w:t>
      </w:r>
      <w:r w:rsidR="0046514B" w:rsidRPr="009A709D">
        <w:rPr>
          <w:lang w:val="es-ES_tradnl"/>
        </w:rPr>
        <w:t xml:space="preserve">objeto de interferencia </w:t>
      </w:r>
      <w:r w:rsidRPr="009A709D">
        <w:rPr>
          <w:rFonts w:ascii="Cambria Math" w:eastAsia="Cambria Math" w:hAnsi="Cambria Math" w:cs="Cambria Math"/>
          <w:lang w:val="es-ES_tradnl"/>
        </w:rPr>
        <w:t>𝐺</w:t>
      </w:r>
      <w:r w:rsidRPr="009A709D">
        <w:rPr>
          <w:rFonts w:ascii="Cambria Math" w:eastAsia="Cambria Math" w:hAnsi="Cambria Math" w:cs="Cambria Math"/>
          <w:vertAlign w:val="subscript"/>
          <w:lang w:val="es-ES_tradnl"/>
        </w:rPr>
        <w:t>𝑟</w:t>
      </w:r>
      <w:r w:rsidRPr="009A709D">
        <w:rPr>
          <w:rFonts w:eastAsia="Cambria Math"/>
          <w:lang w:val="es-ES_tradnl"/>
        </w:rPr>
        <w:t>(</w:t>
      </w:r>
      <w:r w:rsidRPr="009A709D">
        <w:rPr>
          <w:rFonts w:ascii="Cambria Math" w:eastAsia="Cambria Math" w:hAnsi="Cambria Math" w:cs="Cambria Math"/>
          <w:lang w:val="es-ES_tradnl"/>
        </w:rPr>
        <w:t>𝑝</w:t>
      </w:r>
      <w:r w:rsidRPr="009A709D">
        <w:rPr>
          <w:rFonts w:ascii="Cambria Math" w:eastAsia="Cambria Math" w:hAnsi="Cambria Math" w:cs="Cambria Math"/>
          <w:vertAlign w:val="subscript"/>
          <w:lang w:val="es-ES_tradnl"/>
        </w:rPr>
        <w:t>𝑟</w:t>
      </w:r>
      <w:r w:rsidRPr="009A709D">
        <w:rPr>
          <w:rFonts w:eastAsia="Cambria Math"/>
          <w:lang w:val="es-ES_tradnl"/>
        </w:rPr>
        <w:t>)</w:t>
      </w:r>
    </w:p>
    <w:p w14:paraId="463A1237" w14:textId="510C3556" w:rsidR="0051376E" w:rsidRPr="009A709D" w:rsidRDefault="0051376E" w:rsidP="005128D0">
      <w:pPr>
        <w:pStyle w:val="Equationlegend"/>
        <w:rPr>
          <w:lang w:val="es-ES_tradnl"/>
        </w:rPr>
      </w:pPr>
      <w:r w:rsidRPr="009A709D">
        <w:rPr>
          <w:lang w:val="es-ES_tradnl"/>
        </w:rPr>
        <w:lastRenderedPageBreak/>
        <w:tab/>
      </w:r>
      <w:r w:rsidRPr="009A709D">
        <w:rPr>
          <w:i/>
          <w:lang w:val="es-ES_tradnl"/>
        </w:rPr>
        <w:t>Lc</w:t>
      </w:r>
      <w:r w:rsidRPr="009A709D">
        <w:rPr>
          <w:lang w:val="es-ES_tradnl"/>
        </w:rPr>
        <w:t>:</w:t>
      </w:r>
      <w:r w:rsidRPr="009A709D">
        <w:rPr>
          <w:lang w:val="es-ES_tradnl"/>
        </w:rPr>
        <w:tab/>
        <w:t xml:space="preserve">pérdida debida a la ocupación del suelo (dB) aplicable al entorno específico de la estación terrena del SETS, si procede. La pérdida debida a la ocupación del suelo aplicable a la estación base IMT </w:t>
      </w:r>
      <w:r w:rsidR="005128D0" w:rsidRPr="009A709D">
        <w:rPr>
          <w:lang w:val="es-ES_tradnl"/>
        </w:rPr>
        <w:t>debería abordarse en el marco de una coordinación exhaustiva, cuando se conozca el entorno en el que está ubicada la estación base</w:t>
      </w:r>
      <w:r w:rsidRPr="009A709D">
        <w:rPr>
          <w:lang w:val="es-ES_tradnl"/>
        </w:rPr>
        <w:t xml:space="preserve"> (véase el ejemplo en el Anexo 4)</w:t>
      </w:r>
    </w:p>
    <w:p w14:paraId="3CD9966E" w14:textId="20D223DD" w:rsidR="0051376E" w:rsidRPr="009A709D" w:rsidRDefault="0051376E" w:rsidP="005128D0">
      <w:pPr>
        <w:pStyle w:val="Equationlegend"/>
        <w:rPr>
          <w:lang w:val="es-ES_tradnl"/>
        </w:rPr>
      </w:pPr>
      <w:r w:rsidRPr="009A709D">
        <w:rPr>
          <w:rFonts w:ascii="Cambria Math" w:hAnsi="Cambria Math"/>
          <w:lang w:val="es-ES_tradnl"/>
        </w:rPr>
        <w:tab/>
      </w:r>
      <w:r w:rsidR="00975FFE" w:rsidRPr="009A709D">
        <w:rPr>
          <w:rFonts w:ascii="Cambria Math" w:eastAsia="Cambria Math" w:hAnsi="Cambria Math" w:cs="Cambria Math"/>
          <w:lang w:val="es-ES_tradnl"/>
        </w:rPr>
        <w:t>𝐿</w:t>
      </w:r>
      <w:r w:rsidR="00975FFE" w:rsidRPr="009A709D">
        <w:rPr>
          <w:rFonts w:ascii="Cambria Math" w:eastAsia="Cambria Math" w:hAnsi="Cambria Math" w:cs="Cambria Math"/>
          <w:i/>
          <w:iCs/>
          <w:vertAlign w:val="subscript"/>
          <w:lang w:val="es-ES_tradnl"/>
        </w:rPr>
        <w:t>𝑟𝑒q</w:t>
      </w:r>
      <w:r w:rsidR="00975FFE" w:rsidRPr="009A709D">
        <w:rPr>
          <w:rFonts w:ascii="Cambria Math" w:eastAsia="Cambria Math" w:hAnsi="Cambria Math" w:cs="Cambria Math"/>
          <w:lang w:val="es-ES_tradnl"/>
        </w:rPr>
        <w:t>(𝑝</w:t>
      </w:r>
      <w:r w:rsidR="00975FFE" w:rsidRPr="009A709D">
        <w:rPr>
          <w:rFonts w:ascii="Cambria Math" w:eastAsia="Cambria Math" w:hAnsi="Cambria Math" w:cs="Cambria Math"/>
          <w:vertAlign w:val="subscript"/>
          <w:lang w:val="es-ES_tradnl"/>
        </w:rPr>
        <w:t>𝑣</w:t>
      </w:r>
      <w:r w:rsidR="00975FFE" w:rsidRPr="009A709D">
        <w:rPr>
          <w:rFonts w:ascii="Cambria Math" w:eastAsia="Cambria Math" w:hAnsi="Cambria Math" w:cs="Cambria Math"/>
          <w:lang w:val="es-ES_tradnl"/>
        </w:rPr>
        <w:t>)</w:t>
      </w:r>
      <w:r w:rsidRPr="009A709D">
        <w:rPr>
          <w:rFonts w:ascii="Cambria Math" w:hAnsi="Cambria Math"/>
          <w:lang w:val="es-ES_tradnl"/>
        </w:rPr>
        <w:t>:</w:t>
      </w:r>
      <w:r w:rsidRPr="009A709D">
        <w:rPr>
          <w:rFonts w:ascii="Cambria Math" w:hAnsi="Cambria Math"/>
          <w:lang w:val="es-ES_tradnl"/>
        </w:rPr>
        <w:tab/>
      </w:r>
      <w:r w:rsidRPr="009A709D">
        <w:rPr>
          <w:lang w:val="es-ES_tradnl"/>
        </w:rPr>
        <w:t xml:space="preserve">pérdida de propagación mínima requerida (dB) durante </w:t>
      </w:r>
      <w:r w:rsidR="005128D0" w:rsidRPr="009A709D">
        <w:rPr>
          <w:lang w:val="es-ES_tradnl"/>
        </w:rPr>
        <w:t>el</w:t>
      </w:r>
      <w:r w:rsidRPr="009A709D">
        <w:rPr>
          <w:lang w:val="es-ES_tradnl"/>
        </w:rPr>
        <w:t xml:space="preserve"> </w:t>
      </w:r>
      <w:r w:rsidR="00975FFE" w:rsidRPr="009A709D">
        <w:rPr>
          <w:rFonts w:ascii="Cambria Math" w:eastAsia="Cambria Math" w:hAnsi="Cambria Math" w:cs="Cambria Math"/>
          <w:lang w:val="es-ES_tradnl"/>
        </w:rPr>
        <w:t>𝑝</w:t>
      </w:r>
      <w:r w:rsidR="00975FFE" w:rsidRPr="009A709D">
        <w:rPr>
          <w:rFonts w:ascii="Cambria Math" w:eastAsia="Cambria Math" w:hAnsi="Cambria Math" w:cs="Cambria Math"/>
          <w:vertAlign w:val="subscript"/>
          <w:lang w:val="es-ES_tradnl"/>
        </w:rPr>
        <w:t>𝑣</w:t>
      </w:r>
      <w:r w:rsidRPr="009A709D">
        <w:rPr>
          <w:lang w:val="es-ES_tradnl"/>
        </w:rPr>
        <w:t xml:space="preserve">% del tiempo; esta pérdida debe ser superada por las pérdidas en el trayecto de propagación para todos los valores de </w:t>
      </w:r>
      <w:r w:rsidR="00975FFE" w:rsidRPr="009A709D">
        <w:rPr>
          <w:rFonts w:ascii="Cambria Math" w:eastAsia="Cambria Math" w:hAnsi="Cambria Math" w:cs="Cambria Math"/>
          <w:lang w:val="es-ES_tradnl"/>
        </w:rPr>
        <w:t>𝑝</w:t>
      </w:r>
      <w:r w:rsidR="00975FFE" w:rsidRPr="009A709D">
        <w:rPr>
          <w:rFonts w:ascii="Cambria Math" w:eastAsia="Cambria Math" w:hAnsi="Cambria Math" w:cs="Cambria Math"/>
          <w:vertAlign w:val="subscript"/>
          <w:lang w:val="es-ES_tradnl"/>
        </w:rPr>
        <w:t>𝑣</w:t>
      </w:r>
      <w:r w:rsidRPr="009A709D">
        <w:rPr>
          <w:lang w:val="es-ES_tradnl"/>
        </w:rPr>
        <w:t xml:space="preserve">% </w:t>
      </w:r>
      <w:r w:rsidR="00975FFE" w:rsidRPr="009A709D">
        <w:rPr>
          <w:lang w:val="es-ES_tradnl"/>
        </w:rPr>
        <w:t>obtenidos mediante</w:t>
      </w:r>
      <w:r w:rsidRPr="009A709D">
        <w:rPr>
          <w:lang w:val="es-ES_tradnl"/>
        </w:rPr>
        <w:t xml:space="preserve"> la función de distribución acumulativa complementaria</w:t>
      </w:r>
      <w:r w:rsidR="00447F2A" w:rsidRPr="009A709D">
        <w:rPr>
          <w:lang w:val="es-ES_tradnl"/>
        </w:rPr>
        <w:t xml:space="preserve"> (FDAC)</w:t>
      </w:r>
      <w:r w:rsidRPr="009A709D">
        <w:rPr>
          <w:lang w:val="es-ES_tradnl"/>
        </w:rPr>
        <w:t xml:space="preserve"> de </w:t>
      </w:r>
      <w:r w:rsidR="005128D0" w:rsidRPr="009A709D">
        <w:rPr>
          <w:lang w:val="es-ES_tradnl"/>
        </w:rPr>
        <w:t xml:space="preserve">la </w:t>
      </w:r>
      <w:r w:rsidRPr="009A709D">
        <w:rPr>
          <w:lang w:val="es-ES_tradnl"/>
        </w:rPr>
        <w:t>ganancia considerada.</w:t>
      </w:r>
      <w:r w:rsidR="00975FFE" w:rsidRPr="009A709D">
        <w:rPr>
          <w:lang w:val="es-ES_tradnl"/>
        </w:rPr>
        <w:t xml:space="preserve"> </w:t>
      </w:r>
      <w:r w:rsidR="00975FFE" w:rsidRPr="009A709D">
        <w:rPr>
          <w:rFonts w:ascii="Cambria Math" w:eastAsia="Cambria Math" w:hAnsi="Cambria Math" w:cs="Cambria Math"/>
          <w:lang w:val="es-ES_tradnl"/>
        </w:rPr>
        <w:t>𝑝</w:t>
      </w:r>
      <w:r w:rsidR="00975FFE" w:rsidRPr="009A709D">
        <w:rPr>
          <w:rFonts w:ascii="Cambria Math" w:eastAsia="Cambria Math" w:hAnsi="Cambria Math" w:cs="Cambria Math"/>
          <w:vertAlign w:val="subscript"/>
          <w:lang w:val="es-ES_tradnl"/>
        </w:rPr>
        <w:t xml:space="preserve">𝑣 </w:t>
      </w:r>
      <w:r w:rsidRPr="009A709D">
        <w:rPr>
          <w:lang w:val="es-ES_tradnl"/>
        </w:rPr>
        <w:t xml:space="preserve">es el porcentaje de tiempo que </w:t>
      </w:r>
      <w:r w:rsidR="005128D0" w:rsidRPr="009A709D">
        <w:rPr>
          <w:lang w:val="es-ES_tradnl"/>
        </w:rPr>
        <w:t>aproxima la convolución entre la ganancia hacia el horizonte variable y las pérdidas de trayecto debidas al modo de propagación, y viene dado por la ecuación (2)</w:t>
      </w:r>
      <w:r w:rsidRPr="009A709D">
        <w:rPr>
          <w:lang w:val="es-ES_tradnl"/>
        </w:rPr>
        <w:t>.</w:t>
      </w:r>
    </w:p>
    <w:p w14:paraId="026CDA9F" w14:textId="77777777" w:rsidR="0051376E" w:rsidRPr="009A709D" w:rsidRDefault="0051376E" w:rsidP="00F31513">
      <w:pPr>
        <w:pStyle w:val="Heading1"/>
        <w:rPr>
          <w:lang w:val="es-ES_tradnl"/>
        </w:rPr>
      </w:pPr>
      <w:bookmarkStart w:id="103" w:name="_Toc83389350"/>
      <w:bookmarkStart w:id="104" w:name="_Toc83712972"/>
      <w:bookmarkStart w:id="105" w:name="_Toc83713045"/>
      <w:bookmarkStart w:id="106" w:name="_Toc83713158"/>
      <w:bookmarkStart w:id="107" w:name="_Toc83723561"/>
      <w:bookmarkStart w:id="108" w:name="_Toc86738375"/>
      <w:bookmarkStart w:id="109" w:name="_Toc102570766"/>
      <w:bookmarkStart w:id="110" w:name="_Toc102986159"/>
      <w:r w:rsidRPr="009A709D">
        <w:rPr>
          <w:lang w:val="es-ES_tradnl"/>
        </w:rPr>
        <w:t>3</w:t>
      </w:r>
      <w:r w:rsidRPr="009A709D">
        <w:rPr>
          <w:lang w:val="es-ES_tradnl"/>
        </w:rPr>
        <w:tab/>
        <w:t>Determinación de la potencia total de la estación base IMT-2020</w:t>
      </w:r>
      <w:bookmarkEnd w:id="103"/>
      <w:bookmarkEnd w:id="104"/>
      <w:bookmarkEnd w:id="105"/>
      <w:bookmarkEnd w:id="106"/>
      <w:bookmarkEnd w:id="107"/>
      <w:bookmarkEnd w:id="108"/>
      <w:bookmarkEnd w:id="109"/>
      <w:bookmarkEnd w:id="110"/>
    </w:p>
    <w:p w14:paraId="250BC561" w14:textId="0358BD84" w:rsidR="0051376E" w:rsidRPr="009A709D" w:rsidRDefault="00C8403D" w:rsidP="00F31513">
      <w:pPr>
        <w:rPr>
          <w:lang w:val="es-ES_tradnl"/>
        </w:rPr>
      </w:pPr>
      <w:r w:rsidRPr="009A709D">
        <w:rPr>
          <w:lang w:val="es-ES_tradnl"/>
        </w:rPr>
        <w:t>Véase el</w:t>
      </w:r>
      <w:r w:rsidR="0051376E" w:rsidRPr="009A709D">
        <w:rPr>
          <w:lang w:val="es-ES_tradnl"/>
        </w:rPr>
        <w:t xml:space="preserve"> </w:t>
      </w:r>
      <w:r w:rsidR="00BD59C4" w:rsidRPr="00D81D07">
        <w:t>§ </w:t>
      </w:r>
      <w:r w:rsidRPr="009A709D">
        <w:rPr>
          <w:lang w:val="es-ES_tradnl"/>
        </w:rPr>
        <w:t>3 de</w:t>
      </w:r>
      <w:r w:rsidR="0051376E" w:rsidRPr="009A709D">
        <w:rPr>
          <w:lang w:val="es-ES_tradnl"/>
        </w:rPr>
        <w:t>l Anexo 1.</w:t>
      </w:r>
    </w:p>
    <w:p w14:paraId="4F9FD5E2" w14:textId="50A86633" w:rsidR="0051376E" w:rsidRPr="009A709D" w:rsidRDefault="0051376E" w:rsidP="00F31513">
      <w:pPr>
        <w:pStyle w:val="Heading1"/>
        <w:rPr>
          <w:lang w:val="es-ES_tradnl"/>
        </w:rPr>
      </w:pPr>
      <w:bookmarkStart w:id="111" w:name="_Toc83389351"/>
      <w:bookmarkStart w:id="112" w:name="_Toc83712973"/>
      <w:bookmarkStart w:id="113" w:name="_Toc83713046"/>
      <w:bookmarkStart w:id="114" w:name="_Toc83713159"/>
      <w:bookmarkStart w:id="115" w:name="_Toc83723562"/>
      <w:bookmarkStart w:id="116" w:name="_Toc86738376"/>
      <w:bookmarkStart w:id="117" w:name="_Toc102570767"/>
      <w:bookmarkStart w:id="118" w:name="_Toc102986160"/>
      <w:r w:rsidRPr="009A709D">
        <w:rPr>
          <w:lang w:val="es-ES_tradnl"/>
        </w:rPr>
        <w:t>4</w:t>
      </w:r>
      <w:r w:rsidRPr="009A709D">
        <w:rPr>
          <w:lang w:val="es-ES_tradnl"/>
        </w:rPr>
        <w:tab/>
        <w:t xml:space="preserve">Determinación de la distribución de la ganancia de la antena de la </w:t>
      </w:r>
      <w:r w:rsidR="00F019B4" w:rsidRPr="009A709D">
        <w:rPr>
          <w:lang w:val="es-ES_tradnl"/>
        </w:rPr>
        <w:t>EB</w:t>
      </w:r>
      <w:r w:rsidRPr="009A709D">
        <w:rPr>
          <w:lang w:val="es-ES_tradnl"/>
        </w:rPr>
        <w:t xml:space="preserve"> IMT-2020</w:t>
      </w:r>
      <w:bookmarkEnd w:id="111"/>
      <w:bookmarkEnd w:id="112"/>
      <w:bookmarkEnd w:id="113"/>
      <w:bookmarkEnd w:id="114"/>
      <w:bookmarkEnd w:id="115"/>
      <w:r w:rsidRPr="009A709D">
        <w:rPr>
          <w:sz w:val="28"/>
          <w:lang w:val="es-ES_tradnl"/>
        </w:rPr>
        <w:t xml:space="preserve"> </w:t>
      </w:r>
      <w:r w:rsidRPr="009A709D">
        <w:rPr>
          <w:lang w:val="es-ES_tradnl"/>
        </w:rPr>
        <w:t>hacia el horizonte</w:t>
      </w:r>
      <w:bookmarkEnd w:id="116"/>
      <w:bookmarkEnd w:id="117"/>
      <w:bookmarkEnd w:id="118"/>
    </w:p>
    <w:p w14:paraId="41DD200F" w14:textId="38932D52" w:rsidR="0051376E" w:rsidRPr="009A709D" w:rsidRDefault="00C8403D" w:rsidP="00F31513">
      <w:pPr>
        <w:rPr>
          <w:lang w:val="es-ES_tradnl"/>
        </w:rPr>
      </w:pPr>
      <w:r w:rsidRPr="009A709D">
        <w:rPr>
          <w:lang w:val="es-ES_tradnl"/>
        </w:rPr>
        <w:t xml:space="preserve">Véase el </w:t>
      </w:r>
      <w:r w:rsidR="00BD59C4" w:rsidRPr="00D81D07">
        <w:t>§ </w:t>
      </w:r>
      <w:r w:rsidRPr="009A709D">
        <w:rPr>
          <w:lang w:val="es-ES_tradnl"/>
        </w:rPr>
        <w:t>4 del Anexo 1.</w:t>
      </w:r>
    </w:p>
    <w:p w14:paraId="5B23BAEF" w14:textId="14AD94CC" w:rsidR="0051376E" w:rsidRPr="009A709D" w:rsidRDefault="0051376E" w:rsidP="00F31513">
      <w:pPr>
        <w:pStyle w:val="Heading1"/>
        <w:rPr>
          <w:lang w:val="es-ES_tradnl"/>
        </w:rPr>
      </w:pPr>
      <w:bookmarkStart w:id="119" w:name="_Toc102570768"/>
      <w:bookmarkStart w:id="120" w:name="_Toc102986161"/>
      <w:bookmarkStart w:id="121" w:name="_Toc83389352"/>
      <w:bookmarkStart w:id="122" w:name="_Toc83712974"/>
      <w:bookmarkStart w:id="123" w:name="_Toc83713047"/>
      <w:bookmarkStart w:id="124" w:name="_Toc83713160"/>
      <w:bookmarkStart w:id="125" w:name="_Toc83723563"/>
      <w:bookmarkStart w:id="126" w:name="_Toc86738377"/>
      <w:r w:rsidRPr="009A709D">
        <w:rPr>
          <w:lang w:val="es-ES_tradnl"/>
        </w:rPr>
        <w:t>5</w:t>
      </w:r>
      <w:r w:rsidRPr="009A709D">
        <w:rPr>
          <w:lang w:val="es-ES_tradnl"/>
        </w:rPr>
        <w:tab/>
        <w:t xml:space="preserve">Determinación de la ganancia </w:t>
      </w:r>
      <w:r w:rsidR="00BE31CB" w:rsidRPr="009A709D">
        <w:rPr>
          <w:lang w:val="es-ES_tradnl"/>
        </w:rPr>
        <w:t xml:space="preserve">de la antena del SETS </w:t>
      </w:r>
      <w:r w:rsidRPr="009A709D">
        <w:rPr>
          <w:i/>
          <w:iCs/>
          <w:lang w:val="es-ES_tradnl"/>
        </w:rPr>
        <w:t>G</w:t>
      </w:r>
      <w:r w:rsidRPr="009A709D">
        <w:rPr>
          <w:i/>
          <w:iCs/>
          <w:vertAlign w:val="subscript"/>
          <w:lang w:val="es-ES_tradnl"/>
        </w:rPr>
        <w:t>r</w:t>
      </w:r>
      <w:r w:rsidRPr="009A709D">
        <w:rPr>
          <w:lang w:val="es-ES_tradnl"/>
        </w:rPr>
        <w:t xml:space="preserve"> hacia el horizonte</w:t>
      </w:r>
      <w:bookmarkEnd w:id="119"/>
      <w:bookmarkEnd w:id="120"/>
      <w:bookmarkEnd w:id="121"/>
      <w:bookmarkEnd w:id="122"/>
      <w:bookmarkEnd w:id="123"/>
      <w:bookmarkEnd w:id="124"/>
      <w:bookmarkEnd w:id="125"/>
      <w:bookmarkEnd w:id="126"/>
    </w:p>
    <w:p w14:paraId="04C75AB7" w14:textId="4889DBBB" w:rsidR="0051376E" w:rsidRPr="009A709D" w:rsidRDefault="005D537D" w:rsidP="00F31513">
      <w:pPr>
        <w:rPr>
          <w:lang w:val="es-ES_tradnl"/>
        </w:rPr>
      </w:pPr>
      <w:r w:rsidRPr="009A709D">
        <w:rPr>
          <w:lang w:val="es-ES_tradnl"/>
        </w:rPr>
        <w:t>A fin de calcular</w:t>
      </w:r>
      <w:r w:rsidR="0051376E" w:rsidRPr="009A709D">
        <w:rPr>
          <w:lang w:val="es-ES_tradnl"/>
        </w:rPr>
        <w:t xml:space="preserve"> la ganancia hacia el horizonte de la antena de la estación terrena del SETS para cada acimut, es necesario ejecutar una simulación en la cual la órbita del satélite del SETS </w:t>
      </w:r>
      <w:r w:rsidRPr="009A709D">
        <w:rPr>
          <w:lang w:val="es-ES_tradnl"/>
        </w:rPr>
        <w:t xml:space="preserve">se propague </w:t>
      </w:r>
      <w:r w:rsidR="0051376E" w:rsidRPr="009A709D">
        <w:rPr>
          <w:lang w:val="es-ES_tradnl"/>
        </w:rPr>
        <w:t xml:space="preserve">durante un </w:t>
      </w:r>
      <w:r w:rsidR="004F1E3D" w:rsidRPr="009A709D">
        <w:rPr>
          <w:lang w:val="es-ES_tradnl"/>
        </w:rPr>
        <w:t>periodo</w:t>
      </w:r>
      <w:r w:rsidR="0051376E" w:rsidRPr="009A709D">
        <w:rPr>
          <w:lang w:val="es-ES_tradnl"/>
        </w:rPr>
        <w:t xml:space="preserve"> de tiempo</w:t>
      </w:r>
      <w:r w:rsidRPr="009A709D">
        <w:rPr>
          <w:lang w:val="es-ES_tradnl"/>
        </w:rPr>
        <w:t xml:space="preserve"> determinado</w:t>
      </w:r>
      <w:r w:rsidR="0051376E" w:rsidRPr="009A709D">
        <w:rPr>
          <w:lang w:val="es-ES_tradnl"/>
        </w:rPr>
        <w:t>.</w:t>
      </w:r>
    </w:p>
    <w:p w14:paraId="6EEFC391" w14:textId="24EB5120" w:rsidR="0051376E" w:rsidRPr="009A709D" w:rsidRDefault="0051376E" w:rsidP="00F31513">
      <w:pPr>
        <w:rPr>
          <w:rFonts w:eastAsia="SimSun"/>
          <w:caps/>
          <w:sz w:val="20"/>
          <w:lang w:val="es-ES_tradnl"/>
        </w:rPr>
      </w:pPr>
      <w:r w:rsidRPr="009A709D">
        <w:rPr>
          <w:lang w:val="es-ES_tradnl"/>
        </w:rPr>
        <w:t xml:space="preserve">Por lo general, los satélites del SETS </w:t>
      </w:r>
      <w:r w:rsidR="005D537D" w:rsidRPr="009A709D">
        <w:rPr>
          <w:lang w:val="es-ES_tradnl"/>
        </w:rPr>
        <w:t>describen</w:t>
      </w:r>
      <w:r w:rsidRPr="009A709D">
        <w:rPr>
          <w:lang w:val="es-ES_tradnl"/>
        </w:rPr>
        <w:t xml:space="preserve"> órbitas heliosíncronas a altitudes de entre 400 y 1 400 km (800 km suele ser un valor típico). En el peor caso de altitud, de 400 km, la inclinación de la órbita sería de 97°. En la Fig</w:t>
      </w:r>
      <w:r w:rsidR="00CA01A7" w:rsidRPr="009A709D">
        <w:rPr>
          <w:lang w:val="es-ES_tradnl"/>
        </w:rPr>
        <w:t>.</w:t>
      </w:r>
      <w:r w:rsidR="00BD59C4">
        <w:rPr>
          <w:lang w:val="es-ES_tradnl"/>
        </w:rPr>
        <w:t> </w:t>
      </w:r>
      <w:r w:rsidRPr="009A709D">
        <w:rPr>
          <w:lang w:val="es-ES_tradnl"/>
        </w:rPr>
        <w:t xml:space="preserve">11 </w:t>
      </w:r>
      <w:r w:rsidR="005D537D" w:rsidRPr="009A709D">
        <w:rPr>
          <w:lang w:val="es-ES_tradnl"/>
        </w:rPr>
        <w:t>ilustra</w:t>
      </w:r>
      <w:r w:rsidRPr="009A709D">
        <w:rPr>
          <w:lang w:val="es-ES_tradnl"/>
        </w:rPr>
        <w:t xml:space="preserve"> una </w:t>
      </w:r>
      <w:r w:rsidR="008310BC" w:rsidRPr="009A709D">
        <w:rPr>
          <w:lang w:val="es-ES_tradnl"/>
        </w:rPr>
        <w:t>representación</w:t>
      </w:r>
      <w:r w:rsidRPr="009A709D">
        <w:rPr>
          <w:lang w:val="es-ES_tradnl"/>
        </w:rPr>
        <w:t xml:space="preserve"> de dicha órbita.</w:t>
      </w:r>
    </w:p>
    <w:p w14:paraId="7F2E8E81" w14:textId="6755F55C" w:rsidR="0051376E" w:rsidRPr="009A709D" w:rsidRDefault="0051376E" w:rsidP="0051376E">
      <w:pPr>
        <w:pStyle w:val="FigureNo"/>
        <w:rPr>
          <w:rFonts w:eastAsia="SimSun"/>
          <w:lang w:val="es-ES_tradnl"/>
        </w:rPr>
      </w:pPr>
      <w:r w:rsidRPr="009A709D">
        <w:rPr>
          <w:lang w:val="es-ES_tradnl"/>
        </w:rPr>
        <w:lastRenderedPageBreak/>
        <w:t>FIGURA 11</w:t>
      </w:r>
    </w:p>
    <w:p w14:paraId="381DDC61" w14:textId="77777777" w:rsidR="0051376E" w:rsidRPr="009A709D" w:rsidRDefault="0051376E" w:rsidP="0051376E">
      <w:pPr>
        <w:pStyle w:val="Figuretitle"/>
        <w:rPr>
          <w:lang w:val="es-ES_tradnl"/>
        </w:rPr>
      </w:pPr>
      <w:r w:rsidRPr="009A709D">
        <w:rPr>
          <w:lang w:val="es-ES_tradnl"/>
        </w:rPr>
        <w:t>Órbita de satélite del SETS</w:t>
      </w:r>
    </w:p>
    <w:p w14:paraId="72234744" w14:textId="77777777" w:rsidR="00BD59C4" w:rsidRPr="00BD59C4" w:rsidRDefault="00E608C5" w:rsidP="00BD59C4">
      <w:pPr>
        <w:pStyle w:val="Figure"/>
      </w:pPr>
      <w:r w:rsidRPr="009A709D">
        <w:rPr>
          <w:lang w:val="es-ES_tradnl"/>
        </w:rPr>
        <w:drawing>
          <wp:inline distT="0" distB="0" distL="0" distR="0" wp14:anchorId="343383BC" wp14:editId="66A970D2">
            <wp:extent cx="6120765" cy="6893560"/>
            <wp:effectExtent l="0" t="0" r="0" b="2540"/>
            <wp:docPr id="23" name="Picture 23" descr="A picture containing text,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invertebrat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6893560"/>
                    </a:xfrm>
                    <a:prstGeom prst="rect">
                      <a:avLst/>
                    </a:prstGeom>
                  </pic:spPr>
                </pic:pic>
              </a:graphicData>
            </a:graphic>
          </wp:inline>
        </w:drawing>
      </w:r>
    </w:p>
    <w:p w14:paraId="44A67786" w14:textId="67150A9E" w:rsidR="0051376E" w:rsidRPr="00BD59C4" w:rsidRDefault="0051376E" w:rsidP="00BD59C4">
      <w:pPr>
        <w:pStyle w:val="Normalaftertitle"/>
        <w:rPr>
          <w:lang w:val="es-ES_tradnl"/>
        </w:rPr>
      </w:pPr>
      <w:r w:rsidRPr="00BD59C4">
        <w:rPr>
          <w:lang w:val="es-ES_tradnl"/>
        </w:rPr>
        <w:t xml:space="preserve">En este caso, es necesario determinar </w:t>
      </w:r>
      <w:r w:rsidR="004D2BEB" w:rsidRPr="00BD59C4">
        <w:rPr>
          <w:lang w:val="es-ES_tradnl"/>
        </w:rPr>
        <w:t>los puntos de</w:t>
      </w:r>
      <w:r w:rsidRPr="00BD59C4">
        <w:rPr>
          <w:lang w:val="es-ES_tradnl"/>
        </w:rPr>
        <w:t xml:space="preserve"> visibilidad de dicho satélite desde la estación terrena del SETS considerada. El satélite es visible </w:t>
      </w:r>
      <w:r w:rsidR="004D2BEB" w:rsidRPr="00BD59C4">
        <w:rPr>
          <w:lang w:val="es-ES_tradnl"/>
        </w:rPr>
        <w:t xml:space="preserve">desde el momento en que </w:t>
      </w:r>
      <w:r w:rsidRPr="00BD59C4">
        <w:rPr>
          <w:lang w:val="es-ES_tradnl"/>
        </w:rPr>
        <w:t>su ángulo de elevación supera los 5 grados</w:t>
      </w:r>
      <w:r w:rsidR="004D2BEB" w:rsidRPr="00BD59C4">
        <w:rPr>
          <w:lang w:val="es-ES_tradnl"/>
        </w:rPr>
        <w:t>,</w:t>
      </w:r>
      <w:r w:rsidRPr="00BD59C4">
        <w:rPr>
          <w:lang w:val="es-ES_tradnl"/>
        </w:rPr>
        <w:t xml:space="preserve"> tal y como se observa desde la estación terrena. La Fig</w:t>
      </w:r>
      <w:r w:rsidR="00CA01A7" w:rsidRPr="00BD59C4">
        <w:rPr>
          <w:lang w:val="es-ES_tradnl"/>
        </w:rPr>
        <w:t>.</w:t>
      </w:r>
      <w:r w:rsidR="00BD59C4">
        <w:rPr>
          <w:lang w:val="es-ES_tradnl"/>
        </w:rPr>
        <w:t> </w:t>
      </w:r>
      <w:r w:rsidRPr="00BD59C4">
        <w:rPr>
          <w:lang w:val="es-ES_tradnl"/>
        </w:rPr>
        <w:t xml:space="preserve">12 </w:t>
      </w:r>
      <w:r w:rsidR="004D2BEB" w:rsidRPr="00BD59C4">
        <w:rPr>
          <w:lang w:val="es-ES_tradnl"/>
        </w:rPr>
        <w:t>ilustra</w:t>
      </w:r>
      <w:r w:rsidRPr="00BD59C4">
        <w:rPr>
          <w:lang w:val="es-ES_tradnl"/>
        </w:rPr>
        <w:t xml:space="preserve">, a modo de ejemplo, una </w:t>
      </w:r>
      <w:r w:rsidR="004D2BEB" w:rsidRPr="00BD59C4">
        <w:rPr>
          <w:lang w:val="es-ES_tradnl"/>
        </w:rPr>
        <w:t>representación</w:t>
      </w:r>
      <w:r w:rsidRPr="00BD59C4">
        <w:rPr>
          <w:lang w:val="es-ES_tradnl"/>
        </w:rPr>
        <w:t xml:space="preserve"> de l</w:t>
      </w:r>
      <w:r w:rsidR="004D2BEB" w:rsidRPr="00BD59C4">
        <w:rPr>
          <w:lang w:val="es-ES_tradnl"/>
        </w:rPr>
        <w:t xml:space="preserve">os segmentos orbitales visibles </w:t>
      </w:r>
      <w:r w:rsidRPr="00BD59C4">
        <w:rPr>
          <w:lang w:val="es-ES_tradnl"/>
        </w:rPr>
        <w:t xml:space="preserve">desde Kiruna (Suecia) por encima de los 5 grados de elevación </w:t>
      </w:r>
      <w:r w:rsidR="004D2BEB" w:rsidRPr="00BD59C4">
        <w:rPr>
          <w:lang w:val="es-ES_tradnl"/>
        </w:rPr>
        <w:t>durante</w:t>
      </w:r>
      <w:r w:rsidRPr="00BD59C4">
        <w:rPr>
          <w:lang w:val="es-ES_tradnl"/>
        </w:rPr>
        <w:t xml:space="preserve"> un </w:t>
      </w:r>
      <w:r w:rsidR="004F1E3D" w:rsidRPr="00BD59C4">
        <w:rPr>
          <w:lang w:val="es-ES_tradnl"/>
        </w:rPr>
        <w:t>periodo</w:t>
      </w:r>
      <w:r w:rsidRPr="00BD59C4">
        <w:rPr>
          <w:lang w:val="es-ES_tradnl"/>
        </w:rPr>
        <w:t xml:space="preserve"> de 11 días.</w:t>
      </w:r>
    </w:p>
    <w:p w14:paraId="41441D3B" w14:textId="3E7419CF" w:rsidR="0051376E" w:rsidRPr="009A709D" w:rsidRDefault="0051376E" w:rsidP="0051376E">
      <w:pPr>
        <w:pStyle w:val="FigureNo"/>
        <w:rPr>
          <w:rFonts w:eastAsia="SimSun"/>
          <w:lang w:val="es-ES_tradnl"/>
        </w:rPr>
      </w:pPr>
      <w:r w:rsidRPr="009A709D">
        <w:rPr>
          <w:lang w:val="es-ES_tradnl"/>
        </w:rPr>
        <w:lastRenderedPageBreak/>
        <w:t>FIGURA 12</w:t>
      </w:r>
    </w:p>
    <w:p w14:paraId="6D223A32" w14:textId="77777777" w:rsidR="0051376E" w:rsidRPr="009A709D" w:rsidRDefault="0051376E" w:rsidP="0051376E">
      <w:pPr>
        <w:pStyle w:val="Figuretitle"/>
        <w:rPr>
          <w:lang w:val="es-ES_tradnl"/>
        </w:rPr>
      </w:pPr>
      <w:r w:rsidRPr="009A709D">
        <w:rPr>
          <w:lang w:val="es-ES_tradnl"/>
        </w:rPr>
        <w:t>Visibilidad del satélite del SETS desde una estación terrena determinada</w:t>
      </w:r>
    </w:p>
    <w:p w14:paraId="1137DDE5" w14:textId="77777777" w:rsidR="00BD59C4" w:rsidRPr="00BD59C4" w:rsidRDefault="00E608C5" w:rsidP="00BD59C4">
      <w:pPr>
        <w:pStyle w:val="Figure"/>
      </w:pPr>
      <w:r w:rsidRPr="00BD59C4">
        <w:rPr>
          <w:lang w:val="es-ES_tradnl"/>
        </w:rPr>
        <w:drawing>
          <wp:inline distT="0" distB="0" distL="0" distR="0" wp14:anchorId="33A2D01B" wp14:editId="171DC3E4">
            <wp:extent cx="6120765" cy="2621915"/>
            <wp:effectExtent l="0" t="0" r="0" b="6985"/>
            <wp:docPr id="28" name="Picture 28"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map of the world&#10;&#10;Description automatically generated with low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765" cy="2621915"/>
                    </a:xfrm>
                    <a:prstGeom prst="rect">
                      <a:avLst/>
                    </a:prstGeom>
                  </pic:spPr>
                </pic:pic>
              </a:graphicData>
            </a:graphic>
          </wp:inline>
        </w:drawing>
      </w:r>
    </w:p>
    <w:p w14:paraId="34AD9205" w14:textId="090CAC56" w:rsidR="0051376E" w:rsidRPr="00BD59C4" w:rsidRDefault="0051376E" w:rsidP="00BD59C4">
      <w:pPr>
        <w:pStyle w:val="Normalaftertitle"/>
        <w:rPr>
          <w:lang w:val="es-ES_tradnl"/>
        </w:rPr>
      </w:pPr>
      <w:r w:rsidRPr="00BD59C4">
        <w:rPr>
          <w:lang w:val="es-ES_tradnl"/>
        </w:rPr>
        <w:t xml:space="preserve">Para cada intervalo de tiempo en </w:t>
      </w:r>
      <w:r w:rsidR="00454079" w:rsidRPr="00BD59C4">
        <w:rPr>
          <w:lang w:val="es-ES_tradnl"/>
        </w:rPr>
        <w:t xml:space="preserve">el </w:t>
      </w:r>
      <w:r w:rsidRPr="00BD59C4">
        <w:rPr>
          <w:lang w:val="es-ES_tradnl"/>
        </w:rPr>
        <w:t xml:space="preserve">que </w:t>
      </w:r>
      <w:r w:rsidR="00454079" w:rsidRPr="00BD59C4">
        <w:rPr>
          <w:lang w:val="es-ES_tradnl"/>
        </w:rPr>
        <w:t>el</w:t>
      </w:r>
      <w:r w:rsidRPr="00BD59C4">
        <w:rPr>
          <w:lang w:val="es-ES_tradnl"/>
        </w:rPr>
        <w:t xml:space="preserve"> satélite es visible y para cada acimut en torno a la estación terrena, es necesario determinar el ángulo de desplazamiento entre el vector estación terrena-satélite y la dirección del horizonte para el acimut considerado. Este ángulo de desplazamiento puede utilizarse para determinar la ganancia </w:t>
      </w:r>
      <w:r w:rsidR="0041362C" w:rsidRPr="00BD59C4">
        <w:rPr>
          <w:lang w:val="es-ES_tradnl"/>
        </w:rPr>
        <w:t xml:space="preserve">de la antena </w:t>
      </w:r>
      <w:r w:rsidRPr="00BD59C4">
        <w:rPr>
          <w:lang w:val="es-ES_tradnl"/>
        </w:rPr>
        <w:t xml:space="preserve">hacia el horizonte, </w:t>
      </w:r>
      <w:r w:rsidR="0041362C" w:rsidRPr="00BD59C4">
        <w:rPr>
          <w:lang w:val="es-ES_tradnl"/>
        </w:rPr>
        <w:t>aplicando</w:t>
      </w:r>
      <w:r w:rsidRPr="00BD59C4">
        <w:rPr>
          <w:lang w:val="es-ES_tradnl"/>
        </w:rPr>
        <w:t xml:space="preserve"> diagramas de antena como los </w:t>
      </w:r>
      <w:r w:rsidR="0041362C" w:rsidRPr="00BD59C4">
        <w:rPr>
          <w:lang w:val="es-ES_tradnl"/>
        </w:rPr>
        <w:t>descritos</w:t>
      </w:r>
      <w:r w:rsidRPr="00BD59C4">
        <w:rPr>
          <w:lang w:val="es-ES_tradnl"/>
        </w:rPr>
        <w:t xml:space="preserve"> en el Apéndice</w:t>
      </w:r>
      <w:r w:rsidR="00BD59C4">
        <w:rPr>
          <w:lang w:val="es-ES_tradnl"/>
        </w:rPr>
        <w:t> </w:t>
      </w:r>
      <w:r w:rsidRPr="00BD59C4">
        <w:rPr>
          <w:b/>
          <w:bCs/>
          <w:lang w:val="es-ES_tradnl"/>
        </w:rPr>
        <w:t>7</w:t>
      </w:r>
      <w:r w:rsidRPr="00BD59C4">
        <w:rPr>
          <w:lang w:val="es-ES_tradnl"/>
        </w:rPr>
        <w:t xml:space="preserve"> o el Apéndice</w:t>
      </w:r>
      <w:r w:rsidR="00BD59C4">
        <w:rPr>
          <w:lang w:val="es-ES_tradnl"/>
        </w:rPr>
        <w:t> </w:t>
      </w:r>
      <w:r w:rsidRPr="00BD59C4">
        <w:rPr>
          <w:b/>
          <w:bCs/>
          <w:lang w:val="es-ES_tradnl"/>
        </w:rPr>
        <w:t>8</w:t>
      </w:r>
      <w:r w:rsidRPr="00BD59C4">
        <w:rPr>
          <w:lang w:val="es-ES_tradnl"/>
        </w:rPr>
        <w:t xml:space="preserve"> del RR. </w:t>
      </w:r>
      <w:r w:rsidR="0041362C" w:rsidRPr="00BD59C4">
        <w:rPr>
          <w:lang w:val="es-ES_tradnl"/>
        </w:rPr>
        <w:t>A continuación</w:t>
      </w:r>
      <w:r w:rsidRPr="00BD59C4">
        <w:rPr>
          <w:lang w:val="es-ES_tradnl"/>
        </w:rPr>
        <w:t>, es posible extraer la función de distribución acumulativa (FDA) de la ganancia de antena para cada acimut, como se muestra en la Fig.</w:t>
      </w:r>
      <w:r w:rsidR="00BD59C4">
        <w:rPr>
          <w:lang w:val="es-ES_tradnl"/>
        </w:rPr>
        <w:t> </w:t>
      </w:r>
      <w:r w:rsidRPr="00BD59C4">
        <w:rPr>
          <w:lang w:val="es-ES_tradnl"/>
        </w:rPr>
        <w:t xml:space="preserve">13 para Kiruna, y una antena conforme con el Apéndice </w:t>
      </w:r>
      <w:r w:rsidRPr="00BD59C4">
        <w:rPr>
          <w:b/>
          <w:bCs/>
          <w:lang w:val="es-ES_tradnl"/>
        </w:rPr>
        <w:t>8</w:t>
      </w:r>
      <w:r w:rsidRPr="00BD59C4">
        <w:rPr>
          <w:lang w:val="es-ES_tradnl"/>
        </w:rPr>
        <w:t xml:space="preserve"> del RR con una ganancia máxima de 70,7 dBi.</w:t>
      </w:r>
    </w:p>
    <w:p w14:paraId="01C79EA4" w14:textId="12940638" w:rsidR="0051376E" w:rsidRPr="009A709D" w:rsidRDefault="0051376E" w:rsidP="0051376E">
      <w:pPr>
        <w:pStyle w:val="FigureNo"/>
        <w:rPr>
          <w:rFonts w:eastAsia="SimSun"/>
          <w:lang w:val="es-ES_tradnl"/>
        </w:rPr>
      </w:pPr>
      <w:r w:rsidRPr="009A709D">
        <w:rPr>
          <w:lang w:val="es-ES_tradnl"/>
        </w:rPr>
        <w:t>FIGURA 13</w:t>
      </w:r>
    </w:p>
    <w:p w14:paraId="621D9E5E" w14:textId="77777777" w:rsidR="0051376E" w:rsidRPr="009A709D" w:rsidRDefault="0051376E" w:rsidP="0051376E">
      <w:pPr>
        <w:pStyle w:val="Figuretitle"/>
        <w:rPr>
          <w:lang w:val="es-ES_tradnl"/>
        </w:rPr>
      </w:pPr>
      <w:r w:rsidRPr="009A709D">
        <w:rPr>
          <w:lang w:val="es-ES_tradnl"/>
        </w:rPr>
        <w:t>Ganancia hacia el horizonte de la antena del SETS para Kiruna y un satélite no OSG en una órbita polar a 400 km de altitud</w:t>
      </w:r>
    </w:p>
    <w:p w14:paraId="3DB50D7F" w14:textId="47AA675C" w:rsidR="00BD59C4" w:rsidRPr="00BD59C4" w:rsidRDefault="00BD59C4" w:rsidP="00BD59C4">
      <w:pPr>
        <w:pStyle w:val="Figure"/>
        <w:rPr>
          <w:noProof/>
          <w:lang w:val="es-ES_tradnl" w:eastAsia="es-ES"/>
        </w:rPr>
      </w:pPr>
      <w:r>
        <w:rPr>
          <w:noProof/>
          <w:lang w:val="es-ES_tradnl" w:eastAsia="es-ES"/>
        </w:rPr>
        <w:drawing>
          <wp:inline distT="0" distB="0" distL="0" distR="0" wp14:anchorId="6F4C1E98" wp14:editId="3BD38D6E">
            <wp:extent cx="5141986" cy="2938278"/>
            <wp:effectExtent l="0" t="0" r="1905"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2142-0_13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41986" cy="2938278"/>
                    </a:xfrm>
                    <a:prstGeom prst="rect">
                      <a:avLst/>
                    </a:prstGeom>
                  </pic:spPr>
                </pic:pic>
              </a:graphicData>
            </a:graphic>
          </wp:inline>
        </w:drawing>
      </w:r>
    </w:p>
    <w:p w14:paraId="3D6DC74D" w14:textId="7358C0F6" w:rsidR="0051376E" w:rsidRPr="009A709D" w:rsidRDefault="0051376E" w:rsidP="00352588">
      <w:pPr>
        <w:pStyle w:val="Normalaftertitle"/>
        <w:rPr>
          <w:lang w:val="es-ES_tradnl"/>
        </w:rPr>
      </w:pPr>
      <w:r w:rsidRPr="009A709D">
        <w:rPr>
          <w:lang w:val="es-ES_tradnl"/>
        </w:rPr>
        <w:t xml:space="preserve">Esta FDA facilita, en el eje X, el valor de </w:t>
      </w:r>
      <w:r w:rsidRPr="009A709D">
        <w:rPr>
          <w:i/>
          <w:lang w:val="es-ES_tradnl"/>
        </w:rPr>
        <w:t>G</w:t>
      </w:r>
      <w:r w:rsidRPr="009A709D">
        <w:rPr>
          <w:i/>
          <w:vertAlign w:val="subscript"/>
          <w:lang w:val="es-ES_tradnl"/>
        </w:rPr>
        <w:t>r</w:t>
      </w:r>
      <w:r w:rsidRPr="009A709D">
        <w:rPr>
          <w:lang w:val="es-ES_tradnl"/>
        </w:rPr>
        <w:t xml:space="preserve">, y en el eje Y, el valor de </w:t>
      </w:r>
      <w:r w:rsidRPr="009A709D">
        <w:rPr>
          <w:i/>
          <w:lang w:val="es-ES_tradnl"/>
        </w:rPr>
        <w:t>p</w:t>
      </w:r>
      <w:r w:rsidRPr="009A709D">
        <w:rPr>
          <w:i/>
          <w:vertAlign w:val="subscript"/>
          <w:lang w:val="es-ES_tradnl"/>
        </w:rPr>
        <w:t>r</w:t>
      </w:r>
      <w:r w:rsidRPr="009A709D">
        <w:rPr>
          <w:lang w:val="es-ES_tradnl"/>
        </w:rPr>
        <w:t>, que se utilizan en la ecuación (4), para cada acimut.</w:t>
      </w:r>
    </w:p>
    <w:p w14:paraId="37839D6E" w14:textId="0DE9CBE1" w:rsidR="0051376E" w:rsidRPr="009A709D" w:rsidRDefault="0051376E" w:rsidP="00F31513">
      <w:pPr>
        <w:pStyle w:val="Heading1"/>
        <w:rPr>
          <w:lang w:val="es-ES_tradnl"/>
        </w:rPr>
      </w:pPr>
      <w:bookmarkStart w:id="127" w:name="_Toc83389353"/>
      <w:bookmarkStart w:id="128" w:name="_Toc83712975"/>
      <w:bookmarkStart w:id="129" w:name="_Toc83713048"/>
      <w:bookmarkStart w:id="130" w:name="_Toc83713161"/>
      <w:bookmarkStart w:id="131" w:name="_Toc83723564"/>
      <w:bookmarkStart w:id="132" w:name="_Toc86738378"/>
      <w:bookmarkStart w:id="133" w:name="_Toc102570769"/>
      <w:bookmarkStart w:id="134" w:name="_Toc102986162"/>
      <w:r w:rsidRPr="009A709D">
        <w:rPr>
          <w:lang w:val="es-ES_tradnl"/>
        </w:rPr>
        <w:lastRenderedPageBreak/>
        <w:t>6</w:t>
      </w:r>
      <w:r w:rsidRPr="009A709D">
        <w:rPr>
          <w:lang w:val="es-ES_tradnl"/>
        </w:rPr>
        <w:tab/>
        <w:t xml:space="preserve">Determinación de la convolución </w:t>
      </w:r>
      <w:r w:rsidRPr="009A709D">
        <w:rPr>
          <w:i/>
          <w:iCs/>
          <w:lang w:val="es-ES_tradnl"/>
        </w:rPr>
        <w:t>G</w:t>
      </w:r>
      <w:r w:rsidRPr="009A709D">
        <w:rPr>
          <w:i/>
          <w:iCs/>
          <w:vertAlign w:val="subscript"/>
          <w:lang w:val="es-ES_tradnl"/>
        </w:rPr>
        <w:t>tot</w:t>
      </w:r>
      <w:r w:rsidRPr="009A709D">
        <w:rPr>
          <w:lang w:val="es-ES_tradnl"/>
        </w:rPr>
        <w:t xml:space="preserve"> para las ganancias hacia el horizonte de la</w:t>
      </w:r>
      <w:r w:rsidR="00303DE6" w:rsidRPr="009A709D">
        <w:rPr>
          <w:lang w:val="es-ES_tradnl"/>
        </w:rPr>
        <w:t>s</w:t>
      </w:r>
      <w:r w:rsidRPr="009A709D">
        <w:rPr>
          <w:lang w:val="es-ES_tradnl"/>
        </w:rPr>
        <w:t xml:space="preserve"> </w:t>
      </w:r>
      <w:r w:rsidR="00303DE6" w:rsidRPr="009A709D">
        <w:rPr>
          <w:lang w:val="es-ES_tradnl"/>
        </w:rPr>
        <w:t xml:space="preserve">dos </w:t>
      </w:r>
      <w:r w:rsidRPr="009A709D">
        <w:rPr>
          <w:lang w:val="es-ES_tradnl"/>
        </w:rPr>
        <w:t>antena</w:t>
      </w:r>
      <w:bookmarkEnd w:id="127"/>
      <w:bookmarkEnd w:id="128"/>
      <w:bookmarkEnd w:id="129"/>
      <w:bookmarkEnd w:id="130"/>
      <w:bookmarkEnd w:id="131"/>
      <w:bookmarkEnd w:id="132"/>
      <w:r w:rsidR="00303DE6" w:rsidRPr="009A709D">
        <w:rPr>
          <w:lang w:val="es-ES_tradnl"/>
        </w:rPr>
        <w:t>s</w:t>
      </w:r>
      <w:bookmarkEnd w:id="133"/>
      <w:bookmarkEnd w:id="134"/>
    </w:p>
    <w:p w14:paraId="4F3B513D" w14:textId="1C3F00CE" w:rsidR="0051376E" w:rsidRPr="009A709D" w:rsidRDefault="0051376E" w:rsidP="00F31513">
      <w:pPr>
        <w:rPr>
          <w:lang w:val="es-ES_tradnl"/>
        </w:rPr>
      </w:pPr>
      <w:r w:rsidRPr="009A709D">
        <w:rPr>
          <w:lang w:val="es-ES_tradnl"/>
        </w:rPr>
        <w:t xml:space="preserve">Cuando están disponibles tanto la distribución de la ganancia hacia el horizonte de la estación base como </w:t>
      </w:r>
      <w:r w:rsidR="00303DE6" w:rsidRPr="009A709D">
        <w:rPr>
          <w:lang w:val="es-ES_tradnl"/>
        </w:rPr>
        <w:t>la</w:t>
      </w:r>
      <w:r w:rsidRPr="009A709D">
        <w:rPr>
          <w:lang w:val="es-ES_tradnl"/>
        </w:rPr>
        <w:t xml:space="preserve"> distribución de la ganancia hacia el horizonte del SETS, el paso siguiente consiste en convolucionarlas. Es posible hacer esto directamente para cada acimut, pero también es posible utilizar el siguiente enfoque alternativo:</w:t>
      </w:r>
    </w:p>
    <w:p w14:paraId="31A8678E" w14:textId="05E0DB5B" w:rsidR="0051376E" w:rsidRPr="009A709D" w:rsidRDefault="0051376E" w:rsidP="00F31513">
      <w:pPr>
        <w:pStyle w:val="enumlev1"/>
        <w:rPr>
          <w:lang w:val="es-ES_tradnl"/>
        </w:rPr>
      </w:pPr>
      <w:r w:rsidRPr="009A709D">
        <w:rPr>
          <w:lang w:val="es-ES_tradnl"/>
        </w:rPr>
        <w:t>–</w:t>
      </w:r>
      <w:r w:rsidRPr="009A709D">
        <w:rPr>
          <w:lang w:val="es-ES_tradnl"/>
        </w:rPr>
        <w:tab/>
        <w:t xml:space="preserve">generar </w:t>
      </w:r>
      <w:r w:rsidRPr="009A709D">
        <w:rPr>
          <w:i/>
          <w:iCs/>
          <w:lang w:val="es-ES_tradnl"/>
        </w:rPr>
        <w:t>N</w:t>
      </w:r>
      <w:r w:rsidRPr="009A709D">
        <w:rPr>
          <w:lang w:val="es-ES_tradnl"/>
        </w:rPr>
        <w:t xml:space="preserve"> valores aleatorios de ganancia de antena de estación base </w:t>
      </w:r>
      <w:r w:rsidRPr="009A709D">
        <w:rPr>
          <w:i/>
          <w:iCs/>
          <w:lang w:val="es-ES_tradnl"/>
        </w:rPr>
        <w:t>G</w:t>
      </w:r>
      <w:r w:rsidRPr="009A709D">
        <w:rPr>
          <w:i/>
          <w:iCs/>
          <w:vertAlign w:val="subscript"/>
          <w:lang w:val="es-ES_tradnl"/>
        </w:rPr>
        <w:t>t</w:t>
      </w:r>
      <w:r w:rsidRPr="009A709D">
        <w:rPr>
          <w:lang w:val="es-ES_tradnl"/>
        </w:rPr>
        <w:t xml:space="preserve"> según la distribución (</w:t>
      </w:r>
      <w:r w:rsidRPr="009A709D">
        <w:rPr>
          <w:i/>
          <w:iCs/>
          <w:lang w:val="es-ES_tradnl"/>
        </w:rPr>
        <w:t>G</w:t>
      </w:r>
      <w:r w:rsidRPr="009A709D">
        <w:rPr>
          <w:i/>
          <w:iCs/>
          <w:vertAlign w:val="subscript"/>
          <w:lang w:val="es-ES_tradnl"/>
        </w:rPr>
        <w:t>t</w:t>
      </w:r>
      <w:r w:rsidRPr="009A709D">
        <w:rPr>
          <w:lang w:val="es-ES_tradnl"/>
        </w:rPr>
        <w:t xml:space="preserve">, </w:t>
      </w:r>
      <w:r w:rsidRPr="009A709D">
        <w:rPr>
          <w:i/>
          <w:iCs/>
          <w:lang w:val="es-ES_tradnl"/>
        </w:rPr>
        <w:t>p</w:t>
      </w:r>
      <w:r w:rsidRPr="009A709D">
        <w:rPr>
          <w:i/>
          <w:iCs/>
          <w:vertAlign w:val="subscript"/>
          <w:lang w:val="es-ES_tradnl"/>
        </w:rPr>
        <w:t>t</w:t>
      </w:r>
      <w:r w:rsidRPr="009A709D">
        <w:rPr>
          <w:lang w:val="es-ES_tradnl"/>
        </w:rPr>
        <w:t xml:space="preserve">) obtenida en el </w:t>
      </w:r>
      <w:r w:rsidR="00874EAE" w:rsidRPr="00D81D07">
        <w:t>§ </w:t>
      </w:r>
      <w:r w:rsidRPr="009A709D">
        <w:rPr>
          <w:lang w:val="es-ES_tradnl"/>
        </w:rPr>
        <w:t>4;</w:t>
      </w:r>
    </w:p>
    <w:p w14:paraId="2499769F" w14:textId="0377A874" w:rsidR="0051376E" w:rsidRPr="009A709D" w:rsidRDefault="0051376E" w:rsidP="00F31513">
      <w:pPr>
        <w:pStyle w:val="enumlev1"/>
        <w:rPr>
          <w:lang w:val="es-ES_tradnl"/>
        </w:rPr>
      </w:pPr>
      <w:r w:rsidRPr="009A709D">
        <w:rPr>
          <w:lang w:val="es-ES_tradnl"/>
        </w:rPr>
        <w:t>–</w:t>
      </w:r>
      <w:r w:rsidRPr="009A709D">
        <w:rPr>
          <w:lang w:val="es-ES_tradnl"/>
        </w:rPr>
        <w:tab/>
        <w:t xml:space="preserve">generar </w:t>
      </w:r>
      <w:r w:rsidRPr="009A709D">
        <w:rPr>
          <w:i/>
          <w:iCs/>
          <w:lang w:val="es-ES_tradnl"/>
        </w:rPr>
        <w:t>N</w:t>
      </w:r>
      <w:r w:rsidRPr="009A709D">
        <w:rPr>
          <w:lang w:val="es-ES_tradnl"/>
        </w:rPr>
        <w:t xml:space="preserve"> valores aleatorios de ganancia de antena de estación terrena del SETS </w:t>
      </w:r>
      <w:r w:rsidRPr="009A709D">
        <w:rPr>
          <w:i/>
          <w:iCs/>
          <w:lang w:val="es-ES_tradnl"/>
        </w:rPr>
        <w:t>G</w:t>
      </w:r>
      <w:r w:rsidRPr="009A709D">
        <w:rPr>
          <w:i/>
          <w:iCs/>
          <w:vertAlign w:val="subscript"/>
          <w:lang w:val="es-ES_tradnl"/>
        </w:rPr>
        <w:t>r</w:t>
      </w:r>
      <w:r w:rsidRPr="009A709D">
        <w:rPr>
          <w:lang w:val="es-ES_tradnl"/>
        </w:rPr>
        <w:t xml:space="preserve"> según la distribución (</w:t>
      </w:r>
      <w:r w:rsidRPr="009A709D">
        <w:rPr>
          <w:i/>
          <w:iCs/>
          <w:lang w:val="es-ES_tradnl"/>
        </w:rPr>
        <w:t>G</w:t>
      </w:r>
      <w:r w:rsidRPr="009A709D">
        <w:rPr>
          <w:i/>
          <w:iCs/>
          <w:vertAlign w:val="subscript"/>
          <w:lang w:val="es-ES_tradnl"/>
        </w:rPr>
        <w:t>r</w:t>
      </w:r>
      <w:r w:rsidRPr="009A709D">
        <w:rPr>
          <w:lang w:val="es-ES_tradnl"/>
        </w:rPr>
        <w:t xml:space="preserve">, </w:t>
      </w:r>
      <w:r w:rsidRPr="009A709D">
        <w:rPr>
          <w:i/>
          <w:iCs/>
          <w:lang w:val="es-ES_tradnl"/>
        </w:rPr>
        <w:t>p</w:t>
      </w:r>
      <w:r w:rsidRPr="009A709D">
        <w:rPr>
          <w:i/>
          <w:iCs/>
          <w:vertAlign w:val="subscript"/>
          <w:lang w:val="es-ES_tradnl"/>
        </w:rPr>
        <w:t>r</w:t>
      </w:r>
      <w:r w:rsidRPr="009A709D">
        <w:rPr>
          <w:lang w:val="es-ES_tradnl"/>
        </w:rPr>
        <w:t xml:space="preserve">) obtenida en el </w:t>
      </w:r>
      <w:r w:rsidR="00874EAE" w:rsidRPr="00D81D07">
        <w:t>§ </w:t>
      </w:r>
      <w:r w:rsidRPr="009A709D">
        <w:rPr>
          <w:lang w:val="es-ES_tradnl"/>
        </w:rPr>
        <w:t>5;</w:t>
      </w:r>
    </w:p>
    <w:p w14:paraId="2E6888E8" w14:textId="77777777" w:rsidR="0051376E" w:rsidRPr="009A709D" w:rsidRDefault="0051376E" w:rsidP="00F31513">
      <w:pPr>
        <w:pStyle w:val="enumlev1"/>
        <w:rPr>
          <w:lang w:val="es-ES_tradnl"/>
        </w:rPr>
      </w:pPr>
      <w:r w:rsidRPr="009A709D">
        <w:rPr>
          <w:lang w:val="es-ES_tradnl"/>
        </w:rPr>
        <w:t>–</w:t>
      </w:r>
      <w:r w:rsidRPr="009A709D">
        <w:rPr>
          <w:lang w:val="es-ES_tradnl"/>
        </w:rPr>
        <w:tab/>
        <w:t xml:space="preserve">sumar los dos números aleatorios obtenidos </w:t>
      </w:r>
      <w:r w:rsidRPr="009A709D">
        <w:rPr>
          <w:i/>
          <w:iCs/>
          <w:lang w:val="es-ES_tradnl"/>
        </w:rPr>
        <w:t>G</w:t>
      </w:r>
      <w:r w:rsidRPr="009A709D">
        <w:rPr>
          <w:i/>
          <w:iCs/>
          <w:vertAlign w:val="subscript"/>
          <w:lang w:val="es-ES_tradnl"/>
        </w:rPr>
        <w:t>tot</w:t>
      </w:r>
      <w:r w:rsidRPr="009A709D">
        <w:rPr>
          <w:lang w:val="es-ES_tradnl"/>
        </w:rPr>
        <w:t> = </w:t>
      </w:r>
      <w:r w:rsidRPr="009A709D">
        <w:rPr>
          <w:i/>
          <w:iCs/>
          <w:lang w:val="es-ES_tradnl"/>
        </w:rPr>
        <w:t>G</w:t>
      </w:r>
      <w:r w:rsidRPr="009A709D">
        <w:rPr>
          <w:i/>
          <w:iCs/>
          <w:vertAlign w:val="subscript"/>
          <w:lang w:val="es-ES_tradnl"/>
        </w:rPr>
        <w:t>t</w:t>
      </w:r>
      <w:r w:rsidRPr="009A709D">
        <w:rPr>
          <w:lang w:val="es-ES_tradnl"/>
        </w:rPr>
        <w:t> + </w:t>
      </w:r>
      <w:r w:rsidRPr="009A709D">
        <w:rPr>
          <w:i/>
          <w:iCs/>
          <w:lang w:val="es-ES_tradnl"/>
        </w:rPr>
        <w:t>G</w:t>
      </w:r>
      <w:r w:rsidRPr="009A709D">
        <w:rPr>
          <w:i/>
          <w:iCs/>
          <w:vertAlign w:val="subscript"/>
          <w:lang w:val="es-ES_tradnl"/>
        </w:rPr>
        <w:t>r</w:t>
      </w:r>
      <w:r w:rsidRPr="009A709D">
        <w:rPr>
          <w:lang w:val="es-ES_tradnl"/>
        </w:rPr>
        <w:t>;</w:t>
      </w:r>
    </w:p>
    <w:p w14:paraId="7B58E945" w14:textId="77777777" w:rsidR="0051376E" w:rsidRPr="009A709D" w:rsidRDefault="0051376E" w:rsidP="00F31513">
      <w:pPr>
        <w:pStyle w:val="enumlev1"/>
        <w:rPr>
          <w:lang w:val="es-ES_tradnl"/>
        </w:rPr>
      </w:pPr>
      <w:r w:rsidRPr="009A709D">
        <w:rPr>
          <w:lang w:val="es-ES_tradnl"/>
        </w:rPr>
        <w:t>–</w:t>
      </w:r>
      <w:r w:rsidRPr="009A709D">
        <w:rPr>
          <w:lang w:val="es-ES_tradnl"/>
        </w:rPr>
        <w:tab/>
        <w:t xml:space="preserve">generar la FDA de </w:t>
      </w:r>
      <w:r w:rsidRPr="009A709D">
        <w:rPr>
          <w:i/>
          <w:iCs/>
          <w:lang w:val="es-ES_tradnl"/>
        </w:rPr>
        <w:t>G</w:t>
      </w:r>
      <w:r w:rsidRPr="009A709D">
        <w:rPr>
          <w:i/>
          <w:iCs/>
          <w:vertAlign w:val="subscript"/>
          <w:lang w:val="es-ES_tradnl"/>
        </w:rPr>
        <w:t>tot</w:t>
      </w:r>
      <w:r w:rsidRPr="009A709D">
        <w:rPr>
          <w:lang w:val="es-ES_tradnl"/>
        </w:rPr>
        <w:t>.</w:t>
      </w:r>
    </w:p>
    <w:p w14:paraId="1CF9F6BA" w14:textId="7EC5B5A3" w:rsidR="0051376E" w:rsidRPr="009A709D" w:rsidRDefault="0051376E" w:rsidP="00F31513">
      <w:pPr>
        <w:rPr>
          <w:lang w:val="es-ES_tradnl"/>
        </w:rPr>
      </w:pPr>
      <w:r w:rsidRPr="009A709D">
        <w:rPr>
          <w:lang w:val="es-ES_tradnl"/>
        </w:rPr>
        <w:t xml:space="preserve">Este proceso se ha seguido, a modo de ejemplo, para la estación terrena del SETS de Kiruna, para todos los </w:t>
      </w:r>
      <w:r w:rsidR="00A7798D" w:rsidRPr="009A709D">
        <w:rPr>
          <w:lang w:val="es-ES_tradnl"/>
        </w:rPr>
        <w:t>acimuts</w:t>
      </w:r>
      <w:r w:rsidRPr="009A709D">
        <w:rPr>
          <w:lang w:val="es-ES_tradnl"/>
        </w:rPr>
        <w:t xml:space="preserve"> en torno a la misma (Fig. 14).</w:t>
      </w:r>
    </w:p>
    <w:p w14:paraId="3C7AFE62" w14:textId="0AF75D70" w:rsidR="0051376E" w:rsidRPr="009A709D" w:rsidRDefault="0051376E" w:rsidP="0051376E">
      <w:pPr>
        <w:pStyle w:val="FigureNo"/>
        <w:rPr>
          <w:rFonts w:eastAsia="SimSun"/>
          <w:lang w:val="es-ES_tradnl"/>
        </w:rPr>
      </w:pPr>
      <w:r w:rsidRPr="009A709D">
        <w:rPr>
          <w:lang w:val="es-ES_tradnl"/>
        </w:rPr>
        <w:t>FIGURA 14</w:t>
      </w:r>
    </w:p>
    <w:p w14:paraId="557DD403" w14:textId="77777777" w:rsidR="0051376E" w:rsidRPr="009A709D" w:rsidRDefault="0051376E" w:rsidP="0051376E">
      <w:pPr>
        <w:pStyle w:val="Figuretitle"/>
        <w:rPr>
          <w:lang w:val="es-ES_tradnl"/>
        </w:rPr>
      </w:pPr>
      <w:r w:rsidRPr="009A709D">
        <w:rPr>
          <w:lang w:val="es-ES_tradnl"/>
        </w:rPr>
        <w:t xml:space="preserve">Ganancia compuesta </w:t>
      </w:r>
      <w:r w:rsidRPr="009A709D">
        <w:rPr>
          <w:i/>
          <w:lang w:val="es-ES_tradnl"/>
        </w:rPr>
        <w:t>G</w:t>
      </w:r>
      <w:r w:rsidRPr="009A709D">
        <w:rPr>
          <w:i/>
          <w:vertAlign w:val="subscript"/>
          <w:lang w:val="es-ES_tradnl"/>
        </w:rPr>
        <w:t>tot</w:t>
      </w:r>
      <w:r w:rsidRPr="009A709D">
        <w:rPr>
          <w:lang w:val="es-ES_tradnl"/>
        </w:rPr>
        <w:t xml:space="preserve"> para Kiruna y un satélite no OSG en una órbita polar a 400 km de altitud</w:t>
      </w:r>
    </w:p>
    <w:p w14:paraId="3BF73E5B" w14:textId="1D7C9C3A" w:rsidR="00874EAE" w:rsidRPr="00874EAE" w:rsidRDefault="00874EAE" w:rsidP="00874EAE">
      <w:pPr>
        <w:pStyle w:val="Figure"/>
        <w:rPr>
          <w:noProof/>
          <w:lang w:val="es-ES_tradnl" w:eastAsia="es-ES"/>
        </w:rPr>
      </w:pPr>
      <w:r>
        <w:rPr>
          <w:noProof/>
          <w:lang w:val="es-ES_tradnl" w:eastAsia="es-ES"/>
        </w:rPr>
        <w:drawing>
          <wp:inline distT="0" distB="0" distL="0" distR="0" wp14:anchorId="508219C3" wp14:editId="65475814">
            <wp:extent cx="5141986" cy="2938278"/>
            <wp:effectExtent l="0" t="0" r="1905"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2142-0_14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41986" cy="2938278"/>
                    </a:xfrm>
                    <a:prstGeom prst="rect">
                      <a:avLst/>
                    </a:prstGeom>
                  </pic:spPr>
                </pic:pic>
              </a:graphicData>
            </a:graphic>
          </wp:inline>
        </w:drawing>
      </w:r>
    </w:p>
    <w:p w14:paraId="18D914EE" w14:textId="5F36FF89" w:rsidR="0051376E" w:rsidRPr="009A709D" w:rsidRDefault="0051376E" w:rsidP="00F31513">
      <w:pPr>
        <w:pStyle w:val="Heading1"/>
        <w:rPr>
          <w:lang w:val="es-ES_tradnl"/>
        </w:rPr>
      </w:pPr>
      <w:bookmarkStart w:id="135" w:name="_Toc83389354"/>
      <w:bookmarkStart w:id="136" w:name="_Toc83712976"/>
      <w:bookmarkStart w:id="137" w:name="_Toc83713049"/>
      <w:bookmarkStart w:id="138" w:name="_Toc83713162"/>
      <w:bookmarkStart w:id="139" w:name="_Toc83723565"/>
      <w:bookmarkStart w:id="140" w:name="_Toc86738379"/>
      <w:bookmarkStart w:id="141" w:name="_Toc102570770"/>
      <w:bookmarkStart w:id="142" w:name="_Toc102986163"/>
      <w:r w:rsidRPr="009A709D">
        <w:rPr>
          <w:lang w:val="es-ES_tradnl"/>
        </w:rPr>
        <w:t>7</w:t>
      </w:r>
      <w:r w:rsidRPr="009A709D">
        <w:rPr>
          <w:lang w:val="es-ES_tradnl"/>
        </w:rPr>
        <w:tab/>
        <w:t xml:space="preserve">Determinación del umbral de protección del SETS y </w:t>
      </w:r>
      <w:r w:rsidR="003842C9" w:rsidRPr="009A709D">
        <w:rPr>
          <w:lang w:val="es-ES_tradnl"/>
        </w:rPr>
        <w:t>el ancho de</w:t>
      </w:r>
      <w:r w:rsidRPr="009A709D">
        <w:rPr>
          <w:lang w:val="es-ES_tradnl"/>
        </w:rPr>
        <w:t xml:space="preserve"> banda de referencia</w:t>
      </w:r>
      <w:bookmarkEnd w:id="135"/>
      <w:bookmarkEnd w:id="136"/>
      <w:bookmarkEnd w:id="137"/>
      <w:bookmarkEnd w:id="138"/>
      <w:bookmarkEnd w:id="139"/>
      <w:bookmarkEnd w:id="140"/>
      <w:bookmarkEnd w:id="141"/>
      <w:bookmarkEnd w:id="142"/>
    </w:p>
    <w:p w14:paraId="5B04AD2D" w14:textId="610FAAC1" w:rsidR="0051376E" w:rsidRPr="009A709D" w:rsidRDefault="0051376E" w:rsidP="00F31513">
      <w:pPr>
        <w:rPr>
          <w:lang w:val="es-ES_tradnl"/>
        </w:rPr>
      </w:pPr>
      <w:r w:rsidRPr="009A709D">
        <w:rPr>
          <w:lang w:val="es-ES_tradnl"/>
        </w:rPr>
        <w:t xml:space="preserve">El umbral de compartición del SETS </w:t>
      </w:r>
      <w:r w:rsidRPr="009A709D">
        <w:rPr>
          <w:i/>
          <w:lang w:val="es-ES_tradnl"/>
        </w:rPr>
        <w:t>I</w:t>
      </w:r>
      <w:r w:rsidRPr="009A709D">
        <w:rPr>
          <w:lang w:val="es-ES_tradnl"/>
        </w:rPr>
        <w:t xml:space="preserve"> viene dado en la Recomendación UIT-R </w:t>
      </w:r>
      <w:hyperlink r:id="rId53" w:history="1">
        <w:r w:rsidRPr="009A709D">
          <w:rPr>
            <w:lang w:val="es-ES_tradnl"/>
          </w:rPr>
          <w:t>SA.1027</w:t>
        </w:r>
      </w:hyperlink>
      <w:r w:rsidRPr="009A709D">
        <w:rPr>
          <w:lang w:val="es-ES_tradnl"/>
        </w:rPr>
        <w:t>. Esta Recomendación propone dos criterios, uno a largo plazo y uno a corto plazo.</w:t>
      </w:r>
      <w:r w:rsidR="00BF5FA5" w:rsidRPr="009A709D">
        <w:rPr>
          <w:lang w:val="es-ES_tradnl"/>
        </w:rPr>
        <w:t xml:space="preserve"> A partir de diversos</w:t>
      </w:r>
      <w:r w:rsidRPr="009A709D">
        <w:rPr>
          <w:lang w:val="es-ES_tradnl"/>
        </w:rPr>
        <w:t xml:space="preserve"> análisis de Monte Carlo</w:t>
      </w:r>
      <w:r w:rsidR="00BF5FA5" w:rsidRPr="009A709D">
        <w:rPr>
          <w:lang w:val="es-ES_tradnl"/>
        </w:rPr>
        <w:t xml:space="preserve">, se ha constatado </w:t>
      </w:r>
      <w:r w:rsidRPr="009A709D">
        <w:rPr>
          <w:lang w:val="es-ES_tradnl"/>
        </w:rPr>
        <w:t>que, cuando se cumpl</w:t>
      </w:r>
      <w:r w:rsidR="00BF5FA5" w:rsidRPr="009A709D">
        <w:rPr>
          <w:lang w:val="es-ES_tradnl"/>
        </w:rPr>
        <w:t>e</w:t>
      </w:r>
      <w:r w:rsidRPr="009A709D">
        <w:rPr>
          <w:lang w:val="es-ES_tradnl"/>
        </w:rPr>
        <w:t xml:space="preserve"> el criterio a corto plazo, también se cumpl</w:t>
      </w:r>
      <w:r w:rsidR="00BF5FA5" w:rsidRPr="009A709D">
        <w:rPr>
          <w:lang w:val="es-ES_tradnl"/>
        </w:rPr>
        <w:t>e</w:t>
      </w:r>
      <w:r w:rsidRPr="009A709D">
        <w:rPr>
          <w:lang w:val="es-ES_tradnl"/>
        </w:rPr>
        <w:t xml:space="preserve"> el de largo plazo. </w:t>
      </w:r>
      <w:r w:rsidR="00020CA7" w:rsidRPr="009A709D">
        <w:rPr>
          <w:lang w:val="es-ES_tradnl"/>
        </w:rPr>
        <w:t>Ahora bien</w:t>
      </w:r>
      <w:r w:rsidRPr="009A709D">
        <w:rPr>
          <w:lang w:val="es-ES_tradnl"/>
        </w:rPr>
        <w:t>, la aplicación de es</w:t>
      </w:r>
      <w:r w:rsidR="00020CA7" w:rsidRPr="009A709D">
        <w:rPr>
          <w:lang w:val="es-ES_tradnl"/>
        </w:rPr>
        <w:t>t</w:t>
      </w:r>
      <w:r w:rsidRPr="009A709D">
        <w:rPr>
          <w:lang w:val="es-ES_tradnl"/>
        </w:rPr>
        <w:t>a metodología</w:t>
      </w:r>
      <w:r w:rsidR="00020CA7" w:rsidRPr="009A709D">
        <w:rPr>
          <w:lang w:val="es-ES_tradnl"/>
        </w:rPr>
        <w:t>,</w:t>
      </w:r>
      <w:r w:rsidRPr="009A709D">
        <w:rPr>
          <w:lang w:val="es-ES_tradnl"/>
        </w:rPr>
        <w:t xml:space="preserve"> </w:t>
      </w:r>
      <w:r w:rsidR="00020CA7" w:rsidRPr="009A709D">
        <w:rPr>
          <w:lang w:val="es-ES_tradnl"/>
        </w:rPr>
        <w:t xml:space="preserve">combinada </w:t>
      </w:r>
      <w:r w:rsidRPr="009A709D">
        <w:rPr>
          <w:lang w:val="es-ES_tradnl"/>
        </w:rPr>
        <w:t>con el criterio a largo plazo y un porcentaje de tiempo del 20%</w:t>
      </w:r>
      <w:r w:rsidR="00020CA7" w:rsidRPr="009A709D">
        <w:rPr>
          <w:lang w:val="es-ES_tradnl"/>
        </w:rPr>
        <w:t>,</w:t>
      </w:r>
      <w:r w:rsidRPr="009A709D">
        <w:rPr>
          <w:lang w:val="es-ES_tradnl"/>
        </w:rPr>
        <w:t xml:space="preserve"> sobrestimaría en gran medida las distancias de coordinación requeridas para garantizar la protección </w:t>
      </w:r>
      <w:r w:rsidR="00BF5FA5" w:rsidRPr="009A709D">
        <w:rPr>
          <w:lang w:val="es-ES_tradnl"/>
        </w:rPr>
        <w:t>de</w:t>
      </w:r>
      <w:r w:rsidRPr="009A709D">
        <w:rPr>
          <w:lang w:val="es-ES_tradnl"/>
        </w:rPr>
        <w:t xml:space="preserve"> las estaciones terrenas del SETS.</w:t>
      </w:r>
    </w:p>
    <w:p w14:paraId="5D747276" w14:textId="357ABA8D" w:rsidR="0051376E" w:rsidRPr="009A709D" w:rsidRDefault="0051376E" w:rsidP="00450A65">
      <w:pPr>
        <w:rPr>
          <w:lang w:val="es-ES_tradnl"/>
        </w:rPr>
      </w:pPr>
      <w:r w:rsidRPr="009A709D">
        <w:rPr>
          <w:lang w:val="es-ES_tradnl"/>
        </w:rPr>
        <w:t>Por tanto, el criterio de compartición que debe emplearse es el de corto plazo, determinado como −116</w:t>
      </w:r>
      <w:r w:rsidR="00CA01A7" w:rsidRPr="009A709D">
        <w:rPr>
          <w:lang w:val="es-ES_tradnl"/>
        </w:rPr>
        <w:t> </w:t>
      </w:r>
      <w:r w:rsidRPr="009A709D">
        <w:rPr>
          <w:lang w:val="es-ES_tradnl"/>
        </w:rPr>
        <w:t xml:space="preserve">dBW en un </w:t>
      </w:r>
      <w:r w:rsidR="002E34E2" w:rsidRPr="009A709D">
        <w:rPr>
          <w:lang w:val="es-ES_tradnl"/>
        </w:rPr>
        <w:t>ancho de</w:t>
      </w:r>
      <w:r w:rsidRPr="009A709D">
        <w:rPr>
          <w:lang w:val="es-ES_tradnl"/>
        </w:rPr>
        <w:t xml:space="preserve"> banda de referencia </w:t>
      </w:r>
      <w:r w:rsidRPr="009A709D">
        <w:rPr>
          <w:i/>
          <w:lang w:val="es-ES_tradnl"/>
        </w:rPr>
        <w:t>B</w:t>
      </w:r>
      <w:r w:rsidRPr="009A709D">
        <w:rPr>
          <w:i/>
          <w:vertAlign w:val="subscript"/>
          <w:lang w:val="es-ES_tradnl"/>
        </w:rPr>
        <w:t>ref</w:t>
      </w:r>
      <w:r w:rsidRPr="009A709D">
        <w:rPr>
          <w:lang w:val="es-ES_tradnl"/>
        </w:rPr>
        <w:t xml:space="preserve"> de 10 MHz. El porcentaje de tiempo conexo </w:t>
      </w:r>
      <w:r w:rsidRPr="009A709D">
        <w:rPr>
          <w:i/>
          <w:iCs/>
          <w:lang w:val="es-ES_tradnl"/>
        </w:rPr>
        <w:t>p</w:t>
      </w:r>
      <w:r w:rsidRPr="009A709D">
        <w:rPr>
          <w:lang w:val="es-ES_tradnl"/>
        </w:rPr>
        <w:t xml:space="preserve"> es 0,005%.</w:t>
      </w:r>
    </w:p>
    <w:p w14:paraId="5757EDE9" w14:textId="77777777" w:rsidR="0051376E" w:rsidRPr="009A709D" w:rsidRDefault="0051376E" w:rsidP="00F31513">
      <w:pPr>
        <w:pStyle w:val="Heading1"/>
        <w:rPr>
          <w:lang w:val="es-ES_tradnl"/>
        </w:rPr>
      </w:pPr>
      <w:bookmarkStart w:id="143" w:name="_Toc83389355"/>
      <w:bookmarkStart w:id="144" w:name="_Toc83712977"/>
      <w:bookmarkStart w:id="145" w:name="_Toc83713050"/>
      <w:bookmarkStart w:id="146" w:name="_Toc83713163"/>
      <w:bookmarkStart w:id="147" w:name="_Toc83723566"/>
      <w:bookmarkStart w:id="148" w:name="_Toc86738380"/>
      <w:bookmarkStart w:id="149" w:name="_Toc102570771"/>
      <w:bookmarkStart w:id="150" w:name="_Toc102986164"/>
      <w:r w:rsidRPr="009A709D">
        <w:rPr>
          <w:lang w:val="es-ES_tradnl"/>
        </w:rPr>
        <w:lastRenderedPageBreak/>
        <w:t>8</w:t>
      </w:r>
      <w:r w:rsidRPr="009A709D">
        <w:rPr>
          <w:lang w:val="es-ES_tradnl"/>
        </w:rPr>
        <w:tab/>
        <w:t>Determinación de la pérdida de propagación requerida y el porcentaje de tiempo conexo</w:t>
      </w:r>
      <w:bookmarkEnd w:id="143"/>
      <w:bookmarkEnd w:id="144"/>
      <w:bookmarkEnd w:id="145"/>
      <w:bookmarkEnd w:id="146"/>
      <w:bookmarkEnd w:id="147"/>
      <w:bookmarkEnd w:id="148"/>
      <w:bookmarkEnd w:id="149"/>
      <w:bookmarkEnd w:id="150"/>
    </w:p>
    <w:p w14:paraId="634EE3B3" w14:textId="6AA7E480" w:rsidR="0051376E" w:rsidRPr="009A709D" w:rsidRDefault="00020CA7" w:rsidP="00F31513">
      <w:pPr>
        <w:rPr>
          <w:szCs w:val="24"/>
          <w:lang w:val="es-ES_tradnl"/>
        </w:rPr>
      </w:pPr>
      <w:r w:rsidRPr="009A709D">
        <w:rPr>
          <w:lang w:val="es-ES_tradnl"/>
        </w:rPr>
        <w:t xml:space="preserve">Véase el </w:t>
      </w:r>
      <w:r w:rsidR="00874EAE" w:rsidRPr="00D81D07">
        <w:t>§ </w:t>
      </w:r>
      <w:r w:rsidRPr="009A709D">
        <w:rPr>
          <w:lang w:val="es-ES_tradnl"/>
        </w:rPr>
        <w:t>7 de</w:t>
      </w:r>
      <w:r w:rsidR="0051376E" w:rsidRPr="009A709D">
        <w:rPr>
          <w:lang w:val="es-ES_tradnl"/>
        </w:rPr>
        <w:t>l Anexo 1.</w:t>
      </w:r>
    </w:p>
    <w:p w14:paraId="648244FC" w14:textId="77777777" w:rsidR="0051376E" w:rsidRPr="009A709D" w:rsidRDefault="0051376E" w:rsidP="00F31513">
      <w:pPr>
        <w:pStyle w:val="Heading1"/>
        <w:rPr>
          <w:lang w:val="es-ES_tradnl"/>
        </w:rPr>
      </w:pPr>
      <w:bookmarkStart w:id="151" w:name="_Toc83389356"/>
      <w:bookmarkStart w:id="152" w:name="_Toc83712978"/>
      <w:bookmarkStart w:id="153" w:name="_Toc83713051"/>
      <w:bookmarkStart w:id="154" w:name="_Toc83713164"/>
      <w:bookmarkStart w:id="155" w:name="_Toc83723567"/>
      <w:bookmarkStart w:id="156" w:name="_Toc86738381"/>
      <w:bookmarkStart w:id="157" w:name="_Toc102570772"/>
      <w:bookmarkStart w:id="158" w:name="_Toc102986165"/>
      <w:r w:rsidRPr="009A709D">
        <w:rPr>
          <w:lang w:val="es-ES_tradnl"/>
        </w:rPr>
        <w:t>9</w:t>
      </w:r>
      <w:r w:rsidRPr="009A709D">
        <w:rPr>
          <w:lang w:val="es-ES_tradnl"/>
        </w:rPr>
        <w:tab/>
        <w:t>Determinación del contorno de la zona de coordinación</w:t>
      </w:r>
      <w:bookmarkEnd w:id="151"/>
      <w:bookmarkEnd w:id="152"/>
      <w:bookmarkEnd w:id="153"/>
      <w:bookmarkEnd w:id="154"/>
      <w:bookmarkEnd w:id="155"/>
      <w:bookmarkEnd w:id="156"/>
      <w:bookmarkEnd w:id="157"/>
      <w:bookmarkEnd w:id="158"/>
    </w:p>
    <w:p w14:paraId="1D7DC049" w14:textId="5C696F28" w:rsidR="00104526" w:rsidRPr="009A709D" w:rsidRDefault="0051376E" w:rsidP="00104526">
      <w:pPr>
        <w:rPr>
          <w:lang w:val="es-ES_tradnl"/>
        </w:rPr>
      </w:pPr>
      <w:r w:rsidRPr="009A709D">
        <w:rPr>
          <w:lang w:val="es-ES_tradnl"/>
        </w:rPr>
        <w:t xml:space="preserve">Para cada acimut en torno a la estación terrena del SETS, </w:t>
      </w:r>
      <w:r w:rsidR="00104526" w:rsidRPr="009A709D">
        <w:rPr>
          <w:lang w:val="es-ES_tradnl"/>
        </w:rPr>
        <w:t xml:space="preserve">cada distancia respecto de la ubicación de la estación terrena del SETS y cada porcentaje de tiempo </w:t>
      </w:r>
      <w:r w:rsidR="00104526" w:rsidRPr="009A709D">
        <w:rPr>
          <w:rFonts w:ascii="Cambria Math" w:hAnsi="Cambria Math" w:cs="Cambria Math"/>
          <w:lang w:val="es-ES_tradnl"/>
        </w:rPr>
        <w:t>𝑝</w:t>
      </w:r>
      <w:r w:rsidR="00104526" w:rsidRPr="009A709D">
        <w:rPr>
          <w:rFonts w:ascii="Cambria Math" w:hAnsi="Cambria Math" w:cs="Cambria Math"/>
          <w:vertAlign w:val="subscript"/>
          <w:lang w:val="es-ES_tradnl"/>
        </w:rPr>
        <w:t>𝑣</w:t>
      </w:r>
      <w:r w:rsidR="00104526" w:rsidRPr="009A709D">
        <w:rPr>
          <w:lang w:val="es-ES_tradnl"/>
        </w:rPr>
        <w:t xml:space="preserve"> determinados en el </w:t>
      </w:r>
      <w:r w:rsidR="00A23009" w:rsidRPr="00D81D07">
        <w:t>§ </w:t>
      </w:r>
      <w:r w:rsidR="00104526" w:rsidRPr="009A709D">
        <w:rPr>
          <w:lang w:val="es-ES_tradnl"/>
        </w:rPr>
        <w:t xml:space="preserve">8, la pérdida de propagación debe determinarse por medio de un modelo de propagación adecuado, como el que se describe en la Recomendación UIT-R </w:t>
      </w:r>
      <w:hyperlink r:id="rId54" w:history="1">
        <w:r w:rsidR="00104526" w:rsidRPr="009A709D">
          <w:rPr>
            <w:lang w:val="es-ES_tradnl"/>
          </w:rPr>
          <w:t>P.452</w:t>
        </w:r>
      </w:hyperlink>
      <w:r w:rsidR="00104526" w:rsidRPr="009A709D">
        <w:rPr>
          <w:lang w:val="es-ES_tradnl"/>
        </w:rPr>
        <w:t xml:space="preserve"> o la Recomendación UIT-R </w:t>
      </w:r>
      <w:hyperlink r:id="rId55" w:history="1">
        <w:r w:rsidR="00104526" w:rsidRPr="009A709D">
          <w:rPr>
            <w:lang w:val="es-ES_tradnl"/>
          </w:rPr>
          <w:t>P.2001</w:t>
        </w:r>
      </w:hyperlink>
      <w:r w:rsidR="00104526" w:rsidRPr="009A709D">
        <w:rPr>
          <w:lang w:val="es-ES_tradnl"/>
        </w:rPr>
        <w:t xml:space="preserve">, tomando en consideración la elevación del terreno y la ocupación local del suelo en torno a la estación terrena. En caso de que se utilice la Recomendación UIT-R </w:t>
      </w:r>
      <w:hyperlink r:id="rId56" w:history="1">
        <w:r w:rsidR="00104526" w:rsidRPr="009A709D">
          <w:rPr>
            <w:lang w:val="es-ES_tradnl"/>
          </w:rPr>
          <w:t>P.2001</w:t>
        </w:r>
      </w:hyperlink>
      <w:r w:rsidR="00104526" w:rsidRPr="009A709D">
        <w:rPr>
          <w:lang w:val="es-ES_tradnl"/>
        </w:rPr>
        <w:t xml:space="preserve">, el porcentaje de tiempo </w:t>
      </w:r>
      <w:r w:rsidR="00104526" w:rsidRPr="009A709D">
        <w:rPr>
          <w:i/>
          <w:lang w:val="es-ES_tradnl"/>
        </w:rPr>
        <w:t>p</w:t>
      </w:r>
      <w:r w:rsidR="00104526" w:rsidRPr="009A709D">
        <w:rPr>
          <w:i/>
          <w:vertAlign w:val="subscript"/>
          <w:lang w:val="es-ES_tradnl"/>
        </w:rPr>
        <w:t>v</w:t>
      </w:r>
      <w:r w:rsidR="00104526" w:rsidRPr="009A709D">
        <w:rPr>
          <w:lang w:val="es-ES_tradnl"/>
        </w:rPr>
        <w:t xml:space="preserve"> conexo obtenido a partir de la ecuación (2) no debe limitarse al 50%.</w:t>
      </w:r>
    </w:p>
    <w:p w14:paraId="7C466D22" w14:textId="7FB80BB9" w:rsidR="00104526" w:rsidRPr="009A709D" w:rsidRDefault="00104526" w:rsidP="00104526">
      <w:pPr>
        <w:rPr>
          <w:lang w:val="es-ES_tradnl"/>
        </w:rPr>
      </w:pPr>
      <w:r w:rsidRPr="009A709D">
        <w:rPr>
          <w:lang w:val="es-ES_tradnl"/>
        </w:rPr>
        <w:t>El modelo de elevación del terreno puede basarse en los datos de perfil del terreno de 1 segundo de arco de resolución de la misión SRTM; sin embargo, también pueden emplearse modelos de terreno más detallados, incluidos los modelos de zonas construidas. Es posible muestrear los perfiles de terreno por tramos de acimut de 1 grado en torno a la estación terrena de interés y tramos de distancia de 25 m. A continuación, pueden calcularse las pérdidas en torno a la estación por tramos de acimut de 1 grado y tramos de distancia de 100 m.</w:t>
      </w:r>
    </w:p>
    <w:p w14:paraId="34D5AF88" w14:textId="77777777" w:rsidR="00104526" w:rsidRPr="009A709D" w:rsidRDefault="00104526" w:rsidP="00104526">
      <w:pPr>
        <w:rPr>
          <w:lang w:val="es-ES_tradnl"/>
        </w:rPr>
      </w:pPr>
      <w:r w:rsidRPr="009A709D">
        <w:rPr>
          <w:lang w:val="es-ES_tradnl"/>
        </w:rPr>
        <w:t xml:space="preserve">Para cada acimut y cada porcentaje de tiempo </w:t>
      </w:r>
      <w:r w:rsidRPr="009A709D">
        <w:rPr>
          <w:rFonts w:ascii="Cambria Math" w:hAnsi="Cambria Math" w:cs="Cambria Math"/>
          <w:lang w:val="es-ES_tradnl"/>
        </w:rPr>
        <w:t>𝑝</w:t>
      </w:r>
      <w:r w:rsidRPr="009A709D">
        <w:rPr>
          <w:rFonts w:ascii="Cambria Math" w:hAnsi="Cambria Math" w:cs="Cambria Math"/>
          <w:vertAlign w:val="subscript"/>
          <w:lang w:val="es-ES_tradnl"/>
        </w:rPr>
        <w:t>𝑣</w:t>
      </w:r>
      <w:r w:rsidRPr="009A709D">
        <w:rPr>
          <w:lang w:val="es-ES_tradnl"/>
        </w:rPr>
        <w:t xml:space="preserve">, la distancia de coordinación requerida es la distancia máxima a la cual la pérdida de propagación calculada se encuentra justo por debajo del nivel requerido de pérdida de propagación </w:t>
      </w:r>
      <w:r w:rsidRPr="009A709D">
        <w:rPr>
          <w:i/>
          <w:lang w:val="es-ES_tradnl"/>
        </w:rPr>
        <w:t>L</w:t>
      </w:r>
      <w:r w:rsidRPr="009A709D">
        <w:rPr>
          <w:i/>
          <w:vertAlign w:val="subscript"/>
          <w:lang w:val="es-ES_tradnl"/>
        </w:rPr>
        <w:t>req</w:t>
      </w:r>
      <w:r w:rsidRPr="009A709D">
        <w:rPr>
          <w:lang w:val="es-ES_tradnl"/>
        </w:rPr>
        <w:t>(</w:t>
      </w:r>
      <w:r w:rsidRPr="009A709D">
        <w:rPr>
          <w:rFonts w:ascii="Cambria Math" w:hAnsi="Cambria Math" w:cs="Cambria Math"/>
          <w:lang w:val="es-ES_tradnl"/>
        </w:rPr>
        <w:t>𝑝</w:t>
      </w:r>
      <w:r w:rsidRPr="009A709D">
        <w:rPr>
          <w:rFonts w:ascii="Cambria Math" w:hAnsi="Cambria Math" w:cs="Cambria Math"/>
          <w:vertAlign w:val="subscript"/>
          <w:lang w:val="es-ES_tradnl"/>
        </w:rPr>
        <w:t>𝑣</w:t>
      </w:r>
      <w:r w:rsidRPr="009A709D">
        <w:rPr>
          <w:lang w:val="es-ES_tradnl"/>
        </w:rPr>
        <w:t xml:space="preserve">). La distancia de coordinación para el ángulo acimutal considerado es la máxima distancia obtenida para todos los valores de </w:t>
      </w:r>
      <w:r w:rsidRPr="009A709D">
        <w:rPr>
          <w:rFonts w:ascii="Cambria Math" w:hAnsi="Cambria Math" w:cs="Cambria Math"/>
          <w:lang w:val="es-ES_tradnl"/>
        </w:rPr>
        <w:t>𝑝</w:t>
      </w:r>
      <w:r w:rsidRPr="009A709D">
        <w:rPr>
          <w:rFonts w:ascii="Cambria Math" w:hAnsi="Cambria Math" w:cs="Cambria Math"/>
          <w:vertAlign w:val="subscript"/>
          <w:lang w:val="es-ES_tradnl"/>
        </w:rPr>
        <w:t>𝑣</w:t>
      </w:r>
      <w:r w:rsidRPr="009A709D">
        <w:rPr>
          <w:lang w:val="es-ES_tradnl"/>
        </w:rPr>
        <w:t>.</w:t>
      </w:r>
    </w:p>
    <w:p w14:paraId="3778A1E8" w14:textId="5E9CAA7B" w:rsidR="0051376E" w:rsidRPr="009A709D" w:rsidRDefault="0051376E" w:rsidP="0051376E">
      <w:pPr>
        <w:rPr>
          <w:lang w:val="es-ES_tradnl"/>
        </w:rPr>
      </w:pPr>
      <w:r w:rsidRPr="009A709D">
        <w:rPr>
          <w:lang w:val="es-ES_tradnl"/>
        </w:rPr>
        <w:t>La Fig</w:t>
      </w:r>
      <w:r w:rsidR="00E14180" w:rsidRPr="009A709D">
        <w:rPr>
          <w:lang w:val="es-ES_tradnl"/>
        </w:rPr>
        <w:t>.</w:t>
      </w:r>
      <w:r w:rsidR="00874EAE">
        <w:rPr>
          <w:lang w:val="es-ES_tradnl"/>
        </w:rPr>
        <w:t> </w:t>
      </w:r>
      <w:r w:rsidRPr="009A709D">
        <w:rPr>
          <w:lang w:val="es-ES_tradnl"/>
        </w:rPr>
        <w:t xml:space="preserve">15 </w:t>
      </w:r>
      <w:r w:rsidR="00B33372" w:rsidRPr="009A709D">
        <w:rPr>
          <w:lang w:val="es-ES_tradnl"/>
        </w:rPr>
        <w:t>ilustra</w:t>
      </w:r>
      <w:r w:rsidRPr="009A709D">
        <w:rPr>
          <w:lang w:val="es-ES_tradnl"/>
        </w:rPr>
        <w:t>, a modo de ejemplo, el contorno de la zona de coordinación obtenid</w:t>
      </w:r>
      <w:r w:rsidR="00B33372" w:rsidRPr="009A709D">
        <w:rPr>
          <w:lang w:val="es-ES_tradnl"/>
        </w:rPr>
        <w:t>a</w:t>
      </w:r>
      <w:r w:rsidRPr="009A709D">
        <w:rPr>
          <w:lang w:val="es-ES_tradnl"/>
        </w:rPr>
        <w:t xml:space="preserve"> en torno a la estación de Kiruna (Suecia) para una estación base urbana/suburbana de 8 × 8 a 26 GHz.</w:t>
      </w:r>
    </w:p>
    <w:p w14:paraId="29E82011" w14:textId="7D56FB86" w:rsidR="0051376E" w:rsidRPr="009A709D" w:rsidRDefault="0051376E" w:rsidP="0051376E">
      <w:pPr>
        <w:pStyle w:val="FigureNo"/>
        <w:rPr>
          <w:rFonts w:eastAsia="SimSun"/>
          <w:lang w:val="es-ES_tradnl"/>
        </w:rPr>
      </w:pPr>
      <w:r w:rsidRPr="009A709D">
        <w:rPr>
          <w:lang w:val="es-ES_tradnl"/>
        </w:rPr>
        <w:t>FIGURA 15</w:t>
      </w:r>
    </w:p>
    <w:p w14:paraId="4922FD66" w14:textId="77777777" w:rsidR="0051376E" w:rsidRPr="009A709D" w:rsidRDefault="0051376E" w:rsidP="0051376E">
      <w:pPr>
        <w:pStyle w:val="Figuretitle"/>
        <w:rPr>
          <w:lang w:val="es-ES_tradnl"/>
        </w:rPr>
      </w:pPr>
      <w:r w:rsidRPr="009A709D">
        <w:rPr>
          <w:lang w:val="es-ES_tradnl"/>
        </w:rPr>
        <w:t>Vista del contorno de la zona de coordinación en torno a Kiruna</w:t>
      </w:r>
    </w:p>
    <w:p w14:paraId="2F351698" w14:textId="18EB837F" w:rsidR="00874EAE" w:rsidRPr="00874EAE" w:rsidRDefault="00874EAE" w:rsidP="00874EAE">
      <w:pPr>
        <w:pStyle w:val="Figure"/>
        <w:rPr>
          <w:noProof/>
          <w:lang w:val="es-ES_tradnl" w:eastAsia="es-ES"/>
        </w:rPr>
      </w:pPr>
      <w:r>
        <w:rPr>
          <w:noProof/>
          <w:lang w:val="es-ES_tradnl" w:eastAsia="es-ES"/>
        </w:rPr>
        <w:drawing>
          <wp:inline distT="0" distB="0" distL="0" distR="0" wp14:anchorId="1E204F3E" wp14:editId="14FB8C74">
            <wp:extent cx="5419355" cy="3596647"/>
            <wp:effectExtent l="0" t="0" r="0" b="381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2142-0_15S.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19355" cy="3596647"/>
                    </a:xfrm>
                    <a:prstGeom prst="rect">
                      <a:avLst/>
                    </a:prstGeom>
                  </pic:spPr>
                </pic:pic>
              </a:graphicData>
            </a:graphic>
          </wp:inline>
        </w:drawing>
      </w:r>
    </w:p>
    <w:p w14:paraId="15448EA0" w14:textId="2B4F7936" w:rsidR="0051376E" w:rsidRPr="009A709D" w:rsidRDefault="0051376E" w:rsidP="00765549">
      <w:pPr>
        <w:pStyle w:val="AnnexNoTitle"/>
        <w:rPr>
          <w:lang w:val="es-ES_tradnl"/>
        </w:rPr>
      </w:pPr>
      <w:bookmarkStart w:id="159" w:name="_Toc86738382"/>
      <w:bookmarkStart w:id="160" w:name="_Toc102570773"/>
      <w:bookmarkStart w:id="161" w:name="_Toc102986166"/>
      <w:r w:rsidRPr="009A709D">
        <w:rPr>
          <w:lang w:val="es-ES_tradnl"/>
        </w:rPr>
        <w:lastRenderedPageBreak/>
        <w:t>Anexo 3</w:t>
      </w:r>
      <w:r w:rsidRPr="009A709D">
        <w:rPr>
          <w:lang w:val="es-ES_tradnl"/>
        </w:rPr>
        <w:br/>
      </w:r>
      <w:r w:rsidRPr="009A709D">
        <w:rPr>
          <w:lang w:val="es-ES_tradnl"/>
        </w:rPr>
        <w:br/>
      </w:r>
      <w:bookmarkStart w:id="162" w:name="_Toc83389072"/>
      <w:bookmarkStart w:id="163" w:name="_Toc83389358"/>
      <w:r w:rsidRPr="009A709D">
        <w:rPr>
          <w:lang w:val="es-ES_tradnl"/>
        </w:rPr>
        <w:t xml:space="preserve">Metodología para el cálculo de la zona de coordinación en torno a las estaciones terrenas del SETS </w:t>
      </w:r>
      <w:r w:rsidR="00B33372" w:rsidRPr="009A709D">
        <w:rPr>
          <w:lang w:val="es-ES_tradnl"/>
        </w:rPr>
        <w:t xml:space="preserve">OSG </w:t>
      </w:r>
      <w:r w:rsidRPr="009A709D">
        <w:rPr>
          <w:lang w:val="es-ES_tradnl"/>
        </w:rPr>
        <w:t>en la banda 25,25-27,5 GHz</w:t>
      </w:r>
      <w:bookmarkEnd w:id="159"/>
      <w:bookmarkEnd w:id="162"/>
      <w:bookmarkEnd w:id="163"/>
      <w:bookmarkEnd w:id="160"/>
      <w:bookmarkEnd w:id="161"/>
    </w:p>
    <w:p w14:paraId="4A8C2797" w14:textId="77777777" w:rsidR="00133E98" w:rsidRPr="009A709D" w:rsidRDefault="00133E98" w:rsidP="00765549">
      <w:pPr>
        <w:pStyle w:val="Heading1"/>
        <w:rPr>
          <w:lang w:val="es-ES_tradnl"/>
        </w:rPr>
      </w:pPr>
      <w:bookmarkStart w:id="164" w:name="_Toc83389359"/>
      <w:bookmarkStart w:id="165" w:name="_Toc83712979"/>
      <w:bookmarkStart w:id="166" w:name="_Toc83713052"/>
      <w:bookmarkStart w:id="167" w:name="_Toc83713165"/>
      <w:bookmarkStart w:id="168" w:name="_Toc83723568"/>
      <w:bookmarkStart w:id="169" w:name="_Toc86738383"/>
      <w:bookmarkStart w:id="170" w:name="_Toc102570774"/>
      <w:bookmarkStart w:id="171" w:name="_Toc102986167"/>
      <w:r w:rsidRPr="009A709D">
        <w:rPr>
          <w:lang w:val="es-ES_tradnl"/>
        </w:rPr>
        <w:t>1</w:t>
      </w:r>
      <w:r w:rsidRPr="009A709D">
        <w:rPr>
          <w:lang w:val="es-ES_tradnl"/>
        </w:rPr>
        <w:tab/>
        <w:t>Introducción</w:t>
      </w:r>
      <w:bookmarkEnd w:id="164"/>
      <w:bookmarkEnd w:id="165"/>
      <w:bookmarkEnd w:id="166"/>
      <w:bookmarkEnd w:id="167"/>
      <w:bookmarkEnd w:id="168"/>
      <w:bookmarkEnd w:id="169"/>
      <w:bookmarkEnd w:id="170"/>
      <w:bookmarkEnd w:id="171"/>
    </w:p>
    <w:p w14:paraId="7DD7A8FD" w14:textId="41149241" w:rsidR="00133E98" w:rsidRPr="009A709D" w:rsidRDefault="00133E98" w:rsidP="00765549">
      <w:pPr>
        <w:rPr>
          <w:lang w:val="es-ES_tradnl"/>
        </w:rPr>
      </w:pPr>
      <w:r w:rsidRPr="009A709D">
        <w:rPr>
          <w:lang w:val="es-ES_tradnl"/>
        </w:rPr>
        <w:t>Esta metodología se aplicaría a los satélites del SETS que realizan observaciones desde la órbita OSG, como los satélites meteorológicos, en la banda 2</w:t>
      </w:r>
      <w:r w:rsidR="00E14180" w:rsidRPr="009A709D">
        <w:rPr>
          <w:lang w:val="es-ES_tradnl"/>
        </w:rPr>
        <w:t>5</w:t>
      </w:r>
      <w:r w:rsidRPr="009A709D">
        <w:rPr>
          <w:lang w:val="es-ES_tradnl"/>
        </w:rPr>
        <w:t>,5-27 GHz.</w:t>
      </w:r>
    </w:p>
    <w:p w14:paraId="557AE9A5" w14:textId="33B69978" w:rsidR="00133E98" w:rsidRPr="009A709D" w:rsidRDefault="00133E98" w:rsidP="00765549">
      <w:pPr>
        <w:rPr>
          <w:lang w:val="es-ES_tradnl"/>
        </w:rPr>
      </w:pPr>
      <w:r w:rsidRPr="009A709D">
        <w:rPr>
          <w:lang w:val="es-ES_tradnl"/>
        </w:rPr>
        <w:t>En este caso, la</w:t>
      </w:r>
      <w:r w:rsidR="00C162CB" w:rsidRPr="009A709D">
        <w:rPr>
          <w:lang w:val="es-ES_tradnl"/>
        </w:rPr>
        <w:t>s</w:t>
      </w:r>
      <w:r w:rsidRPr="009A709D">
        <w:rPr>
          <w:lang w:val="es-ES_tradnl"/>
        </w:rPr>
        <w:t xml:space="preserve"> estaci</w:t>
      </w:r>
      <w:r w:rsidR="00C162CB" w:rsidRPr="009A709D">
        <w:rPr>
          <w:lang w:val="es-ES_tradnl"/>
        </w:rPr>
        <w:t>ones</w:t>
      </w:r>
      <w:r w:rsidRPr="009A709D">
        <w:rPr>
          <w:lang w:val="es-ES_tradnl"/>
        </w:rPr>
        <w:t xml:space="preserve"> terrena</w:t>
      </w:r>
      <w:r w:rsidR="00C162CB" w:rsidRPr="009A709D">
        <w:rPr>
          <w:lang w:val="es-ES_tradnl"/>
        </w:rPr>
        <w:t>s</w:t>
      </w:r>
      <w:r w:rsidRPr="009A709D">
        <w:rPr>
          <w:lang w:val="es-ES_tradnl"/>
        </w:rPr>
        <w:t xml:space="preserve"> del SETS efectúa</w:t>
      </w:r>
      <w:r w:rsidR="00C162CB" w:rsidRPr="009A709D">
        <w:rPr>
          <w:lang w:val="es-ES_tradnl"/>
        </w:rPr>
        <w:t>n</w:t>
      </w:r>
      <w:r w:rsidRPr="009A709D">
        <w:rPr>
          <w:lang w:val="es-ES_tradnl"/>
        </w:rPr>
        <w:t xml:space="preserve"> el seguimiento de un satélite OSG específico, por lo que su antena no se mueve. Por tanto, la metodología TVG indicada en el Apéndice</w:t>
      </w:r>
      <w:r w:rsidR="00874EAE">
        <w:rPr>
          <w:lang w:val="es-ES_tradnl"/>
        </w:rPr>
        <w:t> </w:t>
      </w:r>
      <w:r w:rsidRPr="009A709D">
        <w:rPr>
          <w:b/>
          <w:lang w:val="es-ES_tradnl"/>
        </w:rPr>
        <w:t>7</w:t>
      </w:r>
      <w:r w:rsidRPr="009A709D">
        <w:rPr>
          <w:lang w:val="es-ES_tradnl"/>
        </w:rPr>
        <w:t xml:space="preserve"> del RR puede aplicar</w:t>
      </w:r>
      <w:r w:rsidR="00A3427E" w:rsidRPr="009A709D">
        <w:rPr>
          <w:lang w:val="es-ES_tradnl"/>
        </w:rPr>
        <w:t>se</w:t>
      </w:r>
      <w:r w:rsidRPr="009A709D">
        <w:rPr>
          <w:lang w:val="es-ES_tradnl"/>
        </w:rPr>
        <w:t xml:space="preserve"> como tal. Esta metodología arroja resultados similares a los de un análisis de Monte Carlo, pero de </w:t>
      </w:r>
      <w:r w:rsidR="00A3427E" w:rsidRPr="009A709D">
        <w:rPr>
          <w:lang w:val="es-ES_tradnl"/>
        </w:rPr>
        <w:t xml:space="preserve">una </w:t>
      </w:r>
      <w:r w:rsidRPr="009A709D">
        <w:rPr>
          <w:lang w:val="es-ES_tradnl"/>
        </w:rPr>
        <w:t xml:space="preserve">forma mucho más rápida y eficiente. También en este caso, la metodología se </w:t>
      </w:r>
      <w:r w:rsidR="00A3427E" w:rsidRPr="009A709D">
        <w:rPr>
          <w:lang w:val="es-ES_tradnl"/>
        </w:rPr>
        <w:t>ha validado mediante una simulación de Monte Carlo adicional para algunos de los puntos de contorno.</w:t>
      </w:r>
    </w:p>
    <w:p w14:paraId="676242F8" w14:textId="61897893" w:rsidR="00133E98" w:rsidRPr="009A709D" w:rsidRDefault="00A3427E" w:rsidP="00765549">
      <w:pPr>
        <w:rPr>
          <w:lang w:val="es-ES_tradnl"/>
        </w:rPr>
      </w:pPr>
      <w:r w:rsidRPr="009A709D">
        <w:rPr>
          <w:lang w:val="es-ES_tradnl"/>
        </w:rPr>
        <w:t>Dado que los equipos de usuario se utilizarán bien en interiores, bien en condiciones de ecos intensos, la metodología se centra en las estaciones base IMT-2020. Para derivar zonas de coordinación cuyo tamaño pueda ser superior a las distancias finales obtenidas mediante cálculos detallados durante la fase de coordinación, se asume que el panel de la estación base considerada apunta físicamente en el mismo acimut que la estación terrena del SETS objeto de interferencia.</w:t>
      </w:r>
    </w:p>
    <w:p w14:paraId="3FB010BD" w14:textId="77777777" w:rsidR="00133E98" w:rsidRPr="009A709D" w:rsidRDefault="00133E98" w:rsidP="00765549">
      <w:pPr>
        <w:pStyle w:val="Heading1"/>
        <w:rPr>
          <w:lang w:val="es-ES_tradnl"/>
        </w:rPr>
      </w:pPr>
      <w:bookmarkStart w:id="172" w:name="_Toc83389360"/>
      <w:bookmarkStart w:id="173" w:name="_Toc83712980"/>
      <w:bookmarkStart w:id="174" w:name="_Toc83713053"/>
      <w:bookmarkStart w:id="175" w:name="_Toc83713166"/>
      <w:bookmarkStart w:id="176" w:name="_Toc83723569"/>
      <w:bookmarkStart w:id="177" w:name="_Toc86738384"/>
      <w:bookmarkStart w:id="178" w:name="_Toc102570775"/>
      <w:bookmarkStart w:id="179" w:name="_Toc102986168"/>
      <w:r w:rsidRPr="009A709D">
        <w:rPr>
          <w:lang w:val="es-ES_tradnl"/>
        </w:rPr>
        <w:t>2</w:t>
      </w:r>
      <w:r w:rsidRPr="009A709D">
        <w:rPr>
          <w:lang w:val="es-ES_tradnl"/>
        </w:rPr>
        <w:tab/>
        <w:t>Metodología TVG estándar</w:t>
      </w:r>
      <w:bookmarkEnd w:id="172"/>
      <w:bookmarkEnd w:id="173"/>
      <w:bookmarkEnd w:id="174"/>
      <w:bookmarkEnd w:id="175"/>
      <w:bookmarkEnd w:id="176"/>
      <w:bookmarkEnd w:id="177"/>
      <w:bookmarkEnd w:id="178"/>
      <w:bookmarkEnd w:id="179"/>
    </w:p>
    <w:p w14:paraId="607F0B09" w14:textId="371B1573" w:rsidR="00133E98" w:rsidRPr="009A709D" w:rsidRDefault="00A3427E" w:rsidP="00765549">
      <w:pPr>
        <w:rPr>
          <w:lang w:val="es-ES_tradnl"/>
        </w:rPr>
      </w:pPr>
      <w:r w:rsidRPr="009A709D">
        <w:rPr>
          <w:lang w:val="es-ES_tradnl"/>
        </w:rPr>
        <w:t xml:space="preserve">Véase el </w:t>
      </w:r>
      <w:r w:rsidR="00874EAE" w:rsidRPr="00D81D07">
        <w:t>§ </w:t>
      </w:r>
      <w:r w:rsidRPr="009A709D">
        <w:rPr>
          <w:lang w:val="es-ES_tradnl"/>
        </w:rPr>
        <w:t>2 del Anexo 1.</w:t>
      </w:r>
    </w:p>
    <w:p w14:paraId="04D73316" w14:textId="77777777" w:rsidR="00133E98" w:rsidRPr="009A709D" w:rsidRDefault="00133E98" w:rsidP="00765549">
      <w:pPr>
        <w:pStyle w:val="Heading1"/>
        <w:rPr>
          <w:lang w:val="es-ES_tradnl"/>
        </w:rPr>
      </w:pPr>
      <w:bookmarkStart w:id="180" w:name="_Toc83389361"/>
      <w:bookmarkStart w:id="181" w:name="_Toc83712981"/>
      <w:bookmarkStart w:id="182" w:name="_Toc83713054"/>
      <w:bookmarkStart w:id="183" w:name="_Toc83713167"/>
      <w:bookmarkStart w:id="184" w:name="_Toc83723570"/>
      <w:bookmarkStart w:id="185" w:name="_Toc86738385"/>
      <w:bookmarkStart w:id="186" w:name="_Toc102570776"/>
      <w:bookmarkStart w:id="187" w:name="_Toc102986169"/>
      <w:r w:rsidRPr="009A709D">
        <w:rPr>
          <w:lang w:val="es-ES_tradnl"/>
        </w:rPr>
        <w:t>3</w:t>
      </w:r>
      <w:r w:rsidRPr="009A709D">
        <w:rPr>
          <w:lang w:val="es-ES_tradnl"/>
        </w:rPr>
        <w:tab/>
        <w:t>Determinación de la potencia total de la estación base IMT-2020</w:t>
      </w:r>
      <w:bookmarkEnd w:id="180"/>
      <w:bookmarkEnd w:id="181"/>
      <w:bookmarkEnd w:id="182"/>
      <w:bookmarkEnd w:id="183"/>
      <w:bookmarkEnd w:id="184"/>
      <w:bookmarkEnd w:id="185"/>
      <w:bookmarkEnd w:id="186"/>
      <w:bookmarkEnd w:id="187"/>
    </w:p>
    <w:p w14:paraId="4ECF8C29" w14:textId="0D5EA752" w:rsidR="00133E98" w:rsidRPr="009A709D" w:rsidRDefault="00A3427E" w:rsidP="00765549">
      <w:pPr>
        <w:rPr>
          <w:lang w:val="es-ES_tradnl"/>
        </w:rPr>
      </w:pPr>
      <w:r w:rsidRPr="009A709D">
        <w:rPr>
          <w:lang w:val="es-ES_tradnl"/>
        </w:rPr>
        <w:t xml:space="preserve">Véase el </w:t>
      </w:r>
      <w:r w:rsidR="00874EAE" w:rsidRPr="00D81D07">
        <w:t>§ </w:t>
      </w:r>
      <w:r w:rsidRPr="009A709D">
        <w:rPr>
          <w:lang w:val="es-ES_tradnl"/>
        </w:rPr>
        <w:t>3 del Anexo 1.</w:t>
      </w:r>
    </w:p>
    <w:p w14:paraId="0B40F171" w14:textId="5E10327A" w:rsidR="00133E98" w:rsidRPr="009A709D" w:rsidRDefault="00133E98" w:rsidP="00765549">
      <w:pPr>
        <w:pStyle w:val="Heading1"/>
        <w:rPr>
          <w:lang w:val="es-ES_tradnl"/>
        </w:rPr>
      </w:pPr>
      <w:bookmarkStart w:id="188" w:name="_Toc83389362"/>
      <w:bookmarkStart w:id="189" w:name="_Toc83712982"/>
      <w:bookmarkStart w:id="190" w:name="_Toc83713055"/>
      <w:bookmarkStart w:id="191" w:name="_Toc83713168"/>
      <w:bookmarkStart w:id="192" w:name="_Toc83723571"/>
      <w:bookmarkStart w:id="193" w:name="_Toc86738386"/>
      <w:bookmarkStart w:id="194" w:name="_Toc102570777"/>
      <w:bookmarkStart w:id="195" w:name="_Toc102986170"/>
      <w:r w:rsidRPr="009A709D">
        <w:rPr>
          <w:lang w:val="es-ES_tradnl"/>
        </w:rPr>
        <w:t>4</w:t>
      </w:r>
      <w:r w:rsidRPr="009A709D">
        <w:rPr>
          <w:lang w:val="es-ES_tradnl"/>
        </w:rPr>
        <w:tab/>
        <w:t xml:space="preserve">Determinación de la distribución de la ganancia hacia el horizonte de la antena de la </w:t>
      </w:r>
      <w:r w:rsidR="00F019B4" w:rsidRPr="009A709D">
        <w:rPr>
          <w:lang w:val="es-ES_tradnl"/>
        </w:rPr>
        <w:t>EB</w:t>
      </w:r>
      <w:r w:rsidRPr="009A709D">
        <w:rPr>
          <w:lang w:val="es-ES_tradnl"/>
        </w:rPr>
        <w:t xml:space="preserve"> IMT-2020</w:t>
      </w:r>
      <w:bookmarkEnd w:id="188"/>
      <w:bookmarkEnd w:id="189"/>
      <w:bookmarkEnd w:id="190"/>
      <w:bookmarkEnd w:id="191"/>
      <w:bookmarkEnd w:id="192"/>
      <w:bookmarkEnd w:id="193"/>
      <w:bookmarkEnd w:id="194"/>
      <w:bookmarkEnd w:id="195"/>
    </w:p>
    <w:p w14:paraId="557B28C8" w14:textId="02D4D878" w:rsidR="00133E98" w:rsidRPr="009A709D" w:rsidRDefault="00A3427E" w:rsidP="00765549">
      <w:pPr>
        <w:rPr>
          <w:lang w:val="es-ES_tradnl"/>
        </w:rPr>
      </w:pPr>
      <w:r w:rsidRPr="009A709D">
        <w:rPr>
          <w:lang w:val="es-ES_tradnl"/>
        </w:rPr>
        <w:t xml:space="preserve">Véase el </w:t>
      </w:r>
      <w:r w:rsidR="00874EAE" w:rsidRPr="00D81D07">
        <w:t>§ </w:t>
      </w:r>
      <w:r w:rsidRPr="009A709D">
        <w:rPr>
          <w:lang w:val="es-ES_tradnl"/>
        </w:rPr>
        <w:t>4 del Anexo 1.</w:t>
      </w:r>
    </w:p>
    <w:p w14:paraId="70D86B5A" w14:textId="77777777" w:rsidR="00133E98" w:rsidRPr="009A709D" w:rsidRDefault="00133E98" w:rsidP="00765549">
      <w:pPr>
        <w:pStyle w:val="Heading1"/>
        <w:rPr>
          <w:lang w:val="es-ES_tradnl"/>
        </w:rPr>
      </w:pPr>
      <w:bookmarkStart w:id="196" w:name="_Toc83389363"/>
      <w:bookmarkStart w:id="197" w:name="_Toc83712983"/>
      <w:bookmarkStart w:id="198" w:name="_Toc83713056"/>
      <w:bookmarkStart w:id="199" w:name="_Toc83713169"/>
      <w:bookmarkStart w:id="200" w:name="_Toc83723572"/>
      <w:bookmarkStart w:id="201" w:name="_Toc86738387"/>
      <w:bookmarkStart w:id="202" w:name="_Toc102570778"/>
      <w:bookmarkStart w:id="203" w:name="_Toc102986171"/>
      <w:r w:rsidRPr="009A709D">
        <w:rPr>
          <w:lang w:val="es-ES_tradnl"/>
        </w:rPr>
        <w:t>5</w:t>
      </w:r>
      <w:r w:rsidRPr="009A709D">
        <w:rPr>
          <w:lang w:val="es-ES_tradnl"/>
        </w:rPr>
        <w:tab/>
        <w:t xml:space="preserve">Determinación de la ganancia </w:t>
      </w:r>
      <w:r w:rsidRPr="009A709D">
        <w:rPr>
          <w:i/>
          <w:iCs/>
          <w:lang w:val="es-ES_tradnl"/>
        </w:rPr>
        <w:t>G</w:t>
      </w:r>
      <w:r w:rsidRPr="009A709D">
        <w:rPr>
          <w:i/>
          <w:iCs/>
          <w:vertAlign w:val="subscript"/>
          <w:lang w:val="es-ES_tradnl"/>
        </w:rPr>
        <w:t>r</w:t>
      </w:r>
      <w:r w:rsidRPr="009A709D">
        <w:rPr>
          <w:lang w:val="es-ES_tradnl"/>
        </w:rPr>
        <w:t xml:space="preserve"> hacia el horizonte de la antena del SETS</w:t>
      </w:r>
      <w:bookmarkEnd w:id="196"/>
      <w:bookmarkEnd w:id="197"/>
      <w:bookmarkEnd w:id="198"/>
      <w:bookmarkEnd w:id="199"/>
      <w:bookmarkEnd w:id="200"/>
      <w:bookmarkEnd w:id="201"/>
      <w:bookmarkEnd w:id="202"/>
      <w:bookmarkEnd w:id="203"/>
    </w:p>
    <w:p w14:paraId="399B4EB6" w14:textId="6554FF5E" w:rsidR="00133E98" w:rsidRPr="009A709D" w:rsidRDefault="00133E98" w:rsidP="00765549">
      <w:pPr>
        <w:rPr>
          <w:lang w:val="es-ES_tradnl"/>
        </w:rPr>
      </w:pPr>
      <w:r w:rsidRPr="009A709D">
        <w:rPr>
          <w:lang w:val="es-ES_tradnl"/>
        </w:rPr>
        <w:t xml:space="preserve">En este caso, el satélite OSG </w:t>
      </w:r>
      <w:r w:rsidR="005B111B" w:rsidRPr="009A709D">
        <w:rPr>
          <w:lang w:val="es-ES_tradnl"/>
        </w:rPr>
        <w:t>se mantiene fijo en</w:t>
      </w:r>
      <w:r w:rsidRPr="009A709D">
        <w:rPr>
          <w:lang w:val="es-ES_tradnl"/>
        </w:rPr>
        <w:t xml:space="preserve"> una longitud determinada en el arco OSG a una altitud de unos 36 000 km. Por tanto, </w:t>
      </w:r>
      <w:r w:rsidR="005B111B" w:rsidRPr="009A709D">
        <w:rPr>
          <w:lang w:val="es-ES_tradnl"/>
        </w:rPr>
        <w:t>basta con determinar una vez el</w:t>
      </w:r>
      <w:r w:rsidRPr="009A709D">
        <w:rPr>
          <w:lang w:val="es-ES_tradnl"/>
        </w:rPr>
        <w:t xml:space="preserve"> vector que va desde la estación terrena del SETS ha</w:t>
      </w:r>
      <w:r w:rsidR="005B111B" w:rsidRPr="009A709D">
        <w:rPr>
          <w:lang w:val="es-ES_tradnl"/>
        </w:rPr>
        <w:t>sta</w:t>
      </w:r>
      <w:r w:rsidRPr="009A709D">
        <w:rPr>
          <w:lang w:val="es-ES_tradnl"/>
        </w:rPr>
        <w:t xml:space="preserve"> el satélite </w:t>
      </w:r>
      <w:r w:rsidR="005B111B" w:rsidRPr="009A709D">
        <w:rPr>
          <w:lang w:val="es-ES_tradnl"/>
        </w:rPr>
        <w:t xml:space="preserve">del </w:t>
      </w:r>
      <w:r w:rsidRPr="009A709D">
        <w:rPr>
          <w:lang w:val="es-ES_tradnl"/>
        </w:rPr>
        <w:t xml:space="preserve">SETS. El ángulo de desplazamiento entre ese vector y la dirección </w:t>
      </w:r>
      <w:r w:rsidR="005B111B" w:rsidRPr="009A709D">
        <w:rPr>
          <w:lang w:val="es-ES_tradnl"/>
        </w:rPr>
        <w:t>a</w:t>
      </w:r>
      <w:r w:rsidRPr="009A709D">
        <w:rPr>
          <w:lang w:val="es-ES_tradnl"/>
        </w:rPr>
        <w:t xml:space="preserve">l horizonte para cada acimut también puede determinarse una </w:t>
      </w:r>
      <w:r w:rsidR="005B111B" w:rsidRPr="009A709D">
        <w:rPr>
          <w:lang w:val="es-ES_tradnl"/>
        </w:rPr>
        <w:t>única</w:t>
      </w:r>
      <w:r w:rsidRPr="009A709D">
        <w:rPr>
          <w:lang w:val="es-ES_tradnl"/>
        </w:rPr>
        <w:t xml:space="preserve"> vez, mientras que, en el caso de los satélites no OSG, tiene que determinarse para cada intervalo de tiempo.</w:t>
      </w:r>
    </w:p>
    <w:p w14:paraId="16276F11" w14:textId="1FAAD7A2" w:rsidR="00133E98" w:rsidRPr="009A709D" w:rsidRDefault="005B111B" w:rsidP="00765549">
      <w:pPr>
        <w:rPr>
          <w:lang w:val="es-ES_tradnl"/>
        </w:rPr>
      </w:pPr>
      <w:r w:rsidRPr="009A709D">
        <w:rPr>
          <w:lang w:val="es-ES_tradnl"/>
        </w:rPr>
        <w:t>El citado</w:t>
      </w:r>
      <w:r w:rsidR="00133E98" w:rsidRPr="009A709D">
        <w:rPr>
          <w:lang w:val="es-ES_tradnl"/>
        </w:rPr>
        <w:t xml:space="preserve"> ángulo de desplazamiento permite determinar la ganancia</w:t>
      </w:r>
      <w:r w:rsidR="00743F83" w:rsidRPr="009A709D">
        <w:rPr>
          <w:lang w:val="es-ES_tradnl"/>
        </w:rPr>
        <w:t xml:space="preserve"> de la antena</w:t>
      </w:r>
      <w:r w:rsidR="00133E98" w:rsidRPr="009A709D">
        <w:rPr>
          <w:lang w:val="es-ES_tradnl"/>
        </w:rPr>
        <w:t xml:space="preserve"> hacia el horizonte de la estación terrena del SETS para el acimut considerado. Por lo general, </w:t>
      </w:r>
      <w:r w:rsidRPr="009A709D">
        <w:rPr>
          <w:lang w:val="es-ES_tradnl"/>
        </w:rPr>
        <w:t xml:space="preserve">esta </w:t>
      </w:r>
      <w:r w:rsidR="00133E98" w:rsidRPr="009A709D">
        <w:rPr>
          <w:lang w:val="es-ES_tradnl"/>
        </w:rPr>
        <w:t>debe alcanzar su máximo valor en el acimut correspondiente al acimut en el que se encuentra el satélite OSG.</w:t>
      </w:r>
    </w:p>
    <w:p w14:paraId="01DC9594" w14:textId="7BCD1468" w:rsidR="00133E98" w:rsidRPr="009A709D" w:rsidRDefault="00133E98" w:rsidP="00765549">
      <w:pPr>
        <w:pStyle w:val="Heading1"/>
        <w:rPr>
          <w:lang w:val="es-ES_tradnl"/>
        </w:rPr>
      </w:pPr>
      <w:bookmarkStart w:id="204" w:name="_Toc83389364"/>
      <w:bookmarkStart w:id="205" w:name="_Toc83712984"/>
      <w:bookmarkStart w:id="206" w:name="_Toc83713057"/>
      <w:bookmarkStart w:id="207" w:name="_Toc83713170"/>
      <w:bookmarkStart w:id="208" w:name="_Toc83723573"/>
      <w:bookmarkStart w:id="209" w:name="_Toc86738388"/>
      <w:bookmarkStart w:id="210" w:name="_Toc102570779"/>
      <w:bookmarkStart w:id="211" w:name="_Toc102986172"/>
      <w:r w:rsidRPr="009A709D">
        <w:rPr>
          <w:lang w:val="es-ES_tradnl"/>
        </w:rPr>
        <w:lastRenderedPageBreak/>
        <w:t>6</w:t>
      </w:r>
      <w:r w:rsidRPr="009A709D">
        <w:rPr>
          <w:lang w:val="es-ES_tradnl"/>
        </w:rPr>
        <w:tab/>
        <w:t xml:space="preserve">Determinación del umbral de protección del SETS y </w:t>
      </w:r>
      <w:r w:rsidR="003842C9" w:rsidRPr="009A709D">
        <w:rPr>
          <w:lang w:val="es-ES_tradnl"/>
        </w:rPr>
        <w:t>el ancho de</w:t>
      </w:r>
      <w:r w:rsidRPr="009A709D">
        <w:rPr>
          <w:lang w:val="es-ES_tradnl"/>
        </w:rPr>
        <w:t xml:space="preserve"> banda de referencia</w:t>
      </w:r>
      <w:bookmarkEnd w:id="204"/>
      <w:bookmarkEnd w:id="205"/>
      <w:bookmarkEnd w:id="206"/>
      <w:bookmarkEnd w:id="207"/>
      <w:bookmarkEnd w:id="208"/>
      <w:bookmarkEnd w:id="209"/>
      <w:bookmarkEnd w:id="210"/>
      <w:bookmarkEnd w:id="211"/>
    </w:p>
    <w:p w14:paraId="0662FD4D" w14:textId="2EBC5F5E" w:rsidR="00133E98" w:rsidRPr="009A709D" w:rsidRDefault="00133E98" w:rsidP="00133E98">
      <w:pPr>
        <w:rPr>
          <w:spacing w:val="-2"/>
          <w:lang w:val="es-ES_tradnl"/>
        </w:rPr>
      </w:pPr>
      <w:r w:rsidRPr="009A709D">
        <w:rPr>
          <w:lang w:val="es-ES_tradnl"/>
        </w:rPr>
        <w:t xml:space="preserve">El umbral de </w:t>
      </w:r>
      <w:r w:rsidR="001D7E02" w:rsidRPr="009A709D">
        <w:rPr>
          <w:lang w:val="es-ES_tradnl"/>
        </w:rPr>
        <w:t>compartición</w:t>
      </w:r>
      <w:r w:rsidRPr="009A709D">
        <w:rPr>
          <w:lang w:val="es-ES_tradnl"/>
        </w:rPr>
        <w:t xml:space="preserve"> del SETS a corto plazo </w:t>
      </w:r>
      <w:r w:rsidR="001D7E02" w:rsidRPr="009A709D">
        <w:rPr>
          <w:lang w:val="es-ES_tradnl"/>
        </w:rPr>
        <w:t xml:space="preserve">I </w:t>
      </w:r>
      <w:r w:rsidRPr="009A709D">
        <w:rPr>
          <w:lang w:val="es-ES_tradnl"/>
        </w:rPr>
        <w:t xml:space="preserve">viene determinado en la Recomendación UIT-R </w:t>
      </w:r>
      <w:hyperlink r:id="rId58" w:history="1">
        <w:r w:rsidRPr="009A709D">
          <w:rPr>
            <w:lang w:val="es-ES_tradnl"/>
          </w:rPr>
          <w:t>SA.1161</w:t>
        </w:r>
      </w:hyperlink>
      <w:r w:rsidRPr="009A709D">
        <w:rPr>
          <w:lang w:val="es-ES_tradnl"/>
        </w:rPr>
        <w:t xml:space="preserve"> como −133 dBW en un </w:t>
      </w:r>
      <w:r w:rsidR="002E34E2" w:rsidRPr="009A709D">
        <w:rPr>
          <w:lang w:val="es-ES_tradnl"/>
        </w:rPr>
        <w:t>ancho de</w:t>
      </w:r>
      <w:r w:rsidRPr="009A709D">
        <w:rPr>
          <w:lang w:val="es-ES_tradnl"/>
        </w:rPr>
        <w:t xml:space="preserve"> banda de referencia </w:t>
      </w:r>
      <w:r w:rsidRPr="009A709D">
        <w:rPr>
          <w:i/>
          <w:lang w:val="es-ES_tradnl"/>
        </w:rPr>
        <w:t>B</w:t>
      </w:r>
      <w:r w:rsidRPr="009A709D">
        <w:rPr>
          <w:i/>
          <w:vertAlign w:val="subscript"/>
          <w:lang w:val="es-ES_tradnl"/>
        </w:rPr>
        <w:t>ref</w:t>
      </w:r>
      <w:r w:rsidRPr="009A709D">
        <w:rPr>
          <w:lang w:val="es-ES_tradnl"/>
        </w:rPr>
        <w:t xml:space="preserve"> de 10 MHz. El porcentaje de tiempo conexo </w:t>
      </w:r>
      <w:r w:rsidRPr="009A709D">
        <w:rPr>
          <w:i/>
          <w:lang w:val="es-ES_tradnl"/>
        </w:rPr>
        <w:t>p</w:t>
      </w:r>
      <w:r w:rsidRPr="009A709D">
        <w:rPr>
          <w:lang w:val="es-ES_tradnl"/>
        </w:rPr>
        <w:t xml:space="preserve"> es 0,1%.</w:t>
      </w:r>
    </w:p>
    <w:p w14:paraId="1E9C1EBC" w14:textId="77777777" w:rsidR="00133E98" w:rsidRPr="009A709D" w:rsidRDefault="00133E98" w:rsidP="00765549">
      <w:pPr>
        <w:pStyle w:val="Heading1"/>
        <w:rPr>
          <w:lang w:val="es-ES_tradnl"/>
        </w:rPr>
      </w:pPr>
      <w:bookmarkStart w:id="212" w:name="_Toc83389365"/>
      <w:bookmarkStart w:id="213" w:name="_Toc83712985"/>
      <w:bookmarkStart w:id="214" w:name="_Toc83713058"/>
      <w:bookmarkStart w:id="215" w:name="_Toc83713171"/>
      <w:bookmarkStart w:id="216" w:name="_Toc83723574"/>
      <w:bookmarkStart w:id="217" w:name="_Toc86738389"/>
      <w:bookmarkStart w:id="218" w:name="_Toc102570780"/>
      <w:bookmarkStart w:id="219" w:name="_Toc102986173"/>
      <w:r w:rsidRPr="009A709D">
        <w:rPr>
          <w:lang w:val="es-ES_tradnl"/>
        </w:rPr>
        <w:t>7</w:t>
      </w:r>
      <w:r w:rsidRPr="009A709D">
        <w:rPr>
          <w:lang w:val="es-ES_tradnl"/>
        </w:rPr>
        <w:tab/>
        <w:t>Determinación de la pérdida de propagación requerida y el porcentaje de tiempo conexo</w:t>
      </w:r>
      <w:bookmarkEnd w:id="212"/>
      <w:bookmarkEnd w:id="213"/>
      <w:bookmarkEnd w:id="214"/>
      <w:bookmarkEnd w:id="215"/>
      <w:bookmarkEnd w:id="216"/>
      <w:bookmarkEnd w:id="217"/>
      <w:bookmarkEnd w:id="218"/>
      <w:bookmarkEnd w:id="219"/>
    </w:p>
    <w:p w14:paraId="6653DFC3" w14:textId="01900407" w:rsidR="00133E98" w:rsidRPr="009A709D" w:rsidRDefault="001D7E02" w:rsidP="00765549">
      <w:pPr>
        <w:rPr>
          <w:lang w:val="es-ES_tradnl"/>
        </w:rPr>
      </w:pPr>
      <w:r w:rsidRPr="009A709D">
        <w:rPr>
          <w:lang w:val="es-ES_tradnl"/>
        </w:rPr>
        <w:t xml:space="preserve">Véase el </w:t>
      </w:r>
      <w:r w:rsidR="00874EAE" w:rsidRPr="00D81D07">
        <w:t>§ </w:t>
      </w:r>
      <w:r w:rsidRPr="009A709D">
        <w:rPr>
          <w:lang w:val="es-ES_tradnl"/>
        </w:rPr>
        <w:t>7 del Anexo 1.</w:t>
      </w:r>
    </w:p>
    <w:p w14:paraId="3ABC25C0" w14:textId="77777777" w:rsidR="00133E98" w:rsidRPr="009A709D" w:rsidRDefault="00133E98" w:rsidP="00133E98">
      <w:pPr>
        <w:pStyle w:val="Heading1"/>
        <w:rPr>
          <w:lang w:val="es-ES_tradnl"/>
        </w:rPr>
      </w:pPr>
      <w:bookmarkStart w:id="220" w:name="_Toc83389366"/>
      <w:bookmarkStart w:id="221" w:name="_Toc83712986"/>
      <w:bookmarkStart w:id="222" w:name="_Toc83713059"/>
      <w:bookmarkStart w:id="223" w:name="_Toc83713172"/>
      <w:bookmarkStart w:id="224" w:name="_Toc83723575"/>
      <w:bookmarkStart w:id="225" w:name="_Toc86738390"/>
      <w:bookmarkStart w:id="226" w:name="_Toc102570781"/>
      <w:bookmarkStart w:id="227" w:name="_Toc102986174"/>
      <w:bookmarkStart w:id="228" w:name="_Hlk523214702"/>
      <w:r w:rsidRPr="009A709D">
        <w:rPr>
          <w:lang w:val="es-ES_tradnl"/>
        </w:rPr>
        <w:t>8</w:t>
      </w:r>
      <w:r w:rsidRPr="009A709D">
        <w:rPr>
          <w:lang w:val="es-ES_tradnl"/>
        </w:rPr>
        <w:tab/>
        <w:t>Determinación del contorno de la zona de coordinación</w:t>
      </w:r>
      <w:bookmarkEnd w:id="220"/>
      <w:bookmarkEnd w:id="221"/>
      <w:bookmarkEnd w:id="222"/>
      <w:bookmarkEnd w:id="223"/>
      <w:bookmarkEnd w:id="224"/>
      <w:bookmarkEnd w:id="225"/>
      <w:bookmarkEnd w:id="226"/>
      <w:bookmarkEnd w:id="227"/>
    </w:p>
    <w:bookmarkEnd w:id="228"/>
    <w:p w14:paraId="734BE87F" w14:textId="3292F394" w:rsidR="001D7E02" w:rsidRPr="009A709D" w:rsidRDefault="001D7E02" w:rsidP="001D7E02">
      <w:pPr>
        <w:rPr>
          <w:lang w:val="es-ES_tradnl"/>
        </w:rPr>
      </w:pPr>
      <w:r w:rsidRPr="009A709D">
        <w:rPr>
          <w:lang w:val="es-ES_tradnl"/>
        </w:rPr>
        <w:t xml:space="preserve">Para cada acimut en torno a la estación terrena del SETS, cada distancia respecto de la ubicación de la estación terrena del SETS y cada porcentaje de tiempo </w:t>
      </w:r>
      <w:r w:rsidRPr="009A709D">
        <w:rPr>
          <w:rFonts w:ascii="Cambria Math" w:hAnsi="Cambria Math" w:cs="Cambria Math"/>
          <w:lang w:val="es-ES_tradnl"/>
        </w:rPr>
        <w:t>𝑝</w:t>
      </w:r>
      <w:r w:rsidRPr="009A709D">
        <w:rPr>
          <w:rFonts w:ascii="Cambria Math" w:hAnsi="Cambria Math" w:cs="Cambria Math"/>
          <w:vertAlign w:val="subscript"/>
          <w:lang w:val="es-ES_tradnl"/>
        </w:rPr>
        <w:t>𝑣</w:t>
      </w:r>
      <w:r w:rsidRPr="009A709D">
        <w:rPr>
          <w:lang w:val="es-ES_tradnl"/>
        </w:rPr>
        <w:t xml:space="preserve"> determinados en el </w:t>
      </w:r>
      <w:r w:rsidR="00874EAE" w:rsidRPr="00D81D07">
        <w:t>§ </w:t>
      </w:r>
      <w:r w:rsidRPr="009A709D">
        <w:rPr>
          <w:lang w:val="es-ES_tradnl"/>
        </w:rPr>
        <w:t xml:space="preserve">7, la pérdida de propagación debe determinarse por medio de un modelo de propagación adecuado, como el que se describe en la Recomendación UIT-R </w:t>
      </w:r>
      <w:hyperlink r:id="rId59" w:history="1">
        <w:r w:rsidRPr="009A709D">
          <w:rPr>
            <w:lang w:val="es-ES_tradnl"/>
          </w:rPr>
          <w:t>P.452</w:t>
        </w:r>
      </w:hyperlink>
      <w:r w:rsidRPr="009A709D">
        <w:rPr>
          <w:lang w:val="es-ES_tradnl"/>
        </w:rPr>
        <w:t xml:space="preserve"> o la Recomendación UIT-R </w:t>
      </w:r>
      <w:hyperlink r:id="rId60" w:history="1">
        <w:r w:rsidRPr="009A709D">
          <w:rPr>
            <w:lang w:val="es-ES_tradnl"/>
          </w:rPr>
          <w:t>P.2001</w:t>
        </w:r>
      </w:hyperlink>
      <w:r w:rsidRPr="009A709D">
        <w:rPr>
          <w:lang w:val="es-ES_tradnl"/>
        </w:rPr>
        <w:t xml:space="preserve">, tomando en consideración la elevación del terreno y la ocupación local del suelo en torno a la estación terrena. En caso de que se utilice la Recomendación UIT-R </w:t>
      </w:r>
      <w:hyperlink r:id="rId61" w:history="1">
        <w:r w:rsidRPr="009A709D">
          <w:rPr>
            <w:lang w:val="es-ES_tradnl"/>
          </w:rPr>
          <w:t>P.2001</w:t>
        </w:r>
      </w:hyperlink>
      <w:r w:rsidRPr="009A709D">
        <w:rPr>
          <w:lang w:val="es-ES_tradnl"/>
        </w:rPr>
        <w:t xml:space="preserve">, el porcentaje de tiempo </w:t>
      </w:r>
      <w:r w:rsidRPr="009A709D">
        <w:rPr>
          <w:i/>
          <w:lang w:val="es-ES_tradnl"/>
        </w:rPr>
        <w:t>p</w:t>
      </w:r>
      <w:r w:rsidRPr="009A709D">
        <w:rPr>
          <w:i/>
          <w:vertAlign w:val="subscript"/>
          <w:lang w:val="es-ES_tradnl"/>
        </w:rPr>
        <w:t>v</w:t>
      </w:r>
      <w:r w:rsidRPr="009A709D">
        <w:rPr>
          <w:lang w:val="es-ES_tradnl"/>
        </w:rPr>
        <w:t xml:space="preserve"> conexo obtenido a partir de la ecuación (2) no debe limitarse al 50%.</w:t>
      </w:r>
    </w:p>
    <w:p w14:paraId="422350DD" w14:textId="1BB23191" w:rsidR="001D7E02" w:rsidRPr="009A709D" w:rsidRDefault="001D7E02" w:rsidP="001D7E02">
      <w:pPr>
        <w:rPr>
          <w:lang w:val="es-ES_tradnl"/>
        </w:rPr>
      </w:pPr>
      <w:r w:rsidRPr="009A709D">
        <w:rPr>
          <w:lang w:val="es-ES_tradnl"/>
        </w:rPr>
        <w:t>El modelo de elevación del terreno puede basarse en los datos de perfil del terreno de 1 segundo de arco de resolución de la misión SRTM; sin embargo, también pueden emplearse modelos de terreno más detallados, incluidos los modelos de zonas construidas. Es posible muestrear los perfiles de terreno por tramos de acimut de 1 grado en torno a la estación terrena de interés y tramos de distancia de 25 m. A continuación, pueden calcularse las pérdidas en torno a la estación por tramos de acimut de 1 grado y tramos de distancia de 100 m.</w:t>
      </w:r>
    </w:p>
    <w:p w14:paraId="5FE215E9" w14:textId="77777777" w:rsidR="001D7E02" w:rsidRPr="009A709D" w:rsidRDefault="001D7E02" w:rsidP="001D7E02">
      <w:pPr>
        <w:rPr>
          <w:lang w:val="es-ES_tradnl"/>
        </w:rPr>
      </w:pPr>
      <w:r w:rsidRPr="009A709D">
        <w:rPr>
          <w:lang w:val="es-ES_tradnl"/>
        </w:rPr>
        <w:t xml:space="preserve">Para cada acimut y cada porcentaje de tiempo </w:t>
      </w:r>
      <w:r w:rsidRPr="009A709D">
        <w:rPr>
          <w:rFonts w:ascii="Cambria Math" w:hAnsi="Cambria Math" w:cs="Cambria Math"/>
          <w:lang w:val="es-ES_tradnl"/>
        </w:rPr>
        <w:t>𝑝</w:t>
      </w:r>
      <w:r w:rsidRPr="009A709D">
        <w:rPr>
          <w:rFonts w:ascii="Cambria Math" w:hAnsi="Cambria Math" w:cs="Cambria Math"/>
          <w:vertAlign w:val="subscript"/>
          <w:lang w:val="es-ES_tradnl"/>
        </w:rPr>
        <w:t>𝑣</w:t>
      </w:r>
      <w:r w:rsidRPr="009A709D">
        <w:rPr>
          <w:lang w:val="es-ES_tradnl"/>
        </w:rPr>
        <w:t xml:space="preserve">, la distancia de coordinación requerida es la distancia máxima a la cual la pérdida de propagación calculada se encuentra justo por debajo del nivel requerido de pérdida de propagación </w:t>
      </w:r>
      <w:r w:rsidRPr="009A709D">
        <w:rPr>
          <w:i/>
          <w:lang w:val="es-ES_tradnl"/>
        </w:rPr>
        <w:t>L</w:t>
      </w:r>
      <w:r w:rsidRPr="009A709D">
        <w:rPr>
          <w:i/>
          <w:vertAlign w:val="subscript"/>
          <w:lang w:val="es-ES_tradnl"/>
        </w:rPr>
        <w:t>req</w:t>
      </w:r>
      <w:r w:rsidRPr="009A709D">
        <w:rPr>
          <w:lang w:val="es-ES_tradnl"/>
        </w:rPr>
        <w:t>(</w:t>
      </w:r>
      <w:r w:rsidRPr="009A709D">
        <w:rPr>
          <w:rFonts w:ascii="Cambria Math" w:hAnsi="Cambria Math" w:cs="Cambria Math"/>
          <w:lang w:val="es-ES_tradnl"/>
        </w:rPr>
        <w:t>𝑝</w:t>
      </w:r>
      <w:r w:rsidRPr="009A709D">
        <w:rPr>
          <w:rFonts w:ascii="Cambria Math" w:hAnsi="Cambria Math" w:cs="Cambria Math"/>
          <w:vertAlign w:val="subscript"/>
          <w:lang w:val="es-ES_tradnl"/>
        </w:rPr>
        <w:t>𝑣</w:t>
      </w:r>
      <w:r w:rsidRPr="009A709D">
        <w:rPr>
          <w:lang w:val="es-ES_tradnl"/>
        </w:rPr>
        <w:t xml:space="preserve">). La distancia de coordinación para el ángulo acimutal considerado es la máxima distancia obtenida para todos los valores de </w:t>
      </w:r>
      <w:r w:rsidRPr="009A709D">
        <w:rPr>
          <w:rFonts w:ascii="Cambria Math" w:hAnsi="Cambria Math" w:cs="Cambria Math"/>
          <w:lang w:val="es-ES_tradnl"/>
        </w:rPr>
        <w:t>𝑝</w:t>
      </w:r>
      <w:r w:rsidRPr="009A709D">
        <w:rPr>
          <w:rFonts w:ascii="Cambria Math" w:hAnsi="Cambria Math" w:cs="Cambria Math"/>
          <w:vertAlign w:val="subscript"/>
          <w:lang w:val="es-ES_tradnl"/>
        </w:rPr>
        <w:t>𝑣</w:t>
      </w:r>
      <w:r w:rsidRPr="009A709D">
        <w:rPr>
          <w:lang w:val="es-ES_tradnl"/>
        </w:rPr>
        <w:t>.</w:t>
      </w:r>
    </w:p>
    <w:p w14:paraId="6979504C" w14:textId="780AB015" w:rsidR="00133E98" w:rsidRPr="009A709D" w:rsidRDefault="00133E98" w:rsidP="00133E98">
      <w:pPr>
        <w:rPr>
          <w:szCs w:val="24"/>
          <w:lang w:val="es-ES_tradnl"/>
        </w:rPr>
      </w:pPr>
      <w:r w:rsidRPr="009A709D">
        <w:rPr>
          <w:lang w:val="es-ES_tradnl"/>
        </w:rPr>
        <w:t>La Fig</w:t>
      </w:r>
      <w:r w:rsidR="00743F83" w:rsidRPr="009A709D">
        <w:rPr>
          <w:lang w:val="es-ES_tradnl"/>
        </w:rPr>
        <w:t>.</w:t>
      </w:r>
      <w:r w:rsidRPr="009A709D">
        <w:rPr>
          <w:lang w:val="es-ES_tradnl"/>
        </w:rPr>
        <w:t xml:space="preserve"> 16 </w:t>
      </w:r>
      <w:r w:rsidR="00874ECD" w:rsidRPr="009A709D">
        <w:rPr>
          <w:lang w:val="es-ES_tradnl"/>
        </w:rPr>
        <w:t>ilustra</w:t>
      </w:r>
      <w:r w:rsidRPr="009A709D">
        <w:rPr>
          <w:lang w:val="es-ES_tradnl"/>
        </w:rPr>
        <w:t>, a modo de ejemplo, el contorno de la zona de coordinación obtenid</w:t>
      </w:r>
      <w:r w:rsidR="00874ECD" w:rsidRPr="009A709D">
        <w:rPr>
          <w:lang w:val="es-ES_tradnl"/>
        </w:rPr>
        <w:t>a</w:t>
      </w:r>
      <w:r w:rsidRPr="009A709D">
        <w:rPr>
          <w:lang w:val="es-ES_tradnl"/>
        </w:rPr>
        <w:t xml:space="preserve"> en torno a la estación terrena del SETS </w:t>
      </w:r>
      <w:r w:rsidR="00874ECD" w:rsidRPr="009A709D">
        <w:rPr>
          <w:lang w:val="es-ES_tradnl"/>
        </w:rPr>
        <w:t>de</w:t>
      </w:r>
      <w:r w:rsidRPr="009A709D">
        <w:rPr>
          <w:lang w:val="es-ES_tradnl"/>
        </w:rPr>
        <w:t xml:space="preserve"> Leuk (Suiza) para una estación base urbana/suburbana de 8 × 8 a 26 GHz.</w:t>
      </w:r>
    </w:p>
    <w:p w14:paraId="6E0A72D6" w14:textId="648214DB" w:rsidR="00133E98" w:rsidRPr="009A709D" w:rsidRDefault="00133E98" w:rsidP="00133E98">
      <w:pPr>
        <w:pStyle w:val="FigureNo"/>
        <w:rPr>
          <w:rFonts w:eastAsia="SimSun"/>
          <w:lang w:val="es-ES_tradnl"/>
        </w:rPr>
      </w:pPr>
      <w:r w:rsidRPr="009A709D">
        <w:rPr>
          <w:lang w:val="es-ES_tradnl"/>
        </w:rPr>
        <w:lastRenderedPageBreak/>
        <w:t>FIGURA 16</w:t>
      </w:r>
    </w:p>
    <w:p w14:paraId="21E465EB" w14:textId="77777777" w:rsidR="00133E98" w:rsidRPr="009A709D" w:rsidRDefault="00133E98" w:rsidP="00133E98">
      <w:pPr>
        <w:pStyle w:val="Figuretitle"/>
        <w:rPr>
          <w:lang w:val="es-ES_tradnl"/>
        </w:rPr>
      </w:pPr>
      <w:r w:rsidRPr="009A709D">
        <w:rPr>
          <w:lang w:val="es-ES_tradnl"/>
        </w:rPr>
        <w:t>Vista del contorno de la zona de coordinación en torno a Leuk</w:t>
      </w:r>
    </w:p>
    <w:p w14:paraId="7BBF6CB6" w14:textId="4352D4D6" w:rsidR="00874EAE" w:rsidRPr="00874EAE" w:rsidRDefault="00874EAE" w:rsidP="00874EAE">
      <w:pPr>
        <w:pStyle w:val="Figure"/>
        <w:rPr>
          <w:noProof/>
          <w:lang w:val="es-ES_tradnl" w:eastAsia="es-ES"/>
        </w:rPr>
      </w:pPr>
      <w:r>
        <w:rPr>
          <w:noProof/>
          <w:lang w:val="es-ES_tradnl" w:eastAsia="es-ES"/>
        </w:rPr>
        <w:drawing>
          <wp:inline distT="0" distB="0" distL="0" distR="0" wp14:anchorId="5BBBDDBF" wp14:editId="660E0888">
            <wp:extent cx="5724525" cy="3749243"/>
            <wp:effectExtent l="0" t="0" r="0" b="3810"/>
            <wp:docPr id="15" name="Picture 15"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2142-0_16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49681" cy="3765719"/>
                    </a:xfrm>
                    <a:prstGeom prst="rect">
                      <a:avLst/>
                    </a:prstGeom>
                  </pic:spPr>
                </pic:pic>
              </a:graphicData>
            </a:graphic>
          </wp:inline>
        </w:drawing>
      </w:r>
    </w:p>
    <w:p w14:paraId="3AA7FBA0" w14:textId="77777777" w:rsidR="00874EAE" w:rsidRDefault="00874EAE" w:rsidP="00874EAE">
      <w:pPr>
        <w:rPr>
          <w:lang w:val="es-ES_tradnl"/>
        </w:rPr>
      </w:pPr>
      <w:bookmarkStart w:id="229" w:name="_Toc86738391"/>
      <w:bookmarkStart w:id="230" w:name="_Toc102570782"/>
      <w:bookmarkStart w:id="231" w:name="_Toc102986175"/>
    </w:p>
    <w:p w14:paraId="6443872C" w14:textId="77777777" w:rsidR="00874EAE" w:rsidRDefault="00874EAE" w:rsidP="00874EAE">
      <w:pPr>
        <w:rPr>
          <w:lang w:val="es-ES_tradnl"/>
        </w:rPr>
      </w:pPr>
    </w:p>
    <w:p w14:paraId="1FAB00D9" w14:textId="7B12D35F" w:rsidR="00133E98" w:rsidRPr="009A709D" w:rsidRDefault="00133E98" w:rsidP="00765549">
      <w:pPr>
        <w:pStyle w:val="AnnexNoTitle"/>
        <w:rPr>
          <w:lang w:val="es-ES_tradnl"/>
        </w:rPr>
      </w:pPr>
      <w:r w:rsidRPr="009A709D">
        <w:rPr>
          <w:lang w:val="es-ES_tradnl"/>
        </w:rPr>
        <w:t>Anexo 4</w:t>
      </w:r>
      <w:r w:rsidRPr="009A709D">
        <w:rPr>
          <w:lang w:val="es-ES_tradnl"/>
        </w:rPr>
        <w:br/>
      </w:r>
      <w:r w:rsidRPr="009A709D">
        <w:rPr>
          <w:lang w:val="es-ES_tradnl"/>
        </w:rPr>
        <w:br/>
        <w:t>Metodología para garantizar la protección de las estaciones terrenas del SETS</w:t>
      </w:r>
      <w:r w:rsidR="00190EC7" w:rsidRPr="009A709D">
        <w:rPr>
          <w:lang w:val="es-ES_tradnl"/>
        </w:rPr>
        <w:t xml:space="preserve"> </w:t>
      </w:r>
      <w:r w:rsidR="00E22796" w:rsidRPr="009A709D">
        <w:rPr>
          <w:lang w:val="es-ES_tradnl"/>
        </w:rPr>
        <w:t>frente a</w:t>
      </w:r>
      <w:r w:rsidRPr="009A709D">
        <w:rPr>
          <w:lang w:val="es-ES_tradnl"/>
        </w:rPr>
        <w:t xml:space="preserve"> las estaciones IMT </w:t>
      </w:r>
      <w:r w:rsidR="00E22796" w:rsidRPr="009A709D">
        <w:rPr>
          <w:lang w:val="es-ES_tradnl"/>
        </w:rPr>
        <w:t>instaladas</w:t>
      </w:r>
      <w:r w:rsidRPr="009A709D">
        <w:rPr>
          <w:lang w:val="es-ES_tradnl"/>
        </w:rPr>
        <w:t xml:space="preserve"> dentro de la zona de coordinación</w:t>
      </w:r>
      <w:bookmarkEnd w:id="229"/>
      <w:bookmarkEnd w:id="230"/>
      <w:bookmarkEnd w:id="231"/>
    </w:p>
    <w:p w14:paraId="64D531A1" w14:textId="77777777" w:rsidR="007A63A8" w:rsidRPr="009A709D" w:rsidRDefault="007A63A8" w:rsidP="00765549">
      <w:pPr>
        <w:pStyle w:val="Heading1"/>
        <w:rPr>
          <w:lang w:val="es-ES_tradnl"/>
        </w:rPr>
      </w:pPr>
      <w:bookmarkStart w:id="232" w:name="_Toc83389369"/>
      <w:bookmarkStart w:id="233" w:name="_Toc83712987"/>
      <w:bookmarkStart w:id="234" w:name="_Toc83713060"/>
      <w:bookmarkStart w:id="235" w:name="_Toc83713173"/>
      <w:bookmarkStart w:id="236" w:name="_Toc83723576"/>
      <w:bookmarkStart w:id="237" w:name="_Toc86738392"/>
      <w:bookmarkStart w:id="238" w:name="_Toc102570783"/>
      <w:bookmarkStart w:id="239" w:name="_Toc102986176"/>
      <w:r w:rsidRPr="009A709D">
        <w:rPr>
          <w:lang w:val="es-ES_tradnl"/>
        </w:rPr>
        <w:t>1</w:t>
      </w:r>
      <w:r w:rsidRPr="009A709D">
        <w:rPr>
          <w:lang w:val="es-ES_tradnl"/>
        </w:rPr>
        <w:tab/>
        <w:t>Introducción</w:t>
      </w:r>
      <w:bookmarkEnd w:id="232"/>
      <w:bookmarkEnd w:id="233"/>
      <w:bookmarkEnd w:id="234"/>
      <w:bookmarkEnd w:id="235"/>
      <w:bookmarkEnd w:id="236"/>
      <w:bookmarkEnd w:id="237"/>
      <w:bookmarkEnd w:id="238"/>
      <w:bookmarkEnd w:id="239"/>
    </w:p>
    <w:p w14:paraId="61DDDE07" w14:textId="79900CF5" w:rsidR="007A63A8" w:rsidRPr="009A709D" w:rsidRDefault="007A63A8" w:rsidP="00765549">
      <w:pPr>
        <w:rPr>
          <w:lang w:val="es-ES_tradnl"/>
        </w:rPr>
      </w:pPr>
      <w:r w:rsidRPr="009A709D">
        <w:rPr>
          <w:lang w:val="es-ES_tradnl"/>
        </w:rPr>
        <w:t xml:space="preserve">El objetivo </w:t>
      </w:r>
      <w:r w:rsidR="00E22796" w:rsidRPr="009A709D">
        <w:rPr>
          <w:lang w:val="es-ES_tradnl"/>
        </w:rPr>
        <w:t>del presente</w:t>
      </w:r>
      <w:r w:rsidRPr="009A709D">
        <w:rPr>
          <w:lang w:val="es-ES_tradnl"/>
        </w:rPr>
        <w:t xml:space="preserve"> Anexo es describir una metodología </w:t>
      </w:r>
      <w:r w:rsidR="00E22796" w:rsidRPr="009A709D">
        <w:rPr>
          <w:lang w:val="es-ES_tradnl"/>
        </w:rPr>
        <w:t>que permita</w:t>
      </w:r>
      <w:r w:rsidRPr="009A709D">
        <w:rPr>
          <w:lang w:val="es-ES_tradnl"/>
        </w:rPr>
        <w:t xml:space="preserve"> garantizar la protección de las estaciones </w:t>
      </w:r>
      <w:r w:rsidR="00743F83" w:rsidRPr="009A709D">
        <w:rPr>
          <w:lang w:val="es-ES_tradnl"/>
        </w:rPr>
        <w:t xml:space="preserve">terrenas del SETS </w:t>
      </w:r>
      <w:r w:rsidRPr="009A709D">
        <w:rPr>
          <w:lang w:val="es-ES_tradnl"/>
        </w:rPr>
        <w:t xml:space="preserve">(OSG y/o no OSG) </w:t>
      </w:r>
      <w:r w:rsidR="00E22796" w:rsidRPr="009A709D">
        <w:rPr>
          <w:lang w:val="es-ES_tradnl"/>
        </w:rPr>
        <w:t>frente a</w:t>
      </w:r>
      <w:r w:rsidR="00190EC7" w:rsidRPr="009A709D">
        <w:rPr>
          <w:lang w:val="es-ES_tradnl"/>
        </w:rPr>
        <w:t xml:space="preserve"> los sistemas</w:t>
      </w:r>
      <w:r w:rsidRPr="009A709D">
        <w:rPr>
          <w:lang w:val="es-ES_tradnl"/>
        </w:rPr>
        <w:t xml:space="preserve"> IMT-2020</w:t>
      </w:r>
      <w:r w:rsidR="00E22796" w:rsidRPr="009A709D">
        <w:rPr>
          <w:lang w:val="es-ES_tradnl"/>
        </w:rPr>
        <w:t>, en los casos en que las estaciones</w:t>
      </w:r>
      <w:r w:rsidRPr="009A709D">
        <w:rPr>
          <w:lang w:val="es-ES_tradnl"/>
        </w:rPr>
        <w:t xml:space="preserve"> base IMT se </w:t>
      </w:r>
      <w:r w:rsidR="00E22796" w:rsidRPr="009A709D">
        <w:rPr>
          <w:lang w:val="es-ES_tradnl"/>
        </w:rPr>
        <w:t>hallen dentro de l</w:t>
      </w:r>
      <w:r w:rsidRPr="009A709D">
        <w:rPr>
          <w:lang w:val="es-ES_tradnl"/>
        </w:rPr>
        <w:t>a zona de coordinación. Fuera de dicha zona de coordinación, no se requiere ningún cálculo y la implantación de IMT-2020 puede realizarse sin obstáculos particulares. Sin embargo, en la zona de coordinación, es posible implantar IMT-2020, pero con ciertas precauciones.</w:t>
      </w:r>
    </w:p>
    <w:p w14:paraId="179BAC01" w14:textId="34275EBC" w:rsidR="007A63A8" w:rsidRPr="009A709D" w:rsidRDefault="00E22796" w:rsidP="00874EAE">
      <w:pPr>
        <w:rPr>
          <w:lang w:val="es-ES_tradnl"/>
        </w:rPr>
      </w:pPr>
      <w:r w:rsidRPr="009A709D">
        <w:rPr>
          <w:lang w:val="es-ES_tradnl"/>
        </w:rPr>
        <w:t>Diversos</w:t>
      </w:r>
      <w:r w:rsidR="007A63A8" w:rsidRPr="009A709D">
        <w:rPr>
          <w:lang w:val="es-ES_tradnl"/>
        </w:rPr>
        <w:t xml:space="preserve"> estudios han demostrado que, </w:t>
      </w:r>
      <w:r w:rsidRPr="009A709D">
        <w:rPr>
          <w:lang w:val="es-ES_tradnl"/>
        </w:rPr>
        <w:t>a efectos</w:t>
      </w:r>
      <w:r w:rsidR="007A63A8" w:rsidRPr="009A709D">
        <w:rPr>
          <w:lang w:val="es-ES_tradnl"/>
        </w:rPr>
        <w:t xml:space="preserve"> de la protección del SETS (OGS y no OSG), la metodología TVG genérica (</w:t>
      </w:r>
      <w:r w:rsidRPr="009A709D">
        <w:rPr>
          <w:lang w:val="es-ES_tradnl"/>
        </w:rPr>
        <w:t>aplicada</w:t>
      </w:r>
      <w:r w:rsidR="007A63A8" w:rsidRPr="009A709D">
        <w:rPr>
          <w:lang w:val="es-ES_tradnl"/>
        </w:rPr>
        <w:t xml:space="preserve"> sin perfil de terreno) arroja distancias que, la mayoría de las veces, pueden aproximar</w:t>
      </w:r>
      <w:r w:rsidRPr="009A709D">
        <w:rPr>
          <w:lang w:val="es-ES_tradnl"/>
        </w:rPr>
        <w:t>se como sigue</w:t>
      </w:r>
      <w:r w:rsidR="007A63A8" w:rsidRPr="009A709D">
        <w:rPr>
          <w:lang w:val="es-ES_tradnl"/>
        </w:rPr>
        <w:t>:</w:t>
      </w:r>
    </w:p>
    <w:p w14:paraId="4A2266B3" w14:textId="4DC0A6A1" w:rsidR="007A63A8" w:rsidRPr="009A709D" w:rsidRDefault="007A63A8" w:rsidP="00874EAE">
      <w:pPr>
        <w:pStyle w:val="enumlev1"/>
        <w:rPr>
          <w:lang w:val="es-ES_tradnl"/>
        </w:rPr>
      </w:pPr>
      <w:r w:rsidRPr="009A709D">
        <w:rPr>
          <w:lang w:val="es-ES_tradnl"/>
        </w:rPr>
        <w:t>–</w:t>
      </w:r>
      <w:r w:rsidRPr="009A709D">
        <w:rPr>
          <w:lang w:val="es-ES_tradnl"/>
        </w:rPr>
        <w:tab/>
        <w:t xml:space="preserve">Para una estación terrena OSG, </w:t>
      </w:r>
      <w:r w:rsidR="00BB0BAC" w:rsidRPr="009A709D">
        <w:rPr>
          <w:lang w:val="es-ES_tradnl"/>
        </w:rPr>
        <w:t>el cálculo se realiza</w:t>
      </w:r>
      <w:r w:rsidRPr="009A709D">
        <w:rPr>
          <w:lang w:val="es-ES_tradnl"/>
        </w:rPr>
        <w:t xml:space="preserve"> con la ganancia máxima de la </w:t>
      </w:r>
      <w:r w:rsidR="00F019B4" w:rsidRPr="009A709D">
        <w:rPr>
          <w:lang w:val="es-ES_tradnl"/>
        </w:rPr>
        <w:t>EB</w:t>
      </w:r>
      <w:r w:rsidRPr="009A709D">
        <w:rPr>
          <w:lang w:val="es-ES_tradnl"/>
        </w:rPr>
        <w:t xml:space="preserve"> hacia el horizonte y un porcentaje del 50%</w:t>
      </w:r>
      <w:r w:rsidR="00E22796" w:rsidRPr="009A709D">
        <w:rPr>
          <w:lang w:val="es-ES_tradnl"/>
        </w:rPr>
        <w:t>, conforme a</w:t>
      </w:r>
      <w:r w:rsidRPr="009A709D">
        <w:rPr>
          <w:lang w:val="es-ES_tradnl"/>
        </w:rPr>
        <w:t xml:space="preserve">l modelo descrito </w:t>
      </w:r>
      <w:r w:rsidR="00E22796" w:rsidRPr="009A709D">
        <w:rPr>
          <w:lang w:val="es-ES_tradnl"/>
        </w:rPr>
        <w:t>en</w:t>
      </w:r>
      <w:r w:rsidRPr="009A709D">
        <w:rPr>
          <w:lang w:val="es-ES_tradnl"/>
        </w:rPr>
        <w:t xml:space="preserve"> la Recomendación UIT-R </w:t>
      </w:r>
      <w:hyperlink r:id="rId63" w:history="1">
        <w:r w:rsidRPr="009A709D">
          <w:rPr>
            <w:rStyle w:val="Hyperlink"/>
            <w:color w:val="auto"/>
            <w:u w:val="none"/>
            <w:lang w:val="es-ES_tradnl"/>
          </w:rPr>
          <w:t>P.452</w:t>
        </w:r>
      </w:hyperlink>
      <w:r w:rsidRPr="009A709D">
        <w:rPr>
          <w:lang w:val="es-ES_tradnl"/>
        </w:rPr>
        <w:t>.</w:t>
      </w:r>
    </w:p>
    <w:p w14:paraId="24CAADAE" w14:textId="27922D56" w:rsidR="007A63A8" w:rsidRPr="009A709D" w:rsidRDefault="007A63A8" w:rsidP="00874EAE">
      <w:pPr>
        <w:pStyle w:val="enumlev1"/>
        <w:rPr>
          <w:lang w:val="es-ES_tradnl"/>
        </w:rPr>
      </w:pPr>
      <w:r w:rsidRPr="009A709D">
        <w:rPr>
          <w:lang w:val="es-ES_tradnl"/>
        </w:rPr>
        <w:lastRenderedPageBreak/>
        <w:t>–</w:t>
      </w:r>
      <w:r w:rsidRPr="009A709D">
        <w:rPr>
          <w:lang w:val="es-ES_tradnl"/>
        </w:rPr>
        <w:tab/>
        <w:t xml:space="preserve">Para una estación terrena no OSG, </w:t>
      </w:r>
      <w:r w:rsidR="00BB0BAC" w:rsidRPr="009A709D">
        <w:rPr>
          <w:lang w:val="es-ES_tradnl"/>
        </w:rPr>
        <w:t xml:space="preserve">el cálculo se realiza </w:t>
      </w:r>
      <w:r w:rsidRPr="009A709D">
        <w:rPr>
          <w:lang w:val="es-ES_tradnl"/>
        </w:rPr>
        <w:t>con la ganancia compuesta máxima (</w:t>
      </w:r>
      <w:r w:rsidRPr="009A709D">
        <w:rPr>
          <w:i/>
          <w:lang w:val="es-ES_tradnl"/>
        </w:rPr>
        <w:t>G</w:t>
      </w:r>
      <w:r w:rsidRPr="009A709D">
        <w:rPr>
          <w:i/>
          <w:vertAlign w:val="subscript"/>
          <w:lang w:val="es-ES_tradnl"/>
        </w:rPr>
        <w:t>tot</w:t>
      </w:r>
      <w:r w:rsidRPr="009A709D">
        <w:rPr>
          <w:lang w:val="es-ES_tradnl"/>
        </w:rPr>
        <w:t xml:space="preserve"> – suma de ganancias hacia el horizonte de</w:t>
      </w:r>
      <w:r w:rsidR="00DF3024" w:rsidRPr="009A709D">
        <w:rPr>
          <w:lang w:val="es-ES_tradnl"/>
        </w:rPr>
        <w:t>l</w:t>
      </w:r>
      <w:r w:rsidRPr="009A709D">
        <w:rPr>
          <w:lang w:val="es-ES_tradnl"/>
        </w:rPr>
        <w:t xml:space="preserve"> SETS y</w:t>
      </w:r>
      <w:r w:rsidR="00DF3024" w:rsidRPr="009A709D">
        <w:rPr>
          <w:lang w:val="es-ES_tradnl"/>
        </w:rPr>
        <w:t xml:space="preserve"> la</w:t>
      </w:r>
      <w:r w:rsidRPr="009A709D">
        <w:rPr>
          <w:lang w:val="es-ES_tradnl"/>
        </w:rPr>
        <w:t xml:space="preserve"> </w:t>
      </w:r>
      <w:r w:rsidR="00F019B4" w:rsidRPr="009A709D">
        <w:rPr>
          <w:lang w:val="es-ES_tradnl"/>
        </w:rPr>
        <w:t>EB</w:t>
      </w:r>
      <w:r w:rsidRPr="009A709D">
        <w:rPr>
          <w:lang w:val="es-ES_tradnl"/>
        </w:rPr>
        <w:t>) y un porcentaje del 50%</w:t>
      </w:r>
      <w:r w:rsidR="00E22796" w:rsidRPr="009A709D">
        <w:rPr>
          <w:lang w:val="es-ES_tradnl"/>
        </w:rPr>
        <w:t>, conforme al modelo descrito en la</w:t>
      </w:r>
      <w:r w:rsidRPr="009A709D">
        <w:rPr>
          <w:lang w:val="es-ES_tradnl"/>
        </w:rPr>
        <w:t xml:space="preserve"> Recomendación UIT-R </w:t>
      </w:r>
      <w:hyperlink r:id="rId64" w:history="1">
        <w:r w:rsidRPr="009A709D">
          <w:rPr>
            <w:rStyle w:val="Hyperlink"/>
            <w:color w:val="auto"/>
            <w:u w:val="none"/>
            <w:lang w:val="es-ES_tradnl"/>
          </w:rPr>
          <w:t>P.452</w:t>
        </w:r>
      </w:hyperlink>
      <w:r w:rsidRPr="009A709D">
        <w:rPr>
          <w:lang w:val="es-ES_tradnl"/>
        </w:rPr>
        <w:t>.</w:t>
      </w:r>
    </w:p>
    <w:p w14:paraId="0E75BF16" w14:textId="1EED0AE2" w:rsidR="007A63A8" w:rsidRPr="009A709D" w:rsidRDefault="007A63A8" w:rsidP="00765549">
      <w:pPr>
        <w:rPr>
          <w:lang w:val="es-ES_tradnl"/>
        </w:rPr>
      </w:pPr>
      <w:r w:rsidRPr="009A709D">
        <w:rPr>
          <w:lang w:val="es-ES_tradnl"/>
        </w:rPr>
        <w:t>La distancia hallada mediante la</w:t>
      </w:r>
      <w:r w:rsidR="00BB0BAC" w:rsidRPr="009A709D">
        <w:rPr>
          <w:lang w:val="es-ES_tradnl"/>
        </w:rPr>
        <w:t xml:space="preserve"> metodología</w:t>
      </w:r>
      <w:r w:rsidRPr="009A709D">
        <w:rPr>
          <w:lang w:val="es-ES_tradnl"/>
        </w:rPr>
        <w:t xml:space="preserve"> TVG también depende de la potencia emitida. Los estudios muestran que la </w:t>
      </w:r>
      <w:r w:rsidR="009D55C5" w:rsidRPr="009A709D">
        <w:rPr>
          <w:lang w:val="es-ES_tradnl"/>
        </w:rPr>
        <w:t xml:space="preserve">fórmula de </w:t>
      </w:r>
      <w:r w:rsidRPr="009A709D">
        <w:rPr>
          <w:lang w:val="es-ES_tradnl"/>
        </w:rPr>
        <w:t xml:space="preserve">aproximación </w:t>
      </w:r>
      <w:r w:rsidR="009D55C5" w:rsidRPr="009A709D">
        <w:rPr>
          <w:lang w:val="es-ES_tradnl"/>
        </w:rPr>
        <w:t xml:space="preserve">antes </w:t>
      </w:r>
      <w:r w:rsidRPr="009A709D">
        <w:rPr>
          <w:lang w:val="es-ES_tradnl"/>
        </w:rPr>
        <w:t xml:space="preserve">mencionada </w:t>
      </w:r>
      <w:r w:rsidR="009D55C5" w:rsidRPr="009A709D">
        <w:rPr>
          <w:lang w:val="es-ES_tradnl"/>
        </w:rPr>
        <w:t>puede utilizarse perfectamente para una antena de 8 × 8 con una</w:t>
      </w:r>
      <w:r w:rsidRPr="009A709D">
        <w:rPr>
          <w:lang w:val="es-ES_tradnl"/>
        </w:rPr>
        <w:t xml:space="preserve"> potencia isótropa radiada </w:t>
      </w:r>
      <w:r w:rsidR="009D55C5" w:rsidRPr="009A709D">
        <w:rPr>
          <w:lang w:val="es-ES_tradnl"/>
        </w:rPr>
        <w:t>equivalente</w:t>
      </w:r>
      <w:r w:rsidRPr="009A709D">
        <w:rPr>
          <w:lang w:val="es-ES_tradnl"/>
        </w:rPr>
        <w:t xml:space="preserve"> (p.i.r.e.) de 48 dBm/200</w:t>
      </w:r>
      <w:r w:rsidR="00765549" w:rsidRPr="009A709D">
        <w:rPr>
          <w:lang w:val="es-ES_tradnl"/>
        </w:rPr>
        <w:t> </w:t>
      </w:r>
      <w:r w:rsidRPr="009A709D">
        <w:rPr>
          <w:lang w:val="es-ES_tradnl"/>
        </w:rPr>
        <w:t>MHz (25</w:t>
      </w:r>
      <w:r w:rsidR="00874EAE">
        <w:rPr>
          <w:lang w:val="es-ES_tradnl"/>
        </w:rPr>
        <w:t> </w:t>
      </w:r>
      <w:r w:rsidRPr="009A709D">
        <w:rPr>
          <w:lang w:val="es-ES_tradnl"/>
        </w:rPr>
        <w:t>dBm/200</w:t>
      </w:r>
      <w:r w:rsidR="00874EAE">
        <w:rPr>
          <w:lang w:val="es-ES_tradnl"/>
        </w:rPr>
        <w:t> </w:t>
      </w:r>
      <w:r w:rsidRPr="009A709D">
        <w:rPr>
          <w:lang w:val="es-ES_tradnl"/>
        </w:rPr>
        <w:t>MHz de potencia</w:t>
      </w:r>
      <w:r w:rsidR="009D55C5" w:rsidRPr="009A709D">
        <w:rPr>
          <w:lang w:val="es-ES_tradnl"/>
        </w:rPr>
        <w:t>,</w:t>
      </w:r>
      <w:r w:rsidRPr="009A709D">
        <w:rPr>
          <w:lang w:val="es-ES_tradnl"/>
        </w:rPr>
        <w:t xml:space="preserve"> considerando 3 dB de pérdidas óhmicas y 23</w:t>
      </w:r>
      <w:r w:rsidR="00765549" w:rsidRPr="009A709D">
        <w:rPr>
          <w:lang w:val="es-ES_tradnl"/>
        </w:rPr>
        <w:t> </w:t>
      </w:r>
      <w:r w:rsidRPr="009A709D">
        <w:rPr>
          <w:lang w:val="es-ES_tradnl"/>
        </w:rPr>
        <w:t>dBi de ganancia máxima), y podría ampliarse para una p.i.r.e. más elevada.</w:t>
      </w:r>
    </w:p>
    <w:p w14:paraId="56305E6C" w14:textId="62FCA3FF" w:rsidR="007A63A8" w:rsidRPr="009A709D" w:rsidRDefault="007A63A8" w:rsidP="00765549">
      <w:pPr>
        <w:rPr>
          <w:lang w:val="es-ES_tradnl"/>
        </w:rPr>
      </w:pPr>
      <w:r w:rsidRPr="009A709D">
        <w:rPr>
          <w:lang w:val="es-ES_tradnl"/>
        </w:rPr>
        <w:t>Otros estudios sobre la</w:t>
      </w:r>
      <w:r w:rsidR="009D55C5" w:rsidRPr="009A709D">
        <w:rPr>
          <w:lang w:val="es-ES_tradnl"/>
        </w:rPr>
        <w:t>s</w:t>
      </w:r>
      <w:r w:rsidRPr="009A709D">
        <w:rPr>
          <w:lang w:val="es-ES_tradnl"/>
        </w:rPr>
        <w:t xml:space="preserve"> estaci</w:t>
      </w:r>
      <w:r w:rsidR="009D55C5" w:rsidRPr="009A709D">
        <w:rPr>
          <w:lang w:val="es-ES_tradnl"/>
        </w:rPr>
        <w:t>ones</w:t>
      </w:r>
      <w:r w:rsidRPr="009A709D">
        <w:rPr>
          <w:lang w:val="es-ES_tradnl"/>
        </w:rPr>
        <w:t xml:space="preserve"> terrena</w:t>
      </w:r>
      <w:r w:rsidR="009D55C5" w:rsidRPr="009A709D">
        <w:rPr>
          <w:lang w:val="es-ES_tradnl"/>
        </w:rPr>
        <w:t>s</w:t>
      </w:r>
      <w:r w:rsidRPr="009A709D">
        <w:rPr>
          <w:lang w:val="es-ES_tradnl"/>
        </w:rPr>
        <w:t xml:space="preserve"> del SETS han demostrado que el cumplimiento de los criterios a corto plazo </w:t>
      </w:r>
      <w:r w:rsidR="009D55C5" w:rsidRPr="009A709D">
        <w:rPr>
          <w:lang w:val="es-ES_tradnl"/>
        </w:rPr>
        <w:t>(</w:t>
      </w:r>
      <w:r w:rsidRPr="009A709D">
        <w:rPr>
          <w:lang w:val="es-ES_tradnl"/>
        </w:rPr>
        <w:t>−133 dB(W/10 MHz) para un 0,1% (OSG) y −116</w:t>
      </w:r>
      <w:r w:rsidR="00765549" w:rsidRPr="009A709D">
        <w:rPr>
          <w:lang w:val="es-ES_tradnl"/>
        </w:rPr>
        <w:t> </w:t>
      </w:r>
      <w:r w:rsidRPr="009A709D">
        <w:rPr>
          <w:lang w:val="es-ES_tradnl"/>
        </w:rPr>
        <w:t>dB(W/10</w:t>
      </w:r>
      <w:r w:rsidR="00765549" w:rsidRPr="009A709D">
        <w:rPr>
          <w:lang w:val="es-ES_tradnl"/>
        </w:rPr>
        <w:t> </w:t>
      </w:r>
      <w:r w:rsidRPr="009A709D">
        <w:rPr>
          <w:lang w:val="es-ES_tradnl"/>
        </w:rPr>
        <w:t>MHz) para un 0,005% (no OSG)</w:t>
      </w:r>
      <w:r w:rsidR="009D55C5" w:rsidRPr="009A709D">
        <w:rPr>
          <w:lang w:val="es-ES_tradnl"/>
        </w:rPr>
        <w:t>)</w:t>
      </w:r>
      <w:r w:rsidRPr="009A709D">
        <w:rPr>
          <w:lang w:val="es-ES_tradnl"/>
        </w:rPr>
        <w:t xml:space="preserve"> comporta también el cumplimiento de los criterios a largo plazo. Así pues, para </w:t>
      </w:r>
      <w:r w:rsidR="00E12FB5" w:rsidRPr="009A709D">
        <w:rPr>
          <w:lang w:val="es-ES_tradnl"/>
        </w:rPr>
        <w:t>las estaciones terrenas del SETS</w:t>
      </w:r>
      <w:r w:rsidRPr="009A709D">
        <w:rPr>
          <w:lang w:val="es-ES_tradnl"/>
        </w:rPr>
        <w:t>, los estudios se han centra</w:t>
      </w:r>
      <w:r w:rsidR="00E12FB5" w:rsidRPr="009A709D">
        <w:rPr>
          <w:lang w:val="es-ES_tradnl"/>
        </w:rPr>
        <w:t>do</w:t>
      </w:r>
      <w:r w:rsidRPr="009A709D">
        <w:rPr>
          <w:lang w:val="es-ES_tradnl"/>
        </w:rPr>
        <w:t xml:space="preserve"> únicamente en ese criterio.</w:t>
      </w:r>
    </w:p>
    <w:p w14:paraId="18A32E40" w14:textId="5AC7F020" w:rsidR="007A63A8" w:rsidRPr="009A709D" w:rsidRDefault="007A63A8" w:rsidP="00765549">
      <w:pPr>
        <w:rPr>
          <w:lang w:val="es-ES_tradnl"/>
        </w:rPr>
      </w:pPr>
      <w:r w:rsidRPr="009A709D">
        <w:rPr>
          <w:lang w:val="es-ES_tradnl"/>
        </w:rPr>
        <w:t>En el caso de una estación terrena del SETS, la mayor parte del tiempo, la distancia de coordinación se limita a la</w:t>
      </w:r>
      <w:r w:rsidR="00E12FB5" w:rsidRPr="009A709D">
        <w:rPr>
          <w:lang w:val="es-ES_tradnl"/>
        </w:rPr>
        <w:t xml:space="preserve"> línea de</w:t>
      </w:r>
      <w:r w:rsidR="00BB0BAC" w:rsidRPr="009A709D">
        <w:rPr>
          <w:lang w:val="es-ES_tradnl"/>
        </w:rPr>
        <w:t xml:space="preserve"> </w:t>
      </w:r>
      <w:r w:rsidRPr="009A709D">
        <w:rPr>
          <w:lang w:val="es-ES_tradnl"/>
        </w:rPr>
        <w:t xml:space="preserve">visibilidad directa (LoS). En otras palabras, la distancia suele </w:t>
      </w:r>
      <w:r w:rsidR="00E12FB5" w:rsidRPr="009A709D">
        <w:rPr>
          <w:lang w:val="es-ES_tradnl"/>
        </w:rPr>
        <w:t>ser similar o inferior a</w:t>
      </w:r>
      <w:r w:rsidRPr="009A709D">
        <w:rPr>
          <w:lang w:val="es-ES_tradnl"/>
        </w:rPr>
        <w:t xml:space="preserve">l horizonte radioeléctrico. </w:t>
      </w:r>
      <w:r w:rsidR="00E12FB5" w:rsidRPr="009A709D">
        <w:rPr>
          <w:lang w:val="es-ES_tradnl"/>
        </w:rPr>
        <w:t>En este contexto</w:t>
      </w:r>
      <w:r w:rsidRPr="009A709D">
        <w:rPr>
          <w:lang w:val="es-ES_tradnl"/>
        </w:rPr>
        <w:t xml:space="preserve">, las pérdidas calculadas </w:t>
      </w:r>
      <w:r w:rsidR="00E12FB5" w:rsidRPr="009A709D">
        <w:rPr>
          <w:lang w:val="es-ES_tradnl"/>
        </w:rPr>
        <w:t>de acuerdo con</w:t>
      </w:r>
      <w:r w:rsidRPr="009A709D">
        <w:rPr>
          <w:lang w:val="es-ES_tradnl"/>
        </w:rPr>
        <w:t xml:space="preserve"> la Recomendación UIT-R </w:t>
      </w:r>
      <w:hyperlink r:id="rId65" w:history="1">
        <w:r w:rsidRPr="009A709D">
          <w:rPr>
            <w:rStyle w:val="Hyperlink"/>
            <w:color w:val="auto"/>
            <w:u w:val="none"/>
            <w:lang w:val="es-ES_tradnl"/>
          </w:rPr>
          <w:t>P.452</w:t>
        </w:r>
      </w:hyperlink>
      <w:r w:rsidRPr="009A709D">
        <w:rPr>
          <w:lang w:val="es-ES_tradnl"/>
        </w:rPr>
        <w:t xml:space="preserve"> (condiciones del 50% y LoS) se basan en las pérdidas en el espacio libre y </w:t>
      </w:r>
      <w:r w:rsidR="00E12FB5" w:rsidRPr="009A709D">
        <w:rPr>
          <w:lang w:val="es-ES_tradnl"/>
        </w:rPr>
        <w:t>la</w:t>
      </w:r>
      <w:r w:rsidRPr="009A709D">
        <w:rPr>
          <w:lang w:val="es-ES_tradnl"/>
        </w:rPr>
        <w:t xml:space="preserve"> difracción.</w:t>
      </w:r>
    </w:p>
    <w:p w14:paraId="47321EFF" w14:textId="77777777" w:rsidR="007A63A8" w:rsidRPr="009A709D" w:rsidRDefault="007A63A8" w:rsidP="00765549">
      <w:pPr>
        <w:pStyle w:val="Heading1"/>
        <w:rPr>
          <w:lang w:val="es-ES_tradnl"/>
        </w:rPr>
      </w:pPr>
      <w:bookmarkStart w:id="240" w:name="_Toc83389370"/>
      <w:bookmarkStart w:id="241" w:name="_Toc83712988"/>
      <w:bookmarkStart w:id="242" w:name="_Toc83713061"/>
      <w:bookmarkStart w:id="243" w:name="_Toc83713174"/>
      <w:bookmarkStart w:id="244" w:name="_Toc83723577"/>
      <w:bookmarkStart w:id="245" w:name="_Toc86738393"/>
      <w:bookmarkStart w:id="246" w:name="_Toc102570784"/>
      <w:bookmarkStart w:id="247" w:name="_Toc102986177"/>
      <w:r w:rsidRPr="009A709D">
        <w:rPr>
          <w:lang w:val="es-ES_tradnl"/>
        </w:rPr>
        <w:t>2</w:t>
      </w:r>
      <w:r w:rsidRPr="009A709D">
        <w:rPr>
          <w:lang w:val="es-ES_tradnl"/>
        </w:rPr>
        <w:tab/>
        <w:t>Pérdidas de propagación</w:t>
      </w:r>
      <w:bookmarkEnd w:id="240"/>
      <w:bookmarkEnd w:id="241"/>
      <w:bookmarkEnd w:id="242"/>
      <w:bookmarkEnd w:id="243"/>
      <w:bookmarkEnd w:id="244"/>
      <w:bookmarkEnd w:id="245"/>
      <w:bookmarkEnd w:id="246"/>
      <w:bookmarkEnd w:id="247"/>
    </w:p>
    <w:p w14:paraId="68DBFCFE" w14:textId="449B5F01" w:rsidR="007A63A8" w:rsidRPr="009A709D" w:rsidRDefault="007A63A8" w:rsidP="00765549">
      <w:pPr>
        <w:rPr>
          <w:lang w:val="es-ES_tradnl"/>
        </w:rPr>
      </w:pPr>
      <w:r w:rsidRPr="009A709D">
        <w:rPr>
          <w:lang w:val="es-ES_tradnl"/>
        </w:rPr>
        <w:t>En condiciones de LoS, como se describe en la Recomendación UIT-R</w:t>
      </w:r>
      <w:r w:rsidR="00874EAE">
        <w:rPr>
          <w:lang w:val="es-ES_tradnl"/>
        </w:rPr>
        <w:t> </w:t>
      </w:r>
      <w:hyperlink r:id="rId66" w:history="1">
        <w:r w:rsidRPr="009A709D">
          <w:rPr>
            <w:rStyle w:val="Hyperlink"/>
            <w:color w:val="auto"/>
            <w:u w:val="none"/>
            <w:lang w:val="es-ES_tradnl"/>
          </w:rPr>
          <w:t>P.452</w:t>
        </w:r>
      </w:hyperlink>
      <w:r w:rsidRPr="009A709D">
        <w:rPr>
          <w:lang w:val="es-ES_tradnl"/>
        </w:rPr>
        <w:t xml:space="preserve">, los efectos de propagación por conductos y dispersión troposférica no desempeñan ningún papel, y las pérdidas mínimas vienen dadas por el espacio libre y por la difracción. Las pérdidas en el espacio libre incrementadas con la distancia y las difracciones están asociadas a la presencia de obstáculos físicos en el trayecto de propagación, así como a la difracción </w:t>
      </w:r>
      <w:r w:rsidR="000B2AFF" w:rsidRPr="009A709D">
        <w:rPr>
          <w:lang w:val="es-ES_tradnl"/>
        </w:rPr>
        <w:t xml:space="preserve">causada </w:t>
      </w:r>
      <w:r w:rsidRPr="009A709D">
        <w:rPr>
          <w:lang w:val="es-ES_tradnl"/>
        </w:rPr>
        <w:t xml:space="preserve">por la </w:t>
      </w:r>
      <w:r w:rsidR="000B2AFF" w:rsidRPr="009A709D">
        <w:rPr>
          <w:lang w:val="es-ES_tradnl"/>
        </w:rPr>
        <w:t>esfericidad</w:t>
      </w:r>
      <w:r w:rsidRPr="009A709D">
        <w:rPr>
          <w:lang w:val="es-ES_tradnl"/>
        </w:rPr>
        <w:t xml:space="preserve"> de la Tierra. Las</w:t>
      </w:r>
      <w:r w:rsidR="00874EAE">
        <w:rPr>
          <w:lang w:val="es-ES_tradnl"/>
        </w:rPr>
        <w:t> </w:t>
      </w:r>
      <w:r w:rsidRPr="009A709D">
        <w:rPr>
          <w:lang w:val="es-ES_tradnl"/>
        </w:rPr>
        <w:t>pérdidas por difracción dependen del número de obstáculos y de su altura, así como de la altura de la antena de la estación base IMT-2020 y la altura de la antena de la estación terrena.</w:t>
      </w:r>
    </w:p>
    <w:p w14:paraId="5A858CBD" w14:textId="30530242" w:rsidR="007A63A8" w:rsidRPr="009A709D" w:rsidRDefault="007A63A8" w:rsidP="00765549">
      <w:pPr>
        <w:rPr>
          <w:lang w:val="es-ES_tradnl"/>
        </w:rPr>
      </w:pPr>
      <w:r w:rsidRPr="009A709D">
        <w:rPr>
          <w:lang w:val="es-ES_tradnl"/>
        </w:rPr>
        <w:t xml:space="preserve">En un entorno urbano, con una estación base IMT </w:t>
      </w:r>
      <w:r w:rsidR="000B2AFF" w:rsidRPr="009A709D">
        <w:rPr>
          <w:lang w:val="es-ES_tradnl"/>
        </w:rPr>
        <w:t>cuyo</w:t>
      </w:r>
      <w:r w:rsidRPr="009A709D">
        <w:rPr>
          <w:lang w:val="es-ES_tradnl"/>
        </w:rPr>
        <w:t xml:space="preserve"> punto de acceso</w:t>
      </w:r>
      <w:r w:rsidR="000B2AFF" w:rsidRPr="009A709D">
        <w:rPr>
          <w:lang w:val="es-ES_tradnl"/>
        </w:rPr>
        <w:t xml:space="preserve"> se halle</w:t>
      </w:r>
      <w:r w:rsidRPr="009A709D">
        <w:rPr>
          <w:lang w:val="es-ES_tradnl"/>
        </w:rPr>
        <w:t xml:space="preserve"> a 6 m de altura, la difracción debida a los edificios (</w:t>
      </w:r>
      <w:r w:rsidR="000B2AFF" w:rsidRPr="009A709D">
        <w:rPr>
          <w:lang w:val="es-ES_tradnl"/>
        </w:rPr>
        <w:t>véase</w:t>
      </w:r>
      <w:r w:rsidRPr="009A709D">
        <w:rPr>
          <w:lang w:val="es-ES_tradnl"/>
        </w:rPr>
        <w:t xml:space="preserve"> la contribución de la ocupación del suelo) podría revestir </w:t>
      </w:r>
      <w:r w:rsidR="000B2AFF" w:rsidRPr="009A709D">
        <w:rPr>
          <w:lang w:val="es-ES_tradnl"/>
        </w:rPr>
        <w:t>una</w:t>
      </w:r>
      <w:r w:rsidRPr="009A709D">
        <w:rPr>
          <w:lang w:val="es-ES_tradnl"/>
        </w:rPr>
        <w:t xml:space="preserve"> importancia</w:t>
      </w:r>
      <w:r w:rsidR="000B2AFF" w:rsidRPr="009A709D">
        <w:rPr>
          <w:lang w:val="es-ES_tradnl"/>
        </w:rPr>
        <w:t xml:space="preserve"> particular</w:t>
      </w:r>
      <w:r w:rsidRPr="009A709D">
        <w:rPr>
          <w:lang w:val="es-ES_tradnl"/>
        </w:rPr>
        <w:t>. A modo de ejemplo, las curvas que proporciona la Recomendación UIT</w:t>
      </w:r>
      <w:r w:rsidR="00874EAE">
        <w:rPr>
          <w:lang w:val="es-ES_tradnl"/>
        </w:rPr>
        <w:noBreakHyphen/>
      </w:r>
      <w:r w:rsidRPr="009A709D">
        <w:rPr>
          <w:lang w:val="es-ES_tradnl"/>
        </w:rPr>
        <w:t>R</w:t>
      </w:r>
      <w:r w:rsidR="00874EAE">
        <w:rPr>
          <w:lang w:val="es-ES_tradnl"/>
        </w:rPr>
        <w:t> </w:t>
      </w:r>
      <w:hyperlink r:id="rId67" w:history="1">
        <w:r w:rsidRPr="009A709D">
          <w:rPr>
            <w:rStyle w:val="Hyperlink"/>
            <w:color w:val="auto"/>
            <w:u w:val="none"/>
            <w:lang w:val="es-ES_tradnl"/>
          </w:rPr>
          <w:t>P.2108</w:t>
        </w:r>
      </w:hyperlink>
      <w:r w:rsidRPr="009A709D">
        <w:rPr>
          <w:lang w:val="es-ES_tradnl"/>
        </w:rPr>
        <w:t xml:space="preserve"> indican pérdidas por difracción de entre 13 y 45 dB en los primeros 500 m. Para esa distancia, el valor medio se aproxima a los 19 dB. Este valor es arbitrario y se utilizará como ejemplo en el cálculo. Sin embargo, el uso de un perfil de terreno real con alturas de edificios es más preciso. La</w:t>
      </w:r>
      <w:r w:rsidR="00874EAE">
        <w:rPr>
          <w:lang w:val="es-ES_tradnl"/>
        </w:rPr>
        <w:t> </w:t>
      </w:r>
      <w:r w:rsidRPr="009A709D">
        <w:rPr>
          <w:lang w:val="es-ES_tradnl"/>
        </w:rPr>
        <w:t>Fig.</w:t>
      </w:r>
      <w:r w:rsidR="00874EAE">
        <w:rPr>
          <w:lang w:val="es-ES_tradnl"/>
        </w:rPr>
        <w:t> </w:t>
      </w:r>
      <w:r w:rsidRPr="009A709D">
        <w:rPr>
          <w:lang w:val="es-ES_tradnl"/>
        </w:rPr>
        <w:t>17 ofrece un ejemplo de las alturas de edificios que pueden utilizarse en la simulación.</w:t>
      </w:r>
    </w:p>
    <w:p w14:paraId="50752126" w14:textId="2FD159C1" w:rsidR="007A63A8" w:rsidRPr="009A709D" w:rsidRDefault="007A63A8" w:rsidP="007A63A8">
      <w:pPr>
        <w:pStyle w:val="FigureNo"/>
        <w:rPr>
          <w:lang w:val="es-ES_tradnl"/>
        </w:rPr>
      </w:pPr>
      <w:r w:rsidRPr="009A709D">
        <w:rPr>
          <w:lang w:val="es-ES_tradnl"/>
        </w:rPr>
        <w:lastRenderedPageBreak/>
        <w:t>FIGURA 17</w:t>
      </w:r>
    </w:p>
    <w:p w14:paraId="38859DA0" w14:textId="6A2802EA" w:rsidR="007A63A8" w:rsidRPr="009A709D" w:rsidRDefault="007A63A8" w:rsidP="007A63A8">
      <w:pPr>
        <w:pStyle w:val="Figuretitle"/>
        <w:rPr>
          <w:lang w:val="es-ES_tradnl"/>
        </w:rPr>
      </w:pPr>
      <w:r w:rsidRPr="009A709D">
        <w:rPr>
          <w:lang w:val="es-ES_tradnl"/>
        </w:rPr>
        <w:t>Ejemplo de alturas de edificios en el centro de la ciudad de Toulouse</w:t>
      </w:r>
    </w:p>
    <w:p w14:paraId="78FCCF66" w14:textId="7BA09193" w:rsidR="007A63A8" w:rsidRPr="009A709D" w:rsidRDefault="00E608C5" w:rsidP="007A63A8">
      <w:pPr>
        <w:pStyle w:val="Figure"/>
        <w:rPr>
          <w:lang w:val="es-ES_tradnl"/>
        </w:rPr>
      </w:pPr>
      <w:r w:rsidRPr="009A709D">
        <w:rPr>
          <w:noProof/>
          <w:lang w:val="es-ES_tradnl" w:eastAsia="es-ES"/>
        </w:rPr>
        <w:drawing>
          <wp:inline distT="0" distB="0" distL="0" distR="0" wp14:anchorId="59FDAA1D" wp14:editId="024AC064">
            <wp:extent cx="5108458" cy="3727712"/>
            <wp:effectExtent l="0" t="0" r="0" b="6350"/>
            <wp:docPr id="12771" name="Picture 1277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 name="Picture 12771" descr="Map&#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08458" cy="3727712"/>
                    </a:xfrm>
                    <a:prstGeom prst="rect">
                      <a:avLst/>
                    </a:prstGeom>
                  </pic:spPr>
                </pic:pic>
              </a:graphicData>
            </a:graphic>
          </wp:inline>
        </w:drawing>
      </w:r>
    </w:p>
    <w:p w14:paraId="15AD78D0" w14:textId="22BE6CEA" w:rsidR="007A63A8" w:rsidRPr="009A709D" w:rsidRDefault="007A63A8" w:rsidP="00765549">
      <w:pPr>
        <w:pStyle w:val="Heading1"/>
        <w:rPr>
          <w:lang w:val="es-ES_tradnl"/>
        </w:rPr>
      </w:pPr>
      <w:bookmarkStart w:id="248" w:name="_Toc83389371"/>
      <w:bookmarkStart w:id="249" w:name="_Toc83712989"/>
      <w:bookmarkStart w:id="250" w:name="_Toc83713062"/>
      <w:bookmarkStart w:id="251" w:name="_Toc83713175"/>
      <w:bookmarkStart w:id="252" w:name="_Toc83723578"/>
      <w:bookmarkStart w:id="253" w:name="_Toc86738394"/>
      <w:bookmarkStart w:id="254" w:name="_Toc102570785"/>
      <w:bookmarkStart w:id="255" w:name="_Toc102986178"/>
      <w:r w:rsidRPr="009A709D">
        <w:rPr>
          <w:lang w:val="es-ES_tradnl"/>
        </w:rPr>
        <w:t>3</w:t>
      </w:r>
      <w:r w:rsidRPr="009A709D">
        <w:rPr>
          <w:lang w:val="es-ES_tradnl"/>
        </w:rPr>
        <w:tab/>
        <w:t xml:space="preserve">Efecto </w:t>
      </w:r>
      <w:r w:rsidR="001113E7" w:rsidRPr="009A709D">
        <w:rPr>
          <w:lang w:val="es-ES_tradnl"/>
        </w:rPr>
        <w:t>combinado</w:t>
      </w:r>
      <w:r w:rsidRPr="009A709D">
        <w:rPr>
          <w:lang w:val="es-ES_tradnl"/>
        </w:rPr>
        <w:t xml:space="preserve"> de </w:t>
      </w:r>
      <w:r w:rsidR="001113E7" w:rsidRPr="009A709D">
        <w:rPr>
          <w:lang w:val="es-ES_tradnl"/>
        </w:rPr>
        <w:t>varias</w:t>
      </w:r>
      <w:r w:rsidRPr="009A709D">
        <w:rPr>
          <w:lang w:val="es-ES_tradnl"/>
        </w:rPr>
        <w:t xml:space="preserve"> estaciones base IMT-2020 en </w:t>
      </w:r>
      <w:r w:rsidR="001113E7" w:rsidRPr="009A709D">
        <w:rPr>
          <w:lang w:val="es-ES_tradnl"/>
        </w:rPr>
        <w:t>una</w:t>
      </w:r>
      <w:r w:rsidRPr="009A709D">
        <w:rPr>
          <w:lang w:val="es-ES_tradnl"/>
        </w:rPr>
        <w:t xml:space="preserve"> estación terrena del SETS</w:t>
      </w:r>
      <w:bookmarkEnd w:id="248"/>
      <w:bookmarkEnd w:id="249"/>
      <w:bookmarkEnd w:id="250"/>
      <w:bookmarkEnd w:id="251"/>
      <w:bookmarkEnd w:id="252"/>
      <w:bookmarkEnd w:id="253"/>
      <w:bookmarkEnd w:id="254"/>
      <w:bookmarkEnd w:id="255"/>
    </w:p>
    <w:p w14:paraId="3B0087AC" w14:textId="0342F873" w:rsidR="007A63A8" w:rsidRPr="009A709D" w:rsidRDefault="001113E7" w:rsidP="00765549">
      <w:pPr>
        <w:rPr>
          <w:lang w:val="es-ES_tradnl"/>
        </w:rPr>
      </w:pPr>
      <w:r w:rsidRPr="009A709D">
        <w:rPr>
          <w:lang w:val="es-ES_tradnl"/>
        </w:rPr>
        <w:t>Varias</w:t>
      </w:r>
      <w:r w:rsidR="007A63A8" w:rsidRPr="009A709D">
        <w:rPr>
          <w:lang w:val="es-ES_tradnl"/>
        </w:rPr>
        <w:t xml:space="preserve"> estaciones base</w:t>
      </w:r>
      <w:r w:rsidRPr="009A709D">
        <w:rPr>
          <w:lang w:val="es-ES_tradnl"/>
        </w:rPr>
        <w:t xml:space="preserve"> podrán producir un efecto combinado </w:t>
      </w:r>
      <w:r w:rsidR="007A63A8" w:rsidRPr="009A709D">
        <w:rPr>
          <w:lang w:val="es-ES_tradnl"/>
        </w:rPr>
        <w:t xml:space="preserve">si </w:t>
      </w:r>
      <w:r w:rsidRPr="009A709D">
        <w:rPr>
          <w:lang w:val="es-ES_tradnl"/>
        </w:rPr>
        <w:t>parte de sus</w:t>
      </w:r>
      <w:r w:rsidR="007A63A8" w:rsidRPr="009A709D">
        <w:rPr>
          <w:lang w:val="es-ES_tradnl"/>
        </w:rPr>
        <w:t xml:space="preserve"> emisiones genera una potencia de la misma magnitud en el receptor del SETS. Para obtener esa condición en una situación </w:t>
      </w:r>
      <w:r w:rsidRPr="009A709D">
        <w:rPr>
          <w:lang w:val="es-ES_tradnl"/>
        </w:rPr>
        <w:t xml:space="preserve">de </w:t>
      </w:r>
      <w:r w:rsidR="007A63A8" w:rsidRPr="009A709D">
        <w:rPr>
          <w:lang w:val="es-ES_tradnl"/>
        </w:rPr>
        <w:t xml:space="preserve">LoS, considerando la anterior premisa de cálculo (ganancia máx., 50%), las </w:t>
      </w:r>
      <w:r w:rsidR="00F019B4" w:rsidRPr="009A709D">
        <w:rPr>
          <w:lang w:val="es-ES_tradnl"/>
        </w:rPr>
        <w:t>EB</w:t>
      </w:r>
      <w:r w:rsidR="007A63A8" w:rsidRPr="009A709D">
        <w:rPr>
          <w:lang w:val="es-ES_tradnl"/>
        </w:rPr>
        <w:t xml:space="preserve"> deben </w:t>
      </w:r>
      <w:r w:rsidRPr="009A709D">
        <w:rPr>
          <w:lang w:val="es-ES_tradnl"/>
        </w:rPr>
        <w:t>alcanzar su</w:t>
      </w:r>
      <w:r w:rsidR="007A63A8" w:rsidRPr="009A709D">
        <w:rPr>
          <w:lang w:val="es-ES_tradnl"/>
        </w:rPr>
        <w:t xml:space="preserve"> ganancia máxima </w:t>
      </w:r>
      <w:r w:rsidR="00D22C30" w:rsidRPr="009A709D">
        <w:rPr>
          <w:lang w:val="es-ES_tradnl"/>
        </w:rPr>
        <w:t>en dirección a</w:t>
      </w:r>
      <w:r w:rsidR="007A63A8" w:rsidRPr="009A709D">
        <w:rPr>
          <w:lang w:val="es-ES_tradnl"/>
        </w:rPr>
        <w:t xml:space="preserve"> la estación terrena </w:t>
      </w:r>
      <w:r w:rsidR="00D22C30" w:rsidRPr="009A709D">
        <w:rPr>
          <w:lang w:val="es-ES_tradnl"/>
        </w:rPr>
        <w:t xml:space="preserve">y sufrir prácticamente </w:t>
      </w:r>
      <w:r w:rsidR="007A63A8" w:rsidRPr="009A709D">
        <w:rPr>
          <w:lang w:val="es-ES_tradnl"/>
        </w:rPr>
        <w:t>las mismas pérdidas en cada trayect</w:t>
      </w:r>
      <w:r w:rsidR="00D22C30" w:rsidRPr="009A709D">
        <w:rPr>
          <w:lang w:val="es-ES_tradnl"/>
        </w:rPr>
        <w:t>o</w:t>
      </w:r>
      <w:r w:rsidR="007A63A8" w:rsidRPr="009A709D">
        <w:rPr>
          <w:lang w:val="es-ES_tradnl"/>
        </w:rPr>
        <w:t xml:space="preserve"> de propagación. Considerando un entorno urbano con distintos trayectos de propagación y múltiples niveles de pérdidas por difracción, es posible que </w:t>
      </w:r>
      <w:r w:rsidR="00D22C30" w:rsidRPr="009A709D">
        <w:rPr>
          <w:lang w:val="es-ES_tradnl"/>
        </w:rPr>
        <w:t xml:space="preserve">esta situación </w:t>
      </w:r>
      <w:r w:rsidR="007A63A8" w:rsidRPr="009A709D">
        <w:rPr>
          <w:lang w:val="es-ES_tradnl"/>
        </w:rPr>
        <w:t>no pueda soslayar</w:t>
      </w:r>
      <w:r w:rsidR="00D22C30" w:rsidRPr="009A709D">
        <w:rPr>
          <w:lang w:val="es-ES_tradnl"/>
        </w:rPr>
        <w:t>se</w:t>
      </w:r>
      <w:r w:rsidR="007A63A8" w:rsidRPr="009A709D">
        <w:rPr>
          <w:lang w:val="es-ES_tradnl"/>
        </w:rPr>
        <w:t xml:space="preserve"> por completo. </w:t>
      </w:r>
      <w:r w:rsidR="00D22C30" w:rsidRPr="009A709D">
        <w:rPr>
          <w:lang w:val="es-ES_tradnl"/>
        </w:rPr>
        <w:t>En consecuencia</w:t>
      </w:r>
      <w:r w:rsidR="007A63A8" w:rsidRPr="009A709D">
        <w:rPr>
          <w:lang w:val="es-ES_tradnl"/>
        </w:rPr>
        <w:t xml:space="preserve">, </w:t>
      </w:r>
      <w:r w:rsidR="00D22C30" w:rsidRPr="009A709D">
        <w:rPr>
          <w:lang w:val="es-ES_tradnl"/>
        </w:rPr>
        <w:t xml:space="preserve">para tener en cuenta este efecto combinado, podría incrementarse el </w:t>
      </w:r>
      <w:r w:rsidR="007A63A8" w:rsidRPr="009A709D">
        <w:rPr>
          <w:lang w:val="es-ES_tradnl"/>
        </w:rPr>
        <w:t xml:space="preserve">margen </w:t>
      </w:r>
      <w:r w:rsidR="00D22C30" w:rsidRPr="009A709D">
        <w:rPr>
          <w:lang w:val="es-ES_tradnl"/>
        </w:rPr>
        <w:t>aplicable a l</w:t>
      </w:r>
      <w:r w:rsidR="007A63A8" w:rsidRPr="009A709D">
        <w:rPr>
          <w:lang w:val="es-ES_tradnl"/>
        </w:rPr>
        <w:t>os criterios de protección del SETS.</w:t>
      </w:r>
    </w:p>
    <w:p w14:paraId="1E61AF99" w14:textId="77777777" w:rsidR="007A63A8" w:rsidRPr="009A709D" w:rsidRDefault="007A63A8" w:rsidP="00765549">
      <w:pPr>
        <w:pStyle w:val="Heading1"/>
        <w:rPr>
          <w:lang w:val="es-ES_tradnl"/>
        </w:rPr>
      </w:pPr>
      <w:bookmarkStart w:id="256" w:name="_Toc83389372"/>
      <w:bookmarkStart w:id="257" w:name="_Toc83712990"/>
      <w:bookmarkStart w:id="258" w:name="_Toc83713063"/>
      <w:bookmarkStart w:id="259" w:name="_Toc83713176"/>
      <w:bookmarkStart w:id="260" w:name="_Toc83723579"/>
      <w:bookmarkStart w:id="261" w:name="_Toc86738395"/>
      <w:bookmarkStart w:id="262" w:name="_Toc102570786"/>
      <w:bookmarkStart w:id="263" w:name="_Toc102986179"/>
      <w:r w:rsidRPr="009A709D">
        <w:rPr>
          <w:lang w:val="es-ES_tradnl"/>
        </w:rPr>
        <w:t>4</w:t>
      </w:r>
      <w:r w:rsidRPr="009A709D">
        <w:rPr>
          <w:lang w:val="es-ES_tradnl"/>
        </w:rPr>
        <w:tab/>
        <w:t>Estación terrena que sigue a un satélite OSG</w:t>
      </w:r>
      <w:bookmarkEnd w:id="256"/>
      <w:bookmarkEnd w:id="257"/>
      <w:bookmarkEnd w:id="258"/>
      <w:bookmarkEnd w:id="259"/>
      <w:bookmarkEnd w:id="260"/>
      <w:bookmarkEnd w:id="261"/>
      <w:bookmarkEnd w:id="262"/>
      <w:bookmarkEnd w:id="263"/>
    </w:p>
    <w:p w14:paraId="249A3974" w14:textId="77777777" w:rsidR="007A63A8" w:rsidRPr="009A709D" w:rsidRDefault="007A63A8" w:rsidP="00765549">
      <w:pPr>
        <w:pStyle w:val="Heading2"/>
        <w:rPr>
          <w:lang w:val="es-ES_tradnl"/>
        </w:rPr>
      </w:pPr>
      <w:bookmarkStart w:id="264" w:name="_Toc83389373"/>
      <w:bookmarkStart w:id="265" w:name="_Toc83712991"/>
      <w:bookmarkStart w:id="266" w:name="_Toc83713064"/>
      <w:bookmarkStart w:id="267" w:name="_Toc83713177"/>
      <w:bookmarkStart w:id="268" w:name="_Toc83723580"/>
      <w:bookmarkStart w:id="269" w:name="_Toc86738396"/>
      <w:bookmarkStart w:id="270" w:name="_Toc102570787"/>
      <w:bookmarkStart w:id="271" w:name="_Toc102986180"/>
      <w:r w:rsidRPr="009A709D">
        <w:rPr>
          <w:lang w:val="es-ES_tradnl"/>
        </w:rPr>
        <w:t>4.1</w:t>
      </w:r>
      <w:r w:rsidRPr="009A709D">
        <w:rPr>
          <w:lang w:val="es-ES_tradnl"/>
        </w:rPr>
        <w:tab/>
        <w:t>Normas generales</w:t>
      </w:r>
      <w:bookmarkEnd w:id="264"/>
      <w:bookmarkEnd w:id="265"/>
      <w:bookmarkEnd w:id="266"/>
      <w:bookmarkEnd w:id="267"/>
      <w:bookmarkEnd w:id="268"/>
      <w:bookmarkEnd w:id="269"/>
      <w:bookmarkEnd w:id="270"/>
      <w:bookmarkEnd w:id="271"/>
    </w:p>
    <w:p w14:paraId="4B9AEBCF" w14:textId="0EC561B7" w:rsidR="007A63A8" w:rsidRPr="009A709D" w:rsidRDefault="007A63A8" w:rsidP="00765549">
      <w:pPr>
        <w:rPr>
          <w:lang w:val="es-ES_tradnl"/>
        </w:rPr>
      </w:pPr>
      <w:r w:rsidRPr="009A709D">
        <w:rPr>
          <w:lang w:val="es-ES_tradnl"/>
        </w:rPr>
        <w:t xml:space="preserve">Tal y como se menciona en el </w:t>
      </w:r>
      <w:r w:rsidR="00A23009" w:rsidRPr="00D81D07">
        <w:t>§ </w:t>
      </w:r>
      <w:r w:rsidRPr="009A709D">
        <w:rPr>
          <w:lang w:val="es-ES_tradnl"/>
        </w:rPr>
        <w:t xml:space="preserve">1 del presente Anexo, </w:t>
      </w:r>
      <w:r w:rsidR="00D22C30" w:rsidRPr="009A709D">
        <w:rPr>
          <w:lang w:val="es-ES_tradnl"/>
        </w:rPr>
        <w:t xml:space="preserve">en la zona de coordinación, </w:t>
      </w:r>
      <w:r w:rsidRPr="009A709D">
        <w:rPr>
          <w:lang w:val="es-ES_tradnl"/>
        </w:rPr>
        <w:t>la distancia de separación entre una estación terrena que apunta hacia un satélite OSG y una estación base IMT</w:t>
      </w:r>
      <w:r w:rsidR="00743F83" w:rsidRPr="009A709D">
        <w:rPr>
          <w:lang w:val="es-ES_tradnl"/>
        </w:rPr>
        <w:noBreakHyphen/>
      </w:r>
      <w:r w:rsidRPr="009A709D">
        <w:rPr>
          <w:lang w:val="es-ES_tradnl"/>
        </w:rPr>
        <w:t>2020 puede definirse considerando:</w:t>
      </w:r>
    </w:p>
    <w:p w14:paraId="115547C8" w14:textId="50F710A9" w:rsidR="007A63A8" w:rsidRPr="009A709D" w:rsidRDefault="007A63A8" w:rsidP="007A63A8">
      <w:pPr>
        <w:pStyle w:val="enumlev1"/>
        <w:rPr>
          <w:lang w:val="es-ES_tradnl"/>
        </w:rPr>
      </w:pPr>
      <w:r w:rsidRPr="009A709D">
        <w:rPr>
          <w:lang w:val="es-ES_tradnl"/>
        </w:rPr>
        <w:t>1</w:t>
      </w:r>
      <w:r w:rsidR="00874EAE">
        <w:rPr>
          <w:lang w:val="es-ES_tradnl"/>
        </w:rPr>
        <w:t>)</w:t>
      </w:r>
      <w:r w:rsidRPr="009A709D">
        <w:rPr>
          <w:lang w:val="es-ES_tradnl"/>
        </w:rPr>
        <w:tab/>
        <w:t>la ganancia máxima de la estación terrena hacia el horizonte (</w:t>
      </w:r>
      <w:r w:rsidRPr="009A709D">
        <w:rPr>
          <w:i/>
          <w:lang w:val="es-ES_tradnl"/>
        </w:rPr>
        <w:t>G</w:t>
      </w:r>
      <w:r w:rsidRPr="009A709D">
        <w:rPr>
          <w:i/>
          <w:vertAlign w:val="subscript"/>
          <w:lang w:val="es-ES_tradnl"/>
        </w:rPr>
        <w:t>rmax</w:t>
      </w:r>
      <w:r w:rsidRPr="009A709D">
        <w:rPr>
          <w:lang w:val="es-ES_tradnl"/>
        </w:rPr>
        <w:t>);</w:t>
      </w:r>
    </w:p>
    <w:p w14:paraId="0FAF867F" w14:textId="7BB0C01F" w:rsidR="007A63A8" w:rsidRPr="009A709D" w:rsidRDefault="007A63A8" w:rsidP="007A63A8">
      <w:pPr>
        <w:pStyle w:val="enumlev1"/>
        <w:rPr>
          <w:lang w:val="es-ES_tradnl"/>
        </w:rPr>
      </w:pPr>
      <w:r w:rsidRPr="009A709D">
        <w:rPr>
          <w:lang w:val="es-ES_tradnl"/>
        </w:rPr>
        <w:t>2</w:t>
      </w:r>
      <w:r w:rsidR="00874EAE">
        <w:rPr>
          <w:lang w:val="es-ES_tradnl"/>
        </w:rPr>
        <w:t>)</w:t>
      </w:r>
      <w:r w:rsidRPr="009A709D">
        <w:rPr>
          <w:lang w:val="es-ES_tradnl"/>
        </w:rPr>
        <w:tab/>
        <w:t xml:space="preserve">la ganancia máxima de la </w:t>
      </w:r>
      <w:r w:rsidR="00F019B4" w:rsidRPr="009A709D">
        <w:rPr>
          <w:lang w:val="es-ES_tradnl"/>
        </w:rPr>
        <w:t>EB</w:t>
      </w:r>
      <w:r w:rsidRPr="009A709D">
        <w:rPr>
          <w:lang w:val="es-ES_tradnl"/>
        </w:rPr>
        <w:t xml:space="preserve"> hacia el horizonte (</w:t>
      </w:r>
      <w:r w:rsidRPr="009A709D">
        <w:rPr>
          <w:i/>
          <w:lang w:val="es-ES_tradnl"/>
        </w:rPr>
        <w:t>G</w:t>
      </w:r>
      <w:r w:rsidRPr="009A709D">
        <w:rPr>
          <w:i/>
          <w:vertAlign w:val="subscript"/>
          <w:lang w:val="es-ES_tradnl"/>
        </w:rPr>
        <w:t>tmax</w:t>
      </w:r>
      <w:r w:rsidRPr="009A709D">
        <w:rPr>
          <w:lang w:val="es-ES_tradnl"/>
        </w:rPr>
        <w:t>);</w:t>
      </w:r>
    </w:p>
    <w:p w14:paraId="5BC76A83" w14:textId="14F37A14" w:rsidR="007A63A8" w:rsidRPr="009A709D" w:rsidRDefault="007A63A8" w:rsidP="007A63A8">
      <w:pPr>
        <w:pStyle w:val="enumlev1"/>
        <w:rPr>
          <w:lang w:val="es-ES_tradnl"/>
        </w:rPr>
      </w:pPr>
      <w:r w:rsidRPr="009A709D">
        <w:rPr>
          <w:lang w:val="es-ES_tradnl"/>
        </w:rPr>
        <w:t>3</w:t>
      </w:r>
      <w:r w:rsidR="00874EAE">
        <w:rPr>
          <w:lang w:val="es-ES_tradnl"/>
        </w:rPr>
        <w:t>)</w:t>
      </w:r>
      <w:r w:rsidRPr="009A709D">
        <w:rPr>
          <w:lang w:val="es-ES_tradnl"/>
        </w:rPr>
        <w:tab/>
        <w:t>la potencia de</w:t>
      </w:r>
      <w:r w:rsidR="00935D5F" w:rsidRPr="009A709D">
        <w:rPr>
          <w:lang w:val="es-ES_tradnl"/>
        </w:rPr>
        <w:t xml:space="preserve"> la</w:t>
      </w:r>
      <w:r w:rsidRPr="009A709D">
        <w:rPr>
          <w:lang w:val="es-ES_tradnl"/>
        </w:rPr>
        <w:t xml:space="preserve"> IMT-2020 (o PRT con 3 dB de pérdidas óhmicas) convertida a</w:t>
      </w:r>
      <w:r w:rsidR="003842C9" w:rsidRPr="009A709D">
        <w:rPr>
          <w:lang w:val="es-ES_tradnl"/>
        </w:rPr>
        <w:t>l ancho de</w:t>
      </w:r>
      <w:r w:rsidRPr="009A709D">
        <w:rPr>
          <w:lang w:val="es-ES_tradnl"/>
        </w:rPr>
        <w:t xml:space="preserve"> banda de referencia (10 MHz) de los criterios de protección del SETS (</w:t>
      </w:r>
      <w:r w:rsidRPr="009A709D">
        <w:rPr>
          <w:i/>
          <w:lang w:val="es-ES_tradnl"/>
        </w:rPr>
        <w:t>P</w:t>
      </w:r>
      <w:r w:rsidRPr="009A709D">
        <w:rPr>
          <w:i/>
          <w:vertAlign w:val="subscript"/>
          <w:lang w:val="es-ES_tradnl"/>
        </w:rPr>
        <w:t>t</w:t>
      </w:r>
      <w:r w:rsidRPr="009A709D">
        <w:rPr>
          <w:lang w:val="es-ES_tradnl"/>
        </w:rPr>
        <w:t>);</w:t>
      </w:r>
    </w:p>
    <w:p w14:paraId="0C4DFC29" w14:textId="14FA026D" w:rsidR="007A63A8" w:rsidRPr="009A709D" w:rsidRDefault="007A63A8" w:rsidP="007A63A8">
      <w:pPr>
        <w:pStyle w:val="enumlev1"/>
        <w:rPr>
          <w:lang w:val="es-ES_tradnl"/>
        </w:rPr>
      </w:pPr>
      <w:r w:rsidRPr="009A709D">
        <w:rPr>
          <w:lang w:val="es-ES_tradnl"/>
        </w:rPr>
        <w:t>4</w:t>
      </w:r>
      <w:r w:rsidR="00874EAE">
        <w:rPr>
          <w:lang w:val="es-ES_tradnl"/>
        </w:rPr>
        <w:t>)</w:t>
      </w:r>
      <w:r w:rsidRPr="009A709D">
        <w:rPr>
          <w:lang w:val="es-ES_tradnl"/>
        </w:rPr>
        <w:tab/>
        <w:t xml:space="preserve">el criterio </w:t>
      </w:r>
      <w:r w:rsidR="00935D5F" w:rsidRPr="009A709D">
        <w:rPr>
          <w:lang w:val="es-ES_tradnl"/>
        </w:rPr>
        <w:t xml:space="preserve">de compartición </w:t>
      </w:r>
      <w:r w:rsidRPr="009A709D">
        <w:rPr>
          <w:lang w:val="es-ES_tradnl"/>
        </w:rPr>
        <w:t>a corto plazo de la estación terrena del SETS: −133 dB(W/10 MHz) (</w:t>
      </w:r>
      <w:r w:rsidRPr="009A709D">
        <w:rPr>
          <w:i/>
          <w:lang w:val="es-ES_tradnl"/>
        </w:rPr>
        <w:t>C</w:t>
      </w:r>
      <w:r w:rsidRPr="009A709D">
        <w:rPr>
          <w:i/>
          <w:vertAlign w:val="subscript"/>
          <w:lang w:val="es-ES_tradnl"/>
        </w:rPr>
        <w:t>r</w:t>
      </w:r>
      <w:r w:rsidRPr="009A709D">
        <w:rPr>
          <w:lang w:val="es-ES_tradnl"/>
        </w:rPr>
        <w:t>);</w:t>
      </w:r>
    </w:p>
    <w:p w14:paraId="26CF58D5" w14:textId="10EEE402" w:rsidR="007A63A8" w:rsidRPr="009A709D" w:rsidRDefault="007A63A8" w:rsidP="007A63A8">
      <w:pPr>
        <w:pStyle w:val="enumlev1"/>
        <w:rPr>
          <w:lang w:val="es-ES_tradnl"/>
        </w:rPr>
      </w:pPr>
      <w:r w:rsidRPr="009A709D">
        <w:rPr>
          <w:lang w:val="es-ES_tradnl"/>
        </w:rPr>
        <w:t>5</w:t>
      </w:r>
      <w:r w:rsidR="00874EAE">
        <w:rPr>
          <w:lang w:val="es-ES_tradnl"/>
        </w:rPr>
        <w:t>)</w:t>
      </w:r>
      <w:r w:rsidRPr="009A709D">
        <w:rPr>
          <w:lang w:val="es-ES_tradnl"/>
        </w:rPr>
        <w:tab/>
        <w:t xml:space="preserve">un margen para </w:t>
      </w:r>
      <w:r w:rsidR="00935D5F" w:rsidRPr="009A709D">
        <w:rPr>
          <w:lang w:val="es-ES_tradnl"/>
        </w:rPr>
        <w:t>el efecto combinado</w:t>
      </w:r>
      <w:r w:rsidRPr="009A709D">
        <w:rPr>
          <w:lang w:val="es-ES_tradnl"/>
        </w:rPr>
        <w:t xml:space="preserve"> (</w:t>
      </w:r>
      <w:r w:rsidRPr="009A709D">
        <w:rPr>
          <w:i/>
          <w:lang w:val="es-ES_tradnl"/>
        </w:rPr>
        <w:t>s</w:t>
      </w:r>
      <w:r w:rsidRPr="009A709D">
        <w:rPr>
          <w:lang w:val="es-ES_tradnl"/>
        </w:rPr>
        <w:t>);</w:t>
      </w:r>
    </w:p>
    <w:p w14:paraId="7B8FB619" w14:textId="71676BBF" w:rsidR="007A63A8" w:rsidRPr="009A709D" w:rsidRDefault="007A63A8" w:rsidP="007A63A8">
      <w:pPr>
        <w:pStyle w:val="enumlev1"/>
        <w:rPr>
          <w:lang w:val="es-ES_tradnl"/>
        </w:rPr>
      </w:pPr>
      <w:r w:rsidRPr="009A709D">
        <w:rPr>
          <w:lang w:val="es-ES_tradnl"/>
        </w:rPr>
        <w:lastRenderedPageBreak/>
        <w:t>6</w:t>
      </w:r>
      <w:r w:rsidR="00874EAE">
        <w:rPr>
          <w:lang w:val="es-ES_tradnl"/>
        </w:rPr>
        <w:t>)</w:t>
      </w:r>
      <w:r w:rsidRPr="009A709D">
        <w:rPr>
          <w:lang w:val="es-ES_tradnl"/>
        </w:rPr>
        <w:tab/>
        <w:t xml:space="preserve">un porcentaje de tiempo del 50%, como se indica en la Recomendación UIT-R </w:t>
      </w:r>
      <w:hyperlink r:id="rId69" w:history="1">
        <w:r w:rsidRPr="009A709D">
          <w:rPr>
            <w:rStyle w:val="Hyperlink"/>
            <w:color w:val="auto"/>
            <w:u w:val="none"/>
            <w:lang w:val="es-ES_tradnl"/>
          </w:rPr>
          <w:t>P.452</w:t>
        </w:r>
      </w:hyperlink>
      <w:r w:rsidRPr="009A709D">
        <w:rPr>
          <w:lang w:val="es-ES_tradnl"/>
        </w:rPr>
        <w:t xml:space="preserve"> </w:t>
      </w:r>
      <w:r w:rsidR="00F07139" w:rsidRPr="009A709D">
        <w:rPr>
          <w:lang w:val="es-ES_tradnl"/>
        </w:rPr>
        <w:t>(</w:t>
      </w:r>
      <w:r w:rsidRPr="009A709D">
        <w:rPr>
          <w:lang w:val="es-ES_tradnl"/>
        </w:rPr>
        <w:t>nota: a efectos de simplificación, es posible utilizar la Recomendación UIT-R P.525 (espacio libre) y la Recomendación UIT-R P.526 (difracción)</w:t>
      </w:r>
      <w:r w:rsidR="00F07139" w:rsidRPr="009A709D">
        <w:rPr>
          <w:lang w:val="es-ES_tradnl"/>
        </w:rPr>
        <w:t>)</w:t>
      </w:r>
      <w:r w:rsidRPr="009A709D">
        <w:rPr>
          <w:lang w:val="es-ES_tradnl"/>
        </w:rPr>
        <w:t>;</w:t>
      </w:r>
      <w:r w:rsidR="00F07139" w:rsidRPr="009A709D">
        <w:rPr>
          <w:lang w:val="es-ES_tradnl"/>
        </w:rPr>
        <w:t xml:space="preserve"> y</w:t>
      </w:r>
      <w:r w:rsidRPr="009A709D">
        <w:rPr>
          <w:lang w:val="es-ES_tradnl"/>
        </w:rPr>
        <w:t xml:space="preserve"> </w:t>
      </w:r>
    </w:p>
    <w:p w14:paraId="5349CB4D" w14:textId="496F4E2D" w:rsidR="007A63A8" w:rsidRPr="009A709D" w:rsidRDefault="007A63A8" w:rsidP="007A63A8">
      <w:pPr>
        <w:pStyle w:val="enumlev1"/>
        <w:rPr>
          <w:lang w:val="es-ES_tradnl"/>
        </w:rPr>
      </w:pPr>
      <w:r w:rsidRPr="009A709D">
        <w:rPr>
          <w:lang w:val="es-ES_tradnl"/>
        </w:rPr>
        <w:t>7</w:t>
      </w:r>
      <w:r w:rsidR="00874EAE">
        <w:rPr>
          <w:lang w:val="es-ES_tradnl"/>
        </w:rPr>
        <w:t>)</w:t>
      </w:r>
      <w:r w:rsidRPr="009A709D">
        <w:rPr>
          <w:lang w:val="es-ES_tradnl"/>
        </w:rPr>
        <w:tab/>
        <w:t>un perfil de</w:t>
      </w:r>
      <w:r w:rsidR="00F07139" w:rsidRPr="009A709D">
        <w:rPr>
          <w:lang w:val="es-ES_tradnl"/>
        </w:rPr>
        <w:t>l</w:t>
      </w:r>
      <w:r w:rsidRPr="009A709D">
        <w:rPr>
          <w:lang w:val="es-ES_tradnl"/>
        </w:rPr>
        <w:t xml:space="preserve"> terreno entre la estación terrena y la </w:t>
      </w:r>
      <w:r w:rsidR="00F019B4" w:rsidRPr="009A709D">
        <w:rPr>
          <w:lang w:val="es-ES_tradnl"/>
        </w:rPr>
        <w:t>EB</w:t>
      </w:r>
      <w:r w:rsidR="00F07139" w:rsidRPr="009A709D">
        <w:rPr>
          <w:lang w:val="es-ES_tradnl"/>
        </w:rPr>
        <w:t xml:space="preserve"> relevante</w:t>
      </w:r>
      <w:r w:rsidRPr="009A709D">
        <w:rPr>
          <w:lang w:val="es-ES_tradnl"/>
        </w:rPr>
        <w:t>. Este perfil de terreno debe ser lo más preciso posible</w:t>
      </w:r>
      <w:r w:rsidR="00F07139" w:rsidRPr="009A709D">
        <w:rPr>
          <w:lang w:val="es-ES_tradnl"/>
        </w:rPr>
        <w:t xml:space="preserve"> e incluir las</w:t>
      </w:r>
      <w:r w:rsidRPr="009A709D">
        <w:rPr>
          <w:lang w:val="es-ES_tradnl"/>
        </w:rPr>
        <w:t xml:space="preserve"> pérdidas debidas a la ocupación del suelo y</w:t>
      </w:r>
      <w:r w:rsidR="00F07139" w:rsidRPr="009A709D">
        <w:rPr>
          <w:lang w:val="es-ES_tradnl"/>
        </w:rPr>
        <w:t xml:space="preserve"> a</w:t>
      </w:r>
      <w:r w:rsidRPr="009A709D">
        <w:rPr>
          <w:lang w:val="es-ES_tradnl"/>
        </w:rPr>
        <w:t xml:space="preserve"> los edificios.</w:t>
      </w:r>
    </w:p>
    <w:p w14:paraId="51092A4E" w14:textId="7314ED45" w:rsidR="007A63A8" w:rsidRPr="009A709D" w:rsidRDefault="007A63A8" w:rsidP="007A63A8">
      <w:pPr>
        <w:rPr>
          <w:lang w:val="es-ES_tradnl"/>
        </w:rPr>
      </w:pPr>
      <w:r w:rsidRPr="009A709D">
        <w:rPr>
          <w:lang w:val="es-ES_tradnl"/>
        </w:rPr>
        <w:t xml:space="preserve">En una </w:t>
      </w:r>
      <w:r w:rsidR="00F07139" w:rsidRPr="009A709D">
        <w:rPr>
          <w:lang w:val="es-ES_tradnl"/>
        </w:rPr>
        <w:t>instalación</w:t>
      </w:r>
      <w:r w:rsidRPr="009A709D">
        <w:rPr>
          <w:lang w:val="es-ES_tradnl"/>
        </w:rPr>
        <w:t xml:space="preserve"> real, </w:t>
      </w:r>
      <w:r w:rsidR="00F07139" w:rsidRPr="009A709D">
        <w:rPr>
          <w:lang w:val="es-ES_tradnl"/>
        </w:rPr>
        <w:t xml:space="preserve">la aplicación de </w:t>
      </w:r>
      <w:r w:rsidRPr="009A709D">
        <w:rPr>
          <w:lang w:val="es-ES_tradnl"/>
        </w:rPr>
        <w:t>la distancia de separación</w:t>
      </w:r>
      <w:r w:rsidR="00F07139" w:rsidRPr="009A709D">
        <w:rPr>
          <w:lang w:val="es-ES_tradnl"/>
        </w:rPr>
        <w:t xml:space="preserve"> puede conllevar ciertas </w:t>
      </w:r>
      <w:r w:rsidRPr="009A709D">
        <w:rPr>
          <w:lang w:val="es-ES_tradnl"/>
        </w:rPr>
        <w:t>dificultades. En est</w:t>
      </w:r>
      <w:r w:rsidR="00F07139" w:rsidRPr="009A709D">
        <w:rPr>
          <w:lang w:val="es-ES_tradnl"/>
        </w:rPr>
        <w:t>e caso</w:t>
      </w:r>
      <w:r w:rsidRPr="009A709D">
        <w:rPr>
          <w:lang w:val="es-ES_tradnl"/>
        </w:rPr>
        <w:t xml:space="preserve">, para definir la posición de la </w:t>
      </w:r>
      <w:r w:rsidR="00F019B4" w:rsidRPr="009A709D">
        <w:rPr>
          <w:lang w:val="es-ES_tradnl"/>
        </w:rPr>
        <w:t>EB</w:t>
      </w:r>
      <w:r w:rsidRPr="009A709D">
        <w:rPr>
          <w:lang w:val="es-ES_tradnl"/>
        </w:rPr>
        <w:t xml:space="preserve"> con respecto a la estación terrena del SETS, es preferible definir las pérdidas necesarias a partir de las premisas anteriores. La pérdida de propagación requerida puede calcularse como se indica a continuación:</w:t>
      </w:r>
    </w:p>
    <w:p w14:paraId="67A8CA4D" w14:textId="7797D5B4" w:rsidR="007A63A8" w:rsidRPr="009A709D" w:rsidRDefault="007A63A8" w:rsidP="00765549">
      <w:pPr>
        <w:pStyle w:val="Equation"/>
        <w:spacing w:before="240"/>
        <w:rPr>
          <w:lang w:val="es-ES_tradnl"/>
        </w:rPr>
      </w:pPr>
      <w:r w:rsidRPr="009A709D">
        <w:rPr>
          <w:vertAlign w:val="subscript"/>
          <w:lang w:val="es-ES_tradnl"/>
        </w:rPr>
        <w:tab/>
      </w:r>
      <w:r w:rsidRPr="009A709D">
        <w:rPr>
          <w:vertAlign w:val="subscript"/>
          <w:lang w:val="es-ES_tradnl"/>
        </w:rPr>
        <w:tab/>
      </w:r>
      <m:oMath>
        <m:sSub>
          <m:sSubPr>
            <m:ctrlPr>
              <w:rPr>
                <w:rFonts w:ascii="Cambria Math" w:eastAsia="Cambria Math" w:hAnsi="Cambria Math"/>
                <w:vertAlign w:val="subscript"/>
                <w:lang w:val="es-ES_tradnl"/>
              </w:rPr>
            </m:ctrlPr>
          </m:sSubPr>
          <m:e>
            <m:r>
              <w:rPr>
                <w:rFonts w:ascii="Cambria Math" w:eastAsia="Cambria Math" w:hAnsi="Cambria Math"/>
                <w:vertAlign w:val="subscript"/>
                <w:lang w:val="es-ES_tradnl"/>
              </w:rPr>
              <m:t>L</m:t>
            </m:r>
          </m:e>
          <m:sub>
            <m:r>
              <w:rPr>
                <w:rFonts w:ascii="Cambria Math" w:eastAsia="Cambria Math" w:hAnsi="Cambria Math"/>
                <w:vertAlign w:val="subscript"/>
                <w:lang w:val="es-ES_tradnl"/>
              </w:rPr>
              <m:t>req</m:t>
            </m:r>
          </m:sub>
        </m:sSub>
        <m:r>
          <m:rPr>
            <m:sty m:val="p"/>
          </m:rPr>
          <w:rPr>
            <w:rFonts w:ascii="Cambria Math" w:eastAsia="Cambria Math" w:hAnsi="Cambria Math"/>
            <w:lang w:val="es-ES_tradnl"/>
          </w:rPr>
          <m:t xml:space="preserve">= </m:t>
        </m:r>
        <m:sSub>
          <m:sSubPr>
            <m:ctrlPr>
              <w:rPr>
                <w:rFonts w:ascii="Cambria Math" w:eastAsia="Cambria Math" w:hAnsi="Cambria Math"/>
                <w:lang w:val="es-ES_tradnl"/>
              </w:rPr>
            </m:ctrlPr>
          </m:sSubPr>
          <m:e>
            <m:r>
              <w:rPr>
                <w:rFonts w:ascii="Cambria Math" w:eastAsia="Cambria Math" w:hAnsi="Cambria Math"/>
                <w:lang w:val="es-ES_tradnl"/>
              </w:rPr>
              <m:t>P</m:t>
            </m:r>
          </m:e>
          <m:sub>
            <m:r>
              <w:rPr>
                <w:rFonts w:ascii="Cambria Math" w:eastAsia="Cambria Math" w:hAnsi="Cambria Math"/>
                <w:vertAlign w:val="subscript"/>
                <w:lang w:val="es-ES_tradnl"/>
              </w:rPr>
              <m:t>t</m:t>
            </m:r>
          </m:sub>
        </m:sSub>
        <m:r>
          <m:rPr>
            <m:sty m:val="p"/>
          </m:rPr>
          <w:rPr>
            <w:rFonts w:ascii="Cambria Math" w:eastAsia="Cambria Math" w:hAnsi="Cambria Math"/>
            <w:vertAlign w:val="subscript"/>
            <w:lang w:val="es-ES_tradnl"/>
          </w:rPr>
          <m:t>+</m:t>
        </m:r>
        <m:sSub>
          <m:sSubPr>
            <m:ctrlPr>
              <w:rPr>
                <w:rFonts w:ascii="Cambria Math" w:eastAsia="Cambria Math" w:hAnsi="Cambria Math"/>
                <w:lang w:val="es-ES_tradnl"/>
              </w:rPr>
            </m:ctrlPr>
          </m:sSubPr>
          <m:e>
            <m:r>
              <w:rPr>
                <w:rFonts w:ascii="Cambria Math" w:eastAsia="Cambria Math" w:hAnsi="Cambria Math"/>
                <w:lang w:val="es-ES_tradnl"/>
              </w:rPr>
              <m:t>G</m:t>
            </m:r>
          </m:e>
          <m:sub>
            <m:r>
              <w:rPr>
                <w:rFonts w:ascii="Cambria Math" w:eastAsia="Cambria Math" w:hAnsi="Cambria Math"/>
                <w:vertAlign w:val="subscript"/>
                <w:lang w:val="es-ES_tradnl"/>
              </w:rPr>
              <m:t>tmax</m:t>
            </m:r>
          </m:sub>
        </m:sSub>
        <m:r>
          <m:rPr>
            <m:sty m:val="p"/>
          </m:rPr>
          <w:rPr>
            <w:rFonts w:ascii="Cambria Math" w:eastAsia="Cambria Math" w:hAnsi="Cambria Math"/>
            <w:lang w:val="es-ES_tradnl"/>
          </w:rPr>
          <m:t xml:space="preserve"> + </m:t>
        </m:r>
        <m:sSub>
          <m:sSubPr>
            <m:ctrlPr>
              <w:rPr>
                <w:rFonts w:ascii="Cambria Math" w:eastAsia="Cambria Math" w:hAnsi="Cambria Math"/>
                <w:lang w:val="es-ES_tradnl"/>
              </w:rPr>
            </m:ctrlPr>
          </m:sSubPr>
          <m:e>
            <m:r>
              <w:rPr>
                <w:rFonts w:ascii="Cambria Math" w:eastAsia="Cambria Math" w:hAnsi="Cambria Math"/>
                <w:lang w:val="es-ES_tradnl"/>
              </w:rPr>
              <m:t>G</m:t>
            </m:r>
          </m:e>
          <m:sub>
            <m:r>
              <w:rPr>
                <w:rFonts w:ascii="Cambria Math" w:eastAsia="Cambria Math" w:hAnsi="Cambria Math"/>
                <w:vertAlign w:val="subscript"/>
                <w:lang w:val="es-ES_tradnl"/>
              </w:rPr>
              <m:t>rmax</m:t>
            </m:r>
          </m:sub>
        </m:sSub>
        <m:r>
          <m:rPr>
            <m:sty m:val="p"/>
          </m:rPr>
          <w:rPr>
            <w:rFonts w:ascii="Cambria Math" w:eastAsia="Cambria Math" w:hAnsi="Cambria Math"/>
            <w:vertAlign w:val="subscript"/>
            <w:lang w:val="es-ES_tradnl"/>
          </w:rPr>
          <m:t xml:space="preserve"> </m:t>
        </m:r>
        <m:r>
          <m:rPr>
            <m:sty m:val="p"/>
          </m:rPr>
          <w:rPr>
            <w:rFonts w:ascii="Cambria Math" w:eastAsia="Cambria Math" w:hAnsi="Cambria Math"/>
            <w:lang w:val="es-ES_tradnl"/>
          </w:rPr>
          <m:t xml:space="preserve">- </m:t>
        </m:r>
        <m:sSub>
          <m:sSubPr>
            <m:ctrlPr>
              <w:rPr>
                <w:rFonts w:ascii="Cambria Math" w:eastAsia="Cambria Math" w:hAnsi="Cambria Math"/>
                <w:lang w:val="es-ES_tradnl"/>
              </w:rPr>
            </m:ctrlPr>
          </m:sSubPr>
          <m:e>
            <m:r>
              <w:rPr>
                <w:rFonts w:ascii="Cambria Math" w:eastAsia="Cambria Math" w:hAnsi="Cambria Math"/>
                <w:lang w:val="es-ES_tradnl"/>
              </w:rPr>
              <m:t>C</m:t>
            </m:r>
          </m:e>
          <m:sub>
            <m:r>
              <w:rPr>
                <w:rFonts w:ascii="Cambria Math" w:eastAsia="Cambria Math" w:hAnsi="Cambria Math"/>
                <w:lang w:val="es-ES_tradnl"/>
              </w:rPr>
              <m:t>r</m:t>
            </m:r>
          </m:sub>
        </m:sSub>
        <m:r>
          <m:rPr>
            <m:sty m:val="p"/>
          </m:rPr>
          <w:rPr>
            <w:rFonts w:ascii="Cambria Math" w:eastAsia="Cambria Math" w:hAnsi="Cambria Math"/>
            <w:lang w:val="es-ES_tradnl"/>
          </w:rPr>
          <m:t>+</m:t>
        </m:r>
        <m:r>
          <w:rPr>
            <w:rFonts w:ascii="Cambria Math" w:eastAsia="Cambria Math" w:hAnsi="Cambria Math"/>
            <w:lang w:val="es-ES_tradnl"/>
          </w:rPr>
          <m:t>A</m:t>
        </m:r>
      </m:oMath>
      <w:r w:rsidRPr="009A709D">
        <w:rPr>
          <w:lang w:val="es-ES_tradnl"/>
        </w:rPr>
        <w:tab/>
        <w:t>(5)</w:t>
      </w:r>
    </w:p>
    <w:p w14:paraId="5165CF40" w14:textId="77777777" w:rsidR="007A63A8" w:rsidRPr="009A709D" w:rsidRDefault="007A63A8" w:rsidP="00765549">
      <w:pPr>
        <w:pStyle w:val="Heading2"/>
        <w:rPr>
          <w:lang w:val="es-ES_tradnl"/>
        </w:rPr>
      </w:pPr>
      <w:bookmarkStart w:id="272" w:name="_Toc83389374"/>
      <w:bookmarkStart w:id="273" w:name="_Toc83712992"/>
      <w:bookmarkStart w:id="274" w:name="_Toc83713065"/>
      <w:bookmarkStart w:id="275" w:name="_Toc83713178"/>
      <w:bookmarkStart w:id="276" w:name="_Toc83723581"/>
      <w:bookmarkStart w:id="277" w:name="_Toc86738397"/>
      <w:bookmarkStart w:id="278" w:name="_Toc102570788"/>
      <w:bookmarkStart w:id="279" w:name="_Toc102986181"/>
      <w:r w:rsidRPr="009A709D">
        <w:rPr>
          <w:lang w:val="es-ES_tradnl"/>
        </w:rPr>
        <w:t>4.2</w:t>
      </w:r>
      <w:r w:rsidRPr="009A709D">
        <w:rPr>
          <w:lang w:val="es-ES_tradnl"/>
        </w:rPr>
        <w:tab/>
        <w:t>Atenuación mínima hacia la estación terrena del SETS</w:t>
      </w:r>
      <w:bookmarkEnd w:id="272"/>
      <w:bookmarkEnd w:id="273"/>
      <w:bookmarkEnd w:id="274"/>
      <w:bookmarkEnd w:id="275"/>
      <w:bookmarkEnd w:id="276"/>
      <w:bookmarkEnd w:id="277"/>
      <w:bookmarkEnd w:id="278"/>
      <w:bookmarkEnd w:id="279"/>
    </w:p>
    <w:p w14:paraId="49CCBDF0" w14:textId="003AF0E0" w:rsidR="007A63A8" w:rsidRPr="009A709D" w:rsidRDefault="007A63A8" w:rsidP="00765549">
      <w:pPr>
        <w:rPr>
          <w:lang w:val="es-ES_tradnl"/>
        </w:rPr>
      </w:pPr>
      <w:r w:rsidRPr="009A709D">
        <w:rPr>
          <w:lang w:val="es-ES_tradnl"/>
        </w:rPr>
        <w:t xml:space="preserve">El estudio analiza la posibilidad de utilizar el ángulo de discriminación entre el acimut mecánico de la </w:t>
      </w:r>
      <w:r w:rsidR="00F019B4" w:rsidRPr="009A709D">
        <w:rPr>
          <w:lang w:val="es-ES_tradnl"/>
        </w:rPr>
        <w:t>EB</w:t>
      </w:r>
      <w:r w:rsidRPr="009A709D">
        <w:rPr>
          <w:lang w:val="es-ES_tradnl"/>
        </w:rPr>
        <w:t xml:space="preserve"> y el acimut en el que se encuentra la estación terrena del SETS como factor de mejora de la compatibilidad. La Fig. 18 muestra la distribución acumulada de la ganancia de la antena de la </w:t>
      </w:r>
      <w:r w:rsidR="00F019B4" w:rsidRPr="009A709D">
        <w:rPr>
          <w:lang w:val="es-ES_tradnl"/>
        </w:rPr>
        <w:t>EB</w:t>
      </w:r>
      <w:r w:rsidRPr="009A709D">
        <w:rPr>
          <w:lang w:val="es-ES_tradnl"/>
        </w:rPr>
        <w:t xml:space="preserve"> (punto de acceso a 6 m) hacia el horizonte para los ángulos acimutales físicos de distintos paneles de la </w:t>
      </w:r>
      <w:r w:rsidR="00F019B4" w:rsidRPr="009A709D">
        <w:rPr>
          <w:lang w:val="es-ES_tradnl"/>
        </w:rPr>
        <w:t>EB</w:t>
      </w:r>
      <w:r w:rsidRPr="009A709D">
        <w:rPr>
          <w:lang w:val="es-ES_tradnl"/>
        </w:rPr>
        <w:t xml:space="preserve">. La Figura se ha elaborado considerando la distribución de la inclinación eléctrica (véase el </w:t>
      </w:r>
      <w:r w:rsidR="007A296C" w:rsidRPr="00D81D07">
        <w:t>§ </w:t>
      </w:r>
      <w:r w:rsidR="00AB75F2" w:rsidRPr="009A709D">
        <w:rPr>
          <w:lang w:val="es-ES_tradnl"/>
        </w:rPr>
        <w:t xml:space="preserve">4 del </w:t>
      </w:r>
      <w:r w:rsidRPr="009A709D">
        <w:rPr>
          <w:lang w:val="es-ES_tradnl"/>
        </w:rPr>
        <w:t xml:space="preserve">Anexo 1) y una inclinación mecánica de −10°. </w:t>
      </w:r>
      <w:r w:rsidR="00AB75F2" w:rsidRPr="009A709D">
        <w:rPr>
          <w:lang w:val="es-ES_tradnl"/>
        </w:rPr>
        <w:t>La Figura muestra que, d</w:t>
      </w:r>
      <w:r w:rsidRPr="009A709D">
        <w:rPr>
          <w:lang w:val="es-ES_tradnl"/>
        </w:rPr>
        <w:t xml:space="preserve">ebido a la distribución de UE en el ángulo de orientación horizontal (entre −60 y 60°) y </w:t>
      </w:r>
      <w:r w:rsidR="00AB75F2" w:rsidRPr="009A709D">
        <w:rPr>
          <w:lang w:val="es-ES_tradnl"/>
        </w:rPr>
        <w:t xml:space="preserve">a </w:t>
      </w:r>
      <w:r w:rsidRPr="009A709D">
        <w:rPr>
          <w:lang w:val="es-ES_tradnl"/>
        </w:rPr>
        <w:t xml:space="preserve">la distancia, </w:t>
      </w:r>
      <w:r w:rsidR="00AB75F2" w:rsidRPr="009A709D">
        <w:rPr>
          <w:lang w:val="es-ES_tradnl"/>
        </w:rPr>
        <w:t>es posible</w:t>
      </w:r>
      <w:r w:rsidRPr="009A709D">
        <w:rPr>
          <w:lang w:val="es-ES_tradnl"/>
        </w:rPr>
        <w:t xml:space="preserve"> determin</w:t>
      </w:r>
      <w:r w:rsidR="00AB75F2" w:rsidRPr="009A709D">
        <w:rPr>
          <w:lang w:val="es-ES_tradnl"/>
        </w:rPr>
        <w:t>ar</w:t>
      </w:r>
      <w:r w:rsidRPr="009A709D">
        <w:rPr>
          <w:lang w:val="es-ES_tradnl"/>
        </w:rPr>
        <w:t xml:space="preserve"> una ganancia </w:t>
      </w:r>
      <w:r w:rsidR="00AB75F2" w:rsidRPr="009A709D">
        <w:rPr>
          <w:lang w:val="es-ES_tradnl"/>
        </w:rPr>
        <w:t xml:space="preserve">máxima </w:t>
      </w:r>
      <w:r w:rsidRPr="009A709D">
        <w:rPr>
          <w:lang w:val="es-ES_tradnl"/>
        </w:rPr>
        <w:t>hacia el horizonte de entre 22,5 y 20</w:t>
      </w:r>
      <w:r w:rsidR="00765549" w:rsidRPr="009A709D">
        <w:rPr>
          <w:lang w:val="es-ES_tradnl"/>
        </w:rPr>
        <w:t> </w:t>
      </w:r>
      <w:r w:rsidRPr="009A709D">
        <w:rPr>
          <w:lang w:val="es-ES_tradnl"/>
        </w:rPr>
        <w:t>dBi para los ángulos de orientación</w:t>
      </w:r>
      <w:r w:rsidR="000E4AD0" w:rsidRPr="009A709D">
        <w:rPr>
          <w:lang w:val="es-ES_tradnl"/>
        </w:rPr>
        <w:t xml:space="preserve"> de</w:t>
      </w:r>
      <w:r w:rsidRPr="009A709D">
        <w:rPr>
          <w:lang w:val="es-ES_tradnl"/>
        </w:rPr>
        <w:t xml:space="preserve"> entre 0 y 50 grados. </w:t>
      </w:r>
      <w:r w:rsidR="000E4AD0" w:rsidRPr="009A709D">
        <w:rPr>
          <w:lang w:val="es-ES_tradnl"/>
        </w:rPr>
        <w:t>A partir</w:t>
      </w:r>
      <w:r w:rsidRPr="009A709D">
        <w:rPr>
          <w:lang w:val="es-ES_tradnl"/>
        </w:rPr>
        <w:t xml:space="preserve"> de este valor, la ganancia </w:t>
      </w:r>
      <w:r w:rsidR="000E4AD0" w:rsidRPr="009A709D">
        <w:rPr>
          <w:lang w:val="es-ES_tradnl"/>
        </w:rPr>
        <w:t xml:space="preserve">máxima </w:t>
      </w:r>
      <w:r w:rsidRPr="009A709D">
        <w:rPr>
          <w:lang w:val="es-ES_tradnl"/>
        </w:rPr>
        <w:t xml:space="preserve">hacia el horizonte disminuye considerablemente </w:t>
      </w:r>
      <w:r w:rsidR="000E4AD0" w:rsidRPr="009A709D">
        <w:rPr>
          <w:lang w:val="es-ES_tradnl"/>
        </w:rPr>
        <w:t>e incluso</w:t>
      </w:r>
      <w:r w:rsidRPr="009A709D">
        <w:rPr>
          <w:lang w:val="es-ES_tradnl"/>
        </w:rPr>
        <w:t xml:space="preserve"> desciende por debajo de los 5 dBi cuando la </w:t>
      </w:r>
      <w:r w:rsidR="00F019B4" w:rsidRPr="009A709D">
        <w:rPr>
          <w:lang w:val="es-ES_tradnl"/>
        </w:rPr>
        <w:t>EB</w:t>
      </w:r>
      <w:r w:rsidRPr="009A709D">
        <w:rPr>
          <w:lang w:val="es-ES_tradnl"/>
        </w:rPr>
        <w:t xml:space="preserve"> se encuentra en</w:t>
      </w:r>
      <w:r w:rsidR="000E4AD0" w:rsidRPr="009A709D">
        <w:rPr>
          <w:lang w:val="es-ES_tradnl"/>
        </w:rPr>
        <w:t xml:space="preserve"> una</w:t>
      </w:r>
      <w:r w:rsidRPr="009A709D">
        <w:rPr>
          <w:lang w:val="es-ES_tradnl"/>
        </w:rPr>
        <w:t xml:space="preserve"> posición perpendicular con respecto del receptor.</w:t>
      </w:r>
    </w:p>
    <w:p w14:paraId="4E9F8B69" w14:textId="67199802" w:rsidR="007A63A8" w:rsidRPr="009A709D" w:rsidRDefault="007A63A8" w:rsidP="00765549">
      <w:pPr>
        <w:rPr>
          <w:lang w:val="es-ES_tradnl"/>
        </w:rPr>
      </w:pPr>
      <w:r w:rsidRPr="009A709D">
        <w:rPr>
          <w:lang w:val="es-ES_tradnl"/>
        </w:rPr>
        <w:t xml:space="preserve">Estos resultados muestran que la posición de la </w:t>
      </w:r>
      <w:r w:rsidR="00F019B4" w:rsidRPr="009A709D">
        <w:rPr>
          <w:lang w:val="es-ES_tradnl"/>
        </w:rPr>
        <w:t>EB</w:t>
      </w:r>
      <w:r w:rsidRPr="009A709D">
        <w:rPr>
          <w:lang w:val="es-ES_tradnl"/>
        </w:rPr>
        <w:t xml:space="preserve"> con respecto de la estación terrena del SETS podría mejorar considerablemente la compatibilidad entre ambos servicios. </w:t>
      </w:r>
      <w:r w:rsidR="000E4AD0" w:rsidRPr="009A709D">
        <w:rPr>
          <w:lang w:val="es-ES_tradnl"/>
        </w:rPr>
        <w:t>El Cuadro</w:t>
      </w:r>
      <w:r w:rsidRPr="009A709D">
        <w:rPr>
          <w:lang w:val="es-ES_tradnl"/>
        </w:rPr>
        <w:t xml:space="preserve"> </w:t>
      </w:r>
      <w:r w:rsidR="00E54B32" w:rsidRPr="009A709D">
        <w:rPr>
          <w:lang w:val="es-ES_tradnl"/>
        </w:rPr>
        <w:t>1</w:t>
      </w:r>
      <w:r w:rsidRPr="009A709D">
        <w:rPr>
          <w:lang w:val="es-ES_tradnl"/>
        </w:rPr>
        <w:t xml:space="preserve"> indica las pérdidas necesarias considerando la distribución de ganancia presentada en la Fig. 18 y la ecuación (5). Se aplica una PRT </w:t>
      </w:r>
      <w:r w:rsidR="000E4AD0" w:rsidRPr="009A709D">
        <w:rPr>
          <w:lang w:val="es-ES_tradnl"/>
        </w:rPr>
        <w:t xml:space="preserve">máxima </w:t>
      </w:r>
      <w:r w:rsidRPr="009A709D">
        <w:rPr>
          <w:lang w:val="es-ES_tradnl"/>
        </w:rPr>
        <w:t>de 25 dBm/200</w:t>
      </w:r>
      <w:r w:rsidR="00765549" w:rsidRPr="009A709D">
        <w:rPr>
          <w:lang w:val="es-ES_tradnl"/>
        </w:rPr>
        <w:t> </w:t>
      </w:r>
      <w:r w:rsidRPr="009A709D">
        <w:rPr>
          <w:lang w:val="es-ES_tradnl"/>
        </w:rPr>
        <w:t>MHz</w:t>
      </w:r>
      <w:r w:rsidR="000E4AD0" w:rsidRPr="009A709D">
        <w:rPr>
          <w:lang w:val="es-ES_tradnl"/>
        </w:rPr>
        <w:t xml:space="preserve"> para la </w:t>
      </w:r>
      <w:r w:rsidR="00F019B4" w:rsidRPr="009A709D">
        <w:rPr>
          <w:lang w:val="es-ES_tradnl"/>
        </w:rPr>
        <w:t>EB</w:t>
      </w:r>
      <w:r w:rsidRPr="009A709D">
        <w:rPr>
          <w:lang w:val="es-ES_tradnl"/>
        </w:rPr>
        <w:t xml:space="preserve">. Considerando </w:t>
      </w:r>
      <w:r w:rsidR="003842C9" w:rsidRPr="009A709D">
        <w:rPr>
          <w:lang w:val="es-ES_tradnl"/>
        </w:rPr>
        <w:t>el ancho de</w:t>
      </w:r>
      <w:r w:rsidRPr="009A709D">
        <w:rPr>
          <w:lang w:val="es-ES_tradnl"/>
        </w:rPr>
        <w:t xml:space="preserve"> banda de referencia de los criterios de protección del SETS (véase el </w:t>
      </w:r>
      <w:r w:rsidR="00A23009" w:rsidRPr="00D81D07">
        <w:t>§ </w:t>
      </w:r>
      <w:r w:rsidR="000E4AD0" w:rsidRPr="009A709D">
        <w:rPr>
          <w:lang w:val="es-ES_tradnl"/>
        </w:rPr>
        <w:t xml:space="preserve">3 del </w:t>
      </w:r>
      <w:r w:rsidRPr="009A709D">
        <w:rPr>
          <w:lang w:val="es-ES_tradnl"/>
        </w:rPr>
        <w:t xml:space="preserve">Anexo 1), la potencia emitida </w:t>
      </w:r>
      <w:r w:rsidR="000E4AD0" w:rsidRPr="009A709D">
        <w:rPr>
          <w:lang w:val="es-ES_tradnl"/>
        </w:rPr>
        <w:t>equivale a</w:t>
      </w:r>
      <w:r w:rsidRPr="009A709D">
        <w:rPr>
          <w:lang w:val="es-ES_tradnl"/>
        </w:rPr>
        <w:t xml:space="preserve"> −18</w:t>
      </w:r>
      <w:r w:rsidR="00765549" w:rsidRPr="009A709D">
        <w:rPr>
          <w:lang w:val="es-ES_tradnl"/>
        </w:rPr>
        <w:t> </w:t>
      </w:r>
      <w:r w:rsidRPr="009A709D">
        <w:rPr>
          <w:lang w:val="es-ES_tradnl"/>
        </w:rPr>
        <w:t>dB(W/10</w:t>
      </w:r>
      <w:r w:rsidR="00765549" w:rsidRPr="009A709D">
        <w:rPr>
          <w:lang w:val="es-ES_tradnl"/>
        </w:rPr>
        <w:t> </w:t>
      </w:r>
      <w:r w:rsidRPr="009A709D">
        <w:rPr>
          <w:lang w:val="es-ES_tradnl"/>
        </w:rPr>
        <w:t xml:space="preserve">MHz). Para una PRT más elevada, la atenuación mínima se incrementaría </w:t>
      </w:r>
      <w:r w:rsidR="000E4AD0" w:rsidRPr="009A709D">
        <w:rPr>
          <w:lang w:val="es-ES_tradnl"/>
        </w:rPr>
        <w:t>en consecuencia</w:t>
      </w:r>
      <w:r w:rsidRPr="009A709D">
        <w:rPr>
          <w:lang w:val="es-ES_tradnl"/>
        </w:rPr>
        <w:t>.</w:t>
      </w:r>
      <w:r w:rsidR="000E4AD0" w:rsidRPr="009A709D">
        <w:rPr>
          <w:lang w:val="es-ES_tradnl"/>
        </w:rPr>
        <w:t xml:space="preserve"> Si la antena considerada posee</w:t>
      </w:r>
      <w:r w:rsidRPr="009A709D">
        <w:rPr>
          <w:lang w:val="es-ES_tradnl"/>
        </w:rPr>
        <w:t xml:space="preserve"> </w:t>
      </w:r>
      <w:r w:rsidR="000E4AD0" w:rsidRPr="009A709D">
        <w:rPr>
          <w:lang w:val="es-ES_tradnl"/>
        </w:rPr>
        <w:t>una cantidad mayor o menor de elementos, convendría recalcular l</w:t>
      </w:r>
      <w:r w:rsidRPr="009A709D">
        <w:rPr>
          <w:lang w:val="es-ES_tradnl"/>
        </w:rPr>
        <w:t>a atenuación mínima.</w:t>
      </w:r>
    </w:p>
    <w:p w14:paraId="59B41236" w14:textId="04D574D1" w:rsidR="007A63A8" w:rsidRPr="009A709D" w:rsidRDefault="0056044A" w:rsidP="00765549">
      <w:pPr>
        <w:rPr>
          <w:lang w:val="es-ES_tradnl"/>
        </w:rPr>
      </w:pPr>
      <w:r w:rsidRPr="009A709D">
        <w:rPr>
          <w:lang w:val="es-ES_tradnl"/>
        </w:rPr>
        <w:t>Si bien l</w:t>
      </w:r>
      <w:r w:rsidR="007A63A8" w:rsidRPr="009A709D">
        <w:rPr>
          <w:lang w:val="es-ES_tradnl"/>
        </w:rPr>
        <w:t>a estación terrena del SETS puede apuntar a distintas posiciones en el arco geoestacionario, el cálculo muestra que la ganancia hacia el horizonte (</w:t>
      </w:r>
      <w:r w:rsidR="007A63A8" w:rsidRPr="009A709D">
        <w:rPr>
          <w:i/>
          <w:lang w:val="es-ES_tradnl"/>
        </w:rPr>
        <w:t>G</w:t>
      </w:r>
      <w:r w:rsidR="007A63A8" w:rsidRPr="009A709D">
        <w:rPr>
          <w:i/>
          <w:vertAlign w:val="subscript"/>
          <w:lang w:val="es-ES_tradnl"/>
        </w:rPr>
        <w:t>r</w:t>
      </w:r>
      <w:r w:rsidR="007A63A8" w:rsidRPr="009A709D">
        <w:rPr>
          <w:lang w:val="es-ES_tradnl"/>
        </w:rPr>
        <w:t>) s</w:t>
      </w:r>
      <w:r w:rsidR="00743F83" w:rsidRPr="009A709D">
        <w:rPr>
          <w:lang w:val="es-ES_tradnl"/>
        </w:rPr>
        <w:t>ó</w:t>
      </w:r>
      <w:r w:rsidR="007A63A8" w:rsidRPr="009A709D">
        <w:rPr>
          <w:lang w:val="es-ES_tradnl"/>
        </w:rPr>
        <w:t>lo puede oscilar entre −6 y −10 dBi, al menos en la mayoría de los países europeos por debajo de una latitud determinada. Para garantizar la protección de la estación terrena, se ha escogido un valor de −6</w:t>
      </w:r>
      <w:r w:rsidR="00765549" w:rsidRPr="009A709D">
        <w:rPr>
          <w:lang w:val="es-ES_tradnl"/>
        </w:rPr>
        <w:t> </w:t>
      </w:r>
      <w:r w:rsidR="007A63A8" w:rsidRPr="009A709D">
        <w:rPr>
          <w:lang w:val="es-ES_tradnl"/>
        </w:rPr>
        <w:t>dBi.</w:t>
      </w:r>
    </w:p>
    <w:p w14:paraId="6C2B7E00" w14:textId="6A0DE227" w:rsidR="007A63A8" w:rsidRPr="009A709D" w:rsidRDefault="0056044A" w:rsidP="00765549">
      <w:pPr>
        <w:rPr>
          <w:lang w:val="es-ES_tradnl"/>
        </w:rPr>
      </w:pPr>
      <w:r w:rsidRPr="009A709D">
        <w:rPr>
          <w:lang w:val="es-ES_tradnl"/>
        </w:rPr>
        <w:t>El Cuadro</w:t>
      </w:r>
      <w:r w:rsidR="007A296C">
        <w:rPr>
          <w:lang w:val="es-ES_tradnl"/>
        </w:rPr>
        <w:t> </w:t>
      </w:r>
      <w:r w:rsidR="00E54B32" w:rsidRPr="009A709D">
        <w:rPr>
          <w:lang w:val="es-ES_tradnl"/>
        </w:rPr>
        <w:t xml:space="preserve">1 </w:t>
      </w:r>
      <w:r w:rsidR="007A63A8" w:rsidRPr="009A709D">
        <w:rPr>
          <w:lang w:val="es-ES_tradnl"/>
        </w:rPr>
        <w:t>muestra que, si se emplea un valor medio de pérdida</w:t>
      </w:r>
      <w:r w:rsidRPr="009A709D">
        <w:rPr>
          <w:lang w:val="es-ES_tradnl"/>
        </w:rPr>
        <w:t>s</w:t>
      </w:r>
      <w:r w:rsidR="007A63A8" w:rsidRPr="009A709D">
        <w:rPr>
          <w:lang w:val="es-ES_tradnl"/>
        </w:rPr>
        <w:t xml:space="preserve"> por ocupación del suelo de 19 dB, la distancia de separación entre l</w:t>
      </w:r>
      <w:r w:rsidRPr="009A709D">
        <w:rPr>
          <w:lang w:val="es-ES_tradnl"/>
        </w:rPr>
        <w:t>a</w:t>
      </w:r>
      <w:r w:rsidR="007A63A8" w:rsidRPr="009A709D">
        <w:rPr>
          <w:lang w:val="es-ES_tradnl"/>
        </w:rPr>
        <w:t xml:space="preserve"> IMT-2020 y la estación terrena del SETS podría reducirse a menos de un 1 km si la </w:t>
      </w:r>
      <w:r w:rsidR="00F019B4" w:rsidRPr="009A709D">
        <w:rPr>
          <w:lang w:val="es-ES_tradnl"/>
        </w:rPr>
        <w:t>EB</w:t>
      </w:r>
      <w:r w:rsidR="007A63A8" w:rsidRPr="009A709D">
        <w:rPr>
          <w:lang w:val="es-ES_tradnl"/>
        </w:rPr>
        <w:t xml:space="preserve"> </w:t>
      </w:r>
      <w:r w:rsidRPr="009A709D">
        <w:rPr>
          <w:lang w:val="es-ES_tradnl"/>
        </w:rPr>
        <w:t xml:space="preserve">en cuestión </w:t>
      </w:r>
      <w:r w:rsidR="007A63A8" w:rsidRPr="009A709D">
        <w:rPr>
          <w:lang w:val="es-ES_tradnl"/>
        </w:rPr>
        <w:t xml:space="preserve">apunta </w:t>
      </w:r>
      <w:r w:rsidRPr="009A709D">
        <w:rPr>
          <w:lang w:val="es-ES_tradnl"/>
        </w:rPr>
        <w:t>haci</w:t>
      </w:r>
      <w:r w:rsidR="007A63A8" w:rsidRPr="009A709D">
        <w:rPr>
          <w:lang w:val="es-ES_tradnl"/>
        </w:rPr>
        <w:t xml:space="preserve">a la estación terrena, y a menos de 100 m si la </w:t>
      </w:r>
      <w:r w:rsidR="00F019B4" w:rsidRPr="009A709D">
        <w:rPr>
          <w:lang w:val="es-ES_tradnl"/>
        </w:rPr>
        <w:t>EB</w:t>
      </w:r>
      <w:r w:rsidR="007A63A8" w:rsidRPr="009A709D">
        <w:rPr>
          <w:lang w:val="es-ES_tradnl"/>
        </w:rPr>
        <w:t xml:space="preserve"> </w:t>
      </w:r>
      <w:r w:rsidRPr="009A709D">
        <w:rPr>
          <w:lang w:val="es-ES_tradnl"/>
        </w:rPr>
        <w:t xml:space="preserve">se encuentra en una posición perpendicular con respecto </w:t>
      </w:r>
      <w:r w:rsidR="007A63A8" w:rsidRPr="009A709D">
        <w:rPr>
          <w:lang w:val="es-ES_tradnl"/>
        </w:rPr>
        <w:t>a la estación terrena.</w:t>
      </w:r>
    </w:p>
    <w:p w14:paraId="5B8DC4C7" w14:textId="0EF81821" w:rsidR="007A63A8" w:rsidRPr="009A709D" w:rsidRDefault="007A63A8" w:rsidP="007A63A8">
      <w:pPr>
        <w:pStyle w:val="FigureNo"/>
        <w:rPr>
          <w:rFonts w:eastAsia="SimSun"/>
          <w:lang w:val="es-ES_tradnl"/>
        </w:rPr>
      </w:pPr>
      <w:r w:rsidRPr="009A709D">
        <w:rPr>
          <w:lang w:val="es-ES_tradnl"/>
        </w:rPr>
        <w:lastRenderedPageBreak/>
        <w:t>FIGURA 18</w:t>
      </w:r>
    </w:p>
    <w:p w14:paraId="68C2ED04" w14:textId="277C730A" w:rsidR="007A63A8" w:rsidRPr="009A709D" w:rsidRDefault="00B20C67" w:rsidP="007A63A8">
      <w:pPr>
        <w:pStyle w:val="Figuretitle"/>
        <w:rPr>
          <w:lang w:val="es-ES_tradnl"/>
        </w:rPr>
      </w:pPr>
      <w:r w:rsidRPr="009A709D">
        <w:rPr>
          <w:lang w:val="es-ES_tradnl"/>
        </w:rPr>
        <w:t xml:space="preserve">FDA de </w:t>
      </w:r>
      <w:r w:rsidR="00873400" w:rsidRPr="009A709D">
        <w:rPr>
          <w:lang w:val="es-ES_tradnl"/>
        </w:rPr>
        <w:t xml:space="preserve">la </w:t>
      </w:r>
      <w:r w:rsidRPr="009A709D">
        <w:rPr>
          <w:lang w:val="es-ES_tradnl"/>
        </w:rPr>
        <w:t xml:space="preserve">ganancia de la </w:t>
      </w:r>
      <w:r w:rsidR="00F019B4" w:rsidRPr="009A709D">
        <w:rPr>
          <w:lang w:val="es-ES_tradnl"/>
        </w:rPr>
        <w:t>EB</w:t>
      </w:r>
      <w:r w:rsidRPr="009A709D">
        <w:rPr>
          <w:lang w:val="es-ES_tradnl"/>
        </w:rPr>
        <w:t xml:space="preserve"> IMT-2020 </w:t>
      </w:r>
      <w:r w:rsidR="00873400" w:rsidRPr="009A709D">
        <w:rPr>
          <w:lang w:val="es-ES_tradnl"/>
        </w:rPr>
        <w:t xml:space="preserve">hacia el horizonte </w:t>
      </w:r>
      <w:r w:rsidRPr="009A709D">
        <w:rPr>
          <w:lang w:val="es-ES_tradnl"/>
        </w:rPr>
        <w:t xml:space="preserve">para distintos </w:t>
      </w:r>
      <w:r w:rsidR="00A7798D" w:rsidRPr="009A709D">
        <w:rPr>
          <w:lang w:val="es-ES_tradnl"/>
        </w:rPr>
        <w:t>acimuts</w:t>
      </w:r>
    </w:p>
    <w:p w14:paraId="6A27CA16" w14:textId="1D55CEB8" w:rsidR="007A296C" w:rsidRPr="007A296C" w:rsidRDefault="007A296C" w:rsidP="007A296C">
      <w:pPr>
        <w:pStyle w:val="Figure"/>
        <w:rPr>
          <w:noProof/>
          <w:lang w:val="es-ES_tradnl" w:eastAsia="es-ES"/>
        </w:rPr>
      </w:pPr>
      <w:r>
        <w:rPr>
          <w:noProof/>
          <w:lang w:val="es-ES_tradnl" w:eastAsia="es-ES"/>
        </w:rPr>
        <w:drawing>
          <wp:inline distT="0" distB="0" distL="0" distR="0" wp14:anchorId="7FE82ED3" wp14:editId="2ED22955">
            <wp:extent cx="4255869" cy="338137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2142-0_18S.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59726" cy="3384440"/>
                    </a:xfrm>
                    <a:prstGeom prst="rect">
                      <a:avLst/>
                    </a:prstGeom>
                  </pic:spPr>
                </pic:pic>
              </a:graphicData>
            </a:graphic>
          </wp:inline>
        </w:drawing>
      </w:r>
    </w:p>
    <w:p w14:paraId="70FCC6C3" w14:textId="7D9185E6" w:rsidR="007A63A8" w:rsidRPr="009A709D" w:rsidRDefault="00DC3C16" w:rsidP="007A63A8">
      <w:pPr>
        <w:pStyle w:val="TableNo"/>
        <w:rPr>
          <w:rFonts w:eastAsia="SimSun"/>
          <w:lang w:val="es-ES_tradnl"/>
        </w:rPr>
      </w:pPr>
      <w:r w:rsidRPr="009A709D">
        <w:rPr>
          <w:lang w:val="es-ES_tradnl"/>
        </w:rPr>
        <w:t>CUADRO</w:t>
      </w:r>
      <w:r w:rsidR="007A63A8" w:rsidRPr="009A709D">
        <w:rPr>
          <w:lang w:val="es-ES_tradnl"/>
        </w:rPr>
        <w:t xml:space="preserve"> 1</w:t>
      </w:r>
    </w:p>
    <w:p w14:paraId="2C620F24" w14:textId="77777777" w:rsidR="007A63A8" w:rsidRPr="009A709D" w:rsidRDefault="007A63A8" w:rsidP="007A63A8">
      <w:pPr>
        <w:pStyle w:val="Tabletitle"/>
        <w:rPr>
          <w:lang w:val="es-ES_tradnl"/>
        </w:rPr>
      </w:pPr>
      <w:r w:rsidRPr="009A709D">
        <w:rPr>
          <w:lang w:val="es-ES_tradnl"/>
        </w:rPr>
        <w:t>Evaluación de las pérdidas necesarias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96"/>
        <w:gridCol w:w="810"/>
        <w:gridCol w:w="1479"/>
        <w:gridCol w:w="538"/>
        <w:gridCol w:w="538"/>
        <w:gridCol w:w="1504"/>
        <w:gridCol w:w="551"/>
        <w:gridCol w:w="530"/>
        <w:gridCol w:w="989"/>
        <w:gridCol w:w="1804"/>
      </w:tblGrid>
      <w:tr w:rsidR="007A63A8" w:rsidRPr="009A709D" w14:paraId="62F9D4EF" w14:textId="77777777" w:rsidTr="007A296C">
        <w:trPr>
          <w:jc w:val="center"/>
        </w:trPr>
        <w:tc>
          <w:tcPr>
            <w:tcW w:w="465" w:type="pct"/>
            <w:vAlign w:val="center"/>
          </w:tcPr>
          <w:p w14:paraId="48EBABEC" w14:textId="77777777" w:rsidR="007A63A8" w:rsidRPr="009A709D" w:rsidRDefault="007A63A8" w:rsidP="000535ED">
            <w:pPr>
              <w:pStyle w:val="Tablehead"/>
              <w:rPr>
                <w:sz w:val="18"/>
                <w:szCs w:val="18"/>
                <w:lang w:val="es-ES_tradnl"/>
              </w:rPr>
            </w:pPr>
            <w:r w:rsidRPr="009A709D">
              <w:rPr>
                <w:sz w:val="18"/>
                <w:lang w:val="es-ES_tradnl"/>
              </w:rPr>
              <w:t>Tipo</w:t>
            </w:r>
          </w:p>
        </w:tc>
        <w:tc>
          <w:tcPr>
            <w:tcW w:w="420" w:type="pct"/>
            <w:vAlign w:val="center"/>
            <w:hideMark/>
          </w:tcPr>
          <w:p w14:paraId="142F6064" w14:textId="36714B30" w:rsidR="007A63A8" w:rsidRPr="009A709D" w:rsidRDefault="007A63A8" w:rsidP="000535ED">
            <w:pPr>
              <w:pStyle w:val="Tablehead"/>
              <w:rPr>
                <w:sz w:val="18"/>
                <w:szCs w:val="18"/>
                <w:lang w:val="es-ES_tradnl"/>
              </w:rPr>
            </w:pPr>
            <w:r w:rsidRPr="009A709D">
              <w:rPr>
                <w:sz w:val="18"/>
                <w:lang w:val="es-ES_tradnl"/>
              </w:rPr>
              <w:t xml:space="preserve">Acimut </w:t>
            </w:r>
            <w:r w:rsidRPr="009A709D">
              <w:rPr>
                <w:sz w:val="18"/>
                <w:lang w:val="es-ES_tradnl"/>
              </w:rPr>
              <w:br/>
              <w:t>(grados)</w:t>
            </w:r>
          </w:p>
        </w:tc>
        <w:tc>
          <w:tcPr>
            <w:tcW w:w="767" w:type="pct"/>
            <w:vAlign w:val="center"/>
          </w:tcPr>
          <w:p w14:paraId="7891A621" w14:textId="77777777" w:rsidR="007A63A8" w:rsidRPr="009A709D" w:rsidRDefault="007A63A8" w:rsidP="000535ED">
            <w:pPr>
              <w:pStyle w:val="Tablehead"/>
              <w:rPr>
                <w:sz w:val="18"/>
                <w:szCs w:val="18"/>
                <w:lang w:val="es-ES_tradnl"/>
              </w:rPr>
            </w:pPr>
            <w:r w:rsidRPr="009A709D">
              <w:rPr>
                <w:i/>
                <w:sz w:val="18"/>
                <w:lang w:val="es-ES_tradnl"/>
              </w:rPr>
              <w:t>P</w:t>
            </w:r>
            <w:r w:rsidRPr="009A709D">
              <w:rPr>
                <w:i/>
                <w:sz w:val="18"/>
                <w:vertAlign w:val="subscript"/>
                <w:lang w:val="es-ES_tradnl"/>
              </w:rPr>
              <w:t>t</w:t>
            </w:r>
            <w:r w:rsidRPr="009A709D">
              <w:rPr>
                <w:sz w:val="18"/>
                <w:lang w:val="es-ES_tradnl"/>
              </w:rPr>
              <w:t xml:space="preserve"> </w:t>
            </w:r>
            <w:r w:rsidRPr="009A709D">
              <w:rPr>
                <w:sz w:val="18"/>
                <w:lang w:val="es-ES_tradnl"/>
              </w:rPr>
              <w:br/>
              <w:t>(dB(W/10 MHz))</w:t>
            </w:r>
          </w:p>
        </w:tc>
        <w:tc>
          <w:tcPr>
            <w:tcW w:w="279" w:type="pct"/>
            <w:vAlign w:val="center"/>
          </w:tcPr>
          <w:p w14:paraId="069F3CF9" w14:textId="77777777" w:rsidR="007A63A8" w:rsidRPr="009A709D" w:rsidRDefault="007A63A8" w:rsidP="000535ED">
            <w:pPr>
              <w:pStyle w:val="Tablehead"/>
              <w:rPr>
                <w:sz w:val="18"/>
                <w:szCs w:val="18"/>
                <w:lang w:val="es-ES_tradnl"/>
              </w:rPr>
            </w:pPr>
            <w:r w:rsidRPr="009A709D">
              <w:rPr>
                <w:i/>
                <w:sz w:val="18"/>
                <w:lang w:val="es-ES_tradnl"/>
              </w:rPr>
              <w:t>G</w:t>
            </w:r>
            <w:r w:rsidRPr="009A709D">
              <w:rPr>
                <w:i/>
                <w:sz w:val="18"/>
                <w:vertAlign w:val="subscript"/>
                <w:lang w:val="es-ES_tradnl"/>
              </w:rPr>
              <w:t>t</w:t>
            </w:r>
            <w:r w:rsidRPr="009A709D">
              <w:rPr>
                <w:sz w:val="18"/>
                <w:lang w:val="es-ES_tradnl"/>
              </w:rPr>
              <w:t xml:space="preserve"> </w:t>
            </w:r>
            <w:r w:rsidRPr="009A709D">
              <w:rPr>
                <w:sz w:val="18"/>
                <w:lang w:val="es-ES_tradnl"/>
              </w:rPr>
              <w:br/>
              <w:t>(dBi)</w:t>
            </w:r>
          </w:p>
        </w:tc>
        <w:tc>
          <w:tcPr>
            <w:tcW w:w="279" w:type="pct"/>
            <w:vAlign w:val="center"/>
          </w:tcPr>
          <w:p w14:paraId="25F2CF09" w14:textId="77777777" w:rsidR="007A63A8" w:rsidRPr="009A709D" w:rsidRDefault="007A63A8" w:rsidP="000535ED">
            <w:pPr>
              <w:pStyle w:val="Tablehead"/>
              <w:rPr>
                <w:sz w:val="18"/>
                <w:szCs w:val="18"/>
                <w:lang w:val="es-ES_tradnl"/>
              </w:rPr>
            </w:pPr>
            <w:r w:rsidRPr="009A709D">
              <w:rPr>
                <w:i/>
                <w:sz w:val="18"/>
                <w:lang w:val="es-ES_tradnl"/>
              </w:rPr>
              <w:t>G</w:t>
            </w:r>
            <w:r w:rsidRPr="009A709D">
              <w:rPr>
                <w:i/>
                <w:sz w:val="18"/>
                <w:vertAlign w:val="subscript"/>
                <w:lang w:val="es-ES_tradnl"/>
              </w:rPr>
              <w:t>r</w:t>
            </w:r>
            <w:r w:rsidRPr="009A709D">
              <w:rPr>
                <w:sz w:val="18"/>
                <w:lang w:val="es-ES_tradnl"/>
              </w:rPr>
              <w:t xml:space="preserve"> </w:t>
            </w:r>
            <w:r w:rsidRPr="009A709D">
              <w:rPr>
                <w:sz w:val="18"/>
                <w:lang w:val="es-ES_tradnl"/>
              </w:rPr>
              <w:br/>
              <w:t>(dBi)</w:t>
            </w:r>
          </w:p>
        </w:tc>
        <w:tc>
          <w:tcPr>
            <w:tcW w:w="780" w:type="pct"/>
            <w:vAlign w:val="center"/>
          </w:tcPr>
          <w:p w14:paraId="6EFD570C" w14:textId="77777777" w:rsidR="007A63A8" w:rsidRPr="009A709D" w:rsidRDefault="007A63A8" w:rsidP="000535ED">
            <w:pPr>
              <w:pStyle w:val="Tablehead"/>
              <w:rPr>
                <w:sz w:val="18"/>
                <w:szCs w:val="18"/>
                <w:lang w:val="es-ES_tradnl"/>
              </w:rPr>
            </w:pPr>
            <w:r w:rsidRPr="009A709D">
              <w:rPr>
                <w:i/>
                <w:sz w:val="18"/>
                <w:lang w:val="es-ES_tradnl"/>
              </w:rPr>
              <w:t>C</w:t>
            </w:r>
            <w:r w:rsidRPr="009A709D">
              <w:rPr>
                <w:i/>
                <w:sz w:val="18"/>
                <w:vertAlign w:val="subscript"/>
                <w:lang w:val="es-ES_tradnl"/>
              </w:rPr>
              <w:t>r</w:t>
            </w:r>
            <w:r w:rsidRPr="009A709D">
              <w:rPr>
                <w:sz w:val="18"/>
                <w:lang w:val="es-ES_tradnl"/>
              </w:rPr>
              <w:t xml:space="preserve"> </w:t>
            </w:r>
            <w:r w:rsidRPr="009A709D">
              <w:rPr>
                <w:sz w:val="18"/>
                <w:lang w:val="es-ES_tradnl"/>
              </w:rPr>
              <w:br/>
              <w:t>(dB(W/10 MHz))</w:t>
            </w:r>
          </w:p>
        </w:tc>
        <w:tc>
          <w:tcPr>
            <w:tcW w:w="286" w:type="pct"/>
            <w:vAlign w:val="center"/>
          </w:tcPr>
          <w:p w14:paraId="08014BD8" w14:textId="0B3523D3" w:rsidR="007A63A8" w:rsidRPr="009A709D" w:rsidRDefault="007A63A8" w:rsidP="000535ED">
            <w:pPr>
              <w:pStyle w:val="Tablehead"/>
              <w:rPr>
                <w:sz w:val="18"/>
                <w:szCs w:val="18"/>
                <w:lang w:val="es-ES_tradnl"/>
              </w:rPr>
            </w:pPr>
            <w:r w:rsidRPr="009A709D">
              <w:rPr>
                <w:sz w:val="18"/>
                <w:lang w:val="es-ES_tradnl"/>
              </w:rPr>
              <w:t xml:space="preserve">Efecto </w:t>
            </w:r>
            <w:r w:rsidR="00DC3C16" w:rsidRPr="009A709D">
              <w:rPr>
                <w:sz w:val="18"/>
                <w:lang w:val="es-ES_tradnl"/>
              </w:rPr>
              <w:t>comb</w:t>
            </w:r>
            <w:r w:rsidRPr="009A709D">
              <w:rPr>
                <w:sz w:val="18"/>
                <w:lang w:val="es-ES_tradnl"/>
              </w:rPr>
              <w:t xml:space="preserve">. </w:t>
            </w:r>
            <w:r w:rsidRPr="009A709D">
              <w:rPr>
                <w:sz w:val="18"/>
                <w:lang w:val="es-ES_tradnl"/>
              </w:rPr>
              <w:br/>
              <w:t>(dB)</w:t>
            </w:r>
          </w:p>
        </w:tc>
        <w:tc>
          <w:tcPr>
            <w:tcW w:w="275" w:type="pct"/>
            <w:vAlign w:val="center"/>
            <w:hideMark/>
          </w:tcPr>
          <w:p w14:paraId="34C740E9" w14:textId="66B00382" w:rsidR="007A63A8" w:rsidRPr="009A709D" w:rsidRDefault="007A63A8" w:rsidP="000535ED">
            <w:pPr>
              <w:pStyle w:val="Tablehead"/>
              <w:rPr>
                <w:sz w:val="18"/>
                <w:szCs w:val="18"/>
                <w:lang w:val="es-ES_tradnl"/>
              </w:rPr>
            </w:pPr>
            <w:r w:rsidRPr="009A709D">
              <w:rPr>
                <w:i/>
                <w:sz w:val="18"/>
                <w:lang w:val="es-ES_tradnl"/>
              </w:rPr>
              <w:t>L</w:t>
            </w:r>
            <w:r w:rsidRPr="009A709D">
              <w:rPr>
                <w:i/>
                <w:sz w:val="18"/>
                <w:vertAlign w:val="subscript"/>
                <w:lang w:val="es-ES_tradnl"/>
              </w:rPr>
              <w:t>b</w:t>
            </w:r>
            <w:r w:rsidRPr="009A709D">
              <w:rPr>
                <w:sz w:val="18"/>
                <w:lang w:val="es-ES_tradnl"/>
              </w:rPr>
              <w:t xml:space="preserve"> </w:t>
            </w:r>
            <w:r w:rsidRPr="009A709D">
              <w:rPr>
                <w:sz w:val="18"/>
                <w:vertAlign w:val="superscript"/>
                <w:lang w:val="es-ES_tradnl"/>
              </w:rPr>
              <w:t>(1)</w:t>
            </w:r>
            <w:r w:rsidRPr="009A709D">
              <w:rPr>
                <w:sz w:val="18"/>
                <w:vertAlign w:val="superscript"/>
                <w:lang w:val="es-ES_tradnl"/>
              </w:rPr>
              <w:br/>
            </w:r>
            <w:r w:rsidRPr="009A709D">
              <w:rPr>
                <w:sz w:val="18"/>
                <w:lang w:val="es-ES_tradnl"/>
              </w:rPr>
              <w:t>(dB)</w:t>
            </w:r>
          </w:p>
        </w:tc>
        <w:tc>
          <w:tcPr>
            <w:tcW w:w="513" w:type="pct"/>
            <w:vAlign w:val="center"/>
          </w:tcPr>
          <w:p w14:paraId="5B120143" w14:textId="6AD2F0A8" w:rsidR="007A63A8" w:rsidRPr="009A709D" w:rsidRDefault="007A63A8" w:rsidP="000535ED">
            <w:pPr>
              <w:pStyle w:val="Tablehead"/>
              <w:rPr>
                <w:sz w:val="18"/>
                <w:szCs w:val="18"/>
                <w:lang w:val="es-ES_tradnl"/>
              </w:rPr>
            </w:pPr>
            <w:r w:rsidRPr="009A709D">
              <w:rPr>
                <w:sz w:val="18"/>
                <w:lang w:val="es-ES_tradnl"/>
              </w:rPr>
              <w:t>Distancia utilizando la</w:t>
            </w:r>
            <w:r w:rsidR="00DC3C16" w:rsidRPr="009A709D">
              <w:rPr>
                <w:sz w:val="18"/>
                <w:lang w:val="es-ES_tradnl"/>
              </w:rPr>
              <w:t>s</w:t>
            </w:r>
            <w:r w:rsidRPr="009A709D">
              <w:rPr>
                <w:sz w:val="18"/>
                <w:lang w:val="es-ES_tradnl"/>
              </w:rPr>
              <w:t xml:space="preserve"> pérdida</w:t>
            </w:r>
            <w:r w:rsidR="00DC3C16" w:rsidRPr="009A709D">
              <w:rPr>
                <w:sz w:val="18"/>
                <w:lang w:val="es-ES_tradnl"/>
              </w:rPr>
              <w:t>s</w:t>
            </w:r>
            <w:r w:rsidRPr="009A709D">
              <w:rPr>
                <w:sz w:val="18"/>
                <w:lang w:val="es-ES_tradnl"/>
              </w:rPr>
              <w:t xml:space="preserve"> en</w:t>
            </w:r>
            <w:r w:rsidR="00DC3C16" w:rsidRPr="009A709D">
              <w:rPr>
                <w:sz w:val="18"/>
                <w:lang w:val="es-ES_tradnl"/>
              </w:rPr>
              <w:t xml:space="preserve"> el</w:t>
            </w:r>
            <w:r w:rsidRPr="009A709D">
              <w:rPr>
                <w:sz w:val="18"/>
                <w:lang w:val="es-ES_tradnl"/>
              </w:rPr>
              <w:t xml:space="preserve"> espacio libre </w:t>
            </w:r>
            <w:r w:rsidRPr="009A709D">
              <w:rPr>
                <w:sz w:val="18"/>
                <w:lang w:val="es-ES_tradnl"/>
              </w:rPr>
              <w:br/>
              <w:t>(km)</w:t>
            </w:r>
          </w:p>
        </w:tc>
        <w:tc>
          <w:tcPr>
            <w:tcW w:w="937" w:type="pct"/>
            <w:vAlign w:val="center"/>
          </w:tcPr>
          <w:p w14:paraId="5CC74047" w14:textId="0C75E802" w:rsidR="007A63A8" w:rsidRPr="009A709D" w:rsidRDefault="007A63A8" w:rsidP="000535ED">
            <w:pPr>
              <w:pStyle w:val="Tablehead"/>
              <w:rPr>
                <w:sz w:val="18"/>
                <w:szCs w:val="18"/>
                <w:vertAlign w:val="superscript"/>
                <w:lang w:val="es-ES_tradnl"/>
              </w:rPr>
            </w:pPr>
            <w:r w:rsidRPr="009A709D">
              <w:rPr>
                <w:sz w:val="18"/>
                <w:lang w:val="es-ES_tradnl"/>
              </w:rPr>
              <w:t xml:space="preserve">Distancia utilizando las pérdidas en </w:t>
            </w:r>
            <w:r w:rsidR="00DC3C16" w:rsidRPr="009A709D">
              <w:rPr>
                <w:sz w:val="18"/>
                <w:lang w:val="es-ES_tradnl"/>
              </w:rPr>
              <w:t xml:space="preserve">el </w:t>
            </w:r>
            <w:r w:rsidRPr="009A709D">
              <w:rPr>
                <w:sz w:val="18"/>
                <w:lang w:val="es-ES_tradnl"/>
              </w:rPr>
              <w:t xml:space="preserve">espacio libre + ocupación del suelo </w:t>
            </w:r>
            <w:r w:rsidRPr="009A709D">
              <w:rPr>
                <w:sz w:val="18"/>
                <w:lang w:val="es-ES_tradnl"/>
              </w:rPr>
              <w:br/>
              <w:t>(km)</w:t>
            </w:r>
            <w:r w:rsidR="00CA4ACE" w:rsidRPr="009A709D">
              <w:rPr>
                <w:sz w:val="18"/>
                <w:lang w:val="es-ES_tradnl"/>
              </w:rPr>
              <w:t xml:space="preserve"> </w:t>
            </w:r>
            <w:r w:rsidRPr="009A709D">
              <w:rPr>
                <w:sz w:val="18"/>
                <w:vertAlign w:val="superscript"/>
                <w:lang w:val="es-ES_tradnl"/>
              </w:rPr>
              <w:t>(2)</w:t>
            </w:r>
          </w:p>
        </w:tc>
      </w:tr>
      <w:tr w:rsidR="007A63A8" w:rsidRPr="009A709D" w14:paraId="4F287F37" w14:textId="77777777" w:rsidTr="007A296C">
        <w:trPr>
          <w:jc w:val="center"/>
        </w:trPr>
        <w:tc>
          <w:tcPr>
            <w:tcW w:w="465" w:type="pct"/>
            <w:vMerge w:val="restart"/>
            <w:vAlign w:val="center"/>
          </w:tcPr>
          <w:p w14:paraId="256AB94E" w14:textId="77777777" w:rsidR="007A63A8" w:rsidRPr="009A709D" w:rsidRDefault="007A63A8" w:rsidP="00CC6F16">
            <w:pPr>
              <w:pStyle w:val="Tabletext"/>
              <w:jc w:val="center"/>
              <w:rPr>
                <w:sz w:val="20"/>
                <w:lang w:val="es-ES_tradnl"/>
              </w:rPr>
            </w:pPr>
            <w:r w:rsidRPr="009A709D">
              <w:rPr>
                <w:sz w:val="20"/>
                <w:lang w:val="es-ES_tradnl"/>
              </w:rPr>
              <w:t>Punto de acceso</w:t>
            </w:r>
          </w:p>
        </w:tc>
        <w:tc>
          <w:tcPr>
            <w:tcW w:w="420" w:type="pct"/>
            <w:vAlign w:val="center"/>
          </w:tcPr>
          <w:p w14:paraId="0A53AF12" w14:textId="77777777" w:rsidR="007A63A8" w:rsidRPr="009A709D" w:rsidRDefault="007A63A8" w:rsidP="000535ED">
            <w:pPr>
              <w:pStyle w:val="Tabletext"/>
              <w:jc w:val="center"/>
              <w:rPr>
                <w:sz w:val="20"/>
                <w:lang w:val="es-ES_tradnl"/>
              </w:rPr>
            </w:pPr>
            <w:r w:rsidRPr="009A709D">
              <w:rPr>
                <w:sz w:val="20"/>
                <w:lang w:val="es-ES_tradnl"/>
              </w:rPr>
              <w:t>0</w:t>
            </w:r>
          </w:p>
        </w:tc>
        <w:tc>
          <w:tcPr>
            <w:tcW w:w="767" w:type="pct"/>
            <w:vMerge w:val="restart"/>
            <w:vAlign w:val="center"/>
          </w:tcPr>
          <w:p w14:paraId="476FEED3" w14:textId="5D18CC7C"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18</w:t>
            </w:r>
          </w:p>
        </w:tc>
        <w:tc>
          <w:tcPr>
            <w:tcW w:w="279" w:type="pct"/>
            <w:vMerge w:val="restart"/>
            <w:vAlign w:val="center"/>
          </w:tcPr>
          <w:p w14:paraId="2C29F1B7" w14:textId="77777777" w:rsidR="007A63A8" w:rsidRPr="009A709D" w:rsidRDefault="007A63A8" w:rsidP="000535ED">
            <w:pPr>
              <w:pStyle w:val="Tabletext"/>
              <w:jc w:val="center"/>
              <w:rPr>
                <w:sz w:val="20"/>
                <w:lang w:val="es-ES_tradnl"/>
              </w:rPr>
            </w:pPr>
            <w:r w:rsidRPr="009A709D">
              <w:rPr>
                <w:sz w:val="20"/>
                <w:lang w:val="es-ES_tradnl"/>
              </w:rPr>
              <w:t>22,5</w:t>
            </w:r>
          </w:p>
        </w:tc>
        <w:tc>
          <w:tcPr>
            <w:tcW w:w="279" w:type="pct"/>
            <w:vMerge w:val="restart"/>
            <w:vAlign w:val="center"/>
          </w:tcPr>
          <w:p w14:paraId="602AC3E2" w14:textId="3C1BAB77"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6</w:t>
            </w:r>
          </w:p>
        </w:tc>
        <w:tc>
          <w:tcPr>
            <w:tcW w:w="780" w:type="pct"/>
            <w:vMerge w:val="restart"/>
            <w:vAlign w:val="center"/>
          </w:tcPr>
          <w:p w14:paraId="63A99D1A" w14:textId="340DFDE8"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133</w:t>
            </w:r>
          </w:p>
        </w:tc>
        <w:tc>
          <w:tcPr>
            <w:tcW w:w="286" w:type="pct"/>
            <w:vMerge w:val="restart"/>
            <w:vAlign w:val="center"/>
          </w:tcPr>
          <w:p w14:paraId="7CFCCCC7" w14:textId="77777777" w:rsidR="007A63A8" w:rsidRPr="009A709D" w:rsidRDefault="007A63A8" w:rsidP="000535ED">
            <w:pPr>
              <w:pStyle w:val="Tabletext"/>
              <w:jc w:val="center"/>
              <w:rPr>
                <w:sz w:val="20"/>
                <w:lang w:val="es-ES_tradnl"/>
              </w:rPr>
            </w:pPr>
            <w:r w:rsidRPr="009A709D">
              <w:rPr>
                <w:sz w:val="20"/>
                <w:lang w:val="es-ES_tradnl"/>
              </w:rPr>
              <w:t>6</w:t>
            </w:r>
          </w:p>
        </w:tc>
        <w:tc>
          <w:tcPr>
            <w:tcW w:w="275" w:type="pct"/>
            <w:vMerge w:val="restart"/>
            <w:vAlign w:val="center"/>
          </w:tcPr>
          <w:p w14:paraId="0948E26F" w14:textId="77777777" w:rsidR="007A63A8" w:rsidRPr="009A709D" w:rsidRDefault="007A63A8" w:rsidP="000535ED">
            <w:pPr>
              <w:pStyle w:val="Tabletext"/>
              <w:jc w:val="center"/>
              <w:rPr>
                <w:sz w:val="20"/>
                <w:lang w:val="es-ES_tradnl"/>
              </w:rPr>
            </w:pPr>
            <w:r w:rsidRPr="009A709D">
              <w:rPr>
                <w:sz w:val="20"/>
                <w:lang w:val="es-ES_tradnl"/>
              </w:rPr>
              <w:t>137,5</w:t>
            </w:r>
          </w:p>
        </w:tc>
        <w:tc>
          <w:tcPr>
            <w:tcW w:w="513" w:type="pct"/>
            <w:vMerge w:val="restart"/>
            <w:vAlign w:val="center"/>
          </w:tcPr>
          <w:p w14:paraId="4C2384C8" w14:textId="77777777" w:rsidR="007A63A8" w:rsidRPr="009A709D" w:rsidRDefault="007A63A8" w:rsidP="000535ED">
            <w:pPr>
              <w:pStyle w:val="Tabletext"/>
              <w:jc w:val="center"/>
              <w:rPr>
                <w:sz w:val="20"/>
                <w:lang w:val="es-ES_tradnl"/>
              </w:rPr>
            </w:pPr>
            <w:r w:rsidRPr="009A709D">
              <w:rPr>
                <w:sz w:val="20"/>
                <w:lang w:val="es-ES_tradnl"/>
              </w:rPr>
              <w:t>6,6</w:t>
            </w:r>
          </w:p>
        </w:tc>
        <w:tc>
          <w:tcPr>
            <w:tcW w:w="937" w:type="pct"/>
            <w:vMerge w:val="restart"/>
            <w:vAlign w:val="center"/>
          </w:tcPr>
          <w:p w14:paraId="09A9B8F0" w14:textId="77777777" w:rsidR="007A63A8" w:rsidRPr="009A709D" w:rsidRDefault="007A63A8" w:rsidP="000535ED">
            <w:pPr>
              <w:pStyle w:val="Tabletext"/>
              <w:jc w:val="center"/>
              <w:rPr>
                <w:sz w:val="20"/>
                <w:lang w:val="es-ES_tradnl"/>
              </w:rPr>
            </w:pPr>
            <w:r w:rsidRPr="009A709D">
              <w:rPr>
                <w:sz w:val="20"/>
                <w:lang w:val="es-ES_tradnl"/>
              </w:rPr>
              <w:t>0,8</w:t>
            </w:r>
          </w:p>
        </w:tc>
      </w:tr>
      <w:tr w:rsidR="007A63A8" w:rsidRPr="009A709D" w14:paraId="3E880138" w14:textId="77777777" w:rsidTr="007A296C">
        <w:trPr>
          <w:jc w:val="center"/>
        </w:trPr>
        <w:tc>
          <w:tcPr>
            <w:tcW w:w="465" w:type="pct"/>
            <w:vMerge/>
            <w:vAlign w:val="center"/>
          </w:tcPr>
          <w:p w14:paraId="5FA54B61" w14:textId="77777777" w:rsidR="007A63A8" w:rsidRPr="009A709D" w:rsidRDefault="007A63A8" w:rsidP="000535ED">
            <w:pPr>
              <w:pStyle w:val="Tabletext"/>
              <w:rPr>
                <w:sz w:val="20"/>
                <w:lang w:val="es-ES_tradnl" w:eastAsia="fr-FR"/>
              </w:rPr>
            </w:pPr>
          </w:p>
        </w:tc>
        <w:tc>
          <w:tcPr>
            <w:tcW w:w="420" w:type="pct"/>
            <w:vAlign w:val="center"/>
          </w:tcPr>
          <w:p w14:paraId="63499F61" w14:textId="77777777" w:rsidR="007A63A8" w:rsidRPr="009A709D" w:rsidRDefault="007A63A8" w:rsidP="000535ED">
            <w:pPr>
              <w:pStyle w:val="Tabletext"/>
              <w:jc w:val="center"/>
              <w:rPr>
                <w:sz w:val="20"/>
                <w:lang w:val="es-ES_tradnl"/>
              </w:rPr>
            </w:pPr>
            <w:r w:rsidRPr="009A709D">
              <w:rPr>
                <w:sz w:val="20"/>
                <w:lang w:val="es-ES_tradnl"/>
              </w:rPr>
              <w:t>10</w:t>
            </w:r>
          </w:p>
        </w:tc>
        <w:tc>
          <w:tcPr>
            <w:tcW w:w="767" w:type="pct"/>
            <w:vMerge/>
            <w:vAlign w:val="center"/>
          </w:tcPr>
          <w:p w14:paraId="1A742F99" w14:textId="77777777" w:rsidR="007A63A8" w:rsidRPr="009A709D" w:rsidRDefault="007A63A8" w:rsidP="000535ED">
            <w:pPr>
              <w:pStyle w:val="Tabletext"/>
              <w:jc w:val="center"/>
              <w:rPr>
                <w:sz w:val="20"/>
                <w:lang w:val="es-ES_tradnl" w:eastAsia="fr-FR"/>
              </w:rPr>
            </w:pPr>
          </w:p>
        </w:tc>
        <w:tc>
          <w:tcPr>
            <w:tcW w:w="279" w:type="pct"/>
            <w:vMerge/>
            <w:vAlign w:val="center"/>
          </w:tcPr>
          <w:p w14:paraId="7652AE83" w14:textId="77777777" w:rsidR="007A63A8" w:rsidRPr="009A709D" w:rsidRDefault="007A63A8" w:rsidP="000535ED">
            <w:pPr>
              <w:pStyle w:val="Tabletext"/>
              <w:jc w:val="center"/>
              <w:rPr>
                <w:sz w:val="20"/>
                <w:lang w:val="es-ES_tradnl" w:eastAsia="fr-FR"/>
              </w:rPr>
            </w:pPr>
          </w:p>
        </w:tc>
        <w:tc>
          <w:tcPr>
            <w:tcW w:w="279" w:type="pct"/>
            <w:vMerge/>
            <w:vAlign w:val="center"/>
          </w:tcPr>
          <w:p w14:paraId="5CFDBEB1" w14:textId="77777777" w:rsidR="007A63A8" w:rsidRPr="009A709D" w:rsidRDefault="007A63A8" w:rsidP="000535ED">
            <w:pPr>
              <w:pStyle w:val="Tabletext"/>
              <w:jc w:val="center"/>
              <w:rPr>
                <w:sz w:val="20"/>
                <w:lang w:val="es-ES_tradnl" w:eastAsia="fr-FR"/>
              </w:rPr>
            </w:pPr>
          </w:p>
        </w:tc>
        <w:tc>
          <w:tcPr>
            <w:tcW w:w="780" w:type="pct"/>
            <w:vMerge/>
            <w:vAlign w:val="center"/>
          </w:tcPr>
          <w:p w14:paraId="0D8963BF" w14:textId="77777777" w:rsidR="007A63A8" w:rsidRPr="009A709D" w:rsidRDefault="007A63A8" w:rsidP="000535ED">
            <w:pPr>
              <w:pStyle w:val="Tabletext"/>
              <w:jc w:val="center"/>
              <w:rPr>
                <w:sz w:val="20"/>
                <w:lang w:val="es-ES_tradnl" w:eastAsia="fr-FR"/>
              </w:rPr>
            </w:pPr>
          </w:p>
        </w:tc>
        <w:tc>
          <w:tcPr>
            <w:tcW w:w="286" w:type="pct"/>
            <w:vMerge/>
            <w:vAlign w:val="center"/>
          </w:tcPr>
          <w:p w14:paraId="6AC448E3" w14:textId="77777777" w:rsidR="007A63A8" w:rsidRPr="009A709D" w:rsidRDefault="007A63A8" w:rsidP="000535ED">
            <w:pPr>
              <w:pStyle w:val="Tabletext"/>
              <w:jc w:val="center"/>
              <w:rPr>
                <w:sz w:val="20"/>
                <w:lang w:val="es-ES_tradnl" w:eastAsia="fr-FR"/>
              </w:rPr>
            </w:pPr>
          </w:p>
        </w:tc>
        <w:tc>
          <w:tcPr>
            <w:tcW w:w="275" w:type="pct"/>
            <w:vMerge/>
            <w:vAlign w:val="center"/>
          </w:tcPr>
          <w:p w14:paraId="072D16A4" w14:textId="77777777" w:rsidR="007A63A8" w:rsidRPr="009A709D" w:rsidRDefault="007A63A8" w:rsidP="000535ED">
            <w:pPr>
              <w:pStyle w:val="Tabletext"/>
              <w:jc w:val="center"/>
              <w:rPr>
                <w:sz w:val="20"/>
                <w:lang w:val="es-ES_tradnl" w:eastAsia="fr-FR"/>
              </w:rPr>
            </w:pPr>
          </w:p>
        </w:tc>
        <w:tc>
          <w:tcPr>
            <w:tcW w:w="513" w:type="pct"/>
            <w:vMerge/>
            <w:vAlign w:val="center"/>
          </w:tcPr>
          <w:p w14:paraId="67CA53E3" w14:textId="77777777" w:rsidR="007A63A8" w:rsidRPr="009A709D" w:rsidRDefault="007A63A8" w:rsidP="000535ED">
            <w:pPr>
              <w:pStyle w:val="Tabletext"/>
              <w:jc w:val="center"/>
              <w:rPr>
                <w:sz w:val="20"/>
                <w:lang w:val="es-ES_tradnl" w:eastAsia="fr-FR"/>
              </w:rPr>
            </w:pPr>
          </w:p>
        </w:tc>
        <w:tc>
          <w:tcPr>
            <w:tcW w:w="937" w:type="pct"/>
            <w:vMerge/>
            <w:vAlign w:val="center"/>
          </w:tcPr>
          <w:p w14:paraId="58012226" w14:textId="77777777" w:rsidR="007A63A8" w:rsidRPr="009A709D" w:rsidRDefault="007A63A8" w:rsidP="000535ED">
            <w:pPr>
              <w:pStyle w:val="Tabletext"/>
              <w:jc w:val="center"/>
              <w:rPr>
                <w:sz w:val="20"/>
                <w:lang w:val="es-ES_tradnl" w:eastAsia="fr-FR"/>
              </w:rPr>
            </w:pPr>
          </w:p>
        </w:tc>
      </w:tr>
      <w:tr w:rsidR="007A63A8" w:rsidRPr="009A709D" w14:paraId="0400B7A9" w14:textId="77777777" w:rsidTr="007A296C">
        <w:trPr>
          <w:jc w:val="center"/>
        </w:trPr>
        <w:tc>
          <w:tcPr>
            <w:tcW w:w="465" w:type="pct"/>
            <w:vMerge/>
            <w:vAlign w:val="center"/>
          </w:tcPr>
          <w:p w14:paraId="02A38D07" w14:textId="77777777" w:rsidR="007A63A8" w:rsidRPr="009A709D" w:rsidRDefault="007A63A8" w:rsidP="000535ED">
            <w:pPr>
              <w:pStyle w:val="Tabletext"/>
              <w:rPr>
                <w:sz w:val="20"/>
                <w:lang w:val="es-ES_tradnl" w:eastAsia="fr-FR"/>
              </w:rPr>
            </w:pPr>
          </w:p>
        </w:tc>
        <w:tc>
          <w:tcPr>
            <w:tcW w:w="420" w:type="pct"/>
            <w:vAlign w:val="center"/>
          </w:tcPr>
          <w:p w14:paraId="5765E430" w14:textId="77777777" w:rsidR="007A63A8" w:rsidRPr="009A709D" w:rsidRDefault="007A63A8" w:rsidP="000535ED">
            <w:pPr>
              <w:pStyle w:val="Tabletext"/>
              <w:jc w:val="center"/>
              <w:rPr>
                <w:sz w:val="20"/>
                <w:lang w:val="es-ES_tradnl"/>
              </w:rPr>
            </w:pPr>
            <w:r w:rsidRPr="009A709D">
              <w:rPr>
                <w:sz w:val="20"/>
                <w:lang w:val="es-ES_tradnl"/>
              </w:rPr>
              <w:t>20</w:t>
            </w:r>
          </w:p>
        </w:tc>
        <w:tc>
          <w:tcPr>
            <w:tcW w:w="767" w:type="pct"/>
            <w:vMerge/>
            <w:vAlign w:val="center"/>
          </w:tcPr>
          <w:p w14:paraId="7AEFEA71" w14:textId="77777777" w:rsidR="007A63A8" w:rsidRPr="009A709D" w:rsidRDefault="007A63A8" w:rsidP="000535ED">
            <w:pPr>
              <w:pStyle w:val="Tabletext"/>
              <w:jc w:val="center"/>
              <w:rPr>
                <w:sz w:val="20"/>
                <w:lang w:val="es-ES_tradnl" w:eastAsia="fr-FR"/>
              </w:rPr>
            </w:pPr>
          </w:p>
        </w:tc>
        <w:tc>
          <w:tcPr>
            <w:tcW w:w="279" w:type="pct"/>
            <w:vMerge/>
            <w:vAlign w:val="center"/>
          </w:tcPr>
          <w:p w14:paraId="6101DC32" w14:textId="77777777" w:rsidR="007A63A8" w:rsidRPr="009A709D" w:rsidRDefault="007A63A8" w:rsidP="000535ED">
            <w:pPr>
              <w:pStyle w:val="Tabletext"/>
              <w:jc w:val="center"/>
              <w:rPr>
                <w:sz w:val="20"/>
                <w:lang w:val="es-ES_tradnl" w:eastAsia="fr-FR"/>
              </w:rPr>
            </w:pPr>
          </w:p>
        </w:tc>
        <w:tc>
          <w:tcPr>
            <w:tcW w:w="279" w:type="pct"/>
            <w:vMerge/>
            <w:vAlign w:val="center"/>
          </w:tcPr>
          <w:p w14:paraId="1F6960C7" w14:textId="77777777" w:rsidR="007A63A8" w:rsidRPr="009A709D" w:rsidRDefault="007A63A8" w:rsidP="000535ED">
            <w:pPr>
              <w:pStyle w:val="Tabletext"/>
              <w:jc w:val="center"/>
              <w:rPr>
                <w:sz w:val="20"/>
                <w:lang w:val="es-ES_tradnl" w:eastAsia="fr-FR"/>
              </w:rPr>
            </w:pPr>
          </w:p>
        </w:tc>
        <w:tc>
          <w:tcPr>
            <w:tcW w:w="780" w:type="pct"/>
            <w:vMerge/>
            <w:vAlign w:val="center"/>
          </w:tcPr>
          <w:p w14:paraId="28B27A60" w14:textId="77777777" w:rsidR="007A63A8" w:rsidRPr="009A709D" w:rsidRDefault="007A63A8" w:rsidP="000535ED">
            <w:pPr>
              <w:pStyle w:val="Tabletext"/>
              <w:jc w:val="center"/>
              <w:rPr>
                <w:sz w:val="20"/>
                <w:lang w:val="es-ES_tradnl" w:eastAsia="fr-FR"/>
              </w:rPr>
            </w:pPr>
          </w:p>
        </w:tc>
        <w:tc>
          <w:tcPr>
            <w:tcW w:w="286" w:type="pct"/>
            <w:vMerge/>
            <w:vAlign w:val="center"/>
          </w:tcPr>
          <w:p w14:paraId="620D84AC" w14:textId="77777777" w:rsidR="007A63A8" w:rsidRPr="009A709D" w:rsidRDefault="007A63A8" w:rsidP="000535ED">
            <w:pPr>
              <w:pStyle w:val="Tabletext"/>
              <w:jc w:val="center"/>
              <w:rPr>
                <w:sz w:val="20"/>
                <w:lang w:val="es-ES_tradnl" w:eastAsia="fr-FR"/>
              </w:rPr>
            </w:pPr>
          </w:p>
        </w:tc>
        <w:tc>
          <w:tcPr>
            <w:tcW w:w="275" w:type="pct"/>
            <w:vMerge/>
            <w:vAlign w:val="center"/>
          </w:tcPr>
          <w:p w14:paraId="3BA7A57C" w14:textId="77777777" w:rsidR="007A63A8" w:rsidRPr="009A709D" w:rsidRDefault="007A63A8" w:rsidP="000535ED">
            <w:pPr>
              <w:pStyle w:val="Tabletext"/>
              <w:jc w:val="center"/>
              <w:rPr>
                <w:sz w:val="20"/>
                <w:lang w:val="es-ES_tradnl" w:eastAsia="fr-FR"/>
              </w:rPr>
            </w:pPr>
          </w:p>
        </w:tc>
        <w:tc>
          <w:tcPr>
            <w:tcW w:w="513" w:type="pct"/>
            <w:vMerge/>
            <w:vAlign w:val="center"/>
          </w:tcPr>
          <w:p w14:paraId="29844836" w14:textId="77777777" w:rsidR="007A63A8" w:rsidRPr="009A709D" w:rsidRDefault="007A63A8" w:rsidP="000535ED">
            <w:pPr>
              <w:pStyle w:val="Tabletext"/>
              <w:jc w:val="center"/>
              <w:rPr>
                <w:sz w:val="20"/>
                <w:lang w:val="es-ES_tradnl" w:eastAsia="fr-FR"/>
              </w:rPr>
            </w:pPr>
          </w:p>
        </w:tc>
        <w:tc>
          <w:tcPr>
            <w:tcW w:w="937" w:type="pct"/>
            <w:vMerge/>
            <w:vAlign w:val="center"/>
          </w:tcPr>
          <w:p w14:paraId="52D30201" w14:textId="77777777" w:rsidR="007A63A8" w:rsidRPr="009A709D" w:rsidRDefault="007A63A8" w:rsidP="000535ED">
            <w:pPr>
              <w:pStyle w:val="Tabletext"/>
              <w:jc w:val="center"/>
              <w:rPr>
                <w:sz w:val="20"/>
                <w:lang w:val="es-ES_tradnl" w:eastAsia="fr-FR"/>
              </w:rPr>
            </w:pPr>
          </w:p>
        </w:tc>
      </w:tr>
      <w:tr w:rsidR="007A63A8" w:rsidRPr="009A709D" w14:paraId="6EE01C6F" w14:textId="77777777" w:rsidTr="007A296C">
        <w:trPr>
          <w:jc w:val="center"/>
        </w:trPr>
        <w:tc>
          <w:tcPr>
            <w:tcW w:w="465" w:type="pct"/>
            <w:vMerge/>
            <w:vAlign w:val="center"/>
          </w:tcPr>
          <w:p w14:paraId="2A9272F6" w14:textId="77777777" w:rsidR="007A63A8" w:rsidRPr="009A709D" w:rsidRDefault="007A63A8" w:rsidP="000535ED">
            <w:pPr>
              <w:pStyle w:val="Tabletext"/>
              <w:rPr>
                <w:sz w:val="20"/>
                <w:lang w:val="es-ES_tradnl" w:eastAsia="fr-FR"/>
              </w:rPr>
            </w:pPr>
          </w:p>
        </w:tc>
        <w:tc>
          <w:tcPr>
            <w:tcW w:w="420" w:type="pct"/>
            <w:vAlign w:val="center"/>
          </w:tcPr>
          <w:p w14:paraId="4F51136B" w14:textId="77777777" w:rsidR="007A63A8" w:rsidRPr="009A709D" w:rsidRDefault="007A63A8" w:rsidP="000535ED">
            <w:pPr>
              <w:pStyle w:val="Tabletext"/>
              <w:jc w:val="center"/>
              <w:rPr>
                <w:sz w:val="20"/>
                <w:lang w:val="es-ES_tradnl"/>
              </w:rPr>
            </w:pPr>
            <w:r w:rsidRPr="009A709D">
              <w:rPr>
                <w:sz w:val="20"/>
                <w:lang w:val="es-ES_tradnl"/>
              </w:rPr>
              <w:t>30</w:t>
            </w:r>
          </w:p>
        </w:tc>
        <w:tc>
          <w:tcPr>
            <w:tcW w:w="767" w:type="pct"/>
            <w:vMerge/>
            <w:vAlign w:val="center"/>
          </w:tcPr>
          <w:p w14:paraId="7462D7B8" w14:textId="77777777" w:rsidR="007A63A8" w:rsidRPr="009A709D" w:rsidRDefault="007A63A8" w:rsidP="000535ED">
            <w:pPr>
              <w:pStyle w:val="Tabletext"/>
              <w:jc w:val="center"/>
              <w:rPr>
                <w:sz w:val="20"/>
                <w:lang w:val="es-ES_tradnl" w:eastAsia="fr-FR"/>
              </w:rPr>
            </w:pPr>
          </w:p>
        </w:tc>
        <w:tc>
          <w:tcPr>
            <w:tcW w:w="279" w:type="pct"/>
            <w:vMerge/>
            <w:vAlign w:val="center"/>
          </w:tcPr>
          <w:p w14:paraId="0EFAA49C" w14:textId="77777777" w:rsidR="007A63A8" w:rsidRPr="009A709D" w:rsidRDefault="007A63A8" w:rsidP="000535ED">
            <w:pPr>
              <w:pStyle w:val="Tabletext"/>
              <w:jc w:val="center"/>
              <w:rPr>
                <w:sz w:val="20"/>
                <w:lang w:val="es-ES_tradnl" w:eastAsia="fr-FR"/>
              </w:rPr>
            </w:pPr>
          </w:p>
        </w:tc>
        <w:tc>
          <w:tcPr>
            <w:tcW w:w="279" w:type="pct"/>
            <w:vMerge/>
            <w:vAlign w:val="center"/>
          </w:tcPr>
          <w:p w14:paraId="4089A467" w14:textId="77777777" w:rsidR="007A63A8" w:rsidRPr="009A709D" w:rsidRDefault="007A63A8" w:rsidP="000535ED">
            <w:pPr>
              <w:pStyle w:val="Tabletext"/>
              <w:jc w:val="center"/>
              <w:rPr>
                <w:sz w:val="20"/>
                <w:lang w:val="es-ES_tradnl" w:eastAsia="fr-FR"/>
              </w:rPr>
            </w:pPr>
          </w:p>
        </w:tc>
        <w:tc>
          <w:tcPr>
            <w:tcW w:w="780" w:type="pct"/>
            <w:vMerge/>
            <w:vAlign w:val="center"/>
          </w:tcPr>
          <w:p w14:paraId="7B74D1F1" w14:textId="77777777" w:rsidR="007A63A8" w:rsidRPr="009A709D" w:rsidRDefault="007A63A8" w:rsidP="000535ED">
            <w:pPr>
              <w:pStyle w:val="Tabletext"/>
              <w:jc w:val="center"/>
              <w:rPr>
                <w:sz w:val="20"/>
                <w:lang w:val="es-ES_tradnl" w:eastAsia="fr-FR"/>
              </w:rPr>
            </w:pPr>
          </w:p>
        </w:tc>
        <w:tc>
          <w:tcPr>
            <w:tcW w:w="286" w:type="pct"/>
            <w:vMerge/>
            <w:vAlign w:val="center"/>
          </w:tcPr>
          <w:p w14:paraId="4BA6F22D" w14:textId="77777777" w:rsidR="007A63A8" w:rsidRPr="009A709D" w:rsidRDefault="007A63A8" w:rsidP="000535ED">
            <w:pPr>
              <w:pStyle w:val="Tabletext"/>
              <w:jc w:val="center"/>
              <w:rPr>
                <w:sz w:val="20"/>
                <w:lang w:val="es-ES_tradnl" w:eastAsia="fr-FR"/>
              </w:rPr>
            </w:pPr>
          </w:p>
        </w:tc>
        <w:tc>
          <w:tcPr>
            <w:tcW w:w="275" w:type="pct"/>
            <w:vMerge/>
            <w:vAlign w:val="center"/>
          </w:tcPr>
          <w:p w14:paraId="5EA58A47" w14:textId="77777777" w:rsidR="007A63A8" w:rsidRPr="009A709D" w:rsidRDefault="007A63A8" w:rsidP="000535ED">
            <w:pPr>
              <w:pStyle w:val="Tabletext"/>
              <w:jc w:val="center"/>
              <w:rPr>
                <w:sz w:val="20"/>
                <w:lang w:val="es-ES_tradnl" w:eastAsia="fr-FR"/>
              </w:rPr>
            </w:pPr>
          </w:p>
        </w:tc>
        <w:tc>
          <w:tcPr>
            <w:tcW w:w="513" w:type="pct"/>
            <w:vMerge/>
            <w:vAlign w:val="center"/>
          </w:tcPr>
          <w:p w14:paraId="0FB6AF25" w14:textId="77777777" w:rsidR="007A63A8" w:rsidRPr="009A709D" w:rsidRDefault="007A63A8" w:rsidP="000535ED">
            <w:pPr>
              <w:pStyle w:val="Tabletext"/>
              <w:jc w:val="center"/>
              <w:rPr>
                <w:sz w:val="20"/>
                <w:lang w:val="es-ES_tradnl" w:eastAsia="fr-FR"/>
              </w:rPr>
            </w:pPr>
          </w:p>
        </w:tc>
        <w:tc>
          <w:tcPr>
            <w:tcW w:w="937" w:type="pct"/>
            <w:vMerge/>
            <w:vAlign w:val="center"/>
          </w:tcPr>
          <w:p w14:paraId="6E69E0C0" w14:textId="77777777" w:rsidR="007A63A8" w:rsidRPr="009A709D" w:rsidRDefault="007A63A8" w:rsidP="000535ED">
            <w:pPr>
              <w:pStyle w:val="Tabletext"/>
              <w:jc w:val="center"/>
              <w:rPr>
                <w:sz w:val="20"/>
                <w:lang w:val="es-ES_tradnl" w:eastAsia="fr-FR"/>
              </w:rPr>
            </w:pPr>
          </w:p>
        </w:tc>
      </w:tr>
      <w:tr w:rsidR="007A63A8" w:rsidRPr="009A709D" w14:paraId="5A8E9809" w14:textId="77777777" w:rsidTr="007A296C">
        <w:trPr>
          <w:jc w:val="center"/>
        </w:trPr>
        <w:tc>
          <w:tcPr>
            <w:tcW w:w="465" w:type="pct"/>
            <w:vMerge/>
            <w:vAlign w:val="center"/>
          </w:tcPr>
          <w:p w14:paraId="26AFC3BD" w14:textId="77777777" w:rsidR="007A63A8" w:rsidRPr="009A709D" w:rsidRDefault="007A63A8" w:rsidP="000535ED">
            <w:pPr>
              <w:pStyle w:val="Tabletext"/>
              <w:rPr>
                <w:sz w:val="20"/>
                <w:lang w:val="es-ES_tradnl" w:eastAsia="fr-FR"/>
              </w:rPr>
            </w:pPr>
          </w:p>
        </w:tc>
        <w:tc>
          <w:tcPr>
            <w:tcW w:w="420" w:type="pct"/>
            <w:vAlign w:val="center"/>
            <w:hideMark/>
          </w:tcPr>
          <w:p w14:paraId="3FF4F56A" w14:textId="77777777" w:rsidR="007A63A8" w:rsidRPr="009A709D" w:rsidRDefault="007A63A8" w:rsidP="000535ED">
            <w:pPr>
              <w:pStyle w:val="Tabletext"/>
              <w:jc w:val="center"/>
              <w:rPr>
                <w:sz w:val="20"/>
                <w:lang w:val="es-ES_tradnl"/>
              </w:rPr>
            </w:pPr>
            <w:r w:rsidRPr="009A709D">
              <w:rPr>
                <w:sz w:val="20"/>
                <w:lang w:val="es-ES_tradnl"/>
              </w:rPr>
              <w:t>40</w:t>
            </w:r>
          </w:p>
        </w:tc>
        <w:tc>
          <w:tcPr>
            <w:tcW w:w="767" w:type="pct"/>
            <w:vAlign w:val="center"/>
          </w:tcPr>
          <w:p w14:paraId="3377AF7C" w14:textId="007FD9FE"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18</w:t>
            </w:r>
          </w:p>
        </w:tc>
        <w:tc>
          <w:tcPr>
            <w:tcW w:w="279" w:type="pct"/>
            <w:vAlign w:val="center"/>
          </w:tcPr>
          <w:p w14:paraId="119408EF" w14:textId="77777777" w:rsidR="007A63A8" w:rsidRPr="009A709D" w:rsidRDefault="007A63A8" w:rsidP="000535ED">
            <w:pPr>
              <w:pStyle w:val="Tabletext"/>
              <w:jc w:val="center"/>
              <w:rPr>
                <w:sz w:val="20"/>
                <w:lang w:val="es-ES_tradnl"/>
              </w:rPr>
            </w:pPr>
            <w:r w:rsidRPr="009A709D">
              <w:rPr>
                <w:sz w:val="20"/>
                <w:lang w:val="es-ES_tradnl"/>
              </w:rPr>
              <w:t>21</w:t>
            </w:r>
          </w:p>
        </w:tc>
        <w:tc>
          <w:tcPr>
            <w:tcW w:w="279" w:type="pct"/>
            <w:vAlign w:val="center"/>
          </w:tcPr>
          <w:p w14:paraId="772766FA" w14:textId="33F4D17E"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6</w:t>
            </w:r>
          </w:p>
        </w:tc>
        <w:tc>
          <w:tcPr>
            <w:tcW w:w="780" w:type="pct"/>
            <w:vAlign w:val="center"/>
          </w:tcPr>
          <w:p w14:paraId="3DA680D4" w14:textId="23FB0052"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133</w:t>
            </w:r>
          </w:p>
        </w:tc>
        <w:tc>
          <w:tcPr>
            <w:tcW w:w="286" w:type="pct"/>
            <w:vAlign w:val="center"/>
          </w:tcPr>
          <w:p w14:paraId="37A9102B" w14:textId="77777777" w:rsidR="007A63A8" w:rsidRPr="009A709D" w:rsidRDefault="007A63A8" w:rsidP="000535ED">
            <w:pPr>
              <w:pStyle w:val="Tabletext"/>
              <w:jc w:val="center"/>
              <w:rPr>
                <w:sz w:val="20"/>
                <w:lang w:val="es-ES_tradnl"/>
              </w:rPr>
            </w:pPr>
            <w:r w:rsidRPr="009A709D">
              <w:rPr>
                <w:sz w:val="20"/>
                <w:lang w:val="es-ES_tradnl"/>
              </w:rPr>
              <w:t>6</w:t>
            </w:r>
          </w:p>
        </w:tc>
        <w:tc>
          <w:tcPr>
            <w:tcW w:w="275" w:type="pct"/>
            <w:vAlign w:val="center"/>
          </w:tcPr>
          <w:p w14:paraId="6BDE2293" w14:textId="77777777" w:rsidR="007A63A8" w:rsidRPr="009A709D" w:rsidRDefault="007A63A8" w:rsidP="000535ED">
            <w:pPr>
              <w:pStyle w:val="Tabletext"/>
              <w:jc w:val="center"/>
              <w:rPr>
                <w:sz w:val="20"/>
                <w:lang w:val="es-ES_tradnl"/>
              </w:rPr>
            </w:pPr>
            <w:r w:rsidRPr="009A709D">
              <w:rPr>
                <w:sz w:val="20"/>
                <w:lang w:val="es-ES_tradnl"/>
              </w:rPr>
              <w:t>136</w:t>
            </w:r>
          </w:p>
        </w:tc>
        <w:tc>
          <w:tcPr>
            <w:tcW w:w="513" w:type="pct"/>
            <w:vAlign w:val="center"/>
          </w:tcPr>
          <w:p w14:paraId="43E16341" w14:textId="00BC8ABE" w:rsidR="007A63A8" w:rsidRPr="009A709D" w:rsidRDefault="007A63A8" w:rsidP="000535ED">
            <w:pPr>
              <w:pStyle w:val="Tabletext"/>
              <w:jc w:val="center"/>
              <w:rPr>
                <w:sz w:val="20"/>
                <w:lang w:val="es-ES_tradnl"/>
              </w:rPr>
            </w:pPr>
            <w:r w:rsidRPr="009A709D">
              <w:rPr>
                <w:sz w:val="20"/>
                <w:lang w:val="es-ES_tradnl"/>
              </w:rPr>
              <w:t>5,8</w:t>
            </w:r>
          </w:p>
        </w:tc>
        <w:tc>
          <w:tcPr>
            <w:tcW w:w="937" w:type="pct"/>
            <w:vAlign w:val="center"/>
          </w:tcPr>
          <w:p w14:paraId="38A98636" w14:textId="77777777" w:rsidR="007A63A8" w:rsidRPr="009A709D" w:rsidRDefault="007A63A8" w:rsidP="000535ED">
            <w:pPr>
              <w:pStyle w:val="Tabletext"/>
              <w:jc w:val="center"/>
              <w:rPr>
                <w:sz w:val="20"/>
                <w:lang w:val="es-ES_tradnl"/>
              </w:rPr>
            </w:pPr>
            <w:r w:rsidRPr="009A709D">
              <w:rPr>
                <w:sz w:val="20"/>
                <w:lang w:val="es-ES_tradnl"/>
              </w:rPr>
              <w:t>0,65</w:t>
            </w:r>
          </w:p>
        </w:tc>
      </w:tr>
      <w:tr w:rsidR="007A63A8" w:rsidRPr="009A709D" w14:paraId="76729922" w14:textId="77777777" w:rsidTr="007A296C">
        <w:trPr>
          <w:jc w:val="center"/>
        </w:trPr>
        <w:tc>
          <w:tcPr>
            <w:tcW w:w="465" w:type="pct"/>
            <w:vMerge/>
            <w:vAlign w:val="center"/>
          </w:tcPr>
          <w:p w14:paraId="2B6B89FB" w14:textId="77777777" w:rsidR="007A63A8" w:rsidRPr="009A709D" w:rsidRDefault="007A63A8" w:rsidP="000535ED">
            <w:pPr>
              <w:pStyle w:val="Tabletext"/>
              <w:rPr>
                <w:sz w:val="20"/>
                <w:lang w:val="es-ES_tradnl" w:eastAsia="fr-FR"/>
              </w:rPr>
            </w:pPr>
          </w:p>
        </w:tc>
        <w:tc>
          <w:tcPr>
            <w:tcW w:w="420" w:type="pct"/>
            <w:vAlign w:val="center"/>
            <w:hideMark/>
          </w:tcPr>
          <w:p w14:paraId="57992D8F" w14:textId="77777777" w:rsidR="007A63A8" w:rsidRPr="009A709D" w:rsidRDefault="007A63A8" w:rsidP="000535ED">
            <w:pPr>
              <w:pStyle w:val="Tabletext"/>
              <w:jc w:val="center"/>
              <w:rPr>
                <w:sz w:val="20"/>
                <w:lang w:val="es-ES_tradnl"/>
              </w:rPr>
            </w:pPr>
            <w:r w:rsidRPr="009A709D">
              <w:rPr>
                <w:sz w:val="20"/>
                <w:lang w:val="es-ES_tradnl"/>
              </w:rPr>
              <w:t>50</w:t>
            </w:r>
          </w:p>
        </w:tc>
        <w:tc>
          <w:tcPr>
            <w:tcW w:w="767" w:type="pct"/>
            <w:vAlign w:val="center"/>
          </w:tcPr>
          <w:p w14:paraId="2A75BCD0" w14:textId="3BA01F47"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18</w:t>
            </w:r>
          </w:p>
        </w:tc>
        <w:tc>
          <w:tcPr>
            <w:tcW w:w="279" w:type="pct"/>
            <w:vAlign w:val="center"/>
          </w:tcPr>
          <w:p w14:paraId="01D946B1" w14:textId="77777777" w:rsidR="007A63A8" w:rsidRPr="009A709D" w:rsidRDefault="007A63A8" w:rsidP="000535ED">
            <w:pPr>
              <w:pStyle w:val="Tabletext"/>
              <w:jc w:val="center"/>
              <w:rPr>
                <w:sz w:val="20"/>
                <w:lang w:val="es-ES_tradnl"/>
              </w:rPr>
            </w:pPr>
            <w:r w:rsidRPr="009A709D">
              <w:rPr>
                <w:sz w:val="20"/>
                <w:lang w:val="es-ES_tradnl"/>
              </w:rPr>
              <w:t>20</w:t>
            </w:r>
          </w:p>
        </w:tc>
        <w:tc>
          <w:tcPr>
            <w:tcW w:w="279" w:type="pct"/>
            <w:vAlign w:val="center"/>
          </w:tcPr>
          <w:p w14:paraId="0779A096" w14:textId="142802F2"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6</w:t>
            </w:r>
          </w:p>
        </w:tc>
        <w:tc>
          <w:tcPr>
            <w:tcW w:w="780" w:type="pct"/>
            <w:vAlign w:val="center"/>
          </w:tcPr>
          <w:p w14:paraId="60125B61" w14:textId="1CBACC42"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133</w:t>
            </w:r>
          </w:p>
        </w:tc>
        <w:tc>
          <w:tcPr>
            <w:tcW w:w="286" w:type="pct"/>
            <w:vAlign w:val="center"/>
          </w:tcPr>
          <w:p w14:paraId="3B48949C" w14:textId="77777777" w:rsidR="007A63A8" w:rsidRPr="009A709D" w:rsidRDefault="007A63A8" w:rsidP="000535ED">
            <w:pPr>
              <w:pStyle w:val="Tabletext"/>
              <w:jc w:val="center"/>
              <w:rPr>
                <w:sz w:val="20"/>
                <w:lang w:val="es-ES_tradnl"/>
              </w:rPr>
            </w:pPr>
            <w:r w:rsidRPr="009A709D">
              <w:rPr>
                <w:sz w:val="20"/>
                <w:lang w:val="es-ES_tradnl"/>
              </w:rPr>
              <w:t>6</w:t>
            </w:r>
          </w:p>
        </w:tc>
        <w:tc>
          <w:tcPr>
            <w:tcW w:w="275" w:type="pct"/>
            <w:vAlign w:val="center"/>
          </w:tcPr>
          <w:p w14:paraId="6A7A034E" w14:textId="77777777" w:rsidR="007A63A8" w:rsidRPr="009A709D" w:rsidRDefault="007A63A8" w:rsidP="000535ED">
            <w:pPr>
              <w:pStyle w:val="Tabletext"/>
              <w:jc w:val="center"/>
              <w:rPr>
                <w:sz w:val="20"/>
                <w:lang w:val="es-ES_tradnl"/>
              </w:rPr>
            </w:pPr>
            <w:r w:rsidRPr="009A709D">
              <w:rPr>
                <w:sz w:val="20"/>
                <w:lang w:val="es-ES_tradnl"/>
              </w:rPr>
              <w:t>135</w:t>
            </w:r>
          </w:p>
        </w:tc>
        <w:tc>
          <w:tcPr>
            <w:tcW w:w="513" w:type="pct"/>
            <w:vAlign w:val="center"/>
          </w:tcPr>
          <w:p w14:paraId="65DDB0FC" w14:textId="77777777" w:rsidR="007A63A8" w:rsidRPr="009A709D" w:rsidRDefault="007A63A8" w:rsidP="000535ED">
            <w:pPr>
              <w:pStyle w:val="Tabletext"/>
              <w:jc w:val="center"/>
              <w:rPr>
                <w:sz w:val="20"/>
                <w:lang w:val="es-ES_tradnl"/>
              </w:rPr>
            </w:pPr>
            <w:r w:rsidRPr="009A709D">
              <w:rPr>
                <w:sz w:val="20"/>
                <w:lang w:val="es-ES_tradnl"/>
              </w:rPr>
              <w:t>5,2</w:t>
            </w:r>
          </w:p>
        </w:tc>
        <w:tc>
          <w:tcPr>
            <w:tcW w:w="937" w:type="pct"/>
            <w:vAlign w:val="center"/>
          </w:tcPr>
          <w:p w14:paraId="04DB91BC" w14:textId="77777777" w:rsidR="007A63A8" w:rsidRPr="009A709D" w:rsidRDefault="007A63A8" w:rsidP="000535ED">
            <w:pPr>
              <w:pStyle w:val="Tabletext"/>
              <w:jc w:val="center"/>
              <w:rPr>
                <w:sz w:val="20"/>
                <w:lang w:val="es-ES_tradnl"/>
              </w:rPr>
            </w:pPr>
            <w:r w:rsidRPr="009A709D">
              <w:rPr>
                <w:sz w:val="20"/>
                <w:lang w:val="es-ES_tradnl"/>
              </w:rPr>
              <w:t>0,58</w:t>
            </w:r>
          </w:p>
        </w:tc>
      </w:tr>
      <w:tr w:rsidR="007A63A8" w:rsidRPr="009A709D" w14:paraId="3A05F3CB" w14:textId="77777777" w:rsidTr="007A296C">
        <w:trPr>
          <w:jc w:val="center"/>
        </w:trPr>
        <w:tc>
          <w:tcPr>
            <w:tcW w:w="465" w:type="pct"/>
            <w:vMerge/>
            <w:vAlign w:val="center"/>
          </w:tcPr>
          <w:p w14:paraId="2569A444" w14:textId="77777777" w:rsidR="007A63A8" w:rsidRPr="009A709D" w:rsidRDefault="007A63A8" w:rsidP="000535ED">
            <w:pPr>
              <w:pStyle w:val="Tabletext"/>
              <w:rPr>
                <w:sz w:val="20"/>
                <w:lang w:val="es-ES_tradnl" w:eastAsia="fr-FR"/>
              </w:rPr>
            </w:pPr>
          </w:p>
        </w:tc>
        <w:tc>
          <w:tcPr>
            <w:tcW w:w="420" w:type="pct"/>
            <w:vAlign w:val="center"/>
            <w:hideMark/>
          </w:tcPr>
          <w:p w14:paraId="60CF825E" w14:textId="77777777" w:rsidR="007A63A8" w:rsidRPr="009A709D" w:rsidRDefault="007A63A8" w:rsidP="000535ED">
            <w:pPr>
              <w:pStyle w:val="Tabletext"/>
              <w:jc w:val="center"/>
              <w:rPr>
                <w:sz w:val="20"/>
                <w:lang w:val="es-ES_tradnl"/>
              </w:rPr>
            </w:pPr>
            <w:r w:rsidRPr="009A709D">
              <w:rPr>
                <w:sz w:val="20"/>
                <w:lang w:val="es-ES_tradnl"/>
              </w:rPr>
              <w:t>60</w:t>
            </w:r>
          </w:p>
        </w:tc>
        <w:tc>
          <w:tcPr>
            <w:tcW w:w="767" w:type="pct"/>
            <w:vAlign w:val="center"/>
          </w:tcPr>
          <w:p w14:paraId="13C93CCC" w14:textId="7C4789AA"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18</w:t>
            </w:r>
          </w:p>
        </w:tc>
        <w:tc>
          <w:tcPr>
            <w:tcW w:w="279" w:type="pct"/>
            <w:vAlign w:val="center"/>
          </w:tcPr>
          <w:p w14:paraId="2A2E201F" w14:textId="77777777" w:rsidR="007A63A8" w:rsidRPr="009A709D" w:rsidRDefault="007A63A8" w:rsidP="000535ED">
            <w:pPr>
              <w:pStyle w:val="Tabletext"/>
              <w:jc w:val="center"/>
              <w:rPr>
                <w:sz w:val="20"/>
                <w:lang w:val="es-ES_tradnl"/>
              </w:rPr>
            </w:pPr>
            <w:r w:rsidRPr="009A709D">
              <w:rPr>
                <w:sz w:val="20"/>
                <w:lang w:val="es-ES_tradnl"/>
              </w:rPr>
              <w:t>18</w:t>
            </w:r>
          </w:p>
        </w:tc>
        <w:tc>
          <w:tcPr>
            <w:tcW w:w="279" w:type="pct"/>
            <w:vAlign w:val="center"/>
          </w:tcPr>
          <w:p w14:paraId="46932013" w14:textId="4A6869FE"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6</w:t>
            </w:r>
          </w:p>
        </w:tc>
        <w:tc>
          <w:tcPr>
            <w:tcW w:w="780" w:type="pct"/>
            <w:vAlign w:val="center"/>
          </w:tcPr>
          <w:p w14:paraId="15425870" w14:textId="636701BB"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133</w:t>
            </w:r>
          </w:p>
        </w:tc>
        <w:tc>
          <w:tcPr>
            <w:tcW w:w="286" w:type="pct"/>
            <w:vAlign w:val="center"/>
          </w:tcPr>
          <w:p w14:paraId="2D478ADE" w14:textId="77777777" w:rsidR="007A63A8" w:rsidRPr="009A709D" w:rsidRDefault="007A63A8" w:rsidP="000535ED">
            <w:pPr>
              <w:pStyle w:val="Tabletext"/>
              <w:jc w:val="center"/>
              <w:rPr>
                <w:sz w:val="20"/>
                <w:lang w:val="es-ES_tradnl"/>
              </w:rPr>
            </w:pPr>
            <w:r w:rsidRPr="009A709D">
              <w:rPr>
                <w:sz w:val="20"/>
                <w:lang w:val="es-ES_tradnl"/>
              </w:rPr>
              <w:t>6</w:t>
            </w:r>
          </w:p>
        </w:tc>
        <w:tc>
          <w:tcPr>
            <w:tcW w:w="275" w:type="pct"/>
            <w:vAlign w:val="center"/>
          </w:tcPr>
          <w:p w14:paraId="2CA739BF" w14:textId="77777777" w:rsidR="007A63A8" w:rsidRPr="009A709D" w:rsidRDefault="007A63A8" w:rsidP="000535ED">
            <w:pPr>
              <w:pStyle w:val="Tabletext"/>
              <w:jc w:val="center"/>
              <w:rPr>
                <w:sz w:val="20"/>
                <w:lang w:val="es-ES_tradnl"/>
              </w:rPr>
            </w:pPr>
            <w:r w:rsidRPr="009A709D">
              <w:rPr>
                <w:sz w:val="20"/>
                <w:lang w:val="es-ES_tradnl"/>
              </w:rPr>
              <w:t>133</w:t>
            </w:r>
          </w:p>
        </w:tc>
        <w:tc>
          <w:tcPr>
            <w:tcW w:w="513" w:type="pct"/>
            <w:vAlign w:val="center"/>
          </w:tcPr>
          <w:p w14:paraId="265F18B9" w14:textId="77777777" w:rsidR="007A63A8" w:rsidRPr="009A709D" w:rsidRDefault="007A63A8" w:rsidP="000535ED">
            <w:pPr>
              <w:pStyle w:val="Tabletext"/>
              <w:jc w:val="center"/>
              <w:rPr>
                <w:sz w:val="20"/>
                <w:lang w:val="es-ES_tradnl"/>
              </w:rPr>
            </w:pPr>
            <w:r w:rsidRPr="009A709D">
              <w:rPr>
                <w:sz w:val="20"/>
                <w:lang w:val="es-ES_tradnl"/>
              </w:rPr>
              <w:t>4,1</w:t>
            </w:r>
          </w:p>
        </w:tc>
        <w:tc>
          <w:tcPr>
            <w:tcW w:w="937" w:type="pct"/>
            <w:vAlign w:val="center"/>
          </w:tcPr>
          <w:p w14:paraId="29443DDC" w14:textId="77777777" w:rsidR="007A63A8" w:rsidRPr="009A709D" w:rsidRDefault="007A63A8" w:rsidP="000535ED">
            <w:pPr>
              <w:pStyle w:val="Tabletext"/>
              <w:jc w:val="center"/>
              <w:rPr>
                <w:sz w:val="20"/>
                <w:lang w:val="es-ES_tradnl"/>
              </w:rPr>
            </w:pPr>
            <w:r w:rsidRPr="009A709D">
              <w:rPr>
                <w:sz w:val="20"/>
                <w:lang w:val="es-ES_tradnl"/>
              </w:rPr>
              <w:t>0,47</w:t>
            </w:r>
          </w:p>
        </w:tc>
      </w:tr>
      <w:tr w:rsidR="007A63A8" w:rsidRPr="009A709D" w14:paraId="07AE7E4D" w14:textId="77777777" w:rsidTr="007A296C">
        <w:trPr>
          <w:jc w:val="center"/>
        </w:trPr>
        <w:tc>
          <w:tcPr>
            <w:tcW w:w="465" w:type="pct"/>
            <w:vMerge/>
            <w:vAlign w:val="center"/>
          </w:tcPr>
          <w:p w14:paraId="1166888B" w14:textId="77777777" w:rsidR="007A63A8" w:rsidRPr="009A709D" w:rsidRDefault="007A63A8" w:rsidP="000535ED">
            <w:pPr>
              <w:pStyle w:val="Tabletext"/>
              <w:rPr>
                <w:sz w:val="20"/>
                <w:lang w:val="es-ES_tradnl" w:eastAsia="fr-FR"/>
              </w:rPr>
            </w:pPr>
          </w:p>
        </w:tc>
        <w:tc>
          <w:tcPr>
            <w:tcW w:w="420" w:type="pct"/>
            <w:vAlign w:val="center"/>
          </w:tcPr>
          <w:p w14:paraId="2590EF26" w14:textId="77777777" w:rsidR="007A63A8" w:rsidRPr="009A709D" w:rsidRDefault="007A63A8" w:rsidP="000535ED">
            <w:pPr>
              <w:pStyle w:val="Tabletext"/>
              <w:jc w:val="center"/>
              <w:rPr>
                <w:sz w:val="20"/>
                <w:lang w:val="es-ES_tradnl"/>
              </w:rPr>
            </w:pPr>
            <w:r w:rsidRPr="009A709D">
              <w:rPr>
                <w:sz w:val="20"/>
                <w:lang w:val="es-ES_tradnl"/>
              </w:rPr>
              <w:t>70</w:t>
            </w:r>
          </w:p>
        </w:tc>
        <w:tc>
          <w:tcPr>
            <w:tcW w:w="767" w:type="pct"/>
            <w:vAlign w:val="center"/>
          </w:tcPr>
          <w:p w14:paraId="4433568D" w14:textId="65073811"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18</w:t>
            </w:r>
          </w:p>
        </w:tc>
        <w:tc>
          <w:tcPr>
            <w:tcW w:w="279" w:type="pct"/>
            <w:vAlign w:val="center"/>
          </w:tcPr>
          <w:p w14:paraId="008C3F96" w14:textId="77777777" w:rsidR="007A63A8" w:rsidRPr="009A709D" w:rsidRDefault="007A63A8" w:rsidP="000535ED">
            <w:pPr>
              <w:pStyle w:val="Tabletext"/>
              <w:jc w:val="center"/>
              <w:rPr>
                <w:sz w:val="20"/>
                <w:lang w:val="es-ES_tradnl"/>
              </w:rPr>
            </w:pPr>
            <w:r w:rsidRPr="009A709D">
              <w:rPr>
                <w:sz w:val="20"/>
                <w:lang w:val="es-ES_tradnl"/>
              </w:rPr>
              <w:t>15</w:t>
            </w:r>
          </w:p>
        </w:tc>
        <w:tc>
          <w:tcPr>
            <w:tcW w:w="279" w:type="pct"/>
            <w:vAlign w:val="center"/>
          </w:tcPr>
          <w:p w14:paraId="1F70013C" w14:textId="2CA93022"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6</w:t>
            </w:r>
          </w:p>
        </w:tc>
        <w:tc>
          <w:tcPr>
            <w:tcW w:w="780" w:type="pct"/>
            <w:vAlign w:val="center"/>
          </w:tcPr>
          <w:p w14:paraId="26EC26ED" w14:textId="5F6AB5E8"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133</w:t>
            </w:r>
          </w:p>
        </w:tc>
        <w:tc>
          <w:tcPr>
            <w:tcW w:w="286" w:type="pct"/>
            <w:vAlign w:val="center"/>
          </w:tcPr>
          <w:p w14:paraId="4C9E260E" w14:textId="77777777" w:rsidR="007A63A8" w:rsidRPr="009A709D" w:rsidRDefault="007A63A8" w:rsidP="000535ED">
            <w:pPr>
              <w:pStyle w:val="Tabletext"/>
              <w:jc w:val="center"/>
              <w:rPr>
                <w:sz w:val="20"/>
                <w:lang w:val="es-ES_tradnl"/>
              </w:rPr>
            </w:pPr>
            <w:r w:rsidRPr="009A709D">
              <w:rPr>
                <w:sz w:val="20"/>
                <w:lang w:val="es-ES_tradnl"/>
              </w:rPr>
              <w:t>6</w:t>
            </w:r>
          </w:p>
        </w:tc>
        <w:tc>
          <w:tcPr>
            <w:tcW w:w="275" w:type="pct"/>
            <w:vAlign w:val="center"/>
          </w:tcPr>
          <w:p w14:paraId="6A26C202" w14:textId="77777777" w:rsidR="007A63A8" w:rsidRPr="009A709D" w:rsidRDefault="007A63A8" w:rsidP="000535ED">
            <w:pPr>
              <w:pStyle w:val="Tabletext"/>
              <w:jc w:val="center"/>
              <w:rPr>
                <w:sz w:val="20"/>
                <w:lang w:val="es-ES_tradnl"/>
              </w:rPr>
            </w:pPr>
            <w:r w:rsidRPr="009A709D">
              <w:rPr>
                <w:sz w:val="20"/>
                <w:lang w:val="es-ES_tradnl"/>
              </w:rPr>
              <w:t>130</w:t>
            </w:r>
          </w:p>
        </w:tc>
        <w:tc>
          <w:tcPr>
            <w:tcW w:w="513" w:type="pct"/>
            <w:vAlign w:val="center"/>
          </w:tcPr>
          <w:p w14:paraId="6BEDC3DB" w14:textId="77777777" w:rsidR="007A63A8" w:rsidRPr="009A709D" w:rsidRDefault="007A63A8" w:rsidP="000535ED">
            <w:pPr>
              <w:pStyle w:val="Tabletext"/>
              <w:jc w:val="center"/>
              <w:rPr>
                <w:sz w:val="20"/>
                <w:lang w:val="es-ES_tradnl"/>
              </w:rPr>
            </w:pPr>
            <w:r w:rsidRPr="009A709D">
              <w:rPr>
                <w:sz w:val="20"/>
                <w:lang w:val="es-ES_tradnl"/>
              </w:rPr>
              <w:t>3</w:t>
            </w:r>
          </w:p>
        </w:tc>
        <w:tc>
          <w:tcPr>
            <w:tcW w:w="937" w:type="pct"/>
            <w:vAlign w:val="center"/>
          </w:tcPr>
          <w:p w14:paraId="1B7F8F70" w14:textId="77777777" w:rsidR="007A63A8" w:rsidRPr="009A709D" w:rsidRDefault="007A63A8" w:rsidP="000535ED">
            <w:pPr>
              <w:pStyle w:val="Tabletext"/>
              <w:jc w:val="center"/>
              <w:rPr>
                <w:sz w:val="20"/>
                <w:lang w:val="es-ES_tradnl"/>
              </w:rPr>
            </w:pPr>
            <w:r w:rsidRPr="009A709D">
              <w:rPr>
                <w:sz w:val="20"/>
                <w:lang w:val="es-ES_tradnl"/>
              </w:rPr>
              <w:t>0,33</w:t>
            </w:r>
          </w:p>
        </w:tc>
      </w:tr>
      <w:tr w:rsidR="007A63A8" w:rsidRPr="009A709D" w14:paraId="137FB51F" w14:textId="77777777" w:rsidTr="007A296C">
        <w:trPr>
          <w:jc w:val="center"/>
        </w:trPr>
        <w:tc>
          <w:tcPr>
            <w:tcW w:w="465" w:type="pct"/>
            <w:vMerge/>
            <w:vAlign w:val="center"/>
          </w:tcPr>
          <w:p w14:paraId="4C3015CE" w14:textId="77777777" w:rsidR="007A63A8" w:rsidRPr="009A709D" w:rsidRDefault="007A63A8" w:rsidP="000535ED">
            <w:pPr>
              <w:pStyle w:val="Tabletext"/>
              <w:rPr>
                <w:sz w:val="20"/>
                <w:lang w:val="es-ES_tradnl" w:eastAsia="fr-FR"/>
              </w:rPr>
            </w:pPr>
          </w:p>
        </w:tc>
        <w:tc>
          <w:tcPr>
            <w:tcW w:w="420" w:type="pct"/>
            <w:vAlign w:val="center"/>
            <w:hideMark/>
          </w:tcPr>
          <w:p w14:paraId="6BC164C3" w14:textId="77777777" w:rsidR="007A63A8" w:rsidRPr="009A709D" w:rsidRDefault="007A63A8" w:rsidP="000535ED">
            <w:pPr>
              <w:pStyle w:val="Tabletext"/>
              <w:jc w:val="center"/>
              <w:rPr>
                <w:sz w:val="20"/>
                <w:lang w:val="es-ES_tradnl"/>
              </w:rPr>
            </w:pPr>
            <w:r w:rsidRPr="009A709D">
              <w:rPr>
                <w:sz w:val="20"/>
                <w:lang w:val="es-ES_tradnl"/>
              </w:rPr>
              <w:t>80</w:t>
            </w:r>
          </w:p>
        </w:tc>
        <w:tc>
          <w:tcPr>
            <w:tcW w:w="767" w:type="pct"/>
            <w:vAlign w:val="center"/>
          </w:tcPr>
          <w:p w14:paraId="75438060" w14:textId="4F4E3F7A" w:rsidR="007A63A8" w:rsidRPr="009A709D" w:rsidRDefault="00743F83" w:rsidP="000535ED">
            <w:pPr>
              <w:pStyle w:val="Tabletext"/>
              <w:jc w:val="center"/>
              <w:rPr>
                <w:bCs/>
                <w:sz w:val="20"/>
                <w:lang w:val="es-ES_tradnl"/>
              </w:rPr>
            </w:pPr>
            <w:r w:rsidRPr="009A709D">
              <w:rPr>
                <w:sz w:val="20"/>
                <w:lang w:val="es-ES_tradnl"/>
              </w:rPr>
              <w:t>–</w:t>
            </w:r>
            <w:r w:rsidR="007A63A8" w:rsidRPr="009A709D">
              <w:rPr>
                <w:sz w:val="20"/>
                <w:lang w:val="es-ES_tradnl"/>
              </w:rPr>
              <w:t>18</w:t>
            </w:r>
          </w:p>
        </w:tc>
        <w:tc>
          <w:tcPr>
            <w:tcW w:w="279" w:type="pct"/>
            <w:vAlign w:val="center"/>
          </w:tcPr>
          <w:p w14:paraId="39A0E6AD" w14:textId="77777777" w:rsidR="007A63A8" w:rsidRPr="009A709D" w:rsidRDefault="007A63A8" w:rsidP="000535ED">
            <w:pPr>
              <w:pStyle w:val="Tabletext"/>
              <w:jc w:val="center"/>
              <w:rPr>
                <w:sz w:val="20"/>
                <w:lang w:val="es-ES_tradnl"/>
              </w:rPr>
            </w:pPr>
            <w:r w:rsidRPr="009A709D">
              <w:rPr>
                <w:sz w:val="20"/>
                <w:lang w:val="es-ES_tradnl"/>
              </w:rPr>
              <w:t>9</w:t>
            </w:r>
          </w:p>
        </w:tc>
        <w:tc>
          <w:tcPr>
            <w:tcW w:w="279" w:type="pct"/>
            <w:vAlign w:val="center"/>
          </w:tcPr>
          <w:p w14:paraId="6CBE41CD" w14:textId="20DEEADC"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6</w:t>
            </w:r>
          </w:p>
        </w:tc>
        <w:tc>
          <w:tcPr>
            <w:tcW w:w="780" w:type="pct"/>
            <w:vAlign w:val="center"/>
          </w:tcPr>
          <w:p w14:paraId="59EF5633" w14:textId="3AABEA6A"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133</w:t>
            </w:r>
          </w:p>
        </w:tc>
        <w:tc>
          <w:tcPr>
            <w:tcW w:w="286" w:type="pct"/>
            <w:vAlign w:val="center"/>
          </w:tcPr>
          <w:p w14:paraId="4DCABEC3" w14:textId="77777777" w:rsidR="007A63A8" w:rsidRPr="009A709D" w:rsidRDefault="007A63A8" w:rsidP="000535ED">
            <w:pPr>
              <w:pStyle w:val="Tabletext"/>
              <w:jc w:val="center"/>
              <w:rPr>
                <w:sz w:val="20"/>
                <w:lang w:val="es-ES_tradnl"/>
              </w:rPr>
            </w:pPr>
            <w:r w:rsidRPr="009A709D">
              <w:rPr>
                <w:sz w:val="20"/>
                <w:lang w:val="es-ES_tradnl"/>
              </w:rPr>
              <w:t>6</w:t>
            </w:r>
          </w:p>
        </w:tc>
        <w:tc>
          <w:tcPr>
            <w:tcW w:w="275" w:type="pct"/>
            <w:vAlign w:val="center"/>
          </w:tcPr>
          <w:p w14:paraId="76052FAE" w14:textId="77777777" w:rsidR="007A63A8" w:rsidRPr="009A709D" w:rsidRDefault="007A63A8" w:rsidP="000535ED">
            <w:pPr>
              <w:pStyle w:val="Tabletext"/>
              <w:jc w:val="center"/>
              <w:rPr>
                <w:sz w:val="20"/>
                <w:lang w:val="es-ES_tradnl"/>
              </w:rPr>
            </w:pPr>
            <w:r w:rsidRPr="009A709D">
              <w:rPr>
                <w:sz w:val="20"/>
                <w:lang w:val="es-ES_tradnl"/>
              </w:rPr>
              <w:t>124</w:t>
            </w:r>
          </w:p>
        </w:tc>
        <w:tc>
          <w:tcPr>
            <w:tcW w:w="513" w:type="pct"/>
            <w:vAlign w:val="center"/>
          </w:tcPr>
          <w:p w14:paraId="4003152E" w14:textId="77777777" w:rsidR="007A63A8" w:rsidRPr="009A709D" w:rsidRDefault="007A63A8" w:rsidP="000535ED">
            <w:pPr>
              <w:pStyle w:val="Tabletext"/>
              <w:jc w:val="center"/>
              <w:rPr>
                <w:sz w:val="20"/>
                <w:lang w:val="es-ES_tradnl"/>
              </w:rPr>
            </w:pPr>
            <w:r w:rsidRPr="009A709D">
              <w:rPr>
                <w:sz w:val="20"/>
                <w:lang w:val="es-ES_tradnl"/>
              </w:rPr>
              <w:t>1,5</w:t>
            </w:r>
          </w:p>
        </w:tc>
        <w:tc>
          <w:tcPr>
            <w:tcW w:w="937" w:type="pct"/>
            <w:vAlign w:val="center"/>
          </w:tcPr>
          <w:p w14:paraId="51506000" w14:textId="77777777" w:rsidR="007A63A8" w:rsidRPr="009A709D" w:rsidRDefault="007A63A8" w:rsidP="000535ED">
            <w:pPr>
              <w:pStyle w:val="Tabletext"/>
              <w:jc w:val="center"/>
              <w:rPr>
                <w:sz w:val="20"/>
                <w:lang w:val="es-ES_tradnl"/>
              </w:rPr>
            </w:pPr>
            <w:r w:rsidRPr="009A709D">
              <w:rPr>
                <w:sz w:val="20"/>
                <w:lang w:val="es-ES_tradnl"/>
              </w:rPr>
              <w:t>0,17</w:t>
            </w:r>
          </w:p>
        </w:tc>
      </w:tr>
      <w:tr w:rsidR="007A63A8" w:rsidRPr="009A709D" w14:paraId="5A61C1B7" w14:textId="77777777" w:rsidTr="007A296C">
        <w:trPr>
          <w:jc w:val="center"/>
        </w:trPr>
        <w:tc>
          <w:tcPr>
            <w:tcW w:w="465" w:type="pct"/>
            <w:vMerge/>
            <w:tcBorders>
              <w:bottom w:val="single" w:sz="4" w:space="0" w:color="auto"/>
            </w:tcBorders>
            <w:vAlign w:val="center"/>
          </w:tcPr>
          <w:p w14:paraId="255426ED" w14:textId="77777777" w:rsidR="007A63A8" w:rsidRPr="009A709D" w:rsidRDefault="007A63A8" w:rsidP="000535ED">
            <w:pPr>
              <w:pStyle w:val="Tabletext"/>
              <w:rPr>
                <w:sz w:val="20"/>
                <w:lang w:val="es-ES_tradnl" w:eastAsia="fr-FR"/>
              </w:rPr>
            </w:pPr>
          </w:p>
        </w:tc>
        <w:tc>
          <w:tcPr>
            <w:tcW w:w="420" w:type="pct"/>
            <w:tcBorders>
              <w:bottom w:val="single" w:sz="4" w:space="0" w:color="auto"/>
            </w:tcBorders>
            <w:vAlign w:val="center"/>
            <w:hideMark/>
          </w:tcPr>
          <w:p w14:paraId="28662293" w14:textId="77777777" w:rsidR="007A63A8" w:rsidRPr="009A709D" w:rsidRDefault="007A63A8" w:rsidP="000535ED">
            <w:pPr>
              <w:pStyle w:val="Tabletext"/>
              <w:jc w:val="center"/>
              <w:rPr>
                <w:sz w:val="20"/>
                <w:lang w:val="es-ES_tradnl"/>
              </w:rPr>
            </w:pPr>
            <w:r w:rsidRPr="009A709D">
              <w:rPr>
                <w:sz w:val="20"/>
                <w:lang w:val="es-ES_tradnl"/>
              </w:rPr>
              <w:t>90</w:t>
            </w:r>
          </w:p>
        </w:tc>
        <w:tc>
          <w:tcPr>
            <w:tcW w:w="767" w:type="pct"/>
            <w:tcBorders>
              <w:bottom w:val="single" w:sz="4" w:space="0" w:color="auto"/>
            </w:tcBorders>
            <w:vAlign w:val="center"/>
          </w:tcPr>
          <w:p w14:paraId="71491806" w14:textId="4CA4DD31"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18</w:t>
            </w:r>
          </w:p>
        </w:tc>
        <w:tc>
          <w:tcPr>
            <w:tcW w:w="279" w:type="pct"/>
            <w:tcBorders>
              <w:bottom w:val="single" w:sz="4" w:space="0" w:color="auto"/>
            </w:tcBorders>
            <w:vAlign w:val="center"/>
          </w:tcPr>
          <w:p w14:paraId="1C2B87FB" w14:textId="77777777" w:rsidR="007A63A8" w:rsidRPr="009A709D" w:rsidRDefault="007A63A8" w:rsidP="000535ED">
            <w:pPr>
              <w:pStyle w:val="Tabletext"/>
              <w:jc w:val="center"/>
              <w:rPr>
                <w:sz w:val="20"/>
                <w:lang w:val="es-ES_tradnl"/>
              </w:rPr>
            </w:pPr>
            <w:r w:rsidRPr="009A709D">
              <w:rPr>
                <w:sz w:val="20"/>
                <w:lang w:val="es-ES_tradnl"/>
              </w:rPr>
              <w:t>4</w:t>
            </w:r>
          </w:p>
        </w:tc>
        <w:tc>
          <w:tcPr>
            <w:tcW w:w="279" w:type="pct"/>
            <w:tcBorders>
              <w:bottom w:val="single" w:sz="4" w:space="0" w:color="auto"/>
            </w:tcBorders>
            <w:vAlign w:val="center"/>
          </w:tcPr>
          <w:p w14:paraId="4D0C6DF1" w14:textId="387E35B3"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6</w:t>
            </w:r>
          </w:p>
        </w:tc>
        <w:tc>
          <w:tcPr>
            <w:tcW w:w="780" w:type="pct"/>
            <w:tcBorders>
              <w:bottom w:val="single" w:sz="4" w:space="0" w:color="auto"/>
            </w:tcBorders>
            <w:vAlign w:val="center"/>
          </w:tcPr>
          <w:p w14:paraId="70E29482" w14:textId="6DA342FA" w:rsidR="007A63A8" w:rsidRPr="009A709D" w:rsidRDefault="00743F83" w:rsidP="000535ED">
            <w:pPr>
              <w:pStyle w:val="Tabletext"/>
              <w:jc w:val="center"/>
              <w:rPr>
                <w:sz w:val="20"/>
                <w:lang w:val="es-ES_tradnl"/>
              </w:rPr>
            </w:pPr>
            <w:r w:rsidRPr="009A709D">
              <w:rPr>
                <w:sz w:val="20"/>
                <w:lang w:val="es-ES_tradnl"/>
              </w:rPr>
              <w:t>–</w:t>
            </w:r>
            <w:r w:rsidR="007A63A8" w:rsidRPr="009A709D">
              <w:rPr>
                <w:sz w:val="20"/>
                <w:lang w:val="es-ES_tradnl"/>
              </w:rPr>
              <w:t>133</w:t>
            </w:r>
          </w:p>
        </w:tc>
        <w:tc>
          <w:tcPr>
            <w:tcW w:w="286" w:type="pct"/>
            <w:tcBorders>
              <w:bottom w:val="single" w:sz="4" w:space="0" w:color="auto"/>
            </w:tcBorders>
            <w:vAlign w:val="center"/>
          </w:tcPr>
          <w:p w14:paraId="3F6836E3" w14:textId="77777777" w:rsidR="007A63A8" w:rsidRPr="009A709D" w:rsidRDefault="007A63A8" w:rsidP="000535ED">
            <w:pPr>
              <w:pStyle w:val="Tabletext"/>
              <w:jc w:val="center"/>
              <w:rPr>
                <w:sz w:val="20"/>
                <w:lang w:val="es-ES_tradnl"/>
              </w:rPr>
            </w:pPr>
            <w:r w:rsidRPr="009A709D">
              <w:rPr>
                <w:sz w:val="20"/>
                <w:lang w:val="es-ES_tradnl"/>
              </w:rPr>
              <w:t>6</w:t>
            </w:r>
          </w:p>
        </w:tc>
        <w:tc>
          <w:tcPr>
            <w:tcW w:w="275" w:type="pct"/>
            <w:tcBorders>
              <w:bottom w:val="single" w:sz="4" w:space="0" w:color="auto"/>
            </w:tcBorders>
            <w:vAlign w:val="center"/>
          </w:tcPr>
          <w:p w14:paraId="1C0E7F74" w14:textId="77777777" w:rsidR="007A63A8" w:rsidRPr="009A709D" w:rsidRDefault="007A63A8" w:rsidP="000535ED">
            <w:pPr>
              <w:pStyle w:val="Tabletext"/>
              <w:jc w:val="center"/>
              <w:rPr>
                <w:sz w:val="20"/>
                <w:lang w:val="es-ES_tradnl"/>
              </w:rPr>
            </w:pPr>
            <w:r w:rsidRPr="009A709D">
              <w:rPr>
                <w:sz w:val="20"/>
                <w:lang w:val="es-ES_tradnl"/>
              </w:rPr>
              <w:t>119</w:t>
            </w:r>
          </w:p>
        </w:tc>
        <w:tc>
          <w:tcPr>
            <w:tcW w:w="513" w:type="pct"/>
            <w:tcBorders>
              <w:bottom w:val="single" w:sz="4" w:space="0" w:color="auto"/>
            </w:tcBorders>
            <w:vAlign w:val="center"/>
          </w:tcPr>
          <w:p w14:paraId="733C4893" w14:textId="77777777" w:rsidR="007A63A8" w:rsidRPr="009A709D" w:rsidRDefault="007A63A8" w:rsidP="000535ED">
            <w:pPr>
              <w:pStyle w:val="Tabletext"/>
              <w:jc w:val="center"/>
              <w:rPr>
                <w:sz w:val="20"/>
                <w:lang w:val="es-ES_tradnl"/>
              </w:rPr>
            </w:pPr>
            <w:r w:rsidRPr="009A709D">
              <w:rPr>
                <w:sz w:val="20"/>
                <w:lang w:val="es-ES_tradnl"/>
              </w:rPr>
              <w:t>0,8</w:t>
            </w:r>
          </w:p>
        </w:tc>
        <w:tc>
          <w:tcPr>
            <w:tcW w:w="937" w:type="pct"/>
            <w:tcBorders>
              <w:bottom w:val="single" w:sz="4" w:space="0" w:color="auto"/>
            </w:tcBorders>
            <w:vAlign w:val="center"/>
          </w:tcPr>
          <w:p w14:paraId="6AB91B86" w14:textId="0ABA5638" w:rsidR="007A63A8" w:rsidRPr="009A709D" w:rsidRDefault="007A63A8" w:rsidP="000535ED">
            <w:pPr>
              <w:pStyle w:val="Tabletext"/>
              <w:jc w:val="center"/>
              <w:rPr>
                <w:sz w:val="20"/>
                <w:lang w:val="es-ES_tradnl"/>
              </w:rPr>
            </w:pPr>
            <w:r w:rsidRPr="009A709D">
              <w:rPr>
                <w:sz w:val="20"/>
                <w:lang w:val="es-ES_tradnl"/>
              </w:rPr>
              <w:t>&lt;</w:t>
            </w:r>
            <w:r w:rsidR="00CC6F16">
              <w:rPr>
                <w:sz w:val="20"/>
                <w:lang w:val="es-ES_tradnl"/>
              </w:rPr>
              <w:t> </w:t>
            </w:r>
            <w:r w:rsidRPr="009A709D">
              <w:rPr>
                <w:sz w:val="20"/>
                <w:lang w:val="es-ES_tradnl"/>
              </w:rPr>
              <w:t>0,1</w:t>
            </w:r>
          </w:p>
        </w:tc>
      </w:tr>
      <w:tr w:rsidR="00603E58" w:rsidRPr="009A709D" w14:paraId="1435FEF7" w14:textId="77777777" w:rsidTr="007A296C">
        <w:trPr>
          <w:jc w:val="center"/>
        </w:trPr>
        <w:tc>
          <w:tcPr>
            <w:tcW w:w="5000" w:type="pct"/>
            <w:gridSpan w:val="10"/>
            <w:tcBorders>
              <w:left w:val="nil"/>
              <w:bottom w:val="nil"/>
              <w:right w:val="nil"/>
            </w:tcBorders>
            <w:vAlign w:val="center"/>
          </w:tcPr>
          <w:p w14:paraId="32B744CE" w14:textId="2D40EBDF" w:rsidR="00603E58" w:rsidRPr="009A709D" w:rsidRDefault="00603E58" w:rsidP="00B20C67">
            <w:pPr>
              <w:pStyle w:val="Tabletext"/>
              <w:ind w:left="284" w:hanging="284"/>
              <w:rPr>
                <w:sz w:val="20"/>
                <w:lang w:val="es-ES_tradnl"/>
              </w:rPr>
            </w:pPr>
            <w:r w:rsidRPr="009A709D">
              <w:rPr>
                <w:sz w:val="20"/>
                <w:vertAlign w:val="superscript"/>
                <w:lang w:val="es-ES_tradnl"/>
              </w:rPr>
              <w:t>(1)</w:t>
            </w:r>
            <w:r w:rsidRPr="009A709D">
              <w:rPr>
                <w:sz w:val="20"/>
                <w:lang w:val="es-ES_tradnl"/>
              </w:rPr>
              <w:tab/>
              <w:t>Cuando se utilicen distintas características técnicas y operativas para las estaciones base IMT, los niveles de atenuación deberán calcularse según corresponda.</w:t>
            </w:r>
          </w:p>
          <w:p w14:paraId="6B8CD0E0" w14:textId="36109964" w:rsidR="00603E58" w:rsidRPr="009A709D" w:rsidRDefault="00603E58" w:rsidP="00B20C67">
            <w:pPr>
              <w:pStyle w:val="Tabletext"/>
              <w:ind w:left="284" w:hanging="284"/>
              <w:rPr>
                <w:sz w:val="20"/>
                <w:lang w:val="es-ES_tradnl"/>
              </w:rPr>
            </w:pPr>
            <w:r w:rsidRPr="009A709D">
              <w:rPr>
                <w:sz w:val="20"/>
                <w:vertAlign w:val="superscript"/>
                <w:lang w:val="es-ES_tradnl"/>
              </w:rPr>
              <w:t>(2)</w:t>
            </w:r>
            <w:r w:rsidRPr="009A709D">
              <w:rPr>
                <w:sz w:val="20"/>
                <w:lang w:val="es-ES_tradnl"/>
              </w:rPr>
              <w:tab/>
              <w:t xml:space="preserve">Las distancias se evalúan considerando una pérdida media por ocupación del suelo de 19 dB (valor medio de distribución indicado </w:t>
            </w:r>
            <w:r w:rsidR="00DF3024" w:rsidRPr="009A709D">
              <w:rPr>
                <w:sz w:val="20"/>
                <w:lang w:val="es-ES_tradnl"/>
              </w:rPr>
              <w:t>en</w:t>
            </w:r>
            <w:r w:rsidRPr="009A709D">
              <w:rPr>
                <w:sz w:val="20"/>
                <w:lang w:val="es-ES_tradnl"/>
              </w:rPr>
              <w:t xml:space="preserve"> la Recomendación UIT-R </w:t>
            </w:r>
            <w:hyperlink r:id="rId71" w:history="1">
              <w:r w:rsidRPr="009A709D">
                <w:rPr>
                  <w:rStyle w:val="Hyperlink"/>
                  <w:color w:val="auto"/>
                  <w:sz w:val="20"/>
                  <w:u w:val="none"/>
                  <w:lang w:val="es-ES_tradnl"/>
                </w:rPr>
                <w:t>P.2108</w:t>
              </w:r>
            </w:hyperlink>
            <w:r w:rsidRPr="009A709D">
              <w:rPr>
                <w:sz w:val="20"/>
                <w:lang w:val="es-ES_tradnl"/>
              </w:rPr>
              <w:t xml:space="preserve"> para una distancia de 500 m).</w:t>
            </w:r>
          </w:p>
        </w:tc>
      </w:tr>
    </w:tbl>
    <w:p w14:paraId="4458A67E" w14:textId="77777777" w:rsidR="00CC6F16" w:rsidRDefault="00CC6F16" w:rsidP="00CC6F16">
      <w:pPr>
        <w:pStyle w:val="Tablefin"/>
        <w:rPr>
          <w:lang w:val="es-ES_tradnl"/>
        </w:rPr>
      </w:pPr>
      <w:bookmarkStart w:id="280" w:name="_Toc83389375"/>
      <w:bookmarkStart w:id="281" w:name="_Toc83712993"/>
      <w:bookmarkStart w:id="282" w:name="_Toc83713066"/>
      <w:bookmarkStart w:id="283" w:name="_Toc83713179"/>
      <w:bookmarkStart w:id="284" w:name="_Toc83723582"/>
      <w:bookmarkStart w:id="285" w:name="_Toc86738398"/>
      <w:bookmarkStart w:id="286" w:name="_Toc102570789"/>
      <w:bookmarkStart w:id="287" w:name="_Toc102986182"/>
    </w:p>
    <w:p w14:paraId="2B1121C9" w14:textId="4914F71B" w:rsidR="007A63A8" w:rsidRPr="009A709D" w:rsidRDefault="007A63A8" w:rsidP="007A63A8">
      <w:pPr>
        <w:pStyle w:val="Heading1"/>
        <w:rPr>
          <w:lang w:val="es-ES_tradnl"/>
        </w:rPr>
      </w:pPr>
      <w:r w:rsidRPr="009A709D">
        <w:rPr>
          <w:lang w:val="es-ES_tradnl"/>
        </w:rPr>
        <w:lastRenderedPageBreak/>
        <w:t>5</w:t>
      </w:r>
      <w:r w:rsidRPr="009A709D">
        <w:rPr>
          <w:lang w:val="es-ES_tradnl"/>
        </w:rPr>
        <w:tab/>
        <w:t>Estación terrena que sigue a un satélite no OSG</w:t>
      </w:r>
      <w:bookmarkEnd w:id="280"/>
      <w:bookmarkEnd w:id="281"/>
      <w:bookmarkEnd w:id="282"/>
      <w:bookmarkEnd w:id="283"/>
      <w:bookmarkEnd w:id="284"/>
      <w:bookmarkEnd w:id="285"/>
      <w:bookmarkEnd w:id="286"/>
      <w:bookmarkEnd w:id="287"/>
    </w:p>
    <w:p w14:paraId="4B49F316" w14:textId="77777777" w:rsidR="007A63A8" w:rsidRPr="009A709D" w:rsidRDefault="007A63A8" w:rsidP="004F1E3D">
      <w:pPr>
        <w:pStyle w:val="Heading2"/>
        <w:rPr>
          <w:lang w:val="es-ES_tradnl"/>
        </w:rPr>
      </w:pPr>
      <w:bookmarkStart w:id="288" w:name="_Toc83389376"/>
      <w:bookmarkStart w:id="289" w:name="_Toc83712994"/>
      <w:bookmarkStart w:id="290" w:name="_Toc83713067"/>
      <w:bookmarkStart w:id="291" w:name="_Toc83713180"/>
      <w:bookmarkStart w:id="292" w:name="_Toc83723583"/>
      <w:bookmarkStart w:id="293" w:name="_Toc86738399"/>
      <w:bookmarkStart w:id="294" w:name="_Toc102570790"/>
      <w:bookmarkStart w:id="295" w:name="_Toc102986183"/>
      <w:r w:rsidRPr="009A709D">
        <w:rPr>
          <w:lang w:val="es-ES_tradnl"/>
        </w:rPr>
        <w:t>5.1</w:t>
      </w:r>
      <w:r w:rsidRPr="009A709D">
        <w:rPr>
          <w:lang w:val="es-ES_tradnl"/>
        </w:rPr>
        <w:tab/>
        <w:t>Normas generales</w:t>
      </w:r>
      <w:bookmarkEnd w:id="288"/>
      <w:bookmarkEnd w:id="289"/>
      <w:bookmarkEnd w:id="290"/>
      <w:bookmarkEnd w:id="291"/>
      <w:bookmarkEnd w:id="292"/>
      <w:bookmarkEnd w:id="293"/>
      <w:bookmarkEnd w:id="294"/>
      <w:bookmarkEnd w:id="295"/>
    </w:p>
    <w:p w14:paraId="6EFF6F60" w14:textId="6FFE0F79" w:rsidR="007A63A8" w:rsidRPr="009A709D" w:rsidRDefault="007A63A8" w:rsidP="004F1E3D">
      <w:pPr>
        <w:rPr>
          <w:lang w:val="es-ES_tradnl"/>
        </w:rPr>
      </w:pPr>
      <w:r w:rsidRPr="009A709D">
        <w:rPr>
          <w:lang w:val="es-ES_tradnl"/>
        </w:rPr>
        <w:t xml:space="preserve">Tal y como se indica en el </w:t>
      </w:r>
      <w:r w:rsidR="00CC6F16" w:rsidRPr="00D81D07">
        <w:t>§ </w:t>
      </w:r>
      <w:r w:rsidRPr="009A709D">
        <w:rPr>
          <w:lang w:val="es-ES_tradnl"/>
        </w:rPr>
        <w:t xml:space="preserve">1 del presente Anexo, </w:t>
      </w:r>
      <w:r w:rsidR="00DF3024" w:rsidRPr="009A709D">
        <w:rPr>
          <w:lang w:val="es-ES_tradnl"/>
        </w:rPr>
        <w:t xml:space="preserve">en la zona de coordinación, </w:t>
      </w:r>
      <w:r w:rsidRPr="009A709D">
        <w:rPr>
          <w:lang w:val="es-ES_tradnl"/>
        </w:rPr>
        <w:t xml:space="preserve">la distancia de separación entre una estación terrena que apunta hacia un satélite </w:t>
      </w:r>
      <w:r w:rsidR="00743F83" w:rsidRPr="009A709D">
        <w:rPr>
          <w:lang w:val="es-ES_tradnl"/>
        </w:rPr>
        <w:t xml:space="preserve">no </w:t>
      </w:r>
      <w:r w:rsidRPr="009A709D">
        <w:rPr>
          <w:lang w:val="es-ES_tradnl"/>
        </w:rPr>
        <w:t>OSG y una estación base IMT</w:t>
      </w:r>
      <w:r w:rsidR="00CC6F16">
        <w:rPr>
          <w:lang w:val="es-ES_tradnl"/>
        </w:rPr>
        <w:noBreakHyphen/>
      </w:r>
      <w:r w:rsidRPr="009A709D">
        <w:rPr>
          <w:lang w:val="es-ES_tradnl"/>
        </w:rPr>
        <w:t>2020 puede definirse considerando:</w:t>
      </w:r>
    </w:p>
    <w:p w14:paraId="5860B4A7" w14:textId="67AF224E" w:rsidR="007A63A8" w:rsidRPr="009A709D" w:rsidRDefault="00603E58" w:rsidP="007A63A8">
      <w:pPr>
        <w:pStyle w:val="enumlev1"/>
        <w:rPr>
          <w:lang w:val="es-ES_tradnl"/>
        </w:rPr>
      </w:pPr>
      <w:r w:rsidRPr="009A709D">
        <w:rPr>
          <w:lang w:val="es-ES_tradnl"/>
        </w:rPr>
        <w:t>‒</w:t>
      </w:r>
      <w:r w:rsidRPr="009A709D">
        <w:rPr>
          <w:lang w:val="es-ES_tradnl"/>
        </w:rPr>
        <w:tab/>
        <w:t xml:space="preserve">la ganancia compuesta máxima (ganancia asociada de la </w:t>
      </w:r>
      <w:r w:rsidR="00F019B4" w:rsidRPr="009A709D">
        <w:rPr>
          <w:lang w:val="es-ES_tradnl"/>
        </w:rPr>
        <w:t>EB</w:t>
      </w:r>
      <w:r w:rsidRPr="009A709D">
        <w:rPr>
          <w:lang w:val="es-ES_tradnl"/>
        </w:rPr>
        <w:t xml:space="preserve"> y la estación terrena) hacia el horizonte (</w:t>
      </w:r>
      <w:r w:rsidRPr="009A709D">
        <w:rPr>
          <w:i/>
          <w:lang w:val="es-ES_tradnl"/>
        </w:rPr>
        <w:t>G</w:t>
      </w:r>
      <w:r w:rsidRPr="009A709D">
        <w:rPr>
          <w:i/>
          <w:vertAlign w:val="subscript"/>
          <w:lang w:val="es-ES_tradnl"/>
        </w:rPr>
        <w:t>cmax</w:t>
      </w:r>
      <w:r w:rsidRPr="009A709D">
        <w:rPr>
          <w:lang w:val="es-ES_tradnl"/>
        </w:rPr>
        <w:t>);</w:t>
      </w:r>
    </w:p>
    <w:p w14:paraId="10FF5166" w14:textId="68CE54F9" w:rsidR="007A63A8" w:rsidRPr="009A709D" w:rsidRDefault="00603E58" w:rsidP="007A63A8">
      <w:pPr>
        <w:pStyle w:val="enumlev1"/>
        <w:rPr>
          <w:lang w:val="es-ES_tradnl"/>
        </w:rPr>
      </w:pPr>
      <w:r w:rsidRPr="009A709D">
        <w:rPr>
          <w:lang w:val="es-ES_tradnl"/>
        </w:rPr>
        <w:t>‒</w:t>
      </w:r>
      <w:r w:rsidRPr="009A709D">
        <w:rPr>
          <w:lang w:val="es-ES_tradnl"/>
        </w:rPr>
        <w:tab/>
        <w:t xml:space="preserve">la potencia de </w:t>
      </w:r>
      <w:r w:rsidR="00DF3024" w:rsidRPr="009A709D">
        <w:rPr>
          <w:lang w:val="es-ES_tradnl"/>
        </w:rPr>
        <w:t xml:space="preserve">la </w:t>
      </w:r>
      <w:r w:rsidRPr="009A709D">
        <w:rPr>
          <w:lang w:val="es-ES_tradnl"/>
        </w:rPr>
        <w:t>IMT-2020 (o PRT con 3 dB de pérdidas óhmicas) convertida a</w:t>
      </w:r>
      <w:r w:rsidR="003842C9" w:rsidRPr="009A709D">
        <w:rPr>
          <w:lang w:val="es-ES_tradnl"/>
        </w:rPr>
        <w:t>l ancho de</w:t>
      </w:r>
      <w:r w:rsidRPr="009A709D">
        <w:rPr>
          <w:lang w:val="es-ES_tradnl"/>
        </w:rPr>
        <w:t xml:space="preserve"> banda de referencia (10 MHz) de los criterios de protección del SETS (</w:t>
      </w:r>
      <w:r w:rsidRPr="009A709D">
        <w:rPr>
          <w:i/>
          <w:lang w:val="es-ES_tradnl"/>
        </w:rPr>
        <w:t>P</w:t>
      </w:r>
      <w:r w:rsidRPr="009A709D">
        <w:rPr>
          <w:i/>
          <w:vertAlign w:val="subscript"/>
          <w:lang w:val="es-ES_tradnl"/>
        </w:rPr>
        <w:t>t</w:t>
      </w:r>
      <w:r w:rsidRPr="009A709D">
        <w:rPr>
          <w:lang w:val="es-ES_tradnl"/>
        </w:rPr>
        <w:t>);</w:t>
      </w:r>
    </w:p>
    <w:p w14:paraId="2DE26AA8" w14:textId="52703498" w:rsidR="007A63A8" w:rsidRPr="009A709D" w:rsidRDefault="00603E58" w:rsidP="00DF3024">
      <w:pPr>
        <w:pStyle w:val="enumlev1"/>
        <w:rPr>
          <w:lang w:val="es-ES_tradnl"/>
        </w:rPr>
      </w:pPr>
      <w:r w:rsidRPr="009A709D">
        <w:rPr>
          <w:lang w:val="es-ES_tradnl"/>
        </w:rPr>
        <w:t>‒</w:t>
      </w:r>
      <w:r w:rsidRPr="009A709D">
        <w:rPr>
          <w:lang w:val="es-ES_tradnl"/>
        </w:rPr>
        <w:tab/>
      </w:r>
      <w:r w:rsidR="00DF3024" w:rsidRPr="009A709D">
        <w:rPr>
          <w:lang w:val="es-ES_tradnl"/>
        </w:rPr>
        <w:t xml:space="preserve">el criterio de compartición a corto plazo de la estación terrena </w:t>
      </w:r>
      <w:r w:rsidRPr="009A709D">
        <w:rPr>
          <w:lang w:val="es-ES_tradnl"/>
        </w:rPr>
        <w:t>del SETS</w:t>
      </w:r>
      <w:r w:rsidR="00DF3024" w:rsidRPr="009A709D">
        <w:rPr>
          <w:lang w:val="es-ES_tradnl"/>
        </w:rPr>
        <w:t xml:space="preserve"> no OSG</w:t>
      </w:r>
      <w:r w:rsidRPr="009A709D">
        <w:rPr>
          <w:lang w:val="es-ES_tradnl"/>
        </w:rPr>
        <w:t>: −116</w:t>
      </w:r>
      <w:r w:rsidR="004F1E3D" w:rsidRPr="009A709D">
        <w:rPr>
          <w:lang w:val="es-ES_tradnl"/>
        </w:rPr>
        <w:t> </w:t>
      </w:r>
      <w:r w:rsidRPr="009A709D">
        <w:rPr>
          <w:lang w:val="es-ES_tradnl"/>
        </w:rPr>
        <w:t>dB(W/10 MHz) (</w:t>
      </w:r>
      <w:r w:rsidRPr="009A709D">
        <w:rPr>
          <w:i/>
          <w:lang w:val="es-ES_tradnl"/>
        </w:rPr>
        <w:t>C</w:t>
      </w:r>
      <w:r w:rsidRPr="009A709D">
        <w:rPr>
          <w:i/>
          <w:vertAlign w:val="subscript"/>
          <w:lang w:val="es-ES_tradnl"/>
        </w:rPr>
        <w:t>r</w:t>
      </w:r>
      <w:r w:rsidRPr="009A709D">
        <w:rPr>
          <w:lang w:val="es-ES_tradnl"/>
        </w:rPr>
        <w:t>);</w:t>
      </w:r>
    </w:p>
    <w:p w14:paraId="62227623" w14:textId="614F268A" w:rsidR="007A63A8" w:rsidRPr="009A709D" w:rsidRDefault="00603E58" w:rsidP="007A63A8">
      <w:pPr>
        <w:pStyle w:val="enumlev1"/>
        <w:rPr>
          <w:lang w:val="es-ES_tradnl"/>
        </w:rPr>
      </w:pPr>
      <w:r w:rsidRPr="009A709D">
        <w:rPr>
          <w:lang w:val="es-ES_tradnl"/>
        </w:rPr>
        <w:t>‒</w:t>
      </w:r>
      <w:r w:rsidRPr="009A709D">
        <w:rPr>
          <w:lang w:val="es-ES_tradnl"/>
        </w:rPr>
        <w:tab/>
        <w:t xml:space="preserve">un valor fijo de </w:t>
      </w:r>
      <w:r w:rsidR="00DF3024" w:rsidRPr="009A709D">
        <w:rPr>
          <w:lang w:val="es-ES_tradnl"/>
        </w:rPr>
        <w:t>combinación</w:t>
      </w:r>
      <w:r w:rsidRPr="009A709D">
        <w:rPr>
          <w:lang w:val="es-ES_tradnl"/>
        </w:rPr>
        <w:t xml:space="preserve"> (</w:t>
      </w:r>
      <w:r w:rsidRPr="009A709D">
        <w:rPr>
          <w:i/>
          <w:lang w:val="es-ES_tradnl"/>
        </w:rPr>
        <w:t>A</w:t>
      </w:r>
      <w:r w:rsidRPr="009A709D">
        <w:rPr>
          <w:lang w:val="es-ES_tradnl"/>
        </w:rPr>
        <w:t>);</w:t>
      </w:r>
    </w:p>
    <w:p w14:paraId="5F1B0503" w14:textId="76A5DFA4" w:rsidR="007A63A8" w:rsidRPr="009A709D" w:rsidRDefault="00603E58" w:rsidP="007A63A8">
      <w:pPr>
        <w:pStyle w:val="enumlev1"/>
        <w:rPr>
          <w:lang w:val="es-ES_tradnl"/>
        </w:rPr>
      </w:pPr>
      <w:r w:rsidRPr="009A709D">
        <w:rPr>
          <w:lang w:val="es-ES_tradnl"/>
        </w:rPr>
        <w:t>‒</w:t>
      </w:r>
      <w:r w:rsidRPr="009A709D">
        <w:rPr>
          <w:lang w:val="es-ES_tradnl"/>
        </w:rPr>
        <w:tab/>
        <w:t xml:space="preserve">un porcentaje de tiempo del 50% según la Recomendación UIT-R </w:t>
      </w:r>
      <w:hyperlink r:id="rId72" w:history="1">
        <w:r w:rsidRPr="009A709D">
          <w:rPr>
            <w:rStyle w:val="Hyperlink"/>
            <w:color w:val="auto"/>
            <w:u w:val="none"/>
            <w:lang w:val="es-ES_tradnl"/>
          </w:rPr>
          <w:t>P.452</w:t>
        </w:r>
      </w:hyperlink>
      <w:r w:rsidRPr="009A709D">
        <w:rPr>
          <w:lang w:val="es-ES_tradnl"/>
        </w:rPr>
        <w:t>, que, a menudo, es posible simplificar mediante el uso asociado de la Recomendación UIT-R P.525 (espacio libre) y la Recomendación UIT-R P.526 (difracción);</w:t>
      </w:r>
    </w:p>
    <w:p w14:paraId="2A9C3E4D" w14:textId="4929D725" w:rsidR="007A63A8" w:rsidRPr="009A709D" w:rsidRDefault="00603E58" w:rsidP="00DF3024">
      <w:pPr>
        <w:pStyle w:val="enumlev1"/>
        <w:rPr>
          <w:lang w:val="es-ES_tradnl"/>
        </w:rPr>
      </w:pPr>
      <w:r w:rsidRPr="009A709D">
        <w:rPr>
          <w:lang w:val="es-ES_tradnl"/>
        </w:rPr>
        <w:t>‒</w:t>
      </w:r>
      <w:r w:rsidRPr="009A709D">
        <w:rPr>
          <w:lang w:val="es-ES_tradnl"/>
        </w:rPr>
        <w:tab/>
        <w:t>un perfil de</w:t>
      </w:r>
      <w:r w:rsidR="00DF3024" w:rsidRPr="009A709D">
        <w:rPr>
          <w:lang w:val="es-ES_tradnl"/>
        </w:rPr>
        <w:t>l</w:t>
      </w:r>
      <w:r w:rsidRPr="009A709D">
        <w:rPr>
          <w:lang w:val="es-ES_tradnl"/>
        </w:rPr>
        <w:t xml:space="preserve"> terreno entre la estación terrena y la </w:t>
      </w:r>
      <w:r w:rsidR="00F019B4" w:rsidRPr="009A709D">
        <w:rPr>
          <w:lang w:val="es-ES_tradnl"/>
        </w:rPr>
        <w:t>EB</w:t>
      </w:r>
      <w:r w:rsidR="00DF3024" w:rsidRPr="009A709D">
        <w:rPr>
          <w:lang w:val="es-ES_tradnl"/>
        </w:rPr>
        <w:t xml:space="preserve"> relevante</w:t>
      </w:r>
      <w:r w:rsidRPr="009A709D">
        <w:rPr>
          <w:lang w:val="es-ES_tradnl"/>
        </w:rPr>
        <w:t xml:space="preserve">. Este perfil de terreno debe ser </w:t>
      </w:r>
      <w:r w:rsidR="00DF3024" w:rsidRPr="009A709D">
        <w:rPr>
          <w:lang w:val="es-ES_tradnl"/>
        </w:rPr>
        <w:t xml:space="preserve">lo más preciso posible e incluir las pérdidas debidas a la ocupación del suelo y a los edificios. </w:t>
      </w:r>
      <w:r w:rsidRPr="009A709D">
        <w:rPr>
          <w:lang w:val="es-ES_tradnl"/>
        </w:rPr>
        <w:t>Se indica un ejemplo en la Fig.</w:t>
      </w:r>
      <w:r w:rsidR="00CC6F16">
        <w:rPr>
          <w:lang w:val="es-ES_tradnl"/>
        </w:rPr>
        <w:t> </w:t>
      </w:r>
      <w:r w:rsidRPr="009A709D">
        <w:rPr>
          <w:lang w:val="es-ES_tradnl"/>
        </w:rPr>
        <w:t>1.</w:t>
      </w:r>
    </w:p>
    <w:p w14:paraId="470ECD44" w14:textId="68A59C33" w:rsidR="007A63A8" w:rsidRPr="009A709D" w:rsidRDefault="00DF3024" w:rsidP="004F1E3D">
      <w:pPr>
        <w:rPr>
          <w:lang w:val="es-ES_tradnl"/>
        </w:rPr>
      </w:pPr>
      <w:r w:rsidRPr="009A709D">
        <w:rPr>
          <w:lang w:val="es-ES_tradnl"/>
        </w:rPr>
        <w:t xml:space="preserve">En una instalación real, la aplicación de la distancia de separación puede conllevar ciertas dificultades. En este caso, para definir la posición de la </w:t>
      </w:r>
      <w:r w:rsidR="00F019B4" w:rsidRPr="009A709D">
        <w:rPr>
          <w:lang w:val="es-ES_tradnl"/>
        </w:rPr>
        <w:t>EB</w:t>
      </w:r>
      <w:r w:rsidRPr="009A709D">
        <w:rPr>
          <w:lang w:val="es-ES_tradnl"/>
        </w:rPr>
        <w:t xml:space="preserve"> con respecto a la estación terrena del SETS, la mejor forma de proceder es definir las pérdidas necesarias a partir de las premisas anteriores. </w:t>
      </w:r>
      <w:r w:rsidR="007A63A8" w:rsidRPr="009A709D">
        <w:rPr>
          <w:lang w:val="es-ES_tradnl"/>
        </w:rPr>
        <w:t xml:space="preserve">Las pérdidas se pueden calcular como </w:t>
      </w:r>
      <w:r w:rsidRPr="009A709D">
        <w:rPr>
          <w:lang w:val="es-ES_tradnl"/>
        </w:rPr>
        <w:t>sigue</w:t>
      </w:r>
      <w:r w:rsidR="007A63A8" w:rsidRPr="009A709D">
        <w:rPr>
          <w:lang w:val="es-ES_tradnl"/>
        </w:rPr>
        <w:t>:</w:t>
      </w:r>
    </w:p>
    <w:p w14:paraId="1DE57383" w14:textId="00E5086A" w:rsidR="007A63A8" w:rsidRPr="009A709D" w:rsidRDefault="007A63A8" w:rsidP="004F1E3D">
      <w:pPr>
        <w:pStyle w:val="Equation"/>
        <w:spacing w:before="240"/>
        <w:rPr>
          <w:lang w:val="es-ES_tradnl"/>
        </w:rPr>
      </w:pPr>
      <w:r w:rsidRPr="009A709D">
        <w:rPr>
          <w:vertAlign w:val="subscript"/>
          <w:lang w:val="es-ES_tradnl"/>
        </w:rPr>
        <w:tab/>
      </w:r>
      <w:r w:rsidRPr="009A709D">
        <w:rPr>
          <w:vertAlign w:val="subscript"/>
          <w:lang w:val="es-ES_tradnl"/>
        </w:rPr>
        <w:tab/>
      </w:r>
      <m:oMath>
        <m:r>
          <w:rPr>
            <w:rFonts w:ascii="Cambria Math" w:eastAsia="Cambria Math" w:hAnsi="Cambria Math"/>
            <w:vertAlign w:val="subscript"/>
            <w:lang w:val="es-ES_tradnl"/>
          </w:rPr>
          <m:t>L</m:t>
        </m:r>
        <m:r>
          <m:rPr>
            <m:sty m:val="p"/>
          </m:rPr>
          <w:rPr>
            <w:rFonts w:ascii="Cambria Math" w:eastAsia="Cambria Math" w:hAnsi="Cambria Math"/>
            <w:lang w:val="es-ES_tradnl"/>
          </w:rPr>
          <m:t xml:space="preserve">= </m:t>
        </m:r>
        <m:sSub>
          <m:sSubPr>
            <m:ctrlPr>
              <w:rPr>
                <w:rFonts w:ascii="Cambria Math" w:eastAsia="Cambria Math" w:hAnsi="Cambria Math"/>
                <w:lang w:val="es-ES_tradnl"/>
              </w:rPr>
            </m:ctrlPr>
          </m:sSubPr>
          <m:e>
            <m:r>
              <w:rPr>
                <w:rFonts w:ascii="Cambria Math" w:eastAsia="Cambria Math" w:hAnsi="Cambria Math"/>
                <w:lang w:val="es-ES_tradnl"/>
              </w:rPr>
              <m:t>P</m:t>
            </m:r>
          </m:e>
          <m:sub>
            <m:r>
              <w:rPr>
                <w:rFonts w:ascii="Cambria Math" w:eastAsia="Cambria Math" w:hAnsi="Cambria Math"/>
                <w:vertAlign w:val="subscript"/>
                <w:lang w:val="es-ES_tradnl"/>
              </w:rPr>
              <m:t>t</m:t>
            </m:r>
          </m:sub>
        </m:sSub>
        <m:r>
          <m:rPr>
            <m:sty m:val="p"/>
          </m:rPr>
          <w:rPr>
            <w:rFonts w:ascii="Cambria Math" w:eastAsia="Cambria Math" w:hAnsi="Cambria Math"/>
            <w:vertAlign w:val="subscript"/>
            <w:lang w:val="es-ES_tradnl"/>
          </w:rPr>
          <m:t>+</m:t>
        </m:r>
        <m:sSub>
          <m:sSubPr>
            <m:ctrlPr>
              <w:rPr>
                <w:rFonts w:ascii="Cambria Math" w:eastAsia="Cambria Math" w:hAnsi="Cambria Math"/>
                <w:lang w:val="es-ES_tradnl"/>
              </w:rPr>
            </m:ctrlPr>
          </m:sSubPr>
          <m:e>
            <m:r>
              <w:rPr>
                <w:rFonts w:ascii="Cambria Math" w:eastAsia="Cambria Math" w:hAnsi="Cambria Math"/>
                <w:lang w:val="es-ES_tradnl"/>
              </w:rPr>
              <m:t>G</m:t>
            </m:r>
          </m:e>
          <m:sub>
            <m:r>
              <w:rPr>
                <w:rFonts w:ascii="Cambria Math" w:eastAsia="Cambria Math" w:hAnsi="Cambria Math"/>
                <w:vertAlign w:val="subscript"/>
                <w:lang w:val="es-ES_tradnl"/>
              </w:rPr>
              <m:t>cmax</m:t>
            </m:r>
          </m:sub>
        </m:sSub>
        <m:r>
          <m:rPr>
            <m:sty m:val="p"/>
          </m:rPr>
          <w:rPr>
            <w:rFonts w:ascii="Cambria Math" w:eastAsia="Cambria Math" w:hAnsi="Cambria Math"/>
            <w:lang w:val="es-ES_tradnl"/>
          </w:rPr>
          <m:t xml:space="preserve"> - </m:t>
        </m:r>
        <m:sSub>
          <m:sSubPr>
            <m:ctrlPr>
              <w:rPr>
                <w:rFonts w:ascii="Cambria Math" w:eastAsia="Cambria Math" w:hAnsi="Cambria Math"/>
                <w:lang w:val="es-ES_tradnl"/>
              </w:rPr>
            </m:ctrlPr>
          </m:sSubPr>
          <m:e>
            <m:r>
              <w:rPr>
                <w:rFonts w:ascii="Cambria Math" w:eastAsia="Cambria Math" w:hAnsi="Cambria Math"/>
                <w:lang w:val="es-ES_tradnl"/>
              </w:rPr>
              <m:t>C</m:t>
            </m:r>
          </m:e>
          <m:sub>
            <m:r>
              <w:rPr>
                <w:rFonts w:ascii="Cambria Math" w:eastAsia="Cambria Math" w:hAnsi="Cambria Math"/>
                <w:lang w:val="es-ES_tradnl"/>
              </w:rPr>
              <m:t>r</m:t>
            </m:r>
          </m:sub>
        </m:sSub>
        <m:r>
          <m:rPr>
            <m:sty m:val="p"/>
          </m:rPr>
          <w:rPr>
            <w:rFonts w:ascii="Cambria Math" w:eastAsia="Cambria Math" w:hAnsi="Cambria Math"/>
            <w:lang w:val="es-ES_tradnl"/>
          </w:rPr>
          <m:t>+</m:t>
        </m:r>
        <m:r>
          <w:rPr>
            <w:rFonts w:ascii="Cambria Math" w:eastAsia="Cambria Math" w:hAnsi="Cambria Math"/>
            <w:lang w:val="es-ES_tradnl"/>
          </w:rPr>
          <m:t>A</m:t>
        </m:r>
      </m:oMath>
      <w:r w:rsidRPr="009A709D">
        <w:rPr>
          <w:lang w:val="es-ES_tradnl"/>
        </w:rPr>
        <w:tab/>
        <w:t>(6)</w:t>
      </w:r>
    </w:p>
    <w:p w14:paraId="068D18D9" w14:textId="77777777" w:rsidR="007A63A8" w:rsidRPr="009A709D" w:rsidRDefault="007A63A8" w:rsidP="004F1E3D">
      <w:pPr>
        <w:pStyle w:val="Heading2"/>
        <w:rPr>
          <w:lang w:val="es-ES_tradnl"/>
        </w:rPr>
      </w:pPr>
      <w:bookmarkStart w:id="296" w:name="_Toc83389377"/>
      <w:bookmarkStart w:id="297" w:name="_Toc83712995"/>
      <w:bookmarkStart w:id="298" w:name="_Toc83713068"/>
      <w:bookmarkStart w:id="299" w:name="_Toc83713181"/>
      <w:bookmarkStart w:id="300" w:name="_Toc83723584"/>
      <w:bookmarkStart w:id="301" w:name="_Toc86738400"/>
      <w:bookmarkStart w:id="302" w:name="_Toc102570791"/>
      <w:bookmarkStart w:id="303" w:name="_Toc102986184"/>
      <w:r w:rsidRPr="009A709D">
        <w:rPr>
          <w:lang w:val="es-ES_tradnl"/>
        </w:rPr>
        <w:t>5.2</w:t>
      </w:r>
      <w:r w:rsidRPr="009A709D">
        <w:rPr>
          <w:lang w:val="es-ES_tradnl"/>
        </w:rPr>
        <w:tab/>
        <w:t>Caso práctico</w:t>
      </w:r>
      <w:bookmarkEnd w:id="296"/>
      <w:bookmarkEnd w:id="297"/>
      <w:bookmarkEnd w:id="298"/>
      <w:bookmarkEnd w:id="299"/>
      <w:bookmarkEnd w:id="300"/>
      <w:bookmarkEnd w:id="301"/>
      <w:bookmarkEnd w:id="302"/>
      <w:bookmarkEnd w:id="303"/>
    </w:p>
    <w:p w14:paraId="6DFEEF68" w14:textId="23357460" w:rsidR="007A63A8" w:rsidRPr="009A709D" w:rsidRDefault="007A63A8" w:rsidP="007A63A8">
      <w:pPr>
        <w:rPr>
          <w:lang w:val="es-ES_tradnl"/>
        </w:rPr>
      </w:pPr>
      <w:r w:rsidRPr="009A709D">
        <w:rPr>
          <w:lang w:val="es-ES_tradnl"/>
        </w:rPr>
        <w:t>De forma similar a la sección anterior, el estudio se centra en la posibilidad de utilizar el ángulo de discriminación entre</w:t>
      </w:r>
      <w:r w:rsidR="00770F0A" w:rsidRPr="009A709D">
        <w:rPr>
          <w:lang w:val="es-ES_tradnl"/>
        </w:rPr>
        <w:t xml:space="preserve"> los</w:t>
      </w:r>
      <w:r w:rsidRPr="009A709D">
        <w:rPr>
          <w:lang w:val="es-ES_tradnl"/>
        </w:rPr>
        <w:t xml:space="preserve"> ejes mecánicos de la </w:t>
      </w:r>
      <w:r w:rsidR="00F019B4" w:rsidRPr="009A709D">
        <w:rPr>
          <w:lang w:val="es-ES_tradnl"/>
        </w:rPr>
        <w:t>EB</w:t>
      </w:r>
      <w:r w:rsidRPr="009A709D">
        <w:rPr>
          <w:lang w:val="es-ES_tradnl"/>
        </w:rPr>
        <w:t xml:space="preserve"> y la estación terrena del SETS como factor de mejora de la compatibilidad. La Fig.</w:t>
      </w:r>
      <w:r w:rsidR="00CC6F16">
        <w:rPr>
          <w:lang w:val="es-ES_tradnl"/>
        </w:rPr>
        <w:t> </w:t>
      </w:r>
      <w:r w:rsidRPr="009A709D">
        <w:rPr>
          <w:lang w:val="es-ES_tradnl"/>
        </w:rPr>
        <w:t xml:space="preserve">19 indica la distribución acumulada de la ganancia compuesta (asociación de las ganancias de la </w:t>
      </w:r>
      <w:r w:rsidR="00F019B4" w:rsidRPr="009A709D">
        <w:rPr>
          <w:lang w:val="es-ES_tradnl"/>
        </w:rPr>
        <w:t>EB</w:t>
      </w:r>
      <w:r w:rsidRPr="009A709D">
        <w:rPr>
          <w:lang w:val="es-ES_tradnl"/>
        </w:rPr>
        <w:t xml:space="preserve"> y el SETS) hacia el horizonte para distintos ángulos acimutales. Dada la limitación del ángulo de inclinación eléctrica de la </w:t>
      </w:r>
      <w:r w:rsidR="00F019B4" w:rsidRPr="009A709D">
        <w:rPr>
          <w:lang w:val="es-ES_tradnl"/>
        </w:rPr>
        <w:t>EB</w:t>
      </w:r>
      <w:r w:rsidRPr="009A709D">
        <w:rPr>
          <w:lang w:val="es-ES_tradnl"/>
        </w:rPr>
        <w:t xml:space="preserve"> </w:t>
      </w:r>
      <w:r w:rsidR="00770F0A" w:rsidRPr="009A709D">
        <w:rPr>
          <w:lang w:val="es-ES_tradnl"/>
        </w:rPr>
        <w:t>de</w:t>
      </w:r>
      <w:r w:rsidRPr="009A709D">
        <w:rPr>
          <w:lang w:val="es-ES_tradnl"/>
        </w:rPr>
        <w:t xml:space="preserve"> </w:t>
      </w:r>
      <w:r w:rsidRPr="009A709D">
        <w:rPr>
          <w:rFonts w:asciiTheme="majorBidi" w:hAnsiTheme="majorBidi"/>
          <w:color w:val="000000" w:themeColor="text1"/>
          <w:lang w:val="es-ES_tradnl"/>
        </w:rPr>
        <w:t>−</w:t>
      </w:r>
      <w:r w:rsidRPr="009A709D">
        <w:rPr>
          <w:lang w:val="es-ES_tradnl"/>
        </w:rPr>
        <w:t xml:space="preserve">60 </w:t>
      </w:r>
      <w:r w:rsidR="00770F0A" w:rsidRPr="009A709D">
        <w:rPr>
          <w:lang w:val="es-ES_tradnl"/>
        </w:rPr>
        <w:t>a</w:t>
      </w:r>
      <w:r w:rsidRPr="009A709D">
        <w:rPr>
          <w:lang w:val="es-ES_tradnl"/>
        </w:rPr>
        <w:t xml:space="preserve"> 60</w:t>
      </w:r>
      <w:r w:rsidR="004F1E3D" w:rsidRPr="009A709D">
        <w:rPr>
          <w:lang w:val="es-ES_tradnl"/>
        </w:rPr>
        <w:t> </w:t>
      </w:r>
      <w:r w:rsidRPr="009A709D">
        <w:rPr>
          <w:lang w:val="es-ES_tradnl"/>
        </w:rPr>
        <w:t xml:space="preserve">grados, la ganancia compuesta </w:t>
      </w:r>
      <w:r w:rsidR="00770F0A" w:rsidRPr="009A709D">
        <w:rPr>
          <w:lang w:val="es-ES_tradnl"/>
        </w:rPr>
        <w:t>máxima oscila</w:t>
      </w:r>
      <w:r w:rsidRPr="009A709D">
        <w:rPr>
          <w:lang w:val="es-ES_tradnl"/>
        </w:rPr>
        <w:t xml:space="preserve"> entre los 35 y los 37,5 dBi para un ángulo de discriminación de entre 0 y 50</w:t>
      </w:r>
      <w:r w:rsidR="004F1E3D" w:rsidRPr="009A709D">
        <w:rPr>
          <w:lang w:val="es-ES_tradnl"/>
        </w:rPr>
        <w:t> </w:t>
      </w:r>
      <w:r w:rsidRPr="009A709D">
        <w:rPr>
          <w:lang w:val="es-ES_tradnl"/>
        </w:rPr>
        <w:t>grados, y disminuye para ángulo</w:t>
      </w:r>
      <w:r w:rsidR="00770F0A" w:rsidRPr="009A709D">
        <w:rPr>
          <w:lang w:val="es-ES_tradnl"/>
        </w:rPr>
        <w:t>s superiores</w:t>
      </w:r>
      <w:r w:rsidRPr="009A709D">
        <w:rPr>
          <w:lang w:val="es-ES_tradnl"/>
        </w:rPr>
        <w:t>.</w:t>
      </w:r>
    </w:p>
    <w:p w14:paraId="683359EC" w14:textId="7C392BF9" w:rsidR="007A63A8" w:rsidRPr="009A709D" w:rsidRDefault="00770F0A" w:rsidP="007A63A8">
      <w:pPr>
        <w:rPr>
          <w:lang w:val="es-ES_tradnl"/>
        </w:rPr>
      </w:pPr>
      <w:r w:rsidRPr="009A709D">
        <w:rPr>
          <w:lang w:val="es-ES_tradnl"/>
        </w:rPr>
        <w:t>El Cuadro</w:t>
      </w:r>
      <w:r w:rsidR="00CC6F16">
        <w:rPr>
          <w:lang w:val="es-ES_tradnl"/>
        </w:rPr>
        <w:t> </w:t>
      </w:r>
      <w:r w:rsidR="007A63A8" w:rsidRPr="009A709D">
        <w:rPr>
          <w:lang w:val="es-ES_tradnl"/>
        </w:rPr>
        <w:t>2 indica las pérdidas necesarias considerando la distribución de ganancia presentada en la Fig.</w:t>
      </w:r>
      <w:r w:rsidR="00CC6F16">
        <w:rPr>
          <w:lang w:val="es-ES_tradnl"/>
        </w:rPr>
        <w:t> </w:t>
      </w:r>
      <w:r w:rsidR="007A63A8" w:rsidRPr="009A709D">
        <w:rPr>
          <w:lang w:val="es-ES_tradnl"/>
        </w:rPr>
        <w:t xml:space="preserve">19 y la ecuación del </w:t>
      </w:r>
      <w:r w:rsidR="00CC6F16" w:rsidRPr="00D81D07">
        <w:t>§ </w:t>
      </w:r>
      <w:r w:rsidR="007A63A8" w:rsidRPr="009A709D">
        <w:rPr>
          <w:lang w:val="es-ES_tradnl"/>
        </w:rPr>
        <w:t>5.1. En este ejemplo, se aplica una potencia máxima de 25 dBm/200 MHz</w:t>
      </w:r>
      <w:r w:rsidRPr="009A709D">
        <w:rPr>
          <w:lang w:val="es-ES_tradnl"/>
        </w:rPr>
        <w:t xml:space="preserve"> para la </w:t>
      </w:r>
      <w:r w:rsidR="00F019B4" w:rsidRPr="009A709D">
        <w:rPr>
          <w:lang w:val="es-ES_tradnl"/>
        </w:rPr>
        <w:t>EB</w:t>
      </w:r>
      <w:r w:rsidR="007A63A8" w:rsidRPr="009A709D">
        <w:rPr>
          <w:lang w:val="es-ES_tradnl"/>
        </w:rPr>
        <w:t xml:space="preserve">. Considerando </w:t>
      </w:r>
      <w:r w:rsidR="003842C9" w:rsidRPr="009A709D">
        <w:rPr>
          <w:lang w:val="es-ES_tradnl"/>
        </w:rPr>
        <w:t>el ancho de</w:t>
      </w:r>
      <w:r w:rsidR="007A63A8" w:rsidRPr="009A709D">
        <w:rPr>
          <w:lang w:val="es-ES_tradnl"/>
        </w:rPr>
        <w:t xml:space="preserve"> banda de referencia de los criterios de protección del SETS (véase el </w:t>
      </w:r>
      <w:r w:rsidR="00A23009" w:rsidRPr="00D81D07">
        <w:t>§ </w:t>
      </w:r>
      <w:r w:rsidR="007A63A8" w:rsidRPr="009A709D">
        <w:rPr>
          <w:lang w:val="es-ES_tradnl"/>
        </w:rPr>
        <w:t xml:space="preserve">3), la potencia emitida </w:t>
      </w:r>
      <w:r w:rsidRPr="009A709D">
        <w:rPr>
          <w:lang w:val="es-ES_tradnl"/>
        </w:rPr>
        <w:t>equivale a</w:t>
      </w:r>
      <w:r w:rsidR="007A63A8" w:rsidRPr="009A709D">
        <w:rPr>
          <w:lang w:val="es-ES_tradnl"/>
        </w:rPr>
        <w:t xml:space="preserve"> </w:t>
      </w:r>
      <w:r w:rsidR="007A63A8" w:rsidRPr="009A709D">
        <w:rPr>
          <w:rFonts w:asciiTheme="majorBidi" w:hAnsiTheme="majorBidi"/>
          <w:color w:val="000000" w:themeColor="text1"/>
          <w:lang w:val="es-ES_tradnl"/>
        </w:rPr>
        <w:t>−</w:t>
      </w:r>
      <w:r w:rsidR="007A63A8" w:rsidRPr="009A709D">
        <w:rPr>
          <w:lang w:val="es-ES_tradnl"/>
        </w:rPr>
        <w:t>18</w:t>
      </w:r>
      <w:r w:rsidR="004F1E3D" w:rsidRPr="009A709D">
        <w:rPr>
          <w:lang w:val="es-ES_tradnl"/>
        </w:rPr>
        <w:t> </w:t>
      </w:r>
      <w:r w:rsidR="007A63A8" w:rsidRPr="009A709D">
        <w:rPr>
          <w:lang w:val="es-ES_tradnl"/>
        </w:rPr>
        <w:t>dB(W/10 MHz).</w:t>
      </w:r>
    </w:p>
    <w:p w14:paraId="150D975E" w14:textId="22A4216A" w:rsidR="007A63A8" w:rsidRPr="009A709D" w:rsidRDefault="007A63A8" w:rsidP="007A63A8">
      <w:pPr>
        <w:rPr>
          <w:lang w:val="es-ES_tradnl"/>
        </w:rPr>
      </w:pPr>
      <w:r w:rsidRPr="009A709D">
        <w:rPr>
          <w:lang w:val="es-ES_tradnl"/>
        </w:rPr>
        <w:t>La estación terrena del SETS sigue un satélite no geoestacionario a 800 km de altitud en una órbita polar. Se aplica un ángulo de elevación mínimo de 5 grados. Para esta elevación, la ganancia</w:t>
      </w:r>
      <w:r w:rsidR="00770F0A" w:rsidRPr="009A709D">
        <w:rPr>
          <w:lang w:val="es-ES_tradnl"/>
        </w:rPr>
        <w:t xml:space="preserve"> de antena máxima</w:t>
      </w:r>
      <w:r w:rsidRPr="009A709D">
        <w:rPr>
          <w:lang w:val="es-ES_tradnl"/>
        </w:rPr>
        <w:t xml:space="preserve"> hacia el horizonte, </w:t>
      </w:r>
      <w:r w:rsidR="00770F0A" w:rsidRPr="009A709D">
        <w:rPr>
          <w:lang w:val="es-ES_tradnl"/>
        </w:rPr>
        <w:t>conforme a</w:t>
      </w:r>
      <w:r w:rsidRPr="009A709D">
        <w:rPr>
          <w:lang w:val="es-ES_tradnl"/>
        </w:rPr>
        <w:t xml:space="preserve">l Apéndice </w:t>
      </w:r>
      <w:r w:rsidRPr="009A709D">
        <w:rPr>
          <w:b/>
          <w:lang w:val="es-ES_tradnl"/>
        </w:rPr>
        <w:t>8</w:t>
      </w:r>
      <w:r w:rsidRPr="009A709D">
        <w:rPr>
          <w:lang w:val="es-ES_tradnl"/>
        </w:rPr>
        <w:t xml:space="preserve"> del RR, se aproxima a 15 dBi.</w:t>
      </w:r>
    </w:p>
    <w:p w14:paraId="4574A274" w14:textId="0FC56F1B" w:rsidR="007A63A8" w:rsidRPr="009A709D" w:rsidRDefault="00770F0A" w:rsidP="00770F0A">
      <w:pPr>
        <w:rPr>
          <w:lang w:val="es-ES_tradnl"/>
        </w:rPr>
      </w:pPr>
      <w:r w:rsidRPr="009A709D">
        <w:rPr>
          <w:lang w:val="es-ES_tradnl"/>
        </w:rPr>
        <w:t xml:space="preserve">El Cuadro </w:t>
      </w:r>
      <w:r w:rsidR="007A63A8" w:rsidRPr="009A709D">
        <w:rPr>
          <w:lang w:val="es-ES_tradnl"/>
        </w:rPr>
        <w:t>2 muestra que, si se emplea un valor medio de pérdida</w:t>
      </w:r>
      <w:r w:rsidRPr="009A709D">
        <w:rPr>
          <w:lang w:val="es-ES_tradnl"/>
        </w:rPr>
        <w:t>s</w:t>
      </w:r>
      <w:r w:rsidR="007A63A8" w:rsidRPr="009A709D">
        <w:rPr>
          <w:lang w:val="es-ES_tradnl"/>
        </w:rPr>
        <w:t xml:space="preserve"> por ocupación del suelo de 19 dB, la distancia de separación entre el</w:t>
      </w:r>
      <w:r w:rsidR="00CA4ACE" w:rsidRPr="009A709D">
        <w:rPr>
          <w:lang w:val="es-ES_tradnl"/>
        </w:rPr>
        <w:t xml:space="preserve"> sistema</w:t>
      </w:r>
      <w:r w:rsidR="007A63A8" w:rsidRPr="009A709D">
        <w:rPr>
          <w:lang w:val="es-ES_tradnl"/>
        </w:rPr>
        <w:t xml:space="preserve"> IMT-2020 y la estación terrena del SETS podría reducirse a menos de 1,3 km </w:t>
      </w:r>
      <w:r w:rsidRPr="009A709D">
        <w:rPr>
          <w:lang w:val="es-ES_tradnl"/>
        </w:rPr>
        <w:t xml:space="preserve">si la </w:t>
      </w:r>
      <w:r w:rsidR="00F019B4" w:rsidRPr="009A709D">
        <w:rPr>
          <w:lang w:val="es-ES_tradnl"/>
        </w:rPr>
        <w:t>EB</w:t>
      </w:r>
      <w:r w:rsidRPr="009A709D">
        <w:rPr>
          <w:lang w:val="es-ES_tradnl"/>
        </w:rPr>
        <w:t xml:space="preserve"> en cuestión apunta hacia la estación terrena, </w:t>
      </w:r>
      <w:r w:rsidR="007A63A8" w:rsidRPr="009A709D">
        <w:rPr>
          <w:lang w:val="es-ES_tradnl"/>
        </w:rPr>
        <w:t xml:space="preserve">y a menos de 140 m si la </w:t>
      </w:r>
      <w:r w:rsidR="00F019B4" w:rsidRPr="009A709D">
        <w:rPr>
          <w:lang w:val="es-ES_tradnl"/>
        </w:rPr>
        <w:t>EB</w:t>
      </w:r>
      <w:r w:rsidR="007A63A8" w:rsidRPr="009A709D">
        <w:rPr>
          <w:lang w:val="es-ES_tradnl"/>
        </w:rPr>
        <w:t xml:space="preserve"> </w:t>
      </w:r>
      <w:r w:rsidRPr="009A709D">
        <w:rPr>
          <w:lang w:val="es-ES_tradnl"/>
        </w:rPr>
        <w:t>se encuentra en una posición perpendicular con respecto a la estación terrena.</w:t>
      </w:r>
    </w:p>
    <w:p w14:paraId="2689038D" w14:textId="592A7296" w:rsidR="007A63A8" w:rsidRPr="009A709D" w:rsidRDefault="007A63A8" w:rsidP="007A63A8">
      <w:pPr>
        <w:rPr>
          <w:lang w:val="es-ES_tradnl"/>
        </w:rPr>
      </w:pPr>
      <w:r w:rsidRPr="009A709D">
        <w:rPr>
          <w:lang w:val="es-ES_tradnl"/>
        </w:rPr>
        <w:lastRenderedPageBreak/>
        <w:t>La Fig.</w:t>
      </w:r>
      <w:r w:rsidR="00CC6F16">
        <w:rPr>
          <w:lang w:val="es-ES_tradnl"/>
        </w:rPr>
        <w:t> </w:t>
      </w:r>
      <w:r w:rsidRPr="009A709D">
        <w:rPr>
          <w:lang w:val="es-ES_tradnl"/>
        </w:rPr>
        <w:t xml:space="preserve">20 </w:t>
      </w:r>
      <w:r w:rsidR="008D52FA" w:rsidRPr="009A709D">
        <w:rPr>
          <w:lang w:val="es-ES_tradnl"/>
        </w:rPr>
        <w:t>ilustra</w:t>
      </w:r>
      <w:r w:rsidRPr="009A709D">
        <w:rPr>
          <w:lang w:val="es-ES_tradnl"/>
        </w:rPr>
        <w:t xml:space="preserve"> el mapa de pérdidas </w:t>
      </w:r>
      <w:r w:rsidR="008D52FA" w:rsidRPr="009A709D">
        <w:rPr>
          <w:lang w:val="es-ES_tradnl"/>
        </w:rPr>
        <w:t>de</w:t>
      </w:r>
      <w:r w:rsidRPr="009A709D">
        <w:rPr>
          <w:lang w:val="es-ES_tradnl"/>
        </w:rPr>
        <w:t xml:space="preserve"> una ciudad de Francia </w:t>
      </w:r>
      <w:r w:rsidR="008D52FA" w:rsidRPr="009A709D">
        <w:rPr>
          <w:lang w:val="es-ES_tradnl"/>
        </w:rPr>
        <w:t>en la que podría instalarse</w:t>
      </w:r>
      <w:r w:rsidRPr="009A709D">
        <w:rPr>
          <w:lang w:val="es-ES_tradnl"/>
        </w:rPr>
        <w:t xml:space="preserve"> la estación terrena del SETS. Esta Figura muestra que</w:t>
      </w:r>
      <w:r w:rsidR="008D52FA" w:rsidRPr="009A709D">
        <w:rPr>
          <w:lang w:val="es-ES_tradnl"/>
        </w:rPr>
        <w:t>, en dicha ciudad,</w:t>
      </w:r>
      <w:r w:rsidRPr="009A709D">
        <w:rPr>
          <w:lang w:val="es-ES_tradnl"/>
        </w:rPr>
        <w:t xml:space="preserve"> la distancia </w:t>
      </w:r>
      <w:r w:rsidR="008D52FA" w:rsidRPr="009A709D">
        <w:rPr>
          <w:lang w:val="es-ES_tradnl"/>
        </w:rPr>
        <w:t>máxima s</w:t>
      </w:r>
      <w:r w:rsidRPr="009A709D">
        <w:rPr>
          <w:lang w:val="es-ES_tradnl"/>
        </w:rPr>
        <w:t xml:space="preserve">in presencia de edificios para obtener un nivel de pérdidas de 142 dB es de casi 3 km. </w:t>
      </w:r>
      <w:r w:rsidR="008D52FA" w:rsidRPr="009A709D">
        <w:rPr>
          <w:lang w:val="es-ES_tradnl"/>
        </w:rPr>
        <w:t>E</w:t>
      </w:r>
      <w:r w:rsidRPr="009A709D">
        <w:rPr>
          <w:lang w:val="es-ES_tradnl"/>
        </w:rPr>
        <w:t xml:space="preserve">n </w:t>
      </w:r>
      <w:r w:rsidR="008D52FA" w:rsidRPr="009A709D">
        <w:rPr>
          <w:lang w:val="es-ES_tradnl"/>
        </w:rPr>
        <w:t>los</w:t>
      </w:r>
      <w:r w:rsidRPr="009A709D">
        <w:rPr>
          <w:lang w:val="es-ES_tradnl"/>
        </w:rPr>
        <w:t xml:space="preserve"> trayecto</w:t>
      </w:r>
      <w:r w:rsidR="008D52FA" w:rsidRPr="009A709D">
        <w:rPr>
          <w:lang w:val="es-ES_tradnl"/>
        </w:rPr>
        <w:t>s con edificios</w:t>
      </w:r>
      <w:r w:rsidRPr="009A709D">
        <w:rPr>
          <w:lang w:val="es-ES_tradnl"/>
        </w:rPr>
        <w:t xml:space="preserve"> la distancia puede reducirse a varios cientos de metros. Sin embargo, es preciso tomar precauciones a distancias grandes de la estación (en torno a 5 km) en posiciones elevada</w:t>
      </w:r>
      <w:r w:rsidR="008D52FA" w:rsidRPr="009A709D">
        <w:rPr>
          <w:lang w:val="es-ES_tradnl"/>
        </w:rPr>
        <w:t>s</w:t>
      </w:r>
      <w:r w:rsidRPr="009A709D">
        <w:rPr>
          <w:lang w:val="es-ES_tradnl"/>
        </w:rPr>
        <w:t xml:space="preserve"> (colinas, montañas, etc.), como se muestra en las direcciones nordeste y suroeste de la estación. La Fig.</w:t>
      </w:r>
      <w:r w:rsidR="004F1E3D" w:rsidRPr="009A709D">
        <w:rPr>
          <w:lang w:val="es-ES_tradnl"/>
        </w:rPr>
        <w:t> </w:t>
      </w:r>
      <w:r w:rsidRPr="009A709D">
        <w:rPr>
          <w:lang w:val="es-ES_tradnl"/>
        </w:rPr>
        <w:t xml:space="preserve">20 muestra que las pérdidas por difracción debidas a la presencia de edificios en el trayecto de propagación garantizarían la protección de la estación terrena del SETS sin imponer restricciones indebidas </w:t>
      </w:r>
      <w:r w:rsidR="008D52FA" w:rsidRPr="009A709D">
        <w:rPr>
          <w:lang w:val="es-ES_tradnl"/>
        </w:rPr>
        <w:t>a</w:t>
      </w:r>
      <w:r w:rsidRPr="009A709D">
        <w:rPr>
          <w:lang w:val="es-ES_tradnl"/>
        </w:rPr>
        <w:t xml:space="preserve"> los sistemas IMT</w:t>
      </w:r>
      <w:r w:rsidR="004F1E3D" w:rsidRPr="009A709D">
        <w:rPr>
          <w:lang w:val="es-ES_tradnl"/>
        </w:rPr>
        <w:noBreakHyphen/>
      </w:r>
      <w:r w:rsidRPr="009A709D">
        <w:rPr>
          <w:lang w:val="es-ES_tradnl"/>
        </w:rPr>
        <w:t>2020.</w:t>
      </w:r>
    </w:p>
    <w:p w14:paraId="7159EFAB" w14:textId="49C6113D" w:rsidR="007A63A8" w:rsidRPr="009A709D" w:rsidRDefault="007A63A8" w:rsidP="007A63A8">
      <w:pPr>
        <w:keepNext/>
        <w:keepLines/>
        <w:spacing w:before="240" w:after="120"/>
        <w:jc w:val="center"/>
        <w:rPr>
          <w:rFonts w:eastAsia="SimSun"/>
          <w:caps/>
          <w:sz w:val="20"/>
          <w:lang w:val="es-ES_tradnl"/>
        </w:rPr>
      </w:pPr>
      <w:bookmarkStart w:id="304" w:name="_Hlk523215976"/>
      <w:r w:rsidRPr="009A709D">
        <w:rPr>
          <w:caps/>
          <w:sz w:val="20"/>
          <w:lang w:val="es-ES_tradnl"/>
        </w:rPr>
        <w:t>FIGURA 19</w:t>
      </w:r>
    </w:p>
    <w:p w14:paraId="224C5CD9" w14:textId="3F0147ED" w:rsidR="007A63A8" w:rsidRPr="009A709D" w:rsidRDefault="009C3454" w:rsidP="007A63A8">
      <w:pPr>
        <w:pStyle w:val="Figuretitle"/>
        <w:rPr>
          <w:lang w:val="es-ES_tradnl"/>
        </w:rPr>
      </w:pPr>
      <w:r w:rsidRPr="009A709D">
        <w:rPr>
          <w:lang w:val="es-ES_tradnl"/>
        </w:rPr>
        <w:t xml:space="preserve">FDA de </w:t>
      </w:r>
      <w:r w:rsidR="008D52FA" w:rsidRPr="009A709D">
        <w:rPr>
          <w:lang w:val="es-ES_tradnl"/>
        </w:rPr>
        <w:t xml:space="preserve">la </w:t>
      </w:r>
      <w:r w:rsidRPr="009A709D">
        <w:rPr>
          <w:lang w:val="es-ES_tradnl"/>
        </w:rPr>
        <w:t xml:space="preserve">ganancia </w:t>
      </w:r>
      <w:r w:rsidR="008D52FA" w:rsidRPr="009A709D">
        <w:rPr>
          <w:lang w:val="es-ES_tradnl"/>
        </w:rPr>
        <w:t xml:space="preserve">compuesta </w:t>
      </w:r>
      <w:r w:rsidRPr="009A709D">
        <w:rPr>
          <w:lang w:val="es-ES_tradnl"/>
        </w:rPr>
        <w:t xml:space="preserve">hacia el horizonte para distintos </w:t>
      </w:r>
      <w:bookmarkEnd w:id="304"/>
      <w:r w:rsidR="00A7798D" w:rsidRPr="009A709D">
        <w:rPr>
          <w:lang w:val="es-ES_tradnl"/>
        </w:rPr>
        <w:t>acimuts</w:t>
      </w:r>
    </w:p>
    <w:p w14:paraId="5773BE8A" w14:textId="5CEBAB03" w:rsidR="00CC6F16" w:rsidRPr="00CC6F16" w:rsidRDefault="00CC6F16" w:rsidP="00CC6F16">
      <w:pPr>
        <w:pStyle w:val="Figure"/>
        <w:rPr>
          <w:noProof/>
          <w:lang w:val="es-ES_tradnl" w:eastAsia="es-ES"/>
        </w:rPr>
      </w:pPr>
      <w:r>
        <w:rPr>
          <w:noProof/>
          <w:lang w:val="es-ES_tradnl" w:eastAsia="es-ES"/>
        </w:rPr>
        <w:drawing>
          <wp:inline distT="0" distB="0" distL="0" distR="0" wp14:anchorId="580C8B19" wp14:editId="14CD152B">
            <wp:extent cx="4403898" cy="3486150"/>
            <wp:effectExtent l="0" t="0" r="0" b="0"/>
            <wp:docPr id="17" name="Picture 1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2142-0_19S.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405949" cy="3487774"/>
                    </a:xfrm>
                    <a:prstGeom prst="rect">
                      <a:avLst/>
                    </a:prstGeom>
                  </pic:spPr>
                </pic:pic>
              </a:graphicData>
            </a:graphic>
          </wp:inline>
        </w:drawing>
      </w:r>
    </w:p>
    <w:p w14:paraId="246B28B7" w14:textId="1C982E92" w:rsidR="007A63A8" w:rsidRPr="009A709D" w:rsidRDefault="006E5294" w:rsidP="00CC6F16">
      <w:pPr>
        <w:pStyle w:val="TableNo"/>
        <w:keepLines/>
        <w:rPr>
          <w:rFonts w:eastAsia="SimSun"/>
          <w:lang w:val="es-ES_tradnl"/>
        </w:rPr>
      </w:pPr>
      <w:r w:rsidRPr="009A709D">
        <w:rPr>
          <w:lang w:val="es-ES_tradnl"/>
        </w:rPr>
        <w:lastRenderedPageBreak/>
        <w:t>CUADRO</w:t>
      </w:r>
      <w:r w:rsidR="007A63A8" w:rsidRPr="009A709D">
        <w:rPr>
          <w:lang w:val="es-ES_tradnl"/>
        </w:rPr>
        <w:t xml:space="preserve"> 2</w:t>
      </w:r>
    </w:p>
    <w:p w14:paraId="3E05C148" w14:textId="77777777" w:rsidR="007A63A8" w:rsidRPr="009A709D" w:rsidRDefault="007A63A8" w:rsidP="00CC6F16">
      <w:pPr>
        <w:pStyle w:val="Tabletitle"/>
        <w:keepLines/>
        <w:rPr>
          <w:lang w:val="es-ES_tradnl"/>
        </w:rPr>
      </w:pPr>
      <w:r w:rsidRPr="009A709D">
        <w:rPr>
          <w:lang w:val="es-ES_tradnl"/>
        </w:rPr>
        <w:t>Evaluación de las pérdidas necesarias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27"/>
        <w:gridCol w:w="923"/>
        <w:gridCol w:w="1587"/>
        <w:gridCol w:w="576"/>
        <w:gridCol w:w="1465"/>
        <w:gridCol w:w="1053"/>
        <w:gridCol w:w="657"/>
        <w:gridCol w:w="1186"/>
        <w:gridCol w:w="1265"/>
      </w:tblGrid>
      <w:tr w:rsidR="007A63A8" w:rsidRPr="00CC6F16" w14:paraId="14B5EE54" w14:textId="77777777" w:rsidTr="00CC6F16">
        <w:trPr>
          <w:jc w:val="center"/>
        </w:trPr>
        <w:tc>
          <w:tcPr>
            <w:tcW w:w="481" w:type="pct"/>
            <w:vAlign w:val="center"/>
          </w:tcPr>
          <w:p w14:paraId="7DD4C7F6" w14:textId="77777777" w:rsidR="007A63A8" w:rsidRPr="00CC6F16" w:rsidRDefault="007A63A8" w:rsidP="00CC6F16">
            <w:pPr>
              <w:pStyle w:val="Tablehead"/>
              <w:keepLines/>
              <w:rPr>
                <w:sz w:val="18"/>
                <w:szCs w:val="18"/>
                <w:lang w:val="es-ES_tradnl"/>
              </w:rPr>
            </w:pPr>
            <w:r w:rsidRPr="00CC6F16">
              <w:rPr>
                <w:sz w:val="18"/>
                <w:szCs w:val="18"/>
                <w:lang w:val="es-ES_tradnl"/>
              </w:rPr>
              <w:t>Tipo</w:t>
            </w:r>
          </w:p>
        </w:tc>
        <w:tc>
          <w:tcPr>
            <w:tcW w:w="479" w:type="pct"/>
            <w:vAlign w:val="center"/>
            <w:hideMark/>
          </w:tcPr>
          <w:p w14:paraId="67081C47" w14:textId="3524525A" w:rsidR="007A63A8" w:rsidRPr="00CC6F16" w:rsidRDefault="007A63A8" w:rsidP="00CC6F16">
            <w:pPr>
              <w:pStyle w:val="Tablehead"/>
              <w:keepLines/>
              <w:rPr>
                <w:sz w:val="18"/>
                <w:szCs w:val="18"/>
                <w:lang w:val="es-ES_tradnl"/>
              </w:rPr>
            </w:pPr>
            <w:r w:rsidRPr="00CC6F16">
              <w:rPr>
                <w:sz w:val="18"/>
                <w:szCs w:val="18"/>
                <w:lang w:val="es-ES_tradnl"/>
              </w:rPr>
              <w:t xml:space="preserve">Acimut </w:t>
            </w:r>
            <w:r w:rsidRPr="00CC6F16">
              <w:rPr>
                <w:sz w:val="18"/>
                <w:szCs w:val="18"/>
                <w:lang w:val="es-ES_tradnl"/>
              </w:rPr>
              <w:br/>
              <w:t>(grados)</w:t>
            </w:r>
          </w:p>
        </w:tc>
        <w:tc>
          <w:tcPr>
            <w:tcW w:w="823" w:type="pct"/>
            <w:vAlign w:val="center"/>
          </w:tcPr>
          <w:p w14:paraId="3D31CFFF" w14:textId="77777777" w:rsidR="007A63A8" w:rsidRPr="00CC6F16" w:rsidRDefault="007A63A8" w:rsidP="00CC6F16">
            <w:pPr>
              <w:pStyle w:val="Tablehead"/>
              <w:keepLines/>
              <w:rPr>
                <w:sz w:val="18"/>
                <w:szCs w:val="18"/>
                <w:lang w:val="es-ES_tradnl"/>
              </w:rPr>
            </w:pPr>
            <w:r w:rsidRPr="00CC6F16">
              <w:rPr>
                <w:i/>
                <w:sz w:val="18"/>
                <w:szCs w:val="18"/>
                <w:lang w:val="es-ES_tradnl"/>
              </w:rPr>
              <w:t>P</w:t>
            </w:r>
            <w:r w:rsidRPr="00CC6F16">
              <w:rPr>
                <w:i/>
                <w:sz w:val="18"/>
                <w:szCs w:val="18"/>
                <w:vertAlign w:val="subscript"/>
                <w:lang w:val="es-ES_tradnl"/>
              </w:rPr>
              <w:t>t</w:t>
            </w:r>
            <w:r w:rsidRPr="00CC6F16">
              <w:rPr>
                <w:sz w:val="18"/>
                <w:szCs w:val="18"/>
                <w:lang w:val="es-ES_tradnl"/>
              </w:rPr>
              <w:t xml:space="preserve"> </w:t>
            </w:r>
            <w:r w:rsidRPr="00CC6F16">
              <w:rPr>
                <w:sz w:val="18"/>
                <w:szCs w:val="18"/>
                <w:lang w:val="es-ES_tradnl"/>
              </w:rPr>
              <w:br/>
              <w:t>(dB(W/10 MHz))</w:t>
            </w:r>
          </w:p>
        </w:tc>
        <w:tc>
          <w:tcPr>
            <w:tcW w:w="299" w:type="pct"/>
            <w:vAlign w:val="center"/>
          </w:tcPr>
          <w:p w14:paraId="3B053B4F" w14:textId="77777777" w:rsidR="007A63A8" w:rsidRPr="00CC6F16" w:rsidRDefault="007A63A8" w:rsidP="00CC6F16">
            <w:pPr>
              <w:pStyle w:val="Tablehead"/>
              <w:keepLines/>
              <w:rPr>
                <w:sz w:val="18"/>
                <w:szCs w:val="18"/>
                <w:lang w:val="es-ES_tradnl"/>
              </w:rPr>
            </w:pPr>
            <w:r w:rsidRPr="00CC6F16">
              <w:rPr>
                <w:i/>
                <w:sz w:val="18"/>
                <w:szCs w:val="18"/>
                <w:lang w:val="es-ES_tradnl"/>
              </w:rPr>
              <w:t>G</w:t>
            </w:r>
            <w:r w:rsidRPr="00CC6F16">
              <w:rPr>
                <w:i/>
                <w:sz w:val="18"/>
                <w:szCs w:val="18"/>
                <w:vertAlign w:val="subscript"/>
                <w:lang w:val="es-ES_tradnl"/>
              </w:rPr>
              <w:t>c</w:t>
            </w:r>
            <w:r w:rsidRPr="00CC6F16">
              <w:rPr>
                <w:sz w:val="18"/>
                <w:szCs w:val="18"/>
                <w:lang w:val="es-ES_tradnl"/>
              </w:rPr>
              <w:t xml:space="preserve"> </w:t>
            </w:r>
            <w:r w:rsidRPr="00CC6F16">
              <w:rPr>
                <w:sz w:val="18"/>
                <w:szCs w:val="18"/>
                <w:lang w:val="es-ES_tradnl"/>
              </w:rPr>
              <w:br/>
              <w:t>(dBi)</w:t>
            </w:r>
          </w:p>
        </w:tc>
        <w:tc>
          <w:tcPr>
            <w:tcW w:w="760" w:type="pct"/>
            <w:vAlign w:val="center"/>
          </w:tcPr>
          <w:p w14:paraId="52C11F16" w14:textId="77777777" w:rsidR="007A63A8" w:rsidRPr="00CC6F16" w:rsidRDefault="007A63A8" w:rsidP="00CC6F16">
            <w:pPr>
              <w:pStyle w:val="Tablehead"/>
              <w:keepLines/>
              <w:rPr>
                <w:sz w:val="18"/>
                <w:szCs w:val="18"/>
                <w:lang w:val="es-ES_tradnl"/>
              </w:rPr>
            </w:pPr>
            <w:r w:rsidRPr="00CC6F16">
              <w:rPr>
                <w:i/>
                <w:sz w:val="18"/>
                <w:szCs w:val="18"/>
                <w:lang w:val="es-ES_tradnl"/>
              </w:rPr>
              <w:t>C</w:t>
            </w:r>
            <w:r w:rsidRPr="00CC6F16">
              <w:rPr>
                <w:i/>
                <w:sz w:val="18"/>
                <w:szCs w:val="18"/>
                <w:vertAlign w:val="subscript"/>
                <w:lang w:val="es-ES_tradnl"/>
              </w:rPr>
              <w:t>r</w:t>
            </w:r>
            <w:r w:rsidRPr="00CC6F16">
              <w:rPr>
                <w:sz w:val="18"/>
                <w:szCs w:val="18"/>
                <w:lang w:val="es-ES_tradnl"/>
              </w:rPr>
              <w:t xml:space="preserve"> </w:t>
            </w:r>
            <w:r w:rsidRPr="00CC6F16">
              <w:rPr>
                <w:sz w:val="18"/>
                <w:szCs w:val="18"/>
                <w:lang w:val="es-ES_tradnl"/>
              </w:rPr>
              <w:br/>
              <w:t>(dB(W/10 MHz))</w:t>
            </w:r>
          </w:p>
        </w:tc>
        <w:tc>
          <w:tcPr>
            <w:tcW w:w="546" w:type="pct"/>
            <w:vAlign w:val="center"/>
          </w:tcPr>
          <w:p w14:paraId="55D28394" w14:textId="65768768" w:rsidR="007A63A8" w:rsidRPr="00CC6F16" w:rsidRDefault="007A63A8" w:rsidP="00CC6F16">
            <w:pPr>
              <w:pStyle w:val="Tablehead"/>
              <w:keepLines/>
              <w:rPr>
                <w:sz w:val="18"/>
                <w:szCs w:val="18"/>
                <w:lang w:val="es-ES_tradnl"/>
              </w:rPr>
            </w:pPr>
            <w:r w:rsidRPr="00CC6F16">
              <w:rPr>
                <w:sz w:val="18"/>
                <w:szCs w:val="18"/>
                <w:lang w:val="es-ES_tradnl"/>
              </w:rPr>
              <w:t xml:space="preserve">Efecto </w:t>
            </w:r>
            <w:r w:rsidR="006E5294" w:rsidRPr="00CC6F16">
              <w:rPr>
                <w:sz w:val="18"/>
                <w:szCs w:val="18"/>
                <w:lang w:val="es-ES_tradnl"/>
              </w:rPr>
              <w:t>comb</w:t>
            </w:r>
            <w:r w:rsidRPr="00CC6F16">
              <w:rPr>
                <w:sz w:val="18"/>
                <w:szCs w:val="18"/>
                <w:lang w:val="es-ES_tradnl"/>
              </w:rPr>
              <w:t xml:space="preserve">. </w:t>
            </w:r>
            <w:r w:rsidRPr="00CC6F16">
              <w:rPr>
                <w:sz w:val="18"/>
                <w:szCs w:val="18"/>
                <w:lang w:val="es-ES_tradnl"/>
              </w:rPr>
              <w:br/>
              <w:t>(dB)</w:t>
            </w:r>
          </w:p>
        </w:tc>
        <w:tc>
          <w:tcPr>
            <w:tcW w:w="341" w:type="pct"/>
            <w:vAlign w:val="center"/>
            <w:hideMark/>
          </w:tcPr>
          <w:p w14:paraId="080EB6E3" w14:textId="0EB2DA57" w:rsidR="007A63A8" w:rsidRPr="00CC6F16" w:rsidRDefault="0015026B" w:rsidP="00CC6F16">
            <w:pPr>
              <w:pStyle w:val="Tablehead"/>
              <w:keepLines/>
              <w:rPr>
                <w:sz w:val="18"/>
                <w:szCs w:val="18"/>
                <w:lang w:val="es-ES_tradnl"/>
              </w:rPr>
            </w:pPr>
            <w:r w:rsidRPr="00CC6F16">
              <w:rPr>
                <w:i/>
                <w:sz w:val="18"/>
                <w:szCs w:val="18"/>
                <w:lang w:val="es-ES_tradnl"/>
              </w:rPr>
              <w:t>L</w:t>
            </w:r>
            <w:r w:rsidRPr="00CC6F16">
              <w:rPr>
                <w:i/>
                <w:sz w:val="18"/>
                <w:szCs w:val="18"/>
                <w:vertAlign w:val="subscript"/>
                <w:lang w:val="es-ES_tradnl"/>
              </w:rPr>
              <w:t>b</w:t>
            </w:r>
            <w:r w:rsidRPr="00CC6F16">
              <w:rPr>
                <w:sz w:val="18"/>
                <w:szCs w:val="18"/>
                <w:lang w:val="es-ES_tradnl"/>
              </w:rPr>
              <w:t xml:space="preserve"> </w:t>
            </w:r>
            <w:r w:rsidRPr="00CC6F16">
              <w:rPr>
                <w:sz w:val="18"/>
                <w:szCs w:val="18"/>
                <w:vertAlign w:val="superscript"/>
                <w:lang w:val="es-ES_tradnl"/>
              </w:rPr>
              <w:t>(1)</w:t>
            </w:r>
            <w:r w:rsidRPr="00CC6F16">
              <w:rPr>
                <w:sz w:val="18"/>
                <w:szCs w:val="18"/>
                <w:vertAlign w:val="superscript"/>
                <w:lang w:val="es-ES_tradnl"/>
              </w:rPr>
              <w:br/>
            </w:r>
            <w:r w:rsidRPr="00CC6F16">
              <w:rPr>
                <w:sz w:val="18"/>
                <w:szCs w:val="18"/>
                <w:lang w:val="es-ES_tradnl"/>
              </w:rPr>
              <w:t>(dB)</w:t>
            </w:r>
          </w:p>
        </w:tc>
        <w:tc>
          <w:tcPr>
            <w:tcW w:w="615" w:type="pct"/>
            <w:vAlign w:val="center"/>
          </w:tcPr>
          <w:p w14:paraId="378AC814" w14:textId="5016CF63" w:rsidR="007A63A8" w:rsidRPr="00CC6F16" w:rsidRDefault="007A63A8" w:rsidP="00CC6F16">
            <w:pPr>
              <w:pStyle w:val="Tablehead"/>
              <w:keepLines/>
              <w:rPr>
                <w:sz w:val="18"/>
                <w:szCs w:val="18"/>
                <w:lang w:val="es-ES_tradnl"/>
              </w:rPr>
            </w:pPr>
            <w:r w:rsidRPr="00CC6F16">
              <w:rPr>
                <w:sz w:val="18"/>
                <w:szCs w:val="18"/>
                <w:lang w:val="es-ES_tradnl"/>
              </w:rPr>
              <w:t>Distancia utilizando la</w:t>
            </w:r>
            <w:r w:rsidR="006E5294" w:rsidRPr="00CC6F16">
              <w:rPr>
                <w:sz w:val="18"/>
                <w:szCs w:val="18"/>
                <w:lang w:val="es-ES_tradnl"/>
              </w:rPr>
              <w:t>s</w:t>
            </w:r>
            <w:r w:rsidRPr="00CC6F16">
              <w:rPr>
                <w:sz w:val="18"/>
                <w:szCs w:val="18"/>
                <w:lang w:val="es-ES_tradnl"/>
              </w:rPr>
              <w:t xml:space="preserve"> pérdida</w:t>
            </w:r>
            <w:r w:rsidR="006E5294" w:rsidRPr="00CC6F16">
              <w:rPr>
                <w:sz w:val="18"/>
                <w:szCs w:val="18"/>
                <w:lang w:val="es-ES_tradnl"/>
              </w:rPr>
              <w:t>s</w:t>
            </w:r>
            <w:r w:rsidRPr="00CC6F16">
              <w:rPr>
                <w:sz w:val="18"/>
                <w:szCs w:val="18"/>
                <w:lang w:val="es-ES_tradnl"/>
              </w:rPr>
              <w:t xml:space="preserve"> en</w:t>
            </w:r>
            <w:r w:rsidR="006E5294" w:rsidRPr="00CC6F16">
              <w:rPr>
                <w:sz w:val="18"/>
                <w:szCs w:val="18"/>
                <w:lang w:val="es-ES_tradnl"/>
              </w:rPr>
              <w:t xml:space="preserve"> el</w:t>
            </w:r>
            <w:r w:rsidRPr="00CC6F16">
              <w:rPr>
                <w:sz w:val="18"/>
                <w:szCs w:val="18"/>
                <w:lang w:val="es-ES_tradnl"/>
              </w:rPr>
              <w:t xml:space="preserve"> espacio libre </w:t>
            </w:r>
            <w:r w:rsidRPr="00CC6F16">
              <w:rPr>
                <w:sz w:val="18"/>
                <w:szCs w:val="18"/>
                <w:lang w:val="es-ES_tradnl"/>
              </w:rPr>
              <w:br/>
              <w:t>(km)</w:t>
            </w:r>
          </w:p>
        </w:tc>
        <w:tc>
          <w:tcPr>
            <w:tcW w:w="656" w:type="pct"/>
          </w:tcPr>
          <w:p w14:paraId="622A8825" w14:textId="64D865F0" w:rsidR="007A63A8" w:rsidRPr="00CC6F16" w:rsidRDefault="0015026B" w:rsidP="00CC6F16">
            <w:pPr>
              <w:pStyle w:val="Tablehead"/>
              <w:keepLines/>
              <w:rPr>
                <w:sz w:val="18"/>
                <w:szCs w:val="18"/>
                <w:lang w:val="es-ES_tradnl"/>
              </w:rPr>
            </w:pPr>
            <w:r w:rsidRPr="00CC6F16">
              <w:rPr>
                <w:sz w:val="18"/>
                <w:szCs w:val="18"/>
                <w:lang w:val="es-ES_tradnl"/>
              </w:rPr>
              <w:t xml:space="preserve">Distancia utilizando las pérdidas en </w:t>
            </w:r>
            <w:r w:rsidR="006E5294" w:rsidRPr="00CC6F16">
              <w:rPr>
                <w:sz w:val="18"/>
                <w:szCs w:val="18"/>
                <w:lang w:val="es-ES_tradnl"/>
              </w:rPr>
              <w:t xml:space="preserve">el </w:t>
            </w:r>
            <w:r w:rsidRPr="00CC6F16">
              <w:rPr>
                <w:sz w:val="18"/>
                <w:szCs w:val="18"/>
                <w:lang w:val="es-ES_tradnl"/>
              </w:rPr>
              <w:t xml:space="preserve">espacio libre + ocupación del suelo </w:t>
            </w:r>
            <w:r w:rsidRPr="00CC6F16">
              <w:rPr>
                <w:sz w:val="18"/>
                <w:szCs w:val="18"/>
                <w:lang w:val="es-ES_tradnl"/>
              </w:rPr>
              <w:br/>
              <w:t>(km)</w:t>
            </w:r>
            <w:r w:rsidR="00CA4ACE" w:rsidRPr="00CC6F16">
              <w:rPr>
                <w:sz w:val="18"/>
                <w:szCs w:val="18"/>
                <w:lang w:val="es-ES_tradnl"/>
              </w:rPr>
              <w:t xml:space="preserve"> </w:t>
            </w:r>
            <w:r w:rsidRPr="00CC6F16">
              <w:rPr>
                <w:sz w:val="18"/>
                <w:szCs w:val="18"/>
                <w:vertAlign w:val="superscript"/>
                <w:lang w:val="es-ES_tradnl"/>
              </w:rPr>
              <w:t>(2)</w:t>
            </w:r>
          </w:p>
        </w:tc>
      </w:tr>
      <w:tr w:rsidR="007A63A8" w:rsidRPr="009A709D" w14:paraId="3D8A92F8" w14:textId="77777777" w:rsidTr="00CC6F16">
        <w:trPr>
          <w:jc w:val="center"/>
        </w:trPr>
        <w:tc>
          <w:tcPr>
            <w:tcW w:w="481" w:type="pct"/>
            <w:vMerge w:val="restart"/>
            <w:vAlign w:val="center"/>
          </w:tcPr>
          <w:p w14:paraId="2284BBCC" w14:textId="77777777" w:rsidR="007A63A8" w:rsidRPr="009A709D" w:rsidRDefault="007A63A8" w:rsidP="00CC6F16">
            <w:pPr>
              <w:pStyle w:val="Tabletext"/>
              <w:keepNext/>
              <w:keepLines/>
              <w:jc w:val="center"/>
              <w:rPr>
                <w:sz w:val="20"/>
                <w:lang w:val="es-ES_tradnl"/>
              </w:rPr>
            </w:pPr>
            <w:r w:rsidRPr="009A709D">
              <w:rPr>
                <w:sz w:val="20"/>
                <w:lang w:val="es-ES_tradnl"/>
              </w:rPr>
              <w:t>Punto de acceso</w:t>
            </w:r>
          </w:p>
        </w:tc>
        <w:tc>
          <w:tcPr>
            <w:tcW w:w="479" w:type="pct"/>
            <w:vAlign w:val="center"/>
          </w:tcPr>
          <w:p w14:paraId="59254C30" w14:textId="77777777" w:rsidR="007A63A8" w:rsidRPr="009A709D" w:rsidRDefault="007A63A8" w:rsidP="00CC6F16">
            <w:pPr>
              <w:pStyle w:val="Tabletext"/>
              <w:keepNext/>
              <w:keepLines/>
              <w:jc w:val="center"/>
              <w:rPr>
                <w:sz w:val="20"/>
                <w:lang w:val="es-ES_tradnl"/>
              </w:rPr>
            </w:pPr>
            <w:r w:rsidRPr="009A709D">
              <w:rPr>
                <w:sz w:val="20"/>
                <w:lang w:val="es-ES_tradnl"/>
              </w:rPr>
              <w:t>0</w:t>
            </w:r>
          </w:p>
        </w:tc>
        <w:tc>
          <w:tcPr>
            <w:tcW w:w="823" w:type="pct"/>
            <w:vMerge w:val="restart"/>
            <w:vAlign w:val="center"/>
          </w:tcPr>
          <w:p w14:paraId="06E8A76E" w14:textId="61AEDD84" w:rsidR="007A63A8" w:rsidRPr="009A709D" w:rsidRDefault="001C02DC" w:rsidP="00CC6F16">
            <w:pPr>
              <w:pStyle w:val="Tabletext"/>
              <w:keepNext/>
              <w:keepLines/>
              <w:jc w:val="center"/>
              <w:rPr>
                <w:sz w:val="20"/>
                <w:lang w:val="es-ES_tradnl"/>
              </w:rPr>
            </w:pPr>
            <w:r w:rsidRPr="009A709D">
              <w:rPr>
                <w:sz w:val="20"/>
                <w:lang w:val="es-ES_tradnl"/>
              </w:rPr>
              <w:t>–</w:t>
            </w:r>
            <w:r w:rsidR="007A63A8" w:rsidRPr="009A709D">
              <w:rPr>
                <w:sz w:val="20"/>
                <w:lang w:val="es-ES_tradnl"/>
              </w:rPr>
              <w:t>18</w:t>
            </w:r>
          </w:p>
        </w:tc>
        <w:tc>
          <w:tcPr>
            <w:tcW w:w="299" w:type="pct"/>
            <w:vMerge w:val="restart"/>
            <w:vAlign w:val="center"/>
          </w:tcPr>
          <w:p w14:paraId="266BE035" w14:textId="77777777" w:rsidR="007A63A8" w:rsidRPr="009A709D" w:rsidRDefault="007A63A8" w:rsidP="00CC6F16">
            <w:pPr>
              <w:pStyle w:val="Tabletext"/>
              <w:keepNext/>
              <w:keepLines/>
              <w:jc w:val="center"/>
              <w:rPr>
                <w:sz w:val="20"/>
                <w:lang w:val="es-ES_tradnl"/>
              </w:rPr>
            </w:pPr>
            <w:r w:rsidRPr="009A709D">
              <w:rPr>
                <w:sz w:val="20"/>
                <w:lang w:val="es-ES_tradnl"/>
              </w:rPr>
              <w:t>38</w:t>
            </w:r>
          </w:p>
        </w:tc>
        <w:tc>
          <w:tcPr>
            <w:tcW w:w="760" w:type="pct"/>
            <w:vMerge w:val="restart"/>
            <w:vAlign w:val="center"/>
          </w:tcPr>
          <w:p w14:paraId="13852267" w14:textId="71D51702" w:rsidR="007A63A8" w:rsidRPr="009A709D" w:rsidRDefault="001C02DC" w:rsidP="00CC6F16">
            <w:pPr>
              <w:pStyle w:val="Tabletext"/>
              <w:keepNext/>
              <w:keepLines/>
              <w:jc w:val="center"/>
              <w:rPr>
                <w:sz w:val="20"/>
                <w:lang w:val="es-ES_tradnl"/>
              </w:rPr>
            </w:pPr>
            <w:r w:rsidRPr="009A709D">
              <w:rPr>
                <w:sz w:val="20"/>
                <w:lang w:val="es-ES_tradnl"/>
              </w:rPr>
              <w:t>–</w:t>
            </w:r>
            <w:r w:rsidR="007A63A8" w:rsidRPr="009A709D">
              <w:rPr>
                <w:sz w:val="20"/>
                <w:lang w:val="es-ES_tradnl"/>
              </w:rPr>
              <w:t>116</w:t>
            </w:r>
          </w:p>
        </w:tc>
        <w:tc>
          <w:tcPr>
            <w:tcW w:w="546" w:type="pct"/>
            <w:vMerge w:val="restart"/>
            <w:vAlign w:val="center"/>
          </w:tcPr>
          <w:p w14:paraId="75859864" w14:textId="77777777" w:rsidR="007A63A8" w:rsidRPr="009A709D" w:rsidRDefault="007A63A8" w:rsidP="00CC6F16">
            <w:pPr>
              <w:pStyle w:val="Tabletext"/>
              <w:keepNext/>
              <w:keepLines/>
              <w:jc w:val="center"/>
              <w:rPr>
                <w:sz w:val="20"/>
                <w:lang w:val="es-ES_tradnl"/>
              </w:rPr>
            </w:pPr>
            <w:r w:rsidRPr="009A709D">
              <w:rPr>
                <w:sz w:val="20"/>
                <w:lang w:val="es-ES_tradnl"/>
              </w:rPr>
              <w:t>6</w:t>
            </w:r>
          </w:p>
        </w:tc>
        <w:tc>
          <w:tcPr>
            <w:tcW w:w="341" w:type="pct"/>
            <w:vMerge w:val="restart"/>
            <w:vAlign w:val="center"/>
          </w:tcPr>
          <w:p w14:paraId="21341F67" w14:textId="77777777" w:rsidR="007A63A8" w:rsidRPr="009A709D" w:rsidRDefault="007A63A8" w:rsidP="00CC6F16">
            <w:pPr>
              <w:pStyle w:val="Tabletext"/>
              <w:keepNext/>
              <w:keepLines/>
              <w:jc w:val="center"/>
              <w:rPr>
                <w:sz w:val="20"/>
                <w:lang w:val="es-ES_tradnl"/>
              </w:rPr>
            </w:pPr>
            <w:r w:rsidRPr="009A709D">
              <w:rPr>
                <w:sz w:val="20"/>
                <w:lang w:val="es-ES_tradnl"/>
              </w:rPr>
              <w:t>142</w:t>
            </w:r>
          </w:p>
        </w:tc>
        <w:tc>
          <w:tcPr>
            <w:tcW w:w="615" w:type="pct"/>
            <w:vMerge w:val="restart"/>
            <w:vAlign w:val="center"/>
          </w:tcPr>
          <w:p w14:paraId="67A57B9F" w14:textId="77777777" w:rsidR="007A63A8" w:rsidRPr="009A709D" w:rsidRDefault="007A63A8" w:rsidP="00CC6F16">
            <w:pPr>
              <w:pStyle w:val="Tabletext"/>
              <w:keepNext/>
              <w:keepLines/>
              <w:jc w:val="center"/>
              <w:rPr>
                <w:sz w:val="20"/>
                <w:lang w:val="es-ES_tradnl"/>
              </w:rPr>
            </w:pPr>
            <w:r w:rsidRPr="009A709D">
              <w:rPr>
                <w:sz w:val="20"/>
                <w:lang w:val="es-ES_tradnl"/>
              </w:rPr>
              <w:t>11,6</w:t>
            </w:r>
          </w:p>
        </w:tc>
        <w:tc>
          <w:tcPr>
            <w:tcW w:w="656" w:type="pct"/>
            <w:vMerge w:val="restart"/>
            <w:vAlign w:val="center"/>
          </w:tcPr>
          <w:p w14:paraId="52846E5C" w14:textId="77777777" w:rsidR="007A63A8" w:rsidRPr="009A709D" w:rsidRDefault="007A63A8" w:rsidP="00CC6F16">
            <w:pPr>
              <w:pStyle w:val="Tabletext"/>
              <w:keepNext/>
              <w:keepLines/>
              <w:jc w:val="center"/>
              <w:rPr>
                <w:sz w:val="20"/>
                <w:lang w:val="es-ES_tradnl"/>
              </w:rPr>
            </w:pPr>
            <w:r w:rsidRPr="009A709D">
              <w:rPr>
                <w:sz w:val="20"/>
                <w:lang w:val="es-ES_tradnl"/>
              </w:rPr>
              <w:t>1,3</w:t>
            </w:r>
          </w:p>
        </w:tc>
      </w:tr>
      <w:tr w:rsidR="007A63A8" w:rsidRPr="009A709D" w14:paraId="31E58BF4" w14:textId="77777777" w:rsidTr="00CC6F16">
        <w:trPr>
          <w:jc w:val="center"/>
        </w:trPr>
        <w:tc>
          <w:tcPr>
            <w:tcW w:w="481" w:type="pct"/>
            <w:vMerge/>
            <w:vAlign w:val="center"/>
          </w:tcPr>
          <w:p w14:paraId="0834FBE1" w14:textId="77777777" w:rsidR="007A63A8" w:rsidRPr="009A709D" w:rsidRDefault="007A63A8" w:rsidP="00CC6F16">
            <w:pPr>
              <w:pStyle w:val="Tabletext"/>
              <w:keepNext/>
              <w:keepLines/>
              <w:rPr>
                <w:sz w:val="20"/>
                <w:lang w:val="es-ES_tradnl" w:eastAsia="fr-FR"/>
              </w:rPr>
            </w:pPr>
          </w:p>
        </w:tc>
        <w:tc>
          <w:tcPr>
            <w:tcW w:w="479" w:type="pct"/>
            <w:vAlign w:val="center"/>
          </w:tcPr>
          <w:p w14:paraId="73AF9AA9" w14:textId="77777777" w:rsidR="007A63A8" w:rsidRPr="009A709D" w:rsidRDefault="007A63A8" w:rsidP="00CC6F16">
            <w:pPr>
              <w:pStyle w:val="Tabletext"/>
              <w:keepNext/>
              <w:keepLines/>
              <w:jc w:val="center"/>
              <w:rPr>
                <w:sz w:val="20"/>
                <w:lang w:val="es-ES_tradnl"/>
              </w:rPr>
            </w:pPr>
            <w:r w:rsidRPr="009A709D">
              <w:rPr>
                <w:sz w:val="20"/>
                <w:lang w:val="es-ES_tradnl"/>
              </w:rPr>
              <w:t>10</w:t>
            </w:r>
          </w:p>
        </w:tc>
        <w:tc>
          <w:tcPr>
            <w:tcW w:w="823" w:type="pct"/>
            <w:vMerge/>
            <w:vAlign w:val="center"/>
          </w:tcPr>
          <w:p w14:paraId="32CD40E1" w14:textId="77777777" w:rsidR="007A63A8" w:rsidRPr="009A709D" w:rsidRDefault="007A63A8" w:rsidP="00CC6F16">
            <w:pPr>
              <w:pStyle w:val="Tabletext"/>
              <w:keepNext/>
              <w:keepLines/>
              <w:jc w:val="center"/>
              <w:rPr>
                <w:sz w:val="20"/>
                <w:lang w:val="es-ES_tradnl" w:eastAsia="fr-FR"/>
              </w:rPr>
            </w:pPr>
          </w:p>
        </w:tc>
        <w:tc>
          <w:tcPr>
            <w:tcW w:w="299" w:type="pct"/>
            <w:vMerge/>
            <w:vAlign w:val="center"/>
          </w:tcPr>
          <w:p w14:paraId="073EB868" w14:textId="77777777" w:rsidR="007A63A8" w:rsidRPr="009A709D" w:rsidRDefault="007A63A8" w:rsidP="00CC6F16">
            <w:pPr>
              <w:pStyle w:val="Tabletext"/>
              <w:keepNext/>
              <w:keepLines/>
              <w:jc w:val="center"/>
              <w:rPr>
                <w:sz w:val="20"/>
                <w:lang w:val="es-ES_tradnl" w:eastAsia="fr-FR"/>
              </w:rPr>
            </w:pPr>
          </w:p>
        </w:tc>
        <w:tc>
          <w:tcPr>
            <w:tcW w:w="760" w:type="pct"/>
            <w:vMerge/>
            <w:vAlign w:val="center"/>
          </w:tcPr>
          <w:p w14:paraId="0C3517E5" w14:textId="77777777" w:rsidR="007A63A8" w:rsidRPr="009A709D" w:rsidRDefault="007A63A8" w:rsidP="00CC6F16">
            <w:pPr>
              <w:pStyle w:val="Tabletext"/>
              <w:keepNext/>
              <w:keepLines/>
              <w:jc w:val="center"/>
              <w:rPr>
                <w:sz w:val="20"/>
                <w:lang w:val="es-ES_tradnl" w:eastAsia="fr-FR"/>
              </w:rPr>
            </w:pPr>
          </w:p>
        </w:tc>
        <w:tc>
          <w:tcPr>
            <w:tcW w:w="546" w:type="pct"/>
            <w:vMerge/>
            <w:vAlign w:val="center"/>
          </w:tcPr>
          <w:p w14:paraId="6BE262D0" w14:textId="77777777" w:rsidR="007A63A8" w:rsidRPr="009A709D" w:rsidRDefault="007A63A8" w:rsidP="00CC6F16">
            <w:pPr>
              <w:pStyle w:val="Tabletext"/>
              <w:keepNext/>
              <w:keepLines/>
              <w:jc w:val="center"/>
              <w:rPr>
                <w:sz w:val="20"/>
                <w:lang w:val="es-ES_tradnl" w:eastAsia="fr-FR"/>
              </w:rPr>
            </w:pPr>
          </w:p>
        </w:tc>
        <w:tc>
          <w:tcPr>
            <w:tcW w:w="341" w:type="pct"/>
            <w:vMerge/>
            <w:vAlign w:val="center"/>
          </w:tcPr>
          <w:p w14:paraId="66F5AF5C" w14:textId="77777777" w:rsidR="007A63A8" w:rsidRPr="009A709D" w:rsidRDefault="007A63A8" w:rsidP="00CC6F16">
            <w:pPr>
              <w:pStyle w:val="Tabletext"/>
              <w:keepNext/>
              <w:keepLines/>
              <w:jc w:val="center"/>
              <w:rPr>
                <w:sz w:val="20"/>
                <w:lang w:val="es-ES_tradnl" w:eastAsia="fr-FR"/>
              </w:rPr>
            </w:pPr>
          </w:p>
        </w:tc>
        <w:tc>
          <w:tcPr>
            <w:tcW w:w="615" w:type="pct"/>
            <w:vMerge/>
            <w:vAlign w:val="center"/>
          </w:tcPr>
          <w:p w14:paraId="7A55488A" w14:textId="77777777" w:rsidR="007A63A8" w:rsidRPr="009A709D" w:rsidRDefault="007A63A8" w:rsidP="00CC6F16">
            <w:pPr>
              <w:pStyle w:val="Tabletext"/>
              <w:keepNext/>
              <w:keepLines/>
              <w:jc w:val="center"/>
              <w:rPr>
                <w:sz w:val="20"/>
                <w:lang w:val="es-ES_tradnl" w:eastAsia="fr-FR"/>
              </w:rPr>
            </w:pPr>
          </w:p>
        </w:tc>
        <w:tc>
          <w:tcPr>
            <w:tcW w:w="656" w:type="pct"/>
            <w:vMerge/>
            <w:vAlign w:val="center"/>
          </w:tcPr>
          <w:p w14:paraId="34CCDA75" w14:textId="77777777" w:rsidR="007A63A8" w:rsidRPr="009A709D" w:rsidRDefault="007A63A8" w:rsidP="00CC6F16">
            <w:pPr>
              <w:pStyle w:val="Tabletext"/>
              <w:keepNext/>
              <w:keepLines/>
              <w:jc w:val="center"/>
              <w:rPr>
                <w:sz w:val="20"/>
                <w:lang w:val="es-ES_tradnl" w:eastAsia="fr-FR"/>
              </w:rPr>
            </w:pPr>
          </w:p>
        </w:tc>
      </w:tr>
      <w:tr w:rsidR="007A63A8" w:rsidRPr="009A709D" w14:paraId="1565BA3F" w14:textId="77777777" w:rsidTr="00CC6F16">
        <w:trPr>
          <w:jc w:val="center"/>
        </w:trPr>
        <w:tc>
          <w:tcPr>
            <w:tcW w:w="481" w:type="pct"/>
            <w:vMerge/>
            <w:vAlign w:val="center"/>
          </w:tcPr>
          <w:p w14:paraId="4E36D420" w14:textId="77777777" w:rsidR="007A63A8" w:rsidRPr="009A709D" w:rsidRDefault="007A63A8" w:rsidP="00CC6F16">
            <w:pPr>
              <w:pStyle w:val="Tabletext"/>
              <w:keepNext/>
              <w:keepLines/>
              <w:rPr>
                <w:sz w:val="20"/>
                <w:lang w:val="es-ES_tradnl" w:eastAsia="fr-FR"/>
              </w:rPr>
            </w:pPr>
          </w:p>
        </w:tc>
        <w:tc>
          <w:tcPr>
            <w:tcW w:w="479" w:type="pct"/>
            <w:vAlign w:val="center"/>
          </w:tcPr>
          <w:p w14:paraId="2874AA37" w14:textId="77777777" w:rsidR="007A63A8" w:rsidRPr="009A709D" w:rsidRDefault="007A63A8" w:rsidP="00CC6F16">
            <w:pPr>
              <w:pStyle w:val="Tabletext"/>
              <w:keepNext/>
              <w:keepLines/>
              <w:jc w:val="center"/>
              <w:rPr>
                <w:sz w:val="20"/>
                <w:lang w:val="es-ES_tradnl"/>
              </w:rPr>
            </w:pPr>
            <w:r w:rsidRPr="009A709D">
              <w:rPr>
                <w:sz w:val="20"/>
                <w:lang w:val="es-ES_tradnl"/>
              </w:rPr>
              <w:t>20</w:t>
            </w:r>
          </w:p>
        </w:tc>
        <w:tc>
          <w:tcPr>
            <w:tcW w:w="823" w:type="pct"/>
            <w:vMerge/>
            <w:vAlign w:val="center"/>
          </w:tcPr>
          <w:p w14:paraId="1EB2CA9D" w14:textId="77777777" w:rsidR="007A63A8" w:rsidRPr="009A709D" w:rsidRDefault="007A63A8" w:rsidP="00CC6F16">
            <w:pPr>
              <w:pStyle w:val="Tabletext"/>
              <w:keepNext/>
              <w:keepLines/>
              <w:jc w:val="center"/>
              <w:rPr>
                <w:sz w:val="20"/>
                <w:lang w:val="es-ES_tradnl" w:eastAsia="fr-FR"/>
              </w:rPr>
            </w:pPr>
          </w:p>
        </w:tc>
        <w:tc>
          <w:tcPr>
            <w:tcW w:w="299" w:type="pct"/>
            <w:vMerge/>
            <w:vAlign w:val="center"/>
          </w:tcPr>
          <w:p w14:paraId="4C139937" w14:textId="77777777" w:rsidR="007A63A8" w:rsidRPr="009A709D" w:rsidRDefault="007A63A8" w:rsidP="00CC6F16">
            <w:pPr>
              <w:pStyle w:val="Tabletext"/>
              <w:keepNext/>
              <w:keepLines/>
              <w:jc w:val="center"/>
              <w:rPr>
                <w:sz w:val="20"/>
                <w:lang w:val="es-ES_tradnl" w:eastAsia="fr-FR"/>
              </w:rPr>
            </w:pPr>
          </w:p>
        </w:tc>
        <w:tc>
          <w:tcPr>
            <w:tcW w:w="760" w:type="pct"/>
            <w:vMerge/>
            <w:vAlign w:val="center"/>
          </w:tcPr>
          <w:p w14:paraId="26E9A4F4" w14:textId="77777777" w:rsidR="007A63A8" w:rsidRPr="009A709D" w:rsidRDefault="007A63A8" w:rsidP="00CC6F16">
            <w:pPr>
              <w:pStyle w:val="Tabletext"/>
              <w:keepNext/>
              <w:keepLines/>
              <w:jc w:val="center"/>
              <w:rPr>
                <w:sz w:val="20"/>
                <w:lang w:val="es-ES_tradnl" w:eastAsia="fr-FR"/>
              </w:rPr>
            </w:pPr>
          </w:p>
        </w:tc>
        <w:tc>
          <w:tcPr>
            <w:tcW w:w="546" w:type="pct"/>
            <w:vMerge/>
            <w:vAlign w:val="center"/>
          </w:tcPr>
          <w:p w14:paraId="6C69F38A" w14:textId="77777777" w:rsidR="007A63A8" w:rsidRPr="009A709D" w:rsidRDefault="007A63A8" w:rsidP="00CC6F16">
            <w:pPr>
              <w:pStyle w:val="Tabletext"/>
              <w:keepNext/>
              <w:keepLines/>
              <w:jc w:val="center"/>
              <w:rPr>
                <w:sz w:val="20"/>
                <w:lang w:val="es-ES_tradnl" w:eastAsia="fr-FR"/>
              </w:rPr>
            </w:pPr>
          </w:p>
        </w:tc>
        <w:tc>
          <w:tcPr>
            <w:tcW w:w="341" w:type="pct"/>
            <w:vMerge/>
            <w:vAlign w:val="center"/>
          </w:tcPr>
          <w:p w14:paraId="37B0D93D" w14:textId="77777777" w:rsidR="007A63A8" w:rsidRPr="009A709D" w:rsidRDefault="007A63A8" w:rsidP="00CC6F16">
            <w:pPr>
              <w:pStyle w:val="Tabletext"/>
              <w:keepNext/>
              <w:keepLines/>
              <w:jc w:val="center"/>
              <w:rPr>
                <w:sz w:val="20"/>
                <w:lang w:val="es-ES_tradnl" w:eastAsia="fr-FR"/>
              </w:rPr>
            </w:pPr>
          </w:p>
        </w:tc>
        <w:tc>
          <w:tcPr>
            <w:tcW w:w="615" w:type="pct"/>
            <w:vMerge/>
            <w:vAlign w:val="center"/>
          </w:tcPr>
          <w:p w14:paraId="168AC66A" w14:textId="77777777" w:rsidR="007A63A8" w:rsidRPr="009A709D" w:rsidRDefault="007A63A8" w:rsidP="00CC6F16">
            <w:pPr>
              <w:pStyle w:val="Tabletext"/>
              <w:keepNext/>
              <w:keepLines/>
              <w:jc w:val="center"/>
              <w:rPr>
                <w:sz w:val="20"/>
                <w:lang w:val="es-ES_tradnl" w:eastAsia="fr-FR"/>
              </w:rPr>
            </w:pPr>
          </w:p>
        </w:tc>
        <w:tc>
          <w:tcPr>
            <w:tcW w:w="656" w:type="pct"/>
            <w:vMerge/>
            <w:vAlign w:val="center"/>
          </w:tcPr>
          <w:p w14:paraId="64EA8E66" w14:textId="77777777" w:rsidR="007A63A8" w:rsidRPr="009A709D" w:rsidRDefault="007A63A8" w:rsidP="00CC6F16">
            <w:pPr>
              <w:pStyle w:val="Tabletext"/>
              <w:keepNext/>
              <w:keepLines/>
              <w:jc w:val="center"/>
              <w:rPr>
                <w:sz w:val="20"/>
                <w:lang w:val="es-ES_tradnl" w:eastAsia="fr-FR"/>
              </w:rPr>
            </w:pPr>
          </w:p>
        </w:tc>
      </w:tr>
      <w:tr w:rsidR="007A63A8" w:rsidRPr="009A709D" w14:paraId="39872E8A" w14:textId="77777777" w:rsidTr="00CC6F16">
        <w:trPr>
          <w:jc w:val="center"/>
        </w:trPr>
        <w:tc>
          <w:tcPr>
            <w:tcW w:w="481" w:type="pct"/>
            <w:vMerge/>
            <w:vAlign w:val="center"/>
          </w:tcPr>
          <w:p w14:paraId="7AA6B888" w14:textId="77777777" w:rsidR="007A63A8" w:rsidRPr="009A709D" w:rsidRDefault="007A63A8" w:rsidP="00CC6F16">
            <w:pPr>
              <w:pStyle w:val="Tabletext"/>
              <w:keepNext/>
              <w:keepLines/>
              <w:rPr>
                <w:sz w:val="20"/>
                <w:lang w:val="es-ES_tradnl" w:eastAsia="fr-FR"/>
              </w:rPr>
            </w:pPr>
          </w:p>
        </w:tc>
        <w:tc>
          <w:tcPr>
            <w:tcW w:w="479" w:type="pct"/>
            <w:vAlign w:val="center"/>
          </w:tcPr>
          <w:p w14:paraId="69023BB4" w14:textId="77777777" w:rsidR="007A63A8" w:rsidRPr="009A709D" w:rsidRDefault="007A63A8" w:rsidP="00CC6F16">
            <w:pPr>
              <w:pStyle w:val="Tabletext"/>
              <w:keepNext/>
              <w:keepLines/>
              <w:jc w:val="center"/>
              <w:rPr>
                <w:sz w:val="20"/>
                <w:lang w:val="es-ES_tradnl"/>
              </w:rPr>
            </w:pPr>
            <w:r w:rsidRPr="009A709D">
              <w:rPr>
                <w:sz w:val="20"/>
                <w:lang w:val="es-ES_tradnl"/>
              </w:rPr>
              <w:t>30</w:t>
            </w:r>
          </w:p>
        </w:tc>
        <w:tc>
          <w:tcPr>
            <w:tcW w:w="823" w:type="pct"/>
            <w:vMerge/>
            <w:vAlign w:val="center"/>
          </w:tcPr>
          <w:p w14:paraId="15B963CD" w14:textId="77777777" w:rsidR="007A63A8" w:rsidRPr="009A709D" w:rsidRDefault="007A63A8" w:rsidP="00CC6F16">
            <w:pPr>
              <w:pStyle w:val="Tabletext"/>
              <w:keepNext/>
              <w:keepLines/>
              <w:jc w:val="center"/>
              <w:rPr>
                <w:sz w:val="20"/>
                <w:lang w:val="es-ES_tradnl" w:eastAsia="fr-FR"/>
              </w:rPr>
            </w:pPr>
          </w:p>
        </w:tc>
        <w:tc>
          <w:tcPr>
            <w:tcW w:w="299" w:type="pct"/>
            <w:vMerge/>
            <w:vAlign w:val="center"/>
          </w:tcPr>
          <w:p w14:paraId="0436692C" w14:textId="77777777" w:rsidR="007A63A8" w:rsidRPr="009A709D" w:rsidRDefault="007A63A8" w:rsidP="00CC6F16">
            <w:pPr>
              <w:pStyle w:val="Tabletext"/>
              <w:keepNext/>
              <w:keepLines/>
              <w:jc w:val="center"/>
              <w:rPr>
                <w:sz w:val="20"/>
                <w:lang w:val="es-ES_tradnl" w:eastAsia="fr-FR"/>
              </w:rPr>
            </w:pPr>
          </w:p>
        </w:tc>
        <w:tc>
          <w:tcPr>
            <w:tcW w:w="760" w:type="pct"/>
            <w:vMerge/>
            <w:vAlign w:val="center"/>
          </w:tcPr>
          <w:p w14:paraId="366D6B37" w14:textId="77777777" w:rsidR="007A63A8" w:rsidRPr="009A709D" w:rsidRDefault="007A63A8" w:rsidP="00CC6F16">
            <w:pPr>
              <w:pStyle w:val="Tabletext"/>
              <w:keepNext/>
              <w:keepLines/>
              <w:jc w:val="center"/>
              <w:rPr>
                <w:sz w:val="20"/>
                <w:lang w:val="es-ES_tradnl" w:eastAsia="fr-FR"/>
              </w:rPr>
            </w:pPr>
          </w:p>
        </w:tc>
        <w:tc>
          <w:tcPr>
            <w:tcW w:w="546" w:type="pct"/>
            <w:vMerge/>
            <w:vAlign w:val="center"/>
          </w:tcPr>
          <w:p w14:paraId="1EB6F998" w14:textId="77777777" w:rsidR="007A63A8" w:rsidRPr="009A709D" w:rsidRDefault="007A63A8" w:rsidP="00CC6F16">
            <w:pPr>
              <w:pStyle w:val="Tabletext"/>
              <w:keepNext/>
              <w:keepLines/>
              <w:jc w:val="center"/>
              <w:rPr>
                <w:sz w:val="20"/>
                <w:lang w:val="es-ES_tradnl" w:eastAsia="fr-FR"/>
              </w:rPr>
            </w:pPr>
          </w:p>
        </w:tc>
        <w:tc>
          <w:tcPr>
            <w:tcW w:w="341" w:type="pct"/>
            <w:vMerge/>
            <w:vAlign w:val="center"/>
          </w:tcPr>
          <w:p w14:paraId="6C92032C" w14:textId="77777777" w:rsidR="007A63A8" w:rsidRPr="009A709D" w:rsidRDefault="007A63A8" w:rsidP="00CC6F16">
            <w:pPr>
              <w:pStyle w:val="Tabletext"/>
              <w:keepNext/>
              <w:keepLines/>
              <w:jc w:val="center"/>
              <w:rPr>
                <w:sz w:val="20"/>
                <w:lang w:val="es-ES_tradnl" w:eastAsia="fr-FR"/>
              </w:rPr>
            </w:pPr>
          </w:p>
        </w:tc>
        <w:tc>
          <w:tcPr>
            <w:tcW w:w="615" w:type="pct"/>
            <w:vMerge/>
            <w:vAlign w:val="center"/>
          </w:tcPr>
          <w:p w14:paraId="3890AFB6" w14:textId="77777777" w:rsidR="007A63A8" w:rsidRPr="009A709D" w:rsidRDefault="007A63A8" w:rsidP="00CC6F16">
            <w:pPr>
              <w:pStyle w:val="Tabletext"/>
              <w:keepNext/>
              <w:keepLines/>
              <w:jc w:val="center"/>
              <w:rPr>
                <w:sz w:val="20"/>
                <w:lang w:val="es-ES_tradnl" w:eastAsia="fr-FR"/>
              </w:rPr>
            </w:pPr>
          </w:p>
        </w:tc>
        <w:tc>
          <w:tcPr>
            <w:tcW w:w="656" w:type="pct"/>
            <w:vMerge/>
            <w:vAlign w:val="center"/>
          </w:tcPr>
          <w:p w14:paraId="21B1B55B" w14:textId="77777777" w:rsidR="007A63A8" w:rsidRPr="009A709D" w:rsidRDefault="007A63A8" w:rsidP="00CC6F16">
            <w:pPr>
              <w:pStyle w:val="Tabletext"/>
              <w:keepNext/>
              <w:keepLines/>
              <w:jc w:val="center"/>
              <w:rPr>
                <w:sz w:val="20"/>
                <w:lang w:val="es-ES_tradnl" w:eastAsia="fr-FR"/>
              </w:rPr>
            </w:pPr>
          </w:p>
        </w:tc>
      </w:tr>
      <w:tr w:rsidR="007A63A8" w:rsidRPr="009A709D" w14:paraId="253BE17D" w14:textId="77777777" w:rsidTr="00CC6F16">
        <w:trPr>
          <w:jc w:val="center"/>
        </w:trPr>
        <w:tc>
          <w:tcPr>
            <w:tcW w:w="481" w:type="pct"/>
            <w:vMerge/>
            <w:vAlign w:val="center"/>
          </w:tcPr>
          <w:p w14:paraId="12112CBE" w14:textId="77777777" w:rsidR="007A63A8" w:rsidRPr="009A709D" w:rsidRDefault="007A63A8" w:rsidP="00CC6F16">
            <w:pPr>
              <w:pStyle w:val="Tabletext"/>
              <w:keepNext/>
              <w:keepLines/>
              <w:rPr>
                <w:sz w:val="20"/>
                <w:lang w:val="es-ES_tradnl" w:eastAsia="fr-FR"/>
              </w:rPr>
            </w:pPr>
          </w:p>
        </w:tc>
        <w:tc>
          <w:tcPr>
            <w:tcW w:w="479" w:type="pct"/>
            <w:vAlign w:val="center"/>
            <w:hideMark/>
          </w:tcPr>
          <w:p w14:paraId="37EE28E0" w14:textId="77777777" w:rsidR="007A63A8" w:rsidRPr="009A709D" w:rsidRDefault="007A63A8" w:rsidP="00CC6F16">
            <w:pPr>
              <w:pStyle w:val="Tabletext"/>
              <w:keepNext/>
              <w:keepLines/>
              <w:jc w:val="center"/>
              <w:rPr>
                <w:sz w:val="20"/>
                <w:lang w:val="es-ES_tradnl"/>
              </w:rPr>
            </w:pPr>
            <w:r w:rsidRPr="009A709D">
              <w:rPr>
                <w:sz w:val="20"/>
                <w:lang w:val="es-ES_tradnl"/>
              </w:rPr>
              <w:t>40</w:t>
            </w:r>
          </w:p>
        </w:tc>
        <w:tc>
          <w:tcPr>
            <w:tcW w:w="823" w:type="pct"/>
            <w:vAlign w:val="center"/>
          </w:tcPr>
          <w:p w14:paraId="46A2E786" w14:textId="2385C353" w:rsidR="007A63A8" w:rsidRPr="009A709D" w:rsidRDefault="001C02DC" w:rsidP="00CC6F16">
            <w:pPr>
              <w:pStyle w:val="Tabletext"/>
              <w:keepNext/>
              <w:keepLines/>
              <w:jc w:val="center"/>
              <w:rPr>
                <w:sz w:val="20"/>
                <w:lang w:val="es-ES_tradnl"/>
              </w:rPr>
            </w:pPr>
            <w:r w:rsidRPr="009A709D">
              <w:rPr>
                <w:sz w:val="20"/>
                <w:lang w:val="es-ES_tradnl"/>
              </w:rPr>
              <w:t>–</w:t>
            </w:r>
            <w:r w:rsidR="007A63A8" w:rsidRPr="009A709D">
              <w:rPr>
                <w:sz w:val="20"/>
                <w:lang w:val="es-ES_tradnl"/>
              </w:rPr>
              <w:t>18</w:t>
            </w:r>
          </w:p>
        </w:tc>
        <w:tc>
          <w:tcPr>
            <w:tcW w:w="299" w:type="pct"/>
            <w:vAlign w:val="center"/>
          </w:tcPr>
          <w:p w14:paraId="7298EAD3" w14:textId="77777777" w:rsidR="007A63A8" w:rsidRPr="009A709D" w:rsidRDefault="007A63A8" w:rsidP="00CC6F16">
            <w:pPr>
              <w:pStyle w:val="Tabletext"/>
              <w:keepNext/>
              <w:keepLines/>
              <w:jc w:val="center"/>
              <w:rPr>
                <w:sz w:val="20"/>
                <w:lang w:val="es-ES_tradnl"/>
              </w:rPr>
            </w:pPr>
            <w:r w:rsidRPr="009A709D">
              <w:rPr>
                <w:sz w:val="20"/>
                <w:lang w:val="es-ES_tradnl"/>
              </w:rPr>
              <w:t>36</w:t>
            </w:r>
          </w:p>
        </w:tc>
        <w:tc>
          <w:tcPr>
            <w:tcW w:w="760" w:type="pct"/>
            <w:vAlign w:val="center"/>
          </w:tcPr>
          <w:p w14:paraId="6F75971D" w14:textId="43F04346" w:rsidR="007A63A8" w:rsidRPr="009A709D" w:rsidRDefault="001C02DC" w:rsidP="00CC6F16">
            <w:pPr>
              <w:pStyle w:val="Tabletext"/>
              <w:keepNext/>
              <w:keepLines/>
              <w:jc w:val="center"/>
              <w:rPr>
                <w:sz w:val="20"/>
                <w:lang w:val="es-ES_tradnl"/>
              </w:rPr>
            </w:pPr>
            <w:r w:rsidRPr="009A709D">
              <w:rPr>
                <w:sz w:val="20"/>
                <w:lang w:val="es-ES_tradnl"/>
              </w:rPr>
              <w:t>–</w:t>
            </w:r>
            <w:r w:rsidR="007A63A8" w:rsidRPr="009A709D">
              <w:rPr>
                <w:sz w:val="20"/>
                <w:lang w:val="es-ES_tradnl"/>
              </w:rPr>
              <w:t>116</w:t>
            </w:r>
          </w:p>
        </w:tc>
        <w:tc>
          <w:tcPr>
            <w:tcW w:w="546" w:type="pct"/>
            <w:vAlign w:val="center"/>
          </w:tcPr>
          <w:p w14:paraId="0D33141F" w14:textId="77777777" w:rsidR="007A63A8" w:rsidRPr="009A709D" w:rsidRDefault="007A63A8" w:rsidP="00CC6F16">
            <w:pPr>
              <w:pStyle w:val="Tabletext"/>
              <w:keepNext/>
              <w:keepLines/>
              <w:jc w:val="center"/>
              <w:rPr>
                <w:sz w:val="20"/>
                <w:lang w:val="es-ES_tradnl"/>
              </w:rPr>
            </w:pPr>
            <w:r w:rsidRPr="009A709D">
              <w:rPr>
                <w:sz w:val="20"/>
                <w:lang w:val="es-ES_tradnl"/>
              </w:rPr>
              <w:t>6</w:t>
            </w:r>
          </w:p>
        </w:tc>
        <w:tc>
          <w:tcPr>
            <w:tcW w:w="341" w:type="pct"/>
            <w:vAlign w:val="center"/>
          </w:tcPr>
          <w:p w14:paraId="7B97A1FB" w14:textId="77777777" w:rsidR="007A63A8" w:rsidRPr="009A709D" w:rsidRDefault="007A63A8" w:rsidP="00CC6F16">
            <w:pPr>
              <w:pStyle w:val="Tabletext"/>
              <w:keepNext/>
              <w:keepLines/>
              <w:jc w:val="center"/>
              <w:rPr>
                <w:sz w:val="20"/>
                <w:lang w:val="es-ES_tradnl"/>
              </w:rPr>
            </w:pPr>
            <w:r w:rsidRPr="009A709D">
              <w:rPr>
                <w:sz w:val="20"/>
                <w:lang w:val="es-ES_tradnl"/>
              </w:rPr>
              <w:t>140</w:t>
            </w:r>
          </w:p>
        </w:tc>
        <w:tc>
          <w:tcPr>
            <w:tcW w:w="615" w:type="pct"/>
            <w:vAlign w:val="center"/>
          </w:tcPr>
          <w:p w14:paraId="032E0749" w14:textId="77777777" w:rsidR="007A63A8" w:rsidRPr="009A709D" w:rsidRDefault="007A63A8" w:rsidP="00CC6F16">
            <w:pPr>
              <w:pStyle w:val="Tabletext"/>
              <w:keepNext/>
              <w:keepLines/>
              <w:jc w:val="center"/>
              <w:rPr>
                <w:sz w:val="20"/>
                <w:lang w:val="es-ES_tradnl"/>
              </w:rPr>
            </w:pPr>
            <w:r w:rsidRPr="009A709D">
              <w:rPr>
                <w:sz w:val="20"/>
                <w:lang w:val="es-ES_tradnl"/>
              </w:rPr>
              <w:t>9,2</w:t>
            </w:r>
          </w:p>
        </w:tc>
        <w:tc>
          <w:tcPr>
            <w:tcW w:w="656" w:type="pct"/>
            <w:vAlign w:val="center"/>
          </w:tcPr>
          <w:p w14:paraId="17DA1A9E" w14:textId="77777777" w:rsidR="007A63A8" w:rsidRPr="009A709D" w:rsidRDefault="007A63A8" w:rsidP="00CC6F16">
            <w:pPr>
              <w:pStyle w:val="Tabletext"/>
              <w:keepNext/>
              <w:keepLines/>
              <w:jc w:val="center"/>
              <w:rPr>
                <w:sz w:val="20"/>
                <w:lang w:val="es-ES_tradnl"/>
              </w:rPr>
            </w:pPr>
            <w:r w:rsidRPr="009A709D">
              <w:rPr>
                <w:sz w:val="20"/>
                <w:lang w:val="es-ES_tradnl"/>
              </w:rPr>
              <w:t>1,03</w:t>
            </w:r>
          </w:p>
        </w:tc>
      </w:tr>
      <w:tr w:rsidR="007A63A8" w:rsidRPr="009A709D" w14:paraId="1336CB0B" w14:textId="77777777" w:rsidTr="00CC6F16">
        <w:trPr>
          <w:jc w:val="center"/>
        </w:trPr>
        <w:tc>
          <w:tcPr>
            <w:tcW w:w="481" w:type="pct"/>
            <w:vMerge/>
            <w:vAlign w:val="center"/>
          </w:tcPr>
          <w:p w14:paraId="05464AD6" w14:textId="77777777" w:rsidR="007A63A8" w:rsidRPr="009A709D" w:rsidRDefault="007A63A8" w:rsidP="00CC6F16">
            <w:pPr>
              <w:pStyle w:val="Tabletext"/>
              <w:keepNext/>
              <w:keepLines/>
              <w:rPr>
                <w:sz w:val="20"/>
                <w:lang w:val="es-ES_tradnl" w:eastAsia="fr-FR"/>
              </w:rPr>
            </w:pPr>
          </w:p>
        </w:tc>
        <w:tc>
          <w:tcPr>
            <w:tcW w:w="479" w:type="pct"/>
            <w:vAlign w:val="center"/>
            <w:hideMark/>
          </w:tcPr>
          <w:p w14:paraId="74B19FB9" w14:textId="77777777" w:rsidR="007A63A8" w:rsidRPr="009A709D" w:rsidRDefault="007A63A8" w:rsidP="00CC6F16">
            <w:pPr>
              <w:pStyle w:val="Tabletext"/>
              <w:keepNext/>
              <w:keepLines/>
              <w:jc w:val="center"/>
              <w:rPr>
                <w:sz w:val="20"/>
                <w:lang w:val="es-ES_tradnl"/>
              </w:rPr>
            </w:pPr>
            <w:r w:rsidRPr="009A709D">
              <w:rPr>
                <w:sz w:val="20"/>
                <w:lang w:val="es-ES_tradnl"/>
              </w:rPr>
              <w:t>50</w:t>
            </w:r>
          </w:p>
        </w:tc>
        <w:tc>
          <w:tcPr>
            <w:tcW w:w="823" w:type="pct"/>
            <w:vAlign w:val="center"/>
          </w:tcPr>
          <w:p w14:paraId="5D496DF2" w14:textId="530AE66A" w:rsidR="007A63A8" w:rsidRPr="009A709D" w:rsidRDefault="001C02DC" w:rsidP="00CC6F16">
            <w:pPr>
              <w:pStyle w:val="Tabletext"/>
              <w:keepNext/>
              <w:keepLines/>
              <w:jc w:val="center"/>
              <w:rPr>
                <w:sz w:val="20"/>
                <w:lang w:val="es-ES_tradnl"/>
              </w:rPr>
            </w:pPr>
            <w:r w:rsidRPr="009A709D">
              <w:rPr>
                <w:sz w:val="20"/>
                <w:lang w:val="es-ES_tradnl"/>
              </w:rPr>
              <w:t>–</w:t>
            </w:r>
            <w:r w:rsidR="007A63A8" w:rsidRPr="009A709D">
              <w:rPr>
                <w:sz w:val="20"/>
                <w:lang w:val="es-ES_tradnl"/>
              </w:rPr>
              <w:t>18</w:t>
            </w:r>
          </w:p>
        </w:tc>
        <w:tc>
          <w:tcPr>
            <w:tcW w:w="299" w:type="pct"/>
            <w:vAlign w:val="center"/>
          </w:tcPr>
          <w:p w14:paraId="650BD2ED" w14:textId="77777777" w:rsidR="007A63A8" w:rsidRPr="009A709D" w:rsidRDefault="007A63A8" w:rsidP="00CC6F16">
            <w:pPr>
              <w:pStyle w:val="Tabletext"/>
              <w:keepNext/>
              <w:keepLines/>
              <w:jc w:val="center"/>
              <w:rPr>
                <w:sz w:val="20"/>
                <w:lang w:val="es-ES_tradnl"/>
              </w:rPr>
            </w:pPr>
            <w:r w:rsidRPr="009A709D">
              <w:rPr>
                <w:sz w:val="20"/>
                <w:lang w:val="es-ES_tradnl"/>
              </w:rPr>
              <w:t>35</w:t>
            </w:r>
          </w:p>
        </w:tc>
        <w:tc>
          <w:tcPr>
            <w:tcW w:w="760" w:type="pct"/>
            <w:vAlign w:val="center"/>
          </w:tcPr>
          <w:p w14:paraId="11A7AB29" w14:textId="1FB6FD51" w:rsidR="007A63A8" w:rsidRPr="009A709D" w:rsidRDefault="001C02DC" w:rsidP="00CC6F16">
            <w:pPr>
              <w:pStyle w:val="Tabletext"/>
              <w:keepNext/>
              <w:keepLines/>
              <w:jc w:val="center"/>
              <w:rPr>
                <w:sz w:val="20"/>
                <w:lang w:val="es-ES_tradnl"/>
              </w:rPr>
            </w:pPr>
            <w:r w:rsidRPr="009A709D">
              <w:rPr>
                <w:sz w:val="20"/>
                <w:lang w:val="es-ES_tradnl"/>
              </w:rPr>
              <w:t>–</w:t>
            </w:r>
            <w:r w:rsidR="007A63A8" w:rsidRPr="009A709D">
              <w:rPr>
                <w:sz w:val="20"/>
                <w:lang w:val="es-ES_tradnl"/>
              </w:rPr>
              <w:t>116</w:t>
            </w:r>
          </w:p>
        </w:tc>
        <w:tc>
          <w:tcPr>
            <w:tcW w:w="546" w:type="pct"/>
            <w:vAlign w:val="center"/>
          </w:tcPr>
          <w:p w14:paraId="685E0E4C" w14:textId="77777777" w:rsidR="007A63A8" w:rsidRPr="009A709D" w:rsidRDefault="007A63A8" w:rsidP="00CC6F16">
            <w:pPr>
              <w:pStyle w:val="Tabletext"/>
              <w:keepNext/>
              <w:keepLines/>
              <w:jc w:val="center"/>
              <w:rPr>
                <w:sz w:val="20"/>
                <w:lang w:val="es-ES_tradnl"/>
              </w:rPr>
            </w:pPr>
            <w:r w:rsidRPr="009A709D">
              <w:rPr>
                <w:sz w:val="20"/>
                <w:lang w:val="es-ES_tradnl"/>
              </w:rPr>
              <w:t>6</w:t>
            </w:r>
          </w:p>
        </w:tc>
        <w:tc>
          <w:tcPr>
            <w:tcW w:w="341" w:type="pct"/>
            <w:vAlign w:val="center"/>
          </w:tcPr>
          <w:p w14:paraId="7B57619B" w14:textId="77777777" w:rsidR="007A63A8" w:rsidRPr="009A709D" w:rsidRDefault="007A63A8" w:rsidP="00CC6F16">
            <w:pPr>
              <w:pStyle w:val="Tabletext"/>
              <w:keepNext/>
              <w:keepLines/>
              <w:jc w:val="center"/>
              <w:rPr>
                <w:sz w:val="20"/>
                <w:lang w:val="es-ES_tradnl"/>
              </w:rPr>
            </w:pPr>
            <w:r w:rsidRPr="009A709D">
              <w:rPr>
                <w:sz w:val="20"/>
                <w:lang w:val="es-ES_tradnl"/>
              </w:rPr>
              <w:t>139</w:t>
            </w:r>
          </w:p>
        </w:tc>
        <w:tc>
          <w:tcPr>
            <w:tcW w:w="615" w:type="pct"/>
            <w:vAlign w:val="center"/>
          </w:tcPr>
          <w:p w14:paraId="62487C01" w14:textId="77777777" w:rsidR="007A63A8" w:rsidRPr="009A709D" w:rsidRDefault="007A63A8" w:rsidP="00CC6F16">
            <w:pPr>
              <w:pStyle w:val="Tabletext"/>
              <w:keepNext/>
              <w:keepLines/>
              <w:jc w:val="center"/>
              <w:rPr>
                <w:sz w:val="20"/>
                <w:lang w:val="es-ES_tradnl"/>
              </w:rPr>
            </w:pPr>
            <w:r w:rsidRPr="009A709D">
              <w:rPr>
                <w:sz w:val="20"/>
                <w:lang w:val="es-ES_tradnl"/>
              </w:rPr>
              <w:t>8,3</w:t>
            </w:r>
          </w:p>
        </w:tc>
        <w:tc>
          <w:tcPr>
            <w:tcW w:w="656" w:type="pct"/>
            <w:vAlign w:val="center"/>
          </w:tcPr>
          <w:p w14:paraId="11CA2695" w14:textId="77777777" w:rsidR="007A63A8" w:rsidRPr="009A709D" w:rsidRDefault="007A63A8" w:rsidP="00CC6F16">
            <w:pPr>
              <w:pStyle w:val="Tabletext"/>
              <w:keepNext/>
              <w:keepLines/>
              <w:jc w:val="center"/>
              <w:rPr>
                <w:sz w:val="20"/>
                <w:lang w:val="es-ES_tradnl"/>
              </w:rPr>
            </w:pPr>
            <w:r w:rsidRPr="009A709D">
              <w:rPr>
                <w:sz w:val="20"/>
                <w:lang w:val="es-ES_tradnl"/>
              </w:rPr>
              <w:t>0,92</w:t>
            </w:r>
          </w:p>
        </w:tc>
      </w:tr>
      <w:tr w:rsidR="007A63A8" w:rsidRPr="009A709D" w14:paraId="54A3028B" w14:textId="77777777" w:rsidTr="00CC6F16">
        <w:trPr>
          <w:jc w:val="center"/>
        </w:trPr>
        <w:tc>
          <w:tcPr>
            <w:tcW w:w="481" w:type="pct"/>
            <w:vMerge/>
            <w:vAlign w:val="center"/>
          </w:tcPr>
          <w:p w14:paraId="38181F37" w14:textId="77777777" w:rsidR="007A63A8" w:rsidRPr="009A709D" w:rsidRDefault="007A63A8" w:rsidP="00CC6F16">
            <w:pPr>
              <w:pStyle w:val="Tabletext"/>
              <w:keepNext/>
              <w:keepLines/>
              <w:rPr>
                <w:sz w:val="20"/>
                <w:lang w:val="es-ES_tradnl" w:eastAsia="fr-FR"/>
              </w:rPr>
            </w:pPr>
          </w:p>
        </w:tc>
        <w:tc>
          <w:tcPr>
            <w:tcW w:w="479" w:type="pct"/>
            <w:vAlign w:val="center"/>
            <w:hideMark/>
          </w:tcPr>
          <w:p w14:paraId="10725FFE" w14:textId="77777777" w:rsidR="007A63A8" w:rsidRPr="009A709D" w:rsidRDefault="007A63A8" w:rsidP="00CC6F16">
            <w:pPr>
              <w:pStyle w:val="Tabletext"/>
              <w:keepNext/>
              <w:keepLines/>
              <w:jc w:val="center"/>
              <w:rPr>
                <w:sz w:val="20"/>
                <w:lang w:val="es-ES_tradnl"/>
              </w:rPr>
            </w:pPr>
            <w:r w:rsidRPr="009A709D">
              <w:rPr>
                <w:sz w:val="20"/>
                <w:lang w:val="es-ES_tradnl"/>
              </w:rPr>
              <w:t>60</w:t>
            </w:r>
          </w:p>
        </w:tc>
        <w:tc>
          <w:tcPr>
            <w:tcW w:w="823" w:type="pct"/>
            <w:vAlign w:val="center"/>
          </w:tcPr>
          <w:p w14:paraId="0ED9530A" w14:textId="136CF762" w:rsidR="007A63A8" w:rsidRPr="009A709D" w:rsidRDefault="001C02DC" w:rsidP="00CC6F16">
            <w:pPr>
              <w:pStyle w:val="Tabletext"/>
              <w:keepNext/>
              <w:keepLines/>
              <w:jc w:val="center"/>
              <w:rPr>
                <w:sz w:val="20"/>
                <w:lang w:val="es-ES_tradnl"/>
              </w:rPr>
            </w:pPr>
            <w:r w:rsidRPr="009A709D">
              <w:rPr>
                <w:sz w:val="20"/>
                <w:lang w:val="es-ES_tradnl"/>
              </w:rPr>
              <w:t>–</w:t>
            </w:r>
            <w:r w:rsidR="007A63A8" w:rsidRPr="009A709D">
              <w:rPr>
                <w:sz w:val="20"/>
                <w:lang w:val="es-ES_tradnl"/>
              </w:rPr>
              <w:t>18</w:t>
            </w:r>
          </w:p>
        </w:tc>
        <w:tc>
          <w:tcPr>
            <w:tcW w:w="299" w:type="pct"/>
            <w:vAlign w:val="center"/>
          </w:tcPr>
          <w:p w14:paraId="42537036" w14:textId="77777777" w:rsidR="007A63A8" w:rsidRPr="009A709D" w:rsidRDefault="007A63A8" w:rsidP="00CC6F16">
            <w:pPr>
              <w:pStyle w:val="Tabletext"/>
              <w:keepNext/>
              <w:keepLines/>
              <w:jc w:val="center"/>
              <w:rPr>
                <w:sz w:val="20"/>
                <w:lang w:val="es-ES_tradnl"/>
              </w:rPr>
            </w:pPr>
            <w:r w:rsidRPr="009A709D">
              <w:rPr>
                <w:sz w:val="20"/>
                <w:lang w:val="es-ES_tradnl"/>
              </w:rPr>
              <w:t>33</w:t>
            </w:r>
          </w:p>
        </w:tc>
        <w:tc>
          <w:tcPr>
            <w:tcW w:w="760" w:type="pct"/>
            <w:vAlign w:val="center"/>
          </w:tcPr>
          <w:p w14:paraId="1604AFB2" w14:textId="6A14DD0C" w:rsidR="007A63A8" w:rsidRPr="009A709D" w:rsidRDefault="001C02DC" w:rsidP="00CC6F16">
            <w:pPr>
              <w:pStyle w:val="Tabletext"/>
              <w:keepNext/>
              <w:keepLines/>
              <w:jc w:val="center"/>
              <w:rPr>
                <w:sz w:val="20"/>
                <w:lang w:val="es-ES_tradnl"/>
              </w:rPr>
            </w:pPr>
            <w:r w:rsidRPr="009A709D">
              <w:rPr>
                <w:sz w:val="20"/>
                <w:lang w:val="es-ES_tradnl"/>
              </w:rPr>
              <w:t>–</w:t>
            </w:r>
            <w:r w:rsidR="007A63A8" w:rsidRPr="009A709D">
              <w:rPr>
                <w:sz w:val="20"/>
                <w:lang w:val="es-ES_tradnl"/>
              </w:rPr>
              <w:t>116</w:t>
            </w:r>
          </w:p>
        </w:tc>
        <w:tc>
          <w:tcPr>
            <w:tcW w:w="546" w:type="pct"/>
            <w:vAlign w:val="center"/>
          </w:tcPr>
          <w:p w14:paraId="4CD4FE9A" w14:textId="77777777" w:rsidR="007A63A8" w:rsidRPr="009A709D" w:rsidRDefault="007A63A8" w:rsidP="00CC6F16">
            <w:pPr>
              <w:pStyle w:val="Tabletext"/>
              <w:keepNext/>
              <w:keepLines/>
              <w:jc w:val="center"/>
              <w:rPr>
                <w:sz w:val="20"/>
                <w:lang w:val="es-ES_tradnl"/>
              </w:rPr>
            </w:pPr>
            <w:r w:rsidRPr="009A709D">
              <w:rPr>
                <w:sz w:val="20"/>
                <w:lang w:val="es-ES_tradnl"/>
              </w:rPr>
              <w:t>6</w:t>
            </w:r>
          </w:p>
        </w:tc>
        <w:tc>
          <w:tcPr>
            <w:tcW w:w="341" w:type="pct"/>
            <w:vAlign w:val="center"/>
          </w:tcPr>
          <w:p w14:paraId="223849F7" w14:textId="77777777" w:rsidR="007A63A8" w:rsidRPr="009A709D" w:rsidRDefault="007A63A8" w:rsidP="00CC6F16">
            <w:pPr>
              <w:pStyle w:val="Tabletext"/>
              <w:keepNext/>
              <w:keepLines/>
              <w:jc w:val="center"/>
              <w:rPr>
                <w:sz w:val="20"/>
                <w:lang w:val="es-ES_tradnl"/>
              </w:rPr>
            </w:pPr>
            <w:r w:rsidRPr="009A709D">
              <w:rPr>
                <w:sz w:val="20"/>
                <w:lang w:val="es-ES_tradnl"/>
              </w:rPr>
              <w:t>137</w:t>
            </w:r>
          </w:p>
        </w:tc>
        <w:tc>
          <w:tcPr>
            <w:tcW w:w="615" w:type="pct"/>
            <w:vAlign w:val="center"/>
          </w:tcPr>
          <w:p w14:paraId="647A5169" w14:textId="77777777" w:rsidR="007A63A8" w:rsidRPr="009A709D" w:rsidRDefault="007A63A8" w:rsidP="00CC6F16">
            <w:pPr>
              <w:pStyle w:val="Tabletext"/>
              <w:keepNext/>
              <w:keepLines/>
              <w:jc w:val="center"/>
              <w:rPr>
                <w:sz w:val="20"/>
                <w:lang w:val="es-ES_tradnl"/>
              </w:rPr>
            </w:pPr>
            <w:r w:rsidRPr="009A709D">
              <w:rPr>
                <w:sz w:val="20"/>
                <w:lang w:val="es-ES_tradnl"/>
              </w:rPr>
              <w:t>6,6</w:t>
            </w:r>
          </w:p>
        </w:tc>
        <w:tc>
          <w:tcPr>
            <w:tcW w:w="656" w:type="pct"/>
            <w:vAlign w:val="center"/>
          </w:tcPr>
          <w:p w14:paraId="43920A54" w14:textId="77777777" w:rsidR="007A63A8" w:rsidRPr="009A709D" w:rsidRDefault="007A63A8" w:rsidP="00CC6F16">
            <w:pPr>
              <w:pStyle w:val="Tabletext"/>
              <w:keepNext/>
              <w:keepLines/>
              <w:jc w:val="center"/>
              <w:rPr>
                <w:sz w:val="20"/>
                <w:lang w:val="es-ES_tradnl"/>
              </w:rPr>
            </w:pPr>
            <w:r w:rsidRPr="009A709D">
              <w:rPr>
                <w:sz w:val="20"/>
                <w:lang w:val="es-ES_tradnl"/>
              </w:rPr>
              <w:t>0,73</w:t>
            </w:r>
          </w:p>
        </w:tc>
      </w:tr>
      <w:tr w:rsidR="007A63A8" w:rsidRPr="009A709D" w14:paraId="01A7E25F" w14:textId="77777777" w:rsidTr="00CC6F16">
        <w:trPr>
          <w:jc w:val="center"/>
        </w:trPr>
        <w:tc>
          <w:tcPr>
            <w:tcW w:w="481" w:type="pct"/>
            <w:vMerge/>
            <w:vAlign w:val="center"/>
          </w:tcPr>
          <w:p w14:paraId="0CA57A06" w14:textId="77777777" w:rsidR="007A63A8" w:rsidRPr="009A709D" w:rsidRDefault="007A63A8" w:rsidP="00CC6F16">
            <w:pPr>
              <w:pStyle w:val="Tabletext"/>
              <w:keepNext/>
              <w:keepLines/>
              <w:rPr>
                <w:sz w:val="20"/>
                <w:lang w:val="es-ES_tradnl" w:eastAsia="fr-FR"/>
              </w:rPr>
            </w:pPr>
          </w:p>
        </w:tc>
        <w:tc>
          <w:tcPr>
            <w:tcW w:w="479" w:type="pct"/>
            <w:vAlign w:val="center"/>
          </w:tcPr>
          <w:p w14:paraId="4346DE65" w14:textId="77777777" w:rsidR="007A63A8" w:rsidRPr="009A709D" w:rsidRDefault="007A63A8" w:rsidP="00CC6F16">
            <w:pPr>
              <w:pStyle w:val="Tabletext"/>
              <w:keepNext/>
              <w:keepLines/>
              <w:jc w:val="center"/>
              <w:rPr>
                <w:sz w:val="20"/>
                <w:lang w:val="es-ES_tradnl"/>
              </w:rPr>
            </w:pPr>
            <w:r w:rsidRPr="009A709D">
              <w:rPr>
                <w:sz w:val="20"/>
                <w:lang w:val="es-ES_tradnl"/>
              </w:rPr>
              <w:t>70</w:t>
            </w:r>
          </w:p>
        </w:tc>
        <w:tc>
          <w:tcPr>
            <w:tcW w:w="823" w:type="pct"/>
            <w:vAlign w:val="center"/>
          </w:tcPr>
          <w:p w14:paraId="10CE9499" w14:textId="039A548A" w:rsidR="007A63A8" w:rsidRPr="009A709D" w:rsidRDefault="001C02DC" w:rsidP="00CC6F16">
            <w:pPr>
              <w:pStyle w:val="Tabletext"/>
              <w:keepNext/>
              <w:keepLines/>
              <w:jc w:val="center"/>
              <w:rPr>
                <w:sz w:val="20"/>
                <w:lang w:val="es-ES_tradnl"/>
              </w:rPr>
            </w:pPr>
            <w:r w:rsidRPr="009A709D">
              <w:rPr>
                <w:sz w:val="20"/>
                <w:lang w:val="es-ES_tradnl"/>
              </w:rPr>
              <w:t>–</w:t>
            </w:r>
            <w:r w:rsidR="007A63A8" w:rsidRPr="009A709D">
              <w:rPr>
                <w:sz w:val="20"/>
                <w:lang w:val="es-ES_tradnl"/>
              </w:rPr>
              <w:t>18</w:t>
            </w:r>
          </w:p>
        </w:tc>
        <w:tc>
          <w:tcPr>
            <w:tcW w:w="299" w:type="pct"/>
            <w:vAlign w:val="center"/>
          </w:tcPr>
          <w:p w14:paraId="60276522" w14:textId="77777777" w:rsidR="007A63A8" w:rsidRPr="009A709D" w:rsidRDefault="007A63A8" w:rsidP="00CC6F16">
            <w:pPr>
              <w:pStyle w:val="Tabletext"/>
              <w:keepNext/>
              <w:keepLines/>
              <w:jc w:val="center"/>
              <w:rPr>
                <w:sz w:val="20"/>
                <w:lang w:val="es-ES_tradnl"/>
              </w:rPr>
            </w:pPr>
            <w:r w:rsidRPr="009A709D">
              <w:rPr>
                <w:sz w:val="20"/>
                <w:lang w:val="es-ES_tradnl"/>
              </w:rPr>
              <w:t>30</w:t>
            </w:r>
          </w:p>
        </w:tc>
        <w:tc>
          <w:tcPr>
            <w:tcW w:w="760" w:type="pct"/>
            <w:vAlign w:val="center"/>
          </w:tcPr>
          <w:p w14:paraId="625FA1FD" w14:textId="338C270F" w:rsidR="007A63A8" w:rsidRPr="009A709D" w:rsidRDefault="001C02DC" w:rsidP="00CC6F16">
            <w:pPr>
              <w:pStyle w:val="Tabletext"/>
              <w:keepNext/>
              <w:keepLines/>
              <w:jc w:val="center"/>
              <w:rPr>
                <w:sz w:val="20"/>
                <w:lang w:val="es-ES_tradnl"/>
              </w:rPr>
            </w:pPr>
            <w:r w:rsidRPr="009A709D">
              <w:rPr>
                <w:sz w:val="20"/>
                <w:lang w:val="es-ES_tradnl"/>
              </w:rPr>
              <w:t>–</w:t>
            </w:r>
            <w:r w:rsidR="007A63A8" w:rsidRPr="009A709D">
              <w:rPr>
                <w:sz w:val="20"/>
                <w:lang w:val="es-ES_tradnl"/>
              </w:rPr>
              <w:t>116</w:t>
            </w:r>
          </w:p>
        </w:tc>
        <w:tc>
          <w:tcPr>
            <w:tcW w:w="546" w:type="pct"/>
            <w:vAlign w:val="center"/>
          </w:tcPr>
          <w:p w14:paraId="09D6628C" w14:textId="77777777" w:rsidR="007A63A8" w:rsidRPr="009A709D" w:rsidRDefault="007A63A8" w:rsidP="00CC6F16">
            <w:pPr>
              <w:pStyle w:val="Tabletext"/>
              <w:keepNext/>
              <w:keepLines/>
              <w:jc w:val="center"/>
              <w:rPr>
                <w:sz w:val="20"/>
                <w:lang w:val="es-ES_tradnl"/>
              </w:rPr>
            </w:pPr>
            <w:r w:rsidRPr="009A709D">
              <w:rPr>
                <w:sz w:val="20"/>
                <w:lang w:val="es-ES_tradnl"/>
              </w:rPr>
              <w:t>6</w:t>
            </w:r>
          </w:p>
        </w:tc>
        <w:tc>
          <w:tcPr>
            <w:tcW w:w="341" w:type="pct"/>
            <w:vAlign w:val="center"/>
          </w:tcPr>
          <w:p w14:paraId="008F3D1A" w14:textId="77777777" w:rsidR="007A63A8" w:rsidRPr="009A709D" w:rsidRDefault="007A63A8" w:rsidP="00CC6F16">
            <w:pPr>
              <w:pStyle w:val="Tabletext"/>
              <w:keepNext/>
              <w:keepLines/>
              <w:jc w:val="center"/>
              <w:rPr>
                <w:sz w:val="20"/>
                <w:lang w:val="es-ES_tradnl"/>
              </w:rPr>
            </w:pPr>
            <w:r w:rsidRPr="009A709D">
              <w:rPr>
                <w:sz w:val="20"/>
                <w:lang w:val="es-ES_tradnl"/>
              </w:rPr>
              <w:t>134</w:t>
            </w:r>
          </w:p>
        </w:tc>
        <w:tc>
          <w:tcPr>
            <w:tcW w:w="615" w:type="pct"/>
            <w:vAlign w:val="center"/>
          </w:tcPr>
          <w:p w14:paraId="1227B051" w14:textId="77777777" w:rsidR="007A63A8" w:rsidRPr="009A709D" w:rsidRDefault="007A63A8" w:rsidP="00CC6F16">
            <w:pPr>
              <w:pStyle w:val="Tabletext"/>
              <w:keepNext/>
              <w:keepLines/>
              <w:jc w:val="center"/>
              <w:rPr>
                <w:sz w:val="20"/>
                <w:lang w:val="es-ES_tradnl"/>
              </w:rPr>
            </w:pPr>
            <w:r w:rsidRPr="009A709D">
              <w:rPr>
                <w:sz w:val="20"/>
                <w:lang w:val="es-ES_tradnl"/>
              </w:rPr>
              <w:t>4,6</w:t>
            </w:r>
          </w:p>
        </w:tc>
        <w:tc>
          <w:tcPr>
            <w:tcW w:w="656" w:type="pct"/>
            <w:vAlign w:val="center"/>
          </w:tcPr>
          <w:p w14:paraId="17A3CACD" w14:textId="77777777" w:rsidR="007A63A8" w:rsidRPr="009A709D" w:rsidRDefault="007A63A8" w:rsidP="00CC6F16">
            <w:pPr>
              <w:pStyle w:val="Tabletext"/>
              <w:keepNext/>
              <w:keepLines/>
              <w:jc w:val="center"/>
              <w:rPr>
                <w:sz w:val="20"/>
                <w:lang w:val="es-ES_tradnl"/>
              </w:rPr>
            </w:pPr>
            <w:r w:rsidRPr="009A709D">
              <w:rPr>
                <w:sz w:val="20"/>
                <w:lang w:val="es-ES_tradnl"/>
              </w:rPr>
              <w:t>0,52</w:t>
            </w:r>
          </w:p>
        </w:tc>
      </w:tr>
      <w:tr w:rsidR="007A63A8" w:rsidRPr="009A709D" w14:paraId="4F972AA7" w14:textId="77777777" w:rsidTr="00CC6F16">
        <w:trPr>
          <w:jc w:val="center"/>
        </w:trPr>
        <w:tc>
          <w:tcPr>
            <w:tcW w:w="481" w:type="pct"/>
            <w:vMerge/>
            <w:vAlign w:val="center"/>
          </w:tcPr>
          <w:p w14:paraId="20A401B6" w14:textId="77777777" w:rsidR="007A63A8" w:rsidRPr="009A709D" w:rsidRDefault="007A63A8" w:rsidP="00CC6F16">
            <w:pPr>
              <w:pStyle w:val="Tabletext"/>
              <w:keepNext/>
              <w:keepLines/>
              <w:rPr>
                <w:sz w:val="20"/>
                <w:lang w:val="es-ES_tradnl" w:eastAsia="fr-FR"/>
              </w:rPr>
            </w:pPr>
          </w:p>
        </w:tc>
        <w:tc>
          <w:tcPr>
            <w:tcW w:w="479" w:type="pct"/>
            <w:vAlign w:val="center"/>
            <w:hideMark/>
          </w:tcPr>
          <w:p w14:paraId="4EE25EE0" w14:textId="77777777" w:rsidR="007A63A8" w:rsidRPr="009A709D" w:rsidRDefault="007A63A8" w:rsidP="00CC6F16">
            <w:pPr>
              <w:pStyle w:val="Tabletext"/>
              <w:keepNext/>
              <w:keepLines/>
              <w:jc w:val="center"/>
              <w:rPr>
                <w:sz w:val="20"/>
                <w:lang w:val="es-ES_tradnl"/>
              </w:rPr>
            </w:pPr>
            <w:r w:rsidRPr="009A709D">
              <w:rPr>
                <w:sz w:val="20"/>
                <w:lang w:val="es-ES_tradnl"/>
              </w:rPr>
              <w:t>80</w:t>
            </w:r>
          </w:p>
        </w:tc>
        <w:tc>
          <w:tcPr>
            <w:tcW w:w="823" w:type="pct"/>
            <w:vAlign w:val="center"/>
          </w:tcPr>
          <w:p w14:paraId="5D5E841A" w14:textId="5D3BC7ED" w:rsidR="007A63A8" w:rsidRPr="009A709D" w:rsidRDefault="001C02DC" w:rsidP="00CC6F16">
            <w:pPr>
              <w:pStyle w:val="Tabletext"/>
              <w:keepNext/>
              <w:keepLines/>
              <w:jc w:val="center"/>
              <w:rPr>
                <w:bCs/>
                <w:sz w:val="20"/>
                <w:lang w:val="es-ES_tradnl"/>
              </w:rPr>
            </w:pPr>
            <w:r w:rsidRPr="009A709D">
              <w:rPr>
                <w:sz w:val="20"/>
                <w:lang w:val="es-ES_tradnl"/>
              </w:rPr>
              <w:t>–</w:t>
            </w:r>
            <w:r w:rsidR="007A63A8" w:rsidRPr="009A709D">
              <w:rPr>
                <w:sz w:val="20"/>
                <w:lang w:val="es-ES_tradnl"/>
              </w:rPr>
              <w:t>18</w:t>
            </w:r>
          </w:p>
        </w:tc>
        <w:tc>
          <w:tcPr>
            <w:tcW w:w="299" w:type="pct"/>
            <w:vAlign w:val="center"/>
          </w:tcPr>
          <w:p w14:paraId="0DFEB34A" w14:textId="77777777" w:rsidR="007A63A8" w:rsidRPr="009A709D" w:rsidRDefault="007A63A8" w:rsidP="00CC6F16">
            <w:pPr>
              <w:pStyle w:val="Tabletext"/>
              <w:keepNext/>
              <w:keepLines/>
              <w:jc w:val="center"/>
              <w:rPr>
                <w:sz w:val="20"/>
                <w:lang w:val="es-ES_tradnl"/>
              </w:rPr>
            </w:pPr>
            <w:r w:rsidRPr="009A709D">
              <w:rPr>
                <w:sz w:val="20"/>
                <w:lang w:val="es-ES_tradnl"/>
              </w:rPr>
              <w:t>24</w:t>
            </w:r>
          </w:p>
        </w:tc>
        <w:tc>
          <w:tcPr>
            <w:tcW w:w="760" w:type="pct"/>
            <w:vAlign w:val="center"/>
          </w:tcPr>
          <w:p w14:paraId="7F30C930" w14:textId="35FD7521" w:rsidR="007A63A8" w:rsidRPr="009A709D" w:rsidRDefault="001C02DC" w:rsidP="00CC6F16">
            <w:pPr>
              <w:pStyle w:val="Tabletext"/>
              <w:keepNext/>
              <w:keepLines/>
              <w:jc w:val="center"/>
              <w:rPr>
                <w:sz w:val="20"/>
                <w:lang w:val="es-ES_tradnl"/>
              </w:rPr>
            </w:pPr>
            <w:r w:rsidRPr="009A709D">
              <w:rPr>
                <w:sz w:val="20"/>
                <w:lang w:val="es-ES_tradnl"/>
              </w:rPr>
              <w:t>–</w:t>
            </w:r>
            <w:r w:rsidR="007A63A8" w:rsidRPr="009A709D">
              <w:rPr>
                <w:sz w:val="20"/>
                <w:lang w:val="es-ES_tradnl"/>
              </w:rPr>
              <w:t>116</w:t>
            </w:r>
          </w:p>
        </w:tc>
        <w:tc>
          <w:tcPr>
            <w:tcW w:w="546" w:type="pct"/>
            <w:vAlign w:val="center"/>
          </w:tcPr>
          <w:p w14:paraId="0DA33632" w14:textId="77777777" w:rsidR="007A63A8" w:rsidRPr="009A709D" w:rsidRDefault="007A63A8" w:rsidP="00CC6F16">
            <w:pPr>
              <w:pStyle w:val="Tabletext"/>
              <w:keepNext/>
              <w:keepLines/>
              <w:jc w:val="center"/>
              <w:rPr>
                <w:sz w:val="20"/>
                <w:lang w:val="es-ES_tradnl"/>
              </w:rPr>
            </w:pPr>
            <w:r w:rsidRPr="009A709D">
              <w:rPr>
                <w:sz w:val="20"/>
                <w:lang w:val="es-ES_tradnl"/>
              </w:rPr>
              <w:t>6</w:t>
            </w:r>
          </w:p>
        </w:tc>
        <w:tc>
          <w:tcPr>
            <w:tcW w:w="341" w:type="pct"/>
            <w:vAlign w:val="center"/>
          </w:tcPr>
          <w:p w14:paraId="4962C41A" w14:textId="77777777" w:rsidR="007A63A8" w:rsidRPr="009A709D" w:rsidRDefault="007A63A8" w:rsidP="00CC6F16">
            <w:pPr>
              <w:pStyle w:val="Tabletext"/>
              <w:keepNext/>
              <w:keepLines/>
              <w:jc w:val="center"/>
              <w:rPr>
                <w:sz w:val="20"/>
                <w:lang w:val="es-ES_tradnl"/>
              </w:rPr>
            </w:pPr>
            <w:r w:rsidRPr="009A709D">
              <w:rPr>
                <w:sz w:val="20"/>
                <w:lang w:val="es-ES_tradnl"/>
              </w:rPr>
              <w:t>128</w:t>
            </w:r>
          </w:p>
        </w:tc>
        <w:tc>
          <w:tcPr>
            <w:tcW w:w="615" w:type="pct"/>
            <w:vAlign w:val="center"/>
          </w:tcPr>
          <w:p w14:paraId="6D09EC2A" w14:textId="77777777" w:rsidR="007A63A8" w:rsidRPr="009A709D" w:rsidRDefault="007A63A8" w:rsidP="00CC6F16">
            <w:pPr>
              <w:pStyle w:val="Tabletext"/>
              <w:keepNext/>
              <w:keepLines/>
              <w:jc w:val="center"/>
              <w:rPr>
                <w:sz w:val="20"/>
                <w:lang w:val="es-ES_tradnl"/>
              </w:rPr>
            </w:pPr>
            <w:r w:rsidRPr="009A709D">
              <w:rPr>
                <w:sz w:val="20"/>
                <w:lang w:val="es-ES_tradnl"/>
              </w:rPr>
              <w:t>2,3</w:t>
            </w:r>
          </w:p>
        </w:tc>
        <w:tc>
          <w:tcPr>
            <w:tcW w:w="656" w:type="pct"/>
            <w:vAlign w:val="center"/>
          </w:tcPr>
          <w:p w14:paraId="30B5F57B" w14:textId="77777777" w:rsidR="007A63A8" w:rsidRPr="009A709D" w:rsidRDefault="007A63A8" w:rsidP="00CC6F16">
            <w:pPr>
              <w:pStyle w:val="Tabletext"/>
              <w:keepNext/>
              <w:keepLines/>
              <w:jc w:val="center"/>
              <w:rPr>
                <w:sz w:val="20"/>
                <w:lang w:val="es-ES_tradnl"/>
              </w:rPr>
            </w:pPr>
            <w:r w:rsidRPr="009A709D">
              <w:rPr>
                <w:sz w:val="20"/>
                <w:lang w:val="es-ES_tradnl"/>
              </w:rPr>
              <w:t>0,26</w:t>
            </w:r>
          </w:p>
        </w:tc>
      </w:tr>
      <w:tr w:rsidR="007A63A8" w:rsidRPr="009A709D" w14:paraId="42771344" w14:textId="77777777" w:rsidTr="00CC6F16">
        <w:trPr>
          <w:jc w:val="center"/>
        </w:trPr>
        <w:tc>
          <w:tcPr>
            <w:tcW w:w="481" w:type="pct"/>
            <w:vMerge/>
            <w:tcBorders>
              <w:bottom w:val="single" w:sz="4" w:space="0" w:color="auto"/>
            </w:tcBorders>
            <w:vAlign w:val="center"/>
          </w:tcPr>
          <w:p w14:paraId="754C20A1" w14:textId="77777777" w:rsidR="007A63A8" w:rsidRPr="009A709D" w:rsidRDefault="007A63A8" w:rsidP="00CC6F16">
            <w:pPr>
              <w:pStyle w:val="Tabletext"/>
              <w:keepNext/>
              <w:keepLines/>
              <w:rPr>
                <w:sz w:val="20"/>
                <w:lang w:val="es-ES_tradnl" w:eastAsia="fr-FR"/>
              </w:rPr>
            </w:pPr>
          </w:p>
        </w:tc>
        <w:tc>
          <w:tcPr>
            <w:tcW w:w="479" w:type="pct"/>
            <w:tcBorders>
              <w:bottom w:val="single" w:sz="4" w:space="0" w:color="auto"/>
            </w:tcBorders>
            <w:vAlign w:val="center"/>
            <w:hideMark/>
          </w:tcPr>
          <w:p w14:paraId="048CCA23" w14:textId="77777777" w:rsidR="007A63A8" w:rsidRPr="009A709D" w:rsidRDefault="007A63A8" w:rsidP="00CC6F16">
            <w:pPr>
              <w:pStyle w:val="Tabletext"/>
              <w:keepNext/>
              <w:keepLines/>
              <w:jc w:val="center"/>
              <w:rPr>
                <w:sz w:val="20"/>
                <w:lang w:val="es-ES_tradnl"/>
              </w:rPr>
            </w:pPr>
            <w:r w:rsidRPr="009A709D">
              <w:rPr>
                <w:sz w:val="20"/>
                <w:lang w:val="es-ES_tradnl"/>
              </w:rPr>
              <w:t>90</w:t>
            </w:r>
          </w:p>
        </w:tc>
        <w:tc>
          <w:tcPr>
            <w:tcW w:w="823" w:type="pct"/>
            <w:tcBorders>
              <w:bottom w:val="single" w:sz="4" w:space="0" w:color="auto"/>
            </w:tcBorders>
            <w:vAlign w:val="center"/>
          </w:tcPr>
          <w:p w14:paraId="283347C1" w14:textId="79A702A1" w:rsidR="007A63A8" w:rsidRPr="009A709D" w:rsidRDefault="001C02DC" w:rsidP="00CC6F16">
            <w:pPr>
              <w:pStyle w:val="Tabletext"/>
              <w:keepNext/>
              <w:keepLines/>
              <w:jc w:val="center"/>
              <w:rPr>
                <w:sz w:val="20"/>
                <w:lang w:val="es-ES_tradnl"/>
              </w:rPr>
            </w:pPr>
            <w:r w:rsidRPr="009A709D">
              <w:rPr>
                <w:sz w:val="20"/>
                <w:lang w:val="es-ES_tradnl"/>
              </w:rPr>
              <w:t>–</w:t>
            </w:r>
            <w:r w:rsidR="007A63A8" w:rsidRPr="009A709D">
              <w:rPr>
                <w:sz w:val="20"/>
                <w:lang w:val="es-ES_tradnl"/>
              </w:rPr>
              <w:t>18</w:t>
            </w:r>
          </w:p>
        </w:tc>
        <w:tc>
          <w:tcPr>
            <w:tcW w:w="299" w:type="pct"/>
            <w:tcBorders>
              <w:bottom w:val="single" w:sz="4" w:space="0" w:color="auto"/>
            </w:tcBorders>
            <w:vAlign w:val="center"/>
          </w:tcPr>
          <w:p w14:paraId="525482F1" w14:textId="77777777" w:rsidR="007A63A8" w:rsidRPr="009A709D" w:rsidRDefault="007A63A8" w:rsidP="00CC6F16">
            <w:pPr>
              <w:pStyle w:val="Tabletext"/>
              <w:keepNext/>
              <w:keepLines/>
              <w:jc w:val="center"/>
              <w:rPr>
                <w:sz w:val="20"/>
                <w:lang w:val="es-ES_tradnl"/>
              </w:rPr>
            </w:pPr>
            <w:r w:rsidRPr="009A709D">
              <w:rPr>
                <w:sz w:val="20"/>
                <w:lang w:val="es-ES_tradnl"/>
              </w:rPr>
              <w:t>19</w:t>
            </w:r>
          </w:p>
        </w:tc>
        <w:tc>
          <w:tcPr>
            <w:tcW w:w="760" w:type="pct"/>
            <w:tcBorders>
              <w:bottom w:val="single" w:sz="4" w:space="0" w:color="auto"/>
            </w:tcBorders>
            <w:vAlign w:val="center"/>
          </w:tcPr>
          <w:p w14:paraId="0F302A80" w14:textId="5FB1DA85" w:rsidR="007A63A8" w:rsidRPr="009A709D" w:rsidRDefault="001C02DC" w:rsidP="00CC6F16">
            <w:pPr>
              <w:pStyle w:val="Tabletext"/>
              <w:keepNext/>
              <w:keepLines/>
              <w:jc w:val="center"/>
              <w:rPr>
                <w:sz w:val="20"/>
                <w:lang w:val="es-ES_tradnl"/>
              </w:rPr>
            </w:pPr>
            <w:r w:rsidRPr="009A709D">
              <w:rPr>
                <w:sz w:val="20"/>
                <w:lang w:val="es-ES_tradnl"/>
              </w:rPr>
              <w:t>–</w:t>
            </w:r>
            <w:r w:rsidR="007A63A8" w:rsidRPr="009A709D">
              <w:rPr>
                <w:sz w:val="20"/>
                <w:lang w:val="es-ES_tradnl"/>
              </w:rPr>
              <w:t>116</w:t>
            </w:r>
          </w:p>
        </w:tc>
        <w:tc>
          <w:tcPr>
            <w:tcW w:w="546" w:type="pct"/>
            <w:tcBorders>
              <w:bottom w:val="single" w:sz="4" w:space="0" w:color="auto"/>
            </w:tcBorders>
            <w:vAlign w:val="center"/>
          </w:tcPr>
          <w:p w14:paraId="45DB26E6" w14:textId="77777777" w:rsidR="007A63A8" w:rsidRPr="009A709D" w:rsidRDefault="007A63A8" w:rsidP="00CC6F16">
            <w:pPr>
              <w:pStyle w:val="Tabletext"/>
              <w:keepNext/>
              <w:keepLines/>
              <w:jc w:val="center"/>
              <w:rPr>
                <w:sz w:val="20"/>
                <w:lang w:val="es-ES_tradnl"/>
              </w:rPr>
            </w:pPr>
            <w:r w:rsidRPr="009A709D">
              <w:rPr>
                <w:sz w:val="20"/>
                <w:lang w:val="es-ES_tradnl"/>
              </w:rPr>
              <w:t>6</w:t>
            </w:r>
          </w:p>
        </w:tc>
        <w:tc>
          <w:tcPr>
            <w:tcW w:w="341" w:type="pct"/>
            <w:tcBorders>
              <w:bottom w:val="single" w:sz="4" w:space="0" w:color="auto"/>
            </w:tcBorders>
            <w:vAlign w:val="center"/>
          </w:tcPr>
          <w:p w14:paraId="03701A74" w14:textId="77777777" w:rsidR="007A63A8" w:rsidRPr="009A709D" w:rsidRDefault="007A63A8" w:rsidP="00CC6F16">
            <w:pPr>
              <w:pStyle w:val="Tabletext"/>
              <w:keepNext/>
              <w:keepLines/>
              <w:jc w:val="center"/>
              <w:rPr>
                <w:sz w:val="20"/>
                <w:lang w:val="es-ES_tradnl"/>
              </w:rPr>
            </w:pPr>
            <w:r w:rsidRPr="009A709D">
              <w:rPr>
                <w:sz w:val="20"/>
                <w:lang w:val="es-ES_tradnl"/>
              </w:rPr>
              <w:t>123</w:t>
            </w:r>
          </w:p>
        </w:tc>
        <w:tc>
          <w:tcPr>
            <w:tcW w:w="615" w:type="pct"/>
            <w:tcBorders>
              <w:bottom w:val="single" w:sz="4" w:space="0" w:color="auto"/>
            </w:tcBorders>
            <w:vAlign w:val="center"/>
          </w:tcPr>
          <w:p w14:paraId="7EB37FE5" w14:textId="77777777" w:rsidR="007A63A8" w:rsidRPr="009A709D" w:rsidRDefault="007A63A8" w:rsidP="00CC6F16">
            <w:pPr>
              <w:pStyle w:val="Tabletext"/>
              <w:keepNext/>
              <w:keepLines/>
              <w:jc w:val="center"/>
              <w:rPr>
                <w:sz w:val="20"/>
                <w:lang w:val="es-ES_tradnl"/>
              </w:rPr>
            </w:pPr>
            <w:r w:rsidRPr="009A709D">
              <w:rPr>
                <w:sz w:val="20"/>
                <w:lang w:val="es-ES_tradnl"/>
              </w:rPr>
              <w:t>1,3</w:t>
            </w:r>
          </w:p>
        </w:tc>
        <w:tc>
          <w:tcPr>
            <w:tcW w:w="656" w:type="pct"/>
            <w:tcBorders>
              <w:bottom w:val="single" w:sz="4" w:space="0" w:color="auto"/>
            </w:tcBorders>
            <w:vAlign w:val="center"/>
          </w:tcPr>
          <w:p w14:paraId="473E7764" w14:textId="77777777" w:rsidR="007A63A8" w:rsidRPr="009A709D" w:rsidRDefault="007A63A8" w:rsidP="00CC6F16">
            <w:pPr>
              <w:pStyle w:val="Tabletext"/>
              <w:keepNext/>
              <w:keepLines/>
              <w:jc w:val="center"/>
              <w:rPr>
                <w:sz w:val="20"/>
                <w:lang w:val="es-ES_tradnl"/>
              </w:rPr>
            </w:pPr>
            <w:r w:rsidRPr="009A709D">
              <w:rPr>
                <w:sz w:val="20"/>
                <w:lang w:val="es-ES_tradnl"/>
              </w:rPr>
              <w:t>0,14</w:t>
            </w:r>
          </w:p>
        </w:tc>
      </w:tr>
      <w:tr w:rsidR="007A63A8" w:rsidRPr="009A709D" w14:paraId="2EB3EF32" w14:textId="77777777" w:rsidTr="00CC6F16">
        <w:trPr>
          <w:jc w:val="center"/>
        </w:trPr>
        <w:tc>
          <w:tcPr>
            <w:tcW w:w="5000" w:type="pct"/>
            <w:gridSpan w:val="9"/>
            <w:tcBorders>
              <w:top w:val="single" w:sz="4" w:space="0" w:color="auto"/>
              <w:left w:val="nil"/>
              <w:bottom w:val="nil"/>
              <w:right w:val="nil"/>
            </w:tcBorders>
            <w:vAlign w:val="center"/>
          </w:tcPr>
          <w:p w14:paraId="18AAFEC0" w14:textId="224C546B" w:rsidR="009B7AFD" w:rsidRPr="009A709D" w:rsidRDefault="009B7AFD" w:rsidP="00CC6F16">
            <w:pPr>
              <w:pStyle w:val="Tabletext"/>
              <w:keepNext/>
              <w:keepLines/>
              <w:ind w:left="284" w:hanging="284"/>
              <w:rPr>
                <w:sz w:val="20"/>
                <w:lang w:val="es-ES_tradnl"/>
              </w:rPr>
            </w:pPr>
            <w:r w:rsidRPr="009A709D">
              <w:rPr>
                <w:sz w:val="20"/>
                <w:vertAlign w:val="superscript"/>
                <w:lang w:val="es-ES_tradnl"/>
              </w:rPr>
              <w:t>(1)</w:t>
            </w:r>
            <w:r w:rsidRPr="009A709D">
              <w:rPr>
                <w:sz w:val="20"/>
                <w:lang w:val="es-ES_tradnl"/>
              </w:rPr>
              <w:tab/>
              <w:t>Cuando se utilicen distintas características técnicas y operativas para las estaciones base IMT, los niveles de atenuación deberán calcularse según corresponda.</w:t>
            </w:r>
          </w:p>
          <w:p w14:paraId="22C65B94" w14:textId="0FC8D2BF" w:rsidR="009B7AFD" w:rsidRPr="009A709D" w:rsidRDefault="009B7AFD" w:rsidP="00CC6F16">
            <w:pPr>
              <w:pStyle w:val="Tabletext"/>
              <w:keepNext/>
              <w:keepLines/>
              <w:ind w:left="284" w:hanging="284"/>
              <w:rPr>
                <w:sz w:val="20"/>
                <w:lang w:val="es-ES_tradnl"/>
              </w:rPr>
            </w:pPr>
            <w:r w:rsidRPr="009A709D">
              <w:rPr>
                <w:sz w:val="20"/>
                <w:vertAlign w:val="superscript"/>
                <w:lang w:val="es-ES_tradnl"/>
              </w:rPr>
              <w:t>(2)</w:t>
            </w:r>
            <w:r w:rsidRPr="009A709D">
              <w:rPr>
                <w:sz w:val="20"/>
                <w:lang w:val="es-ES_tradnl"/>
              </w:rPr>
              <w:tab/>
              <w:t xml:space="preserve">Las distancias se evalúan considerando una pérdida media por ocupación del suelo de 19 dB (valor medio de distribución indicado </w:t>
            </w:r>
            <w:r w:rsidR="006E5294" w:rsidRPr="009A709D">
              <w:rPr>
                <w:sz w:val="20"/>
                <w:lang w:val="es-ES_tradnl"/>
              </w:rPr>
              <w:t>en</w:t>
            </w:r>
            <w:r w:rsidRPr="009A709D">
              <w:rPr>
                <w:sz w:val="20"/>
                <w:lang w:val="es-ES_tradnl"/>
              </w:rPr>
              <w:t xml:space="preserve"> la Recomendación UIT-R </w:t>
            </w:r>
            <w:hyperlink r:id="rId74" w:history="1">
              <w:r w:rsidRPr="009A709D">
                <w:rPr>
                  <w:rStyle w:val="Hyperlink"/>
                  <w:color w:val="auto"/>
                  <w:sz w:val="20"/>
                  <w:u w:val="none"/>
                  <w:lang w:val="es-ES_tradnl"/>
                </w:rPr>
                <w:t>P.2108</w:t>
              </w:r>
            </w:hyperlink>
            <w:r w:rsidRPr="009A709D">
              <w:rPr>
                <w:sz w:val="20"/>
                <w:lang w:val="es-ES_tradnl"/>
              </w:rPr>
              <w:t xml:space="preserve"> para una distancia de 500 m).</w:t>
            </w:r>
          </w:p>
        </w:tc>
      </w:tr>
    </w:tbl>
    <w:p w14:paraId="47EC0E01" w14:textId="77777777" w:rsidR="007A63A8" w:rsidRPr="009A709D" w:rsidRDefault="007A63A8" w:rsidP="007A63A8">
      <w:pPr>
        <w:pStyle w:val="Tablefin"/>
        <w:rPr>
          <w:rFonts w:eastAsia="MS Mincho"/>
          <w:lang w:val="es-ES_tradnl"/>
        </w:rPr>
      </w:pPr>
    </w:p>
    <w:p w14:paraId="45E22916" w14:textId="0AA80DD2" w:rsidR="007A63A8" w:rsidRPr="009A709D" w:rsidRDefault="007A63A8" w:rsidP="007A63A8">
      <w:pPr>
        <w:pStyle w:val="FigureNo"/>
        <w:rPr>
          <w:rFonts w:eastAsia="SimSun"/>
          <w:lang w:val="es-ES_tradnl"/>
        </w:rPr>
      </w:pPr>
      <w:r w:rsidRPr="009A709D">
        <w:rPr>
          <w:lang w:val="es-ES_tradnl"/>
        </w:rPr>
        <w:t>FIGURA 20</w:t>
      </w:r>
    </w:p>
    <w:p w14:paraId="104EF9FA" w14:textId="10225476" w:rsidR="007A63A8" w:rsidRPr="009A709D" w:rsidRDefault="007A63A8" w:rsidP="006E5294">
      <w:pPr>
        <w:pStyle w:val="Figuretitle"/>
        <w:rPr>
          <w:lang w:val="es-ES_tradnl"/>
        </w:rPr>
      </w:pPr>
      <w:r w:rsidRPr="009A709D">
        <w:rPr>
          <w:lang w:val="es-ES_tradnl"/>
        </w:rPr>
        <w:t>Mapa de pérdidas de la ciudad de Toulouse</w:t>
      </w:r>
      <w:r w:rsidR="006E5294" w:rsidRPr="009A709D">
        <w:rPr>
          <w:lang w:val="es-ES_tradnl"/>
        </w:rPr>
        <w:t>, basado en</w:t>
      </w:r>
      <w:r w:rsidRPr="009A709D">
        <w:rPr>
          <w:lang w:val="es-ES_tradnl"/>
        </w:rPr>
        <w:t xml:space="preserve"> la Recomendación UIT-T </w:t>
      </w:r>
      <w:hyperlink r:id="rId75" w:history="1">
        <w:r w:rsidRPr="009A709D">
          <w:rPr>
            <w:rStyle w:val="Hyperlink"/>
            <w:color w:val="auto"/>
            <w:u w:val="none"/>
            <w:lang w:val="es-ES_tradnl"/>
          </w:rPr>
          <w:t>P.452</w:t>
        </w:r>
      </w:hyperlink>
      <w:r w:rsidRPr="009A709D">
        <w:rPr>
          <w:lang w:val="es-ES_tradnl"/>
        </w:rPr>
        <w:t xml:space="preserve"> (50%)</w:t>
      </w:r>
      <w:r w:rsidR="00743F83" w:rsidRPr="009A709D">
        <w:rPr>
          <w:lang w:val="es-ES_tradnl"/>
        </w:rPr>
        <w:br/>
      </w:r>
      <w:r w:rsidR="006E5294" w:rsidRPr="009A709D">
        <w:rPr>
          <w:lang w:val="es-ES_tradnl"/>
        </w:rPr>
        <w:t xml:space="preserve">y el perfil real del terreno asociado al modelo de </w:t>
      </w:r>
      <w:r w:rsidRPr="009A709D">
        <w:rPr>
          <w:lang w:val="es-ES_tradnl"/>
        </w:rPr>
        <w:t>edificios</w:t>
      </w:r>
    </w:p>
    <w:p w14:paraId="40D89C26" w14:textId="7F6711CA" w:rsidR="007A63A8" w:rsidRPr="009A709D" w:rsidRDefault="00A15854" w:rsidP="007A63A8">
      <w:pPr>
        <w:pStyle w:val="Figure"/>
        <w:rPr>
          <w:lang w:val="es-ES_tradnl"/>
        </w:rPr>
      </w:pPr>
      <w:r w:rsidRPr="009A709D">
        <w:rPr>
          <w:noProof/>
          <w:lang w:val="es-ES_tradnl" w:eastAsia="es-ES"/>
        </w:rPr>
        <w:drawing>
          <wp:inline distT="0" distB="0" distL="0" distR="0" wp14:anchorId="30225DE8" wp14:editId="1E9DDC6E">
            <wp:extent cx="5351330" cy="3524250"/>
            <wp:effectExtent l="0" t="0" r="1905" b="0"/>
            <wp:docPr id="12773" name="Picture 1277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 name="Picture 12773" descr="Map&#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360024" cy="3529976"/>
                    </a:xfrm>
                    <a:prstGeom prst="rect">
                      <a:avLst/>
                    </a:prstGeom>
                  </pic:spPr>
                </pic:pic>
              </a:graphicData>
            </a:graphic>
          </wp:inline>
        </w:drawing>
      </w:r>
    </w:p>
    <w:p w14:paraId="6778D434" w14:textId="77777777" w:rsidR="002A03FC" w:rsidRPr="009A709D" w:rsidRDefault="002A03FC" w:rsidP="002A03FC">
      <w:pPr>
        <w:pStyle w:val="Line"/>
        <w:rPr>
          <w:lang w:val="es-ES_tradnl"/>
        </w:rPr>
      </w:pPr>
    </w:p>
    <w:sectPr w:rsidR="002A03FC" w:rsidRPr="009A709D" w:rsidSect="00186DC5">
      <w:headerReference w:type="even" r:id="rId77"/>
      <w:headerReference w:type="default" r:id="rId7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EEF3C" w14:textId="77777777" w:rsidR="00F33AB1" w:rsidRDefault="00F33AB1">
      <w:r>
        <w:separator/>
      </w:r>
    </w:p>
  </w:endnote>
  <w:endnote w:type="continuationSeparator" w:id="0">
    <w:p w14:paraId="0A47478B" w14:textId="77777777" w:rsidR="00F33AB1" w:rsidRDefault="00F33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DA678" w14:textId="77777777" w:rsidR="00F33AB1" w:rsidRDefault="00F33AB1">
      <w:r>
        <w:separator/>
      </w:r>
    </w:p>
  </w:footnote>
  <w:footnote w:type="continuationSeparator" w:id="0">
    <w:p w14:paraId="52AD4D23" w14:textId="77777777" w:rsidR="00F33AB1" w:rsidRDefault="00F33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13D3E" w14:textId="77777777" w:rsidR="00F33AB1" w:rsidRDefault="00F33AB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90648" w14:textId="77777777" w:rsidR="00F33AB1" w:rsidRDefault="00F33AB1" w:rsidP="00623D19">
    <w:pPr>
      <w:pStyle w:val="Header"/>
      <w:ind w:right="360" w:firstLine="360"/>
    </w:pPr>
    <w:r>
      <w:rPr>
        <w:noProof/>
        <w:lang w:eastAsia="es-ES"/>
      </w:rPr>
      <w:drawing>
        <wp:anchor distT="0" distB="0" distL="114300" distR="114300" simplePos="0" relativeHeight="251658240" behindDoc="1" locked="0" layoutInCell="1" allowOverlap="1" wp14:anchorId="2D6A67CE" wp14:editId="50E1A909">
          <wp:simplePos x="0" y="0"/>
          <wp:positionH relativeFrom="page">
            <wp:posOffset>0</wp:posOffset>
          </wp:positionH>
          <wp:positionV relativeFrom="page">
            <wp:posOffset>0</wp:posOffset>
          </wp:positionV>
          <wp:extent cx="7578725" cy="10724515"/>
          <wp:effectExtent l="19050" t="0" r="3175" b="0"/>
          <wp:wrapNone/>
          <wp:docPr id="19" name="Picture 19"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3516" w14:textId="1B3A8558" w:rsidR="00F33AB1" w:rsidRDefault="00F33AB1" w:rsidP="004F1E3D">
    <w:pPr>
      <w:pStyle w:val="Header"/>
      <w:tabs>
        <w:tab w:val="left" w:pos="9008"/>
      </w:tabs>
    </w:pPr>
    <w:r>
      <w:rPr>
        <w:noProof/>
        <w:lang w:val="es-ES_tradnl" w:eastAsia="zh-CN"/>
      </w:rPr>
      <w:drawing>
        <wp:anchor distT="0" distB="0" distL="114300" distR="114300" simplePos="0" relativeHeight="251660288" behindDoc="1" locked="0" layoutInCell="1" allowOverlap="1" wp14:anchorId="46DB7A71" wp14:editId="7C38590F">
          <wp:simplePos x="0" y="0"/>
          <wp:positionH relativeFrom="page">
            <wp:align>left</wp:align>
          </wp:positionH>
          <wp:positionV relativeFrom="page">
            <wp:posOffset>23328</wp:posOffset>
          </wp:positionV>
          <wp:extent cx="7592060" cy="10760075"/>
          <wp:effectExtent l="0" t="0" r="8890" b="3175"/>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E6260" w14:textId="054AEEB3" w:rsidR="00F33AB1" w:rsidRPr="00FC42AF" w:rsidRDefault="00F33AB1">
    <w:pPr>
      <w:pStyle w:val="Header"/>
      <w:jc w:val="left"/>
    </w:pPr>
    <w:r>
      <w:rPr>
        <w:rStyle w:val="PageNumber"/>
        <w:b/>
      </w:rPr>
      <w:fldChar w:fldCharType="begin"/>
    </w:r>
    <w:r w:rsidRPr="00FC42AF">
      <w:rPr>
        <w:rStyle w:val="PageNumber"/>
        <w:b/>
      </w:rPr>
      <w:instrText xml:space="preserve"> PAGE </w:instrText>
    </w:r>
    <w:r>
      <w:rPr>
        <w:rStyle w:val="PageNumber"/>
        <w:b/>
      </w:rPr>
      <w:fldChar w:fldCharType="separate"/>
    </w:r>
    <w:r>
      <w:rPr>
        <w:rStyle w:val="PageNumber"/>
        <w:b/>
        <w:noProof/>
      </w:rPr>
      <w:t>ii</w:t>
    </w:r>
    <w:r>
      <w:rPr>
        <w:rStyle w:val="PageNumber"/>
        <w:b/>
      </w:rPr>
      <w:fldChar w:fldCharType="end"/>
    </w:r>
    <w:r>
      <w:tab/>
    </w:r>
    <w:fldSimple w:instr=" DOCPROPERTY &quot;Header&quot; \* MERGEFORMAT ">
      <w:r w:rsidR="00AA64D7" w:rsidRPr="00AA64D7">
        <w:rPr>
          <w:b/>
          <w:bCs/>
        </w:rPr>
        <w:t xml:space="preserve">Rec. </w:t>
      </w:r>
    </w:fldSimple>
    <w:r>
      <w:rPr>
        <w:b/>
      </w:rPr>
      <w:t xml:space="preserve"> </w:t>
    </w:r>
    <w:r>
      <w:rPr>
        <w:b/>
      </w:rPr>
      <w:fldChar w:fldCharType="begin"/>
    </w:r>
    <w:r w:rsidRPr="00FC42AF">
      <w:rPr>
        <w:b/>
      </w:rPr>
      <w:instrText>styleref href</w:instrText>
    </w:r>
    <w:r>
      <w:rPr>
        <w:b/>
      </w:rPr>
      <w:fldChar w:fldCharType="separate"/>
    </w:r>
    <w:r w:rsidR="00AA64D7">
      <w:rPr>
        <w:b/>
        <w:noProof/>
      </w:rPr>
      <w:t>UIT-R  SA.2142-0</w:t>
    </w:r>
    <w:r>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42174" w14:textId="0882A087" w:rsidR="00F33AB1" w:rsidRDefault="00F33AB1">
    <w:pPr>
      <w:pStyle w:val="Header"/>
    </w:pPr>
    <w:r>
      <w:tab/>
    </w:r>
    <w:fldSimple w:instr=" DOCPROPERTY &quot;Header&quot; \* MERGEFORMAT ">
      <w:r w:rsidR="00AA64D7" w:rsidRPr="00AA64D7">
        <w:rPr>
          <w:b/>
          <w:bCs/>
        </w:rPr>
        <w:t xml:space="preserve">Rec. </w:t>
      </w:r>
    </w:fldSimple>
    <w:r>
      <w:rPr>
        <w:b/>
      </w:rPr>
      <w:t xml:space="preserve"> </w:t>
    </w:r>
    <w:r>
      <w:rPr>
        <w:b/>
      </w:rPr>
      <w:fldChar w:fldCharType="begin"/>
    </w:r>
    <w:r>
      <w:rPr>
        <w:b/>
      </w:rPr>
      <w:instrText>styleref href</w:instrText>
    </w:r>
    <w:r>
      <w:rPr>
        <w:b/>
      </w:rPr>
      <w:fldChar w:fldCharType="separate"/>
    </w:r>
    <w:r w:rsidR="00AA64D7">
      <w:rPr>
        <w:b/>
        <w:noProof/>
      </w:rPr>
      <w:t>UIT-R  SA.2142-0</w:t>
    </w:r>
    <w:r>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iii</w:t>
    </w:r>
    <w:r>
      <w:rPr>
        <w:rStyle w:val="PageNumber"/>
        <w:b/>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C8CDC" w14:textId="28EE1738" w:rsidR="00F33AB1" w:rsidRDefault="00F33AB1">
    <w:pPr>
      <w:pStyle w:val="Header"/>
      <w:jc w:val="left"/>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6</w:t>
    </w:r>
    <w:r>
      <w:rPr>
        <w:rStyle w:val="PageNumber"/>
        <w:b/>
      </w:rPr>
      <w:fldChar w:fldCharType="end"/>
    </w:r>
    <w:r>
      <w:tab/>
    </w:r>
    <w:r>
      <w:fldChar w:fldCharType="begin"/>
    </w:r>
    <w:r w:rsidRPr="009E00A8">
      <w:instrText xml:space="preserve"> DOCPROPERTY "Header" \* MERGEFORMAT </w:instrText>
    </w:r>
    <w:r>
      <w:fldChar w:fldCharType="separate"/>
    </w:r>
    <w:r w:rsidR="00AA64D7" w:rsidRPr="00AA64D7">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AA64D7">
      <w:rPr>
        <w:b/>
        <w:noProof/>
      </w:rPr>
      <w:t>UIT-R  SA.2142-0</w:t>
    </w:r>
    <w:r>
      <w:rPr>
        <w: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26942" w14:textId="4B454A7F" w:rsidR="00F33AB1" w:rsidRDefault="00F33AB1">
    <w:pPr>
      <w:pStyle w:val="Header"/>
    </w:pPr>
    <w:r>
      <w:tab/>
    </w:r>
    <w:fldSimple w:instr=" DOCPROPERTY &quot;Header&quot; \* MERGEFORMAT ">
      <w:r w:rsidR="00AA64D7" w:rsidRPr="00AA64D7">
        <w:rPr>
          <w:b/>
          <w:bCs/>
        </w:rPr>
        <w:t xml:space="preserve">Rec. </w:t>
      </w:r>
    </w:fldSimple>
    <w:r>
      <w:rPr>
        <w:b/>
      </w:rPr>
      <w:t xml:space="preserve"> </w:t>
    </w:r>
    <w:r>
      <w:rPr>
        <w:b/>
      </w:rPr>
      <w:fldChar w:fldCharType="begin"/>
    </w:r>
    <w:r>
      <w:rPr>
        <w:b/>
      </w:rPr>
      <w:instrText>styleref href</w:instrText>
    </w:r>
    <w:r>
      <w:rPr>
        <w:b/>
      </w:rPr>
      <w:fldChar w:fldCharType="separate"/>
    </w:r>
    <w:r w:rsidR="00AA64D7">
      <w:rPr>
        <w:b/>
        <w:noProof/>
      </w:rPr>
      <w:t>UIT-R  SA.2142-0</w:t>
    </w:r>
    <w:r>
      <w:rPr>
        <w:b/>
      </w:rPr>
      <w:fldChar w:fldCharType="end"/>
    </w:r>
    <w:r>
      <w:tab/>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7</w:t>
    </w:r>
    <w:r>
      <w:rPr>
        <w:rStyle w:val="PageNumbe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1E3D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388A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5624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3E65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92071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540E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8A39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D669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040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480D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B4A71"/>
    <w:multiLevelType w:val="hybridMultilevel"/>
    <w:tmpl w:val="31607E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B96744"/>
    <w:multiLevelType w:val="multilevel"/>
    <w:tmpl w:val="E1F63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8D96F33"/>
    <w:multiLevelType w:val="hybridMultilevel"/>
    <w:tmpl w:val="1700C6F6"/>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174231"/>
    <w:multiLevelType w:val="hybridMultilevel"/>
    <w:tmpl w:val="E9445FA6"/>
    <w:lvl w:ilvl="0" w:tplc="040C000F">
      <w:start w:val="1"/>
      <w:numFmt w:val="decimal"/>
      <w:lvlText w:val="%1."/>
      <w:lvlJc w:val="left"/>
      <w:pPr>
        <w:tabs>
          <w:tab w:val="num" w:pos="720"/>
        </w:tabs>
        <w:ind w:left="720" w:hanging="360"/>
      </w:pPr>
      <w:rPr>
        <w:rFonts w:cs="Times New Roman"/>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05579DD"/>
    <w:multiLevelType w:val="hybridMultilevel"/>
    <w:tmpl w:val="8DDC94C6"/>
    <w:lvl w:ilvl="0" w:tplc="1ACA1E16">
      <w:start w:val="1"/>
      <w:numFmt w:val="decimal"/>
      <w:lvlText w:val="%1"/>
      <w:lvlJc w:val="left"/>
      <w:pPr>
        <w:ind w:left="290" w:hanging="375"/>
      </w:pPr>
      <w:rPr>
        <w:rFonts w:hint="default"/>
      </w:rPr>
    </w:lvl>
    <w:lvl w:ilvl="1" w:tplc="08090019" w:tentative="1">
      <w:start w:val="1"/>
      <w:numFmt w:val="lowerLetter"/>
      <w:lvlText w:val="%2."/>
      <w:lvlJc w:val="left"/>
      <w:pPr>
        <w:ind w:left="995" w:hanging="360"/>
      </w:pPr>
    </w:lvl>
    <w:lvl w:ilvl="2" w:tplc="0809001B" w:tentative="1">
      <w:start w:val="1"/>
      <w:numFmt w:val="lowerRoman"/>
      <w:lvlText w:val="%3."/>
      <w:lvlJc w:val="right"/>
      <w:pPr>
        <w:ind w:left="1715" w:hanging="180"/>
      </w:pPr>
    </w:lvl>
    <w:lvl w:ilvl="3" w:tplc="0809000F" w:tentative="1">
      <w:start w:val="1"/>
      <w:numFmt w:val="decimal"/>
      <w:lvlText w:val="%4."/>
      <w:lvlJc w:val="left"/>
      <w:pPr>
        <w:ind w:left="2435" w:hanging="360"/>
      </w:pPr>
    </w:lvl>
    <w:lvl w:ilvl="4" w:tplc="08090019" w:tentative="1">
      <w:start w:val="1"/>
      <w:numFmt w:val="lowerLetter"/>
      <w:lvlText w:val="%5."/>
      <w:lvlJc w:val="left"/>
      <w:pPr>
        <w:ind w:left="3155" w:hanging="360"/>
      </w:pPr>
    </w:lvl>
    <w:lvl w:ilvl="5" w:tplc="0809001B" w:tentative="1">
      <w:start w:val="1"/>
      <w:numFmt w:val="lowerRoman"/>
      <w:lvlText w:val="%6."/>
      <w:lvlJc w:val="right"/>
      <w:pPr>
        <w:ind w:left="3875" w:hanging="180"/>
      </w:pPr>
    </w:lvl>
    <w:lvl w:ilvl="6" w:tplc="0809000F" w:tentative="1">
      <w:start w:val="1"/>
      <w:numFmt w:val="decimal"/>
      <w:lvlText w:val="%7."/>
      <w:lvlJc w:val="left"/>
      <w:pPr>
        <w:ind w:left="4595" w:hanging="360"/>
      </w:pPr>
    </w:lvl>
    <w:lvl w:ilvl="7" w:tplc="08090019" w:tentative="1">
      <w:start w:val="1"/>
      <w:numFmt w:val="lowerLetter"/>
      <w:lvlText w:val="%8."/>
      <w:lvlJc w:val="left"/>
      <w:pPr>
        <w:ind w:left="5315" w:hanging="360"/>
      </w:pPr>
    </w:lvl>
    <w:lvl w:ilvl="8" w:tplc="0809001B" w:tentative="1">
      <w:start w:val="1"/>
      <w:numFmt w:val="lowerRoman"/>
      <w:lvlText w:val="%9."/>
      <w:lvlJc w:val="right"/>
      <w:pPr>
        <w:ind w:left="6035" w:hanging="180"/>
      </w:pPr>
    </w:lvl>
  </w:abstractNum>
  <w:abstractNum w:abstractNumId="16" w15:restartNumberingAfterBreak="0">
    <w:nsid w:val="4B1E0FF9"/>
    <w:multiLevelType w:val="hybridMultilevel"/>
    <w:tmpl w:val="949C9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BA71C9"/>
    <w:multiLevelType w:val="hybridMultilevel"/>
    <w:tmpl w:val="FD0A258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F6609B"/>
    <w:multiLevelType w:val="hybridMultilevel"/>
    <w:tmpl w:val="063EBF3A"/>
    <w:lvl w:ilvl="0" w:tplc="0F707EA8">
      <w:start w:val="1"/>
      <w:numFmt w:val="decimal"/>
      <w:lvlText w:val="%1."/>
      <w:lvlJc w:val="right"/>
      <w:pPr>
        <w:tabs>
          <w:tab w:val="num" w:pos="567"/>
        </w:tabs>
        <w:ind w:left="567" w:hanging="207"/>
      </w:pPr>
      <w:rPr>
        <w:rFont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55CA6149"/>
    <w:multiLevelType w:val="hybridMultilevel"/>
    <w:tmpl w:val="5906AEE6"/>
    <w:lvl w:ilvl="0" w:tplc="3328E9B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D503010"/>
    <w:multiLevelType w:val="hybridMultilevel"/>
    <w:tmpl w:val="49E8A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3"/>
  </w:num>
  <w:num w:numId="4">
    <w:abstractNumId w:val="17"/>
  </w:num>
  <w:num w:numId="5">
    <w:abstractNumId w:val="14"/>
  </w:num>
  <w:num w:numId="6">
    <w:abstractNumId w:val="16"/>
  </w:num>
  <w:num w:numId="7">
    <w:abstractNumId w:val="20"/>
  </w:num>
  <w:num w:numId="8">
    <w:abstractNumId w:val="19"/>
  </w:num>
  <w:num w:numId="9">
    <w:abstractNumId w:val="11"/>
  </w:num>
  <w:num w:numId="10">
    <w:abstractNumId w:val="10"/>
  </w:num>
  <w:num w:numId="11">
    <w:abstractNumId w:val="1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47B"/>
    <w:rsid w:val="00001BF9"/>
    <w:rsid w:val="00004B5C"/>
    <w:rsid w:val="00005C2F"/>
    <w:rsid w:val="00020CA7"/>
    <w:rsid w:val="000274D0"/>
    <w:rsid w:val="00031371"/>
    <w:rsid w:val="00031C8B"/>
    <w:rsid w:val="0003241A"/>
    <w:rsid w:val="00043914"/>
    <w:rsid w:val="00043C52"/>
    <w:rsid w:val="000535ED"/>
    <w:rsid w:val="00076070"/>
    <w:rsid w:val="00087644"/>
    <w:rsid w:val="000907B6"/>
    <w:rsid w:val="00091D2A"/>
    <w:rsid w:val="000A597C"/>
    <w:rsid w:val="000A6979"/>
    <w:rsid w:val="000B0A22"/>
    <w:rsid w:val="000B2AFF"/>
    <w:rsid w:val="000B5E29"/>
    <w:rsid w:val="000C49B2"/>
    <w:rsid w:val="000C5FA5"/>
    <w:rsid w:val="000C6FCB"/>
    <w:rsid w:val="000E4AD0"/>
    <w:rsid w:val="000F0951"/>
    <w:rsid w:val="00102048"/>
    <w:rsid w:val="00104526"/>
    <w:rsid w:val="00107239"/>
    <w:rsid w:val="001113E7"/>
    <w:rsid w:val="00117A35"/>
    <w:rsid w:val="00123C74"/>
    <w:rsid w:val="00127D78"/>
    <w:rsid w:val="00127EE8"/>
    <w:rsid w:val="00133E98"/>
    <w:rsid w:val="00133F2E"/>
    <w:rsid w:val="00144D5B"/>
    <w:rsid w:val="00146176"/>
    <w:rsid w:val="0015026B"/>
    <w:rsid w:val="00150B6A"/>
    <w:rsid w:val="001603D2"/>
    <w:rsid w:val="00170A50"/>
    <w:rsid w:val="00170C9A"/>
    <w:rsid w:val="001760ED"/>
    <w:rsid w:val="00177AB4"/>
    <w:rsid w:val="00180C78"/>
    <w:rsid w:val="00186DC5"/>
    <w:rsid w:val="00190EC7"/>
    <w:rsid w:val="001B4551"/>
    <w:rsid w:val="001C02DC"/>
    <w:rsid w:val="001C0629"/>
    <w:rsid w:val="001C74B5"/>
    <w:rsid w:val="001D0CE5"/>
    <w:rsid w:val="001D5013"/>
    <w:rsid w:val="001D7E02"/>
    <w:rsid w:val="001E00CA"/>
    <w:rsid w:val="001E0C54"/>
    <w:rsid w:val="001F0431"/>
    <w:rsid w:val="002035B6"/>
    <w:rsid w:val="00203F22"/>
    <w:rsid w:val="00213C3C"/>
    <w:rsid w:val="002141EE"/>
    <w:rsid w:val="002144E1"/>
    <w:rsid w:val="00214D90"/>
    <w:rsid w:val="00217EBF"/>
    <w:rsid w:val="002244FD"/>
    <w:rsid w:val="002311F9"/>
    <w:rsid w:val="002358F8"/>
    <w:rsid w:val="00242AEE"/>
    <w:rsid w:val="00244D60"/>
    <w:rsid w:val="002538D4"/>
    <w:rsid w:val="00253BD2"/>
    <w:rsid w:val="00255053"/>
    <w:rsid w:val="00261135"/>
    <w:rsid w:val="0027784C"/>
    <w:rsid w:val="002847A1"/>
    <w:rsid w:val="00295C48"/>
    <w:rsid w:val="002A03FC"/>
    <w:rsid w:val="002A7580"/>
    <w:rsid w:val="002B2937"/>
    <w:rsid w:val="002C4CF3"/>
    <w:rsid w:val="002C5AD5"/>
    <w:rsid w:val="002D351F"/>
    <w:rsid w:val="002D6DD3"/>
    <w:rsid w:val="002D76C4"/>
    <w:rsid w:val="002E34E2"/>
    <w:rsid w:val="00303DE6"/>
    <w:rsid w:val="00314A1C"/>
    <w:rsid w:val="003158EF"/>
    <w:rsid w:val="00320B2F"/>
    <w:rsid w:val="00322016"/>
    <w:rsid w:val="0034062C"/>
    <w:rsid w:val="00352588"/>
    <w:rsid w:val="0035284C"/>
    <w:rsid w:val="00354E9A"/>
    <w:rsid w:val="003574B6"/>
    <w:rsid w:val="00360A82"/>
    <w:rsid w:val="0036406E"/>
    <w:rsid w:val="00366637"/>
    <w:rsid w:val="0037512E"/>
    <w:rsid w:val="00377F67"/>
    <w:rsid w:val="00383328"/>
    <w:rsid w:val="0038399F"/>
    <w:rsid w:val="003842C9"/>
    <w:rsid w:val="00385F0B"/>
    <w:rsid w:val="00392654"/>
    <w:rsid w:val="003966CE"/>
    <w:rsid w:val="003B67F7"/>
    <w:rsid w:val="003B7F4C"/>
    <w:rsid w:val="003E3352"/>
    <w:rsid w:val="003E3FF2"/>
    <w:rsid w:val="003F6718"/>
    <w:rsid w:val="0040322D"/>
    <w:rsid w:val="0041362C"/>
    <w:rsid w:val="0042452C"/>
    <w:rsid w:val="00431C2A"/>
    <w:rsid w:val="00440714"/>
    <w:rsid w:val="00441D18"/>
    <w:rsid w:val="00447592"/>
    <w:rsid w:val="00447F2A"/>
    <w:rsid w:val="00450A65"/>
    <w:rsid w:val="00452B65"/>
    <w:rsid w:val="00454079"/>
    <w:rsid w:val="0046514B"/>
    <w:rsid w:val="004975CD"/>
    <w:rsid w:val="004A1293"/>
    <w:rsid w:val="004A52FE"/>
    <w:rsid w:val="004A69E1"/>
    <w:rsid w:val="004C4B97"/>
    <w:rsid w:val="004D2BEB"/>
    <w:rsid w:val="004E67DB"/>
    <w:rsid w:val="004E7D89"/>
    <w:rsid w:val="004F1E3D"/>
    <w:rsid w:val="005053A3"/>
    <w:rsid w:val="00505B7F"/>
    <w:rsid w:val="0050710A"/>
    <w:rsid w:val="005128D0"/>
    <w:rsid w:val="0051376E"/>
    <w:rsid w:val="00520F87"/>
    <w:rsid w:val="00523B94"/>
    <w:rsid w:val="0052529D"/>
    <w:rsid w:val="005420C4"/>
    <w:rsid w:val="00556C70"/>
    <w:rsid w:val="0056044A"/>
    <w:rsid w:val="00581450"/>
    <w:rsid w:val="00582E17"/>
    <w:rsid w:val="0059064F"/>
    <w:rsid w:val="00595ED0"/>
    <w:rsid w:val="005966B8"/>
    <w:rsid w:val="005A1A39"/>
    <w:rsid w:val="005A5CCC"/>
    <w:rsid w:val="005B111B"/>
    <w:rsid w:val="005B5FA2"/>
    <w:rsid w:val="005C6A03"/>
    <w:rsid w:val="005D094A"/>
    <w:rsid w:val="005D537D"/>
    <w:rsid w:val="005E56C6"/>
    <w:rsid w:val="005F0D31"/>
    <w:rsid w:val="006022EA"/>
    <w:rsid w:val="00603E58"/>
    <w:rsid w:val="00607D68"/>
    <w:rsid w:val="006140A2"/>
    <w:rsid w:val="00623D19"/>
    <w:rsid w:val="00625308"/>
    <w:rsid w:val="00641BC1"/>
    <w:rsid w:val="00665AEA"/>
    <w:rsid w:val="00671A85"/>
    <w:rsid w:val="00677132"/>
    <w:rsid w:val="00677BC9"/>
    <w:rsid w:val="006A2E06"/>
    <w:rsid w:val="006A4FB1"/>
    <w:rsid w:val="006A58DC"/>
    <w:rsid w:val="006E2CAD"/>
    <w:rsid w:val="006E44B0"/>
    <w:rsid w:val="006E5294"/>
    <w:rsid w:val="006F33B5"/>
    <w:rsid w:val="007077DB"/>
    <w:rsid w:val="0072073F"/>
    <w:rsid w:val="00723B23"/>
    <w:rsid w:val="00723C43"/>
    <w:rsid w:val="00727140"/>
    <w:rsid w:val="00727D1D"/>
    <w:rsid w:val="007435C3"/>
    <w:rsid w:val="00743F83"/>
    <w:rsid w:val="007468DA"/>
    <w:rsid w:val="007538E9"/>
    <w:rsid w:val="0075413D"/>
    <w:rsid w:val="0076130B"/>
    <w:rsid w:val="00765549"/>
    <w:rsid w:val="00766449"/>
    <w:rsid w:val="00770F0A"/>
    <w:rsid w:val="00772E49"/>
    <w:rsid w:val="00774666"/>
    <w:rsid w:val="0079500E"/>
    <w:rsid w:val="007A0BFD"/>
    <w:rsid w:val="007A296C"/>
    <w:rsid w:val="007A400E"/>
    <w:rsid w:val="007A63A8"/>
    <w:rsid w:val="007A7F9A"/>
    <w:rsid w:val="007B1CB2"/>
    <w:rsid w:val="007C0145"/>
    <w:rsid w:val="007C6413"/>
    <w:rsid w:val="007E3BB3"/>
    <w:rsid w:val="007E51D4"/>
    <w:rsid w:val="007F4913"/>
    <w:rsid w:val="008047DB"/>
    <w:rsid w:val="00813DC3"/>
    <w:rsid w:val="008231B2"/>
    <w:rsid w:val="00830DA9"/>
    <w:rsid w:val="008310BC"/>
    <w:rsid w:val="00854FB0"/>
    <w:rsid w:val="00873400"/>
    <w:rsid w:val="00874EAE"/>
    <w:rsid w:val="00874ECD"/>
    <w:rsid w:val="00890E75"/>
    <w:rsid w:val="008C304B"/>
    <w:rsid w:val="008C4E93"/>
    <w:rsid w:val="008C5476"/>
    <w:rsid w:val="008D09C0"/>
    <w:rsid w:val="008D52FA"/>
    <w:rsid w:val="008D6FB5"/>
    <w:rsid w:val="008E6F53"/>
    <w:rsid w:val="008F0770"/>
    <w:rsid w:val="008F1C65"/>
    <w:rsid w:val="00913CA1"/>
    <w:rsid w:val="009227AC"/>
    <w:rsid w:val="00923C66"/>
    <w:rsid w:val="00935D5F"/>
    <w:rsid w:val="0093730A"/>
    <w:rsid w:val="0094615D"/>
    <w:rsid w:val="009505AC"/>
    <w:rsid w:val="009514E2"/>
    <w:rsid w:val="00960FD1"/>
    <w:rsid w:val="00964CC1"/>
    <w:rsid w:val="00975FFE"/>
    <w:rsid w:val="00983791"/>
    <w:rsid w:val="009855D2"/>
    <w:rsid w:val="009866B9"/>
    <w:rsid w:val="00996372"/>
    <w:rsid w:val="009A49C2"/>
    <w:rsid w:val="009A709D"/>
    <w:rsid w:val="009B7AFD"/>
    <w:rsid w:val="009C3454"/>
    <w:rsid w:val="009C6CEE"/>
    <w:rsid w:val="009D3D70"/>
    <w:rsid w:val="009D55C5"/>
    <w:rsid w:val="009E00A8"/>
    <w:rsid w:val="009E4A45"/>
    <w:rsid w:val="009E68B1"/>
    <w:rsid w:val="009E7BFB"/>
    <w:rsid w:val="009F0B45"/>
    <w:rsid w:val="00A11E5F"/>
    <w:rsid w:val="00A121B3"/>
    <w:rsid w:val="00A1289A"/>
    <w:rsid w:val="00A13F7A"/>
    <w:rsid w:val="00A15854"/>
    <w:rsid w:val="00A23009"/>
    <w:rsid w:val="00A23B31"/>
    <w:rsid w:val="00A24283"/>
    <w:rsid w:val="00A32EE2"/>
    <w:rsid w:val="00A3427E"/>
    <w:rsid w:val="00A431FC"/>
    <w:rsid w:val="00A44343"/>
    <w:rsid w:val="00A626F5"/>
    <w:rsid w:val="00A62B6F"/>
    <w:rsid w:val="00A6617B"/>
    <w:rsid w:val="00A7798D"/>
    <w:rsid w:val="00A82000"/>
    <w:rsid w:val="00A83570"/>
    <w:rsid w:val="00AA64D7"/>
    <w:rsid w:val="00AB0DC8"/>
    <w:rsid w:val="00AB17A4"/>
    <w:rsid w:val="00AB187A"/>
    <w:rsid w:val="00AB2931"/>
    <w:rsid w:val="00AB4A6C"/>
    <w:rsid w:val="00AB75F2"/>
    <w:rsid w:val="00AD38F2"/>
    <w:rsid w:val="00B00C9F"/>
    <w:rsid w:val="00B14736"/>
    <w:rsid w:val="00B17252"/>
    <w:rsid w:val="00B20C67"/>
    <w:rsid w:val="00B24006"/>
    <w:rsid w:val="00B33372"/>
    <w:rsid w:val="00B44E24"/>
    <w:rsid w:val="00B5527C"/>
    <w:rsid w:val="00B72EF8"/>
    <w:rsid w:val="00B755E7"/>
    <w:rsid w:val="00B82EFB"/>
    <w:rsid w:val="00B901C6"/>
    <w:rsid w:val="00B9126C"/>
    <w:rsid w:val="00B974DE"/>
    <w:rsid w:val="00BA7324"/>
    <w:rsid w:val="00BB0BAC"/>
    <w:rsid w:val="00BC34A3"/>
    <w:rsid w:val="00BC5BEE"/>
    <w:rsid w:val="00BC7E78"/>
    <w:rsid w:val="00BD2B0F"/>
    <w:rsid w:val="00BD3AF7"/>
    <w:rsid w:val="00BD59C4"/>
    <w:rsid w:val="00BE31CB"/>
    <w:rsid w:val="00BF15FD"/>
    <w:rsid w:val="00BF5FA5"/>
    <w:rsid w:val="00C05BA6"/>
    <w:rsid w:val="00C1237C"/>
    <w:rsid w:val="00C162CB"/>
    <w:rsid w:val="00C1676C"/>
    <w:rsid w:val="00C20843"/>
    <w:rsid w:val="00C234CA"/>
    <w:rsid w:val="00C41018"/>
    <w:rsid w:val="00C62D53"/>
    <w:rsid w:val="00C6390A"/>
    <w:rsid w:val="00C66F06"/>
    <w:rsid w:val="00C7547B"/>
    <w:rsid w:val="00C77E2E"/>
    <w:rsid w:val="00C8055F"/>
    <w:rsid w:val="00C8403D"/>
    <w:rsid w:val="00C9030A"/>
    <w:rsid w:val="00CA01A7"/>
    <w:rsid w:val="00CA2D68"/>
    <w:rsid w:val="00CA4ACE"/>
    <w:rsid w:val="00CB24B3"/>
    <w:rsid w:val="00CB5DFC"/>
    <w:rsid w:val="00CB6AC8"/>
    <w:rsid w:val="00CB7499"/>
    <w:rsid w:val="00CC03E6"/>
    <w:rsid w:val="00CC6F16"/>
    <w:rsid w:val="00CE040B"/>
    <w:rsid w:val="00CE1D76"/>
    <w:rsid w:val="00D11A17"/>
    <w:rsid w:val="00D15852"/>
    <w:rsid w:val="00D2022D"/>
    <w:rsid w:val="00D22C30"/>
    <w:rsid w:val="00D2328B"/>
    <w:rsid w:val="00D35A8F"/>
    <w:rsid w:val="00D424EA"/>
    <w:rsid w:val="00D45496"/>
    <w:rsid w:val="00D7328D"/>
    <w:rsid w:val="00D87183"/>
    <w:rsid w:val="00DB4054"/>
    <w:rsid w:val="00DC3C16"/>
    <w:rsid w:val="00DC7FDF"/>
    <w:rsid w:val="00DD074F"/>
    <w:rsid w:val="00DD0DD3"/>
    <w:rsid w:val="00DD4196"/>
    <w:rsid w:val="00DD5058"/>
    <w:rsid w:val="00DE2941"/>
    <w:rsid w:val="00DF3024"/>
    <w:rsid w:val="00DF4176"/>
    <w:rsid w:val="00E06B5E"/>
    <w:rsid w:val="00E12FB5"/>
    <w:rsid w:val="00E14180"/>
    <w:rsid w:val="00E15196"/>
    <w:rsid w:val="00E22796"/>
    <w:rsid w:val="00E345BE"/>
    <w:rsid w:val="00E36B2E"/>
    <w:rsid w:val="00E37F18"/>
    <w:rsid w:val="00E40EAF"/>
    <w:rsid w:val="00E46596"/>
    <w:rsid w:val="00E54B32"/>
    <w:rsid w:val="00E608C5"/>
    <w:rsid w:val="00E634D4"/>
    <w:rsid w:val="00E64D99"/>
    <w:rsid w:val="00E65E7D"/>
    <w:rsid w:val="00E7610E"/>
    <w:rsid w:val="00E76ACA"/>
    <w:rsid w:val="00E8084F"/>
    <w:rsid w:val="00E83559"/>
    <w:rsid w:val="00E86C8F"/>
    <w:rsid w:val="00E86DFD"/>
    <w:rsid w:val="00E97535"/>
    <w:rsid w:val="00EA15A9"/>
    <w:rsid w:val="00EB075E"/>
    <w:rsid w:val="00EB5F3F"/>
    <w:rsid w:val="00EC4FFF"/>
    <w:rsid w:val="00ED0636"/>
    <w:rsid w:val="00ED6853"/>
    <w:rsid w:val="00EF2F4F"/>
    <w:rsid w:val="00EF41C0"/>
    <w:rsid w:val="00F019B4"/>
    <w:rsid w:val="00F02B9E"/>
    <w:rsid w:val="00F07139"/>
    <w:rsid w:val="00F1369B"/>
    <w:rsid w:val="00F13976"/>
    <w:rsid w:val="00F25D8C"/>
    <w:rsid w:val="00F31513"/>
    <w:rsid w:val="00F33AB1"/>
    <w:rsid w:val="00F460A8"/>
    <w:rsid w:val="00F50347"/>
    <w:rsid w:val="00F66D6E"/>
    <w:rsid w:val="00F96F92"/>
    <w:rsid w:val="00FA13B2"/>
    <w:rsid w:val="00FA72EA"/>
    <w:rsid w:val="00FB61C4"/>
    <w:rsid w:val="00FC362E"/>
    <w:rsid w:val="00FD74DD"/>
    <w:rsid w:val="00FE0AD4"/>
    <w:rsid w:val="00FE41BB"/>
    <w:rsid w:val="00FF79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0DF0C824"/>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340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3241A"/>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66D6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03241A"/>
    <w:pPr>
      <w:spacing w:after="480"/>
      <w:ind w:right="-284"/>
    </w:pPr>
    <w:rPr>
      <w:sz w:val="22"/>
      <w:lang w:val="es-ES_tradnl"/>
    </w:rPr>
  </w:style>
  <w:style w:type="paragraph" w:customStyle="1" w:styleId="TableLegendNote">
    <w:name w:val="Table_Legend_Note"/>
    <w:basedOn w:val="Tablelegend"/>
    <w:next w:val="Tablelegend"/>
    <w:rsid w:val="007468DA"/>
    <w:pPr>
      <w:ind w:left="-85" w:firstLine="0"/>
    </w:p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C7547B"/>
    <w:rPr>
      <w:b/>
      <w:sz w:val="24"/>
      <w:lang w:val="es-ES" w:eastAsia="en-US"/>
    </w:rPr>
  </w:style>
  <w:style w:type="character" w:customStyle="1" w:styleId="HeaderChar">
    <w:name w:val="Header Char"/>
    <w:basedOn w:val="DefaultParagraphFont"/>
    <w:link w:val="Header"/>
    <w:uiPriority w:val="99"/>
    <w:rsid w:val="00C7547B"/>
    <w:rPr>
      <w:sz w:val="24"/>
      <w:lang w:val="es-ES" w:eastAsia="en-US"/>
    </w:rPr>
  </w:style>
  <w:style w:type="character" w:styleId="Hyperlink">
    <w:name w:val="Hyperlink"/>
    <w:aliases w:val="CEO_Hyperlink"/>
    <w:basedOn w:val="DefaultParagraphFont"/>
    <w:uiPriority w:val="99"/>
    <w:rsid w:val="00C7547B"/>
    <w:rPr>
      <w:color w:val="0000FF"/>
      <w:u w:val="single"/>
    </w:rPr>
  </w:style>
  <w:style w:type="character" w:customStyle="1" w:styleId="TableheadChar">
    <w:name w:val="Table_head Char"/>
    <w:basedOn w:val="DefaultParagraphFont"/>
    <w:link w:val="Tablehead"/>
    <w:uiPriority w:val="99"/>
    <w:qFormat/>
    <w:locked/>
    <w:rsid w:val="00C7547B"/>
    <w:rPr>
      <w:b/>
      <w:sz w:val="22"/>
      <w:lang w:val="es-ES" w:eastAsia="en-US"/>
    </w:rPr>
  </w:style>
  <w:style w:type="character" w:customStyle="1" w:styleId="TabletextChar">
    <w:name w:val="Table_text Char"/>
    <w:basedOn w:val="DefaultParagraphFont"/>
    <w:link w:val="Tabletext"/>
    <w:qFormat/>
    <w:locked/>
    <w:rsid w:val="00C7547B"/>
    <w:rPr>
      <w:sz w:val="22"/>
      <w:lang w:val="es-ES" w:eastAsia="en-US"/>
    </w:rPr>
  </w:style>
  <w:style w:type="character" w:customStyle="1" w:styleId="RectitleChar">
    <w:name w:val="Rec_title Char"/>
    <w:link w:val="Rectitle"/>
    <w:locked/>
    <w:rsid w:val="00C7547B"/>
    <w:rPr>
      <w:b/>
      <w:sz w:val="28"/>
      <w:lang w:val="es-ES" w:eastAsia="en-US"/>
    </w:rPr>
  </w:style>
  <w:style w:type="paragraph" w:customStyle="1" w:styleId="AnnexNo">
    <w:name w:val="Annex_No"/>
    <w:basedOn w:val="Normal"/>
    <w:next w:val="Normal"/>
    <w:rsid w:val="00E345BE"/>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Reasons">
    <w:name w:val="Reasons"/>
    <w:basedOn w:val="Normal"/>
    <w:qFormat/>
    <w:rsid w:val="00E345BE"/>
    <w:pPr>
      <w:tabs>
        <w:tab w:val="clear" w:pos="794"/>
        <w:tab w:val="clear" w:pos="1191"/>
        <w:tab w:val="left" w:pos="1134"/>
      </w:tabs>
      <w:jc w:val="left"/>
    </w:pPr>
  </w:style>
  <w:style w:type="character" w:customStyle="1" w:styleId="FootnoteTextChar">
    <w:name w:val="Footnote Text Char"/>
    <w:basedOn w:val="DefaultParagraphFont"/>
    <w:link w:val="FootnoteText"/>
    <w:rsid w:val="00E345BE"/>
    <w:rPr>
      <w:sz w:val="22"/>
      <w:lang w:val="es-ES" w:eastAsia="en-US"/>
    </w:rPr>
  </w:style>
  <w:style w:type="table" w:styleId="TableGrid">
    <w:name w:val="Table Grid"/>
    <w:basedOn w:val="TableNormal"/>
    <w:rsid w:val="00E345B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A03FC"/>
    <w:rPr>
      <w:b/>
      <w:sz w:val="24"/>
      <w:lang w:val="es-ES" w:eastAsia="en-US"/>
    </w:rPr>
  </w:style>
  <w:style w:type="character" w:customStyle="1" w:styleId="Heading3Char">
    <w:name w:val="Heading 3 Char"/>
    <w:basedOn w:val="DefaultParagraphFont"/>
    <w:link w:val="Heading3"/>
    <w:rsid w:val="002A03FC"/>
    <w:rPr>
      <w:b/>
      <w:sz w:val="24"/>
      <w:lang w:val="es-ES" w:eastAsia="en-US"/>
    </w:rPr>
  </w:style>
  <w:style w:type="character" w:customStyle="1" w:styleId="Heading4Char">
    <w:name w:val="Heading 4 Char"/>
    <w:basedOn w:val="DefaultParagraphFont"/>
    <w:link w:val="Heading4"/>
    <w:rsid w:val="002A03FC"/>
    <w:rPr>
      <w:b/>
      <w:sz w:val="24"/>
      <w:lang w:val="es-ES" w:eastAsia="en-US"/>
    </w:rPr>
  </w:style>
  <w:style w:type="character" w:customStyle="1" w:styleId="Heading5Char">
    <w:name w:val="Heading 5 Char"/>
    <w:basedOn w:val="DefaultParagraphFont"/>
    <w:link w:val="Heading5"/>
    <w:rsid w:val="002A03FC"/>
    <w:rPr>
      <w:b/>
      <w:sz w:val="24"/>
      <w:lang w:val="es-ES" w:eastAsia="en-US"/>
    </w:rPr>
  </w:style>
  <w:style w:type="character" w:customStyle="1" w:styleId="Heading6Char">
    <w:name w:val="Heading 6 Char"/>
    <w:basedOn w:val="DefaultParagraphFont"/>
    <w:link w:val="Heading6"/>
    <w:rsid w:val="002A03FC"/>
    <w:rPr>
      <w:b/>
      <w:sz w:val="24"/>
      <w:lang w:val="es-ES" w:eastAsia="en-US"/>
    </w:rPr>
  </w:style>
  <w:style w:type="character" w:customStyle="1" w:styleId="Heading7Char">
    <w:name w:val="Heading 7 Char"/>
    <w:basedOn w:val="DefaultParagraphFont"/>
    <w:link w:val="Heading7"/>
    <w:rsid w:val="002A03FC"/>
    <w:rPr>
      <w:b/>
      <w:sz w:val="24"/>
      <w:lang w:val="es-ES" w:eastAsia="en-US"/>
    </w:rPr>
  </w:style>
  <w:style w:type="character" w:customStyle="1" w:styleId="Heading8Char">
    <w:name w:val="Heading 8 Char"/>
    <w:basedOn w:val="DefaultParagraphFont"/>
    <w:link w:val="Heading8"/>
    <w:rsid w:val="002A03FC"/>
    <w:rPr>
      <w:b/>
      <w:sz w:val="24"/>
      <w:lang w:val="es-ES" w:eastAsia="en-US"/>
    </w:rPr>
  </w:style>
  <w:style w:type="character" w:customStyle="1" w:styleId="Heading9Char">
    <w:name w:val="Heading 9 Char"/>
    <w:basedOn w:val="DefaultParagraphFont"/>
    <w:link w:val="Heading9"/>
    <w:rsid w:val="002A03FC"/>
    <w:rPr>
      <w:b/>
      <w:sz w:val="24"/>
      <w:lang w:val="es-ES" w:eastAsia="en-US"/>
    </w:rPr>
  </w:style>
  <w:style w:type="paragraph" w:customStyle="1" w:styleId="Artheading">
    <w:name w:val="Art_heading"/>
    <w:basedOn w:val="Normal"/>
    <w:next w:val="Normal"/>
    <w:rsid w:val="002A03F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2A03FC"/>
    <w:rPr>
      <w:vertAlign w:val="superscript"/>
    </w:rPr>
  </w:style>
  <w:style w:type="paragraph" w:customStyle="1" w:styleId="Figurewithouttitle">
    <w:name w:val="Figure_without_title"/>
    <w:basedOn w:val="FigureNo"/>
    <w:next w:val="Normal"/>
    <w:rsid w:val="002A03FC"/>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2A03FC"/>
    <w:rPr>
      <w:noProof/>
      <w:sz w:val="18"/>
      <w:lang w:val="es-ES" w:eastAsia="en-US"/>
    </w:rPr>
  </w:style>
  <w:style w:type="paragraph" w:customStyle="1" w:styleId="FirstFooter">
    <w:name w:val="FirstFooter"/>
    <w:basedOn w:val="Footer"/>
    <w:rsid w:val="002A03FC"/>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2A03FC"/>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2A03FC"/>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2A03FC"/>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2A03FC"/>
    <w:pPr>
      <w:tabs>
        <w:tab w:val="left" w:pos="567"/>
        <w:tab w:val="left" w:pos="1701"/>
        <w:tab w:val="left" w:pos="2835"/>
      </w:tabs>
      <w:spacing w:before="240"/>
    </w:pPr>
    <w:rPr>
      <w:b w:val="0"/>
      <w:caps/>
    </w:rPr>
  </w:style>
  <w:style w:type="paragraph" w:customStyle="1" w:styleId="Title2">
    <w:name w:val="Title 2"/>
    <w:basedOn w:val="Source"/>
    <w:next w:val="Normal"/>
    <w:rsid w:val="002A03FC"/>
    <w:pPr>
      <w:overflowPunct/>
      <w:autoSpaceDE/>
      <w:autoSpaceDN/>
      <w:adjustRightInd/>
      <w:spacing w:before="480"/>
      <w:textAlignment w:val="auto"/>
    </w:pPr>
    <w:rPr>
      <w:b w:val="0"/>
      <w:caps/>
    </w:rPr>
  </w:style>
  <w:style w:type="paragraph" w:customStyle="1" w:styleId="Title3">
    <w:name w:val="Title 3"/>
    <w:basedOn w:val="Title2"/>
    <w:next w:val="Normal"/>
    <w:rsid w:val="002A03FC"/>
    <w:pPr>
      <w:spacing w:before="240"/>
    </w:pPr>
    <w:rPr>
      <w:caps w:val="0"/>
    </w:rPr>
  </w:style>
  <w:style w:type="paragraph" w:customStyle="1" w:styleId="Title4">
    <w:name w:val="Title 4"/>
    <w:basedOn w:val="Title3"/>
    <w:next w:val="Heading1"/>
    <w:rsid w:val="002A03FC"/>
    <w:rPr>
      <w:b/>
    </w:rPr>
  </w:style>
  <w:style w:type="character" w:customStyle="1" w:styleId="Appdef">
    <w:name w:val="App_def"/>
    <w:basedOn w:val="DefaultParagraphFont"/>
    <w:rsid w:val="002A03FC"/>
    <w:rPr>
      <w:rFonts w:ascii="Times New Roman" w:hAnsi="Times New Roman"/>
      <w:b/>
    </w:rPr>
  </w:style>
  <w:style w:type="character" w:customStyle="1" w:styleId="Appref">
    <w:name w:val="App_ref"/>
    <w:basedOn w:val="DefaultParagraphFont"/>
    <w:rsid w:val="002A03FC"/>
  </w:style>
  <w:style w:type="character" w:customStyle="1" w:styleId="Artdef">
    <w:name w:val="Art_def"/>
    <w:basedOn w:val="DefaultParagraphFont"/>
    <w:rsid w:val="002A03FC"/>
    <w:rPr>
      <w:rFonts w:ascii="Times New Roman" w:hAnsi="Times New Roman"/>
      <w:b/>
    </w:rPr>
  </w:style>
  <w:style w:type="character" w:customStyle="1" w:styleId="Artref">
    <w:name w:val="Art_ref"/>
    <w:basedOn w:val="DefaultParagraphFont"/>
    <w:rsid w:val="002A03FC"/>
  </w:style>
  <w:style w:type="character" w:customStyle="1" w:styleId="Recdef">
    <w:name w:val="Rec_def"/>
    <w:basedOn w:val="DefaultParagraphFont"/>
    <w:rsid w:val="002A03FC"/>
    <w:rPr>
      <w:b/>
    </w:rPr>
  </w:style>
  <w:style w:type="character" w:customStyle="1" w:styleId="Resdef">
    <w:name w:val="Res_def"/>
    <w:basedOn w:val="DefaultParagraphFont"/>
    <w:rsid w:val="002A03FC"/>
    <w:rPr>
      <w:rFonts w:ascii="Times New Roman" w:hAnsi="Times New Roman"/>
      <w:b/>
    </w:rPr>
  </w:style>
  <w:style w:type="character" w:customStyle="1" w:styleId="Tablefreq">
    <w:name w:val="Table_freq"/>
    <w:basedOn w:val="DefaultParagraphFont"/>
    <w:rsid w:val="002A03FC"/>
    <w:rPr>
      <w:b/>
      <w:color w:val="auto"/>
      <w:sz w:val="20"/>
    </w:rPr>
  </w:style>
  <w:style w:type="paragraph" w:customStyle="1" w:styleId="Formal">
    <w:name w:val="Formal"/>
    <w:basedOn w:val="ASN1"/>
    <w:rsid w:val="002A03FC"/>
    <w:pPr>
      <w:tabs>
        <w:tab w:val="left" w:pos="1871"/>
      </w:tabs>
      <w:jc w:val="left"/>
    </w:pPr>
    <w:rPr>
      <w:rFonts w:ascii="Times New Roman Bold" w:hAnsi="Times New Roman Bold"/>
      <w:b w:val="0"/>
    </w:rPr>
  </w:style>
  <w:style w:type="paragraph" w:customStyle="1" w:styleId="Section1">
    <w:name w:val="Section_1"/>
    <w:basedOn w:val="Normal"/>
    <w:rsid w:val="002A03FC"/>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2A03FC"/>
    <w:rPr>
      <w:b w:val="0"/>
      <w:i/>
    </w:rPr>
  </w:style>
  <w:style w:type="paragraph" w:customStyle="1" w:styleId="Annextitle">
    <w:name w:val="Annex_title"/>
    <w:basedOn w:val="Normal"/>
    <w:next w:val="Normal"/>
    <w:rsid w:val="002A03F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2A03FC"/>
  </w:style>
  <w:style w:type="paragraph" w:customStyle="1" w:styleId="Appendixtitle">
    <w:name w:val="Appendix_title"/>
    <w:basedOn w:val="Annextitle"/>
    <w:next w:val="Normal"/>
    <w:rsid w:val="002A03FC"/>
  </w:style>
  <w:style w:type="paragraph" w:customStyle="1" w:styleId="Border">
    <w:name w:val="Border"/>
    <w:basedOn w:val="Normal"/>
    <w:rsid w:val="002A03F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2A03FC"/>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2A03FC"/>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2A03FC"/>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2A03FC"/>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2A03FC"/>
  </w:style>
  <w:style w:type="paragraph" w:customStyle="1" w:styleId="Normalaftertitle0">
    <w:name w:val="Normal after title"/>
    <w:basedOn w:val="Normal"/>
    <w:next w:val="Normal"/>
    <w:rsid w:val="00A23B31"/>
    <w:pPr>
      <w:tabs>
        <w:tab w:val="clear" w:pos="794"/>
        <w:tab w:val="clear" w:pos="1191"/>
        <w:tab w:val="clear" w:pos="1588"/>
        <w:tab w:val="clear" w:pos="1985"/>
        <w:tab w:val="left" w:pos="1134"/>
        <w:tab w:val="left" w:pos="1871"/>
        <w:tab w:val="left" w:pos="2268"/>
      </w:tabs>
      <w:spacing w:before="280"/>
    </w:pPr>
  </w:style>
  <w:style w:type="paragraph" w:customStyle="1" w:styleId="Proposal">
    <w:name w:val="Proposal"/>
    <w:basedOn w:val="Normal"/>
    <w:next w:val="Normal"/>
    <w:rsid w:val="002A03FC"/>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Section3">
    <w:name w:val="Section_3"/>
    <w:basedOn w:val="Section1"/>
    <w:rsid w:val="002A03FC"/>
    <w:rPr>
      <w:b w:val="0"/>
    </w:rPr>
  </w:style>
  <w:style w:type="paragraph" w:customStyle="1" w:styleId="TableTextS5">
    <w:name w:val="Table_TextS5"/>
    <w:basedOn w:val="Normal"/>
    <w:rsid w:val="002A03F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Agendaitem">
    <w:name w:val="Agenda_item"/>
    <w:basedOn w:val="Normal"/>
    <w:next w:val="Normal"/>
    <w:qFormat/>
    <w:rsid w:val="002A03F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2A03FC"/>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2A03FC"/>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2A03FC"/>
  </w:style>
  <w:style w:type="paragraph" w:customStyle="1" w:styleId="Committee">
    <w:name w:val="Committee"/>
    <w:basedOn w:val="Normal"/>
    <w:qFormat/>
    <w:rsid w:val="002A03F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2A03FC"/>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Section1"/>
    <w:next w:val="Section1"/>
    <w:qFormat/>
    <w:rsid w:val="002A03FC"/>
  </w:style>
  <w:style w:type="paragraph" w:customStyle="1" w:styleId="Subsection1">
    <w:name w:val="Subsection_1"/>
    <w:basedOn w:val="Section1"/>
    <w:next w:val="Normalaftertitle0"/>
    <w:qFormat/>
    <w:rsid w:val="002A03FC"/>
  </w:style>
  <w:style w:type="paragraph" w:customStyle="1" w:styleId="Volumetitle">
    <w:name w:val="Volume_title"/>
    <w:basedOn w:val="Normal"/>
    <w:qFormat/>
    <w:rsid w:val="002A03FC"/>
    <w:pPr>
      <w:tabs>
        <w:tab w:val="clear" w:pos="794"/>
        <w:tab w:val="clear" w:pos="1191"/>
        <w:tab w:val="clear" w:pos="1588"/>
        <w:tab w:val="clear" w:pos="1985"/>
        <w:tab w:val="left" w:pos="1134"/>
        <w:tab w:val="left" w:pos="1871"/>
        <w:tab w:val="left" w:pos="2268"/>
      </w:tabs>
      <w:jc w:val="center"/>
    </w:pPr>
    <w:rPr>
      <w:b/>
      <w:bCs/>
      <w:sz w:val="28"/>
      <w:szCs w:val="28"/>
    </w:rPr>
  </w:style>
  <w:style w:type="character" w:customStyle="1" w:styleId="HeadingbChar">
    <w:name w:val="Heading_b Char"/>
    <w:link w:val="Headingb"/>
    <w:locked/>
    <w:rsid w:val="002A03FC"/>
    <w:rPr>
      <w:b/>
      <w:sz w:val="24"/>
      <w:lang w:val="es-ES" w:eastAsia="en-US"/>
    </w:rPr>
  </w:style>
  <w:style w:type="character" w:customStyle="1" w:styleId="enumlev1Char">
    <w:name w:val="enumlev1 Char"/>
    <w:link w:val="enumlev1"/>
    <w:locked/>
    <w:rsid w:val="002A03FC"/>
    <w:rPr>
      <w:sz w:val="24"/>
      <w:lang w:val="es-ES" w:eastAsia="en-US"/>
    </w:rPr>
  </w:style>
  <w:style w:type="character" w:customStyle="1" w:styleId="TableNoChar">
    <w:name w:val="Table_No Char"/>
    <w:link w:val="TableNo"/>
    <w:locked/>
    <w:rsid w:val="002A03FC"/>
    <w:rPr>
      <w:sz w:val="24"/>
      <w:lang w:val="es-ES" w:eastAsia="en-US"/>
    </w:rPr>
  </w:style>
  <w:style w:type="character" w:customStyle="1" w:styleId="EquationChar">
    <w:name w:val="Equation Char"/>
    <w:link w:val="Equation"/>
    <w:locked/>
    <w:rsid w:val="002A03FC"/>
    <w:rPr>
      <w:sz w:val="24"/>
      <w:lang w:val="es-ES" w:eastAsia="en-US"/>
    </w:rPr>
  </w:style>
  <w:style w:type="character" w:customStyle="1" w:styleId="EquationlegendChar">
    <w:name w:val="Equation_legend Char"/>
    <w:basedOn w:val="DefaultParagraphFont"/>
    <w:link w:val="Equationlegend"/>
    <w:locked/>
    <w:rsid w:val="002A03FC"/>
    <w:rPr>
      <w:sz w:val="24"/>
      <w:lang w:eastAsia="en-US"/>
    </w:rPr>
  </w:style>
  <w:style w:type="character" w:customStyle="1" w:styleId="FiguretitleChar">
    <w:name w:val="Figure_title Char"/>
    <w:link w:val="Figuretitle"/>
    <w:locked/>
    <w:rsid w:val="002A03FC"/>
    <w:rPr>
      <w:rFonts w:ascii="Times New Roman Bold" w:hAnsi="Times New Roman Bold"/>
      <w:b/>
      <w:sz w:val="18"/>
      <w:lang w:val="es-ES" w:eastAsia="en-US"/>
    </w:rPr>
  </w:style>
  <w:style w:type="character" w:customStyle="1" w:styleId="CallChar">
    <w:name w:val="Call Char"/>
    <w:link w:val="Call"/>
    <w:locked/>
    <w:rsid w:val="002A03FC"/>
    <w:rPr>
      <w:i/>
      <w:sz w:val="24"/>
      <w:lang w:val="es-ES" w:eastAsia="en-US"/>
    </w:rPr>
  </w:style>
  <w:style w:type="character" w:customStyle="1" w:styleId="TabletitleChar">
    <w:name w:val="Table_title Char"/>
    <w:link w:val="Tabletitle"/>
    <w:locked/>
    <w:rsid w:val="002A03FC"/>
    <w:rPr>
      <w:b/>
      <w:sz w:val="24"/>
      <w:lang w:val="es-ES" w:eastAsia="en-US"/>
    </w:rPr>
  </w:style>
  <w:style w:type="paragraph" w:styleId="BalloonText">
    <w:name w:val="Balloon Text"/>
    <w:basedOn w:val="Normal"/>
    <w:link w:val="BalloonTextChar"/>
    <w:rsid w:val="002A03FC"/>
    <w:pPr>
      <w:spacing w:before="0"/>
    </w:pPr>
    <w:rPr>
      <w:rFonts w:ascii="Tahoma" w:hAnsi="Tahoma" w:cs="Tahoma"/>
      <w:sz w:val="16"/>
      <w:szCs w:val="16"/>
    </w:rPr>
  </w:style>
  <w:style w:type="character" w:customStyle="1" w:styleId="BalloonTextChar">
    <w:name w:val="Balloon Text Char"/>
    <w:basedOn w:val="DefaultParagraphFont"/>
    <w:link w:val="BalloonText"/>
    <w:rsid w:val="002A03FC"/>
    <w:rPr>
      <w:rFonts w:ascii="Tahoma" w:hAnsi="Tahoma" w:cs="Tahoma"/>
      <w:sz w:val="16"/>
      <w:szCs w:val="16"/>
      <w:lang w:val="es-ES" w:eastAsia="en-US"/>
    </w:rPr>
  </w:style>
  <w:style w:type="paragraph" w:styleId="ListParagraph">
    <w:name w:val="List Paragraph"/>
    <w:basedOn w:val="Normal"/>
    <w:uiPriority w:val="34"/>
    <w:qFormat/>
    <w:rsid w:val="002A03FC"/>
    <w:pPr>
      <w:ind w:left="720"/>
      <w:contextualSpacing/>
    </w:pPr>
  </w:style>
  <w:style w:type="character" w:customStyle="1" w:styleId="TableNo0">
    <w:name w:val="Table_No Знак"/>
    <w:locked/>
    <w:rsid w:val="00FE0AD4"/>
    <w:rPr>
      <w:rFonts w:ascii="Times New Roman" w:hAnsi="Times New Roman"/>
      <w:caps/>
      <w:lang w:val="es-ES" w:eastAsia="en-US"/>
    </w:rPr>
  </w:style>
  <w:style w:type="character" w:customStyle="1" w:styleId="FigureNo0">
    <w:name w:val="Figure_No (文字)"/>
    <w:basedOn w:val="DefaultParagraphFont"/>
    <w:link w:val="FigureNo"/>
    <w:rsid w:val="00FE0AD4"/>
    <w:rPr>
      <w:caps/>
      <w:sz w:val="18"/>
      <w:lang w:val="es-ES" w:eastAsia="en-US"/>
    </w:rPr>
  </w:style>
  <w:style w:type="character" w:customStyle="1" w:styleId="FigureChar">
    <w:name w:val="Figure Char"/>
    <w:aliases w:val="fig Char"/>
    <w:link w:val="Figure"/>
    <w:rsid w:val="00FE0AD4"/>
    <w:rPr>
      <w:caps/>
      <w:sz w:val="18"/>
      <w:lang w:val="es-ES" w:eastAsia="en-US"/>
    </w:rPr>
  </w:style>
  <w:style w:type="character" w:customStyle="1" w:styleId="Tabletitle0">
    <w:name w:val="Table_title Знак"/>
    <w:locked/>
    <w:rsid w:val="00E37F18"/>
    <w:rPr>
      <w:rFonts w:ascii="Times New Roman Bold" w:hAnsi="Times New Roman Bold"/>
      <w:b/>
      <w:lang w:val="es-ES" w:eastAsia="en-US"/>
    </w:rPr>
  </w:style>
  <w:style w:type="character" w:styleId="PlaceholderText">
    <w:name w:val="Placeholder Text"/>
    <w:basedOn w:val="DefaultParagraphFont"/>
    <w:uiPriority w:val="99"/>
    <w:semiHidden/>
    <w:rsid w:val="00B755E7"/>
    <w:rPr>
      <w:color w:val="808080"/>
    </w:rPr>
  </w:style>
  <w:style w:type="character" w:customStyle="1" w:styleId="NormalaftertitleChar">
    <w:name w:val="Normal_after_title Char"/>
    <w:basedOn w:val="DefaultParagraphFont"/>
    <w:link w:val="Normalaftertitle"/>
    <w:locked/>
    <w:rsid w:val="00520F87"/>
    <w:rPr>
      <w:sz w:val="24"/>
      <w:lang w:val="es-ES" w:eastAsia="en-US"/>
    </w:rPr>
  </w:style>
  <w:style w:type="character" w:customStyle="1" w:styleId="FigureNoChar">
    <w:name w:val="Figure_No Char"/>
    <w:basedOn w:val="DefaultParagraphFont"/>
    <w:locked/>
    <w:rsid w:val="00123C74"/>
    <w:rPr>
      <w:rFonts w:ascii="Times New Roman" w:hAnsi="Times New Roman"/>
      <w:caps/>
      <w:lang w:val="es-ES" w:eastAsia="en-US"/>
    </w:rPr>
  </w:style>
  <w:style w:type="character" w:customStyle="1" w:styleId="UnresolvedMention1">
    <w:name w:val="Unresolved Mention1"/>
    <w:basedOn w:val="DefaultParagraphFont"/>
    <w:uiPriority w:val="99"/>
    <w:semiHidden/>
    <w:unhideWhenUsed/>
    <w:rsid w:val="00723C43"/>
    <w:rPr>
      <w:color w:val="605E5C"/>
      <w:shd w:val="clear" w:color="auto" w:fill="E1DFDD"/>
    </w:rPr>
  </w:style>
  <w:style w:type="paragraph" w:styleId="TOCHeading">
    <w:name w:val="TOC Heading"/>
    <w:basedOn w:val="Heading1"/>
    <w:next w:val="Normal"/>
    <w:uiPriority w:val="39"/>
    <w:unhideWhenUsed/>
    <w:qFormat/>
    <w:rsid w:val="005A5CCC"/>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UnresolvedMention">
    <w:name w:val="Unresolved Mention"/>
    <w:basedOn w:val="DefaultParagraphFont"/>
    <w:uiPriority w:val="99"/>
    <w:semiHidden/>
    <w:unhideWhenUsed/>
    <w:rsid w:val="009C6CEE"/>
    <w:rPr>
      <w:color w:val="605E5C"/>
      <w:shd w:val="clear" w:color="auto" w:fill="E1DFDD"/>
    </w:rPr>
  </w:style>
  <w:style w:type="character" w:styleId="FollowedHyperlink">
    <w:name w:val="FollowedHyperlink"/>
    <w:basedOn w:val="DefaultParagraphFont"/>
    <w:semiHidden/>
    <w:unhideWhenUsed/>
    <w:rsid w:val="00F315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SA.1027/es" TargetMode="External"/><Relationship Id="rId26" Type="http://schemas.openxmlformats.org/officeDocument/2006/relationships/hyperlink" Target="https://www.itu.int/rec/R-REC-P.452/es" TargetMode="External"/><Relationship Id="rId39" Type="http://schemas.openxmlformats.org/officeDocument/2006/relationships/hyperlink" Target="https://www.itu.int/rec/R-REC-P.452/es" TargetMode="External"/><Relationship Id="rId21" Type="http://schemas.openxmlformats.org/officeDocument/2006/relationships/hyperlink" Target="http://www.itu.int/pub/R-REP-M.2292" TargetMode="External"/><Relationship Id="rId34" Type="http://schemas.openxmlformats.org/officeDocument/2006/relationships/image" Target="media/image9.png"/><Relationship Id="rId42" Type="http://schemas.openxmlformats.org/officeDocument/2006/relationships/image" Target="media/image12.png"/><Relationship Id="rId47" Type="http://schemas.openxmlformats.org/officeDocument/2006/relationships/hyperlink" Target="https://www.itu.int/rec/R-REC-P.2001/es" TargetMode="External"/><Relationship Id="rId50" Type="http://schemas.openxmlformats.org/officeDocument/2006/relationships/image" Target="media/image15.png"/><Relationship Id="rId55" Type="http://schemas.openxmlformats.org/officeDocument/2006/relationships/hyperlink" Target="https://www.itu.int/rec/R-REC-P.2001/es" TargetMode="External"/><Relationship Id="rId63" Type="http://schemas.openxmlformats.org/officeDocument/2006/relationships/hyperlink" Target="https://www.itu.int/rec/R-REC-P.452/es" TargetMode="External"/><Relationship Id="rId68" Type="http://schemas.openxmlformats.org/officeDocument/2006/relationships/image" Target="media/image20.jpeg"/><Relationship Id="rId76"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hyperlink" Target="https://www.itu.int/rec/R-REC-P.2108/es" TargetMode="External"/><Relationship Id="rId2" Type="http://schemas.openxmlformats.org/officeDocument/2006/relationships/numbering" Target="numbering.xml"/><Relationship Id="rId16" Type="http://schemas.openxmlformats.org/officeDocument/2006/relationships/hyperlink" Target="https://www.itu.int/rec/R-REC-P.452/es" TargetMode="External"/><Relationship Id="rId29" Type="http://schemas.openxmlformats.org/officeDocument/2006/relationships/image" Target="media/image6.png"/><Relationship Id="rId11" Type="http://schemas.openxmlformats.org/officeDocument/2006/relationships/hyperlink" Target="http://www.itu.int/ITU-R/go/patents/es" TargetMode="External"/><Relationship Id="rId24" Type="http://schemas.openxmlformats.org/officeDocument/2006/relationships/image" Target="media/image3.wmf"/><Relationship Id="rId32" Type="http://schemas.openxmlformats.org/officeDocument/2006/relationships/hyperlink" Target="https://www.itu.int/rec/R-REC-M.2101/es" TargetMode="External"/><Relationship Id="rId37" Type="http://schemas.openxmlformats.org/officeDocument/2006/relationships/image" Target="media/image11.png"/><Relationship Id="rId40" Type="http://schemas.openxmlformats.org/officeDocument/2006/relationships/hyperlink" Target="https://www.itu.int/rec/R-REC-SA.509/es" TargetMode="External"/><Relationship Id="rId45" Type="http://schemas.openxmlformats.org/officeDocument/2006/relationships/hyperlink" Target="https://www.itu.int/rec/R-REC-P.452/es" TargetMode="External"/><Relationship Id="rId53" Type="http://schemas.openxmlformats.org/officeDocument/2006/relationships/hyperlink" Target="https://www.itu.int/rec/R-REC-SA.1027/es" TargetMode="External"/><Relationship Id="rId58" Type="http://schemas.openxmlformats.org/officeDocument/2006/relationships/hyperlink" Target="https://www.itu.int/rec/R-REC-SA.1161/es" TargetMode="External"/><Relationship Id="rId66" Type="http://schemas.openxmlformats.org/officeDocument/2006/relationships/hyperlink" Target="https://www.itu.int/rec/R-REC-P.452/es" TargetMode="External"/><Relationship Id="rId74" Type="http://schemas.openxmlformats.org/officeDocument/2006/relationships/hyperlink" Target="https://www.itu.int/rec/R-REC-P.2108/es"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itu.int/rec/R-REC-P.2001/es" TargetMode="External"/><Relationship Id="rId10" Type="http://schemas.openxmlformats.org/officeDocument/2006/relationships/header" Target="header3.xml"/><Relationship Id="rId19" Type="http://schemas.openxmlformats.org/officeDocument/2006/relationships/hyperlink" Target="https://www.itu.int/rec/R-REC-SA.1161/es" TargetMode="External"/><Relationship Id="rId31" Type="http://schemas.openxmlformats.org/officeDocument/2006/relationships/hyperlink" Target="https://www.itu.int/rec/R-REC-M.2101/es" TargetMode="External"/><Relationship Id="rId44" Type="http://schemas.openxmlformats.org/officeDocument/2006/relationships/hyperlink" Target="https://www.itu.int/rec/R-REC-SA.1396/es" TargetMode="External"/><Relationship Id="rId52" Type="http://schemas.openxmlformats.org/officeDocument/2006/relationships/image" Target="media/image17.png"/><Relationship Id="rId60" Type="http://schemas.openxmlformats.org/officeDocument/2006/relationships/hyperlink" Target="https://www.itu.int/rec/R-REC-P.2001/es" TargetMode="External"/><Relationship Id="rId65" Type="http://schemas.openxmlformats.org/officeDocument/2006/relationships/hyperlink" Target="https://www.itu.int/rec/R-REC-P.452/es" TargetMode="External"/><Relationship Id="rId73" Type="http://schemas.openxmlformats.org/officeDocument/2006/relationships/image" Target="media/image22.png"/><Relationship Id="rId78"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s://www.itu.int/rec/R-REC-M.2101/e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hyperlink" Target="https://www.itu.int/rec/R-REC-SA.609/es" TargetMode="External"/><Relationship Id="rId48" Type="http://schemas.openxmlformats.org/officeDocument/2006/relationships/image" Target="media/image13.jpeg"/><Relationship Id="rId56" Type="http://schemas.openxmlformats.org/officeDocument/2006/relationships/hyperlink" Target="https://www.itu.int/rec/R-REC-P.2001/es" TargetMode="External"/><Relationship Id="rId64" Type="http://schemas.openxmlformats.org/officeDocument/2006/relationships/hyperlink" Target="https://www.itu.int/rec/R-REC-P.452/es" TargetMode="External"/><Relationship Id="rId69" Type="http://schemas.openxmlformats.org/officeDocument/2006/relationships/hyperlink" Target="https://www.itu.int/rec/R-REC-P.452/es" TargetMode="External"/><Relationship Id="rId77"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16.png"/><Relationship Id="rId72" Type="http://schemas.openxmlformats.org/officeDocument/2006/relationships/hyperlink" Target="https://www.itu.int/rec/R-REC-P.452/es"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hyperlink" Target="https://www.itu.int/rec/R-REC-SA.609/es" TargetMode="External"/><Relationship Id="rId25" Type="http://schemas.openxmlformats.org/officeDocument/2006/relationships/oleObject" Target="embeddings/oleObject1.bin"/><Relationship Id="rId33" Type="http://schemas.openxmlformats.org/officeDocument/2006/relationships/image" Target="media/image8.png"/><Relationship Id="rId38" Type="http://schemas.openxmlformats.org/officeDocument/2006/relationships/hyperlink" Target="https://www.itu.int/rec/R-REC-P.452/es" TargetMode="External"/><Relationship Id="rId46" Type="http://schemas.openxmlformats.org/officeDocument/2006/relationships/hyperlink" Target="https://www.itu.int/rec/R-REC-P.2001/es" TargetMode="External"/><Relationship Id="rId59" Type="http://schemas.openxmlformats.org/officeDocument/2006/relationships/hyperlink" Target="https://www.itu.int/rec/R-REC-P.452/es" TargetMode="External"/><Relationship Id="rId67" Type="http://schemas.openxmlformats.org/officeDocument/2006/relationships/hyperlink" Target="https://www.itu.int/rec/R-REC-P.2108/es" TargetMode="External"/><Relationship Id="rId20" Type="http://schemas.openxmlformats.org/officeDocument/2006/relationships/hyperlink" Target="https://www.itu.int/rec/R-REC-SA.1396/es" TargetMode="External"/><Relationship Id="rId41" Type="http://schemas.openxmlformats.org/officeDocument/2006/relationships/hyperlink" Target="https://www.itu.int/rec/R-REC-SA.1811/es" TargetMode="External"/><Relationship Id="rId54" Type="http://schemas.openxmlformats.org/officeDocument/2006/relationships/hyperlink" Target="https://www.itu.int/rec/R-REC-P.452/es" TargetMode="External"/><Relationship Id="rId62" Type="http://schemas.openxmlformats.org/officeDocument/2006/relationships/image" Target="media/image19.jpeg"/><Relationship Id="rId70" Type="http://schemas.openxmlformats.org/officeDocument/2006/relationships/image" Target="media/image21.png"/><Relationship Id="rId75" Type="http://schemas.openxmlformats.org/officeDocument/2006/relationships/hyperlink" Target="https://www.itu.int/rec/R-REC-P.452/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M.2101/es" TargetMode="External"/><Relationship Id="rId23" Type="http://schemas.openxmlformats.org/officeDocument/2006/relationships/hyperlink" Target="https://www.itu.int/rec/R-REC-M.2101/es" TargetMode="External"/><Relationship Id="rId28" Type="http://schemas.openxmlformats.org/officeDocument/2006/relationships/image" Target="media/image5.png"/><Relationship Id="rId36" Type="http://schemas.openxmlformats.org/officeDocument/2006/relationships/hyperlink" Target="https://www.itu.int/rec/R-REC-M.2101/es" TargetMode="External"/><Relationship Id="rId49" Type="http://schemas.openxmlformats.org/officeDocument/2006/relationships/image" Target="media/image14.png"/><Relationship Id="rId57"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D9AED-09BC-4812-AEFF-05D8476DF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222</TotalTime>
  <Pages>31</Pages>
  <Words>9812</Words>
  <Characters>53710</Characters>
  <Application>Microsoft Office Word</Application>
  <DocSecurity>0</DocSecurity>
  <Lines>1278</Lines>
  <Paragraphs>661</Paragraphs>
  <ScaleCrop>false</ScaleCrop>
  <HeadingPairs>
    <vt:vector size="2" baseType="variant">
      <vt:variant>
        <vt:lpstr>Title</vt:lpstr>
      </vt:variant>
      <vt:variant>
        <vt:i4>1</vt:i4>
      </vt:variant>
    </vt:vector>
  </HeadingPairs>
  <TitlesOfParts>
    <vt:vector size="1" baseType="lpstr">
      <vt:lpstr>RECOMMENDATION  ITU-R  SA.2142-0 Methodologies for calculating coordination areas around Earth exploration satellite and space research earth stations to avoid harmful interference from IMT-2020 systems in the frequency bands 25.5-27 GHz and 37-38 GHz</vt:lpstr>
    </vt:vector>
  </TitlesOfParts>
  <Manager/>
  <Company>ITU</Company>
  <LinksUpToDate>false</LinksUpToDate>
  <CharactersWithSpaces>62861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SA.2142-0 - Metodologías para el cálculo de zonas de coordinación en torno a estaciones terrenas del servicio de exploración de la Tierra por satélite y del servicio de investigación espacial para evitar la interferencia perjudicial causada por los sistemas IMT-2020 en las bandas de frecuencias 25,5-27 GHz y 37-38 GHz</dc:title>
  <dc:subject>Serie SA = Aplicaciones espaciales</dc:subject>
  <dc:creator>Oficina de Radiocomunicaciones del UIT (BR)</dc:creator>
  <cp:keywords>SA,2142-0</cp:keywords>
  <dc:description>Saez, 11.05.2022, ITU51013874</dc:description>
  <cp:lastModifiedBy>Saez Grau, Ricardo</cp:lastModifiedBy>
  <cp:revision>20</cp:revision>
  <cp:lastPrinted>2022-05-11T09:45:00Z</cp:lastPrinted>
  <dcterms:created xsi:type="dcterms:W3CDTF">2022-05-11T06:04:00Z</dcterms:created>
  <dcterms:modified xsi:type="dcterms:W3CDTF">2022-05-11T09:46:00Z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November 2021</vt:lpwstr>
  </property>
</Properties>
</file>