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F60B2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C40D3E">
              <w:rPr>
                <w:rFonts w:ascii="Tahoma" w:hAnsi="Tahoma" w:cs="Tahoma"/>
                <w:b/>
                <w:bCs/>
                <w:iCs/>
                <w:color w:val="243285"/>
                <w:sz w:val="36"/>
                <w:szCs w:val="36"/>
              </w:rPr>
              <w:t>A</w:t>
            </w:r>
            <w:r w:rsidRPr="00A443C2">
              <w:rPr>
                <w:rFonts w:ascii="Tahoma" w:hAnsi="Tahoma" w:cs="Tahoma"/>
                <w:b/>
                <w:bCs/>
                <w:iCs/>
                <w:color w:val="243285"/>
                <w:sz w:val="36"/>
                <w:szCs w:val="36"/>
              </w:rPr>
              <w:t>.</w:t>
            </w:r>
            <w:r w:rsidR="00181701" w:rsidRPr="00181701">
              <w:rPr>
                <w:rFonts w:ascii="Tahoma" w:hAnsi="Tahoma" w:cs="Tahoma"/>
                <w:b/>
                <w:bCs/>
                <w:iCs/>
                <w:color w:val="243285"/>
                <w:sz w:val="36"/>
                <w:szCs w:val="36"/>
                <w:lang w:val="fr-CH"/>
              </w:rPr>
              <w:t>2078-0</w:t>
            </w:r>
          </w:p>
          <w:p w:rsidR="00FE79FE" w:rsidRPr="00A443C2" w:rsidRDefault="00FE79FE" w:rsidP="002A5CB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2A5CB1">
              <w:rPr>
                <w:rFonts w:ascii="Tahoma" w:hAnsi="Tahoma" w:cs="Tahoma"/>
                <w:b/>
                <w:bCs/>
                <w:iCs/>
                <w:color w:val="243285"/>
                <w:szCs w:val="24"/>
              </w:rPr>
              <w:t>8</w:t>
            </w:r>
            <w:r w:rsidRPr="00A443C2">
              <w:rPr>
                <w:rFonts w:ascii="Tahoma" w:hAnsi="Tahoma" w:cs="Tahoma"/>
                <w:b/>
                <w:bCs/>
                <w:iCs/>
                <w:color w:val="243285"/>
                <w:szCs w:val="24"/>
              </w:rPr>
              <w:t>/</w:t>
            </w:r>
            <w:r w:rsidR="002A5CB1">
              <w:rPr>
                <w:rFonts w:ascii="Tahoma" w:hAnsi="Tahoma" w:cs="Tahoma"/>
                <w:b/>
                <w:bCs/>
                <w:iCs/>
                <w:color w:val="243285"/>
                <w:szCs w:val="24"/>
              </w:rPr>
              <w:t>2015</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357C3A" w:rsidRDefault="00E57779" w:rsidP="00E57779">
            <w:pPr>
              <w:spacing w:before="80" w:line="500" w:lineRule="exact"/>
              <w:jc w:val="right"/>
              <w:rPr>
                <w:rFonts w:ascii="Tahoma" w:hAnsi="Tahoma" w:cs="Tahoma"/>
                <w:b/>
                <w:bCs/>
                <w:iCs/>
                <w:color w:val="243285"/>
                <w:sz w:val="44"/>
                <w:szCs w:val="44"/>
                <w:lang w:val="fr-CH"/>
              </w:rPr>
            </w:pPr>
            <w:r w:rsidRPr="00E57779">
              <w:rPr>
                <w:rFonts w:ascii="Tahoma" w:hAnsi="Tahoma" w:cs="Tahoma"/>
                <w:b/>
                <w:bCs/>
                <w:iCs/>
                <w:color w:val="243285"/>
                <w:sz w:val="44"/>
                <w:szCs w:val="44"/>
                <w:lang w:val="fr-CH"/>
              </w:rPr>
              <w:t xml:space="preserve">Protection des stations </w:t>
            </w:r>
            <w:r w:rsidR="00357C3A">
              <w:rPr>
                <w:rFonts w:ascii="Tahoma" w:hAnsi="Tahoma" w:cs="Tahoma"/>
                <w:b/>
                <w:bCs/>
                <w:iCs/>
                <w:color w:val="243285"/>
                <w:sz w:val="44"/>
                <w:szCs w:val="44"/>
                <w:lang w:val="fr-CH"/>
              </w:rPr>
              <w:t xml:space="preserve">terriennes </w:t>
            </w:r>
            <w:r w:rsidRPr="00E57779">
              <w:rPr>
                <w:rFonts w:ascii="Tahoma" w:hAnsi="Tahoma" w:cs="Tahoma"/>
                <w:b/>
                <w:bCs/>
                <w:iCs/>
                <w:color w:val="243285"/>
                <w:sz w:val="44"/>
                <w:szCs w:val="44"/>
                <w:lang w:val="fr-CH"/>
              </w:rPr>
              <w:t xml:space="preserve">du service de recherche spatiale vis-à-vis des stations (d'aéronef) mobiles dans la bande </w:t>
            </w:r>
          </w:p>
          <w:p w:rsidR="00FE79FE" w:rsidRDefault="00E57779" w:rsidP="00E57779">
            <w:pPr>
              <w:spacing w:before="80" w:line="500" w:lineRule="exact"/>
              <w:jc w:val="right"/>
              <w:rPr>
                <w:rFonts w:ascii="Tahoma" w:hAnsi="Tahoma" w:cs="Tahoma"/>
                <w:b/>
                <w:bCs/>
                <w:iCs/>
                <w:color w:val="243285"/>
                <w:sz w:val="44"/>
                <w:szCs w:val="44"/>
              </w:rPr>
            </w:pPr>
            <w:r w:rsidRPr="00E57779">
              <w:rPr>
                <w:rFonts w:ascii="Tahoma" w:hAnsi="Tahoma" w:cs="Tahoma"/>
                <w:b/>
                <w:bCs/>
                <w:iCs/>
                <w:color w:val="243285"/>
                <w:sz w:val="44"/>
                <w:szCs w:val="44"/>
                <w:lang w:val="fr-CH"/>
              </w:rPr>
              <w:t>2 200-2 290 MHz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32652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C40D3E">
              <w:rPr>
                <w:rFonts w:ascii="Tahoma" w:hAnsi="Tahoma" w:cs="Tahoma"/>
                <w:b/>
                <w:bCs/>
                <w:iCs/>
                <w:color w:val="243285"/>
                <w:sz w:val="36"/>
                <w:szCs w:val="36"/>
              </w:rPr>
              <w:t>A</w:t>
            </w:r>
          </w:p>
          <w:p w:rsidR="00FE79FE" w:rsidRPr="00F54FBD" w:rsidRDefault="00C40D3E"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rsidSect="00615631">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86089D"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C40D3E">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C40D3E" w:rsidTr="00C40D3E">
        <w:tc>
          <w:tcPr>
            <w:tcW w:w="1140" w:type="dxa"/>
            <w:tcBorders>
              <w:top w:val="nil"/>
              <w:bottom w:val="nil"/>
            </w:tcBorders>
            <w:shd w:val="clear" w:color="auto" w:fill="F3F3F3"/>
          </w:tcPr>
          <w:p w:rsidR="00F54FBD" w:rsidRPr="00C40D3E" w:rsidRDefault="00F54FBD" w:rsidP="00F336CC">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F54FBD" w:rsidRPr="00C40D3E" w:rsidRDefault="00614CC6" w:rsidP="00F336CC">
            <w:pPr>
              <w:spacing w:before="30" w:after="30"/>
              <w:jc w:val="left"/>
              <w:rPr>
                <w:b/>
                <w:bCs/>
                <w:color w:val="000080"/>
                <w:sz w:val="20"/>
                <w:lang w:val="en-US"/>
              </w:rPr>
            </w:pPr>
            <w:r w:rsidRPr="00C40D3E">
              <w:rPr>
                <w:b/>
                <w:bCs/>
                <w:color w:val="000080"/>
                <w:sz w:val="20"/>
              </w:rPr>
              <w:t>Applications spatiales et météorologie</w:t>
            </w:r>
          </w:p>
        </w:tc>
      </w:tr>
      <w:tr w:rsidR="00F54FBD" w:rsidRPr="00614CC6" w:rsidTr="00C40D3E">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Borders>
              <w:top w:val="nil"/>
            </w:tcBorders>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E35A9C">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2A5CB1">
      <w:pPr>
        <w:spacing w:before="0"/>
        <w:jc w:val="right"/>
        <w:rPr>
          <w:sz w:val="20"/>
        </w:rPr>
      </w:pPr>
      <w:r w:rsidRPr="00614CC6">
        <w:rPr>
          <w:sz w:val="20"/>
        </w:rPr>
        <w:t>G</w:t>
      </w:r>
      <w:r w:rsidR="00614CC6" w:rsidRPr="00614CC6">
        <w:rPr>
          <w:sz w:val="20"/>
        </w:rPr>
        <w:t>enève</w:t>
      </w:r>
      <w:r w:rsidRPr="00614CC6">
        <w:rPr>
          <w:sz w:val="20"/>
        </w:rPr>
        <w:t>, 20</w:t>
      </w:r>
      <w:r w:rsidR="00C30AB1">
        <w:rPr>
          <w:sz w:val="20"/>
        </w:rPr>
        <w:t>1</w:t>
      </w:r>
      <w:r w:rsidR="00BB12BC">
        <w:rPr>
          <w:sz w:val="20"/>
        </w:rPr>
        <w:t>6</w:t>
      </w:r>
    </w:p>
    <w:p w:rsidR="00F54FBD" w:rsidRPr="00614CC6" w:rsidRDefault="00F54FBD" w:rsidP="002A5CB1">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C30AB1">
        <w:rPr>
          <w:sz w:val="20"/>
        </w:rPr>
        <w:t>1</w:t>
      </w:r>
      <w:r w:rsidR="00BB12BC">
        <w:rPr>
          <w:sz w:val="20"/>
        </w:rPr>
        <w:t>6</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615631">
          <w:headerReference w:type="even" r:id="rId11"/>
          <w:headerReference w:type="default" r:id="rId12"/>
          <w:pgSz w:w="11907" w:h="16834" w:code="9"/>
          <w:pgMar w:top="1418" w:right="1134" w:bottom="1134" w:left="1134" w:header="720" w:footer="482" w:gutter="0"/>
          <w:pgNumType w:fmt="lowerRoman" w:start="2"/>
          <w:cols w:space="720"/>
        </w:sectPr>
      </w:pPr>
    </w:p>
    <w:p w:rsidR="004524B8" w:rsidRPr="004454A0" w:rsidRDefault="00756B4D" w:rsidP="00E0144A">
      <w:pPr>
        <w:pStyle w:val="RecNo"/>
        <w:spacing w:before="0"/>
        <w:rPr>
          <w:lang w:val="fr-CH"/>
        </w:rPr>
      </w:pPr>
      <w:bookmarkStart w:id="2" w:name="irecnoe"/>
      <w:bookmarkEnd w:id="2"/>
      <w:r w:rsidRPr="00756B4D">
        <w:lastRenderedPageBreak/>
        <w:t>RECOMMA</w:t>
      </w:r>
      <w:r w:rsidR="00934ED7" w:rsidRPr="00756B4D">
        <w:t xml:space="preserve">NDATION  </w:t>
      </w:r>
      <w:r w:rsidR="00333C35">
        <w:rPr>
          <w:rStyle w:val="href"/>
        </w:rPr>
        <w:t>UIT</w:t>
      </w:r>
      <w:r w:rsidR="00934ED7" w:rsidRPr="00756B4D">
        <w:rPr>
          <w:rStyle w:val="href"/>
        </w:rPr>
        <w:t xml:space="preserve">-R  </w:t>
      </w:r>
      <w:r w:rsidR="004822EF" w:rsidRPr="00DD536A">
        <w:rPr>
          <w:rStyle w:val="href"/>
        </w:rPr>
        <w:t>S</w:t>
      </w:r>
      <w:r w:rsidR="00C40D3E" w:rsidRPr="00DD536A">
        <w:rPr>
          <w:rStyle w:val="href"/>
        </w:rPr>
        <w:t>A</w:t>
      </w:r>
      <w:r w:rsidR="00934ED7" w:rsidRPr="00DD536A">
        <w:rPr>
          <w:rStyle w:val="href"/>
        </w:rPr>
        <w:t>.</w:t>
      </w:r>
      <w:r w:rsidR="004454A0" w:rsidRPr="00DD536A">
        <w:rPr>
          <w:rStyle w:val="href"/>
        </w:rPr>
        <w:t>2078-0</w:t>
      </w:r>
    </w:p>
    <w:p w:rsidR="004524B8" w:rsidRPr="004524B8" w:rsidRDefault="00364842" w:rsidP="00364842">
      <w:pPr>
        <w:pStyle w:val="Rectitle"/>
        <w:rPr>
          <w:lang w:val="fr-CH"/>
        </w:rPr>
      </w:pPr>
      <w:r w:rsidRPr="00364842">
        <w:rPr>
          <w:bCs/>
          <w:iCs/>
          <w:lang w:val="fr-CH"/>
        </w:rPr>
        <w:t>Protection des stations terriennes du service de recherche spatiale vis-à-vis des stations (d'aéronef) mobiles dans la bande 2 200-2 290 MHz</w:t>
      </w:r>
    </w:p>
    <w:p w:rsidR="004524B8" w:rsidRPr="004524B8" w:rsidRDefault="004524B8" w:rsidP="004454A0">
      <w:pPr>
        <w:pStyle w:val="Recdate"/>
        <w:rPr>
          <w:lang w:val="fr-CH"/>
        </w:rPr>
      </w:pPr>
      <w:r w:rsidRPr="004524B8">
        <w:rPr>
          <w:lang w:val="fr-CH"/>
        </w:rPr>
        <w:t>(2015)</w:t>
      </w:r>
    </w:p>
    <w:p w:rsidR="004524B8" w:rsidRPr="00DD536A" w:rsidRDefault="004524B8" w:rsidP="004454A0">
      <w:pPr>
        <w:pStyle w:val="HeadingSum"/>
        <w:rPr>
          <w:lang w:val="fr-CH"/>
        </w:rPr>
      </w:pPr>
      <w:r w:rsidRPr="00DD536A">
        <w:rPr>
          <w:lang w:val="fr-CH"/>
        </w:rPr>
        <w:t>Champ d'application</w:t>
      </w:r>
    </w:p>
    <w:p w:rsidR="004524B8" w:rsidRPr="00364842" w:rsidRDefault="004524B8" w:rsidP="00364842">
      <w:pPr>
        <w:pStyle w:val="Summary"/>
        <w:rPr>
          <w:lang w:val="fr-CH"/>
        </w:rPr>
      </w:pPr>
      <w:r w:rsidRPr="00364842">
        <w:rPr>
          <w:lang w:val="fr-CH"/>
        </w:rPr>
        <w:t>La présente Recommandation donne la distance de coordination – 8</w:t>
      </w:r>
      <w:r w:rsidR="00364842" w:rsidRPr="00364842">
        <w:rPr>
          <w:lang w:val="fr-CH"/>
        </w:rPr>
        <w:t>8</w:t>
      </w:r>
      <w:r w:rsidRPr="00364842">
        <w:rPr>
          <w:lang w:val="fr-CH"/>
        </w:rPr>
        <w:t>0 km – entre les stations terriennes du service de recherche spatiale et les stations (d'aéronef) d'émission mobiles qu'il faut respecter pour protéger les stations terriennes du service de recherche spatiale dans la bande 2 200</w:t>
      </w:r>
      <w:r w:rsidRPr="00364842">
        <w:rPr>
          <w:lang w:val="fr-CH"/>
        </w:rPr>
        <w:noBreakHyphen/>
        <w:t>2 290 MHz.</w:t>
      </w:r>
    </w:p>
    <w:p w:rsidR="004524B8" w:rsidRPr="004524B8" w:rsidRDefault="004524B8" w:rsidP="004454A0">
      <w:pPr>
        <w:pStyle w:val="Headingb"/>
      </w:pPr>
      <w:r w:rsidRPr="004524B8">
        <w:t>Mots clés</w:t>
      </w:r>
    </w:p>
    <w:p w:rsidR="004524B8" w:rsidRPr="004524B8" w:rsidRDefault="004524B8" w:rsidP="004524B8">
      <w:pPr>
        <w:rPr>
          <w:lang w:val="fr-CH"/>
        </w:rPr>
      </w:pPr>
      <w:r w:rsidRPr="004524B8">
        <w:rPr>
          <w:lang w:val="fr-CH"/>
        </w:rPr>
        <w:t>Stations terriennes du service de recherche spatiale, stations (d'aéronef) mobiles, distance de coordination, 2 200-2 290 MHz</w:t>
      </w:r>
      <w:bookmarkStart w:id="3" w:name="_GoBack"/>
      <w:bookmarkEnd w:id="3"/>
    </w:p>
    <w:p w:rsidR="004524B8" w:rsidRPr="004524B8" w:rsidRDefault="004524B8" w:rsidP="00AA1ADF">
      <w:pPr>
        <w:pStyle w:val="Normalaftertitle"/>
        <w:rPr>
          <w:lang w:val="fr-CH"/>
        </w:rPr>
      </w:pPr>
      <w:r w:rsidRPr="004524B8">
        <w:rPr>
          <w:lang w:val="fr-CH"/>
        </w:rPr>
        <w:t>L'Assemblée des radiocommunications de l'UIT,</w:t>
      </w:r>
    </w:p>
    <w:p w:rsidR="004524B8" w:rsidRPr="004524B8" w:rsidRDefault="004524B8" w:rsidP="00054DBA">
      <w:pPr>
        <w:pStyle w:val="Call"/>
        <w:rPr>
          <w:lang w:val="fr-CH"/>
        </w:rPr>
      </w:pPr>
      <w:r w:rsidRPr="004524B8">
        <w:rPr>
          <w:lang w:val="fr-CH"/>
        </w:rPr>
        <w:t>considérant</w:t>
      </w:r>
    </w:p>
    <w:p w:rsidR="004524B8" w:rsidRPr="004524B8" w:rsidRDefault="004524B8" w:rsidP="002444CB">
      <w:pPr>
        <w:rPr>
          <w:lang w:val="fr-CH"/>
        </w:rPr>
      </w:pPr>
      <w:r w:rsidRPr="004524B8">
        <w:rPr>
          <w:i/>
          <w:lang w:val="fr-CH"/>
        </w:rPr>
        <w:t>a)</w:t>
      </w:r>
      <w:r w:rsidRPr="004524B8">
        <w:rPr>
          <w:i/>
          <w:lang w:val="fr-CH"/>
        </w:rPr>
        <w:tab/>
      </w:r>
      <w:r w:rsidRPr="004524B8">
        <w:rPr>
          <w:lang w:val="fr-CH"/>
        </w:rPr>
        <w:t>que la bande 2 200-2 290 MHz est attribuée aux services d'exploitation spatiale (espace</w:t>
      </w:r>
      <w:r w:rsidR="002444CB">
        <w:rPr>
          <w:lang w:val="fr-CH"/>
        </w:rPr>
        <w:t> vers </w:t>
      </w:r>
      <w:r w:rsidRPr="004524B8">
        <w:rPr>
          <w:lang w:val="fr-CH"/>
        </w:rPr>
        <w:t>Terre) (espace-espace), d'exploration de la Terre par satellite (espace vers Terre) (espace-espace), fixe, mobile et de recherche spatiale (espace vers Terre) (espace-espace) à titre primaire;</w:t>
      </w:r>
    </w:p>
    <w:p w:rsidR="004524B8" w:rsidRPr="004524B8" w:rsidRDefault="004524B8" w:rsidP="004524B8">
      <w:pPr>
        <w:tabs>
          <w:tab w:val="left" w:pos="-1890"/>
        </w:tabs>
        <w:rPr>
          <w:lang w:val="fr-CH"/>
        </w:rPr>
      </w:pPr>
      <w:r w:rsidRPr="004524B8">
        <w:rPr>
          <w:i/>
          <w:iCs/>
          <w:lang w:val="fr-CH"/>
        </w:rPr>
        <w:t>b)</w:t>
      </w:r>
      <w:r w:rsidRPr="004524B8">
        <w:rPr>
          <w:lang w:val="fr-CH"/>
        </w:rPr>
        <w:tab/>
        <w:t>que les critères de protection applicables aux stations terriennes du service de recherche spatiale à proximité de la Terre sont données dans la Recommandation UIT-R SA.609, à savoir −216 dBW/Hz avec une probabilité de dépassement de 0,1% pour les missions inhabitées du service de recherche spatiale et de 0,001% pour les missions habitées du service de recherche spatiale;</w:t>
      </w:r>
    </w:p>
    <w:p w:rsidR="004524B8" w:rsidRPr="004524B8" w:rsidRDefault="004524B8" w:rsidP="004524B8">
      <w:pPr>
        <w:tabs>
          <w:tab w:val="left" w:pos="-1890"/>
        </w:tabs>
        <w:rPr>
          <w:lang w:val="fr-CH"/>
        </w:rPr>
      </w:pPr>
      <w:r w:rsidRPr="004524B8">
        <w:rPr>
          <w:i/>
          <w:iCs/>
          <w:lang w:val="fr-CH"/>
        </w:rPr>
        <w:t>c)</w:t>
      </w:r>
      <w:r w:rsidRPr="004524B8">
        <w:rPr>
          <w:lang w:val="fr-CH"/>
        </w:rPr>
        <w:tab/>
        <w:t>que les stations (d'aéronef) mobiles évoluant au-dessus de stations terriennes du service de recherche spatiale peuvent subir des brouillages en visibilité directe causés par les stations terriennes du service de recherche spatiale;</w:t>
      </w:r>
    </w:p>
    <w:p w:rsidR="004524B8" w:rsidRPr="004524B8" w:rsidRDefault="004524B8" w:rsidP="004524B8">
      <w:pPr>
        <w:tabs>
          <w:tab w:val="left" w:pos="-1890"/>
        </w:tabs>
        <w:rPr>
          <w:lang w:val="fr-CH"/>
        </w:rPr>
      </w:pPr>
      <w:r w:rsidRPr="004524B8">
        <w:rPr>
          <w:i/>
          <w:iCs/>
          <w:lang w:val="fr-CH"/>
        </w:rPr>
        <w:t>d)</w:t>
      </w:r>
      <w:r w:rsidRPr="004524B8">
        <w:rPr>
          <w:lang w:val="fr-CH"/>
        </w:rPr>
        <w:tab/>
        <w:t>que la distance de séparation en visibilité directe est déterminée par la limite de visibilité RF qui est d'environ 830 km pour un aéronef évoluant à une altitude de 17 km altitude et pour des probabilités de dépassement inférieures à 1%;</w:t>
      </w:r>
    </w:p>
    <w:p w:rsidR="004524B8" w:rsidRPr="004524B8" w:rsidRDefault="004524B8" w:rsidP="004524B8">
      <w:pPr>
        <w:tabs>
          <w:tab w:val="left" w:pos="-1890"/>
        </w:tabs>
        <w:rPr>
          <w:lang w:val="fr-CH"/>
        </w:rPr>
      </w:pPr>
      <w:r w:rsidRPr="004524B8">
        <w:rPr>
          <w:i/>
          <w:iCs/>
          <w:lang w:val="fr-CH"/>
        </w:rPr>
        <w:t>e)</w:t>
      </w:r>
      <w:r w:rsidRPr="004524B8">
        <w:rPr>
          <w:i/>
          <w:iCs/>
          <w:lang w:val="fr-CH"/>
        </w:rPr>
        <w:tab/>
      </w:r>
      <w:r w:rsidRPr="004524B8">
        <w:rPr>
          <w:iCs/>
          <w:lang w:val="fr-CH"/>
        </w:rPr>
        <w:t>que les transmissions d'une station (d'aéronef) mobile à la limite de visibilité RF, pour une altitude de 17 km, peuvent causer des brouillages à une station terrienne du service de recherche spatiale qui peuvent être jusqu'à 37 dB supérieurs au niveau de protection</w:t>
      </w:r>
      <w:r w:rsidRPr="004524B8">
        <w:rPr>
          <w:lang w:val="fr-CH"/>
        </w:rPr>
        <w:t>;</w:t>
      </w:r>
    </w:p>
    <w:p w:rsidR="004524B8" w:rsidRPr="004524B8" w:rsidRDefault="004524B8" w:rsidP="004524B8">
      <w:pPr>
        <w:tabs>
          <w:tab w:val="left" w:pos="-1890"/>
        </w:tabs>
        <w:rPr>
          <w:lang w:val="fr-CH"/>
        </w:rPr>
      </w:pPr>
      <w:r w:rsidRPr="004524B8">
        <w:rPr>
          <w:i/>
          <w:iCs/>
          <w:lang w:val="fr-CH"/>
        </w:rPr>
        <w:t>f)</w:t>
      </w:r>
      <w:r w:rsidRPr="004524B8">
        <w:rPr>
          <w:lang w:val="fr-CH"/>
        </w:rPr>
        <w:tab/>
        <w:t>que, pour respecter les critères de protection applicables aux stations terriennes du service de recherche spatiale, il faut prévoir des distances plus grandes que les distances de séparation en visibilité directe;</w:t>
      </w:r>
    </w:p>
    <w:p w:rsidR="004524B8" w:rsidRPr="004524B8" w:rsidRDefault="004524B8" w:rsidP="004524B8">
      <w:pPr>
        <w:tabs>
          <w:tab w:val="left" w:pos="-1890"/>
        </w:tabs>
        <w:rPr>
          <w:lang w:val="fr-CH"/>
        </w:rPr>
      </w:pPr>
      <w:r w:rsidRPr="004524B8">
        <w:rPr>
          <w:i/>
          <w:iCs/>
          <w:lang w:val="fr-CH"/>
        </w:rPr>
        <w:t>g)</w:t>
      </w:r>
      <w:r w:rsidRPr="004524B8">
        <w:rPr>
          <w:lang w:val="fr-CH"/>
        </w:rPr>
        <w:tab/>
        <w:t>que, pour analyser la propagation sans visibilité directe, il faut utiliser la méthode décrite dans la Recommandation UIT-R P.528;</w:t>
      </w:r>
    </w:p>
    <w:p w:rsidR="004524B8" w:rsidRPr="004524B8" w:rsidRDefault="004524B8" w:rsidP="00333986">
      <w:pPr>
        <w:rPr>
          <w:lang w:val="fr-CH"/>
        </w:rPr>
      </w:pPr>
      <w:r w:rsidRPr="004524B8">
        <w:rPr>
          <w:i/>
          <w:iCs/>
          <w:lang w:val="fr-CH"/>
        </w:rPr>
        <w:t>h)</w:t>
      </w:r>
      <w:r w:rsidRPr="004524B8">
        <w:rPr>
          <w:lang w:val="fr-CH"/>
        </w:rPr>
        <w:tab/>
        <w:t xml:space="preserve">que le Rapport UIT-R SA.2276, qui utilise la méthode de propagation sans visibilité directe, a fait apparaître que la distance de séparation requise serait d'environ 880 km, comme indiqué dans l'Annexe, </w:t>
      </w:r>
    </w:p>
    <w:p w:rsidR="004524B8" w:rsidRPr="004524B8" w:rsidRDefault="004524B8" w:rsidP="00333986">
      <w:pPr>
        <w:pStyle w:val="Call"/>
        <w:rPr>
          <w:lang w:val="fr-CH"/>
        </w:rPr>
      </w:pPr>
      <w:r w:rsidRPr="004524B8">
        <w:rPr>
          <w:lang w:val="fr-CH"/>
        </w:rPr>
        <w:lastRenderedPageBreak/>
        <w:t>recommande</w:t>
      </w:r>
    </w:p>
    <w:p w:rsidR="004524B8" w:rsidRDefault="004524B8" w:rsidP="004524B8">
      <w:pPr>
        <w:rPr>
          <w:lang w:val="fr-CH"/>
        </w:rPr>
      </w:pPr>
      <w:r w:rsidRPr="004524B8">
        <w:rPr>
          <w:color w:val="000000"/>
          <w:lang w:val="fr-CH"/>
        </w:rPr>
        <w:t xml:space="preserve">d'utiliser, dans la bande </w:t>
      </w:r>
      <w:r w:rsidRPr="004524B8">
        <w:rPr>
          <w:lang w:val="fr-CH"/>
        </w:rPr>
        <w:t>2 200-2 290 MHz, une distance de 880 km comme distance de coordination entre les stations terriennes du service de recherche spatiale et les stations (d'aéronef) mobiles.</w:t>
      </w:r>
    </w:p>
    <w:p w:rsidR="002444CB" w:rsidRDefault="002444CB" w:rsidP="004524B8">
      <w:pPr>
        <w:rPr>
          <w:lang w:val="fr-CH"/>
        </w:rPr>
      </w:pPr>
    </w:p>
    <w:p w:rsidR="002444CB" w:rsidRPr="004524B8" w:rsidRDefault="002444CB" w:rsidP="004524B8">
      <w:pPr>
        <w:rPr>
          <w:highlight w:val="yellow"/>
          <w:lang w:val="fr-CH"/>
        </w:rPr>
      </w:pPr>
    </w:p>
    <w:p w:rsidR="004524B8" w:rsidRPr="004524B8" w:rsidRDefault="004524B8" w:rsidP="00333986">
      <w:pPr>
        <w:pStyle w:val="AnnexNoTitle"/>
        <w:rPr>
          <w:lang w:val="fr-CH"/>
        </w:rPr>
      </w:pPr>
      <w:r w:rsidRPr="004524B8">
        <w:rPr>
          <w:lang w:val="fr-CH"/>
        </w:rPr>
        <w:t>Annexe</w:t>
      </w:r>
      <w:r w:rsidRPr="004524B8">
        <w:rPr>
          <w:lang w:val="fr-CH"/>
        </w:rPr>
        <w:br/>
      </w:r>
      <w:r w:rsidRPr="004524B8">
        <w:rPr>
          <w:lang w:val="fr-CH"/>
        </w:rPr>
        <w:br/>
        <w:t xml:space="preserve">Protection des stations terriennes du service de recherche spatiale vis-à-vis des stations (d'aéronef) mobiles dans la bande 2 200-2 290 MHz </w:t>
      </w:r>
    </w:p>
    <w:p w:rsidR="004524B8" w:rsidRPr="004524B8" w:rsidRDefault="004524B8" w:rsidP="00333986">
      <w:pPr>
        <w:pStyle w:val="Normalaftertitle"/>
        <w:rPr>
          <w:lang w:val="fr-CH"/>
        </w:rPr>
      </w:pPr>
      <w:r w:rsidRPr="004524B8">
        <w:rPr>
          <w:lang w:val="fr-CH"/>
        </w:rPr>
        <w:t>La présente Annexe donne les distances de séparation à respecter autour des stations terriennes du service de recherche spatiale pour que le niveau des brouillages causés par les stations d'aéronef respecte les critères de protection applicables aux stations terriennes du service de recherche spatiale.</w:t>
      </w:r>
    </w:p>
    <w:p w:rsidR="004524B8" w:rsidRPr="004524B8" w:rsidRDefault="004524B8" w:rsidP="004524B8">
      <w:pPr>
        <w:rPr>
          <w:lang w:val="fr-CH"/>
        </w:rPr>
      </w:pPr>
      <w:r w:rsidRPr="004524B8">
        <w:rPr>
          <w:lang w:val="fr-CH"/>
        </w:rPr>
        <w:t xml:space="preserve">Les distances de séparation sont calculées à l'aide du programme IF-77 recommandé dans la Recommandation UIT-R P.528 et avec le niveau de protection applicable aux stations terriennes du service de recherche spatiale indiqué dans la Recommandation UIT-R SA.609. Le niveau de protection pour les stations terriennes du service de recherche spatiale est exprimé sous forme d'une valeur seuil de densité spectrale de −216 dBW/Hz, avec une probabilité de dépassement de 0,001% pour les engins spatiaux habités du service de recherche spatiale à proximité de la Terre et une probabilité de dépassement de 0,1% pour les engins spatiaux non habités du service de recherche spatiale. </w:t>
      </w:r>
    </w:p>
    <w:p w:rsidR="004524B8" w:rsidRPr="004524B8" w:rsidRDefault="004524B8" w:rsidP="005A0BC5">
      <w:pPr>
        <w:rPr>
          <w:lang w:val="fr-CH"/>
        </w:rPr>
      </w:pPr>
      <w:r w:rsidRPr="004524B8">
        <w:rPr>
          <w:lang w:val="fr-CH"/>
        </w:rPr>
        <w:t>La Figure 1 ci-dessous montre la distance de séparation requise entre une station terrienne du service de recherche spatiale utilisée pour une mission habitée et une station d'aéronef, distance qui est exprimée en fonction de l'altitude de l'aéronef, pour une densité spectrale de p.i.r.e. à l'émission de l'aéronef de −50 dBW/Hz. Elle montre par ailleurs que, pour respecter les critères de protection applicable à la station terrienne du service de recherche spatiale, l'aéronef doit être éloigné d'une distance comprise entre 450 km et 8</w:t>
      </w:r>
      <w:r w:rsidR="005A0BC5">
        <w:rPr>
          <w:lang w:val="fr-CH"/>
        </w:rPr>
        <w:t>8</w:t>
      </w:r>
      <w:r w:rsidRPr="004524B8">
        <w:rPr>
          <w:lang w:val="fr-CH"/>
        </w:rPr>
        <w:t xml:space="preserve">0 km des stations terriennes du service de recherche spatiale, à Goldstone, Wallops, Madrid, Canberra, New Norcia, Perth, et Uchinoura, pour des altitudes de l'aéronef comprises entre 4 km et 17 km. A noter également que, pour protéger les stations terriennes du service de recherche spatiale, les distances de séparation requises sont supérieures d'une valeur comprise entre environ 200 et 300 km aux limites de visibilité RF données pour </w:t>
      </w:r>
      <w:r w:rsidRPr="004524B8">
        <w:rPr>
          <w:i/>
          <w:iCs/>
          <w:lang w:val="fr-CH"/>
        </w:rPr>
        <w:t>p</w:t>
      </w:r>
      <w:r w:rsidRPr="004524B8">
        <w:rPr>
          <w:lang w:val="fr-CH"/>
        </w:rPr>
        <w:t> &lt; 1%.</w:t>
      </w:r>
    </w:p>
    <w:p w:rsidR="004524B8" w:rsidRPr="004524B8" w:rsidRDefault="004524B8" w:rsidP="00333986">
      <w:pPr>
        <w:pStyle w:val="FigureNo"/>
        <w:rPr>
          <w:lang w:val="fr-CH"/>
        </w:rPr>
      </w:pPr>
      <w:r w:rsidRPr="004524B8">
        <w:rPr>
          <w:lang w:val="fr-CH"/>
        </w:rPr>
        <w:lastRenderedPageBreak/>
        <w:t>FIGURE 1</w:t>
      </w:r>
    </w:p>
    <w:p w:rsidR="004524B8" w:rsidRPr="00333986" w:rsidRDefault="004524B8" w:rsidP="00333986">
      <w:pPr>
        <w:pStyle w:val="Figuretitle"/>
      </w:pPr>
      <w:r w:rsidRPr="00333986">
        <w:t>Distances de séparation requises entre une station terrienne du service de recherche spatiale (p = 0,001%) et une station d'aéronef pour une densité de p.i.r.e. à l'émission de −50 dBW/Hz, en fonction de l'altitude de l'aéronef</w:t>
      </w:r>
    </w:p>
    <w:p w:rsidR="004524B8" w:rsidRPr="004524B8" w:rsidRDefault="004524B8" w:rsidP="00333986">
      <w:pPr>
        <w:pStyle w:val="Figure"/>
        <w:rPr>
          <w:lang w:val="en-US"/>
        </w:rPr>
      </w:pPr>
      <w:r w:rsidRPr="004524B8">
        <w:object w:dxaOrig="3699" w:dyaOrig="4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320.5pt" o:ole="">
            <v:imagedata r:id="rId13" o:title=""/>
          </v:shape>
          <o:OLEObject Type="Embed" ProgID="CorelDraw.Graphic.16" ShapeID="_x0000_i1025" DrawAspect="Content" ObjectID="_1532259055" r:id="rId14"/>
        </w:object>
      </w:r>
    </w:p>
    <w:p w:rsidR="004524B8" w:rsidRPr="004524B8" w:rsidRDefault="004524B8" w:rsidP="004524B8">
      <w:pPr>
        <w:rPr>
          <w:lang w:val="fr-CH"/>
        </w:rPr>
      </w:pPr>
      <w:r w:rsidRPr="004524B8">
        <w:rPr>
          <w:lang w:val="fr-CH"/>
        </w:rPr>
        <w:t>Le Tableau 1 ci-dessous donne les distances de séparation requises entre des stations terriennes du service de recherche spatiale et des stations (d'aéronef) mobiles pour une altitude de l'aéronef de 17 km et une densité spectrale de p.i.r.e. à l'émission de −50 dBW/Hz, pour une probabilité de dépassement de p = 0,001%.</w:t>
      </w:r>
    </w:p>
    <w:p w:rsidR="004524B8" w:rsidRPr="004524B8" w:rsidRDefault="004524B8" w:rsidP="00E8288F">
      <w:pPr>
        <w:pStyle w:val="TableNo"/>
        <w:rPr>
          <w:lang w:val="fr-CH"/>
        </w:rPr>
      </w:pPr>
      <w:r w:rsidRPr="004524B8">
        <w:rPr>
          <w:lang w:val="fr-CH"/>
        </w:rPr>
        <w:t>TABLEAU 1</w:t>
      </w:r>
    </w:p>
    <w:p w:rsidR="004524B8" w:rsidRPr="004524B8" w:rsidRDefault="004524B8" w:rsidP="00E8288F">
      <w:pPr>
        <w:pStyle w:val="Tabletitle"/>
        <w:rPr>
          <w:lang w:val="fr-CH"/>
        </w:rPr>
      </w:pPr>
      <w:r w:rsidRPr="004524B8">
        <w:rPr>
          <w:lang w:val="fr-CH"/>
        </w:rPr>
        <w:t>Distances de séparation requises entre les stations terriennes du service de recherche spatiale utilisées pour des missions habitées (</w:t>
      </w:r>
      <w:r w:rsidRPr="004524B8">
        <w:rPr>
          <w:i/>
          <w:iCs/>
          <w:lang w:val="fr-CH"/>
        </w:rPr>
        <w:t>p</w:t>
      </w:r>
      <w:r w:rsidRPr="004524B8">
        <w:rPr>
          <w:lang w:val="fr-CH"/>
        </w:rPr>
        <w:t xml:space="preserve"> = 0,001%) et une station d'aéronef à une altitude de 17 km émettant à une densité de p.i.r.e. de −50 dBW/Hz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1"/>
        <w:gridCol w:w="3094"/>
      </w:tblGrid>
      <w:tr w:rsidR="004524B8" w:rsidRPr="004524B8" w:rsidTr="00594CF6">
        <w:trPr>
          <w:jc w:val="center"/>
        </w:trPr>
        <w:tc>
          <w:tcPr>
            <w:tcW w:w="3021" w:type="dxa"/>
            <w:vAlign w:val="center"/>
          </w:tcPr>
          <w:p w:rsidR="004524B8" w:rsidRPr="004524B8" w:rsidRDefault="004524B8" w:rsidP="00E8288F">
            <w:pPr>
              <w:pStyle w:val="Tablehead"/>
              <w:rPr>
                <w:lang w:val="fr-CH"/>
              </w:rPr>
            </w:pPr>
            <w:r w:rsidRPr="004524B8">
              <w:rPr>
                <w:lang w:val="fr-CH"/>
              </w:rPr>
              <w:t>Station terrienne du service de recherche spatiale</w:t>
            </w:r>
            <w:r w:rsidRPr="004524B8">
              <w:rPr>
                <w:lang w:val="fr-CH"/>
              </w:rPr>
              <w:br/>
              <w:t>Site, pays</w:t>
            </w:r>
          </w:p>
        </w:tc>
        <w:tc>
          <w:tcPr>
            <w:tcW w:w="3094" w:type="dxa"/>
            <w:vAlign w:val="center"/>
          </w:tcPr>
          <w:p w:rsidR="004524B8" w:rsidRPr="004524B8" w:rsidRDefault="004524B8" w:rsidP="00E8288F">
            <w:pPr>
              <w:pStyle w:val="Tablehead"/>
            </w:pPr>
            <w:r w:rsidRPr="004524B8">
              <w:t>Distance de séparation requise</w:t>
            </w:r>
            <w:r w:rsidRPr="004524B8">
              <w:br/>
              <w:t>(km)</w:t>
            </w:r>
          </w:p>
        </w:tc>
      </w:tr>
      <w:tr w:rsidR="004524B8" w:rsidRPr="004524B8" w:rsidTr="00594CF6">
        <w:trPr>
          <w:jc w:val="center"/>
        </w:trPr>
        <w:tc>
          <w:tcPr>
            <w:tcW w:w="3021" w:type="dxa"/>
            <w:vAlign w:val="bottom"/>
          </w:tcPr>
          <w:p w:rsidR="004524B8" w:rsidRPr="004524B8" w:rsidRDefault="004524B8" w:rsidP="00E8288F">
            <w:pPr>
              <w:pStyle w:val="Tabletext"/>
            </w:pPr>
            <w:r w:rsidRPr="004524B8">
              <w:t>Goldstone, Etats-Unis</w:t>
            </w:r>
          </w:p>
        </w:tc>
        <w:tc>
          <w:tcPr>
            <w:tcW w:w="3094" w:type="dxa"/>
            <w:vAlign w:val="bottom"/>
          </w:tcPr>
          <w:p w:rsidR="004524B8" w:rsidRPr="004524B8" w:rsidRDefault="004524B8" w:rsidP="00E8288F">
            <w:pPr>
              <w:pStyle w:val="Tabletext"/>
              <w:jc w:val="center"/>
            </w:pPr>
            <w:r w:rsidRPr="004524B8">
              <w:t>817</w:t>
            </w:r>
          </w:p>
        </w:tc>
      </w:tr>
      <w:tr w:rsidR="004524B8" w:rsidRPr="004524B8" w:rsidTr="00594CF6">
        <w:trPr>
          <w:jc w:val="center"/>
        </w:trPr>
        <w:tc>
          <w:tcPr>
            <w:tcW w:w="3021" w:type="dxa"/>
            <w:vAlign w:val="bottom"/>
          </w:tcPr>
          <w:p w:rsidR="004524B8" w:rsidRPr="004524B8" w:rsidRDefault="004524B8" w:rsidP="00E8288F">
            <w:pPr>
              <w:pStyle w:val="Tabletext"/>
            </w:pPr>
            <w:r w:rsidRPr="004524B8">
              <w:t>Wallops, Etats-Unis</w:t>
            </w:r>
          </w:p>
        </w:tc>
        <w:tc>
          <w:tcPr>
            <w:tcW w:w="3094" w:type="dxa"/>
            <w:vAlign w:val="bottom"/>
          </w:tcPr>
          <w:p w:rsidR="004524B8" w:rsidRPr="004524B8" w:rsidRDefault="004524B8" w:rsidP="00E8288F">
            <w:pPr>
              <w:pStyle w:val="Tabletext"/>
              <w:jc w:val="center"/>
            </w:pPr>
            <w:r w:rsidRPr="004524B8">
              <w:t>747</w:t>
            </w:r>
          </w:p>
        </w:tc>
      </w:tr>
      <w:tr w:rsidR="004524B8" w:rsidRPr="004524B8" w:rsidTr="00594CF6">
        <w:trPr>
          <w:jc w:val="center"/>
        </w:trPr>
        <w:tc>
          <w:tcPr>
            <w:tcW w:w="3021" w:type="dxa"/>
            <w:vAlign w:val="bottom"/>
          </w:tcPr>
          <w:p w:rsidR="004524B8" w:rsidRPr="004524B8" w:rsidRDefault="004524B8" w:rsidP="00E8288F">
            <w:pPr>
              <w:pStyle w:val="Tabletext"/>
            </w:pPr>
            <w:r w:rsidRPr="004524B8">
              <w:t>Madrid, Espagne</w:t>
            </w:r>
          </w:p>
        </w:tc>
        <w:tc>
          <w:tcPr>
            <w:tcW w:w="3094" w:type="dxa"/>
            <w:vAlign w:val="bottom"/>
          </w:tcPr>
          <w:p w:rsidR="004524B8" w:rsidRPr="004524B8" w:rsidRDefault="004524B8" w:rsidP="00E8288F">
            <w:pPr>
              <w:pStyle w:val="Tabletext"/>
              <w:jc w:val="center"/>
            </w:pPr>
            <w:r w:rsidRPr="004524B8">
              <w:t>880</w:t>
            </w:r>
          </w:p>
        </w:tc>
      </w:tr>
      <w:tr w:rsidR="004524B8" w:rsidRPr="004524B8" w:rsidTr="00594CF6">
        <w:trPr>
          <w:jc w:val="center"/>
        </w:trPr>
        <w:tc>
          <w:tcPr>
            <w:tcW w:w="3021" w:type="dxa"/>
            <w:vAlign w:val="bottom"/>
          </w:tcPr>
          <w:p w:rsidR="004524B8" w:rsidRPr="004524B8" w:rsidRDefault="004524B8" w:rsidP="00E8288F">
            <w:pPr>
              <w:pStyle w:val="Tabletext"/>
            </w:pPr>
            <w:r w:rsidRPr="004524B8">
              <w:t>Canberra, Australie</w:t>
            </w:r>
          </w:p>
        </w:tc>
        <w:tc>
          <w:tcPr>
            <w:tcW w:w="3094" w:type="dxa"/>
            <w:vAlign w:val="bottom"/>
          </w:tcPr>
          <w:p w:rsidR="004524B8" w:rsidRPr="004524B8" w:rsidRDefault="004524B8" w:rsidP="00E8288F">
            <w:pPr>
              <w:pStyle w:val="Tabletext"/>
              <w:jc w:val="center"/>
            </w:pPr>
            <w:r w:rsidRPr="004524B8">
              <w:t>845</w:t>
            </w:r>
          </w:p>
        </w:tc>
      </w:tr>
      <w:tr w:rsidR="004524B8" w:rsidRPr="004524B8" w:rsidTr="00594CF6">
        <w:trPr>
          <w:jc w:val="center"/>
        </w:trPr>
        <w:tc>
          <w:tcPr>
            <w:tcW w:w="3021" w:type="dxa"/>
            <w:vAlign w:val="bottom"/>
          </w:tcPr>
          <w:p w:rsidR="004524B8" w:rsidRPr="004524B8" w:rsidRDefault="004524B8" w:rsidP="00E8288F">
            <w:pPr>
              <w:pStyle w:val="Tabletext"/>
            </w:pPr>
            <w:r w:rsidRPr="004524B8">
              <w:t>New Norcia, Australie</w:t>
            </w:r>
          </w:p>
        </w:tc>
        <w:tc>
          <w:tcPr>
            <w:tcW w:w="3094" w:type="dxa"/>
            <w:vAlign w:val="bottom"/>
          </w:tcPr>
          <w:p w:rsidR="004524B8" w:rsidRPr="004524B8" w:rsidRDefault="004524B8" w:rsidP="00E8288F">
            <w:pPr>
              <w:pStyle w:val="Tabletext"/>
              <w:jc w:val="center"/>
            </w:pPr>
            <w:r w:rsidRPr="004524B8">
              <w:t>774</w:t>
            </w:r>
          </w:p>
        </w:tc>
      </w:tr>
      <w:tr w:rsidR="004524B8" w:rsidRPr="004524B8" w:rsidTr="00594CF6">
        <w:trPr>
          <w:jc w:val="center"/>
        </w:trPr>
        <w:tc>
          <w:tcPr>
            <w:tcW w:w="3021" w:type="dxa"/>
            <w:vAlign w:val="bottom"/>
          </w:tcPr>
          <w:p w:rsidR="004524B8" w:rsidRPr="004524B8" w:rsidRDefault="004524B8" w:rsidP="00E8288F">
            <w:pPr>
              <w:pStyle w:val="Tabletext"/>
            </w:pPr>
            <w:r w:rsidRPr="004524B8">
              <w:t>Perth, Australie</w:t>
            </w:r>
          </w:p>
        </w:tc>
        <w:tc>
          <w:tcPr>
            <w:tcW w:w="3094" w:type="dxa"/>
            <w:vAlign w:val="bottom"/>
          </w:tcPr>
          <w:p w:rsidR="004524B8" w:rsidRPr="004524B8" w:rsidRDefault="004524B8" w:rsidP="00E8288F">
            <w:pPr>
              <w:pStyle w:val="Tabletext"/>
              <w:jc w:val="center"/>
            </w:pPr>
            <w:r w:rsidRPr="004524B8">
              <w:t>698</w:t>
            </w:r>
          </w:p>
        </w:tc>
      </w:tr>
      <w:tr w:rsidR="004524B8" w:rsidRPr="004524B8" w:rsidTr="00594CF6">
        <w:trPr>
          <w:jc w:val="center"/>
        </w:trPr>
        <w:tc>
          <w:tcPr>
            <w:tcW w:w="3021" w:type="dxa"/>
            <w:vAlign w:val="bottom"/>
          </w:tcPr>
          <w:p w:rsidR="004524B8" w:rsidRPr="004524B8" w:rsidRDefault="004524B8" w:rsidP="00E8288F">
            <w:pPr>
              <w:pStyle w:val="Tabletext"/>
            </w:pPr>
            <w:r w:rsidRPr="004524B8">
              <w:t>Uchinoura, Japon</w:t>
            </w:r>
          </w:p>
        </w:tc>
        <w:tc>
          <w:tcPr>
            <w:tcW w:w="3094" w:type="dxa"/>
            <w:vAlign w:val="bottom"/>
          </w:tcPr>
          <w:p w:rsidR="004524B8" w:rsidRPr="004524B8" w:rsidRDefault="004524B8" w:rsidP="00E8288F">
            <w:pPr>
              <w:pStyle w:val="Tabletext"/>
              <w:jc w:val="center"/>
            </w:pPr>
            <w:r w:rsidRPr="004524B8">
              <w:t>771</w:t>
            </w:r>
          </w:p>
        </w:tc>
      </w:tr>
    </w:tbl>
    <w:p w:rsidR="004524B8" w:rsidRPr="004524B8" w:rsidRDefault="004524B8" w:rsidP="00E8288F">
      <w:pPr>
        <w:pStyle w:val="Tablefin"/>
      </w:pPr>
    </w:p>
    <w:p w:rsidR="004524B8" w:rsidRPr="004524B8" w:rsidRDefault="004524B8" w:rsidP="004524B8">
      <w:pPr>
        <w:rPr>
          <w:lang w:val="fr-CH"/>
        </w:rPr>
      </w:pPr>
      <w:r w:rsidRPr="004524B8">
        <w:rPr>
          <w:lang w:val="fr-CH"/>
        </w:rPr>
        <w:lastRenderedPageBreak/>
        <w:t xml:space="preserve">La Figure 2 ci-dessous donne les distances de séparation requises entre des stations terriennes du service de recherche spatiale utilisées pour une mission non habitée et une station d'aéronef, en fonction de l'altitude de l'aéronef pour une densité de p.i.r.e. à l'émission de l'aéronef de −50 dBW/Hz. Elle montre par ailleurs que, pour respecter les critères de protection applicables à la station terrienne du service de recherche spatiale, l'aéronef doit être éloigné d'une distance comprise entre 450 km et 825 km des stations terriennes du service de recherche spatiale, à Goldstone, Wallops, Madrid, Canberra, et Uchinoura, pour des altitudes de l'aéronef comprises entre 4 km et 17 km. </w:t>
      </w:r>
    </w:p>
    <w:p w:rsidR="004524B8" w:rsidRPr="004524B8" w:rsidRDefault="004524B8" w:rsidP="004524B8">
      <w:pPr>
        <w:rPr>
          <w:lang w:val="fr-CH"/>
        </w:rPr>
      </w:pPr>
      <w:r w:rsidRPr="004524B8">
        <w:rPr>
          <w:lang w:val="fr-CH"/>
        </w:rPr>
        <w:t xml:space="preserve">A noter là également que, pour protéger les stations terriennes du service de recherche spatiale, les distances de séparation requises sont supérieures aux limites de visibilité RF données pour </w:t>
      </w:r>
      <w:r w:rsidRPr="004524B8">
        <w:rPr>
          <w:i/>
          <w:iCs/>
          <w:lang w:val="fr-CH"/>
        </w:rPr>
        <w:t>p</w:t>
      </w:r>
      <w:r w:rsidRPr="004524B8">
        <w:rPr>
          <w:lang w:val="fr-CH"/>
        </w:rPr>
        <w:t> &lt; 1%.</w:t>
      </w:r>
    </w:p>
    <w:p w:rsidR="004524B8" w:rsidRPr="004524B8" w:rsidRDefault="004524B8" w:rsidP="004524B8">
      <w:pPr>
        <w:keepNext/>
        <w:keepLines/>
        <w:spacing w:before="480" w:after="80"/>
        <w:jc w:val="center"/>
        <w:rPr>
          <w:caps/>
          <w:sz w:val="18"/>
          <w:lang w:val="fr-CH"/>
        </w:rPr>
      </w:pPr>
      <w:r w:rsidRPr="004524B8">
        <w:rPr>
          <w:caps/>
          <w:sz w:val="18"/>
          <w:lang w:val="fr-CH"/>
        </w:rPr>
        <w:t>FIGURE 2</w:t>
      </w:r>
    </w:p>
    <w:p w:rsidR="004524B8" w:rsidRPr="004524B8" w:rsidRDefault="004524B8" w:rsidP="004524B8">
      <w:pPr>
        <w:keepNext/>
        <w:spacing w:before="0" w:after="120"/>
        <w:jc w:val="center"/>
        <w:rPr>
          <w:rFonts w:ascii="Times New Roman Bold" w:hAnsi="Times New Roman Bold"/>
          <w:b/>
          <w:sz w:val="18"/>
          <w:lang w:val="fr-CH"/>
        </w:rPr>
      </w:pPr>
      <w:r w:rsidRPr="004524B8">
        <w:rPr>
          <w:rFonts w:ascii="Times New Roman Bold" w:hAnsi="Times New Roman Bold"/>
          <w:b/>
          <w:sz w:val="18"/>
          <w:lang w:val="fr-CH"/>
        </w:rPr>
        <w:t>Distances de séparation requises entre une station terrienne du service de recherche spatiale (</w:t>
      </w:r>
      <w:r w:rsidRPr="004524B8">
        <w:rPr>
          <w:rFonts w:ascii="Times New Roman Bold" w:hAnsi="Times New Roman Bold"/>
          <w:b/>
          <w:i/>
          <w:iCs/>
          <w:sz w:val="18"/>
          <w:lang w:val="fr-CH"/>
        </w:rPr>
        <w:t>p</w:t>
      </w:r>
      <w:r w:rsidRPr="004524B8">
        <w:rPr>
          <w:rFonts w:ascii="Times New Roman Bold" w:hAnsi="Times New Roman Bold"/>
          <w:b/>
          <w:sz w:val="18"/>
          <w:lang w:val="fr-CH"/>
        </w:rPr>
        <w:t> = 0,1%) et une station d'aéronef émettant à une densité de p.i.r.e. à l'émission de −50 dBW/Hz, en fonction de l'attitude de l'aéronef</w:t>
      </w:r>
    </w:p>
    <w:p w:rsidR="004524B8" w:rsidRPr="004524B8" w:rsidRDefault="004524B8" w:rsidP="004524B8">
      <w:pPr>
        <w:keepLines/>
        <w:spacing w:before="0" w:after="240"/>
        <w:jc w:val="center"/>
        <w:rPr>
          <w:caps/>
          <w:sz w:val="18"/>
          <w:lang w:val="en-US"/>
        </w:rPr>
      </w:pPr>
      <w:r w:rsidRPr="004524B8">
        <w:rPr>
          <w:caps/>
          <w:sz w:val="18"/>
        </w:rPr>
        <w:object w:dxaOrig="3699" w:dyaOrig="3973">
          <v:shape id="_x0000_i1026" type="#_x0000_t75" style="width:277pt;height:298pt" o:ole="">
            <v:imagedata r:id="rId15" o:title=""/>
          </v:shape>
          <o:OLEObject Type="Embed" ProgID="CorelDraw.Graphic.16" ShapeID="_x0000_i1026" DrawAspect="Content" ObjectID="_1532259056" r:id="rId16"/>
        </w:object>
      </w:r>
    </w:p>
    <w:p w:rsidR="004524B8" w:rsidRPr="004524B8" w:rsidRDefault="004524B8" w:rsidP="004524B8">
      <w:pPr>
        <w:keepLines/>
        <w:spacing w:before="360"/>
        <w:rPr>
          <w:lang w:val="fr-CH"/>
        </w:rPr>
      </w:pPr>
      <w:r w:rsidRPr="004524B8">
        <w:rPr>
          <w:lang w:val="fr-CH"/>
        </w:rPr>
        <w:t>Le Tableau 2 ci-dessous donne les distances de séparation requises entre les stations terriennes du service de recherche spatiale et les stations (d'aéronef) mobiles pour une altitude de l'aéronef de 17 km et une densité spectrale de p.i.r.e. à l'émission de −50 dBW/Hz en direction de l'horizon, pour une probabilité de dépassement de p = 0,1%.</w:t>
      </w:r>
    </w:p>
    <w:p w:rsidR="004524B8" w:rsidRPr="004524B8" w:rsidRDefault="004524B8" w:rsidP="00C12F79">
      <w:pPr>
        <w:pStyle w:val="TableNo"/>
        <w:rPr>
          <w:lang w:val="fr-CH"/>
        </w:rPr>
      </w:pPr>
      <w:r w:rsidRPr="004524B8">
        <w:rPr>
          <w:lang w:val="fr-CH"/>
        </w:rPr>
        <w:lastRenderedPageBreak/>
        <w:t>TABLEAU 2</w:t>
      </w:r>
    </w:p>
    <w:p w:rsidR="004524B8" w:rsidRPr="004524B8" w:rsidRDefault="004524B8" w:rsidP="00C12F79">
      <w:pPr>
        <w:pStyle w:val="Tabletitle"/>
        <w:rPr>
          <w:lang w:val="fr-CH"/>
        </w:rPr>
      </w:pPr>
      <w:r w:rsidRPr="004524B8">
        <w:rPr>
          <w:lang w:val="fr-CH"/>
        </w:rPr>
        <w:t>Distances de séparation requises entre les stations terriennes du service de recherche spatiale utilisées pour des missions non habitées (</w:t>
      </w:r>
      <w:r w:rsidRPr="004524B8">
        <w:rPr>
          <w:i/>
          <w:iCs/>
          <w:lang w:val="fr-CH"/>
        </w:rPr>
        <w:t>p</w:t>
      </w:r>
      <w:r w:rsidRPr="004524B8">
        <w:rPr>
          <w:lang w:val="fr-CH"/>
        </w:rPr>
        <w:t xml:space="preserve"> = 0,1%) et une station d'aéronef à une altitude de 17 km émettant à une densité de p.i.r.e. de −50 dBW/Hz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3165"/>
      </w:tblGrid>
      <w:tr w:rsidR="004524B8" w:rsidRPr="004524B8" w:rsidTr="00594CF6">
        <w:trPr>
          <w:jc w:val="center"/>
        </w:trPr>
        <w:tc>
          <w:tcPr>
            <w:tcW w:w="2944" w:type="dxa"/>
            <w:vAlign w:val="center"/>
          </w:tcPr>
          <w:p w:rsidR="004524B8" w:rsidRPr="004524B8" w:rsidRDefault="004524B8" w:rsidP="00657D50">
            <w:pPr>
              <w:pStyle w:val="Tablehead"/>
              <w:rPr>
                <w:lang w:val="fr-CH"/>
              </w:rPr>
            </w:pPr>
            <w:r w:rsidRPr="004524B8">
              <w:rPr>
                <w:lang w:val="fr-CH"/>
              </w:rPr>
              <w:t>Station terrienne du service de recherche spatiale</w:t>
            </w:r>
            <w:r w:rsidRPr="004524B8">
              <w:rPr>
                <w:lang w:val="fr-CH"/>
              </w:rPr>
              <w:br/>
              <w:t>Site, pays</w:t>
            </w:r>
          </w:p>
        </w:tc>
        <w:tc>
          <w:tcPr>
            <w:tcW w:w="3165" w:type="dxa"/>
            <w:vAlign w:val="center"/>
          </w:tcPr>
          <w:p w:rsidR="004524B8" w:rsidRPr="004524B8" w:rsidRDefault="004524B8" w:rsidP="00657D50">
            <w:pPr>
              <w:pStyle w:val="Tablehead"/>
              <w:rPr>
                <w:lang w:val="fr-CH"/>
              </w:rPr>
            </w:pPr>
            <w:r w:rsidRPr="004524B8">
              <w:rPr>
                <w:lang w:val="fr-CH"/>
              </w:rPr>
              <w:t>Distance de séparation requise</w:t>
            </w:r>
            <w:r w:rsidRPr="004524B8">
              <w:rPr>
                <w:lang w:val="fr-CH"/>
              </w:rPr>
              <w:br/>
              <w:t>(km)</w:t>
            </w:r>
          </w:p>
        </w:tc>
      </w:tr>
      <w:tr w:rsidR="004524B8" w:rsidRPr="004524B8" w:rsidTr="00594CF6">
        <w:trPr>
          <w:jc w:val="center"/>
        </w:trPr>
        <w:tc>
          <w:tcPr>
            <w:tcW w:w="2944" w:type="dxa"/>
            <w:vAlign w:val="bottom"/>
          </w:tcPr>
          <w:p w:rsidR="004524B8" w:rsidRPr="004524B8" w:rsidRDefault="004524B8" w:rsidP="00C12F79">
            <w:pPr>
              <w:pStyle w:val="Tabletext"/>
              <w:rPr>
                <w:lang w:val="en-US"/>
              </w:rPr>
            </w:pPr>
            <w:r w:rsidRPr="004524B8">
              <w:rPr>
                <w:lang w:val="en-US"/>
              </w:rPr>
              <w:t>Goldstone, Etats-Unis</w:t>
            </w:r>
          </w:p>
        </w:tc>
        <w:tc>
          <w:tcPr>
            <w:tcW w:w="3165" w:type="dxa"/>
            <w:vAlign w:val="bottom"/>
          </w:tcPr>
          <w:p w:rsidR="004524B8" w:rsidRPr="004524B8" w:rsidRDefault="004524B8" w:rsidP="00C12F79">
            <w:pPr>
              <w:pStyle w:val="Tabletext"/>
              <w:jc w:val="center"/>
              <w:rPr>
                <w:lang w:val="en-US"/>
              </w:rPr>
            </w:pPr>
            <w:r w:rsidRPr="004524B8">
              <w:rPr>
                <w:lang w:val="en-US"/>
              </w:rPr>
              <w:t>763</w:t>
            </w:r>
          </w:p>
        </w:tc>
      </w:tr>
      <w:tr w:rsidR="004524B8" w:rsidRPr="004524B8" w:rsidTr="00594CF6">
        <w:trPr>
          <w:jc w:val="center"/>
        </w:trPr>
        <w:tc>
          <w:tcPr>
            <w:tcW w:w="2944" w:type="dxa"/>
            <w:vAlign w:val="bottom"/>
          </w:tcPr>
          <w:p w:rsidR="004524B8" w:rsidRPr="004524B8" w:rsidRDefault="004524B8" w:rsidP="00C12F79">
            <w:pPr>
              <w:pStyle w:val="Tabletext"/>
              <w:rPr>
                <w:lang w:val="en-US"/>
              </w:rPr>
            </w:pPr>
            <w:r w:rsidRPr="004524B8">
              <w:rPr>
                <w:lang w:val="en-US"/>
              </w:rPr>
              <w:t>Wallops, Etats-Unis</w:t>
            </w:r>
          </w:p>
        </w:tc>
        <w:tc>
          <w:tcPr>
            <w:tcW w:w="3165" w:type="dxa"/>
            <w:vAlign w:val="bottom"/>
          </w:tcPr>
          <w:p w:rsidR="004524B8" w:rsidRPr="004524B8" w:rsidRDefault="004524B8" w:rsidP="00C12F79">
            <w:pPr>
              <w:pStyle w:val="Tabletext"/>
              <w:jc w:val="center"/>
              <w:rPr>
                <w:lang w:val="en-US"/>
              </w:rPr>
            </w:pPr>
            <w:r w:rsidRPr="004524B8">
              <w:rPr>
                <w:lang w:val="en-US"/>
              </w:rPr>
              <w:t>696</w:t>
            </w:r>
          </w:p>
        </w:tc>
      </w:tr>
      <w:tr w:rsidR="004524B8" w:rsidRPr="004524B8" w:rsidTr="00594CF6">
        <w:trPr>
          <w:jc w:val="center"/>
        </w:trPr>
        <w:tc>
          <w:tcPr>
            <w:tcW w:w="2944" w:type="dxa"/>
            <w:vAlign w:val="bottom"/>
          </w:tcPr>
          <w:p w:rsidR="004524B8" w:rsidRPr="004524B8" w:rsidRDefault="004524B8" w:rsidP="00C12F79">
            <w:pPr>
              <w:pStyle w:val="Tabletext"/>
              <w:rPr>
                <w:lang w:val="en-US"/>
              </w:rPr>
            </w:pPr>
            <w:r w:rsidRPr="004524B8">
              <w:rPr>
                <w:lang w:val="en-US"/>
              </w:rPr>
              <w:t>Madrid, Espagne</w:t>
            </w:r>
          </w:p>
        </w:tc>
        <w:tc>
          <w:tcPr>
            <w:tcW w:w="3165" w:type="dxa"/>
            <w:vAlign w:val="bottom"/>
          </w:tcPr>
          <w:p w:rsidR="004524B8" w:rsidRPr="004524B8" w:rsidRDefault="004524B8" w:rsidP="00C12F79">
            <w:pPr>
              <w:pStyle w:val="Tabletext"/>
              <w:jc w:val="center"/>
              <w:rPr>
                <w:lang w:val="en-US"/>
              </w:rPr>
            </w:pPr>
            <w:r w:rsidRPr="004524B8">
              <w:rPr>
                <w:lang w:val="en-US"/>
              </w:rPr>
              <w:t>825</w:t>
            </w:r>
          </w:p>
        </w:tc>
      </w:tr>
      <w:tr w:rsidR="004524B8" w:rsidRPr="004524B8" w:rsidTr="00594CF6">
        <w:trPr>
          <w:jc w:val="center"/>
        </w:trPr>
        <w:tc>
          <w:tcPr>
            <w:tcW w:w="2944" w:type="dxa"/>
            <w:vAlign w:val="bottom"/>
          </w:tcPr>
          <w:p w:rsidR="004524B8" w:rsidRPr="004524B8" w:rsidRDefault="004524B8" w:rsidP="00C12F79">
            <w:pPr>
              <w:pStyle w:val="Tabletext"/>
            </w:pPr>
            <w:r w:rsidRPr="004524B8">
              <w:rPr>
                <w:lang w:val="en-US"/>
              </w:rPr>
              <w:t>Can</w:t>
            </w:r>
            <w:r w:rsidRPr="004524B8">
              <w:t>berra, Australie</w:t>
            </w:r>
          </w:p>
        </w:tc>
        <w:tc>
          <w:tcPr>
            <w:tcW w:w="3165" w:type="dxa"/>
            <w:vAlign w:val="bottom"/>
          </w:tcPr>
          <w:p w:rsidR="004524B8" w:rsidRPr="004524B8" w:rsidRDefault="004524B8" w:rsidP="00C12F79">
            <w:pPr>
              <w:pStyle w:val="Tabletext"/>
              <w:jc w:val="center"/>
            </w:pPr>
            <w:r w:rsidRPr="004524B8">
              <w:t>789</w:t>
            </w:r>
          </w:p>
        </w:tc>
      </w:tr>
      <w:tr w:rsidR="004524B8" w:rsidRPr="004524B8" w:rsidTr="00594CF6">
        <w:trPr>
          <w:jc w:val="center"/>
        </w:trPr>
        <w:tc>
          <w:tcPr>
            <w:tcW w:w="2944" w:type="dxa"/>
            <w:vAlign w:val="bottom"/>
          </w:tcPr>
          <w:p w:rsidR="004524B8" w:rsidRPr="004524B8" w:rsidRDefault="004524B8" w:rsidP="00C12F79">
            <w:pPr>
              <w:pStyle w:val="Tabletext"/>
            </w:pPr>
            <w:r w:rsidRPr="004524B8">
              <w:t>Uchinoura, Japon</w:t>
            </w:r>
          </w:p>
        </w:tc>
        <w:tc>
          <w:tcPr>
            <w:tcW w:w="3165" w:type="dxa"/>
            <w:vAlign w:val="bottom"/>
          </w:tcPr>
          <w:p w:rsidR="004524B8" w:rsidRPr="004524B8" w:rsidRDefault="004524B8" w:rsidP="00C12F79">
            <w:pPr>
              <w:pStyle w:val="Tabletext"/>
              <w:jc w:val="center"/>
            </w:pPr>
            <w:r w:rsidRPr="004524B8">
              <w:t>731</w:t>
            </w:r>
          </w:p>
        </w:tc>
      </w:tr>
    </w:tbl>
    <w:p w:rsidR="00387700" w:rsidRDefault="00387700" w:rsidP="00387700">
      <w:pPr>
        <w:pStyle w:val="Tablefin"/>
      </w:pPr>
    </w:p>
    <w:p w:rsidR="004524B8" w:rsidRPr="004524B8" w:rsidRDefault="004524B8" w:rsidP="00387700">
      <w:pPr>
        <w:rPr>
          <w:lang w:val="fr-CH"/>
        </w:rPr>
      </w:pPr>
      <w:r w:rsidRPr="004524B8">
        <w:rPr>
          <w:lang w:val="fr-CH"/>
        </w:rPr>
        <w:t>A noter que ces distances pour les stations terriennes du service de recherche spatiale utilisées pour des missions non habitées (</w:t>
      </w:r>
      <w:r w:rsidRPr="004524B8">
        <w:rPr>
          <w:i/>
          <w:iCs/>
          <w:lang w:val="fr-CH"/>
        </w:rPr>
        <w:t>p  </w:t>
      </w:r>
      <w:r w:rsidRPr="004524B8">
        <w:rPr>
          <w:lang w:val="fr-CH"/>
        </w:rPr>
        <w:t>=  0,1%) sont d'environ 50 km inférieures aux distances données pour les stations terriennes du service de recherche spatiale utilisées pour des missions habitées (</w:t>
      </w:r>
      <w:r w:rsidRPr="004524B8">
        <w:rPr>
          <w:i/>
          <w:iCs/>
          <w:lang w:val="fr-CH"/>
        </w:rPr>
        <w:t> p  </w:t>
      </w:r>
      <w:r w:rsidRPr="004524B8">
        <w:rPr>
          <w:lang w:val="fr-CH"/>
        </w:rPr>
        <w:t>=  0,001%).</w:t>
      </w:r>
    </w:p>
    <w:p w:rsidR="004524B8" w:rsidRPr="004524B8" w:rsidRDefault="004524B8" w:rsidP="000629D0">
      <w:pPr>
        <w:keepNext/>
        <w:keepLines/>
        <w:rPr>
          <w:lang w:val="fr-CH"/>
        </w:rPr>
      </w:pPr>
      <w:r w:rsidRPr="004524B8">
        <w:rPr>
          <w:lang w:val="fr-CH"/>
        </w:rPr>
        <w:t>En conclusion, pour respecter le critère de protection applicable aux stations terriennes du service de recherche spatiale utilisées pour des missions habitées ou des missions non habitées, il faut prévoir des distances de séparation de plus de 880 km entre les stations terriennes du service de recherche spatiale et les stations d'aéronef.</w:t>
      </w:r>
    </w:p>
    <w:p w:rsidR="00934ED7" w:rsidRPr="00E47C0A" w:rsidRDefault="00934ED7" w:rsidP="00387700">
      <w:pPr>
        <w:pStyle w:val="Line"/>
        <w:rPr>
          <w:lang w:val="fr-CH"/>
        </w:rPr>
      </w:pPr>
    </w:p>
    <w:sectPr w:rsidR="00934ED7" w:rsidRPr="00E47C0A" w:rsidSect="00615631">
      <w:headerReference w:type="even"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E02" w:rsidRDefault="00603E02">
      <w:r>
        <w:separator/>
      </w:r>
    </w:p>
  </w:endnote>
  <w:endnote w:type="continuationSeparator" w:id="0">
    <w:p w:rsidR="00603E02" w:rsidRDefault="00603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E02" w:rsidRDefault="00603E02">
      <w:r>
        <w:separator/>
      </w:r>
    </w:p>
  </w:footnote>
  <w:footnote w:type="continuationSeparator" w:id="0">
    <w:p w:rsidR="00603E02" w:rsidRDefault="00603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F76BDF" w:rsidP="00C668C8">
    <w:pPr>
      <w:pStyle w:val="Header"/>
      <w:ind w:right="360" w:firstLine="360"/>
    </w:pPr>
    <w:r>
      <w:rPr>
        <w:noProof/>
        <w:lang w:val="en-US" w:eastAsia="zh-CN"/>
      </w:rPr>
      <w:drawing>
        <wp:anchor distT="0" distB="0" distL="114300" distR="114300" simplePos="0" relativeHeight="251656704" behindDoc="1" locked="0" layoutInCell="1" allowOverlap="1" wp14:anchorId="583B039F" wp14:editId="6B06D2E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DD536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60B2B">
      <w:rPr>
        <w:rStyle w:val="PageNumber"/>
        <w:b/>
        <w:bCs/>
        <w:noProof/>
      </w:rPr>
      <w:t>ii</w:t>
    </w:r>
    <w:r>
      <w:rPr>
        <w:rStyle w:val="PageNumber"/>
        <w:b/>
        <w:bCs/>
      </w:rPr>
      <w:fldChar w:fldCharType="end"/>
    </w:r>
    <w:r w:rsidRPr="00837CB5">
      <w:tab/>
    </w:r>
    <w:r w:rsidR="00F60B2B">
      <w:fldChar w:fldCharType="begin"/>
    </w:r>
    <w:r w:rsidR="00F60B2B">
      <w:instrText xml:space="preserve"> DOCPROPERTY "Header" \* MERGEFORMAT </w:instrText>
    </w:r>
    <w:r w:rsidR="00F60B2B">
      <w:fldChar w:fldCharType="separate"/>
    </w:r>
    <w:r w:rsidR="00AC6C7C" w:rsidRPr="00AC6C7C">
      <w:rPr>
        <w:b/>
        <w:bCs/>
      </w:rPr>
      <w:t xml:space="preserve">Rec. </w:t>
    </w:r>
    <w:r w:rsidR="00F60B2B">
      <w:rPr>
        <w:b/>
        <w:bCs/>
      </w:rPr>
      <w:fldChar w:fldCharType="end"/>
    </w:r>
    <w:r w:rsidR="00E0144A">
      <w:rPr>
        <w:b/>
        <w:bCs/>
      </w:rPr>
      <w:t xml:space="preserve"> </w:t>
    </w:r>
    <w:r w:rsidR="00E0144A">
      <w:rPr>
        <w:b/>
        <w:bCs/>
      </w:rPr>
      <w:fldChar w:fldCharType="begin"/>
    </w:r>
    <w:r w:rsidR="00E0144A" w:rsidRPr="00837CB5">
      <w:rPr>
        <w:b/>
        <w:bCs/>
      </w:rPr>
      <w:instrText>styleref href</w:instrText>
    </w:r>
    <w:r w:rsidR="00E0144A">
      <w:rPr>
        <w:b/>
        <w:bCs/>
      </w:rPr>
      <w:fldChar w:fldCharType="separate"/>
    </w:r>
    <w:r w:rsidR="00F60B2B">
      <w:rPr>
        <w:b/>
        <w:bCs/>
        <w:noProof/>
      </w:rPr>
      <w:t>UIT-R  SA.2078-0</w:t>
    </w:r>
    <w:r w:rsidR="00E0144A">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rsidP="00E0144A">
    <w:pPr>
      <w:pStyle w:val="Header"/>
    </w:pPr>
    <w:r>
      <w:tab/>
    </w:r>
    <w:r w:rsidR="00F60B2B">
      <w:fldChar w:fldCharType="begin"/>
    </w:r>
    <w:r w:rsidR="00F60B2B">
      <w:instrText xml:space="preserve"> DOCPROPERTY "Header" \* MERGEFORMAT </w:instrText>
    </w:r>
    <w:r w:rsidR="00F60B2B">
      <w:fldChar w:fldCharType="separate"/>
    </w:r>
    <w:r w:rsidR="00AC6C7C" w:rsidRPr="00AC6C7C">
      <w:rPr>
        <w:b/>
        <w:bCs/>
      </w:rPr>
      <w:t xml:space="preserve">Rec. </w:t>
    </w:r>
    <w:r w:rsidR="00F60B2B">
      <w:rPr>
        <w:b/>
        <w:bCs/>
      </w:rPr>
      <w:fldChar w:fldCharType="end"/>
    </w:r>
    <w:r w:rsidR="00E0144A">
      <w:rPr>
        <w:b/>
        <w:bCs/>
      </w:rPr>
      <w:t xml:space="preserve"> </w:t>
    </w:r>
    <w:r w:rsidR="00E0144A">
      <w:rPr>
        <w:b/>
        <w:bCs/>
      </w:rPr>
      <w:fldChar w:fldCharType="begin"/>
    </w:r>
    <w:r w:rsidR="00E0144A" w:rsidRPr="00837CB5">
      <w:rPr>
        <w:b/>
        <w:bCs/>
      </w:rPr>
      <w:instrText>styleref href</w:instrText>
    </w:r>
    <w:r w:rsidR="00E0144A">
      <w:rPr>
        <w:b/>
        <w:bCs/>
      </w:rPr>
      <w:fldChar w:fldCharType="separate"/>
    </w:r>
    <w:r w:rsidR="00F60B2B">
      <w:rPr>
        <w:b/>
        <w:bCs/>
        <w:noProof/>
      </w:rPr>
      <w:t>UIT-R  SA.2078-0</w:t>
    </w:r>
    <w:r w:rsidR="00E0144A">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0B2B">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4A" w:rsidRPr="00837CB5" w:rsidRDefault="00E0144A" w:rsidP="00E0144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60B2B">
      <w:rPr>
        <w:rStyle w:val="PageNumber"/>
        <w:b/>
        <w:bCs/>
        <w:noProof/>
      </w:rPr>
      <w:t>4</w:t>
    </w:r>
    <w:r>
      <w:rPr>
        <w:rStyle w:val="PageNumber"/>
        <w:b/>
        <w:bCs/>
      </w:rPr>
      <w:fldChar w:fldCharType="end"/>
    </w:r>
    <w:r w:rsidRPr="00837CB5">
      <w:tab/>
    </w:r>
    <w:r w:rsidR="00F60B2B">
      <w:fldChar w:fldCharType="begin"/>
    </w:r>
    <w:r w:rsidR="00F60B2B">
      <w:instrText xml:space="preserve"> DOCPROPERTY "Header" \* MERGEFORMAT </w:instrText>
    </w:r>
    <w:r w:rsidR="00F60B2B">
      <w:fldChar w:fldCharType="separate"/>
    </w:r>
    <w:r w:rsidR="00AC6C7C" w:rsidRPr="00AC6C7C">
      <w:rPr>
        <w:b/>
        <w:bCs/>
      </w:rPr>
      <w:t xml:space="preserve">Rec. </w:t>
    </w:r>
    <w:r w:rsidR="00F60B2B">
      <w:rPr>
        <w:b/>
        <w:bCs/>
      </w:rPr>
      <w:fldChar w:fldCharType="end"/>
    </w:r>
    <w:r w:rsidR="0085615D">
      <w:rPr>
        <w:b/>
        <w:bCs/>
      </w:rPr>
      <w:t xml:space="preserve"> </w:t>
    </w:r>
    <w:r w:rsidR="0085615D">
      <w:rPr>
        <w:b/>
        <w:bCs/>
      </w:rPr>
      <w:fldChar w:fldCharType="begin"/>
    </w:r>
    <w:r w:rsidR="0085615D" w:rsidRPr="00837CB5">
      <w:rPr>
        <w:b/>
        <w:bCs/>
      </w:rPr>
      <w:instrText>styleref href</w:instrText>
    </w:r>
    <w:r w:rsidR="0085615D">
      <w:rPr>
        <w:b/>
        <w:bCs/>
      </w:rPr>
      <w:fldChar w:fldCharType="separate"/>
    </w:r>
    <w:r w:rsidR="00F60B2B">
      <w:rPr>
        <w:b/>
        <w:bCs/>
        <w:noProof/>
      </w:rPr>
      <w:t>UIT-R  SA.2078-0</w:t>
    </w:r>
    <w:r w:rsidR="0085615D">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54DBA"/>
    <w:rsid w:val="00062776"/>
    <w:rsid w:val="000629D0"/>
    <w:rsid w:val="00072484"/>
    <w:rsid w:val="00076BD8"/>
    <w:rsid w:val="00086C50"/>
    <w:rsid w:val="00096612"/>
    <w:rsid w:val="000A0A78"/>
    <w:rsid w:val="000B7683"/>
    <w:rsid w:val="001011A2"/>
    <w:rsid w:val="00102934"/>
    <w:rsid w:val="00107822"/>
    <w:rsid w:val="00123FD5"/>
    <w:rsid w:val="00125B6D"/>
    <w:rsid w:val="00126AF2"/>
    <w:rsid w:val="00147110"/>
    <w:rsid w:val="00181701"/>
    <w:rsid w:val="001A27FE"/>
    <w:rsid w:val="00202D10"/>
    <w:rsid w:val="002058CE"/>
    <w:rsid w:val="002165F1"/>
    <w:rsid w:val="00227626"/>
    <w:rsid w:val="002444CB"/>
    <w:rsid w:val="00276D21"/>
    <w:rsid w:val="00296D7F"/>
    <w:rsid w:val="002A5CB1"/>
    <w:rsid w:val="002B3CF6"/>
    <w:rsid w:val="002C0099"/>
    <w:rsid w:val="002C768A"/>
    <w:rsid w:val="002D76C4"/>
    <w:rsid w:val="00315DBB"/>
    <w:rsid w:val="00326525"/>
    <w:rsid w:val="00333986"/>
    <w:rsid w:val="00333C35"/>
    <w:rsid w:val="00357C3A"/>
    <w:rsid w:val="00363367"/>
    <w:rsid w:val="00364842"/>
    <w:rsid w:val="00387700"/>
    <w:rsid w:val="003C394D"/>
    <w:rsid w:val="003E6469"/>
    <w:rsid w:val="00420DFD"/>
    <w:rsid w:val="004454A0"/>
    <w:rsid w:val="004524B8"/>
    <w:rsid w:val="00470E28"/>
    <w:rsid w:val="004822EF"/>
    <w:rsid w:val="00484833"/>
    <w:rsid w:val="004934C5"/>
    <w:rsid w:val="004A4D65"/>
    <w:rsid w:val="00556548"/>
    <w:rsid w:val="00567DC0"/>
    <w:rsid w:val="00574197"/>
    <w:rsid w:val="00586EF8"/>
    <w:rsid w:val="00587C6E"/>
    <w:rsid w:val="00592F9F"/>
    <w:rsid w:val="00593B96"/>
    <w:rsid w:val="005A0BC5"/>
    <w:rsid w:val="005A236C"/>
    <w:rsid w:val="005B49AB"/>
    <w:rsid w:val="005B50E7"/>
    <w:rsid w:val="005B65B9"/>
    <w:rsid w:val="005E1D8C"/>
    <w:rsid w:val="005E427C"/>
    <w:rsid w:val="005E6DCC"/>
    <w:rsid w:val="005E7B4F"/>
    <w:rsid w:val="00603E02"/>
    <w:rsid w:val="0060611D"/>
    <w:rsid w:val="00607D68"/>
    <w:rsid w:val="006105CA"/>
    <w:rsid w:val="006149B1"/>
    <w:rsid w:val="00614CC6"/>
    <w:rsid w:val="00615631"/>
    <w:rsid w:val="00647E80"/>
    <w:rsid w:val="00657D50"/>
    <w:rsid w:val="00680D2B"/>
    <w:rsid w:val="00681B32"/>
    <w:rsid w:val="006A652F"/>
    <w:rsid w:val="006C7827"/>
    <w:rsid w:val="006E2037"/>
    <w:rsid w:val="006F154D"/>
    <w:rsid w:val="006F6E5D"/>
    <w:rsid w:val="00712870"/>
    <w:rsid w:val="00731BD8"/>
    <w:rsid w:val="00743D85"/>
    <w:rsid w:val="00753CF4"/>
    <w:rsid w:val="007565CC"/>
    <w:rsid w:val="00756B4D"/>
    <w:rsid w:val="00763B9A"/>
    <w:rsid w:val="00776E56"/>
    <w:rsid w:val="007A308E"/>
    <w:rsid w:val="007A6AA8"/>
    <w:rsid w:val="008310C9"/>
    <w:rsid w:val="00837CB5"/>
    <w:rsid w:val="0085615D"/>
    <w:rsid w:val="0086089D"/>
    <w:rsid w:val="00872472"/>
    <w:rsid w:val="008C23BC"/>
    <w:rsid w:val="008C7848"/>
    <w:rsid w:val="00917AF2"/>
    <w:rsid w:val="0092418A"/>
    <w:rsid w:val="00934ED7"/>
    <w:rsid w:val="009454F8"/>
    <w:rsid w:val="009543C3"/>
    <w:rsid w:val="009651FF"/>
    <w:rsid w:val="00966E1B"/>
    <w:rsid w:val="009B5551"/>
    <w:rsid w:val="009F2D2C"/>
    <w:rsid w:val="00A36D94"/>
    <w:rsid w:val="00A443C2"/>
    <w:rsid w:val="00A52DB0"/>
    <w:rsid w:val="00A6617B"/>
    <w:rsid w:val="00A71FE5"/>
    <w:rsid w:val="00AA1ADF"/>
    <w:rsid w:val="00AA3AD8"/>
    <w:rsid w:val="00AB0DC8"/>
    <w:rsid w:val="00AB52D1"/>
    <w:rsid w:val="00AC6C7C"/>
    <w:rsid w:val="00AD267B"/>
    <w:rsid w:val="00AF7D88"/>
    <w:rsid w:val="00B033C8"/>
    <w:rsid w:val="00B20E1B"/>
    <w:rsid w:val="00B21066"/>
    <w:rsid w:val="00B33425"/>
    <w:rsid w:val="00B44E24"/>
    <w:rsid w:val="00B54ECC"/>
    <w:rsid w:val="00B714F3"/>
    <w:rsid w:val="00B81801"/>
    <w:rsid w:val="00B82942"/>
    <w:rsid w:val="00BB12BC"/>
    <w:rsid w:val="00BC0651"/>
    <w:rsid w:val="00BC5D77"/>
    <w:rsid w:val="00BF4437"/>
    <w:rsid w:val="00BF487A"/>
    <w:rsid w:val="00C12F79"/>
    <w:rsid w:val="00C268B9"/>
    <w:rsid w:val="00C30AB1"/>
    <w:rsid w:val="00C362C3"/>
    <w:rsid w:val="00C401BC"/>
    <w:rsid w:val="00C40D3E"/>
    <w:rsid w:val="00C46BD9"/>
    <w:rsid w:val="00C55258"/>
    <w:rsid w:val="00C668C8"/>
    <w:rsid w:val="00C73560"/>
    <w:rsid w:val="00CB0F14"/>
    <w:rsid w:val="00CB16EF"/>
    <w:rsid w:val="00CD659B"/>
    <w:rsid w:val="00CD7DC8"/>
    <w:rsid w:val="00D017C0"/>
    <w:rsid w:val="00D31EB8"/>
    <w:rsid w:val="00D70C4E"/>
    <w:rsid w:val="00D94CAD"/>
    <w:rsid w:val="00DD536A"/>
    <w:rsid w:val="00DE5EA2"/>
    <w:rsid w:val="00DF4176"/>
    <w:rsid w:val="00DF693C"/>
    <w:rsid w:val="00E0144A"/>
    <w:rsid w:val="00E02402"/>
    <w:rsid w:val="00E15343"/>
    <w:rsid w:val="00E17240"/>
    <w:rsid w:val="00E35A9C"/>
    <w:rsid w:val="00E44C45"/>
    <w:rsid w:val="00E44CBB"/>
    <w:rsid w:val="00E47C0A"/>
    <w:rsid w:val="00E57779"/>
    <w:rsid w:val="00E735E5"/>
    <w:rsid w:val="00E73AFE"/>
    <w:rsid w:val="00E80F1D"/>
    <w:rsid w:val="00E8288F"/>
    <w:rsid w:val="00EA6E8E"/>
    <w:rsid w:val="00EC361D"/>
    <w:rsid w:val="00EE57AA"/>
    <w:rsid w:val="00F30C9B"/>
    <w:rsid w:val="00F316C4"/>
    <w:rsid w:val="00F336CC"/>
    <w:rsid w:val="00F354B1"/>
    <w:rsid w:val="00F54FBD"/>
    <w:rsid w:val="00F60B2B"/>
    <w:rsid w:val="00F76BDF"/>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6B684D5F-CD8D-4D25-85DB-45FE3761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B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76BDF"/>
    <w:pPr>
      <w:keepNext/>
      <w:keepLines/>
      <w:spacing w:before="480"/>
      <w:ind w:left="794" w:hanging="794"/>
      <w:outlineLvl w:val="0"/>
    </w:pPr>
    <w:rPr>
      <w:b/>
    </w:rPr>
  </w:style>
  <w:style w:type="paragraph" w:styleId="Heading2">
    <w:name w:val="heading 2"/>
    <w:basedOn w:val="Heading1"/>
    <w:next w:val="Normal"/>
    <w:qFormat/>
    <w:rsid w:val="00F76BDF"/>
    <w:pPr>
      <w:spacing w:before="320"/>
      <w:outlineLvl w:val="1"/>
    </w:pPr>
  </w:style>
  <w:style w:type="paragraph" w:styleId="Heading3">
    <w:name w:val="heading 3"/>
    <w:basedOn w:val="Heading1"/>
    <w:next w:val="Normal"/>
    <w:qFormat/>
    <w:rsid w:val="00F76BDF"/>
    <w:pPr>
      <w:spacing w:before="200"/>
      <w:outlineLvl w:val="2"/>
    </w:pPr>
  </w:style>
  <w:style w:type="paragraph" w:styleId="Heading4">
    <w:name w:val="heading 4"/>
    <w:basedOn w:val="Heading3"/>
    <w:next w:val="Normal"/>
    <w:qFormat/>
    <w:rsid w:val="00F76BDF"/>
    <w:pPr>
      <w:tabs>
        <w:tab w:val="clear" w:pos="794"/>
        <w:tab w:val="left" w:pos="992"/>
      </w:tabs>
      <w:ind w:left="992" w:hanging="992"/>
      <w:outlineLvl w:val="3"/>
    </w:pPr>
  </w:style>
  <w:style w:type="paragraph" w:styleId="Heading5">
    <w:name w:val="heading 5"/>
    <w:basedOn w:val="Heading4"/>
    <w:next w:val="Normal"/>
    <w:qFormat/>
    <w:rsid w:val="00F76BDF"/>
    <w:pPr>
      <w:outlineLvl w:val="4"/>
    </w:pPr>
  </w:style>
  <w:style w:type="paragraph" w:styleId="Heading6">
    <w:name w:val="heading 6"/>
    <w:basedOn w:val="Heading4"/>
    <w:next w:val="Normal"/>
    <w:qFormat/>
    <w:rsid w:val="00F76BDF"/>
    <w:pPr>
      <w:tabs>
        <w:tab w:val="clear" w:pos="992"/>
        <w:tab w:val="clear" w:pos="1191"/>
      </w:tabs>
      <w:ind w:left="1588" w:hanging="1588"/>
      <w:outlineLvl w:val="5"/>
    </w:pPr>
  </w:style>
  <w:style w:type="paragraph" w:styleId="Heading7">
    <w:name w:val="heading 7"/>
    <w:basedOn w:val="Heading6"/>
    <w:next w:val="Normal"/>
    <w:qFormat/>
    <w:rsid w:val="00F76BDF"/>
    <w:pPr>
      <w:outlineLvl w:val="6"/>
    </w:pPr>
  </w:style>
  <w:style w:type="paragraph" w:styleId="Heading8">
    <w:name w:val="heading 8"/>
    <w:basedOn w:val="Heading6"/>
    <w:next w:val="Normal"/>
    <w:qFormat/>
    <w:rsid w:val="00F76BDF"/>
    <w:pPr>
      <w:outlineLvl w:val="7"/>
    </w:pPr>
  </w:style>
  <w:style w:type="paragraph" w:styleId="Heading9">
    <w:name w:val="heading 9"/>
    <w:basedOn w:val="Heading6"/>
    <w:next w:val="Normal"/>
    <w:qFormat/>
    <w:rsid w:val="00F76B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6B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76B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76BDF"/>
  </w:style>
  <w:style w:type="paragraph" w:customStyle="1" w:styleId="Headingb">
    <w:name w:val="Heading_b"/>
    <w:basedOn w:val="Heading3"/>
    <w:next w:val="Normal"/>
    <w:rsid w:val="00F76BDF"/>
    <w:pPr>
      <w:spacing w:before="160"/>
      <w:ind w:left="0" w:firstLine="0"/>
      <w:outlineLvl w:val="9"/>
    </w:pPr>
  </w:style>
  <w:style w:type="paragraph" w:customStyle="1" w:styleId="Headingi">
    <w:name w:val="Heading_i"/>
    <w:basedOn w:val="Heading3"/>
    <w:next w:val="Normal"/>
    <w:rsid w:val="00F76BDF"/>
    <w:pPr>
      <w:spacing w:before="160"/>
      <w:ind w:left="0" w:firstLine="0"/>
    </w:pPr>
    <w:rPr>
      <w:b w:val="0"/>
      <w:i/>
    </w:rPr>
  </w:style>
  <w:style w:type="character" w:customStyle="1" w:styleId="href">
    <w:name w:val="href"/>
    <w:basedOn w:val="DefaultParagraphFont"/>
    <w:rsid w:val="00F76BDF"/>
  </w:style>
  <w:style w:type="paragraph" w:customStyle="1" w:styleId="AnnexNoTitle">
    <w:name w:val="Annex_NoTitle"/>
    <w:basedOn w:val="Normal"/>
    <w:next w:val="Normalaftertitle"/>
    <w:rsid w:val="00F76BDF"/>
    <w:pPr>
      <w:keepNext/>
      <w:keepLines/>
      <w:spacing w:before="480" w:after="80"/>
      <w:jc w:val="center"/>
    </w:pPr>
    <w:rPr>
      <w:b/>
      <w:sz w:val="28"/>
    </w:rPr>
  </w:style>
  <w:style w:type="paragraph" w:customStyle="1" w:styleId="Normalaftertitle">
    <w:name w:val="Normal_after_title"/>
    <w:basedOn w:val="Normal"/>
    <w:next w:val="Normal"/>
    <w:rsid w:val="00F76BDF"/>
    <w:pPr>
      <w:spacing w:before="320"/>
    </w:pPr>
  </w:style>
  <w:style w:type="paragraph" w:customStyle="1" w:styleId="enumlev2">
    <w:name w:val="enumlev2"/>
    <w:basedOn w:val="enumlev1"/>
    <w:rsid w:val="00F76BDF"/>
    <w:pPr>
      <w:ind w:left="1191" w:hanging="397"/>
    </w:pPr>
  </w:style>
  <w:style w:type="paragraph" w:customStyle="1" w:styleId="enumlev1">
    <w:name w:val="enumlev1"/>
    <w:basedOn w:val="Normal"/>
    <w:rsid w:val="00F76BDF"/>
    <w:pPr>
      <w:spacing w:before="80"/>
      <w:ind w:left="794" w:hanging="794"/>
    </w:pPr>
  </w:style>
  <w:style w:type="paragraph" w:customStyle="1" w:styleId="enumlev3">
    <w:name w:val="enumlev3"/>
    <w:basedOn w:val="enumlev2"/>
    <w:rsid w:val="00F76BDF"/>
    <w:pPr>
      <w:ind w:left="1588"/>
    </w:pPr>
  </w:style>
  <w:style w:type="paragraph" w:customStyle="1" w:styleId="Note">
    <w:name w:val="Note"/>
    <w:basedOn w:val="Normal"/>
    <w:rsid w:val="00F76BD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76B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76BDF"/>
    <w:pPr>
      <w:keepNext/>
      <w:keepLines/>
      <w:spacing w:before="240"/>
      <w:jc w:val="center"/>
    </w:pPr>
    <w:rPr>
      <w:b/>
      <w:sz w:val="28"/>
    </w:rPr>
  </w:style>
  <w:style w:type="paragraph" w:customStyle="1" w:styleId="Recref">
    <w:name w:val="Rec_ref"/>
    <w:basedOn w:val="Normal"/>
    <w:next w:val="Recdate"/>
    <w:rsid w:val="00F76BDF"/>
    <w:pPr>
      <w:jc w:val="center"/>
    </w:pPr>
  </w:style>
  <w:style w:type="paragraph" w:customStyle="1" w:styleId="Recdate">
    <w:name w:val="Rec_date"/>
    <w:basedOn w:val="Recref"/>
    <w:next w:val="Normalaftertitle"/>
    <w:rsid w:val="00F76BDF"/>
    <w:pPr>
      <w:jc w:val="right"/>
    </w:pPr>
  </w:style>
  <w:style w:type="paragraph" w:customStyle="1" w:styleId="HeadingSum">
    <w:name w:val="Heading_Sum"/>
    <w:basedOn w:val="Headingb"/>
    <w:next w:val="Normal"/>
    <w:rsid w:val="00F76BDF"/>
    <w:pPr>
      <w:spacing w:before="240"/>
    </w:pPr>
    <w:rPr>
      <w:sz w:val="22"/>
      <w:lang w:val="es-ES_tradnl"/>
    </w:rPr>
  </w:style>
  <w:style w:type="paragraph" w:customStyle="1" w:styleId="AppendixNoTitle">
    <w:name w:val="Appendix_NoTitle"/>
    <w:basedOn w:val="AnnexNoTitle"/>
    <w:next w:val="Normal"/>
    <w:rsid w:val="00F76BDF"/>
  </w:style>
  <w:style w:type="paragraph" w:customStyle="1" w:styleId="Tablefin">
    <w:name w:val="Table_fin"/>
    <w:basedOn w:val="Normal"/>
    <w:next w:val="Normal"/>
    <w:rsid w:val="00F76BDF"/>
    <w:pPr>
      <w:spacing w:before="0"/>
    </w:pPr>
    <w:rPr>
      <w:sz w:val="20"/>
      <w:lang w:val="en-GB"/>
    </w:rPr>
  </w:style>
  <w:style w:type="paragraph" w:customStyle="1" w:styleId="Tablehead">
    <w:name w:val="Table_head"/>
    <w:basedOn w:val="Normal"/>
    <w:next w:val="Normal"/>
    <w:rsid w:val="00F76B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76B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76BDF"/>
    <w:pPr>
      <w:keepNext/>
      <w:spacing w:before="360" w:after="120"/>
      <w:jc w:val="center"/>
    </w:pPr>
  </w:style>
  <w:style w:type="paragraph" w:customStyle="1" w:styleId="Tabletext">
    <w:name w:val="Table_text"/>
    <w:basedOn w:val="Normal"/>
    <w:rsid w:val="00F76B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76BDF"/>
    <w:pPr>
      <w:tabs>
        <w:tab w:val="clear" w:pos="1191"/>
        <w:tab w:val="clear" w:pos="1588"/>
        <w:tab w:val="clear" w:pos="1985"/>
        <w:tab w:val="center" w:pos="4820"/>
        <w:tab w:val="right" w:pos="9639"/>
      </w:tabs>
    </w:pPr>
  </w:style>
  <w:style w:type="paragraph" w:customStyle="1" w:styleId="Equationlegend">
    <w:name w:val="Equation_legend"/>
    <w:basedOn w:val="NormalIndent"/>
    <w:rsid w:val="00F76B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76BDF"/>
    <w:pPr>
      <w:ind w:left="794"/>
    </w:pPr>
  </w:style>
  <w:style w:type="paragraph" w:customStyle="1" w:styleId="Figurelegend">
    <w:name w:val="Figure_legend"/>
    <w:basedOn w:val="Normal"/>
    <w:rsid w:val="00F76B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76BDF"/>
    <w:pPr>
      <w:keepNext/>
      <w:keepLines/>
      <w:spacing w:before="480" w:after="80"/>
      <w:jc w:val="center"/>
    </w:pPr>
    <w:rPr>
      <w:caps/>
      <w:sz w:val="18"/>
    </w:rPr>
  </w:style>
  <w:style w:type="paragraph" w:customStyle="1" w:styleId="Figuretitle">
    <w:name w:val="Figure_title"/>
    <w:basedOn w:val="Normal"/>
    <w:next w:val="Figure"/>
    <w:rsid w:val="00F76BDF"/>
    <w:pPr>
      <w:keepNext/>
      <w:spacing w:before="0" w:after="120"/>
      <w:jc w:val="center"/>
    </w:pPr>
    <w:rPr>
      <w:rFonts w:ascii="Times New Roman Bold" w:hAnsi="Times New Roman Bold"/>
      <w:b/>
      <w:sz w:val="18"/>
    </w:rPr>
  </w:style>
  <w:style w:type="paragraph" w:customStyle="1" w:styleId="Figure">
    <w:name w:val="Figure"/>
    <w:basedOn w:val="FigureNo"/>
    <w:next w:val="Normal"/>
    <w:rsid w:val="00F76BDF"/>
    <w:pPr>
      <w:keepNext w:val="0"/>
      <w:spacing w:before="0" w:after="240"/>
    </w:pPr>
  </w:style>
  <w:style w:type="paragraph" w:customStyle="1" w:styleId="tocpart">
    <w:name w:val="tocpart"/>
    <w:basedOn w:val="Normal"/>
    <w:rsid w:val="00F76B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6BDF"/>
    <w:pPr>
      <w:keepNext/>
      <w:keepLines/>
      <w:spacing w:before="480"/>
      <w:jc w:val="center"/>
    </w:pPr>
    <w:rPr>
      <w:sz w:val="28"/>
    </w:rPr>
  </w:style>
  <w:style w:type="paragraph" w:customStyle="1" w:styleId="Arttitle">
    <w:name w:val="Art_title"/>
    <w:basedOn w:val="Normal"/>
    <w:next w:val="Normalaftertitle"/>
    <w:rsid w:val="00F76BDF"/>
    <w:pPr>
      <w:keepNext/>
      <w:keepLines/>
      <w:spacing w:before="240"/>
      <w:jc w:val="center"/>
    </w:pPr>
    <w:rPr>
      <w:b/>
      <w:sz w:val="28"/>
    </w:rPr>
  </w:style>
  <w:style w:type="paragraph" w:customStyle="1" w:styleId="Blanc">
    <w:name w:val="Blanc"/>
    <w:basedOn w:val="Normal"/>
    <w:next w:val="Tabletext"/>
    <w:rsid w:val="00F76BD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76B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76BDF"/>
    <w:pPr>
      <w:keepNext/>
      <w:keepLines/>
      <w:spacing w:before="160"/>
      <w:ind w:left="794"/>
    </w:pPr>
    <w:rPr>
      <w:i/>
    </w:rPr>
  </w:style>
  <w:style w:type="paragraph" w:customStyle="1" w:styleId="ChapNo">
    <w:name w:val="Chap_No"/>
    <w:basedOn w:val="ArtNo"/>
    <w:next w:val="Chaptitle"/>
    <w:rsid w:val="00F76BDF"/>
    <w:rPr>
      <w:b/>
    </w:rPr>
  </w:style>
  <w:style w:type="paragraph" w:customStyle="1" w:styleId="Chaptitle">
    <w:name w:val="Chap_title"/>
    <w:basedOn w:val="Arttitle"/>
    <w:next w:val="Normalaftertitle"/>
    <w:rsid w:val="00F76BDF"/>
  </w:style>
  <w:style w:type="character" w:styleId="FootnoteReference">
    <w:name w:val="footnote reference"/>
    <w:basedOn w:val="DefaultParagraphFont"/>
    <w:semiHidden/>
    <w:rsid w:val="00F76BDF"/>
    <w:rPr>
      <w:position w:val="6"/>
      <w:sz w:val="18"/>
    </w:rPr>
  </w:style>
  <w:style w:type="paragraph" w:styleId="FootnoteText">
    <w:name w:val="footnote text"/>
    <w:basedOn w:val="Normal"/>
    <w:semiHidden/>
    <w:rsid w:val="00F76BDF"/>
    <w:pPr>
      <w:keepLines/>
      <w:tabs>
        <w:tab w:val="left" w:pos="255"/>
      </w:tabs>
      <w:ind w:left="255" w:hanging="255"/>
    </w:pPr>
    <w:rPr>
      <w:sz w:val="22"/>
    </w:rPr>
  </w:style>
  <w:style w:type="paragraph" w:styleId="Index1">
    <w:name w:val="index 1"/>
    <w:basedOn w:val="Normal"/>
    <w:next w:val="Normal"/>
    <w:semiHidden/>
    <w:rsid w:val="00F76BDF"/>
  </w:style>
  <w:style w:type="paragraph" w:styleId="Index2">
    <w:name w:val="index 2"/>
    <w:basedOn w:val="Normal"/>
    <w:next w:val="Normal"/>
    <w:semiHidden/>
    <w:rsid w:val="00F76BDF"/>
    <w:pPr>
      <w:ind w:left="283"/>
    </w:pPr>
  </w:style>
  <w:style w:type="paragraph" w:styleId="Index3">
    <w:name w:val="index 3"/>
    <w:basedOn w:val="Normal"/>
    <w:next w:val="Normal"/>
    <w:semiHidden/>
    <w:rsid w:val="00F76BDF"/>
    <w:pPr>
      <w:ind w:left="566"/>
    </w:pPr>
  </w:style>
  <w:style w:type="paragraph" w:styleId="IndexHeading">
    <w:name w:val="index heading"/>
    <w:basedOn w:val="Normal"/>
    <w:next w:val="Index1"/>
    <w:semiHidden/>
    <w:rsid w:val="00F76BDF"/>
  </w:style>
  <w:style w:type="paragraph" w:customStyle="1" w:styleId="Line">
    <w:name w:val="Line"/>
    <w:basedOn w:val="Normal"/>
    <w:next w:val="Normal"/>
    <w:rsid w:val="00F76B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76B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76BDF"/>
  </w:style>
  <w:style w:type="paragraph" w:customStyle="1" w:styleId="Partref">
    <w:name w:val="Part_ref"/>
    <w:basedOn w:val="Normal"/>
    <w:next w:val="Normal"/>
    <w:rsid w:val="00F76BDF"/>
    <w:pPr>
      <w:keepNext/>
      <w:keepLines/>
      <w:spacing w:after="280"/>
      <w:jc w:val="center"/>
    </w:pPr>
  </w:style>
  <w:style w:type="paragraph" w:customStyle="1" w:styleId="Parttitle">
    <w:name w:val="Part_title"/>
    <w:basedOn w:val="Normal"/>
    <w:next w:val="Normalaftertitle"/>
    <w:rsid w:val="00F76B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76BDF"/>
  </w:style>
  <w:style w:type="paragraph" w:customStyle="1" w:styleId="QuestionNo">
    <w:name w:val="Question_No"/>
    <w:basedOn w:val="RecNo"/>
    <w:next w:val="Normal"/>
    <w:rsid w:val="00F76BDF"/>
  </w:style>
  <w:style w:type="paragraph" w:customStyle="1" w:styleId="Questionref">
    <w:name w:val="Question_ref"/>
    <w:basedOn w:val="Recref"/>
    <w:next w:val="Questiondate"/>
    <w:rsid w:val="00F76BDF"/>
  </w:style>
  <w:style w:type="paragraph" w:customStyle="1" w:styleId="Questiontitle">
    <w:name w:val="Question_title"/>
    <w:basedOn w:val="Normal"/>
    <w:next w:val="Questionref"/>
    <w:rsid w:val="00F76BDF"/>
  </w:style>
  <w:style w:type="paragraph" w:customStyle="1" w:styleId="Reftext">
    <w:name w:val="Ref_text"/>
    <w:basedOn w:val="Normal"/>
    <w:rsid w:val="00F76BDF"/>
    <w:pPr>
      <w:ind w:left="794" w:hanging="794"/>
    </w:pPr>
    <w:rPr>
      <w:sz w:val="22"/>
    </w:rPr>
  </w:style>
  <w:style w:type="paragraph" w:customStyle="1" w:styleId="Reftitle">
    <w:name w:val="Ref_title"/>
    <w:basedOn w:val="Normal"/>
    <w:next w:val="Reftext"/>
    <w:rsid w:val="00F76B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76BDF"/>
  </w:style>
  <w:style w:type="paragraph" w:customStyle="1" w:styleId="RepNo">
    <w:name w:val="Rep_No"/>
    <w:basedOn w:val="RecNo"/>
    <w:next w:val="Reptitle"/>
    <w:rsid w:val="00F76BDF"/>
  </w:style>
  <w:style w:type="paragraph" w:customStyle="1" w:styleId="Reptitle">
    <w:name w:val="Rep_title"/>
    <w:basedOn w:val="Rectitle"/>
    <w:next w:val="Repref"/>
    <w:rsid w:val="00F76BDF"/>
  </w:style>
  <w:style w:type="paragraph" w:customStyle="1" w:styleId="Repref">
    <w:name w:val="Rep_ref"/>
    <w:basedOn w:val="Recref"/>
    <w:next w:val="Repdate"/>
    <w:rsid w:val="00F76BDF"/>
  </w:style>
  <w:style w:type="paragraph" w:customStyle="1" w:styleId="Resdate">
    <w:name w:val="Res_date"/>
    <w:basedOn w:val="Recdate"/>
    <w:next w:val="Normalaftertitle"/>
    <w:rsid w:val="00F76BDF"/>
  </w:style>
  <w:style w:type="paragraph" w:customStyle="1" w:styleId="ResNo">
    <w:name w:val="Res_No"/>
    <w:basedOn w:val="RecNo"/>
    <w:next w:val="Restitle"/>
    <w:rsid w:val="00F76BDF"/>
  </w:style>
  <w:style w:type="paragraph" w:customStyle="1" w:styleId="Restitle">
    <w:name w:val="Res_title"/>
    <w:basedOn w:val="Normal"/>
    <w:next w:val="Resref"/>
    <w:rsid w:val="00F76BDF"/>
    <w:pPr>
      <w:spacing w:before="240"/>
      <w:jc w:val="center"/>
    </w:pPr>
    <w:rPr>
      <w:b/>
      <w:sz w:val="28"/>
    </w:rPr>
  </w:style>
  <w:style w:type="paragraph" w:customStyle="1" w:styleId="Resref">
    <w:name w:val="Res_ref"/>
    <w:basedOn w:val="Recref"/>
    <w:next w:val="Resdate"/>
    <w:rsid w:val="00F76BDF"/>
  </w:style>
  <w:style w:type="paragraph" w:customStyle="1" w:styleId="SectionNo">
    <w:name w:val="Section_No"/>
    <w:basedOn w:val="Normal"/>
    <w:next w:val="Normal"/>
    <w:rsid w:val="00F76BDF"/>
  </w:style>
  <w:style w:type="paragraph" w:customStyle="1" w:styleId="Sectiontitle">
    <w:name w:val="Section_title"/>
    <w:basedOn w:val="Normal"/>
    <w:next w:val="Normalaftertitle"/>
    <w:rsid w:val="00F76B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76BDF"/>
    <w:pPr>
      <w:tabs>
        <w:tab w:val="clear" w:pos="794"/>
        <w:tab w:val="clear" w:pos="1191"/>
        <w:tab w:val="clear" w:pos="1588"/>
        <w:tab w:val="clear" w:pos="1985"/>
        <w:tab w:val="right" w:pos="9611"/>
      </w:tabs>
    </w:pPr>
    <w:rPr>
      <w:i/>
    </w:rPr>
  </w:style>
  <w:style w:type="paragraph" w:styleId="TOC1">
    <w:name w:val="toc 1"/>
    <w:basedOn w:val="Normal"/>
    <w:semiHidden/>
    <w:rsid w:val="00F76B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76BDF"/>
    <w:pPr>
      <w:tabs>
        <w:tab w:val="clear" w:pos="567"/>
        <w:tab w:val="left" w:pos="1276"/>
      </w:tabs>
      <w:spacing w:before="160"/>
      <w:ind w:left="1276" w:hanging="709"/>
    </w:pPr>
  </w:style>
  <w:style w:type="paragraph" w:styleId="TOC3">
    <w:name w:val="toc 3"/>
    <w:basedOn w:val="TOC2"/>
    <w:semiHidden/>
    <w:rsid w:val="00F76BDF"/>
    <w:pPr>
      <w:tabs>
        <w:tab w:val="clear" w:pos="1276"/>
        <w:tab w:val="left" w:pos="2155"/>
      </w:tabs>
      <w:ind w:left="2155" w:hanging="879"/>
    </w:pPr>
  </w:style>
  <w:style w:type="paragraph" w:styleId="TOC4">
    <w:name w:val="toc 4"/>
    <w:basedOn w:val="TOC3"/>
    <w:semiHidden/>
    <w:rsid w:val="00F76BDF"/>
    <w:pPr>
      <w:tabs>
        <w:tab w:val="left" w:pos="3261"/>
      </w:tabs>
      <w:spacing w:before="80"/>
      <w:ind w:left="3261" w:hanging="993"/>
    </w:pPr>
  </w:style>
  <w:style w:type="paragraph" w:styleId="TOC5">
    <w:name w:val="toc 5"/>
    <w:basedOn w:val="TOC4"/>
    <w:semiHidden/>
    <w:rsid w:val="00F76BDF"/>
  </w:style>
  <w:style w:type="paragraph" w:styleId="TOC6">
    <w:name w:val="toc 6"/>
    <w:basedOn w:val="TOC4"/>
    <w:semiHidden/>
    <w:rsid w:val="00F76BDF"/>
  </w:style>
  <w:style w:type="paragraph" w:styleId="TOC7">
    <w:name w:val="toc 7"/>
    <w:basedOn w:val="TOC4"/>
    <w:semiHidden/>
    <w:rsid w:val="00F76BDF"/>
  </w:style>
  <w:style w:type="paragraph" w:styleId="TOC8">
    <w:name w:val="toc 8"/>
    <w:basedOn w:val="TOC4"/>
    <w:semiHidden/>
    <w:rsid w:val="00F76BDF"/>
  </w:style>
  <w:style w:type="paragraph" w:customStyle="1" w:styleId="Annexref">
    <w:name w:val="Annex_ref"/>
    <w:basedOn w:val="Normal"/>
    <w:next w:val="Normalaftertitle"/>
    <w:rsid w:val="00F76BDF"/>
    <w:pPr>
      <w:keepNext/>
      <w:keepLines/>
      <w:spacing w:after="280"/>
      <w:jc w:val="center"/>
    </w:pPr>
  </w:style>
  <w:style w:type="paragraph" w:customStyle="1" w:styleId="Appendixref">
    <w:name w:val="Appendix_ref"/>
    <w:basedOn w:val="Annexref"/>
    <w:next w:val="Normalaftertitle"/>
    <w:rsid w:val="00F76BDF"/>
  </w:style>
  <w:style w:type="paragraph" w:customStyle="1" w:styleId="Tabletitle">
    <w:name w:val="Table_title"/>
    <w:basedOn w:val="Normal"/>
    <w:next w:val="Tablehead"/>
    <w:rsid w:val="00F76BDF"/>
    <w:pPr>
      <w:keepNext/>
      <w:spacing w:before="0" w:after="120"/>
      <w:jc w:val="center"/>
    </w:pPr>
    <w:rPr>
      <w:b/>
    </w:rPr>
  </w:style>
  <w:style w:type="paragraph" w:customStyle="1" w:styleId="Summary">
    <w:name w:val="Summary"/>
    <w:basedOn w:val="Normal"/>
    <w:next w:val="Normalaftertitle"/>
    <w:rsid w:val="00F76BDF"/>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F76BDF"/>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118</TotalTime>
  <Pages>7</Pages>
  <Words>1724</Words>
  <Characters>9943</Characters>
  <Application>Microsoft Office Word</Application>
  <DocSecurity>0</DocSecurity>
  <Lines>355</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11551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52</cp:revision>
  <cp:lastPrinted>2016-08-09T12:24:00Z</cp:lastPrinted>
  <dcterms:created xsi:type="dcterms:W3CDTF">2016-08-09T07:05:00Z</dcterms:created>
  <dcterms:modified xsi:type="dcterms:W3CDTF">2016-08-09T12:25:00Z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