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683" w:rsidRDefault="00EA7683"/>
    <w:p w:rsidR="00EA7683" w:rsidRDefault="00EA7683"/>
    <w:p w:rsidR="00EA7683" w:rsidRDefault="00EA7683"/>
    <w:p w:rsidR="00EA7683" w:rsidRDefault="00EA7683"/>
    <w:p w:rsidR="00EA7683" w:rsidRDefault="00EA7683"/>
    <w:p w:rsidR="00EA7683" w:rsidRDefault="00EA7683"/>
    <w:p w:rsidR="00EA7683" w:rsidRDefault="00EA7683"/>
    <w:p w:rsidR="00EA7683" w:rsidRDefault="00EA7683"/>
    <w:p w:rsidR="00EA7683" w:rsidRDefault="00EA7683"/>
    <w:p w:rsidR="00EA7683" w:rsidRDefault="00EA7683"/>
    <w:p w:rsidR="00EA7683" w:rsidRDefault="00EA7683"/>
    <w:p w:rsidR="00EA7683" w:rsidRDefault="00EA7683"/>
    <w:tbl>
      <w:tblPr>
        <w:tblW w:w="10089" w:type="dxa"/>
        <w:tblLook w:val="01E0"/>
      </w:tblPr>
      <w:tblGrid>
        <w:gridCol w:w="10089"/>
      </w:tblGrid>
      <w:tr w:rsidR="00EA7683" w:rsidRPr="00A443C2">
        <w:tc>
          <w:tcPr>
            <w:tcW w:w="10089" w:type="dxa"/>
          </w:tcPr>
          <w:p w:rsidR="00EA7683" w:rsidRPr="00B033C8" w:rsidRDefault="00EA7683" w:rsidP="005E5CA1">
            <w:pPr>
              <w:spacing w:before="380" w:line="280" w:lineRule="exact"/>
              <w:jc w:val="right"/>
              <w:rPr>
                <w:rFonts w:ascii="Tahoma" w:hAnsi="Tahoma" w:cs="Tahoma"/>
                <w:b/>
                <w:bCs/>
                <w:iCs/>
                <w:color w:val="243285"/>
                <w:sz w:val="32"/>
                <w:szCs w:val="32"/>
                <w:lang w:val="en-US"/>
              </w:rPr>
            </w:pPr>
          </w:p>
          <w:p w:rsidR="00EA7683" w:rsidRPr="00A443C2" w:rsidRDefault="00EA7683" w:rsidP="00EA768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SA</w:t>
            </w:r>
            <w:r w:rsidRPr="00A443C2">
              <w:rPr>
                <w:rFonts w:ascii="Tahoma" w:hAnsi="Tahoma" w:cs="Tahoma"/>
                <w:b/>
                <w:bCs/>
                <w:iCs/>
                <w:color w:val="243285"/>
                <w:sz w:val="36"/>
                <w:szCs w:val="36"/>
              </w:rPr>
              <w:t>.</w:t>
            </w:r>
            <w:r>
              <w:rPr>
                <w:rFonts w:ascii="Tahoma" w:hAnsi="Tahoma" w:cs="Tahoma"/>
                <w:b/>
                <w:bCs/>
                <w:iCs/>
                <w:color w:val="243285"/>
                <w:sz w:val="36"/>
                <w:szCs w:val="36"/>
              </w:rPr>
              <w:t>1862</w:t>
            </w:r>
          </w:p>
          <w:p w:rsidR="00EA7683" w:rsidRPr="00A443C2" w:rsidRDefault="00EA7683" w:rsidP="00EA7683">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1</w:t>
            </w:r>
            <w:r w:rsidRPr="00A443C2">
              <w:rPr>
                <w:rFonts w:ascii="Tahoma" w:hAnsi="Tahoma" w:cs="Tahoma"/>
                <w:b/>
                <w:bCs/>
                <w:iCs/>
                <w:color w:val="243285"/>
                <w:szCs w:val="24"/>
              </w:rPr>
              <w:t>/</w:t>
            </w:r>
            <w:r>
              <w:rPr>
                <w:rFonts w:ascii="Tahoma" w:hAnsi="Tahoma" w:cs="Tahoma"/>
                <w:b/>
                <w:bCs/>
                <w:iCs/>
                <w:color w:val="243285"/>
                <w:szCs w:val="24"/>
              </w:rPr>
              <w:t>2010</w:t>
            </w:r>
            <w:r w:rsidRPr="00A443C2">
              <w:rPr>
                <w:rFonts w:ascii="Tahoma" w:hAnsi="Tahoma" w:cs="Tahoma"/>
                <w:b/>
                <w:bCs/>
                <w:iCs/>
                <w:color w:val="243285"/>
                <w:szCs w:val="24"/>
              </w:rPr>
              <w:t>)</w:t>
            </w:r>
          </w:p>
        </w:tc>
      </w:tr>
      <w:tr w:rsidR="00EA7683" w:rsidRPr="00F54FBD">
        <w:tc>
          <w:tcPr>
            <w:tcW w:w="10089" w:type="dxa"/>
          </w:tcPr>
          <w:p w:rsidR="00EA7683" w:rsidRDefault="00EA7683" w:rsidP="005E5CA1">
            <w:pPr>
              <w:spacing w:before="80" w:line="500" w:lineRule="exact"/>
              <w:jc w:val="right"/>
              <w:rPr>
                <w:rFonts w:ascii="Tahoma" w:hAnsi="Tahoma" w:cs="Tahoma"/>
                <w:b/>
                <w:bCs/>
                <w:iCs/>
                <w:color w:val="243285"/>
                <w:sz w:val="44"/>
                <w:szCs w:val="44"/>
              </w:rPr>
            </w:pPr>
          </w:p>
          <w:p w:rsidR="00EA7683" w:rsidRPr="00F54FBD" w:rsidRDefault="00EA7683" w:rsidP="00164DD2">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Lignes directrices pour l'utilisation efficace de la bande 25,5</w:t>
            </w:r>
            <w:r>
              <w:rPr>
                <w:rFonts w:ascii="Tahoma" w:hAnsi="Tahoma" w:cs="Tahoma"/>
                <w:b/>
                <w:bCs/>
                <w:iCs/>
                <w:color w:val="243285"/>
                <w:sz w:val="44"/>
                <w:szCs w:val="44"/>
              </w:rPr>
              <w:noBreakHyphen/>
              <w:t xml:space="preserve">27,0 GHz par le service d'exploration de la </w:t>
            </w:r>
            <w:r w:rsidR="005E5CA1">
              <w:rPr>
                <w:rFonts w:ascii="Tahoma" w:hAnsi="Tahoma" w:cs="Tahoma"/>
                <w:b/>
                <w:bCs/>
                <w:iCs/>
                <w:color w:val="243285"/>
                <w:sz w:val="44"/>
                <w:szCs w:val="44"/>
              </w:rPr>
              <w:t>T</w:t>
            </w:r>
            <w:r>
              <w:rPr>
                <w:rFonts w:ascii="Tahoma" w:hAnsi="Tahoma" w:cs="Tahoma"/>
                <w:b/>
                <w:bCs/>
                <w:iCs/>
                <w:color w:val="243285"/>
                <w:sz w:val="44"/>
                <w:szCs w:val="44"/>
              </w:rPr>
              <w:t xml:space="preserve">erre par satellite (espace vers Terre) </w:t>
            </w:r>
            <w:r>
              <w:rPr>
                <w:rFonts w:ascii="Tahoma" w:hAnsi="Tahoma" w:cs="Tahoma"/>
                <w:b/>
                <w:bCs/>
                <w:iCs/>
                <w:color w:val="243285"/>
                <w:sz w:val="44"/>
                <w:szCs w:val="44"/>
              </w:rPr>
              <w:br/>
              <w:t>et le service de recherche spatiale</w:t>
            </w:r>
            <w:r>
              <w:rPr>
                <w:rFonts w:ascii="Tahoma" w:hAnsi="Tahoma" w:cs="Tahoma"/>
                <w:b/>
                <w:bCs/>
                <w:iCs/>
                <w:color w:val="243285"/>
                <w:sz w:val="44"/>
                <w:szCs w:val="44"/>
              </w:rPr>
              <w:br/>
              <w:t xml:space="preserve"> (espace vers Terre)</w:t>
            </w:r>
          </w:p>
        </w:tc>
      </w:tr>
      <w:tr w:rsidR="00EA7683" w:rsidRPr="00F54FBD">
        <w:tc>
          <w:tcPr>
            <w:tcW w:w="10089" w:type="dxa"/>
          </w:tcPr>
          <w:p w:rsidR="00EA7683" w:rsidRPr="00F54FBD" w:rsidRDefault="00EA7683" w:rsidP="005E5CA1">
            <w:pPr>
              <w:spacing w:before="80" w:line="280" w:lineRule="exact"/>
              <w:ind w:right="640"/>
              <w:rPr>
                <w:rFonts w:ascii="Tahoma" w:hAnsi="Tahoma" w:cs="Tahoma"/>
                <w:b/>
                <w:bCs/>
                <w:iCs/>
                <w:color w:val="243285"/>
                <w:sz w:val="32"/>
                <w:szCs w:val="32"/>
              </w:rPr>
            </w:pPr>
          </w:p>
          <w:p w:rsidR="00EA7683" w:rsidRPr="00F54FBD" w:rsidRDefault="00EA7683" w:rsidP="005E5CA1">
            <w:pPr>
              <w:spacing w:before="80" w:line="280" w:lineRule="exact"/>
              <w:ind w:right="640"/>
              <w:rPr>
                <w:rFonts w:ascii="Tahoma" w:hAnsi="Tahoma" w:cs="Tahoma"/>
                <w:b/>
                <w:bCs/>
                <w:iCs/>
                <w:color w:val="243285"/>
                <w:sz w:val="32"/>
                <w:szCs w:val="32"/>
              </w:rPr>
            </w:pPr>
          </w:p>
          <w:p w:rsidR="00EA7683" w:rsidRPr="00F54FBD" w:rsidRDefault="00EA7683" w:rsidP="005E5CA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SA</w:t>
            </w:r>
          </w:p>
          <w:p w:rsidR="00EA7683" w:rsidRPr="00F54FBD" w:rsidRDefault="00EA7683" w:rsidP="005E5CA1">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Applications spatiales et météorologie</w:t>
            </w:r>
          </w:p>
        </w:tc>
      </w:tr>
    </w:tbl>
    <w:p w:rsidR="00EA7683" w:rsidRPr="00F54FBD" w:rsidRDefault="00EA7683" w:rsidP="005E5CA1">
      <w:pPr>
        <w:spacing w:before="80"/>
        <w:rPr>
          <w:i/>
          <w:sz w:val="22"/>
        </w:rPr>
      </w:pPr>
    </w:p>
    <w:p w:rsidR="00EA7683" w:rsidRPr="00F54FBD" w:rsidRDefault="00EA7683" w:rsidP="005E5CA1">
      <w:pPr>
        <w:spacing w:before="80"/>
        <w:rPr>
          <w:i/>
          <w:sz w:val="22"/>
        </w:rPr>
      </w:pPr>
    </w:p>
    <w:p w:rsidR="00EA7683" w:rsidRPr="00F54FBD" w:rsidRDefault="00EA7683" w:rsidP="005E5CA1">
      <w:pPr>
        <w:spacing w:before="80"/>
        <w:rPr>
          <w:i/>
          <w:sz w:val="22"/>
        </w:rPr>
      </w:pPr>
    </w:p>
    <w:p w:rsidR="00EA7683" w:rsidRPr="00F54FBD" w:rsidRDefault="00EA7683" w:rsidP="005E5CA1">
      <w:pPr>
        <w:spacing w:before="80"/>
        <w:rPr>
          <w:i/>
          <w:sz w:val="22"/>
        </w:rPr>
      </w:pPr>
    </w:p>
    <w:p w:rsidR="00EA7683" w:rsidRPr="00F54FBD" w:rsidRDefault="00EA7683" w:rsidP="005E5CA1">
      <w:pPr>
        <w:spacing w:before="80"/>
        <w:rPr>
          <w:i/>
          <w:sz w:val="22"/>
        </w:rPr>
      </w:pPr>
    </w:p>
    <w:p w:rsidR="00EA7683" w:rsidRPr="00F54FBD" w:rsidRDefault="00EA7683" w:rsidP="005E5CA1">
      <w:pPr>
        <w:spacing w:before="80"/>
        <w:rPr>
          <w:i/>
          <w:sz w:val="22"/>
        </w:rPr>
      </w:pPr>
    </w:p>
    <w:p w:rsidR="00EA7683" w:rsidRPr="00F54FBD" w:rsidRDefault="00EA7683" w:rsidP="005E5CA1">
      <w:pPr>
        <w:pStyle w:val="Equation"/>
        <w:tabs>
          <w:tab w:val="clear" w:pos="4820"/>
          <w:tab w:val="clear" w:pos="9639"/>
          <w:tab w:val="left" w:pos="1191"/>
          <w:tab w:val="left" w:pos="1588"/>
          <w:tab w:val="left" w:pos="1985"/>
        </w:tabs>
        <w:rPr>
          <w:rFonts w:ascii="Palatino Linotype" w:hAnsi="Palatino Linotype"/>
        </w:rPr>
        <w:sectPr w:rsidR="00EA7683" w:rsidRPr="00F54FBD" w:rsidSect="005E5CA1">
          <w:headerReference w:type="even" r:id="rId7"/>
          <w:headerReference w:type="default" r:id="rId8"/>
          <w:pgSz w:w="11907" w:h="16834" w:code="9"/>
          <w:pgMar w:top="1418" w:right="1134" w:bottom="1134" w:left="1134" w:header="720" w:footer="482" w:gutter="0"/>
          <w:paperSrc w:first="15" w:other="15"/>
          <w:cols w:space="720"/>
        </w:sectPr>
      </w:pPr>
    </w:p>
    <w:p w:rsidR="00EA7683" w:rsidRPr="00F54FBD" w:rsidRDefault="00EA7683" w:rsidP="005E5C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EA7683" w:rsidRPr="00F54FBD" w:rsidRDefault="00EA7683" w:rsidP="005E5CA1">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A7683" w:rsidRPr="00F54FBD" w:rsidRDefault="00EA7683" w:rsidP="005E5CA1">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EA7683" w:rsidRPr="00E44CBB" w:rsidRDefault="00EA7683" w:rsidP="005E5CA1">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EA7683" w:rsidRPr="00E44CBB" w:rsidRDefault="00EA7683" w:rsidP="005E5CA1">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EA7683" w:rsidRPr="00EA7683" w:rsidRDefault="00EA7683" w:rsidP="005E5CA1">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EA7683" w:rsidRPr="009454F8">
        <w:tc>
          <w:tcPr>
            <w:tcW w:w="9360" w:type="dxa"/>
            <w:gridSpan w:val="2"/>
          </w:tcPr>
          <w:p w:rsidR="00EA7683" w:rsidRPr="009454F8" w:rsidRDefault="00EA7683" w:rsidP="005E5CA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EA7683" w:rsidRPr="009454F8" w:rsidRDefault="00EA7683" w:rsidP="005E5C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EA7683" w:rsidRPr="00036EE3" w:rsidTr="005E5CA1">
        <w:tc>
          <w:tcPr>
            <w:tcW w:w="1140" w:type="dxa"/>
            <w:tcBorders>
              <w:bottom w:val="nil"/>
            </w:tcBorders>
          </w:tcPr>
          <w:p w:rsidR="00EA7683" w:rsidRPr="00614CC6" w:rsidRDefault="00EA7683" w:rsidP="005E5CA1">
            <w:pPr>
              <w:spacing w:before="90" w:after="100"/>
              <w:ind w:left="57"/>
              <w:rPr>
                <w:b/>
                <w:bCs/>
                <w:sz w:val="20"/>
                <w:lang w:val="en-US"/>
              </w:rPr>
            </w:pPr>
            <w:r w:rsidRPr="00614CC6">
              <w:rPr>
                <w:b/>
                <w:bCs/>
                <w:sz w:val="20"/>
                <w:lang w:val="en-US"/>
              </w:rPr>
              <w:t>Séries</w:t>
            </w:r>
          </w:p>
        </w:tc>
        <w:tc>
          <w:tcPr>
            <w:tcW w:w="8220" w:type="dxa"/>
            <w:tcBorders>
              <w:bottom w:val="nil"/>
            </w:tcBorders>
          </w:tcPr>
          <w:p w:rsidR="00EA7683" w:rsidRPr="00614CC6" w:rsidRDefault="00EA7683" w:rsidP="005E5C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A7683" w:rsidRPr="005E427C" w:rsidTr="005E5CA1">
        <w:tc>
          <w:tcPr>
            <w:tcW w:w="1140" w:type="dxa"/>
            <w:tcBorders>
              <w:top w:val="nil"/>
              <w:bottom w:val="nil"/>
            </w:tcBorders>
            <w:shd w:val="clear" w:color="auto" w:fill="auto"/>
          </w:tcPr>
          <w:p w:rsidR="00EA7683" w:rsidRPr="005E427C" w:rsidRDefault="00EA7683" w:rsidP="005E5CA1">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EA7683" w:rsidRPr="005E427C" w:rsidRDefault="00EA7683" w:rsidP="005E5C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EA7683" w:rsidRPr="009454F8" w:rsidTr="005E5CA1">
        <w:tc>
          <w:tcPr>
            <w:tcW w:w="1140" w:type="dxa"/>
            <w:tcBorders>
              <w:top w:val="nil"/>
              <w:bottom w:val="nil"/>
            </w:tcBorders>
          </w:tcPr>
          <w:p w:rsidR="00EA7683" w:rsidRPr="00614CC6" w:rsidRDefault="00EA7683" w:rsidP="005E5CA1">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EA7683" w:rsidRPr="00614CC6" w:rsidRDefault="00EA7683" w:rsidP="005E5C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EA7683" w:rsidRPr="00E80F1D" w:rsidTr="005E5CA1">
        <w:tc>
          <w:tcPr>
            <w:tcW w:w="1140" w:type="dxa"/>
            <w:tcBorders>
              <w:top w:val="nil"/>
              <w:bottom w:val="nil"/>
            </w:tcBorders>
            <w:shd w:val="clear" w:color="auto" w:fill="auto"/>
          </w:tcPr>
          <w:p w:rsidR="00EA7683" w:rsidRPr="00E80F1D" w:rsidRDefault="00EA7683" w:rsidP="005E5CA1">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EA7683" w:rsidRPr="00E80F1D" w:rsidRDefault="00EA7683" w:rsidP="005E5C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EA7683" w:rsidRPr="00ED2695" w:rsidTr="005E5CA1">
        <w:tc>
          <w:tcPr>
            <w:tcW w:w="1140" w:type="dxa"/>
            <w:tcBorders>
              <w:top w:val="nil"/>
              <w:bottom w:val="nil"/>
            </w:tcBorders>
            <w:shd w:val="clear" w:color="auto" w:fill="auto"/>
          </w:tcPr>
          <w:p w:rsidR="00EA7683" w:rsidRPr="00614CC6" w:rsidRDefault="00EA7683" w:rsidP="005E5CA1">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EA7683" w:rsidRPr="00614CC6" w:rsidRDefault="00EA7683" w:rsidP="005E5C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A7683" w:rsidRPr="00DE5EA2" w:rsidTr="005E5CA1">
        <w:tc>
          <w:tcPr>
            <w:tcW w:w="1140" w:type="dxa"/>
            <w:tcBorders>
              <w:top w:val="nil"/>
              <w:bottom w:val="nil"/>
            </w:tcBorders>
            <w:shd w:val="clear" w:color="auto" w:fill="auto"/>
          </w:tcPr>
          <w:p w:rsidR="00EA7683" w:rsidRPr="00DE5EA2" w:rsidRDefault="00EA7683" w:rsidP="005E5CA1">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EA7683" w:rsidRPr="00DE5EA2" w:rsidRDefault="00EA7683" w:rsidP="005E5C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EA7683" w:rsidRPr="00B21066" w:rsidTr="005E5CA1">
        <w:tc>
          <w:tcPr>
            <w:tcW w:w="1140" w:type="dxa"/>
            <w:tcBorders>
              <w:top w:val="nil"/>
              <w:bottom w:val="nil"/>
            </w:tcBorders>
            <w:shd w:val="clear" w:color="auto" w:fill="auto"/>
          </w:tcPr>
          <w:p w:rsidR="00EA7683" w:rsidRPr="00B21066" w:rsidRDefault="00EA7683" w:rsidP="005E5CA1">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EA7683" w:rsidRPr="00B21066" w:rsidRDefault="00EA7683" w:rsidP="005E5C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EA7683" w:rsidRPr="00EC361D" w:rsidTr="005E5CA1">
        <w:tc>
          <w:tcPr>
            <w:tcW w:w="1140" w:type="dxa"/>
            <w:tcBorders>
              <w:top w:val="nil"/>
              <w:bottom w:val="nil"/>
            </w:tcBorders>
            <w:shd w:val="clear" w:color="auto" w:fill="auto"/>
          </w:tcPr>
          <w:p w:rsidR="00EA7683" w:rsidRPr="00EC361D" w:rsidRDefault="00EA7683" w:rsidP="005E5CA1">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EA7683" w:rsidRPr="00EC361D" w:rsidRDefault="00EA7683" w:rsidP="005E5CA1">
            <w:pPr>
              <w:spacing w:before="30" w:after="30"/>
              <w:jc w:val="left"/>
              <w:rPr>
                <w:sz w:val="20"/>
                <w:lang w:val="fr-CH"/>
              </w:rPr>
            </w:pPr>
            <w:r w:rsidRPr="00EC361D">
              <w:rPr>
                <w:sz w:val="20"/>
              </w:rPr>
              <w:t>Propagation des ondes radioélectriques</w:t>
            </w:r>
          </w:p>
        </w:tc>
      </w:tr>
      <w:tr w:rsidR="00EA7683" w:rsidRPr="004822EF" w:rsidTr="005E5CA1">
        <w:tc>
          <w:tcPr>
            <w:tcW w:w="1140" w:type="dxa"/>
            <w:tcBorders>
              <w:top w:val="nil"/>
              <w:bottom w:val="nil"/>
            </w:tcBorders>
            <w:shd w:val="clear" w:color="auto" w:fill="auto"/>
          </w:tcPr>
          <w:p w:rsidR="00EA7683" w:rsidRPr="004822EF" w:rsidRDefault="00EA7683" w:rsidP="005E5CA1">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EA7683" w:rsidRPr="004822EF" w:rsidRDefault="00EA7683" w:rsidP="005E5C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EA7683" w:rsidRPr="00326525" w:rsidTr="005E5CA1">
        <w:tc>
          <w:tcPr>
            <w:tcW w:w="1140" w:type="dxa"/>
            <w:tcBorders>
              <w:top w:val="nil"/>
              <w:bottom w:val="nil"/>
            </w:tcBorders>
            <w:shd w:val="clear" w:color="auto" w:fill="auto"/>
          </w:tcPr>
          <w:p w:rsidR="00EA7683" w:rsidRPr="00326525" w:rsidRDefault="00EA7683" w:rsidP="005E5CA1">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EA7683" w:rsidRPr="00326525" w:rsidRDefault="00EA7683" w:rsidP="005E5C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EA7683" w:rsidRPr="00C40D3E" w:rsidTr="005E5CA1">
        <w:tc>
          <w:tcPr>
            <w:tcW w:w="1140" w:type="dxa"/>
            <w:tcBorders>
              <w:top w:val="nil"/>
              <w:bottom w:val="nil"/>
            </w:tcBorders>
            <w:shd w:val="clear" w:color="auto" w:fill="auto"/>
          </w:tcPr>
          <w:p w:rsidR="00EA7683" w:rsidRPr="00C40D3E" w:rsidRDefault="00EA7683" w:rsidP="005E5CA1">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EA7683" w:rsidRPr="00C40D3E" w:rsidRDefault="00EA7683" w:rsidP="005E5CA1">
            <w:pPr>
              <w:spacing w:before="30" w:after="30"/>
              <w:jc w:val="left"/>
              <w:rPr>
                <w:sz w:val="20"/>
                <w:lang w:val="en-US"/>
              </w:rPr>
            </w:pPr>
            <w:r w:rsidRPr="00C40D3E">
              <w:rPr>
                <w:sz w:val="20"/>
              </w:rPr>
              <w:t>Service fixe par satellite</w:t>
            </w:r>
          </w:p>
        </w:tc>
      </w:tr>
      <w:tr w:rsidR="00EA7683" w:rsidRPr="00C40D3E" w:rsidTr="005E5CA1">
        <w:tc>
          <w:tcPr>
            <w:tcW w:w="1140" w:type="dxa"/>
            <w:tcBorders>
              <w:top w:val="nil"/>
              <w:bottom w:val="nil"/>
            </w:tcBorders>
            <w:shd w:val="clear" w:color="auto" w:fill="F3F3F3"/>
          </w:tcPr>
          <w:p w:rsidR="00EA7683" w:rsidRPr="00C40D3E" w:rsidRDefault="00EA7683" w:rsidP="005E5CA1">
            <w:pPr>
              <w:spacing w:before="30" w:after="30"/>
              <w:ind w:left="57"/>
              <w:jc w:val="left"/>
              <w:rPr>
                <w:b/>
                <w:bCs/>
                <w:color w:val="000080"/>
                <w:sz w:val="20"/>
                <w:lang w:val="en-US"/>
              </w:rPr>
            </w:pPr>
            <w:r w:rsidRPr="00C40D3E">
              <w:rPr>
                <w:b/>
                <w:bCs/>
                <w:color w:val="000080"/>
                <w:sz w:val="20"/>
                <w:lang w:val="en-US"/>
              </w:rPr>
              <w:t>SA</w:t>
            </w:r>
          </w:p>
        </w:tc>
        <w:tc>
          <w:tcPr>
            <w:tcW w:w="8220" w:type="dxa"/>
            <w:tcBorders>
              <w:top w:val="nil"/>
              <w:bottom w:val="nil"/>
            </w:tcBorders>
            <w:shd w:val="clear" w:color="auto" w:fill="F3F3F3"/>
          </w:tcPr>
          <w:p w:rsidR="00EA7683" w:rsidRPr="00C40D3E" w:rsidRDefault="00EA7683" w:rsidP="005E5CA1">
            <w:pPr>
              <w:spacing w:before="30" w:after="30"/>
              <w:jc w:val="left"/>
              <w:rPr>
                <w:b/>
                <w:bCs/>
                <w:color w:val="000080"/>
                <w:sz w:val="20"/>
                <w:lang w:val="en-US"/>
              </w:rPr>
            </w:pPr>
            <w:r w:rsidRPr="00C40D3E">
              <w:rPr>
                <w:b/>
                <w:bCs/>
                <w:color w:val="000080"/>
                <w:sz w:val="20"/>
              </w:rPr>
              <w:t>Applications spatiales et météorologie</w:t>
            </w:r>
          </w:p>
        </w:tc>
      </w:tr>
      <w:tr w:rsidR="00EA7683" w:rsidRPr="00614CC6" w:rsidTr="005E5CA1">
        <w:tc>
          <w:tcPr>
            <w:tcW w:w="1140" w:type="dxa"/>
            <w:tcBorders>
              <w:top w:val="nil"/>
            </w:tcBorders>
          </w:tcPr>
          <w:p w:rsidR="00EA7683" w:rsidRPr="00614CC6" w:rsidRDefault="00EA7683" w:rsidP="005E5CA1">
            <w:pPr>
              <w:spacing w:before="30" w:after="30"/>
              <w:ind w:left="57"/>
              <w:jc w:val="left"/>
              <w:rPr>
                <w:b/>
                <w:bCs/>
                <w:sz w:val="20"/>
                <w:lang w:val="en-US"/>
              </w:rPr>
            </w:pPr>
            <w:r w:rsidRPr="00614CC6">
              <w:rPr>
                <w:b/>
                <w:bCs/>
                <w:sz w:val="20"/>
                <w:lang w:val="en-US"/>
              </w:rPr>
              <w:t>SF</w:t>
            </w:r>
          </w:p>
        </w:tc>
        <w:tc>
          <w:tcPr>
            <w:tcW w:w="8220" w:type="dxa"/>
            <w:tcBorders>
              <w:top w:val="nil"/>
            </w:tcBorders>
          </w:tcPr>
          <w:p w:rsidR="00EA7683" w:rsidRPr="00614CC6" w:rsidRDefault="00EA7683" w:rsidP="005E5CA1">
            <w:pPr>
              <w:spacing w:before="30" w:after="30"/>
              <w:jc w:val="left"/>
              <w:rPr>
                <w:sz w:val="20"/>
              </w:rPr>
            </w:pPr>
            <w:r w:rsidRPr="00614CC6">
              <w:rPr>
                <w:sz w:val="20"/>
              </w:rPr>
              <w:t>Partage des fréquences et coordination entre les systèmes du service fixe par satellite et du service fixe</w:t>
            </w:r>
          </w:p>
        </w:tc>
      </w:tr>
      <w:tr w:rsidR="00EA7683" w:rsidRPr="00036EE3">
        <w:tc>
          <w:tcPr>
            <w:tcW w:w="1140" w:type="dxa"/>
            <w:shd w:val="clear" w:color="auto" w:fill="auto"/>
          </w:tcPr>
          <w:p w:rsidR="00EA7683" w:rsidRPr="00592F9F" w:rsidRDefault="00EA7683" w:rsidP="005E5CA1">
            <w:pPr>
              <w:spacing w:before="30" w:after="30"/>
              <w:ind w:left="57"/>
              <w:jc w:val="left"/>
              <w:rPr>
                <w:b/>
                <w:bCs/>
                <w:sz w:val="20"/>
                <w:lang w:val="en-US"/>
              </w:rPr>
            </w:pPr>
            <w:r w:rsidRPr="00592F9F">
              <w:rPr>
                <w:b/>
                <w:bCs/>
                <w:sz w:val="20"/>
                <w:lang w:val="en-US"/>
              </w:rPr>
              <w:t>SM</w:t>
            </w:r>
          </w:p>
        </w:tc>
        <w:tc>
          <w:tcPr>
            <w:tcW w:w="8220" w:type="dxa"/>
            <w:shd w:val="clear" w:color="auto" w:fill="auto"/>
          </w:tcPr>
          <w:p w:rsidR="00EA7683" w:rsidRPr="00592F9F" w:rsidRDefault="00EA7683" w:rsidP="005E5CA1">
            <w:pPr>
              <w:spacing w:before="30" w:after="30"/>
              <w:jc w:val="left"/>
              <w:rPr>
                <w:sz w:val="20"/>
                <w:lang w:val="en-US"/>
              </w:rPr>
            </w:pPr>
            <w:r w:rsidRPr="00592F9F">
              <w:rPr>
                <w:sz w:val="20"/>
              </w:rPr>
              <w:t>Gestion du spectre</w:t>
            </w:r>
          </w:p>
        </w:tc>
      </w:tr>
      <w:tr w:rsidR="00EA7683" w:rsidRPr="00036EE3">
        <w:tc>
          <w:tcPr>
            <w:tcW w:w="1140" w:type="dxa"/>
          </w:tcPr>
          <w:p w:rsidR="00EA7683" w:rsidRPr="00614CC6" w:rsidRDefault="00EA7683" w:rsidP="005E5CA1">
            <w:pPr>
              <w:spacing w:before="30" w:after="30"/>
              <w:ind w:left="57"/>
              <w:jc w:val="left"/>
              <w:rPr>
                <w:b/>
                <w:bCs/>
                <w:sz w:val="20"/>
                <w:lang w:val="en-US"/>
              </w:rPr>
            </w:pPr>
            <w:r w:rsidRPr="00614CC6">
              <w:rPr>
                <w:b/>
                <w:bCs/>
                <w:sz w:val="20"/>
                <w:lang w:val="en-US"/>
              </w:rPr>
              <w:t>SNG</w:t>
            </w:r>
          </w:p>
        </w:tc>
        <w:tc>
          <w:tcPr>
            <w:tcW w:w="8220" w:type="dxa"/>
          </w:tcPr>
          <w:p w:rsidR="00EA7683" w:rsidRPr="00614CC6" w:rsidRDefault="00EA7683" w:rsidP="005E5CA1">
            <w:pPr>
              <w:spacing w:before="30" w:after="30"/>
              <w:jc w:val="left"/>
              <w:rPr>
                <w:sz w:val="20"/>
                <w:lang w:val="en-US"/>
              </w:rPr>
            </w:pPr>
            <w:r w:rsidRPr="00614CC6">
              <w:rPr>
                <w:sz w:val="20"/>
              </w:rPr>
              <w:t>Reportage d'actualités par satellite</w:t>
            </w:r>
          </w:p>
        </w:tc>
      </w:tr>
      <w:tr w:rsidR="00EA7683" w:rsidRPr="00614CC6">
        <w:tc>
          <w:tcPr>
            <w:tcW w:w="1140" w:type="dxa"/>
          </w:tcPr>
          <w:p w:rsidR="00EA7683" w:rsidRPr="00614CC6" w:rsidRDefault="00EA7683" w:rsidP="005E5CA1">
            <w:pPr>
              <w:spacing w:before="30" w:after="30"/>
              <w:ind w:left="57"/>
              <w:jc w:val="left"/>
              <w:rPr>
                <w:b/>
                <w:bCs/>
                <w:sz w:val="20"/>
                <w:lang w:val="en-US"/>
              </w:rPr>
            </w:pPr>
            <w:r w:rsidRPr="00614CC6">
              <w:rPr>
                <w:b/>
                <w:bCs/>
                <w:sz w:val="20"/>
                <w:lang w:val="en-US"/>
              </w:rPr>
              <w:t>TF</w:t>
            </w:r>
          </w:p>
        </w:tc>
        <w:tc>
          <w:tcPr>
            <w:tcW w:w="8220" w:type="dxa"/>
          </w:tcPr>
          <w:p w:rsidR="00EA7683" w:rsidRPr="00614CC6" w:rsidRDefault="00EA7683" w:rsidP="005E5CA1">
            <w:pPr>
              <w:spacing w:before="30" w:after="30"/>
              <w:jc w:val="left"/>
              <w:rPr>
                <w:sz w:val="20"/>
              </w:rPr>
            </w:pPr>
            <w:r w:rsidRPr="00614CC6">
              <w:rPr>
                <w:sz w:val="20"/>
              </w:rPr>
              <w:t>Emissions de fréquences étalon et de signaux horaires</w:t>
            </w:r>
          </w:p>
        </w:tc>
      </w:tr>
      <w:tr w:rsidR="00EA7683" w:rsidRPr="00036EE3">
        <w:tc>
          <w:tcPr>
            <w:tcW w:w="1140" w:type="dxa"/>
          </w:tcPr>
          <w:p w:rsidR="00EA7683" w:rsidRPr="00614CC6" w:rsidRDefault="00EA7683" w:rsidP="005E5CA1">
            <w:pPr>
              <w:spacing w:before="30" w:after="30"/>
              <w:ind w:left="57"/>
              <w:jc w:val="left"/>
              <w:rPr>
                <w:b/>
                <w:bCs/>
                <w:sz w:val="20"/>
                <w:lang w:val="en-US"/>
              </w:rPr>
            </w:pPr>
            <w:r w:rsidRPr="00614CC6">
              <w:rPr>
                <w:b/>
                <w:bCs/>
                <w:sz w:val="20"/>
                <w:lang w:val="en-US"/>
              </w:rPr>
              <w:t>V</w:t>
            </w:r>
          </w:p>
        </w:tc>
        <w:tc>
          <w:tcPr>
            <w:tcW w:w="8220" w:type="dxa"/>
          </w:tcPr>
          <w:p w:rsidR="00EA7683" w:rsidRPr="00614CC6" w:rsidRDefault="00EA7683" w:rsidP="005E5CA1">
            <w:pPr>
              <w:spacing w:before="30" w:after="140"/>
              <w:jc w:val="left"/>
              <w:rPr>
                <w:sz w:val="20"/>
                <w:lang w:val="en-US"/>
              </w:rPr>
            </w:pPr>
            <w:r w:rsidRPr="00614CC6">
              <w:rPr>
                <w:sz w:val="20"/>
              </w:rPr>
              <w:t>Vocabulaire et sujets associés</w:t>
            </w:r>
          </w:p>
        </w:tc>
      </w:tr>
    </w:tbl>
    <w:p w:rsidR="00EA7683" w:rsidRPr="00036EE3" w:rsidRDefault="00EA7683" w:rsidP="005E5CA1">
      <w:pPr>
        <w:spacing w:before="0"/>
        <w:jc w:val="center"/>
        <w:rPr>
          <w:sz w:val="20"/>
          <w:lang w:val="en-US"/>
        </w:rPr>
      </w:pPr>
    </w:p>
    <w:p w:rsidR="00EA7683" w:rsidRPr="00036EE3" w:rsidRDefault="00EA7683" w:rsidP="005E5CA1">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EA7683" w:rsidRPr="00756B4D">
        <w:tc>
          <w:tcPr>
            <w:tcW w:w="9360" w:type="dxa"/>
          </w:tcPr>
          <w:p w:rsidR="00EA7683" w:rsidRPr="00756B4D" w:rsidRDefault="00EA7683" w:rsidP="005E5CA1">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EA7683" w:rsidRPr="00756B4D" w:rsidRDefault="00EA7683" w:rsidP="005E5CA1">
      <w:pPr>
        <w:spacing w:before="0"/>
        <w:jc w:val="center"/>
        <w:rPr>
          <w:sz w:val="22"/>
        </w:rPr>
      </w:pPr>
    </w:p>
    <w:p w:rsidR="00EA7683" w:rsidRPr="00614CC6" w:rsidRDefault="00EA7683" w:rsidP="005E5CA1">
      <w:pPr>
        <w:spacing w:before="100"/>
        <w:jc w:val="right"/>
        <w:rPr>
          <w:i/>
          <w:iCs/>
          <w:sz w:val="20"/>
        </w:rPr>
      </w:pPr>
      <w:r w:rsidRPr="00614CC6">
        <w:rPr>
          <w:i/>
          <w:iCs/>
          <w:sz w:val="20"/>
        </w:rPr>
        <w:t>Publication électronique</w:t>
      </w:r>
    </w:p>
    <w:p w:rsidR="00EA7683" w:rsidRPr="00614CC6" w:rsidRDefault="00EA7683" w:rsidP="005E5CA1">
      <w:pPr>
        <w:spacing w:before="0"/>
        <w:jc w:val="right"/>
        <w:rPr>
          <w:sz w:val="20"/>
        </w:rPr>
      </w:pPr>
      <w:r w:rsidRPr="00614CC6">
        <w:rPr>
          <w:sz w:val="20"/>
        </w:rPr>
        <w:t>Genève, 20</w:t>
      </w:r>
      <w:r>
        <w:rPr>
          <w:sz w:val="20"/>
        </w:rPr>
        <w:t>10</w:t>
      </w:r>
    </w:p>
    <w:p w:rsidR="00EA7683" w:rsidRPr="00614CC6" w:rsidRDefault="00EA7683" w:rsidP="005E5CA1">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EA7683" w:rsidRPr="00614CC6" w:rsidRDefault="00EA7683" w:rsidP="005E5CA1">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EA7683" w:rsidRPr="00614CC6" w:rsidRDefault="00EA7683" w:rsidP="005E5CA1">
      <w:pPr>
        <w:spacing w:before="160"/>
        <w:rPr>
          <w:i/>
          <w:sz w:val="20"/>
          <w:highlight w:val="yellow"/>
        </w:rPr>
        <w:sectPr w:rsidR="00EA7683" w:rsidRPr="00614CC6" w:rsidSect="005E5CA1">
          <w:headerReference w:type="even" r:id="rId11"/>
          <w:headerReference w:type="default" r:id="rId12"/>
          <w:pgSz w:w="11907" w:h="16834" w:code="9"/>
          <w:pgMar w:top="1418" w:right="1134" w:bottom="1134" w:left="1134" w:header="720" w:footer="482" w:gutter="0"/>
          <w:pgNumType w:fmt="lowerRoman" w:start="2"/>
          <w:cols w:space="720"/>
        </w:sectPr>
      </w:pPr>
    </w:p>
    <w:p w:rsidR="00EA7683" w:rsidRPr="00756B4D" w:rsidRDefault="00EA7683" w:rsidP="00EA7683">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SA</w:t>
      </w:r>
      <w:r w:rsidRPr="00756B4D">
        <w:rPr>
          <w:rStyle w:val="href"/>
        </w:rPr>
        <w:t>.</w:t>
      </w:r>
      <w:r>
        <w:rPr>
          <w:rStyle w:val="href"/>
        </w:rPr>
        <w:t>1862</w:t>
      </w:r>
    </w:p>
    <w:p w:rsidR="00EA7683" w:rsidRDefault="00EA7683" w:rsidP="00EA7683">
      <w:pPr>
        <w:pStyle w:val="Rectitle"/>
      </w:pPr>
      <w:r>
        <w:t xml:space="preserve">Lignes directrices pour l'utilisation efficace de la bande 25,5-27,0 GHz </w:t>
      </w:r>
      <w:r>
        <w:br/>
        <w:t>par le service d'exploration de la Terre par satellite (espace vers Terre)</w:t>
      </w:r>
      <w:r>
        <w:br/>
        <w:t>et le service de recherche spatiale (espace vers Terre)</w:t>
      </w:r>
    </w:p>
    <w:p w:rsidR="00EA7683" w:rsidRDefault="00EA7683" w:rsidP="00EA7683">
      <w:pPr>
        <w:pStyle w:val="Recdate"/>
        <w:spacing w:before="0"/>
      </w:pPr>
    </w:p>
    <w:p w:rsidR="00EA7683" w:rsidRPr="00561F75" w:rsidRDefault="00EA7683" w:rsidP="00EA7683">
      <w:pPr>
        <w:pStyle w:val="Recdate"/>
        <w:spacing w:before="0" w:after="120"/>
        <w:rPr>
          <w:i/>
          <w:iCs/>
          <w:szCs w:val="24"/>
        </w:rPr>
      </w:pPr>
      <w:r w:rsidRPr="00561F75">
        <w:rPr>
          <w:iCs/>
          <w:szCs w:val="24"/>
        </w:rPr>
        <w:t>(2010)</w:t>
      </w:r>
    </w:p>
    <w:p w:rsidR="00EA7683" w:rsidRPr="0075010F" w:rsidRDefault="00EA7683" w:rsidP="00EA7683">
      <w:pPr>
        <w:pStyle w:val="HeadingSum"/>
        <w:rPr>
          <w:sz w:val="24"/>
          <w:szCs w:val="24"/>
          <w:lang w:val="fr-FR"/>
        </w:rPr>
      </w:pPr>
      <w:r w:rsidRPr="0075010F">
        <w:rPr>
          <w:sz w:val="24"/>
          <w:szCs w:val="24"/>
          <w:lang w:val="fr-FR"/>
        </w:rPr>
        <w:t>Domaine de compétence</w:t>
      </w:r>
    </w:p>
    <w:p w:rsidR="00EA7683" w:rsidRPr="006003E2" w:rsidRDefault="00EA7683" w:rsidP="00EA7683">
      <w:pPr>
        <w:pStyle w:val="Summary"/>
        <w:rPr>
          <w:lang w:val="fr-CH"/>
        </w:rPr>
      </w:pPr>
      <w:r w:rsidRPr="006003E2">
        <w:rPr>
          <w:lang w:val="fr-CH"/>
        </w:rPr>
        <w:t>La présente Recommandation définit les lignes directrices pour l'utilisation optimale de la bande de fréquences 25,5-27,0 GHz entre un certain nombre de systèmes scientifiques spatiaux et les réseaux de recherche au voisinage de la Terre et de recherche dans l'espace lointain, les systèmes d'exploration de la Terre, les systèmes à satellites géostationnaires et les réseaux à satellite relais de données. La présente Recommandation identifie aussi les limites de puissance surfacique réduites pour les satellites géostationnaires permettant d'assurer une meilleure protection aux missions de recherche spatiale avec des liaisons espace-Terre sensibles. Elle définit également une limite de puissance surfacique au niveau de l'OSG pour la protection des satellites des systèmes relais de données (SRD).</w:t>
      </w:r>
    </w:p>
    <w:p w:rsidR="00EA7683" w:rsidRDefault="00EA7683" w:rsidP="00EA7683">
      <w:pPr>
        <w:pStyle w:val="Normalaftertitle"/>
        <w:spacing w:before="240"/>
      </w:pPr>
      <w:r>
        <w:t>L'Assemblée des radiocommunications de l'UIT,</w:t>
      </w:r>
    </w:p>
    <w:p w:rsidR="00EA7683" w:rsidRDefault="00EA7683" w:rsidP="00EA7683">
      <w:pPr>
        <w:pStyle w:val="Call"/>
      </w:pPr>
      <w:r>
        <w:t>considérant</w:t>
      </w:r>
    </w:p>
    <w:p w:rsidR="00EA7683" w:rsidRDefault="00EA7683" w:rsidP="00EA7683">
      <w:r>
        <w:t>a)</w:t>
      </w:r>
      <w:r>
        <w:tab/>
        <w:t>que la bande 25,5-27,0 GHz est attribuée au service d'exploitation de la Terre par satellite (SETS) (espace vers Terre) et au service de recherche spatiale (espace vers Terre) et que la bande 25,25-27,50 GHz est attribuée au service inter</w:t>
      </w:r>
      <w:r>
        <w:noBreakHyphen/>
        <w:t>satellites</w:t>
      </w:r>
      <w:r>
        <w:rPr>
          <w:vertAlign w:val="superscript"/>
        </w:rPr>
        <w:footnoteReference w:id="1"/>
      </w:r>
      <w:r>
        <w:t xml:space="preserve"> (SIS);</w:t>
      </w:r>
    </w:p>
    <w:p w:rsidR="00EA7683" w:rsidRDefault="00EA7683" w:rsidP="00EA7683">
      <w:r>
        <w:t>b)</w:t>
      </w:r>
      <w:r>
        <w:tab/>
        <w:t>que le SETS et les missions du SRD au voisinage de la Terre dans la bande 25,5</w:t>
      </w:r>
      <w:r>
        <w:noBreakHyphen/>
        <w:t>27,0 GHz peuvent être compatibles sous certaines conditions;</w:t>
      </w:r>
    </w:p>
    <w:p w:rsidR="00EA7683" w:rsidRDefault="00EA7683" w:rsidP="00EA7683">
      <w:r>
        <w:t>c)</w:t>
      </w:r>
      <w:r>
        <w:tab/>
        <w:t>que les puissances surfaciques à la surface de la Terre résultant des missions du service de recherche spatiale sont très faibles pour les missions lunaires et extrêmement faibles pour les missions lagrangiennes Soleil-Terre et les missions dans l'espace lointain;</w:t>
      </w:r>
    </w:p>
    <w:p w:rsidR="00EA7683" w:rsidRDefault="00EA7683" w:rsidP="00EA7683">
      <w:r>
        <w:t>d)</w:t>
      </w:r>
      <w:r>
        <w:tab/>
        <w:t>qu'en raison de leur faible puissance surfacique, les missions dans l'espace lointain sont très vulnérables aux brouillages et bénéficient de critères de protection stricts;</w:t>
      </w:r>
    </w:p>
    <w:p w:rsidR="00EA7683" w:rsidRDefault="00EA7683" w:rsidP="00EA7683">
      <w:r>
        <w:t>e)</w:t>
      </w:r>
      <w:r>
        <w:tab/>
        <w:t>que plusieurs administrations prévoient d'envoyer des missions habitées dans l'environnement lunaire et au-delà;</w:t>
      </w:r>
    </w:p>
    <w:p w:rsidR="00EA7683" w:rsidRDefault="00EA7683" w:rsidP="00EA7683">
      <w:r>
        <w:t>f)</w:t>
      </w:r>
      <w:r>
        <w:tab/>
        <w:t>que pour les missions habitées, les critères de protection sont plus stricts que pour les missions non habitées;</w:t>
      </w:r>
    </w:p>
    <w:p w:rsidR="00EA7683" w:rsidRDefault="00EA7683" w:rsidP="00EA7683">
      <w:r>
        <w:t>g)</w:t>
      </w:r>
      <w:r>
        <w:tab/>
        <w:t xml:space="preserve">qu'en raison de l'affaiblissement atmosphérique, en particulier l'affaiblissement dû à la pluie et des limites de puissance surfacique spécifiées dans l'Article </w:t>
      </w:r>
      <w:r>
        <w:rPr>
          <w:bCs/>
        </w:rPr>
        <w:t>21</w:t>
      </w:r>
      <w:r>
        <w:t xml:space="preserve"> du Règlement des radiocommunications (RR), il peut s'avérer difficile d'obtenir des disponibilités de liaison supérieures à 99,9% dans la bande 25,5-27,0 GHz; </w:t>
      </w:r>
    </w:p>
    <w:p w:rsidR="00EA7683" w:rsidRDefault="00EA7683" w:rsidP="00AD1875">
      <w:r>
        <w:t>h)</w:t>
      </w:r>
      <w:r>
        <w:tab/>
        <w:t>que l'utilisation prévue de la bande 25,5</w:t>
      </w:r>
      <w:r>
        <w:noBreakHyphen/>
        <w:t>27 GHz par le service de recherche spatiale</w:t>
      </w:r>
      <w:r w:rsidR="00AD1875">
        <w:t xml:space="preserve"> </w:t>
      </w:r>
      <w:r>
        <w:t>et</w:t>
      </w:r>
      <w:r w:rsidR="00AD1875">
        <w:t xml:space="preserve"> </w:t>
      </w:r>
      <w:r>
        <w:t>les</w:t>
      </w:r>
      <w:r w:rsidR="00AD1875">
        <w:t xml:space="preserve"> </w:t>
      </w:r>
      <w:r>
        <w:t>missions du SETS n'est probablement pas compatible avec les critères de protection</w:t>
      </w:r>
      <w:r w:rsidR="00AD1875">
        <w:t xml:space="preserve"> </w:t>
      </w:r>
      <w:r>
        <w:t>pour les</w:t>
      </w:r>
      <w:r w:rsidR="00AD1875">
        <w:t xml:space="preserve"> </w:t>
      </w:r>
      <w:r>
        <w:t>missions habitées du service de recherche spatiale spécifiés dans la Recommandation UIT</w:t>
      </w:r>
      <w:r>
        <w:noBreakHyphen/>
        <w:t>R SA.609;</w:t>
      </w:r>
    </w:p>
    <w:p w:rsidR="00EA7683" w:rsidRDefault="00EA7683" w:rsidP="00EA7683">
      <w:r>
        <w:lastRenderedPageBreak/>
        <w:t>j)</w:t>
      </w:r>
      <w:r>
        <w:tab/>
        <w:t>qu'il est prévu d'utiliser la bande 25,5-27 GHz pour des missions du SETS pour diverses missions d'observation de la Terre, des missions d'exploration de la Terre et des missions de surveillance du climat;</w:t>
      </w:r>
    </w:p>
    <w:p w:rsidR="00EA7683" w:rsidRDefault="00EA7683" w:rsidP="00EA7683">
      <w:r>
        <w:t>k)</w:t>
      </w:r>
      <w:r>
        <w:tab/>
        <w:t>que la disponibilité de la bande 25,5-27,0 GHz est déterminante pour les missions du service de recherche spatiale au voisinage de la Terre et les missions du SETS avec des exigences en débits de données élevés;</w:t>
      </w:r>
    </w:p>
    <w:p w:rsidR="00EA7683" w:rsidRDefault="00EA7683" w:rsidP="00EA7683">
      <w:r>
        <w:t>l)</w:t>
      </w:r>
      <w:r>
        <w:tab/>
        <w:t>que les brouillages causés par les émissions des satellites géostationnaires sont susceptibles de dégrader fortement les marges pour les liaisons et parfois même provoquer la perte de liaisons sensibles des missions du service de recherche spatiale si ces satellites fonctionnent près des limites de puissance surfacique actuellement applicables (voir l'Annexe 1);</w:t>
      </w:r>
    </w:p>
    <w:p w:rsidR="00EA7683" w:rsidRDefault="00EA7683" w:rsidP="00EA7683">
      <w:r>
        <w:t>m)</w:t>
      </w:r>
      <w:r>
        <w:tab/>
        <w:t>que l'Article 21 du RR limite la puissance surfacique à la surface de la Terre à des niveaux compris entre −115 et −105 dB(W/(m</w:t>
      </w:r>
      <w:r>
        <w:rPr>
          <w:vertAlign w:val="superscript"/>
        </w:rPr>
        <w:t>2</w:t>
      </w:r>
      <w:r>
        <w:t xml:space="preserve"> </w:t>
      </w:r>
      <w:r>
        <w:rPr>
          <w:vertAlign w:val="superscript"/>
        </w:rPr>
        <w:t xml:space="preserve">. </w:t>
      </w:r>
      <w:r>
        <w:t xml:space="preserve">MHz)) selon l'angle d'incidence; </w:t>
      </w:r>
    </w:p>
    <w:p w:rsidR="00EA7683" w:rsidRDefault="00EA7683" w:rsidP="00EA7683">
      <w:r>
        <w:t>n)</w:t>
      </w:r>
      <w:r>
        <w:tab/>
        <w:t xml:space="preserve">que la réduction des limites de puissance surfacique en-dessous des limites spécifiées dans l'Article </w:t>
      </w:r>
      <w:r>
        <w:rPr>
          <w:bCs/>
        </w:rPr>
        <w:t>21</w:t>
      </w:r>
      <w:r>
        <w:t xml:space="preserve"> du RR pour les satellites géostationnaires offrirait la protection nécessaire aux missions lunaires et lagrangiennes;</w:t>
      </w:r>
    </w:p>
    <w:p w:rsidR="00EA7683" w:rsidRDefault="00EA7683" w:rsidP="00EA7683">
      <w:r>
        <w:t>o)</w:t>
      </w:r>
      <w:r>
        <w:tab/>
        <w:t>que les liaisons espace vers Terre de satellites non OSG types peuvent toujours se conformer à la limite de puissance surfacique requise pour protéger un satellite du SRD, tandis que les satellites non OSG au dessus de 1 370 km peuvent nécessiter une certaine tolérance leur permettant de dépasser cette limite pendant un faible pourcentage de temps,</w:t>
      </w:r>
    </w:p>
    <w:p w:rsidR="00EA7683" w:rsidRDefault="00EA7683" w:rsidP="00EA7683">
      <w:pPr>
        <w:pStyle w:val="Call"/>
      </w:pPr>
      <w:r>
        <w:t>reconnaissant</w:t>
      </w:r>
    </w:p>
    <w:p w:rsidR="00EA7683" w:rsidRDefault="00EA7683" w:rsidP="00EA7683">
      <w:r>
        <w:rPr>
          <w:bCs/>
        </w:rPr>
        <w:t>a)</w:t>
      </w:r>
      <w:r>
        <w:tab/>
        <w:t>que la collecte depuis l'espace de données météorologiques et climatiques dans le cadre du Système des systèmes mondiaux d'observation de la Terre (GEOSS) revêt une importance de plus en plus grande pour la communauté internationale;</w:t>
      </w:r>
    </w:p>
    <w:p w:rsidR="00EA7683" w:rsidRDefault="00EA7683" w:rsidP="00EA7683">
      <w:r>
        <w:rPr>
          <w:bCs/>
        </w:rPr>
        <w:t>b)</w:t>
      </w:r>
      <w:r>
        <w:tab/>
        <w:t>que la bande 25,5-27,0 GHz est prévue pour être utilisée par des missions habitées du service de recherche spatiale pour la transmission de données qui ne mettent pas en jeu la sécurité des astronautes et des engins;</w:t>
      </w:r>
    </w:p>
    <w:p w:rsidR="00EA7683" w:rsidRDefault="00EA7683" w:rsidP="00164DD2">
      <w:r>
        <w:t>c)</w:t>
      </w:r>
      <w:r>
        <w:tab/>
        <w:t>que les satellites non OSG devraient également se conformer à la Recommandation UIT</w:t>
      </w:r>
      <w:r>
        <w:noBreakHyphen/>
        <w:t>R SA.1155 –</w:t>
      </w:r>
      <w:r w:rsidRPr="00C603C4">
        <w:t xml:space="preserve"> </w:t>
      </w:r>
      <w:r>
        <w:t>Critères de protection relatifs à l'exploitation des systèmes</w:t>
      </w:r>
      <w:r w:rsidR="00164DD2">
        <w:t xml:space="preserve"> </w:t>
      </w:r>
      <w:r>
        <w:t>à</w:t>
      </w:r>
      <w:r w:rsidR="00164DD2">
        <w:t xml:space="preserve"> </w:t>
      </w:r>
      <w:r>
        <w:t>satellites relais de données,</w:t>
      </w:r>
    </w:p>
    <w:p w:rsidR="00EA7683" w:rsidRDefault="00EA7683" w:rsidP="00EA7683">
      <w:pPr>
        <w:pStyle w:val="Call"/>
      </w:pPr>
      <w:r>
        <w:t>recommande</w:t>
      </w:r>
    </w:p>
    <w:p w:rsidR="00EA7683" w:rsidRDefault="00EA7683" w:rsidP="00EA7683">
      <w:r>
        <w:rPr>
          <w:b/>
          <w:bCs/>
        </w:rPr>
        <w:t>1</w:t>
      </w:r>
      <w:r>
        <w:tab/>
        <w:t>que, pour les missions dans l'espace lointain, la bande 25,5</w:t>
      </w:r>
      <w:r>
        <w:noBreakHyphen/>
        <w:t>27,0 GHz ne devrait pas être utilisée pour</w:t>
      </w:r>
      <w:r>
        <w:rPr>
          <w:color w:val="FF0000"/>
        </w:rPr>
        <w:t xml:space="preserve"> </w:t>
      </w:r>
      <w:r>
        <w:t>le service de recherche spatiale (espace vers Terre) sauf si les besoins des missions ne peuvent être satisfaits dans d'autres bandes spécifiquement attribuées aux opérations dans l'espace lointain;</w:t>
      </w:r>
    </w:p>
    <w:p w:rsidR="00EA7683" w:rsidRDefault="00EA7683" w:rsidP="00EA7683">
      <w:r>
        <w:rPr>
          <w:b/>
          <w:bCs/>
        </w:rPr>
        <w:t>2</w:t>
      </w:r>
      <w:r>
        <w:tab/>
        <w:t>que, si ,pour une raison irréfutable, une mission dans l'espace lointain requiert l'utilisation de la bande 25,5</w:t>
      </w:r>
      <w:r>
        <w:noBreakHyphen/>
        <w:t>27,0 GHz , cette mission ne pourra pas exiger une protection contre les brouillages causés par les missions au voisinage de la Terre supérieure aux critères de protection énoncés dans la Recommandation UIT</w:t>
      </w:r>
      <w:r>
        <w:noBreakHyphen/>
        <w:t>R SA.609 applicables aux missions non habitées dans la bande 25,5</w:t>
      </w:r>
      <w:r>
        <w:noBreakHyphen/>
        <w:t>27,0 GHz;</w:t>
      </w:r>
    </w:p>
    <w:p w:rsidR="00EA7683" w:rsidRDefault="00EA7683" w:rsidP="00EA7683">
      <w:r>
        <w:rPr>
          <w:b/>
          <w:bCs/>
        </w:rPr>
        <w:t>3</w:t>
      </w:r>
      <w:r>
        <w:tab/>
        <w:t>que les missions habitées du service de recherche spatiale ne devraient pas exiger de protection contre les brouillages dus au SETS et aux missions non habitées du service de recherche spatiale supérieure aux critères de protection énoncés dans la Recommandation UIT</w:t>
      </w:r>
      <w:r>
        <w:noBreakHyphen/>
        <w:t>R SA.609 applicables aux missions non habitées dans la bande 25,5 27,0 GHz;</w:t>
      </w:r>
    </w:p>
    <w:p w:rsidR="00EA7683" w:rsidRDefault="00EA7683" w:rsidP="006003E2">
      <w:pPr>
        <w:keepNext/>
        <w:keepLines/>
      </w:pPr>
      <w:r>
        <w:rPr>
          <w:b/>
          <w:bCs/>
        </w:rPr>
        <w:lastRenderedPageBreak/>
        <w:t>4</w:t>
      </w:r>
      <w:r>
        <w:tab/>
        <w:t xml:space="preserve">que, pour offrir une protection supplémentaire aux missions lunaires et lagrangiennes du service de recherche spatiale, les missions du SETS et du service de recherche spatiale en orbite géostationnaires devraient limiter leurs niveaux de puissance surfacique à </w:t>
      </w:r>
      <w:r w:rsidR="00AD1875">
        <w:br/>
      </w:r>
      <w:r>
        <w:t>−115 dB(W/(m</w:t>
      </w:r>
      <w:r>
        <w:rPr>
          <w:vertAlign w:val="superscript"/>
        </w:rPr>
        <w:t>2</w:t>
      </w:r>
      <w:r>
        <w:t xml:space="preserve"> </w:t>
      </w:r>
      <w:r>
        <w:rPr>
          <w:vertAlign w:val="superscript"/>
        </w:rPr>
        <w:t>.</w:t>
      </w:r>
      <w:r>
        <w:t xml:space="preserve"> MHz)) dans la bande 25,5</w:t>
      </w:r>
      <w:r>
        <w:noBreakHyphen/>
        <w:t>27,0 GHz pour tous les angles d'incidence à la surface de la Terre (voir l'Annexe 1);</w:t>
      </w:r>
    </w:p>
    <w:p w:rsidR="00EA7683" w:rsidRDefault="00EA7683" w:rsidP="00EA7683">
      <w:r>
        <w:rPr>
          <w:b/>
          <w:bCs/>
        </w:rPr>
        <w:t>5</w:t>
      </w:r>
      <w:r>
        <w:tab/>
        <w:t>que les satellites du SETS et du service de recherche spatiale en orbite non géostationnaire disposant de liaisons par satellite espace vers Terre, ne devraient produire une puissance surfacique supérieure à −133 dB(W/(m</w:t>
      </w:r>
      <w:r>
        <w:rPr>
          <w:vertAlign w:val="superscript"/>
        </w:rPr>
        <w:t>2</w:t>
      </w:r>
      <w:r>
        <w:t xml:space="preserve"> </w:t>
      </w:r>
      <w:r>
        <w:rPr>
          <w:vertAlign w:val="superscript"/>
        </w:rPr>
        <w:t>.</w:t>
      </w:r>
      <w:r>
        <w:t xml:space="preserve"> MHz)) en tout point où de trouve un satellite du service de recherche spatiale sur l'orbite des satellites géostationnaires. Cette limite peut être dépassée pendant 0,1% du temps au maximum pour les systèmes non OSG à des altitudes supérieures à 1 370 km (voir l'Annexe 2).</w:t>
      </w:r>
    </w:p>
    <w:p w:rsidR="00EA7683" w:rsidRDefault="00EA7683" w:rsidP="00EA7683"/>
    <w:p w:rsidR="005E5CA1" w:rsidRDefault="005E5CA1" w:rsidP="00EA7683"/>
    <w:p w:rsidR="00EA7683" w:rsidRDefault="00EA7683" w:rsidP="00EA7683"/>
    <w:p w:rsidR="00EA7683" w:rsidRDefault="00EA7683" w:rsidP="00EA7683">
      <w:pPr>
        <w:pStyle w:val="AnnexNoTitle"/>
      </w:pPr>
      <w:r>
        <w:t>Annexe 1</w:t>
      </w:r>
      <w:r>
        <w:br/>
      </w:r>
      <w:r>
        <w:br/>
        <w:t xml:space="preserve">Impact potentiel des satellites géostationnaires sur les liaisons sensibles </w:t>
      </w:r>
      <w:r w:rsidR="005E5CA1">
        <w:br/>
      </w:r>
      <w:r>
        <w:t>des missions du service de recherche spatiale</w:t>
      </w:r>
    </w:p>
    <w:p w:rsidR="00EA7683" w:rsidRDefault="00EA7683" w:rsidP="00EA7683">
      <w:pPr>
        <w:pStyle w:val="Heading1"/>
      </w:pPr>
      <w:r>
        <w:t>1</w:t>
      </w:r>
      <w:r>
        <w:tab/>
        <w:t>Introduction</w:t>
      </w:r>
    </w:p>
    <w:p w:rsidR="00EA7683" w:rsidRDefault="00EA7683" w:rsidP="00EA7683">
      <w:r>
        <w:t>La bande 25,5-27,0 GHz est une bande importante pour les liaisons descendantes du SETS et du service de recherche spatiale. Cette bande est prévue pour être utilisée aussi bien par le SETS que pour les missions du service de recherche spatiale. Les missions du service de recherche spatiale pourraient se dérouler à une distance quelconque entre une orbite terrestre basse et les points de Lagrange Soleil</w:t>
      </w:r>
      <w:r>
        <w:noBreakHyphen/>
        <w:t xml:space="preserve">Terre. Un certain nombre d'études approfondies ont traité de la compatibilité entre divers types de mission, concluant que pour toutes les applications potentielles on pouvait utiliser en partage la bande 25,5-27,0 GHz sans problème à l'exception des satellites géostationnaires fonctionnant avec des puissances surfaciques proches des limites définies à l'Article 21 du RR. La présente Annexe contient un résumé des résultats des diverses études et un rappel des limites de puissance surfacique réduites correspondantes pour les satellites géostationnaires. </w:t>
      </w:r>
    </w:p>
    <w:p w:rsidR="00EA7683" w:rsidRDefault="00EA7683" w:rsidP="00EA7683">
      <w:pPr>
        <w:pStyle w:val="Heading1"/>
      </w:pPr>
      <w:r>
        <w:t>2</w:t>
      </w:r>
      <w:r>
        <w:tab/>
        <w:t xml:space="preserve">Caractéristiques des systèmes du service de recherche spatiale susceptibles d'être brouillés </w:t>
      </w:r>
    </w:p>
    <w:p w:rsidR="00EA7683" w:rsidRDefault="00EA7683" w:rsidP="00164DD2">
      <w:r>
        <w:t>Les missions du service de recherche spatiale les plus sensibles sont celles qui utilisent des satellites proches des points de Lagrange L1/L2 et proches de la Lune. La Fig</w:t>
      </w:r>
      <w:r w:rsidR="00164DD2">
        <w:t>.</w:t>
      </w:r>
      <w:r>
        <w:t xml:space="preserve"> 1 illustre de telles applications scientifiques et la constellation de brouillages correspondante.</w:t>
      </w:r>
    </w:p>
    <w:p w:rsidR="00EA7683" w:rsidRDefault="00EA7683" w:rsidP="00EA7683">
      <w:pPr>
        <w:pStyle w:val="FigureNo"/>
      </w:pPr>
      <w:r>
        <w:object w:dxaOrig="6790" w:dyaOrig="5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45pt;height:276.8pt" o:ole="">
            <v:imagedata r:id="rId13" o:title=""/>
          </v:shape>
          <o:OLEObject Type="Embed" ProgID="CorelDRAW.Graphic.14" ShapeID="_x0000_i1025" DrawAspect="Content" ObjectID="_1345027391" r:id="rId14"/>
        </w:object>
      </w:r>
    </w:p>
    <w:p w:rsidR="00EA7683" w:rsidRDefault="00EA7683" w:rsidP="00EA7683">
      <w:pPr>
        <w:pStyle w:val="Normalaftertitle"/>
      </w:pPr>
      <w:r>
        <w:t xml:space="preserve">Le Tableau 1 montre les caractéristiques de systèmes lunaires analysés dans l'une des études détaillées. Comme le montre ce tableau, la marge pour la liaison est équivalente à </w:t>
      </w:r>
      <w:r>
        <w:rPr>
          <w:i/>
          <w:lang w:eastAsia="de-DE"/>
        </w:rPr>
        <w:t>C</w:t>
      </w:r>
      <w:r>
        <w:rPr>
          <w:iCs/>
          <w:vertAlign w:val="subscript"/>
          <w:lang w:eastAsia="de-DE"/>
        </w:rPr>
        <w:t>0</w:t>
      </w:r>
      <w:r>
        <w:rPr>
          <w:lang w:eastAsia="de-DE"/>
        </w:rPr>
        <w:t>/</w:t>
      </w:r>
      <w:r>
        <w:rPr>
          <w:i/>
          <w:lang w:eastAsia="de-DE"/>
        </w:rPr>
        <w:t>N</w:t>
      </w:r>
      <w:r>
        <w:rPr>
          <w:iCs/>
          <w:vertAlign w:val="subscript"/>
          <w:lang w:eastAsia="de-DE"/>
        </w:rPr>
        <w:t>0</w:t>
      </w:r>
      <w:r>
        <w:rPr>
          <w:iCs/>
        </w:rPr>
        <w:t> </w:t>
      </w:r>
      <w:r>
        <w:noBreakHyphen/>
        <w:t> </w:t>
      </w:r>
      <w:r>
        <w:rPr>
          <w:i/>
          <w:lang w:eastAsia="de-DE"/>
        </w:rPr>
        <w:t>C</w:t>
      </w:r>
      <w:r>
        <w:rPr>
          <w:iCs/>
          <w:vertAlign w:val="subscript"/>
          <w:lang w:eastAsia="de-DE"/>
        </w:rPr>
        <w:t>0</w:t>
      </w:r>
      <w:r>
        <w:rPr>
          <w:lang w:eastAsia="de-DE"/>
        </w:rPr>
        <w:t>/</w:t>
      </w:r>
      <w:r>
        <w:rPr>
          <w:i/>
          <w:lang w:eastAsia="de-DE"/>
        </w:rPr>
        <w:t>N</w:t>
      </w:r>
      <w:r>
        <w:rPr>
          <w:iCs/>
          <w:vertAlign w:val="subscript"/>
          <w:lang w:eastAsia="de-DE"/>
        </w:rPr>
        <w:t>0</w:t>
      </w:r>
      <w:r>
        <w:t xml:space="preserve"> requis. Ces marges sont calculées à partir des données du système en utilisant des hypothèses standard concernant le débit de données, le codage et la disponibilité. </w:t>
      </w:r>
    </w:p>
    <w:p w:rsidR="00EA7683" w:rsidRDefault="00EA7683" w:rsidP="00EA7683">
      <w:pPr>
        <w:pStyle w:val="TableNo"/>
      </w:pPr>
      <w:r>
        <w:t>TABLEAU  1</w:t>
      </w:r>
    </w:p>
    <w:p w:rsidR="00EA7683" w:rsidRDefault="00EA7683" w:rsidP="00EA7683">
      <w:pPr>
        <w:pStyle w:val="Tabletitle"/>
      </w:pPr>
      <w:r>
        <w:t xml:space="preserve">Caractéristiques essentielles des systèmes lunaires du service </w:t>
      </w:r>
      <w:r>
        <w:br/>
        <w:t>de recherche spatiale brouillés représentatifs</w:t>
      </w:r>
    </w:p>
    <w:tbl>
      <w:tblPr>
        <w:tblW w:w="0" w:type="auto"/>
        <w:jc w:val="center"/>
        <w:tblInd w:w="-8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5103"/>
        <w:gridCol w:w="1417"/>
        <w:gridCol w:w="1715"/>
      </w:tblGrid>
      <w:tr w:rsidR="00EA7683" w:rsidTr="005E5CA1">
        <w:trPr>
          <w:cantSplit/>
          <w:jc w:val="center"/>
        </w:trPr>
        <w:tc>
          <w:tcPr>
            <w:tcW w:w="5103" w:type="dxa"/>
            <w:vMerge w:val="restart"/>
            <w:tcBorders>
              <w:top w:val="single" w:sz="2" w:space="0" w:color="auto"/>
              <w:left w:val="single" w:sz="2" w:space="0" w:color="auto"/>
              <w:right w:val="single" w:sz="2" w:space="0" w:color="auto"/>
            </w:tcBorders>
            <w:vAlign w:val="center"/>
          </w:tcPr>
          <w:p w:rsidR="00EA7683" w:rsidRDefault="00EA7683" w:rsidP="005E5CA1">
            <w:pPr>
              <w:pStyle w:val="Tablehead"/>
            </w:pPr>
            <w:r>
              <w:t>Paramètres</w:t>
            </w:r>
          </w:p>
        </w:tc>
        <w:tc>
          <w:tcPr>
            <w:tcW w:w="3132" w:type="dxa"/>
            <w:gridSpan w:val="2"/>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head"/>
            </w:pPr>
            <w:r>
              <w:t>Systèmes à satellites du service de recherche spatiale représentatifs brouillés</w:t>
            </w:r>
          </w:p>
        </w:tc>
      </w:tr>
      <w:tr w:rsidR="00EA7683" w:rsidTr="005E5CA1">
        <w:trPr>
          <w:cantSplit/>
          <w:jc w:val="center"/>
        </w:trPr>
        <w:tc>
          <w:tcPr>
            <w:tcW w:w="5103" w:type="dxa"/>
            <w:vMerge/>
            <w:tcBorders>
              <w:left w:val="single" w:sz="2" w:space="0" w:color="auto"/>
              <w:bottom w:val="single" w:sz="2" w:space="0" w:color="auto"/>
              <w:right w:val="single" w:sz="2" w:space="0" w:color="auto"/>
            </w:tcBorders>
            <w:vAlign w:val="center"/>
          </w:tcPr>
          <w:p w:rsidR="00EA7683" w:rsidRDefault="00EA7683" w:rsidP="005E5CA1">
            <w:pPr>
              <w:pStyle w:val="Tablehead"/>
              <w:rPr>
                <w:szCs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head"/>
            </w:pPr>
            <w:r>
              <w:t>LRO Lunar</w:t>
            </w:r>
          </w:p>
        </w:tc>
        <w:tc>
          <w:tcPr>
            <w:tcW w:w="1715"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head"/>
            </w:pPr>
            <w:r>
              <w:t>Cx Lunaire,</w:t>
            </w:r>
            <w:r>
              <w:br/>
              <w:t>50 MHz</w:t>
            </w:r>
          </w:p>
        </w:tc>
      </w:tr>
      <w:tr w:rsidR="00EA7683" w:rsidTr="005E5CA1">
        <w:trPr>
          <w:jc w:val="center"/>
        </w:trPr>
        <w:tc>
          <w:tcPr>
            <w:tcW w:w="5103"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rPr>
                <w:lang w:eastAsia="de-DE"/>
              </w:rPr>
            </w:pPr>
            <w:r>
              <w:rPr>
                <w:lang w:eastAsia="de-DE"/>
              </w:rPr>
              <w:t>Fréquence (MHz)</w:t>
            </w:r>
          </w:p>
        </w:tc>
        <w:tc>
          <w:tcPr>
            <w:tcW w:w="1417"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25 650</w:t>
            </w:r>
          </w:p>
        </w:tc>
        <w:tc>
          <w:tcPr>
            <w:tcW w:w="1715"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26 000</w:t>
            </w:r>
          </w:p>
        </w:tc>
      </w:tr>
      <w:tr w:rsidR="00EA7683" w:rsidTr="005E5CA1">
        <w:trPr>
          <w:jc w:val="center"/>
        </w:trPr>
        <w:tc>
          <w:tcPr>
            <w:tcW w:w="5103"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rPr>
                <w:lang w:eastAsia="de-DE"/>
              </w:rPr>
            </w:pPr>
            <w:r>
              <w:rPr>
                <w:lang w:eastAsia="de-DE"/>
              </w:rPr>
              <w:t>Distance oblique (km)</w:t>
            </w:r>
          </w:p>
        </w:tc>
        <w:tc>
          <w:tcPr>
            <w:tcW w:w="1417"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401 427</w:t>
            </w:r>
          </w:p>
        </w:tc>
        <w:tc>
          <w:tcPr>
            <w:tcW w:w="1715"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404 943</w:t>
            </w:r>
          </w:p>
        </w:tc>
      </w:tr>
      <w:tr w:rsidR="00EA7683" w:rsidTr="005E5CA1">
        <w:trPr>
          <w:jc w:val="center"/>
        </w:trPr>
        <w:tc>
          <w:tcPr>
            <w:tcW w:w="5103"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rPr>
                <w:lang w:eastAsia="de-DE"/>
              </w:rPr>
            </w:pPr>
            <w:r>
              <w:rPr>
                <w:lang w:eastAsia="de-DE"/>
              </w:rPr>
              <w:t>Puissance d'émission (dB(W))</w:t>
            </w:r>
          </w:p>
        </w:tc>
        <w:tc>
          <w:tcPr>
            <w:tcW w:w="1417"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16,0</w:t>
            </w:r>
          </w:p>
        </w:tc>
        <w:tc>
          <w:tcPr>
            <w:tcW w:w="1715"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17,0</w:t>
            </w:r>
          </w:p>
        </w:tc>
      </w:tr>
      <w:tr w:rsidR="00EA7683" w:rsidTr="005E5CA1">
        <w:trPr>
          <w:jc w:val="center"/>
        </w:trPr>
        <w:tc>
          <w:tcPr>
            <w:tcW w:w="5103"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rPr>
                <w:lang w:eastAsia="de-DE"/>
              </w:rPr>
            </w:pPr>
            <w:r>
              <w:rPr>
                <w:lang w:eastAsia="de-DE"/>
              </w:rPr>
              <w:t>Division de la puissance d'émission (dB)</w:t>
            </w:r>
          </w:p>
        </w:tc>
        <w:tc>
          <w:tcPr>
            <w:tcW w:w="1417"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−3,0</w:t>
            </w:r>
          </w:p>
        </w:tc>
        <w:tc>
          <w:tcPr>
            <w:tcW w:w="1715"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0,0</w:t>
            </w:r>
          </w:p>
        </w:tc>
      </w:tr>
      <w:tr w:rsidR="00EA7683" w:rsidTr="005E5CA1">
        <w:trPr>
          <w:jc w:val="center"/>
        </w:trPr>
        <w:tc>
          <w:tcPr>
            <w:tcW w:w="5103"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rPr>
                <w:lang w:eastAsia="de-DE"/>
              </w:rPr>
            </w:pPr>
            <w:r>
              <w:rPr>
                <w:lang w:eastAsia="de-DE"/>
              </w:rPr>
              <w:t>Gain d'émission (dBi)</w:t>
            </w:r>
          </w:p>
        </w:tc>
        <w:tc>
          <w:tcPr>
            <w:tcW w:w="1417"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42,9</w:t>
            </w:r>
          </w:p>
        </w:tc>
        <w:tc>
          <w:tcPr>
            <w:tcW w:w="1715"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43,5</w:t>
            </w:r>
          </w:p>
        </w:tc>
      </w:tr>
      <w:tr w:rsidR="00EA7683" w:rsidTr="005E5CA1">
        <w:trPr>
          <w:jc w:val="center"/>
        </w:trPr>
        <w:tc>
          <w:tcPr>
            <w:tcW w:w="5103"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rPr>
                <w:lang w:eastAsia="de-DE"/>
              </w:rPr>
            </w:pPr>
            <w:r>
              <w:rPr>
                <w:lang w:eastAsia="de-DE"/>
              </w:rPr>
              <w:t>Puissance surfacique maximale à la surface de la Terre (dB(W/(m</w:t>
            </w:r>
            <w:r>
              <w:rPr>
                <w:vertAlign w:val="superscript"/>
                <w:lang w:eastAsia="de-DE"/>
              </w:rPr>
              <w:t>2</w:t>
            </w:r>
            <w:r>
              <w:rPr>
                <w:lang w:eastAsia="de-DE"/>
              </w:rPr>
              <w:t xml:space="preserve"> . MHz)))</w:t>
            </w:r>
          </w:p>
        </w:tc>
        <w:tc>
          <w:tcPr>
            <w:tcW w:w="1417"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−143,0</w:t>
            </w:r>
          </w:p>
        </w:tc>
        <w:tc>
          <w:tcPr>
            <w:tcW w:w="1715"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−141,4</w:t>
            </w:r>
          </w:p>
        </w:tc>
      </w:tr>
      <w:tr w:rsidR="00EA7683" w:rsidTr="005E5CA1">
        <w:trPr>
          <w:jc w:val="center"/>
        </w:trPr>
        <w:tc>
          <w:tcPr>
            <w:tcW w:w="5103"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rPr>
                <w:lang w:eastAsia="de-DE"/>
              </w:rPr>
            </w:pPr>
            <w:r>
              <w:rPr>
                <w:lang w:eastAsia="de-DE"/>
              </w:rPr>
              <w:t>Débit de données (Mbit/s)</w:t>
            </w:r>
          </w:p>
        </w:tc>
        <w:tc>
          <w:tcPr>
            <w:tcW w:w="1417"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50,0</w:t>
            </w:r>
          </w:p>
        </w:tc>
        <w:tc>
          <w:tcPr>
            <w:tcW w:w="1715"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25,0</w:t>
            </w:r>
          </w:p>
        </w:tc>
      </w:tr>
      <w:tr w:rsidR="00EA7683" w:rsidTr="005E5CA1">
        <w:trPr>
          <w:jc w:val="center"/>
        </w:trPr>
        <w:tc>
          <w:tcPr>
            <w:tcW w:w="5103"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rPr>
                <w:lang w:eastAsia="de-DE"/>
              </w:rPr>
            </w:pPr>
            <w:r>
              <w:rPr>
                <w:lang w:eastAsia="de-DE"/>
              </w:rPr>
              <w:t>Gain à la réception (dBi)</w:t>
            </w:r>
          </w:p>
        </w:tc>
        <w:tc>
          <w:tcPr>
            <w:tcW w:w="1417"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71,3</w:t>
            </w:r>
          </w:p>
        </w:tc>
        <w:tc>
          <w:tcPr>
            <w:tcW w:w="1715"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70,4</w:t>
            </w:r>
          </w:p>
        </w:tc>
      </w:tr>
      <w:tr w:rsidR="00EA7683" w:rsidTr="005E5CA1">
        <w:trPr>
          <w:jc w:val="center"/>
        </w:trPr>
        <w:tc>
          <w:tcPr>
            <w:tcW w:w="5103"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rPr>
                <w:lang w:eastAsia="de-DE"/>
              </w:rPr>
            </w:pPr>
            <w:r>
              <w:rPr>
                <w:lang w:eastAsia="de-DE"/>
              </w:rPr>
              <w:t>Affaiblissements sur la liaison (dB)</w:t>
            </w:r>
          </w:p>
        </w:tc>
        <w:tc>
          <w:tcPr>
            <w:tcW w:w="1417"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−7,5</w:t>
            </w:r>
          </w:p>
        </w:tc>
        <w:tc>
          <w:tcPr>
            <w:tcW w:w="1715"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−9,7</w:t>
            </w:r>
          </w:p>
        </w:tc>
      </w:tr>
      <w:tr w:rsidR="00EA7683" w:rsidTr="005E5CA1">
        <w:trPr>
          <w:jc w:val="center"/>
        </w:trPr>
        <w:tc>
          <w:tcPr>
            <w:tcW w:w="5103"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rPr>
                <w:lang w:eastAsia="de-DE"/>
              </w:rPr>
            </w:pPr>
            <w:r>
              <w:rPr>
                <w:lang w:eastAsia="de-DE"/>
              </w:rPr>
              <w:t>Affaiblissement dû à la pluie/atmosphère (dB)</w:t>
            </w:r>
          </w:p>
        </w:tc>
        <w:tc>
          <w:tcPr>
            <w:tcW w:w="1417"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−1,25</w:t>
            </w:r>
          </w:p>
        </w:tc>
        <w:tc>
          <w:tcPr>
            <w:tcW w:w="1715"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−2,8</w:t>
            </w:r>
          </w:p>
        </w:tc>
      </w:tr>
      <w:tr w:rsidR="00EA7683" w:rsidTr="005E5CA1">
        <w:trPr>
          <w:jc w:val="center"/>
        </w:trPr>
        <w:tc>
          <w:tcPr>
            <w:tcW w:w="5103"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rPr>
                <w:lang w:eastAsia="de-DE"/>
              </w:rPr>
            </w:pPr>
            <w:r>
              <w:rPr>
                <w:lang w:eastAsia="de-DE"/>
              </w:rPr>
              <w:t>Température (K)</w:t>
            </w:r>
          </w:p>
        </w:tc>
        <w:tc>
          <w:tcPr>
            <w:tcW w:w="1417"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510,0</w:t>
            </w:r>
          </w:p>
        </w:tc>
        <w:tc>
          <w:tcPr>
            <w:tcW w:w="1715"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446,7</w:t>
            </w:r>
          </w:p>
        </w:tc>
      </w:tr>
    </w:tbl>
    <w:p w:rsidR="00490E78" w:rsidRDefault="00490E78" w:rsidP="00490E78">
      <w:pPr>
        <w:pStyle w:val="TableNo"/>
      </w:pPr>
      <w:r>
        <w:lastRenderedPageBreak/>
        <w:t>TABLEAU  1 (</w:t>
      </w:r>
      <w:r>
        <w:rPr>
          <w:i/>
          <w:iCs/>
        </w:rPr>
        <w:t>fin</w:t>
      </w:r>
      <w:r>
        <w:t>)</w:t>
      </w:r>
    </w:p>
    <w:tbl>
      <w:tblPr>
        <w:tblW w:w="0" w:type="auto"/>
        <w:jc w:val="center"/>
        <w:tblInd w:w="-8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5103"/>
        <w:gridCol w:w="1417"/>
        <w:gridCol w:w="1715"/>
      </w:tblGrid>
      <w:tr w:rsidR="00490E78" w:rsidTr="00437231">
        <w:trPr>
          <w:cantSplit/>
          <w:jc w:val="center"/>
        </w:trPr>
        <w:tc>
          <w:tcPr>
            <w:tcW w:w="5103" w:type="dxa"/>
            <w:vMerge w:val="restart"/>
            <w:tcBorders>
              <w:top w:val="single" w:sz="2" w:space="0" w:color="auto"/>
              <w:left w:val="single" w:sz="2" w:space="0" w:color="auto"/>
              <w:right w:val="single" w:sz="2" w:space="0" w:color="auto"/>
            </w:tcBorders>
            <w:vAlign w:val="center"/>
          </w:tcPr>
          <w:p w:rsidR="00490E78" w:rsidRDefault="00490E78" w:rsidP="00437231">
            <w:pPr>
              <w:pStyle w:val="Tablehead"/>
            </w:pPr>
            <w:r>
              <w:t>Paramètres</w:t>
            </w:r>
          </w:p>
        </w:tc>
        <w:tc>
          <w:tcPr>
            <w:tcW w:w="3132" w:type="dxa"/>
            <w:gridSpan w:val="2"/>
            <w:tcBorders>
              <w:top w:val="single" w:sz="2" w:space="0" w:color="auto"/>
              <w:left w:val="single" w:sz="2" w:space="0" w:color="auto"/>
              <w:bottom w:val="single" w:sz="2" w:space="0" w:color="auto"/>
              <w:right w:val="single" w:sz="2" w:space="0" w:color="auto"/>
            </w:tcBorders>
            <w:vAlign w:val="center"/>
          </w:tcPr>
          <w:p w:rsidR="00490E78" w:rsidRDefault="00490E78" w:rsidP="00437231">
            <w:pPr>
              <w:pStyle w:val="Tablehead"/>
            </w:pPr>
            <w:r>
              <w:t>Systèmes à satellites du service de recherche spatiale représentatifs brouillés</w:t>
            </w:r>
          </w:p>
        </w:tc>
      </w:tr>
      <w:tr w:rsidR="00490E78" w:rsidTr="00437231">
        <w:trPr>
          <w:cantSplit/>
          <w:jc w:val="center"/>
        </w:trPr>
        <w:tc>
          <w:tcPr>
            <w:tcW w:w="5103" w:type="dxa"/>
            <w:vMerge/>
            <w:tcBorders>
              <w:left w:val="single" w:sz="2" w:space="0" w:color="auto"/>
              <w:bottom w:val="single" w:sz="2" w:space="0" w:color="auto"/>
              <w:right w:val="single" w:sz="2" w:space="0" w:color="auto"/>
            </w:tcBorders>
            <w:vAlign w:val="center"/>
          </w:tcPr>
          <w:p w:rsidR="00490E78" w:rsidRDefault="00490E78" w:rsidP="00437231">
            <w:pPr>
              <w:pStyle w:val="Tablehead"/>
              <w:rPr>
                <w:szCs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490E78" w:rsidRDefault="00490E78" w:rsidP="00437231">
            <w:pPr>
              <w:pStyle w:val="Tablehead"/>
            </w:pPr>
            <w:r>
              <w:t>LRO Lunar</w:t>
            </w:r>
          </w:p>
        </w:tc>
        <w:tc>
          <w:tcPr>
            <w:tcW w:w="1715" w:type="dxa"/>
            <w:tcBorders>
              <w:top w:val="single" w:sz="2" w:space="0" w:color="auto"/>
              <w:left w:val="single" w:sz="2" w:space="0" w:color="auto"/>
              <w:bottom w:val="single" w:sz="2" w:space="0" w:color="auto"/>
              <w:right w:val="single" w:sz="2" w:space="0" w:color="auto"/>
            </w:tcBorders>
            <w:vAlign w:val="center"/>
          </w:tcPr>
          <w:p w:rsidR="00490E78" w:rsidRDefault="00490E78" w:rsidP="00437231">
            <w:pPr>
              <w:pStyle w:val="Tablehead"/>
            </w:pPr>
            <w:r>
              <w:t>Cx Lunaire,</w:t>
            </w:r>
            <w:r>
              <w:br/>
              <w:t>50 MHz</w:t>
            </w:r>
          </w:p>
        </w:tc>
      </w:tr>
      <w:tr w:rsidR="00EA7683" w:rsidTr="005E5CA1">
        <w:trPr>
          <w:jc w:val="center"/>
        </w:trPr>
        <w:tc>
          <w:tcPr>
            <w:tcW w:w="5103"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rPr>
                <w:lang w:eastAsia="de-DE"/>
              </w:rPr>
            </w:pPr>
            <w:r>
              <w:rPr>
                <w:i/>
                <w:lang w:eastAsia="de-DE"/>
              </w:rPr>
              <w:t>C</w:t>
            </w:r>
            <w:r>
              <w:rPr>
                <w:iCs/>
                <w:vertAlign w:val="subscript"/>
                <w:lang w:eastAsia="de-DE"/>
              </w:rPr>
              <w:t>0</w:t>
            </w:r>
            <w:r>
              <w:rPr>
                <w:lang w:eastAsia="de-DE"/>
              </w:rPr>
              <w:t>/</w:t>
            </w:r>
            <w:r>
              <w:rPr>
                <w:i/>
                <w:lang w:eastAsia="de-DE"/>
              </w:rPr>
              <w:t>N</w:t>
            </w:r>
            <w:r>
              <w:rPr>
                <w:iCs/>
                <w:vertAlign w:val="subscript"/>
                <w:lang w:eastAsia="de-DE"/>
              </w:rPr>
              <w:t>0</w:t>
            </w:r>
            <w:r>
              <w:rPr>
                <w:lang w:eastAsia="de-DE"/>
              </w:rPr>
              <w:t xml:space="preserve"> (dB)</w:t>
            </w:r>
          </w:p>
        </w:tc>
        <w:tc>
          <w:tcPr>
            <w:tcW w:w="1417"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10,3</w:t>
            </w:r>
          </w:p>
        </w:tc>
        <w:tc>
          <w:tcPr>
            <w:tcW w:w="1715"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13,6</w:t>
            </w:r>
          </w:p>
        </w:tc>
      </w:tr>
      <w:tr w:rsidR="00EA7683" w:rsidTr="005E5CA1">
        <w:trPr>
          <w:jc w:val="center"/>
        </w:trPr>
        <w:tc>
          <w:tcPr>
            <w:tcW w:w="5103"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rPr>
                <w:lang w:eastAsia="de-DE"/>
              </w:rPr>
            </w:pPr>
            <w:r>
              <w:rPr>
                <w:i/>
                <w:lang w:eastAsia="de-DE"/>
              </w:rPr>
              <w:t>C</w:t>
            </w:r>
            <w:r>
              <w:rPr>
                <w:iCs/>
                <w:vertAlign w:val="subscript"/>
                <w:lang w:eastAsia="de-DE"/>
              </w:rPr>
              <w:t>0</w:t>
            </w:r>
            <w:r>
              <w:rPr>
                <w:lang w:eastAsia="de-DE"/>
              </w:rPr>
              <w:t>/</w:t>
            </w:r>
            <w:r>
              <w:rPr>
                <w:i/>
                <w:lang w:eastAsia="de-DE"/>
              </w:rPr>
              <w:t>N</w:t>
            </w:r>
            <w:r>
              <w:rPr>
                <w:iCs/>
                <w:vertAlign w:val="subscript"/>
                <w:lang w:eastAsia="de-DE"/>
              </w:rPr>
              <w:t xml:space="preserve">0 </w:t>
            </w:r>
            <w:r>
              <w:rPr>
                <w:lang w:eastAsia="de-DE"/>
              </w:rPr>
              <w:t>requis (dB)</w:t>
            </w:r>
          </w:p>
        </w:tc>
        <w:tc>
          <w:tcPr>
            <w:tcW w:w="1417"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2,9</w:t>
            </w:r>
          </w:p>
        </w:tc>
        <w:tc>
          <w:tcPr>
            <w:tcW w:w="1715"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2,2</w:t>
            </w:r>
          </w:p>
        </w:tc>
      </w:tr>
      <w:tr w:rsidR="00EA7683" w:rsidTr="005E5CA1">
        <w:trPr>
          <w:jc w:val="center"/>
        </w:trPr>
        <w:tc>
          <w:tcPr>
            <w:tcW w:w="5103"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rPr>
                <w:lang w:eastAsia="de-DE"/>
              </w:rPr>
            </w:pPr>
            <w:r>
              <w:rPr>
                <w:lang w:eastAsia="de-DE"/>
              </w:rPr>
              <w:t>Marge (dB)</w:t>
            </w:r>
          </w:p>
        </w:tc>
        <w:tc>
          <w:tcPr>
            <w:tcW w:w="1417"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7,4</w:t>
            </w:r>
          </w:p>
        </w:tc>
        <w:tc>
          <w:tcPr>
            <w:tcW w:w="1715"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lang w:eastAsia="de-DE"/>
              </w:rPr>
            </w:pPr>
            <w:r>
              <w:rPr>
                <w:lang w:eastAsia="de-DE"/>
              </w:rPr>
              <w:t>11,4</w:t>
            </w:r>
          </w:p>
        </w:tc>
      </w:tr>
    </w:tbl>
    <w:p w:rsidR="00EA7683" w:rsidRDefault="00EA7683" w:rsidP="00EA7683">
      <w:pPr>
        <w:pStyle w:val="Tablefin"/>
      </w:pPr>
    </w:p>
    <w:p w:rsidR="00EA7683" w:rsidRDefault="00EA7683" w:rsidP="00EA7683">
      <w:r>
        <w:t xml:space="preserve">Une autre étude détaillée a utilisé le James Web Space Telescope (JWST) comme exemple représentatif d'une mission lagrangienne. Deux débits de données ont été considérés à savoir 14 et 56 Mbit/s. Le débit de données ajustable aide à maintenir une liaison en cas d'intenses événements de pluie. Le Tableau 2 contient un résumé des hypothèses retenues pour des missions lagrangiennes du service de recherche spatiale brouillées. </w:t>
      </w:r>
    </w:p>
    <w:p w:rsidR="00EA7683" w:rsidRDefault="00EA7683" w:rsidP="00164DD2">
      <w:pPr>
        <w:pStyle w:val="TableNo"/>
        <w:keepLines/>
      </w:pPr>
      <w:r>
        <w:t>TABLEAU  2</w:t>
      </w:r>
    </w:p>
    <w:p w:rsidR="00EA7683" w:rsidRDefault="00EA7683" w:rsidP="00164DD2">
      <w:pPr>
        <w:pStyle w:val="Tabletitle"/>
        <w:keepLines/>
      </w:pPr>
      <w:r>
        <w:t xml:space="preserve">Principales caractéristiques des systèmes brouillés des missions lagrangiennes </w:t>
      </w:r>
      <w:r>
        <w:br/>
        <w:t>du service de recherche spatiale</w:t>
      </w:r>
    </w:p>
    <w:tbl>
      <w:tblPr>
        <w:tblW w:w="0" w:type="auto"/>
        <w:jc w:val="center"/>
        <w:tblInd w:w="-4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70" w:type="dxa"/>
          <w:right w:w="70" w:type="dxa"/>
        </w:tblCellMar>
        <w:tblLook w:val="0000"/>
      </w:tblPr>
      <w:tblGrid>
        <w:gridCol w:w="5794"/>
        <w:gridCol w:w="1080"/>
        <w:gridCol w:w="1247"/>
      </w:tblGrid>
      <w:tr w:rsidR="00EA7683" w:rsidTr="005E5CA1">
        <w:trPr>
          <w:trHeight w:val="269"/>
          <w:jc w:val="center"/>
        </w:trPr>
        <w:tc>
          <w:tcPr>
            <w:tcW w:w="5794" w:type="dxa"/>
            <w:tcBorders>
              <w:top w:val="single" w:sz="2" w:space="0" w:color="auto"/>
              <w:left w:val="single" w:sz="2" w:space="0" w:color="auto"/>
              <w:bottom w:val="single" w:sz="2" w:space="0" w:color="auto"/>
              <w:right w:val="single" w:sz="2" w:space="0" w:color="auto"/>
            </w:tcBorders>
            <w:vAlign w:val="center"/>
          </w:tcPr>
          <w:p w:rsidR="00EA7683" w:rsidRDefault="00EA7683" w:rsidP="00164DD2">
            <w:pPr>
              <w:pStyle w:val="Tablehead"/>
              <w:keepLines/>
              <w:rPr>
                <w:rFonts w:eastAsia="SimSun"/>
              </w:rPr>
            </w:pPr>
          </w:p>
        </w:tc>
        <w:tc>
          <w:tcPr>
            <w:tcW w:w="1080" w:type="dxa"/>
            <w:tcBorders>
              <w:top w:val="single" w:sz="2" w:space="0" w:color="auto"/>
              <w:left w:val="single" w:sz="2" w:space="0" w:color="auto"/>
              <w:bottom w:val="single" w:sz="2" w:space="0" w:color="auto"/>
              <w:right w:val="single" w:sz="2" w:space="0" w:color="auto"/>
            </w:tcBorders>
            <w:vAlign w:val="center"/>
          </w:tcPr>
          <w:p w:rsidR="00EA7683" w:rsidRDefault="00EA7683" w:rsidP="00164DD2">
            <w:pPr>
              <w:pStyle w:val="Tablehead"/>
              <w:keepLines/>
              <w:rPr>
                <w:rFonts w:eastAsia="SimSun"/>
              </w:rPr>
            </w:pPr>
            <w:r>
              <w:rPr>
                <w:rFonts w:eastAsia="SimSun"/>
              </w:rPr>
              <w:t>JWST-14</w:t>
            </w:r>
          </w:p>
        </w:tc>
        <w:tc>
          <w:tcPr>
            <w:tcW w:w="1247" w:type="dxa"/>
            <w:tcBorders>
              <w:top w:val="single" w:sz="2" w:space="0" w:color="auto"/>
              <w:left w:val="single" w:sz="2" w:space="0" w:color="auto"/>
              <w:bottom w:val="single" w:sz="2" w:space="0" w:color="auto"/>
              <w:right w:val="single" w:sz="2" w:space="0" w:color="auto"/>
            </w:tcBorders>
            <w:vAlign w:val="center"/>
          </w:tcPr>
          <w:p w:rsidR="00EA7683" w:rsidRDefault="00EA7683" w:rsidP="00164DD2">
            <w:pPr>
              <w:pStyle w:val="Tablehead"/>
              <w:keepLines/>
              <w:rPr>
                <w:rFonts w:eastAsia="SimSun"/>
              </w:rPr>
            </w:pPr>
            <w:r>
              <w:rPr>
                <w:rFonts w:eastAsia="SimSun"/>
              </w:rPr>
              <w:t>JWST-56</w:t>
            </w:r>
          </w:p>
        </w:tc>
      </w:tr>
      <w:tr w:rsidR="00EA7683" w:rsidTr="005E5CA1">
        <w:trPr>
          <w:trHeight w:val="254"/>
          <w:jc w:val="center"/>
        </w:trPr>
        <w:tc>
          <w:tcPr>
            <w:tcW w:w="5794" w:type="dxa"/>
            <w:tcBorders>
              <w:top w:val="single" w:sz="2" w:space="0" w:color="auto"/>
              <w:left w:val="single" w:sz="2" w:space="0" w:color="auto"/>
              <w:bottom w:val="single" w:sz="2" w:space="0" w:color="auto"/>
              <w:right w:val="single" w:sz="2" w:space="0" w:color="auto"/>
            </w:tcBorders>
            <w:vAlign w:val="center"/>
          </w:tcPr>
          <w:p w:rsidR="00EA7683" w:rsidRPr="00164DD2" w:rsidRDefault="00EA7683" w:rsidP="00164DD2">
            <w:pPr>
              <w:pStyle w:val="Tabletext"/>
              <w:keepNext/>
              <w:keepLines/>
              <w:jc w:val="left"/>
              <w:rPr>
                <w:rFonts w:eastAsia="SimSun"/>
              </w:rPr>
            </w:pPr>
            <w:r w:rsidRPr="00164DD2">
              <w:rPr>
                <w:rFonts w:eastAsia="SimSun"/>
              </w:rPr>
              <w:t>Altitude de l'orbite su satellite du service de recherche spatiale (km)</w:t>
            </w:r>
          </w:p>
        </w:tc>
        <w:tc>
          <w:tcPr>
            <w:tcW w:w="2327" w:type="dxa"/>
            <w:gridSpan w:val="2"/>
            <w:tcBorders>
              <w:top w:val="single" w:sz="2" w:space="0" w:color="auto"/>
              <w:left w:val="single" w:sz="2" w:space="0" w:color="auto"/>
              <w:bottom w:val="single" w:sz="2" w:space="0" w:color="auto"/>
              <w:right w:val="single" w:sz="2" w:space="0" w:color="auto"/>
            </w:tcBorders>
            <w:vAlign w:val="center"/>
          </w:tcPr>
          <w:p w:rsidR="00EA7683" w:rsidRDefault="00EA7683" w:rsidP="00164DD2">
            <w:pPr>
              <w:pStyle w:val="Tabletext"/>
              <w:keepNext/>
              <w:keepLines/>
              <w:jc w:val="center"/>
              <w:rPr>
                <w:rFonts w:eastAsia="SimSun"/>
                <w:lang w:eastAsia="zh-CN"/>
              </w:rPr>
            </w:pPr>
            <w:r>
              <w:rPr>
                <w:rFonts w:eastAsia="SimSun"/>
                <w:lang w:eastAsia="zh-CN"/>
              </w:rPr>
              <w:t>1 500 000</w:t>
            </w:r>
          </w:p>
        </w:tc>
      </w:tr>
      <w:tr w:rsidR="00EA7683" w:rsidTr="005E5CA1">
        <w:trPr>
          <w:trHeight w:val="254"/>
          <w:jc w:val="center"/>
        </w:trPr>
        <w:tc>
          <w:tcPr>
            <w:tcW w:w="5794" w:type="dxa"/>
            <w:tcBorders>
              <w:top w:val="single" w:sz="2" w:space="0" w:color="auto"/>
              <w:left w:val="single" w:sz="2" w:space="0" w:color="auto"/>
              <w:bottom w:val="single" w:sz="2" w:space="0" w:color="auto"/>
              <w:right w:val="single" w:sz="2" w:space="0" w:color="auto"/>
            </w:tcBorders>
            <w:vAlign w:val="center"/>
          </w:tcPr>
          <w:p w:rsidR="00EA7683" w:rsidRPr="00164DD2" w:rsidRDefault="00EA7683" w:rsidP="00164DD2">
            <w:pPr>
              <w:pStyle w:val="Tabletext"/>
              <w:keepNext/>
              <w:keepLines/>
              <w:jc w:val="left"/>
              <w:rPr>
                <w:rFonts w:eastAsia="SimSun"/>
              </w:rPr>
            </w:pPr>
            <w:r w:rsidRPr="00164DD2">
              <w:rPr>
                <w:rFonts w:eastAsia="SimSun"/>
              </w:rPr>
              <w:t>Puissance du satellite du service de recherche spatiale (dBW)</w:t>
            </w:r>
          </w:p>
        </w:tc>
        <w:tc>
          <w:tcPr>
            <w:tcW w:w="2327" w:type="dxa"/>
            <w:gridSpan w:val="2"/>
            <w:tcBorders>
              <w:top w:val="single" w:sz="2" w:space="0" w:color="auto"/>
              <w:left w:val="single" w:sz="2" w:space="0" w:color="auto"/>
              <w:bottom w:val="single" w:sz="2" w:space="0" w:color="auto"/>
              <w:right w:val="single" w:sz="2" w:space="0" w:color="auto"/>
            </w:tcBorders>
            <w:vAlign w:val="center"/>
          </w:tcPr>
          <w:p w:rsidR="00EA7683" w:rsidRDefault="00EA7683" w:rsidP="00164DD2">
            <w:pPr>
              <w:pStyle w:val="Tabletext"/>
              <w:keepNext/>
              <w:keepLines/>
              <w:jc w:val="center"/>
              <w:rPr>
                <w:rFonts w:eastAsia="SimSun"/>
                <w:lang w:eastAsia="zh-CN"/>
              </w:rPr>
            </w:pPr>
            <w:r>
              <w:rPr>
                <w:rFonts w:eastAsia="SimSun"/>
                <w:lang w:eastAsia="zh-CN"/>
              </w:rPr>
              <w:t>13,1</w:t>
            </w:r>
          </w:p>
        </w:tc>
      </w:tr>
      <w:tr w:rsidR="00EA7683" w:rsidTr="005E5CA1">
        <w:trPr>
          <w:trHeight w:val="254"/>
          <w:jc w:val="center"/>
        </w:trPr>
        <w:tc>
          <w:tcPr>
            <w:tcW w:w="5794" w:type="dxa"/>
            <w:tcBorders>
              <w:top w:val="single" w:sz="2" w:space="0" w:color="auto"/>
              <w:left w:val="single" w:sz="2" w:space="0" w:color="auto"/>
              <w:bottom w:val="single" w:sz="2" w:space="0" w:color="auto"/>
              <w:right w:val="single" w:sz="2" w:space="0" w:color="auto"/>
            </w:tcBorders>
            <w:vAlign w:val="center"/>
          </w:tcPr>
          <w:p w:rsidR="00EA7683" w:rsidRPr="00164DD2" w:rsidRDefault="00EA7683" w:rsidP="00164DD2">
            <w:pPr>
              <w:pStyle w:val="Tabletext"/>
              <w:keepNext/>
              <w:keepLines/>
              <w:jc w:val="left"/>
              <w:rPr>
                <w:rFonts w:eastAsia="SimSun"/>
              </w:rPr>
            </w:pPr>
            <w:r w:rsidRPr="00164DD2">
              <w:rPr>
                <w:rFonts w:eastAsia="SimSun"/>
              </w:rPr>
              <w:t>Largeur de bande du lobe principal avec le MDP4 (MHz)</w:t>
            </w:r>
          </w:p>
        </w:tc>
        <w:tc>
          <w:tcPr>
            <w:tcW w:w="1080" w:type="dxa"/>
            <w:tcBorders>
              <w:top w:val="single" w:sz="2" w:space="0" w:color="auto"/>
              <w:left w:val="single" w:sz="2" w:space="0" w:color="auto"/>
              <w:bottom w:val="single" w:sz="2" w:space="0" w:color="auto"/>
              <w:right w:val="single" w:sz="2" w:space="0" w:color="auto"/>
            </w:tcBorders>
            <w:vAlign w:val="center"/>
          </w:tcPr>
          <w:p w:rsidR="00EA7683" w:rsidRDefault="00EA7683" w:rsidP="00164DD2">
            <w:pPr>
              <w:pStyle w:val="Tabletext"/>
              <w:keepNext/>
              <w:keepLines/>
              <w:jc w:val="center"/>
              <w:rPr>
                <w:rFonts w:eastAsia="SimSun"/>
                <w:lang w:eastAsia="zh-CN"/>
              </w:rPr>
            </w:pPr>
            <w:r>
              <w:rPr>
                <w:rFonts w:eastAsia="SimSun"/>
                <w:lang w:eastAsia="zh-CN"/>
              </w:rPr>
              <w:t>14</w:t>
            </w:r>
          </w:p>
        </w:tc>
        <w:tc>
          <w:tcPr>
            <w:tcW w:w="1247" w:type="dxa"/>
            <w:tcBorders>
              <w:top w:val="single" w:sz="2" w:space="0" w:color="auto"/>
              <w:left w:val="single" w:sz="2" w:space="0" w:color="auto"/>
              <w:bottom w:val="single" w:sz="2" w:space="0" w:color="auto"/>
              <w:right w:val="single" w:sz="2" w:space="0" w:color="auto"/>
            </w:tcBorders>
            <w:vAlign w:val="center"/>
          </w:tcPr>
          <w:p w:rsidR="00EA7683" w:rsidRDefault="00EA7683" w:rsidP="00164DD2">
            <w:pPr>
              <w:pStyle w:val="Tabletext"/>
              <w:keepNext/>
              <w:keepLines/>
              <w:jc w:val="center"/>
              <w:rPr>
                <w:rFonts w:eastAsia="SimSun"/>
                <w:lang w:eastAsia="zh-CN"/>
              </w:rPr>
            </w:pPr>
            <w:r>
              <w:rPr>
                <w:rFonts w:eastAsia="SimSun"/>
                <w:lang w:eastAsia="zh-CN"/>
              </w:rPr>
              <w:t>56</w:t>
            </w:r>
          </w:p>
        </w:tc>
      </w:tr>
      <w:tr w:rsidR="00EA7683" w:rsidTr="005E5CA1">
        <w:trPr>
          <w:trHeight w:val="254"/>
          <w:jc w:val="center"/>
        </w:trPr>
        <w:tc>
          <w:tcPr>
            <w:tcW w:w="5794" w:type="dxa"/>
            <w:tcBorders>
              <w:top w:val="single" w:sz="2" w:space="0" w:color="auto"/>
              <w:left w:val="single" w:sz="2" w:space="0" w:color="auto"/>
              <w:bottom w:val="single" w:sz="2" w:space="0" w:color="auto"/>
              <w:right w:val="single" w:sz="2" w:space="0" w:color="auto"/>
            </w:tcBorders>
            <w:vAlign w:val="center"/>
          </w:tcPr>
          <w:p w:rsidR="00EA7683" w:rsidRPr="00164DD2" w:rsidRDefault="00EA7683" w:rsidP="00164DD2">
            <w:pPr>
              <w:pStyle w:val="Tabletext"/>
              <w:keepNext/>
              <w:keepLines/>
              <w:jc w:val="left"/>
              <w:rPr>
                <w:rFonts w:eastAsia="SimSun"/>
              </w:rPr>
            </w:pPr>
            <w:r w:rsidRPr="00164DD2">
              <w:rPr>
                <w:rFonts w:eastAsia="SimSun"/>
              </w:rPr>
              <w:t>Diamètre de l'antenne du satellite du service</w:t>
            </w:r>
            <w:r w:rsidRPr="00164DD2">
              <w:t xml:space="preserve"> de recherche spatiale</w:t>
            </w:r>
            <w:r w:rsidRPr="00164DD2">
              <w:rPr>
                <w:rFonts w:eastAsia="SimSun"/>
              </w:rPr>
              <w:t xml:space="preserve"> (m)</w:t>
            </w:r>
          </w:p>
        </w:tc>
        <w:tc>
          <w:tcPr>
            <w:tcW w:w="2327" w:type="dxa"/>
            <w:gridSpan w:val="2"/>
            <w:tcBorders>
              <w:top w:val="single" w:sz="2" w:space="0" w:color="auto"/>
              <w:left w:val="single" w:sz="2" w:space="0" w:color="auto"/>
              <w:bottom w:val="single" w:sz="2" w:space="0" w:color="auto"/>
              <w:right w:val="single" w:sz="2" w:space="0" w:color="auto"/>
            </w:tcBorders>
            <w:vAlign w:val="center"/>
          </w:tcPr>
          <w:p w:rsidR="00EA7683" w:rsidRDefault="00EA7683" w:rsidP="00164DD2">
            <w:pPr>
              <w:pStyle w:val="Tabletext"/>
              <w:keepNext/>
              <w:keepLines/>
              <w:jc w:val="center"/>
              <w:rPr>
                <w:rFonts w:eastAsia="SimSun"/>
                <w:lang w:eastAsia="zh-CN"/>
              </w:rPr>
            </w:pPr>
            <w:r>
              <w:rPr>
                <w:rFonts w:eastAsia="SimSun"/>
                <w:lang w:eastAsia="zh-CN"/>
              </w:rPr>
              <w:t>1,05</w:t>
            </w:r>
          </w:p>
        </w:tc>
      </w:tr>
      <w:tr w:rsidR="00EA7683" w:rsidTr="005E5CA1">
        <w:trPr>
          <w:trHeight w:val="254"/>
          <w:jc w:val="center"/>
        </w:trPr>
        <w:tc>
          <w:tcPr>
            <w:tcW w:w="5794" w:type="dxa"/>
            <w:tcBorders>
              <w:top w:val="single" w:sz="2" w:space="0" w:color="auto"/>
              <w:left w:val="single" w:sz="2" w:space="0" w:color="auto"/>
              <w:bottom w:val="single" w:sz="2" w:space="0" w:color="auto"/>
              <w:right w:val="single" w:sz="2" w:space="0" w:color="auto"/>
            </w:tcBorders>
            <w:vAlign w:val="center"/>
          </w:tcPr>
          <w:p w:rsidR="00EA7683" w:rsidRPr="00164DD2" w:rsidRDefault="00EA7683" w:rsidP="00164DD2">
            <w:pPr>
              <w:pStyle w:val="Tabletext"/>
              <w:keepNext/>
              <w:keepLines/>
              <w:jc w:val="left"/>
              <w:rPr>
                <w:rFonts w:eastAsia="SimSun"/>
              </w:rPr>
            </w:pPr>
            <w:r w:rsidRPr="00164DD2">
              <w:rPr>
                <w:rFonts w:eastAsia="SimSun"/>
              </w:rPr>
              <w:t>Gain maximal de l'antenne du satellite du service</w:t>
            </w:r>
            <w:r w:rsidRPr="00164DD2">
              <w:t xml:space="preserve"> de recherche spatiale</w:t>
            </w:r>
            <w:r w:rsidRPr="00164DD2">
              <w:rPr>
                <w:rFonts w:eastAsia="SimSun"/>
              </w:rPr>
              <w:t xml:space="preserve"> (dBi)</w:t>
            </w:r>
          </w:p>
        </w:tc>
        <w:tc>
          <w:tcPr>
            <w:tcW w:w="2327" w:type="dxa"/>
            <w:gridSpan w:val="2"/>
            <w:tcBorders>
              <w:top w:val="single" w:sz="2" w:space="0" w:color="auto"/>
              <w:left w:val="single" w:sz="2" w:space="0" w:color="auto"/>
              <w:bottom w:val="single" w:sz="2" w:space="0" w:color="auto"/>
              <w:right w:val="single" w:sz="2" w:space="0" w:color="auto"/>
            </w:tcBorders>
            <w:vAlign w:val="center"/>
          </w:tcPr>
          <w:p w:rsidR="00EA7683" w:rsidRDefault="00EA7683" w:rsidP="00164DD2">
            <w:pPr>
              <w:pStyle w:val="Tabletext"/>
              <w:keepNext/>
              <w:keepLines/>
              <w:jc w:val="center"/>
              <w:rPr>
                <w:rFonts w:eastAsia="SimSun"/>
                <w:lang w:eastAsia="zh-CN"/>
              </w:rPr>
            </w:pPr>
            <w:r>
              <w:rPr>
                <w:rFonts w:eastAsia="SimSun"/>
                <w:lang w:eastAsia="zh-CN"/>
              </w:rPr>
              <w:t>46,2</w:t>
            </w:r>
          </w:p>
        </w:tc>
      </w:tr>
      <w:tr w:rsidR="00EA7683" w:rsidTr="005E5CA1">
        <w:trPr>
          <w:trHeight w:val="254"/>
          <w:jc w:val="center"/>
        </w:trPr>
        <w:tc>
          <w:tcPr>
            <w:tcW w:w="5794" w:type="dxa"/>
            <w:tcBorders>
              <w:top w:val="single" w:sz="2" w:space="0" w:color="auto"/>
              <w:left w:val="single" w:sz="2" w:space="0" w:color="auto"/>
              <w:bottom w:val="single" w:sz="2" w:space="0" w:color="auto"/>
              <w:right w:val="single" w:sz="2" w:space="0" w:color="auto"/>
            </w:tcBorders>
            <w:vAlign w:val="center"/>
          </w:tcPr>
          <w:p w:rsidR="00EA7683" w:rsidRPr="00164DD2" w:rsidRDefault="00EA7683" w:rsidP="00164DD2">
            <w:pPr>
              <w:pStyle w:val="Tabletext"/>
              <w:jc w:val="left"/>
              <w:rPr>
                <w:rFonts w:eastAsia="SimSun"/>
              </w:rPr>
            </w:pPr>
            <w:r w:rsidRPr="00164DD2">
              <w:rPr>
                <w:rFonts w:eastAsia="SimSun"/>
              </w:rPr>
              <w:t>Diamètre de l'antenne de la station terrienne du service</w:t>
            </w:r>
            <w:r w:rsidRPr="00164DD2">
              <w:t xml:space="preserve"> de recherche spatiale</w:t>
            </w:r>
            <w:r w:rsidRPr="00164DD2">
              <w:rPr>
                <w:rFonts w:eastAsia="SimSun"/>
              </w:rPr>
              <w:t xml:space="preserve"> (m)</w:t>
            </w:r>
          </w:p>
        </w:tc>
        <w:tc>
          <w:tcPr>
            <w:tcW w:w="2327" w:type="dxa"/>
            <w:gridSpan w:val="2"/>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rFonts w:eastAsia="SimSun"/>
                <w:lang w:eastAsia="zh-CN"/>
              </w:rPr>
            </w:pPr>
            <w:r>
              <w:rPr>
                <w:rFonts w:eastAsia="SimSun"/>
                <w:lang w:eastAsia="zh-CN"/>
              </w:rPr>
              <w:t>34,0</w:t>
            </w:r>
          </w:p>
        </w:tc>
      </w:tr>
      <w:tr w:rsidR="00EA7683" w:rsidTr="005E5CA1">
        <w:trPr>
          <w:trHeight w:val="254"/>
          <w:jc w:val="center"/>
        </w:trPr>
        <w:tc>
          <w:tcPr>
            <w:tcW w:w="5794" w:type="dxa"/>
            <w:tcBorders>
              <w:top w:val="single" w:sz="2" w:space="0" w:color="auto"/>
              <w:left w:val="single" w:sz="2" w:space="0" w:color="auto"/>
              <w:bottom w:val="single" w:sz="2" w:space="0" w:color="auto"/>
              <w:right w:val="single" w:sz="2" w:space="0" w:color="auto"/>
            </w:tcBorders>
            <w:vAlign w:val="center"/>
          </w:tcPr>
          <w:p w:rsidR="00EA7683" w:rsidRPr="00164DD2" w:rsidRDefault="00EA7683" w:rsidP="00164DD2">
            <w:pPr>
              <w:pStyle w:val="Tabletext"/>
              <w:jc w:val="left"/>
              <w:rPr>
                <w:rFonts w:eastAsia="SimSun"/>
              </w:rPr>
            </w:pPr>
            <w:r w:rsidRPr="00164DD2">
              <w:rPr>
                <w:rFonts w:eastAsia="SimSun"/>
              </w:rPr>
              <w:t>Température de bruit du système du service de recherche spatiale (K)</w:t>
            </w:r>
          </w:p>
        </w:tc>
        <w:tc>
          <w:tcPr>
            <w:tcW w:w="2327" w:type="dxa"/>
            <w:gridSpan w:val="2"/>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rFonts w:eastAsia="SimSun"/>
                <w:lang w:eastAsia="zh-CN"/>
              </w:rPr>
            </w:pPr>
            <w:r>
              <w:rPr>
                <w:rFonts w:eastAsia="SimSun"/>
                <w:lang w:eastAsia="zh-CN"/>
              </w:rPr>
              <w:t>200</w:t>
            </w:r>
          </w:p>
        </w:tc>
      </w:tr>
      <w:tr w:rsidR="00EA7683" w:rsidTr="005E5CA1">
        <w:trPr>
          <w:trHeight w:val="254"/>
          <w:jc w:val="center"/>
        </w:trPr>
        <w:tc>
          <w:tcPr>
            <w:tcW w:w="5794" w:type="dxa"/>
            <w:tcBorders>
              <w:top w:val="single" w:sz="2" w:space="0" w:color="auto"/>
              <w:left w:val="single" w:sz="2" w:space="0" w:color="auto"/>
              <w:bottom w:val="single" w:sz="2" w:space="0" w:color="auto"/>
              <w:right w:val="single" w:sz="2" w:space="0" w:color="auto"/>
            </w:tcBorders>
            <w:vAlign w:val="center"/>
          </w:tcPr>
          <w:p w:rsidR="00EA7683" w:rsidRPr="00164DD2" w:rsidRDefault="00EA7683" w:rsidP="00164DD2">
            <w:pPr>
              <w:pStyle w:val="Tabletext"/>
              <w:jc w:val="left"/>
              <w:rPr>
                <w:rFonts w:eastAsia="SimSun"/>
              </w:rPr>
            </w:pPr>
            <w:r w:rsidRPr="00164DD2">
              <w:rPr>
                <w:rFonts w:eastAsia="SimSun"/>
              </w:rPr>
              <w:t>Affaiblissements techniques du récepteur et du pointage (dB)</w:t>
            </w:r>
          </w:p>
        </w:tc>
        <w:tc>
          <w:tcPr>
            <w:tcW w:w="2327" w:type="dxa"/>
            <w:gridSpan w:val="2"/>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rFonts w:eastAsia="SimSun"/>
                <w:lang w:eastAsia="zh-CN"/>
              </w:rPr>
            </w:pPr>
            <w:r>
              <w:rPr>
                <w:rFonts w:eastAsia="SimSun"/>
                <w:lang w:eastAsia="zh-CN"/>
              </w:rPr>
              <w:t>3,0</w:t>
            </w:r>
          </w:p>
        </w:tc>
      </w:tr>
      <w:tr w:rsidR="00EA7683" w:rsidTr="005E5CA1">
        <w:trPr>
          <w:trHeight w:val="254"/>
          <w:jc w:val="center"/>
        </w:trPr>
        <w:tc>
          <w:tcPr>
            <w:tcW w:w="5794" w:type="dxa"/>
            <w:tcBorders>
              <w:top w:val="single" w:sz="2" w:space="0" w:color="auto"/>
              <w:left w:val="single" w:sz="2" w:space="0" w:color="auto"/>
              <w:bottom w:val="single" w:sz="2" w:space="0" w:color="auto"/>
              <w:right w:val="single" w:sz="2" w:space="0" w:color="auto"/>
            </w:tcBorders>
            <w:vAlign w:val="center"/>
          </w:tcPr>
          <w:p w:rsidR="00EA7683" w:rsidRPr="00164DD2" w:rsidRDefault="00EA7683" w:rsidP="00164DD2">
            <w:pPr>
              <w:pStyle w:val="Tabletext"/>
              <w:jc w:val="left"/>
              <w:rPr>
                <w:rFonts w:eastAsia="SimSun"/>
              </w:rPr>
            </w:pPr>
            <w:r w:rsidRPr="00164DD2">
              <w:rPr>
                <w:rFonts w:eastAsia="SimSun"/>
                <w:i/>
                <w:iCs/>
              </w:rPr>
              <w:t>E</w:t>
            </w:r>
            <w:r w:rsidRPr="00164DD2">
              <w:rPr>
                <w:rFonts w:eastAsia="SimSun"/>
                <w:i/>
                <w:iCs/>
                <w:vertAlign w:val="subscript"/>
              </w:rPr>
              <w:t>s</w:t>
            </w:r>
            <w:r w:rsidRPr="00164DD2">
              <w:rPr>
                <w:rFonts w:eastAsia="SimSun"/>
              </w:rPr>
              <w:t>/</w:t>
            </w:r>
            <w:r w:rsidRPr="00164DD2">
              <w:rPr>
                <w:rFonts w:eastAsia="SimSun"/>
                <w:i/>
                <w:iCs/>
              </w:rPr>
              <w:t>N</w:t>
            </w:r>
            <w:r w:rsidRPr="00164DD2">
              <w:rPr>
                <w:rFonts w:eastAsia="SimSun"/>
                <w:i/>
                <w:iCs/>
                <w:vertAlign w:val="subscript"/>
              </w:rPr>
              <w:t>0</w:t>
            </w:r>
            <w:r w:rsidRPr="00164DD2">
              <w:rPr>
                <w:rFonts w:eastAsia="SimSun"/>
              </w:rPr>
              <w:t xml:space="preserve"> requis pour le codage MDP4 avec codage du canal (dB)</w:t>
            </w:r>
          </w:p>
        </w:tc>
        <w:tc>
          <w:tcPr>
            <w:tcW w:w="2327" w:type="dxa"/>
            <w:gridSpan w:val="2"/>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rFonts w:eastAsia="SimSun"/>
                <w:lang w:eastAsia="zh-CN"/>
              </w:rPr>
            </w:pPr>
            <w:r>
              <w:rPr>
                <w:rFonts w:eastAsia="SimSun"/>
                <w:lang w:eastAsia="zh-CN"/>
              </w:rPr>
              <w:t>2,5</w:t>
            </w:r>
          </w:p>
        </w:tc>
      </w:tr>
      <w:tr w:rsidR="00EA7683" w:rsidTr="005E5CA1">
        <w:trPr>
          <w:trHeight w:val="269"/>
          <w:jc w:val="center"/>
        </w:trPr>
        <w:tc>
          <w:tcPr>
            <w:tcW w:w="5794" w:type="dxa"/>
            <w:tcBorders>
              <w:top w:val="single" w:sz="2" w:space="0" w:color="auto"/>
              <w:left w:val="single" w:sz="2" w:space="0" w:color="auto"/>
              <w:bottom w:val="single" w:sz="2" w:space="0" w:color="auto"/>
              <w:right w:val="single" w:sz="2" w:space="0" w:color="auto"/>
            </w:tcBorders>
            <w:vAlign w:val="center"/>
          </w:tcPr>
          <w:p w:rsidR="00EA7683" w:rsidRPr="00164DD2" w:rsidRDefault="00EA7683" w:rsidP="00164DD2">
            <w:pPr>
              <w:pStyle w:val="Tabletext"/>
              <w:jc w:val="left"/>
              <w:rPr>
                <w:rFonts w:eastAsia="SimSun"/>
              </w:rPr>
            </w:pPr>
            <w:r w:rsidRPr="00164DD2">
              <w:rPr>
                <w:rFonts w:eastAsia="SimSun"/>
              </w:rPr>
              <w:t>Marge pour l'affaiblissement atmosphérique (dB)</w:t>
            </w:r>
          </w:p>
        </w:tc>
        <w:tc>
          <w:tcPr>
            <w:tcW w:w="1080"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rFonts w:eastAsia="SimSun"/>
                <w:lang w:eastAsia="zh-CN"/>
              </w:rPr>
            </w:pPr>
            <w:r>
              <w:rPr>
                <w:rFonts w:eastAsia="SimSun"/>
                <w:lang w:eastAsia="zh-CN"/>
              </w:rPr>
              <w:t>20,0</w:t>
            </w:r>
          </w:p>
        </w:tc>
        <w:tc>
          <w:tcPr>
            <w:tcW w:w="1247" w:type="dxa"/>
            <w:tcBorders>
              <w:top w:val="single" w:sz="2" w:space="0" w:color="auto"/>
              <w:left w:val="single" w:sz="2" w:space="0" w:color="auto"/>
              <w:bottom w:val="single" w:sz="2" w:space="0" w:color="auto"/>
              <w:right w:val="single" w:sz="2" w:space="0" w:color="auto"/>
            </w:tcBorders>
            <w:vAlign w:val="center"/>
          </w:tcPr>
          <w:p w:rsidR="00EA7683" w:rsidRDefault="00EA7683" w:rsidP="005E5CA1">
            <w:pPr>
              <w:pStyle w:val="Tabletext"/>
              <w:jc w:val="center"/>
              <w:rPr>
                <w:rFonts w:eastAsia="SimSun"/>
                <w:lang w:eastAsia="zh-CN"/>
              </w:rPr>
            </w:pPr>
            <w:r>
              <w:rPr>
                <w:rFonts w:eastAsia="SimSun"/>
                <w:lang w:eastAsia="zh-CN"/>
              </w:rPr>
              <w:t>13,9</w:t>
            </w:r>
          </w:p>
        </w:tc>
      </w:tr>
    </w:tbl>
    <w:p w:rsidR="00EA7683" w:rsidRDefault="00EA7683" w:rsidP="00EA7683">
      <w:pPr>
        <w:pStyle w:val="Tablefin"/>
      </w:pPr>
    </w:p>
    <w:p w:rsidR="00EA7683" w:rsidRDefault="00EA7683" w:rsidP="00EA7683">
      <w:r>
        <w:t>Pour toutes les évaluations, on a utilisé comme base les critères de protection spécifiés dans la Recommandation UIT</w:t>
      </w:r>
      <w:r>
        <w:noBreakHyphen/>
        <w:t>R SA.609. Cette Recommandation spécifie un niveau de densité de brouillage de −156 dB(W/MHz) à ne pas dépasser pendant plus de 0,1% du temps.</w:t>
      </w:r>
    </w:p>
    <w:p w:rsidR="00EA7683" w:rsidRDefault="00EA7683" w:rsidP="00EA7683">
      <w:pPr>
        <w:pStyle w:val="Heading1"/>
      </w:pPr>
      <w:r>
        <w:lastRenderedPageBreak/>
        <w:t>3</w:t>
      </w:r>
      <w:r>
        <w:tab/>
        <w:t>Caractéristiques prises pour hypothèse pour les systèmes géostationnaires brouilleurs</w:t>
      </w:r>
    </w:p>
    <w:p w:rsidR="00EA7683" w:rsidRDefault="00EA7683" w:rsidP="00490E78">
      <w:pPr>
        <w:keepNext/>
        <w:keepLines/>
      </w:pPr>
      <w:r>
        <w:t>Les caractéristiques pertinentes des bilans des liaisons pour certains systèmes géostationnaires sont indiquées dans le Tableau 3. Le système GSO-1 est représentatif des missions Alpha-Sat avec une largeur de bande de canal de 405 MHz. Ce satellite a été conçu avec une antenne parabolique de 0,7 m. Pour les simulations, une station terrienne située à Madrid a été supposée correspondre au cas le plus défavorable. Le système GSO</w:t>
      </w:r>
      <w:r>
        <w:noBreakHyphen/>
        <w:t>1 est supposé être assez représentatif de plusieurs systèmes géostationnaires prévus pour être déployés dans cette bande. Le système GSO</w:t>
      </w:r>
      <w:r>
        <w:noBreakHyphen/>
        <w:t>2 est un système théorique et pourrait être représentatif de systèmes à faible élévation avec une grande disponibilité pour une station terrienne spécifique. On a supposé que le satellite occupait la position 48° E de l'OSG. L'angle d'élévation vers le centre de l'Espagne est de 20°. Le système GSO</w:t>
      </w:r>
      <w:r>
        <w:noBreakHyphen/>
        <w:t xml:space="preserve">3 peut être représentatif d'un système à forte disponibilité avec plusieurs stations terriennes plus petites à l'intérieur d'une sous-région. Il pourrait par exemple s'agir d'un système émettant en direction de stations d'extraction de données directe. Le système GSO 3 est supposé être positionné à 14° E et desservir un certain nombre de petites stations d'utilisateur en Espagne. Même avec une antenne parabolique embarquée de 1,4 m, le faisceau principal couvre une région assez vaste comme le montre la </w:t>
      </w:r>
      <w:r w:rsidR="00164DD2">
        <w:t>Fig.</w:t>
      </w:r>
      <w:r>
        <w:t> 2. On peut trouver des situations analogues avec d'autres emplacements de stations terriennes sensibles du service de recherche spatiale.</w:t>
      </w:r>
    </w:p>
    <w:p w:rsidR="00EA7683" w:rsidRDefault="00EA7683" w:rsidP="00EA7683">
      <w:pPr>
        <w:pStyle w:val="TableNo"/>
      </w:pPr>
      <w:r>
        <w:t>TABLEAU  3</w:t>
      </w:r>
    </w:p>
    <w:p w:rsidR="00EA7683" w:rsidRDefault="00EA7683" w:rsidP="00EA7683">
      <w:pPr>
        <w:pStyle w:val="Tabletitle"/>
      </w:pPr>
      <w:r>
        <w:t xml:space="preserve">Paramètres clés de systèmes à satellites géostationnaires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5" w:type="dxa"/>
          <w:left w:w="70" w:type="dxa"/>
          <w:right w:w="113" w:type="dxa"/>
        </w:tblCellMar>
        <w:tblLook w:val="0000"/>
      </w:tblPr>
      <w:tblGrid>
        <w:gridCol w:w="5422"/>
        <w:gridCol w:w="992"/>
        <w:gridCol w:w="992"/>
        <w:gridCol w:w="993"/>
      </w:tblGrid>
      <w:tr w:rsidR="00EA7683" w:rsidTr="005E5CA1">
        <w:trPr>
          <w:jc w:val="center"/>
        </w:trPr>
        <w:tc>
          <w:tcPr>
            <w:tcW w:w="5422"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head"/>
              <w:rPr>
                <w:rFonts w:eastAsia="SimSun"/>
              </w:rPr>
            </w:pPr>
            <w:r>
              <w:rPr>
                <w:rFonts w:eastAsia="SimSun"/>
              </w:rPr>
              <w:t>Paramètre</w:t>
            </w:r>
          </w:p>
        </w:tc>
        <w:tc>
          <w:tcPr>
            <w:tcW w:w="992"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head"/>
              <w:rPr>
                <w:rFonts w:eastAsia="SimSun"/>
              </w:rPr>
            </w:pPr>
            <w:r>
              <w:rPr>
                <w:rFonts w:eastAsia="SimSun"/>
              </w:rPr>
              <w:t>GSO-1</w:t>
            </w:r>
          </w:p>
        </w:tc>
        <w:tc>
          <w:tcPr>
            <w:tcW w:w="992"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head"/>
              <w:rPr>
                <w:rFonts w:eastAsia="SimSun"/>
              </w:rPr>
            </w:pPr>
            <w:r>
              <w:rPr>
                <w:rFonts w:eastAsia="SimSun"/>
              </w:rPr>
              <w:t>GSO-2</w:t>
            </w:r>
          </w:p>
        </w:tc>
        <w:tc>
          <w:tcPr>
            <w:tcW w:w="993"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head"/>
              <w:rPr>
                <w:rFonts w:eastAsia="SimSun"/>
              </w:rPr>
            </w:pPr>
            <w:r>
              <w:rPr>
                <w:rFonts w:eastAsia="SimSun"/>
              </w:rPr>
              <w:t>GSO-3</w:t>
            </w:r>
          </w:p>
        </w:tc>
      </w:tr>
      <w:tr w:rsidR="00EA7683" w:rsidTr="005E5CA1">
        <w:trPr>
          <w:jc w:val="center"/>
        </w:trPr>
        <w:tc>
          <w:tcPr>
            <w:tcW w:w="5422"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rPr>
                <w:rFonts w:eastAsia="SimSun"/>
                <w:lang w:eastAsia="zh-CN"/>
              </w:rPr>
            </w:pPr>
            <w:r>
              <w:rPr>
                <w:rFonts w:eastAsia="SimSun"/>
                <w:lang w:eastAsia="zh-CN"/>
              </w:rPr>
              <w:t>Puissance d'émission (dBW)</w:t>
            </w:r>
          </w:p>
        </w:tc>
        <w:tc>
          <w:tcPr>
            <w:tcW w:w="992"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jc w:val="center"/>
              <w:rPr>
                <w:rFonts w:eastAsia="SimSun"/>
                <w:lang w:eastAsia="zh-CN"/>
              </w:rPr>
            </w:pPr>
            <w:r>
              <w:rPr>
                <w:rFonts w:eastAsia="SimSun"/>
                <w:lang w:eastAsia="zh-CN"/>
              </w:rPr>
              <w:t>14,0</w:t>
            </w:r>
          </w:p>
        </w:tc>
        <w:tc>
          <w:tcPr>
            <w:tcW w:w="992"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jc w:val="center"/>
              <w:rPr>
                <w:rFonts w:eastAsia="SimSun"/>
                <w:lang w:eastAsia="zh-CN"/>
              </w:rPr>
            </w:pPr>
            <w:r>
              <w:rPr>
                <w:rFonts w:eastAsia="SimSun"/>
                <w:lang w:eastAsia="zh-CN"/>
              </w:rPr>
              <w:t>20,0</w:t>
            </w:r>
          </w:p>
        </w:tc>
        <w:tc>
          <w:tcPr>
            <w:tcW w:w="993"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jc w:val="center"/>
              <w:rPr>
                <w:rFonts w:eastAsia="SimSun"/>
                <w:lang w:eastAsia="zh-CN"/>
              </w:rPr>
            </w:pPr>
            <w:r>
              <w:rPr>
                <w:rFonts w:eastAsia="SimSun"/>
                <w:lang w:eastAsia="zh-CN"/>
              </w:rPr>
              <w:t>23,0</w:t>
            </w:r>
          </w:p>
        </w:tc>
      </w:tr>
      <w:tr w:rsidR="00EA7683" w:rsidTr="005E5CA1">
        <w:trPr>
          <w:jc w:val="center"/>
        </w:trPr>
        <w:tc>
          <w:tcPr>
            <w:tcW w:w="5422"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rPr>
                <w:rFonts w:eastAsia="SimSun"/>
                <w:lang w:eastAsia="zh-CN"/>
              </w:rPr>
            </w:pPr>
            <w:r>
              <w:rPr>
                <w:rFonts w:eastAsia="SimSun"/>
                <w:lang w:eastAsia="zh-CN"/>
              </w:rPr>
              <w:t>Gain de l'antenne de satellite (dBi)</w:t>
            </w:r>
          </w:p>
        </w:tc>
        <w:tc>
          <w:tcPr>
            <w:tcW w:w="992"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jc w:val="center"/>
              <w:rPr>
                <w:rFonts w:eastAsia="SimSun"/>
                <w:lang w:eastAsia="zh-CN"/>
              </w:rPr>
            </w:pPr>
            <w:r>
              <w:rPr>
                <w:rFonts w:eastAsia="SimSun"/>
                <w:lang w:eastAsia="zh-CN"/>
              </w:rPr>
              <w:t>43,1</w:t>
            </w:r>
          </w:p>
        </w:tc>
        <w:tc>
          <w:tcPr>
            <w:tcW w:w="992"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jc w:val="center"/>
              <w:rPr>
                <w:rFonts w:eastAsia="SimSun"/>
                <w:lang w:eastAsia="zh-CN"/>
              </w:rPr>
            </w:pPr>
            <w:r>
              <w:rPr>
                <w:rFonts w:eastAsia="SimSun"/>
                <w:lang w:eastAsia="zh-CN"/>
              </w:rPr>
              <w:t>46,2</w:t>
            </w:r>
          </w:p>
        </w:tc>
        <w:tc>
          <w:tcPr>
            <w:tcW w:w="993"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jc w:val="center"/>
              <w:rPr>
                <w:rFonts w:eastAsia="SimSun"/>
                <w:lang w:eastAsia="zh-CN"/>
              </w:rPr>
            </w:pPr>
            <w:r>
              <w:rPr>
                <w:rFonts w:eastAsia="SimSun"/>
                <w:lang w:eastAsia="zh-CN"/>
              </w:rPr>
              <w:t>49,7</w:t>
            </w:r>
          </w:p>
        </w:tc>
      </w:tr>
      <w:tr w:rsidR="00EA7683" w:rsidTr="005E5CA1">
        <w:trPr>
          <w:jc w:val="center"/>
        </w:trPr>
        <w:tc>
          <w:tcPr>
            <w:tcW w:w="5422"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rPr>
                <w:rFonts w:eastAsia="SimSun"/>
                <w:lang w:eastAsia="zh-CN"/>
              </w:rPr>
            </w:pPr>
            <w:r>
              <w:rPr>
                <w:rFonts w:eastAsia="SimSun"/>
                <w:lang w:eastAsia="zh-CN"/>
              </w:rPr>
              <w:t>P.i.r.e. du satellite (dBW)</w:t>
            </w:r>
          </w:p>
        </w:tc>
        <w:tc>
          <w:tcPr>
            <w:tcW w:w="992"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jc w:val="center"/>
              <w:rPr>
                <w:rFonts w:eastAsia="SimSun"/>
                <w:lang w:eastAsia="zh-CN"/>
              </w:rPr>
            </w:pPr>
            <w:r>
              <w:rPr>
                <w:rFonts w:eastAsia="SimSun"/>
                <w:lang w:eastAsia="zh-CN"/>
              </w:rPr>
              <w:t>57,3</w:t>
            </w:r>
          </w:p>
        </w:tc>
        <w:tc>
          <w:tcPr>
            <w:tcW w:w="992"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jc w:val="center"/>
              <w:rPr>
                <w:rFonts w:eastAsia="SimSun"/>
                <w:lang w:eastAsia="zh-CN"/>
              </w:rPr>
            </w:pPr>
            <w:r>
              <w:rPr>
                <w:rFonts w:eastAsia="SimSun"/>
                <w:lang w:eastAsia="zh-CN"/>
              </w:rPr>
              <w:t>66,2</w:t>
            </w:r>
          </w:p>
        </w:tc>
        <w:tc>
          <w:tcPr>
            <w:tcW w:w="993"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jc w:val="center"/>
              <w:rPr>
                <w:rFonts w:eastAsia="SimSun"/>
                <w:lang w:eastAsia="zh-CN"/>
              </w:rPr>
            </w:pPr>
            <w:r>
              <w:rPr>
                <w:rFonts w:eastAsia="SimSun"/>
                <w:lang w:eastAsia="zh-CN"/>
              </w:rPr>
              <w:t>72,7</w:t>
            </w:r>
          </w:p>
        </w:tc>
      </w:tr>
      <w:tr w:rsidR="00EA7683" w:rsidTr="005E5CA1">
        <w:trPr>
          <w:jc w:val="center"/>
        </w:trPr>
        <w:tc>
          <w:tcPr>
            <w:tcW w:w="5422"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rPr>
                <w:rFonts w:eastAsia="SimSun"/>
                <w:lang w:eastAsia="zh-CN"/>
              </w:rPr>
            </w:pPr>
            <w:r>
              <w:rPr>
                <w:rFonts w:eastAsia="SimSun"/>
                <w:lang w:eastAsia="zh-CN"/>
              </w:rPr>
              <w:t>Largeur de bande du lobe principal pour 600 Mbit/s et la MDP4 (MHz)</w:t>
            </w:r>
          </w:p>
        </w:tc>
        <w:tc>
          <w:tcPr>
            <w:tcW w:w="2977" w:type="dxa"/>
            <w:gridSpan w:val="3"/>
            <w:tcBorders>
              <w:top w:val="single" w:sz="2" w:space="0" w:color="auto"/>
              <w:left w:val="single" w:sz="2" w:space="0" w:color="auto"/>
              <w:bottom w:val="single" w:sz="2" w:space="0" w:color="auto"/>
              <w:right w:val="single" w:sz="2" w:space="0" w:color="auto"/>
            </w:tcBorders>
          </w:tcPr>
          <w:p w:rsidR="00EA7683" w:rsidRDefault="00EA7683" w:rsidP="005E5CA1">
            <w:pPr>
              <w:pStyle w:val="Tabletext"/>
              <w:jc w:val="center"/>
              <w:rPr>
                <w:rFonts w:eastAsia="SimSun"/>
                <w:lang w:eastAsia="zh-CN"/>
              </w:rPr>
            </w:pPr>
            <w:r>
              <w:rPr>
                <w:rFonts w:eastAsia="SimSun"/>
                <w:lang w:eastAsia="zh-CN"/>
              </w:rPr>
              <w:t>600</w:t>
            </w:r>
          </w:p>
        </w:tc>
      </w:tr>
      <w:tr w:rsidR="00EA7683" w:rsidTr="005E5CA1">
        <w:trPr>
          <w:jc w:val="center"/>
        </w:trPr>
        <w:tc>
          <w:tcPr>
            <w:tcW w:w="5422"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rPr>
                <w:rFonts w:eastAsia="SimSun"/>
                <w:lang w:eastAsia="zh-CN"/>
              </w:rPr>
            </w:pPr>
            <w:r>
              <w:rPr>
                <w:rFonts w:eastAsia="SimSun"/>
                <w:lang w:eastAsia="zh-CN"/>
              </w:rPr>
              <w:t>Puissance surfacique maximale au site de réception (dB(W/(m</w:t>
            </w:r>
            <w:r>
              <w:rPr>
                <w:rFonts w:eastAsia="SimSun"/>
                <w:vertAlign w:val="superscript"/>
                <w:lang w:eastAsia="zh-CN"/>
              </w:rPr>
              <w:t>2</w:t>
            </w:r>
            <w:r>
              <w:rPr>
                <w:rFonts w:eastAsia="SimSun"/>
                <w:lang w:eastAsia="zh-CN"/>
              </w:rPr>
              <w:t xml:space="preserve"> </w:t>
            </w:r>
            <w:r>
              <w:rPr>
                <w:rFonts w:eastAsia="SimSun"/>
                <w:vertAlign w:val="superscript"/>
                <w:lang w:eastAsia="zh-CN"/>
              </w:rPr>
              <w:t>.</w:t>
            </w:r>
            <w:r>
              <w:rPr>
                <w:rFonts w:eastAsia="SimSun"/>
                <w:lang w:eastAsia="zh-CN"/>
              </w:rPr>
              <w:t xml:space="preserve"> MHz)))</w:t>
            </w:r>
          </w:p>
        </w:tc>
        <w:tc>
          <w:tcPr>
            <w:tcW w:w="992"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jc w:val="center"/>
              <w:rPr>
                <w:rFonts w:eastAsia="SimSun"/>
                <w:lang w:eastAsia="zh-CN"/>
              </w:rPr>
            </w:pPr>
            <w:r>
              <w:rPr>
                <w:rFonts w:eastAsia="SimSun"/>
                <w:lang w:eastAsia="zh-CN"/>
              </w:rPr>
              <w:t>−130,2</w:t>
            </w:r>
          </w:p>
        </w:tc>
        <w:tc>
          <w:tcPr>
            <w:tcW w:w="992"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jc w:val="center"/>
              <w:rPr>
                <w:rFonts w:eastAsia="SimSun"/>
                <w:lang w:eastAsia="zh-CN"/>
              </w:rPr>
            </w:pPr>
            <w:r>
              <w:rPr>
                <w:rFonts w:eastAsia="SimSun"/>
                <w:lang w:eastAsia="zh-CN"/>
              </w:rPr>
              <w:t>−121,5</w:t>
            </w:r>
          </w:p>
        </w:tc>
        <w:tc>
          <w:tcPr>
            <w:tcW w:w="993"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jc w:val="center"/>
              <w:rPr>
                <w:rFonts w:eastAsia="SimSun"/>
                <w:lang w:eastAsia="zh-CN"/>
              </w:rPr>
            </w:pPr>
            <w:r>
              <w:rPr>
                <w:rFonts w:eastAsia="SimSun"/>
                <w:lang w:eastAsia="zh-CN"/>
              </w:rPr>
              <w:t>−114,6</w:t>
            </w:r>
          </w:p>
        </w:tc>
      </w:tr>
      <w:tr w:rsidR="00EA7683" w:rsidTr="005E5CA1">
        <w:trPr>
          <w:jc w:val="center"/>
        </w:trPr>
        <w:tc>
          <w:tcPr>
            <w:tcW w:w="5422"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rPr>
                <w:rFonts w:eastAsia="SimSun"/>
                <w:lang w:eastAsia="zh-CN"/>
              </w:rPr>
            </w:pPr>
            <w:r>
              <w:rPr>
                <w:rFonts w:eastAsia="SimSun"/>
                <w:lang w:eastAsia="zh-CN"/>
              </w:rPr>
              <w:t>Disponibilité de liaison (%)</w:t>
            </w:r>
          </w:p>
        </w:tc>
        <w:tc>
          <w:tcPr>
            <w:tcW w:w="992"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jc w:val="center"/>
            </w:pPr>
            <w:r>
              <w:t>99,90</w:t>
            </w:r>
          </w:p>
        </w:tc>
        <w:tc>
          <w:tcPr>
            <w:tcW w:w="1985" w:type="dxa"/>
            <w:gridSpan w:val="2"/>
            <w:tcBorders>
              <w:top w:val="single" w:sz="2" w:space="0" w:color="auto"/>
              <w:left w:val="single" w:sz="2" w:space="0" w:color="auto"/>
              <w:bottom w:val="single" w:sz="2" w:space="0" w:color="auto"/>
              <w:right w:val="single" w:sz="2" w:space="0" w:color="auto"/>
            </w:tcBorders>
          </w:tcPr>
          <w:p w:rsidR="00EA7683" w:rsidRDefault="00EA7683" w:rsidP="005E5CA1">
            <w:pPr>
              <w:pStyle w:val="Tabletext"/>
              <w:jc w:val="center"/>
            </w:pPr>
            <w:r>
              <w:t>99,98</w:t>
            </w:r>
          </w:p>
        </w:tc>
      </w:tr>
      <w:tr w:rsidR="00EA7683" w:rsidTr="005E5CA1">
        <w:trPr>
          <w:jc w:val="center"/>
        </w:trPr>
        <w:tc>
          <w:tcPr>
            <w:tcW w:w="5422"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rPr>
                <w:rFonts w:eastAsia="SimSun"/>
                <w:lang w:eastAsia="zh-CN"/>
              </w:rPr>
            </w:pPr>
            <w:r>
              <w:rPr>
                <w:rFonts w:eastAsia="SimSun"/>
                <w:lang w:eastAsia="zh-CN"/>
              </w:rPr>
              <w:t>Affaiblissement du signal pour la disponibilité prise pour hypothèse (dB)</w:t>
            </w:r>
          </w:p>
        </w:tc>
        <w:tc>
          <w:tcPr>
            <w:tcW w:w="992"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jc w:val="center"/>
              <w:rPr>
                <w:rFonts w:eastAsia="SimSun"/>
                <w:lang w:eastAsia="zh-CN"/>
              </w:rPr>
            </w:pPr>
            <w:r>
              <w:rPr>
                <w:rFonts w:eastAsia="SimSun"/>
                <w:lang w:eastAsia="zh-CN"/>
              </w:rPr>
              <w:t>8,4</w:t>
            </w:r>
          </w:p>
        </w:tc>
        <w:tc>
          <w:tcPr>
            <w:tcW w:w="992"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jc w:val="center"/>
              <w:rPr>
                <w:rFonts w:eastAsia="SimSun"/>
                <w:lang w:eastAsia="zh-CN"/>
              </w:rPr>
            </w:pPr>
            <w:r>
              <w:rPr>
                <w:rFonts w:eastAsia="SimSun"/>
                <w:lang w:eastAsia="zh-CN"/>
              </w:rPr>
              <w:t>21,5</w:t>
            </w:r>
          </w:p>
        </w:tc>
        <w:tc>
          <w:tcPr>
            <w:tcW w:w="993"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jc w:val="center"/>
              <w:rPr>
                <w:rFonts w:eastAsia="SimSun"/>
                <w:lang w:eastAsia="zh-CN"/>
              </w:rPr>
            </w:pPr>
            <w:r>
              <w:rPr>
                <w:rFonts w:eastAsia="SimSun"/>
                <w:lang w:eastAsia="zh-CN"/>
              </w:rPr>
              <w:t>15,0</w:t>
            </w:r>
          </w:p>
        </w:tc>
      </w:tr>
      <w:tr w:rsidR="00EA7683" w:rsidTr="005E5CA1">
        <w:trPr>
          <w:jc w:val="center"/>
        </w:trPr>
        <w:tc>
          <w:tcPr>
            <w:tcW w:w="5422"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rPr>
                <w:rFonts w:eastAsia="SimSun"/>
                <w:lang w:eastAsia="zh-CN"/>
              </w:rPr>
            </w:pPr>
            <w:r>
              <w:rPr>
                <w:rFonts w:eastAsia="SimSun"/>
                <w:lang w:eastAsia="zh-CN"/>
              </w:rPr>
              <w:t>Diamètre de l'antenne de la station terrienne (m)</w:t>
            </w:r>
          </w:p>
        </w:tc>
        <w:tc>
          <w:tcPr>
            <w:tcW w:w="992"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jc w:val="center"/>
              <w:rPr>
                <w:rFonts w:eastAsia="SimSun"/>
                <w:lang w:eastAsia="zh-CN"/>
              </w:rPr>
            </w:pPr>
            <w:r>
              <w:rPr>
                <w:rFonts w:eastAsia="SimSun"/>
                <w:lang w:eastAsia="zh-CN"/>
              </w:rPr>
              <w:t>7,3</w:t>
            </w:r>
          </w:p>
        </w:tc>
        <w:tc>
          <w:tcPr>
            <w:tcW w:w="992"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jc w:val="center"/>
              <w:rPr>
                <w:rFonts w:eastAsia="SimSun"/>
                <w:lang w:eastAsia="zh-CN"/>
              </w:rPr>
            </w:pPr>
            <w:r>
              <w:rPr>
                <w:rFonts w:eastAsia="SimSun"/>
                <w:lang w:eastAsia="zh-CN"/>
              </w:rPr>
              <w:t>10,0</w:t>
            </w:r>
          </w:p>
        </w:tc>
        <w:tc>
          <w:tcPr>
            <w:tcW w:w="993" w:type="dxa"/>
            <w:tcBorders>
              <w:top w:val="single" w:sz="2" w:space="0" w:color="auto"/>
              <w:left w:val="single" w:sz="2" w:space="0" w:color="auto"/>
              <w:bottom w:val="single" w:sz="2" w:space="0" w:color="auto"/>
              <w:right w:val="single" w:sz="2" w:space="0" w:color="auto"/>
            </w:tcBorders>
          </w:tcPr>
          <w:p w:rsidR="00EA7683" w:rsidRDefault="00EA7683" w:rsidP="005E5CA1">
            <w:pPr>
              <w:pStyle w:val="Tabletext"/>
              <w:jc w:val="center"/>
              <w:rPr>
                <w:rFonts w:eastAsia="SimSun"/>
                <w:lang w:eastAsia="zh-CN"/>
              </w:rPr>
            </w:pPr>
            <w:r>
              <w:rPr>
                <w:rFonts w:eastAsia="SimSun"/>
                <w:lang w:eastAsia="zh-CN"/>
              </w:rPr>
              <w:t>2,0</w:t>
            </w:r>
          </w:p>
        </w:tc>
      </w:tr>
    </w:tbl>
    <w:p w:rsidR="00164DD2" w:rsidRDefault="00164DD2" w:rsidP="00164DD2">
      <w:pPr>
        <w:pStyle w:val="Tablefin"/>
      </w:pPr>
    </w:p>
    <w:p w:rsidR="00EA7683" w:rsidRDefault="00EA7683" w:rsidP="00EA7683">
      <w:pPr>
        <w:pStyle w:val="FigureNo"/>
      </w:pPr>
      <w:r>
        <w:object w:dxaOrig="6972" w:dyaOrig="5820">
          <v:shape id="_x0000_i1026" type="#_x0000_t75" style="width:348.8pt;height:290.8pt" o:ole="">
            <v:imagedata r:id="rId15" o:title=""/>
          </v:shape>
          <o:OLEObject Type="Embed" ProgID="CorelDRAW.Graphic.14" ShapeID="_x0000_i1026" DrawAspect="Content" ObjectID="_1345027392" r:id="rId16"/>
        </w:object>
      </w:r>
    </w:p>
    <w:p w:rsidR="00EA7683" w:rsidRDefault="00EA7683" w:rsidP="00EA7683">
      <w:pPr>
        <w:pStyle w:val="Heading1"/>
      </w:pPr>
      <w:r>
        <w:t>4</w:t>
      </w:r>
      <w:r>
        <w:tab/>
        <w:t>Evaluation des brouillages causés aux missions du service de recherche spatiale</w:t>
      </w:r>
    </w:p>
    <w:p w:rsidR="00EA7683" w:rsidRDefault="00EA7683" w:rsidP="00EA7683">
      <w:r>
        <w:t xml:space="preserve">Une approche fondée sur un critère </w:t>
      </w:r>
      <w:r>
        <w:rPr>
          <w:i/>
          <w:iCs/>
        </w:rPr>
        <w:t>I</w:t>
      </w:r>
      <w:r>
        <w:t>/</w:t>
      </w:r>
      <w:r>
        <w:rPr>
          <w:i/>
          <w:iCs/>
        </w:rPr>
        <w:t>N</w:t>
      </w:r>
      <w:r>
        <w:t xml:space="preserve"> est en général utilisée pour déterminer si les brouillages entre systèmes se traduiront par des brouillages inacceptables de systèmes du service de recherche spatiale et du SETS existants. </w:t>
      </w:r>
    </w:p>
    <w:p w:rsidR="00EA7683" w:rsidRDefault="00EA7683" w:rsidP="006003E2">
      <w:r>
        <w:t>Sur la base de la Recommandation UIT</w:t>
      </w:r>
      <w:r>
        <w:noBreakHyphen/>
        <w:t>R SA.609, le niveau des brouillages reçus de toutes les sources ne doit pas dépasser le niveau total</w:t>
      </w:r>
      <w:r>
        <w:rPr>
          <w:color w:val="FF0000"/>
        </w:rPr>
        <w:t xml:space="preserve"> </w:t>
      </w:r>
      <w:r>
        <w:t>suivant:</w:t>
      </w:r>
    </w:p>
    <w:p w:rsidR="00EA7683" w:rsidRPr="006003E2" w:rsidRDefault="00EA7683" w:rsidP="00EA7683">
      <w:pPr>
        <w:pStyle w:val="Blanc"/>
        <w:rPr>
          <w:lang w:val="fr-CH"/>
        </w:rPr>
      </w:pPr>
    </w:p>
    <w:p w:rsidR="00EA7683" w:rsidRDefault="00EA7683" w:rsidP="00EA7683">
      <w:pPr>
        <w:pStyle w:val="Equation"/>
      </w:pPr>
      <w:r>
        <w:tab/>
      </w:r>
      <w:r>
        <w:tab/>
      </w:r>
      <w:r>
        <w:rPr>
          <w:i/>
        </w:rPr>
        <w:t>I</w:t>
      </w:r>
      <w:r>
        <w:rPr>
          <w:iCs/>
          <w:vertAlign w:val="subscript"/>
        </w:rPr>
        <w:t>0</w:t>
      </w:r>
      <w:r>
        <w:t>/</w:t>
      </w:r>
      <w:r>
        <w:rPr>
          <w:i/>
        </w:rPr>
        <w:t>N</w:t>
      </w:r>
      <w:r>
        <w:rPr>
          <w:iCs/>
          <w:vertAlign w:val="subscript"/>
        </w:rPr>
        <w:t>0</w:t>
      </w:r>
      <w:r>
        <w:t xml:space="preserve"> à ne pas dépasser −6 dB pendant plus de 0,1% du temps.</w:t>
      </w:r>
    </w:p>
    <w:p w:rsidR="00EA7683" w:rsidRPr="006003E2" w:rsidRDefault="00EA7683" w:rsidP="00EA7683">
      <w:pPr>
        <w:pStyle w:val="Blanc"/>
        <w:rPr>
          <w:lang w:val="fr-CH"/>
        </w:rPr>
      </w:pPr>
    </w:p>
    <w:p w:rsidR="00EA7683" w:rsidRDefault="00EA7683" w:rsidP="00EA7683">
      <w:r>
        <w:t xml:space="preserve">Dans l'analyse on est allé au-delà du critère de base de brouillage </w:t>
      </w:r>
      <w:r>
        <w:rPr>
          <w:i/>
        </w:rPr>
        <w:t>I</w:t>
      </w:r>
      <w:r>
        <w:rPr>
          <w:iCs/>
          <w:vertAlign w:val="subscript"/>
        </w:rPr>
        <w:t>0</w:t>
      </w:r>
      <w:r>
        <w:t>/</w:t>
      </w:r>
      <w:r>
        <w:rPr>
          <w:i/>
        </w:rPr>
        <w:t>N</w:t>
      </w:r>
      <w:r>
        <w:rPr>
          <w:iCs/>
          <w:vertAlign w:val="subscript"/>
        </w:rPr>
        <w:t>0</w:t>
      </w:r>
      <w:r>
        <w:t xml:space="preserve"> et tenu compte des marges pour les liaisons relativement grandes dont disposent de nombreux systèmes du service de recherche spatiale et du SETS. On s'est intéressé à la marge pour la liaison dégradée, tout simplement appelée </w:t>
      </w:r>
      <w:r>
        <w:rPr>
          <w:lang w:val="fr-CH"/>
        </w:rPr>
        <w:t>«</w:t>
      </w:r>
      <w:r>
        <w:t>marge</w:t>
      </w:r>
      <w:r w:rsidRPr="006B7855">
        <w:rPr>
          <w:szCs w:val="24"/>
          <w:lang w:val="fr-CH"/>
        </w:rPr>
        <w:t>»</w:t>
      </w:r>
      <w:r>
        <w:t>:</w:t>
      </w:r>
    </w:p>
    <w:p w:rsidR="00EA7683" w:rsidRPr="006003E2" w:rsidRDefault="00EA7683" w:rsidP="00EA7683">
      <w:pPr>
        <w:pStyle w:val="Blanc"/>
        <w:rPr>
          <w:lang w:val="fr-CH"/>
        </w:rPr>
      </w:pPr>
    </w:p>
    <w:p w:rsidR="00EA7683" w:rsidRDefault="00EA7683" w:rsidP="00EA7683">
      <w:pPr>
        <w:pStyle w:val="Equation"/>
        <w:rPr>
          <w:i/>
          <w:vertAlign w:val="subscript"/>
        </w:rPr>
      </w:pPr>
      <w:r>
        <w:tab/>
      </w:r>
      <w:r>
        <w:tab/>
        <w:t xml:space="preserve">Marge = </w:t>
      </w:r>
      <w:r>
        <w:rPr>
          <w:i/>
          <w:lang w:eastAsia="de-DE"/>
        </w:rPr>
        <w:t>C</w:t>
      </w:r>
      <w:r>
        <w:rPr>
          <w:iCs/>
          <w:vertAlign w:val="subscript"/>
          <w:lang w:eastAsia="de-DE"/>
        </w:rPr>
        <w:t>0</w:t>
      </w:r>
      <w:r>
        <w:rPr>
          <w:lang w:eastAsia="de-DE"/>
        </w:rPr>
        <w:t>/</w:t>
      </w:r>
      <w:r>
        <w:t>(</w:t>
      </w:r>
      <w:r>
        <w:rPr>
          <w:i/>
          <w:lang w:eastAsia="de-DE"/>
        </w:rPr>
        <w:t>N</w:t>
      </w:r>
      <w:r>
        <w:rPr>
          <w:iCs/>
          <w:vertAlign w:val="subscript"/>
          <w:lang w:eastAsia="de-DE"/>
        </w:rPr>
        <w:t>0</w:t>
      </w:r>
      <w:r>
        <w:t xml:space="preserve"> + </w:t>
      </w:r>
      <w:r>
        <w:rPr>
          <w:i/>
        </w:rPr>
        <w:t>I</w:t>
      </w:r>
      <w:r>
        <w:rPr>
          <w:iCs/>
          <w:vertAlign w:val="subscript"/>
        </w:rPr>
        <w:t>0</w:t>
      </w:r>
      <w:r>
        <w:t>)</w:t>
      </w:r>
      <w:r>
        <w:rPr>
          <w:i/>
          <w:vertAlign w:val="subscript"/>
        </w:rPr>
        <w:t>mesurée</w:t>
      </w:r>
      <w:r>
        <w:t xml:space="preserve"> − </w:t>
      </w:r>
      <w:r>
        <w:rPr>
          <w:i/>
          <w:lang w:eastAsia="de-DE"/>
        </w:rPr>
        <w:t>C</w:t>
      </w:r>
      <w:r>
        <w:rPr>
          <w:iCs/>
          <w:vertAlign w:val="subscript"/>
          <w:lang w:eastAsia="de-DE"/>
        </w:rPr>
        <w:t>0</w:t>
      </w:r>
      <w:r>
        <w:rPr>
          <w:lang w:eastAsia="de-DE"/>
        </w:rPr>
        <w:t>/</w:t>
      </w:r>
      <w:r>
        <w:rPr>
          <w:i/>
          <w:lang w:eastAsia="de-DE"/>
        </w:rPr>
        <w:t>N</w:t>
      </w:r>
      <w:r>
        <w:rPr>
          <w:iCs/>
          <w:vertAlign w:val="subscript"/>
          <w:lang w:eastAsia="de-DE"/>
        </w:rPr>
        <w:t>0</w:t>
      </w:r>
      <w:r>
        <w:rPr>
          <w:i/>
          <w:vertAlign w:val="subscript"/>
        </w:rPr>
        <w:t>requis</w:t>
      </w:r>
    </w:p>
    <w:p w:rsidR="00EA7683" w:rsidRPr="006003E2" w:rsidRDefault="00EA7683" w:rsidP="00EA7683">
      <w:pPr>
        <w:pStyle w:val="Blanc"/>
        <w:rPr>
          <w:lang w:val="fr-CH"/>
        </w:rPr>
      </w:pPr>
    </w:p>
    <w:p w:rsidR="00EA7683" w:rsidRDefault="00EA7683" w:rsidP="00EA7683">
      <w:r>
        <w:t xml:space="preserve">Le critère de base pour déterminer si les niveaux des brouillages étaient acceptables, était le suivant: </w:t>
      </w:r>
    </w:p>
    <w:p w:rsidR="00BF0A62" w:rsidRDefault="00EA7683" w:rsidP="00BF0A62">
      <w:pPr>
        <w:pStyle w:val="Equation"/>
      </w:pPr>
      <w:r>
        <w:tab/>
      </w:r>
      <w:r>
        <w:tab/>
        <w:t xml:space="preserve">Marge ne tombant pas en-dessous de </w:t>
      </w:r>
      <w:r w:rsidR="00164DD2" w:rsidRPr="00164DD2">
        <w:sym w:font="Symbol" w:char="F061"/>
      </w:r>
      <w:r>
        <w:t> dB pendant plus de 0,1% du temps</w:t>
      </w:r>
    </w:p>
    <w:p w:rsidR="00BF0A62" w:rsidRDefault="00BF0A62" w:rsidP="00BF0A62">
      <w:pPr>
        <w:pStyle w:val="Equation"/>
      </w:pPr>
      <w:r>
        <w:t xml:space="preserve">où </w:t>
      </w:r>
      <w:r w:rsidRPr="00164DD2">
        <w:sym w:font="Symbol" w:char="F061"/>
      </w:r>
      <w:r>
        <w:t xml:space="preserve"> a une valeur examinée ci-dessous. Une valeur possible de </w:t>
      </w:r>
      <w:r w:rsidRPr="00164DD2">
        <w:sym w:font="Symbol" w:char="F061"/>
      </w:r>
      <w:r>
        <w:t xml:space="preserve"> serait 0, étant donné qu'il correspond au le niveau en-dessous duquel la liaison pourrait ne pas être fermée.</w:t>
      </w:r>
    </w:p>
    <w:p w:rsidR="00EA7683" w:rsidRDefault="00EA7683" w:rsidP="00164DD2">
      <w:r>
        <w:t xml:space="preserve">Toutefois, on n'a pas considéré prudent de permettre à toute la marge d'être entièrement consommée par les brouillages causés par d'autres systèmes non OSG ou OSG, ainsi </w:t>
      </w:r>
      <w:r w:rsidR="00164DD2" w:rsidRPr="00164DD2">
        <w:sym w:font="Symbol" w:char="F061"/>
      </w:r>
      <w:r w:rsidRPr="00164DD2">
        <w:t xml:space="preserve"> </w:t>
      </w:r>
      <w:r>
        <w:t xml:space="preserve">pourrait en fait avoir une valeur supérieure à 0. Il convient de souligner que l'utilisation de ce type de critère de brouillage permet à l'étude de d'aller au-delà de la méthode d'analyse </w:t>
      </w:r>
      <w:r>
        <w:rPr>
          <w:i/>
          <w:iCs/>
        </w:rPr>
        <w:t xml:space="preserve">I/N </w:t>
      </w:r>
      <w:r>
        <w:t>traditionnelle pour analyser la dégradation des marges pour la liaison des systèmes.</w:t>
      </w:r>
    </w:p>
    <w:p w:rsidR="00EA7683" w:rsidRDefault="00EA7683" w:rsidP="00EA7683">
      <w:r>
        <w:lastRenderedPageBreak/>
        <w:t>Certaines hypothèses clés ont été utilisées pour la simulation dans laquelle les sources brouillées et brouilleuses sont supposées fonctionner avec la même fréquence centrale. De plus, la puissance totale du brouilleur est moyennée sur sa largeur de bande, et on ajoute 3 dB pour tenir compte de la densité de crête, en supposant une modulation MDP. Les diagrammes de rayonnement des antennes de satellite à gain élevé sont conformes au diagramme de rayonnement de référence de la Recommandation UIT</w:t>
      </w:r>
      <w:r>
        <w:noBreakHyphen/>
        <w:t>R S 672. Les diagrammes de rayonnement des stations terriennes sont conformes au diagramme de référence de la Recommandation UIT</w:t>
      </w:r>
      <w:r>
        <w:noBreakHyphen/>
        <w:t xml:space="preserve">R F.1245. </w:t>
      </w:r>
    </w:p>
    <w:p w:rsidR="00EA7683" w:rsidRDefault="00EA7683" w:rsidP="00EA7683">
      <w:r>
        <w:t xml:space="preserve">Robledo et Cebreros sont deux emplacements du centre de l'Espagne qui prennent en charge des missions sensibles du service de recherche spatiale, telles les missions lagrangiennes ou, potentiellement, les missions vers la Lune. Compte tenu des longues distances vers L1 et L2, la puissance surfacique des signaux reçus est assez faible, ce qui requiert la présence de grandes stations terriennes (jusqu'à 35 m) avec un rapport </w:t>
      </w:r>
      <w:r>
        <w:rPr>
          <w:i/>
          <w:iCs/>
        </w:rPr>
        <w:t>G/T</w:t>
      </w:r>
      <w:r>
        <w:t xml:space="preserve"> élevé. Dans la mesure où les statistiques de brouillage sont concernées, toutes les stations terriennes à des latitudes analogues montrent des résultats semblables. La seule différence importante sera l'affaiblissement atmosphérique qui diffère dans une large mesure entre les divers sites possibles.</w:t>
      </w:r>
    </w:p>
    <w:p w:rsidR="00BF0A62" w:rsidRDefault="00EA7683" w:rsidP="00164DD2">
      <w:r>
        <w:t>En ce qui concerne les brouillages possibles des missions lagrangiennes du service de recherche spatiale causés par des satellites géostationnaires dont les caractéristiques sont données dans le Tableau 3, certaines études ont conclu qu'une mise en œuvre type telle que AlphaSat respecterait tout juste le critère de la Recommandation UIT</w:t>
      </w:r>
      <w:r>
        <w:noBreakHyphen/>
        <w:t>R SA 609, en supposant que sa station terrienne est implantée dans le centre de l'Espagne. Pour les systèmes GSO 2 et GSO</w:t>
      </w:r>
      <w:r>
        <w:noBreakHyphen/>
        <w:t>3, un dépassement de 8 à 15 dB du critère de la Recommandation UIT</w:t>
      </w:r>
      <w:r>
        <w:noBreakHyphen/>
        <w:t>R SA.609 se produirait même avec une limite de puissance surfacique réduite égale à −115 dB(W/(m</w:t>
      </w:r>
      <w:r>
        <w:rPr>
          <w:vertAlign w:val="superscript"/>
        </w:rPr>
        <w:t>2</w:t>
      </w:r>
      <w:r>
        <w:t xml:space="preserve"> </w:t>
      </w:r>
      <w:r>
        <w:rPr>
          <w:vertAlign w:val="superscript"/>
        </w:rPr>
        <w:t xml:space="preserve">. </w:t>
      </w:r>
      <w:r>
        <w:t>MHz)). Toutefois, la non</w:t>
      </w:r>
      <w:r>
        <w:noBreakHyphen/>
        <w:t>conformité au critère de la Recommandation UIT</w:t>
      </w:r>
      <w:r>
        <w:noBreakHyphen/>
        <w:t>R SA.609 ne signifie pas nécessairement que des brouillages préjudiciables apparaîtront. Les liaisons au voisinage de 26 GHz nécessitent une marge importante pour obtenir une disponibilité de plus de 99 % pour des angles d'élévation qui tomberaient à 5</w:t>
      </w:r>
      <w:r>
        <w:noBreakHyphen/>
        <w:t>10°. Ainsi par exemple, à Robledo et à Cebreros il faut des marges de 10 dB environ pour fermer une liaison pour des angles d'élévation descendant jusqu' à 5° pendant 99% du temps. Pour une exploitation avec des angles d'élévation descendant jusqu'à 10°, il faudra encore disposer d'une marge de 5,4 dB. Cela aboutit à une situation pratique dans laquelle les événements de brouillage dépassant le critère de la Recommandation UIT</w:t>
      </w:r>
      <w:r>
        <w:noBreakHyphen/>
        <w:t xml:space="preserve">R SA.609, dans de nombreux cas diminuent seulement la marge sans provoquer de perte de la liaison. L'interruption de la liaison due à l'affaiblissement atmosphérique est bien plus grande comparativement aux brouillages. Lorsqu'on considère la perte réelle de données due aux brouillages, le critère </w:t>
      </w:r>
      <w:r w:rsidRPr="006351EF">
        <w:rPr>
          <w:i/>
          <w:color w:val="000000" w:themeColor="text1"/>
        </w:rPr>
        <w:t>E</w:t>
      </w:r>
      <w:r w:rsidRPr="006351EF">
        <w:rPr>
          <w:i/>
          <w:color w:val="000000" w:themeColor="text1"/>
          <w:vertAlign w:val="subscript"/>
        </w:rPr>
        <w:t>s</w:t>
      </w:r>
      <w:r w:rsidRPr="006351EF">
        <w:rPr>
          <w:color w:val="000000" w:themeColor="text1"/>
        </w:rPr>
        <w:t>/(</w:t>
      </w:r>
      <w:r w:rsidRPr="006351EF">
        <w:rPr>
          <w:i/>
          <w:color w:val="000000" w:themeColor="text1"/>
        </w:rPr>
        <w:t>N</w:t>
      </w:r>
      <w:r w:rsidRPr="006351EF">
        <w:rPr>
          <w:iCs/>
          <w:color w:val="000000" w:themeColor="text1"/>
          <w:vertAlign w:val="subscript"/>
        </w:rPr>
        <w:t>0</w:t>
      </w:r>
      <w:r w:rsidR="00164DD2">
        <w:rPr>
          <w:i/>
          <w:color w:val="000000" w:themeColor="text1"/>
        </w:rPr>
        <w:t> </w:t>
      </w:r>
      <w:r w:rsidRPr="006351EF">
        <w:rPr>
          <w:color w:val="000000" w:themeColor="text1"/>
        </w:rPr>
        <w:t xml:space="preserve">+ </w:t>
      </w:r>
      <w:r w:rsidRPr="006351EF">
        <w:rPr>
          <w:i/>
          <w:color w:val="000000" w:themeColor="text1"/>
        </w:rPr>
        <w:t>I</w:t>
      </w:r>
      <w:r w:rsidRPr="006351EF">
        <w:rPr>
          <w:iCs/>
          <w:color w:val="000000" w:themeColor="text1"/>
          <w:vertAlign w:val="subscript"/>
        </w:rPr>
        <w:t>0</w:t>
      </w:r>
      <w:r w:rsidRPr="006351EF">
        <w:rPr>
          <w:color w:val="000000" w:themeColor="text1"/>
        </w:rPr>
        <w:t xml:space="preserve">) </w:t>
      </w:r>
      <w:r>
        <w:t>requis peut être respecté pendant 99,98 % du temps même en présence de satellites géostationnaires fonctionnant avec une limite de puissance surfacique réduite égale à −115 dB(W/(m</w:t>
      </w:r>
      <w:r>
        <w:rPr>
          <w:vertAlign w:val="superscript"/>
        </w:rPr>
        <w:t>2</w:t>
      </w:r>
      <w:r>
        <w:t xml:space="preserve"> </w:t>
      </w:r>
      <w:r>
        <w:rPr>
          <w:vertAlign w:val="superscript"/>
        </w:rPr>
        <w:t>.</w:t>
      </w:r>
      <w:r>
        <w:t xml:space="preserve"> MHz)). Toutefois, un satellite géostationnaire fonctionnant avec les limites de puissance surfacique définies dans le RR N°</w:t>
      </w:r>
      <w:r w:rsidR="00BF0A62">
        <w:t> </w:t>
      </w:r>
      <w:r>
        <w:t>21.16, pourrait causer des brouillages préjudiciables qui se traduiraient par une perte de la liaison. Les brouillages qui pourraient être causés à des missions lunaires par les mêmes satell</w:t>
      </w:r>
      <w:r w:rsidR="00BF0A62">
        <w:t>ites sont d'intensité analogue.</w:t>
      </w:r>
    </w:p>
    <w:p w:rsidR="00EA7683" w:rsidRDefault="00EA7683" w:rsidP="00BF0A62">
      <w:r>
        <w:t>Le Tableau 4 présente un résumé des résultats pour d'autres analyses concernant les brouillages causés par une mission à satellite OSG théorique à des missions analogues à celles énumérées dans le Tableau 1. Le Tableau 4 montre la marge sans brouillage ainsi que les marges dégradées pour les missions du service de recherche spatiale dues aux brouillages émanant d'une mission OSG à 107° O</w:t>
      </w:r>
      <w:r>
        <w:rPr>
          <w:color w:val="FF0000"/>
        </w:rPr>
        <w:t xml:space="preserve"> </w:t>
      </w:r>
      <w:r>
        <w:t>avec des niveaux de puissance surfacique compris entre –105 et</w:t>
      </w:r>
      <w:r w:rsidR="00BF0A62">
        <w:t> </w:t>
      </w:r>
      <w:r>
        <w:t>−125 dB(W/(m</w:t>
      </w:r>
      <w:r>
        <w:rPr>
          <w:vertAlign w:val="superscript"/>
        </w:rPr>
        <w:t>2</w:t>
      </w:r>
      <w:r>
        <w:t> . MHz)). Le satellite placé à 107°W émet vers un la station WSC (White</w:t>
      </w:r>
      <w:r w:rsidR="00BF0A62">
        <w:t> </w:t>
      </w:r>
      <w:r>
        <w:t>Sands) sous un angle d'élévation avec la station terrienne supérieur à 25 °.</w:t>
      </w:r>
    </w:p>
    <w:p w:rsidR="00EA7683" w:rsidRDefault="00EA7683" w:rsidP="00EA7683">
      <w:r>
        <w:t>Une mission OSG théorique qui fonctionnerait avec la limite de puissance surfacique de −105 dB(W/(m</w:t>
      </w:r>
      <w:r>
        <w:rPr>
          <w:vertAlign w:val="superscript"/>
        </w:rPr>
        <w:t>2</w:t>
      </w:r>
      <w:r>
        <w:t xml:space="preserve"> . MHz)) pourrait présenter des niveaux de brouillage supérieurs au critère de brouillage, étant donné qu'une mission OSG serait en permanence dans le champ de visibilité de la station terrienne brouillée. Toutefois, un tel niveau élevé de puissance surfacique serait seulement </w:t>
      </w:r>
      <w:r>
        <w:lastRenderedPageBreak/>
        <w:t>nécessaire si des stations de très petite taille étaient utilisées (1 ou 2 m par exemple) et si une grande disponibilité était requise.</w:t>
      </w:r>
    </w:p>
    <w:p w:rsidR="00EA7683" w:rsidRDefault="00EA7683" w:rsidP="00164DD2">
      <w:r>
        <w:t xml:space="preserve">Les résultats donnés dans le Tableau 4 montrent que la marge au niveau de 0,1% est négative ou fortement dégradée pour les missions lunaires LRO et C Lunar lorsque le satellite OSG brouilleur utilise une puissance surfacique qui respecte tout juste les limites contenues dans l'Article 21 du RR. Pour les brouillages causés à la mission LRO, la marge passe de 7.4 à –0,1 dB et pour la mission Cx Lunar, de 11,4 à –3 dB. Dans les deux cas, les marges sont ramenées à des valeurs qui peuvent être considérées comme étant trop faibles. Les </w:t>
      </w:r>
      <w:r w:rsidR="00164DD2">
        <w:t xml:space="preserve">Fig. </w:t>
      </w:r>
      <w:r>
        <w:t xml:space="preserve">3 et 4 montrent les statistiques de brouillage correspondantes pour les missions LRO et Cx Lunar. </w:t>
      </w:r>
    </w:p>
    <w:p w:rsidR="00EA7683" w:rsidRDefault="00EA7683" w:rsidP="00EA7683">
      <w:r>
        <w:t>Toutefois, si la puissance surfacique est limitée à une valeur maximale de −115 dB(W/(m</w:t>
      </w:r>
      <w:r>
        <w:rPr>
          <w:vertAlign w:val="superscript"/>
        </w:rPr>
        <w:t>2</w:t>
      </w:r>
      <w:r>
        <w:t> . MHz)) pour tous les angles d'incidence, la dégradation due aux brouillages est fortement diminuée. En abaissant encore plus la puissance surfacique à −125 dB(W/(m</w:t>
      </w:r>
      <w:r>
        <w:rPr>
          <w:vertAlign w:val="superscript"/>
        </w:rPr>
        <w:t>2</w:t>
      </w:r>
      <w:r>
        <w:t> . MHz)) pour tous les angles d'incidence, l'amélioration ne serait pas importante.</w:t>
      </w:r>
    </w:p>
    <w:p w:rsidR="00EA7683" w:rsidRDefault="00EA7683" w:rsidP="00EA7683">
      <w:pPr>
        <w:pStyle w:val="TableNo"/>
      </w:pPr>
      <w:r>
        <w:t>TABLEAU  4</w:t>
      </w:r>
    </w:p>
    <w:p w:rsidR="00EA7683" w:rsidRDefault="00EA7683" w:rsidP="00EA7683">
      <w:pPr>
        <w:pStyle w:val="Tabletitle"/>
      </w:pPr>
      <w:r>
        <w:t xml:space="preserve">Résultats concernant la marge pour les brouillages à une seule source </w:t>
      </w:r>
      <w:r>
        <w:br/>
        <w:t>pour le cas OSG au niveau 0,1%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6"/>
        <w:gridCol w:w="1175"/>
        <w:gridCol w:w="1516"/>
        <w:gridCol w:w="1674"/>
        <w:gridCol w:w="1674"/>
        <w:gridCol w:w="1674"/>
      </w:tblGrid>
      <w:tr w:rsidR="00EA7683" w:rsidTr="00EA7683">
        <w:trPr>
          <w:jc w:val="center"/>
        </w:trPr>
        <w:tc>
          <w:tcPr>
            <w:tcW w:w="1892" w:type="dxa"/>
            <w:vMerge w:val="restart"/>
            <w:vAlign w:val="center"/>
          </w:tcPr>
          <w:p w:rsidR="00EA7683" w:rsidRDefault="00EA7683" w:rsidP="005E5CA1">
            <w:pPr>
              <w:pStyle w:val="Tablehead"/>
            </w:pPr>
            <w:r>
              <w:t>Mission brouillée</w:t>
            </w:r>
          </w:p>
        </w:tc>
        <w:tc>
          <w:tcPr>
            <w:tcW w:w="1154" w:type="dxa"/>
            <w:vMerge w:val="restart"/>
            <w:vAlign w:val="center"/>
          </w:tcPr>
          <w:p w:rsidR="00EA7683" w:rsidRDefault="00EA7683" w:rsidP="005E5CA1">
            <w:pPr>
              <w:pStyle w:val="Tablehead"/>
            </w:pPr>
            <w:r>
              <w:t>Station de réception</w:t>
            </w:r>
          </w:p>
        </w:tc>
        <w:tc>
          <w:tcPr>
            <w:tcW w:w="1488" w:type="dxa"/>
            <w:vMerge w:val="restart"/>
            <w:vAlign w:val="center"/>
          </w:tcPr>
          <w:p w:rsidR="00EA7683" w:rsidRDefault="00EA7683" w:rsidP="005E5CA1">
            <w:pPr>
              <w:pStyle w:val="Tablehead"/>
            </w:pPr>
            <w:r>
              <w:rPr>
                <w:iCs/>
              </w:rPr>
              <w:t xml:space="preserve">Marge </w:t>
            </w:r>
            <w:r>
              <w:rPr>
                <w:i/>
              </w:rPr>
              <w:t>C</w:t>
            </w:r>
            <w:r>
              <w:t>/</w:t>
            </w:r>
            <w:r>
              <w:rPr>
                <w:i/>
              </w:rPr>
              <w:t>N</w:t>
            </w:r>
            <w:r>
              <w:t xml:space="preserve"> (dB) sans brouillage</w:t>
            </w:r>
          </w:p>
        </w:tc>
        <w:tc>
          <w:tcPr>
            <w:tcW w:w="4929" w:type="dxa"/>
            <w:gridSpan w:val="3"/>
            <w:vAlign w:val="center"/>
          </w:tcPr>
          <w:p w:rsidR="00EA7683" w:rsidRDefault="00EA7683" w:rsidP="005E5CA1">
            <w:pPr>
              <w:pStyle w:val="Tablehead"/>
            </w:pPr>
            <w:r>
              <w:t xml:space="preserve">Marges au niveau 0,1% </w:t>
            </w:r>
          </w:p>
        </w:tc>
      </w:tr>
      <w:tr w:rsidR="00EA7683" w:rsidTr="00EA7683">
        <w:trPr>
          <w:jc w:val="center"/>
        </w:trPr>
        <w:tc>
          <w:tcPr>
            <w:tcW w:w="1892" w:type="dxa"/>
            <w:vMerge/>
            <w:vAlign w:val="center"/>
          </w:tcPr>
          <w:p w:rsidR="00EA7683" w:rsidRDefault="00EA7683" w:rsidP="005E5CA1">
            <w:pPr>
              <w:pStyle w:val="Tablehead"/>
            </w:pPr>
          </w:p>
        </w:tc>
        <w:tc>
          <w:tcPr>
            <w:tcW w:w="1154" w:type="dxa"/>
            <w:vMerge/>
            <w:vAlign w:val="center"/>
          </w:tcPr>
          <w:p w:rsidR="00EA7683" w:rsidRDefault="00EA7683" w:rsidP="005E5CA1">
            <w:pPr>
              <w:pStyle w:val="Tablehead"/>
            </w:pPr>
          </w:p>
        </w:tc>
        <w:tc>
          <w:tcPr>
            <w:tcW w:w="1488" w:type="dxa"/>
            <w:vMerge/>
            <w:vAlign w:val="center"/>
          </w:tcPr>
          <w:p w:rsidR="00EA7683" w:rsidRDefault="00EA7683" w:rsidP="005E5CA1">
            <w:pPr>
              <w:pStyle w:val="Tablehead"/>
            </w:pPr>
          </w:p>
        </w:tc>
        <w:tc>
          <w:tcPr>
            <w:tcW w:w="1643" w:type="dxa"/>
            <w:vAlign w:val="center"/>
          </w:tcPr>
          <w:p w:rsidR="00EA7683" w:rsidRDefault="00EA7683" w:rsidP="00164DD2">
            <w:pPr>
              <w:pStyle w:val="Tablehead"/>
            </w:pPr>
            <w:r>
              <w:t>OSG 107W;</w:t>
            </w:r>
            <w:r>
              <w:br/>
              <w:t>pfd = −105 pour E</w:t>
            </w:r>
            <w:r w:rsidR="00164DD2">
              <w:t xml:space="preserve"> </w:t>
            </w:r>
            <w:r>
              <w:t>=</w:t>
            </w:r>
            <w:r w:rsidR="00164DD2">
              <w:t xml:space="preserve"> </w:t>
            </w:r>
            <w:r>
              <w:t>90 </w:t>
            </w:r>
          </w:p>
        </w:tc>
        <w:tc>
          <w:tcPr>
            <w:tcW w:w="1643" w:type="dxa"/>
            <w:vAlign w:val="center"/>
          </w:tcPr>
          <w:p w:rsidR="00EA7683" w:rsidRPr="005B312B" w:rsidRDefault="00EA7683" w:rsidP="005E5CA1">
            <w:pPr>
              <w:pStyle w:val="Tablehead"/>
              <w:rPr>
                <w:lang w:val="es-ES"/>
              </w:rPr>
            </w:pPr>
            <w:r>
              <w:rPr>
                <w:lang w:val="es-ES"/>
              </w:rPr>
              <w:t>OSG</w:t>
            </w:r>
            <w:r w:rsidRPr="005B312B">
              <w:rPr>
                <w:lang w:val="es-ES"/>
              </w:rPr>
              <w:t xml:space="preserve"> 107W;</w:t>
            </w:r>
            <w:r w:rsidRPr="005B312B">
              <w:rPr>
                <w:lang w:val="es-ES"/>
              </w:rPr>
              <w:br/>
              <w:t>pfd = −115 pour EL</w:t>
            </w:r>
            <w:r w:rsidR="00164DD2">
              <w:rPr>
                <w:lang w:val="es-ES"/>
              </w:rPr>
              <w:t xml:space="preserve"> </w:t>
            </w:r>
            <w:r w:rsidRPr="005B312B">
              <w:rPr>
                <w:lang w:val="es-ES"/>
              </w:rPr>
              <w:t>=</w:t>
            </w:r>
            <w:r w:rsidR="00164DD2">
              <w:rPr>
                <w:lang w:val="es-ES"/>
              </w:rPr>
              <w:t xml:space="preserve"> </w:t>
            </w:r>
            <w:r w:rsidRPr="005B312B">
              <w:rPr>
                <w:lang w:val="es-ES"/>
              </w:rPr>
              <w:t>90 </w:t>
            </w:r>
          </w:p>
        </w:tc>
        <w:tc>
          <w:tcPr>
            <w:tcW w:w="1643" w:type="dxa"/>
            <w:vAlign w:val="center"/>
          </w:tcPr>
          <w:p w:rsidR="00EA7683" w:rsidRDefault="00EA7683" w:rsidP="005E5CA1">
            <w:pPr>
              <w:pStyle w:val="Tablehead"/>
            </w:pPr>
            <w:r>
              <w:t>OSG 107W;</w:t>
            </w:r>
            <w:r>
              <w:br/>
              <w:t>pfd= −125 pour EL</w:t>
            </w:r>
            <w:r w:rsidR="00164DD2">
              <w:t xml:space="preserve"> </w:t>
            </w:r>
            <w:r>
              <w:t>=</w:t>
            </w:r>
            <w:r w:rsidR="00164DD2">
              <w:t xml:space="preserve"> </w:t>
            </w:r>
            <w:r>
              <w:t>90 </w:t>
            </w:r>
          </w:p>
        </w:tc>
      </w:tr>
      <w:tr w:rsidR="00EA7683" w:rsidTr="00EA7683">
        <w:trPr>
          <w:jc w:val="center"/>
        </w:trPr>
        <w:tc>
          <w:tcPr>
            <w:tcW w:w="1892" w:type="dxa"/>
          </w:tcPr>
          <w:p w:rsidR="00EA7683" w:rsidRDefault="00EA7683" w:rsidP="005E5CA1">
            <w:pPr>
              <w:pStyle w:val="Tabletext"/>
            </w:pPr>
            <w:r>
              <w:t>LRO</w:t>
            </w:r>
          </w:p>
        </w:tc>
        <w:tc>
          <w:tcPr>
            <w:tcW w:w="1154" w:type="dxa"/>
          </w:tcPr>
          <w:p w:rsidR="00EA7683" w:rsidRDefault="00EA7683" w:rsidP="005E5CA1">
            <w:pPr>
              <w:pStyle w:val="Tabletext"/>
              <w:jc w:val="center"/>
            </w:pPr>
            <w:r>
              <w:t>WSC</w:t>
            </w:r>
          </w:p>
        </w:tc>
        <w:tc>
          <w:tcPr>
            <w:tcW w:w="1488" w:type="dxa"/>
          </w:tcPr>
          <w:p w:rsidR="00EA7683" w:rsidRDefault="00EA7683" w:rsidP="005E5CA1">
            <w:pPr>
              <w:pStyle w:val="Tabletext"/>
              <w:jc w:val="center"/>
            </w:pPr>
            <w:r>
              <w:t>7,4</w:t>
            </w:r>
          </w:p>
        </w:tc>
        <w:tc>
          <w:tcPr>
            <w:tcW w:w="1643" w:type="dxa"/>
          </w:tcPr>
          <w:p w:rsidR="00EA7683" w:rsidRDefault="00EA7683" w:rsidP="005E5CA1">
            <w:pPr>
              <w:pStyle w:val="Tabletext"/>
              <w:jc w:val="center"/>
            </w:pPr>
            <w:r>
              <w:t>−0,1</w:t>
            </w:r>
          </w:p>
        </w:tc>
        <w:tc>
          <w:tcPr>
            <w:tcW w:w="1643" w:type="dxa"/>
          </w:tcPr>
          <w:p w:rsidR="00EA7683" w:rsidRDefault="00EA7683" w:rsidP="005E5CA1">
            <w:pPr>
              <w:pStyle w:val="Tabletext"/>
              <w:jc w:val="center"/>
            </w:pPr>
            <w:r>
              <w:t>6,1</w:t>
            </w:r>
          </w:p>
        </w:tc>
        <w:tc>
          <w:tcPr>
            <w:tcW w:w="1643" w:type="dxa"/>
          </w:tcPr>
          <w:p w:rsidR="00EA7683" w:rsidRDefault="00EA7683" w:rsidP="005E5CA1">
            <w:pPr>
              <w:pStyle w:val="Tabletext"/>
              <w:jc w:val="center"/>
            </w:pPr>
            <w:r>
              <w:t>7,4</w:t>
            </w:r>
          </w:p>
        </w:tc>
      </w:tr>
      <w:tr w:rsidR="00EA7683" w:rsidTr="00EA7683">
        <w:trPr>
          <w:jc w:val="center"/>
        </w:trPr>
        <w:tc>
          <w:tcPr>
            <w:tcW w:w="1892" w:type="dxa"/>
          </w:tcPr>
          <w:p w:rsidR="00EA7683" w:rsidRDefault="00EA7683" w:rsidP="00EA7683">
            <w:pPr>
              <w:pStyle w:val="Tabletext"/>
              <w:jc w:val="left"/>
            </w:pPr>
            <w:r>
              <w:t>Cx Lunar, 50 MHz</w:t>
            </w:r>
          </w:p>
        </w:tc>
        <w:tc>
          <w:tcPr>
            <w:tcW w:w="1154" w:type="dxa"/>
          </w:tcPr>
          <w:p w:rsidR="00EA7683" w:rsidRDefault="00EA7683" w:rsidP="005E5CA1">
            <w:pPr>
              <w:pStyle w:val="Tabletext"/>
              <w:jc w:val="center"/>
            </w:pPr>
            <w:r>
              <w:t>WSC</w:t>
            </w:r>
          </w:p>
        </w:tc>
        <w:tc>
          <w:tcPr>
            <w:tcW w:w="1488" w:type="dxa"/>
          </w:tcPr>
          <w:p w:rsidR="00EA7683" w:rsidRDefault="00EA7683" w:rsidP="005E5CA1">
            <w:pPr>
              <w:pStyle w:val="Tabletext"/>
              <w:jc w:val="center"/>
            </w:pPr>
            <w:r>
              <w:t>11,4</w:t>
            </w:r>
          </w:p>
        </w:tc>
        <w:tc>
          <w:tcPr>
            <w:tcW w:w="1643" w:type="dxa"/>
          </w:tcPr>
          <w:p w:rsidR="00EA7683" w:rsidRDefault="00EA7683" w:rsidP="005E5CA1">
            <w:pPr>
              <w:pStyle w:val="Tabletext"/>
              <w:jc w:val="center"/>
            </w:pPr>
            <w:r>
              <w:t>3,0</w:t>
            </w:r>
          </w:p>
        </w:tc>
        <w:tc>
          <w:tcPr>
            <w:tcW w:w="1643" w:type="dxa"/>
          </w:tcPr>
          <w:p w:rsidR="00EA7683" w:rsidRDefault="00EA7683" w:rsidP="005E5CA1">
            <w:pPr>
              <w:pStyle w:val="Tabletext"/>
              <w:jc w:val="center"/>
            </w:pPr>
            <w:r>
              <w:t>9,7</w:t>
            </w:r>
          </w:p>
        </w:tc>
        <w:tc>
          <w:tcPr>
            <w:tcW w:w="1643" w:type="dxa"/>
          </w:tcPr>
          <w:p w:rsidR="00EA7683" w:rsidRDefault="00EA7683" w:rsidP="005E5CA1">
            <w:pPr>
              <w:pStyle w:val="Tabletext"/>
              <w:jc w:val="center"/>
            </w:pPr>
            <w:r>
              <w:t>11,4</w:t>
            </w:r>
          </w:p>
        </w:tc>
      </w:tr>
    </w:tbl>
    <w:p w:rsidR="00EA7683" w:rsidRDefault="00EA7683" w:rsidP="00EA7683">
      <w:pPr>
        <w:pStyle w:val="Tablefin"/>
        <w:rPr>
          <w:lang w:val="fr-FR"/>
        </w:rPr>
      </w:pPr>
    </w:p>
    <w:p w:rsidR="00EA7683" w:rsidRDefault="00EA7683" w:rsidP="00490E78">
      <w:pPr>
        <w:pStyle w:val="FigureNo"/>
        <w:keepNext w:val="0"/>
        <w:keepLines w:val="0"/>
      </w:pPr>
      <w:r>
        <w:object w:dxaOrig="7889" w:dyaOrig="6320">
          <v:shape id="_x0000_i1027" type="#_x0000_t75" style="width:394.6pt;height:316.05pt" o:ole="">
            <v:imagedata r:id="rId17" o:title=""/>
          </v:shape>
          <o:OLEObject Type="Embed" ProgID="CorelDRAW.Graphic.14" ShapeID="_x0000_i1027" DrawAspect="Content" ObjectID="_1345027393" r:id="rId18"/>
        </w:object>
      </w:r>
    </w:p>
    <w:p w:rsidR="00EA7683" w:rsidRDefault="00EA7683" w:rsidP="00EA7683">
      <w:pPr>
        <w:pStyle w:val="FigureNo"/>
      </w:pPr>
      <w:r>
        <w:object w:dxaOrig="7908" w:dyaOrig="5834">
          <v:shape id="_x0000_i1028" type="#_x0000_t75" style="width:395.55pt;height:291.75pt" o:ole="">
            <v:imagedata r:id="rId19" o:title=""/>
          </v:shape>
          <o:OLEObject Type="Embed" ProgID="CorelDRAW.Graphic.14" ShapeID="_x0000_i1028" DrawAspect="Content" ObjectID="_1345027394" r:id="rId20"/>
        </w:object>
      </w:r>
    </w:p>
    <w:p w:rsidR="00EA7683" w:rsidRDefault="00EA7683" w:rsidP="00EA7683">
      <w:pPr>
        <w:pStyle w:val="Normalaftertitle"/>
      </w:pPr>
      <w:r>
        <w:t>En résumé, toutes les études concluent que les satellites géostationnaires fonctionnant avec la même puissance surfacique que les satellites d'observation de la Terre produiraient des niveaux de brouillage qui seraient au moins d'un ordre de grandeur supérieurs aux critères spécifiés dans la Recommandation UIT</w:t>
      </w:r>
      <w:r>
        <w:noBreakHyphen/>
        <w:t xml:space="preserve">R SA.609, et qui sont bien supérieurs comparés aux missions SETS </w:t>
      </w:r>
      <w:r>
        <w:lastRenderedPageBreak/>
        <w:t>non OSG, en raison de la visibilité plus grande. Néanmoins, le dépassement des critères de puissance surfacique spécifiés dans la Recommandation UIT</w:t>
      </w:r>
      <w:r>
        <w:noBreakHyphen/>
        <w:t xml:space="preserve">R SA.609 ne conduirait pas à des situations où le rapport </w:t>
      </w:r>
      <w:r>
        <w:rPr>
          <w:i/>
        </w:rPr>
        <w:t>E</w:t>
      </w:r>
      <w:r>
        <w:rPr>
          <w:i/>
          <w:vertAlign w:val="subscript"/>
        </w:rPr>
        <w:t>s</w:t>
      </w:r>
      <w:r>
        <w:t>/(</w:t>
      </w:r>
      <w:r>
        <w:rPr>
          <w:i/>
        </w:rPr>
        <w:t>N</w:t>
      </w:r>
      <w:r>
        <w:rPr>
          <w:iCs/>
          <w:vertAlign w:val="subscript"/>
        </w:rPr>
        <w:t>0</w:t>
      </w:r>
      <w:r>
        <w:rPr>
          <w:i/>
        </w:rPr>
        <w:t> </w:t>
      </w:r>
      <w:r>
        <w:t>+ </w:t>
      </w:r>
      <w:r>
        <w:rPr>
          <w:i/>
        </w:rPr>
        <w:t>I</w:t>
      </w:r>
      <w:r>
        <w:rPr>
          <w:iCs/>
          <w:vertAlign w:val="subscript"/>
        </w:rPr>
        <w:t>0</w:t>
      </w:r>
      <w:r>
        <w:t>) serait inacceptable si les satellites géostationnaires fonctionnaient avec des puissances surfaciques inférieures à −115 dB(W/(m</w:t>
      </w:r>
      <w:r>
        <w:rPr>
          <w:vertAlign w:val="superscript"/>
        </w:rPr>
        <w:t>2</w:t>
      </w:r>
      <w:r>
        <w:rPr>
          <w:sz w:val="18"/>
          <w:szCs w:val="18"/>
        </w:rPr>
        <w:t> </w:t>
      </w:r>
      <w:r>
        <w:rPr>
          <w:vertAlign w:val="superscript"/>
        </w:rPr>
        <w:t>.</w:t>
      </w:r>
      <w:r>
        <w:rPr>
          <w:sz w:val="18"/>
          <w:szCs w:val="18"/>
        </w:rPr>
        <w:t> </w:t>
      </w:r>
      <w:r>
        <w:t>MHz)). Toutefois, un satellite fonctionnant avec les limites de puissance surfacique spécifiées au N° 21.16 pourrait causer d'importants brouillages. Dans de nombreuses régions du monde avec un affaiblissement dû à la pluie faible ou modéré, les systèmes géostationnaires peuvent généralement être déployés sans qu'il soit nécessaire qu'ils fonctionnent à des niveaux proches des limites actuelles de puissance surfacique.</w:t>
      </w:r>
    </w:p>
    <w:p w:rsidR="00EA7683" w:rsidRDefault="00EA7683" w:rsidP="00EA7683">
      <w:pPr>
        <w:rPr>
          <w:color w:val="000000"/>
        </w:rPr>
      </w:pPr>
      <w:r>
        <w:t>Une limite de puissance surfacique d'environ −115 dB(W/(m</w:t>
      </w:r>
      <w:r>
        <w:rPr>
          <w:vertAlign w:val="superscript"/>
        </w:rPr>
        <w:t>2</w:t>
      </w:r>
      <w:r>
        <w:t xml:space="preserve"> </w:t>
      </w:r>
      <w:r>
        <w:rPr>
          <w:vertAlign w:val="superscript"/>
        </w:rPr>
        <w:t>.</w:t>
      </w:r>
      <w:r>
        <w:t xml:space="preserve"> MHz)) pour les systèmes à satellites géostationnaires, pour tous les angles d'incidence offrirait donc une protection adéquate aux missions du service de recherche spatiale sans imposer des contraintes injustifiées aux satellites géostationnaires.</w:t>
      </w:r>
    </w:p>
    <w:p w:rsidR="00EA7683" w:rsidRDefault="00EA7683" w:rsidP="00EA7683">
      <w:pPr>
        <w:rPr>
          <w:b/>
          <w:sz w:val="28"/>
        </w:rPr>
      </w:pPr>
    </w:p>
    <w:p w:rsidR="00BF0A62" w:rsidRDefault="00BF0A62" w:rsidP="00EA7683">
      <w:pPr>
        <w:rPr>
          <w:b/>
          <w:sz w:val="28"/>
        </w:rPr>
      </w:pPr>
    </w:p>
    <w:p w:rsidR="00EA7683" w:rsidRDefault="00EA7683" w:rsidP="00EA7683">
      <w:pPr>
        <w:pStyle w:val="AnnexNoTitle"/>
      </w:pPr>
      <w:r>
        <w:t>Annexe 2</w:t>
      </w:r>
      <w:r>
        <w:br/>
      </w:r>
      <w:r>
        <w:br/>
        <w:t>Limites de puissance surfacique imposées à l'OSG pour les satellites non OSG</w:t>
      </w:r>
    </w:p>
    <w:p w:rsidR="00EA7683" w:rsidRDefault="00EA7683" w:rsidP="00EA7683">
      <w:pPr>
        <w:pStyle w:val="Normalaftertitle"/>
      </w:pPr>
      <w:r>
        <w:t>La Recommandation UIT</w:t>
      </w:r>
      <w:r>
        <w:noBreakHyphen/>
        <w:t xml:space="preserve">R SA.1155 spécifie une densité spectrale maximale de puissance permissible </w:t>
      </w:r>
      <w:r>
        <w:rPr>
          <w:i/>
        </w:rPr>
        <w:t>P</w:t>
      </w:r>
      <w:r>
        <w:rPr>
          <w:i/>
          <w:vertAlign w:val="subscript"/>
        </w:rPr>
        <w:t>sd</w:t>
      </w:r>
      <w:r>
        <w:t> égale à −178 dB(W/kHz) qui peut être convertie en −148 dB(W/MHz) compte tenu de la largeur de bande généralement très grande des récepteurs des satellites du SRD. La valeur de la puissance surfacique correspondante peut être calculée en tenant compte de surface apparente de l'antenne:</w:t>
      </w:r>
    </w:p>
    <w:p w:rsidR="00EA7683" w:rsidRPr="006003E2" w:rsidRDefault="00EA7683" w:rsidP="00EA7683">
      <w:pPr>
        <w:pStyle w:val="Blanc"/>
        <w:rPr>
          <w:lang w:val="fr-CH"/>
        </w:rPr>
      </w:pPr>
    </w:p>
    <w:p w:rsidR="00EA7683" w:rsidRDefault="00EA7683" w:rsidP="00EA7683">
      <w:pPr>
        <w:pStyle w:val="Equation"/>
        <w:rPr>
          <w:position w:val="-34"/>
        </w:rPr>
      </w:pPr>
      <w:r>
        <w:tab/>
      </w:r>
      <w:r>
        <w:tab/>
      </w:r>
      <w:r w:rsidR="00BF0A62" w:rsidRPr="00075248">
        <w:rPr>
          <w:position w:val="-34"/>
        </w:rPr>
        <w:object w:dxaOrig="6320" w:dyaOrig="800">
          <v:shape id="_x0000_i1033" type="#_x0000_t75" style="width:315.6pt;height:40.7pt" o:ole="">
            <v:imagedata r:id="rId21" o:title=""/>
          </v:shape>
          <o:OLEObject Type="Embed" ProgID="Equation.3" ShapeID="_x0000_i1033" DrawAspect="Content" ObjectID="_1345027395" r:id="rId22"/>
        </w:object>
      </w:r>
    </w:p>
    <w:p w:rsidR="00EA7683" w:rsidRDefault="00EA7683" w:rsidP="00EA7683">
      <w:pPr>
        <w:pStyle w:val="Blanc"/>
      </w:pPr>
    </w:p>
    <w:p w:rsidR="00EA7683" w:rsidRDefault="00EA7683" w:rsidP="00EA7683">
      <w:r>
        <w:t>Le diamètre de la plus grande antenne des satellites actuels du service de recherche spatiale est de 4,9 m. On peut supposer que le rendement η est de 50 %. La valeur de la puissance surfacique correspondante serait −157.7 dB(W/(m</w:t>
      </w:r>
      <w:r>
        <w:rPr>
          <w:vertAlign w:val="superscript"/>
        </w:rPr>
        <w:t>2 . </w:t>
      </w:r>
      <w:r>
        <w:t>MHz)). Le pourcentage de temps autorisé de 0,1 % spécifié dans la Recommandation UIT</w:t>
      </w:r>
      <w:r>
        <w:noBreakHyphen/>
        <w:t xml:space="preserve">R SA.1155 ne peut s'appliquer à la limite de puissance surfacique étant donné qu'alors le fait que les deux antennes s'orientent l'une vers l'autre, et que l'exposition de l'emplacement du satellite relais de données OSG avec la limite de puissance surfacique spécifiée se traduit seulement par un brouillage permissible maximal lorsque l'antenne du satellite relais de données pointe directement sur le satellite du SETS. </w:t>
      </w:r>
    </w:p>
    <w:p w:rsidR="00EA7683" w:rsidRDefault="00EA7683" w:rsidP="00164DD2">
      <w:r>
        <w:t>On suppose qu'un certain pourcentage de l'excédent de brouillage est acceptable qui correspond à l'ouverture du lobe principal. Pour une antenne de 4,9 m, l'angle du premier lobe latéral est d'environ 0,22 ° (sur un côté). La probabilité pour qu'un autre satellite avec des paramètres d'orbite synchrone soit à l'intérieur de l'ouverture du lobe principal est d'environ dans le lobe principal est d'environ 3,7.10</w:t>
      </w:r>
      <w:r>
        <w:rPr>
          <w:vertAlign w:val="superscript"/>
        </w:rPr>
        <w:t>−6</w:t>
      </w:r>
      <w:r>
        <w:t>, ce qui est considérablement inférieur à 10</w:t>
      </w:r>
      <w:r>
        <w:rPr>
          <w:vertAlign w:val="superscript"/>
        </w:rPr>
        <w:t>−3</w:t>
      </w:r>
      <w:r>
        <w:t xml:space="preserve"> comme spécifié dans la Recommandation UIT</w:t>
      </w:r>
      <w:r>
        <w:noBreakHyphen/>
        <w:t>R SA.1155. Le dans le premier lobe latéral est supposé être inférieur de 25 dB environ selon la recommandation UIT</w:t>
      </w:r>
      <w:r>
        <w:noBreakHyphen/>
        <w:t>R S.672. Cela donne une limite de puissance surfacique de −132.7 dB(W/(m</w:t>
      </w:r>
      <w:r>
        <w:rPr>
          <w:vertAlign w:val="superscript"/>
        </w:rPr>
        <w:t>2</w:t>
      </w:r>
      <w:r>
        <w:rPr>
          <w:sz w:val="18"/>
          <w:szCs w:val="18"/>
        </w:rPr>
        <w:t> </w:t>
      </w:r>
      <w:r>
        <w:rPr>
          <w:vertAlign w:val="superscript"/>
        </w:rPr>
        <w:t>.</w:t>
      </w:r>
      <w:r>
        <w:rPr>
          <w:sz w:val="18"/>
          <w:szCs w:val="18"/>
        </w:rPr>
        <w:t> </w:t>
      </w:r>
      <w:r>
        <w:t xml:space="preserve">MHz)). Afin de déterminer une distance appropriée </w:t>
      </w:r>
      <w:r>
        <w:rPr>
          <w:i/>
        </w:rPr>
        <w:t>d</w:t>
      </w:r>
      <w:r>
        <w:rPr>
          <w:i/>
          <w:vertAlign w:val="subscript"/>
        </w:rPr>
        <w:t>NE</w:t>
      </w:r>
      <w:r>
        <w:t xml:space="preserve">, on a supposé qu'un satellite non OSG fonctionnait à la limite de puissance surfacique. On peut donc considérer les deux cas suivant comme illustré à la </w:t>
      </w:r>
      <w:r w:rsidR="00164DD2">
        <w:t>Fig.</w:t>
      </w:r>
      <w:r>
        <w:t> 5.</w:t>
      </w:r>
    </w:p>
    <w:p w:rsidR="00EA7683" w:rsidRDefault="00EA7683" w:rsidP="00EA7683">
      <w:pPr>
        <w:pStyle w:val="FigureNo"/>
      </w:pPr>
      <w:r>
        <w:object w:dxaOrig="5808" w:dyaOrig="5385">
          <v:shape id="_x0000_i1030" type="#_x0000_t75" style="width:290.35pt;height:269.3pt" o:ole="">
            <v:imagedata r:id="rId23" o:title=""/>
          </v:shape>
          <o:OLEObject Type="Embed" ProgID="CorelDRAW.Graphic.14" ShapeID="_x0000_i1030" DrawAspect="Content" ObjectID="_1345027396" r:id="rId24"/>
        </w:object>
      </w:r>
    </w:p>
    <w:p w:rsidR="00EA7683" w:rsidRDefault="00EA7683" w:rsidP="00EA7683">
      <w:pPr>
        <w:pStyle w:val="Normalaftertitle"/>
      </w:pPr>
      <w:r>
        <w:rPr>
          <w:i/>
          <w:iCs/>
        </w:rPr>
        <w:t>Cas 1</w:t>
      </w:r>
      <w:r>
        <w:t>: on suppose une puissance surfacique maximale de −115 dB(W/(m</w:t>
      </w:r>
      <w:r>
        <w:rPr>
          <w:vertAlign w:val="superscript"/>
        </w:rPr>
        <w:t>2</w:t>
      </w:r>
      <w:r>
        <w:t xml:space="preserve"> </w:t>
      </w:r>
      <w:r>
        <w:rPr>
          <w:vertAlign w:val="superscript"/>
        </w:rPr>
        <w:t>.</w:t>
      </w:r>
      <w:r>
        <w:t xml:space="preserve"> MHz)) vers un angle d'incidence de 5° à la surface de la Terre et par conséquent aussi une puissance surfacique maximale vers le satellite relais de données DRSS</w:t>
      </w:r>
      <w:r>
        <w:noBreakHyphen/>
        <w:t>1. Cela est en général le cas avec des antennes paraboliques ou en raison de l'occultation</w:t>
      </w:r>
      <w:r>
        <w:rPr>
          <w:color w:val="FF0000"/>
        </w:rPr>
        <w:t xml:space="preserve"> </w:t>
      </w:r>
      <w:r>
        <w:t>par l'engin spatial lui</w:t>
      </w:r>
      <w:r>
        <w:noBreakHyphen/>
        <w:t>même dans le cas d'antennes cardioïdes. Pour simplifier, la puissance surfacique en direction du satellite DRSS</w:t>
      </w:r>
      <w:r>
        <w:noBreakHyphen/>
        <w:t>1 a été supposée égale à la puissance surfacique en direction de l'angle d'incidence de 5°. En réalité, le niveau sera de plus de 3 dB inférieur en raison de la distance légèrement plus grande et de l'occultation par la Terre de la moitié du lobe principal de l'antenne</w:t>
      </w:r>
    </w:p>
    <w:p w:rsidR="00EA7683" w:rsidRDefault="00EA7683" w:rsidP="00EA7683">
      <w:r>
        <w:rPr>
          <w:i/>
          <w:iCs/>
        </w:rPr>
        <w:t>Cas 2</w:t>
      </w:r>
      <w:r w:rsidRPr="001F64FA">
        <w:t xml:space="preserve">: </w:t>
      </w:r>
      <w:r>
        <w:t>on suppose une puissance surfacique maximale de −105 dB(W/(m</w:t>
      </w:r>
      <w:r>
        <w:rPr>
          <w:vertAlign w:val="superscript"/>
        </w:rPr>
        <w:t>2</w:t>
      </w:r>
      <w:r>
        <w:t xml:space="preserve"> </w:t>
      </w:r>
      <w:r>
        <w:rPr>
          <w:vertAlign w:val="superscript"/>
        </w:rPr>
        <w:t>.</w:t>
      </w:r>
      <w:r>
        <w:t xml:space="preserve"> MHz)) vers un angle d'incidence de 90° à la surface de la Terre et aussi une puissance surfacique maximale vers le satellite DRSS</w:t>
      </w:r>
      <w:r>
        <w:noBreakHyphen/>
        <w:t>2 via les lobes arrière de l'antenne. Cela peut être la situation dans le cas d'émissions via des antennes équidirectives.</w:t>
      </w:r>
    </w:p>
    <w:p w:rsidR="00EA7683" w:rsidRDefault="00EA7683" w:rsidP="00EA7683">
      <w:r>
        <w:t>Les distances associées peuvent être déduites des équations suivantes:</w:t>
      </w:r>
    </w:p>
    <w:p w:rsidR="00EA7683" w:rsidRPr="006003E2" w:rsidRDefault="00EA7683" w:rsidP="00EA7683">
      <w:pPr>
        <w:pStyle w:val="Blanc"/>
        <w:rPr>
          <w:lang w:val="fr-CH"/>
        </w:rPr>
      </w:pPr>
    </w:p>
    <w:p w:rsidR="00EA7683" w:rsidRDefault="00EA7683" w:rsidP="00EA7683">
      <w:pPr>
        <w:pStyle w:val="Equation"/>
      </w:pPr>
      <w:r>
        <w:tab/>
      </w:r>
      <w:r>
        <w:tab/>
      </w:r>
      <w:r w:rsidRPr="00075248">
        <w:rPr>
          <w:position w:val="-162"/>
        </w:rPr>
        <w:object w:dxaOrig="4640" w:dyaOrig="3200">
          <v:shape id="_x0000_i1031" type="#_x0000_t75" style="width:231.9pt;height:159.9pt" o:ole="" o:allowoverlap="f">
            <v:imagedata r:id="rId25" o:title=""/>
          </v:shape>
          <o:OLEObject Type="Embed" ProgID="Equation.3" ShapeID="_x0000_i1031" DrawAspect="Content" ObjectID="_1345027397" r:id="rId26"/>
        </w:object>
      </w:r>
    </w:p>
    <w:p w:rsidR="00EA7683" w:rsidRDefault="00EA7683" w:rsidP="00EA7683">
      <w:pPr>
        <w:pStyle w:val="Blanc"/>
        <w:rPr>
          <w:lang w:eastAsia="de-DE"/>
        </w:rPr>
      </w:pPr>
    </w:p>
    <w:p w:rsidR="00EA7683" w:rsidRDefault="00EA7683" w:rsidP="00EA7683">
      <w:r>
        <w:t>dans lesquelles</w:t>
      </w:r>
    </w:p>
    <w:p w:rsidR="00EA7683" w:rsidRPr="00EA7683" w:rsidRDefault="00EA7683" w:rsidP="00EA7683">
      <w:pPr>
        <w:pStyle w:val="Equationlegend"/>
        <w:rPr>
          <w:lang w:val="fr-CH"/>
        </w:rPr>
      </w:pPr>
      <w:r w:rsidRPr="00EA7683">
        <w:rPr>
          <w:lang w:val="fr-CH"/>
        </w:rPr>
        <w:tab/>
      </w:r>
      <w:r w:rsidRPr="00EA7683">
        <w:rPr>
          <w:i/>
          <w:lang w:val="fr-CH"/>
        </w:rPr>
        <w:t>d</w:t>
      </w:r>
      <w:r w:rsidRPr="00EA7683">
        <w:rPr>
          <w:i/>
          <w:vertAlign w:val="subscript"/>
          <w:lang w:val="fr-CH"/>
        </w:rPr>
        <w:t>NE</w:t>
      </w:r>
      <w:r w:rsidRPr="00EA7683">
        <w:rPr>
          <w:vertAlign w:val="subscript"/>
          <w:lang w:val="fr-CH"/>
        </w:rPr>
        <w:t>1</w:t>
      </w:r>
      <w:r w:rsidRPr="00EA7683">
        <w:rPr>
          <w:lang w:val="fr-CH"/>
        </w:rPr>
        <w:t xml:space="preserve">: </w:t>
      </w:r>
      <w:r w:rsidRPr="00EA7683">
        <w:rPr>
          <w:lang w:val="fr-CH"/>
        </w:rPr>
        <w:tab/>
        <w:t>distance entre le satellite non OSG et le point de la Terre où l'angle d'incidence est égal à 0°</w:t>
      </w:r>
    </w:p>
    <w:p w:rsidR="00EA7683" w:rsidRPr="00EA7683" w:rsidRDefault="00EA7683" w:rsidP="00EA7683">
      <w:pPr>
        <w:pStyle w:val="Equationlegend"/>
        <w:rPr>
          <w:lang w:val="fr-CH"/>
        </w:rPr>
      </w:pPr>
      <w:r w:rsidRPr="00EA7683">
        <w:rPr>
          <w:lang w:val="fr-CH"/>
        </w:rPr>
        <w:lastRenderedPageBreak/>
        <w:tab/>
      </w:r>
      <w:r w:rsidRPr="00EA7683">
        <w:rPr>
          <w:i/>
          <w:lang w:val="fr-CH"/>
        </w:rPr>
        <w:t>d</w:t>
      </w:r>
      <w:r w:rsidRPr="00EA7683">
        <w:rPr>
          <w:i/>
          <w:vertAlign w:val="subscript"/>
          <w:lang w:val="fr-CH"/>
        </w:rPr>
        <w:t>NG</w:t>
      </w:r>
      <w:r w:rsidRPr="00EA7683">
        <w:rPr>
          <w:vertAlign w:val="subscript"/>
          <w:lang w:val="fr-CH"/>
        </w:rPr>
        <w:t>1</w:t>
      </w:r>
      <w:r w:rsidRPr="00EA7683">
        <w:rPr>
          <w:lang w:val="fr-CH"/>
        </w:rPr>
        <w:t xml:space="preserve">: </w:t>
      </w:r>
      <w:r w:rsidRPr="00EA7683">
        <w:rPr>
          <w:lang w:val="fr-CH"/>
        </w:rPr>
        <w:tab/>
        <w:t>distance entre le satellite non OSG et le satellite DRSS</w:t>
      </w:r>
      <w:r w:rsidRPr="00EA7683">
        <w:rPr>
          <w:lang w:val="fr-CH"/>
        </w:rPr>
        <w:noBreakHyphen/>
        <w:t>1 (</w:t>
      </w:r>
      <w:r w:rsidRPr="00EA7683">
        <w:rPr>
          <w:i/>
          <w:lang w:val="fr-CH"/>
        </w:rPr>
        <w:t>d</w:t>
      </w:r>
      <w:r w:rsidRPr="00EA7683">
        <w:rPr>
          <w:i/>
          <w:vertAlign w:val="subscript"/>
          <w:lang w:val="fr-CH"/>
        </w:rPr>
        <w:t>NG</w:t>
      </w:r>
      <w:r w:rsidRPr="00EA7683">
        <w:rPr>
          <w:vertAlign w:val="subscript"/>
          <w:lang w:val="fr-CH"/>
        </w:rPr>
        <w:t>1</w:t>
      </w:r>
      <w:r w:rsidRPr="00EA7683">
        <w:rPr>
          <w:lang w:val="fr-CH"/>
        </w:rPr>
        <w:t> = </w:t>
      </w:r>
      <w:r w:rsidRPr="00EA7683">
        <w:rPr>
          <w:i/>
          <w:lang w:val="fr-CH"/>
        </w:rPr>
        <w:t>d</w:t>
      </w:r>
      <w:r w:rsidRPr="00EA7683">
        <w:rPr>
          <w:i/>
          <w:vertAlign w:val="subscript"/>
          <w:lang w:val="fr-CH"/>
        </w:rPr>
        <w:t>NE</w:t>
      </w:r>
      <w:r w:rsidRPr="00EA7683">
        <w:rPr>
          <w:vertAlign w:val="subscript"/>
          <w:lang w:val="fr-CH"/>
        </w:rPr>
        <w:t>1</w:t>
      </w:r>
      <w:r w:rsidRPr="00EA7683">
        <w:rPr>
          <w:lang w:val="fr-CH"/>
        </w:rPr>
        <w:t> + 41 680 km)</w:t>
      </w:r>
    </w:p>
    <w:p w:rsidR="00EA7683" w:rsidRPr="00EA7683" w:rsidRDefault="00EA7683" w:rsidP="00EA7683">
      <w:pPr>
        <w:pStyle w:val="Equationlegend"/>
        <w:rPr>
          <w:lang w:val="fr-CH"/>
        </w:rPr>
      </w:pPr>
      <w:r w:rsidRPr="00EA7683">
        <w:rPr>
          <w:lang w:val="fr-CH"/>
        </w:rPr>
        <w:tab/>
      </w:r>
      <w:r w:rsidRPr="00EA7683">
        <w:rPr>
          <w:i/>
          <w:lang w:val="fr-CH"/>
        </w:rPr>
        <w:t>d</w:t>
      </w:r>
      <w:r w:rsidRPr="00EA7683">
        <w:rPr>
          <w:i/>
          <w:vertAlign w:val="subscript"/>
          <w:lang w:val="fr-CH"/>
        </w:rPr>
        <w:t>NE</w:t>
      </w:r>
      <w:r w:rsidRPr="00EA7683">
        <w:rPr>
          <w:vertAlign w:val="subscript"/>
          <w:lang w:val="fr-CH"/>
        </w:rPr>
        <w:t>2</w:t>
      </w:r>
      <w:r w:rsidRPr="00EA7683">
        <w:rPr>
          <w:lang w:val="fr-CH"/>
        </w:rPr>
        <w:t xml:space="preserve">: </w:t>
      </w:r>
      <w:r w:rsidRPr="00EA7683">
        <w:rPr>
          <w:lang w:val="fr-CH"/>
        </w:rPr>
        <w:tab/>
        <w:t>distance entre le satellite non OSG et le point sub-satellite (angle d'incidence de 90°)</w:t>
      </w:r>
    </w:p>
    <w:p w:rsidR="00EA7683" w:rsidRPr="00EA7683" w:rsidRDefault="00EA7683" w:rsidP="00EA7683">
      <w:pPr>
        <w:pStyle w:val="Equationlegend"/>
        <w:rPr>
          <w:lang w:val="fr-CH"/>
        </w:rPr>
      </w:pPr>
      <w:r w:rsidRPr="00EA7683">
        <w:rPr>
          <w:lang w:val="fr-CH"/>
        </w:rPr>
        <w:tab/>
      </w:r>
      <w:r w:rsidRPr="00EA7683">
        <w:rPr>
          <w:i/>
          <w:lang w:val="fr-CH"/>
        </w:rPr>
        <w:t>d</w:t>
      </w:r>
      <w:r w:rsidRPr="00EA7683">
        <w:rPr>
          <w:i/>
          <w:vertAlign w:val="subscript"/>
          <w:lang w:val="fr-CH"/>
        </w:rPr>
        <w:t>NG</w:t>
      </w:r>
      <w:r w:rsidRPr="00EA7683">
        <w:rPr>
          <w:vertAlign w:val="subscript"/>
          <w:lang w:val="fr-CH"/>
        </w:rPr>
        <w:t>2</w:t>
      </w:r>
      <w:r w:rsidRPr="00EA7683">
        <w:rPr>
          <w:lang w:val="fr-CH"/>
        </w:rPr>
        <w:t xml:space="preserve">: </w:t>
      </w:r>
      <w:r w:rsidRPr="00EA7683">
        <w:rPr>
          <w:lang w:val="fr-CH"/>
        </w:rPr>
        <w:tab/>
        <w:t>distance entre le satellite non OSG et le satellite DRSS</w:t>
      </w:r>
      <w:r w:rsidRPr="00EA7683">
        <w:rPr>
          <w:lang w:val="fr-CH"/>
        </w:rPr>
        <w:noBreakHyphen/>
        <w:t>2 (</w:t>
      </w:r>
      <w:r w:rsidRPr="00EA7683">
        <w:rPr>
          <w:i/>
          <w:lang w:val="fr-CH"/>
        </w:rPr>
        <w:t>d</w:t>
      </w:r>
      <w:r w:rsidRPr="00EA7683">
        <w:rPr>
          <w:i/>
          <w:vertAlign w:val="subscript"/>
          <w:lang w:val="fr-CH"/>
        </w:rPr>
        <w:t>NG</w:t>
      </w:r>
      <w:r w:rsidRPr="00EA7683">
        <w:rPr>
          <w:vertAlign w:val="subscript"/>
          <w:lang w:val="fr-CH"/>
        </w:rPr>
        <w:t>2</w:t>
      </w:r>
      <w:r w:rsidRPr="00EA7683">
        <w:rPr>
          <w:lang w:val="fr-CH"/>
        </w:rPr>
        <w:t> = 35 787 km − </w:t>
      </w:r>
      <w:r w:rsidRPr="00EA7683">
        <w:rPr>
          <w:i/>
          <w:lang w:val="fr-CH"/>
        </w:rPr>
        <w:t>d</w:t>
      </w:r>
      <w:r w:rsidRPr="00EA7683">
        <w:rPr>
          <w:i/>
          <w:vertAlign w:val="subscript"/>
          <w:lang w:val="fr-CH"/>
        </w:rPr>
        <w:t>NE</w:t>
      </w:r>
      <w:r w:rsidRPr="00EA7683">
        <w:rPr>
          <w:vertAlign w:val="subscript"/>
          <w:lang w:val="fr-CH"/>
        </w:rPr>
        <w:t>2</w:t>
      </w:r>
      <w:r w:rsidRPr="00EA7683">
        <w:rPr>
          <w:lang w:val="fr-CH"/>
        </w:rPr>
        <w:t>)</w:t>
      </w:r>
    </w:p>
    <w:p w:rsidR="00EA7683" w:rsidRPr="00EA7683" w:rsidRDefault="00EA7683" w:rsidP="00EA7683">
      <w:pPr>
        <w:pStyle w:val="Equationlegend"/>
        <w:rPr>
          <w:lang w:val="fr-CH"/>
        </w:rPr>
      </w:pPr>
      <w:r w:rsidRPr="00EA7683">
        <w:rPr>
          <w:lang w:val="fr-CH"/>
        </w:rPr>
        <w:tab/>
      </w:r>
      <w:r w:rsidRPr="00EA7683">
        <w:rPr>
          <w:i/>
          <w:lang w:val="fr-CH"/>
        </w:rPr>
        <w:t>h</w:t>
      </w:r>
      <w:r w:rsidRPr="00EA7683">
        <w:rPr>
          <w:i/>
          <w:szCs w:val="24"/>
          <w:vertAlign w:val="subscript"/>
          <w:lang w:val="fr-CH"/>
        </w:rPr>
        <w:t>O</w:t>
      </w:r>
      <w:r w:rsidRPr="00EA7683">
        <w:rPr>
          <w:lang w:val="fr-CH"/>
        </w:rPr>
        <w:t xml:space="preserve">: </w:t>
      </w:r>
      <w:r w:rsidRPr="00EA7683">
        <w:rPr>
          <w:lang w:val="fr-CH"/>
        </w:rPr>
        <w:tab/>
        <w:t>altitude de l'orbite du satellite non OSG</w:t>
      </w:r>
    </w:p>
    <w:p w:rsidR="00EA7683" w:rsidRPr="00EA7683" w:rsidRDefault="00EA7683" w:rsidP="00EA7683">
      <w:pPr>
        <w:pStyle w:val="Equationlegend"/>
        <w:rPr>
          <w:lang w:val="fr-CH"/>
        </w:rPr>
      </w:pPr>
      <w:r w:rsidRPr="00EA7683">
        <w:rPr>
          <w:lang w:val="fr-CH"/>
        </w:rPr>
        <w:tab/>
      </w:r>
      <w:r w:rsidRPr="00EA7683">
        <w:rPr>
          <w:i/>
          <w:lang w:val="fr-CH"/>
        </w:rPr>
        <w:t>R</w:t>
      </w:r>
      <w:r w:rsidRPr="00EA7683">
        <w:rPr>
          <w:lang w:val="fr-CH"/>
        </w:rPr>
        <w:t xml:space="preserve">: </w:t>
      </w:r>
      <w:r w:rsidRPr="00EA7683">
        <w:rPr>
          <w:lang w:val="fr-CH"/>
        </w:rPr>
        <w:tab/>
        <w:t>rayon de la Terre (6 378 km).</w:t>
      </w:r>
    </w:p>
    <w:p w:rsidR="00EA7683" w:rsidRDefault="00EA7683" w:rsidP="00EA7683">
      <w:pPr>
        <w:rPr>
          <w:lang w:eastAsia="ja-JP"/>
        </w:rPr>
      </w:pPr>
      <w:r>
        <w:rPr>
          <w:lang w:eastAsia="ja-JP"/>
        </w:rPr>
        <w:t xml:space="preserve">Pour le Cas 1, </w:t>
      </w:r>
      <w:r>
        <w:rPr>
          <w:i/>
          <w:lang w:eastAsia="ja-JP"/>
        </w:rPr>
        <w:t>PFD</w:t>
      </w:r>
      <w:r>
        <w:rPr>
          <w:vertAlign w:val="subscript"/>
          <w:lang w:eastAsia="ja-JP"/>
        </w:rPr>
        <w:t>1</w:t>
      </w:r>
      <w:r>
        <w:rPr>
          <w:lang w:eastAsia="ja-JP"/>
        </w:rPr>
        <w:t xml:space="preserve"> = −115 dB(W/(m</w:t>
      </w:r>
      <w:r>
        <w:rPr>
          <w:vertAlign w:val="superscript"/>
          <w:lang w:eastAsia="ja-JP"/>
        </w:rPr>
        <w:t>2</w:t>
      </w:r>
      <w:r>
        <w:rPr>
          <w:sz w:val="18"/>
          <w:szCs w:val="18"/>
          <w:vertAlign w:val="superscript"/>
          <w:lang w:eastAsia="ja-JP"/>
        </w:rPr>
        <w:t> </w:t>
      </w:r>
      <w:r>
        <w:rPr>
          <w:vertAlign w:val="superscript"/>
          <w:lang w:eastAsia="ja-JP"/>
        </w:rPr>
        <w:t>.</w:t>
      </w:r>
      <w:r>
        <w:rPr>
          <w:sz w:val="18"/>
          <w:szCs w:val="18"/>
          <w:lang w:eastAsia="ja-JP"/>
        </w:rPr>
        <w:t> </w:t>
      </w:r>
      <w:r>
        <w:rPr>
          <w:lang w:eastAsia="ja-JP"/>
        </w:rPr>
        <w:t xml:space="preserve">MHz)), </w:t>
      </w:r>
      <w:r>
        <w:rPr>
          <w:i/>
          <w:lang w:eastAsia="ja-JP"/>
        </w:rPr>
        <w:t>PFD</w:t>
      </w:r>
      <w:r>
        <w:rPr>
          <w:vertAlign w:val="subscript"/>
          <w:lang w:eastAsia="ja-JP"/>
        </w:rPr>
        <w:t>2</w:t>
      </w:r>
      <w:r>
        <w:rPr>
          <w:lang w:eastAsia="ja-JP"/>
        </w:rPr>
        <w:t xml:space="preserve"> = −133 dB(W/(m</w:t>
      </w:r>
      <w:r>
        <w:rPr>
          <w:vertAlign w:val="superscript"/>
          <w:lang w:eastAsia="ja-JP"/>
        </w:rPr>
        <w:t>2</w:t>
      </w:r>
      <w:r>
        <w:rPr>
          <w:sz w:val="18"/>
          <w:szCs w:val="18"/>
          <w:lang w:eastAsia="ja-JP"/>
        </w:rPr>
        <w:t> </w:t>
      </w:r>
      <w:r>
        <w:rPr>
          <w:vertAlign w:val="superscript"/>
          <w:lang w:eastAsia="ja-JP"/>
        </w:rPr>
        <w:t>.</w:t>
      </w:r>
      <w:r>
        <w:rPr>
          <w:sz w:val="18"/>
          <w:szCs w:val="18"/>
          <w:lang w:eastAsia="ja-JP"/>
        </w:rPr>
        <w:t> </w:t>
      </w:r>
      <w:r>
        <w:rPr>
          <w:lang w:eastAsia="ja-JP"/>
        </w:rPr>
        <w:t>MHz)) et l'altitude minimale correspondante de l'orbite non OSG serait 2 380 km.</w:t>
      </w:r>
    </w:p>
    <w:p w:rsidR="00EA7683" w:rsidRDefault="00EA7683" w:rsidP="00EA7683">
      <w:pPr>
        <w:rPr>
          <w:lang w:eastAsia="ja-JP"/>
        </w:rPr>
      </w:pPr>
      <w:r>
        <w:rPr>
          <w:lang w:eastAsia="ja-JP"/>
        </w:rPr>
        <w:t xml:space="preserve">Pour le Cas 2, </w:t>
      </w:r>
      <w:r>
        <w:rPr>
          <w:i/>
          <w:lang w:eastAsia="ja-JP"/>
        </w:rPr>
        <w:t>PFD</w:t>
      </w:r>
      <w:r>
        <w:rPr>
          <w:vertAlign w:val="subscript"/>
          <w:lang w:eastAsia="ja-JP"/>
        </w:rPr>
        <w:t>1</w:t>
      </w:r>
      <w:r>
        <w:rPr>
          <w:lang w:eastAsia="ja-JP"/>
        </w:rPr>
        <w:t xml:space="preserve"> = −105 dB(W/(m</w:t>
      </w:r>
      <w:r>
        <w:rPr>
          <w:vertAlign w:val="superscript"/>
          <w:lang w:eastAsia="ja-JP"/>
        </w:rPr>
        <w:t>2</w:t>
      </w:r>
      <w:r>
        <w:rPr>
          <w:sz w:val="18"/>
          <w:szCs w:val="18"/>
          <w:lang w:eastAsia="ja-JP"/>
        </w:rPr>
        <w:t> </w:t>
      </w:r>
      <w:r>
        <w:rPr>
          <w:vertAlign w:val="superscript"/>
          <w:lang w:eastAsia="ja-JP"/>
        </w:rPr>
        <w:t>.</w:t>
      </w:r>
      <w:r>
        <w:rPr>
          <w:sz w:val="18"/>
          <w:szCs w:val="18"/>
          <w:lang w:eastAsia="ja-JP"/>
        </w:rPr>
        <w:t> </w:t>
      </w:r>
      <w:r>
        <w:rPr>
          <w:lang w:eastAsia="ja-JP"/>
        </w:rPr>
        <w:t xml:space="preserve">MHz)), </w:t>
      </w:r>
      <w:r>
        <w:rPr>
          <w:i/>
          <w:lang w:eastAsia="ja-JP"/>
        </w:rPr>
        <w:t>PFD</w:t>
      </w:r>
      <w:r>
        <w:rPr>
          <w:vertAlign w:val="subscript"/>
          <w:lang w:eastAsia="ja-JP"/>
        </w:rPr>
        <w:t>2</w:t>
      </w:r>
      <w:r>
        <w:rPr>
          <w:lang w:eastAsia="ja-JP"/>
        </w:rPr>
        <w:t xml:space="preserve"> = −133 dB(W/(m</w:t>
      </w:r>
      <w:r>
        <w:rPr>
          <w:vertAlign w:val="superscript"/>
          <w:lang w:eastAsia="ja-JP"/>
        </w:rPr>
        <w:t>2</w:t>
      </w:r>
      <w:r>
        <w:rPr>
          <w:sz w:val="18"/>
          <w:szCs w:val="18"/>
          <w:lang w:eastAsia="ja-JP"/>
        </w:rPr>
        <w:t> </w:t>
      </w:r>
      <w:r>
        <w:rPr>
          <w:vertAlign w:val="superscript"/>
          <w:lang w:eastAsia="ja-JP"/>
        </w:rPr>
        <w:t>.</w:t>
      </w:r>
      <w:r>
        <w:rPr>
          <w:sz w:val="18"/>
          <w:szCs w:val="18"/>
          <w:lang w:eastAsia="ja-JP"/>
        </w:rPr>
        <w:t> </w:t>
      </w:r>
      <w:r>
        <w:rPr>
          <w:lang w:eastAsia="ja-JP"/>
        </w:rPr>
        <w:t>MHz)) et l'altitude minimale correspondante de l'orbite non OSG serait 1 370 km.</w:t>
      </w:r>
    </w:p>
    <w:p w:rsidR="00EA7683" w:rsidRDefault="00EA7683" w:rsidP="00EA7683">
      <w:pPr>
        <w:rPr>
          <w:lang w:eastAsia="ja-JP"/>
        </w:rPr>
      </w:pPr>
      <w:r>
        <w:rPr>
          <w:lang w:eastAsia="ja-JP"/>
        </w:rPr>
        <w:t>A l'altitude minimale de l'orbite de 1 370 km correspond au cas le plus défavorable, c'est cette distance qui a servi de base à la présente Recommandation.</w:t>
      </w:r>
    </w:p>
    <w:p w:rsidR="00BF0A62" w:rsidRDefault="00BF0A62" w:rsidP="00EA7683">
      <w:pPr>
        <w:rPr>
          <w:lang w:eastAsia="ja-JP"/>
        </w:rPr>
      </w:pPr>
    </w:p>
    <w:p w:rsidR="00EA7683" w:rsidRPr="006003E2" w:rsidRDefault="00EA7683" w:rsidP="00EA7683">
      <w:pPr>
        <w:pStyle w:val="Line"/>
        <w:rPr>
          <w:lang w:val="fr-CH"/>
        </w:rPr>
      </w:pPr>
    </w:p>
    <w:p w:rsidR="00EA7683" w:rsidRPr="00EA7683" w:rsidRDefault="00EA7683" w:rsidP="00A6617B">
      <w:pPr>
        <w:rPr>
          <w:lang w:val="fr-CH"/>
        </w:rPr>
      </w:pPr>
    </w:p>
    <w:sectPr w:rsidR="00EA7683" w:rsidRPr="00EA7683" w:rsidSect="00AD1875">
      <w:headerReference w:type="even" r:id="rId2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5CA1" w:rsidRDefault="005E5CA1">
      <w:r>
        <w:separator/>
      </w:r>
    </w:p>
  </w:endnote>
  <w:endnote w:type="continuationSeparator" w:id="0">
    <w:p w:rsidR="005E5CA1" w:rsidRDefault="005E5C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5CA1" w:rsidRDefault="005E5CA1">
      <w:r>
        <w:separator/>
      </w:r>
    </w:p>
  </w:footnote>
  <w:footnote w:type="continuationSeparator" w:id="0">
    <w:p w:rsidR="005E5CA1" w:rsidRDefault="005E5CA1">
      <w:r>
        <w:continuationSeparator/>
      </w:r>
    </w:p>
  </w:footnote>
  <w:footnote w:id="1">
    <w:p w:rsidR="005E5CA1" w:rsidRDefault="005E5CA1" w:rsidP="00EA7683">
      <w:pPr>
        <w:pStyle w:val="FootnoteText"/>
      </w:pPr>
      <w:r>
        <w:rPr>
          <w:rStyle w:val="FootnoteReference"/>
        </w:rPr>
        <w:footnoteRef/>
      </w:r>
      <w:r>
        <w:tab/>
        <w:t>L'utilisation de la bande</w:t>
      </w:r>
      <w:r>
        <w:rPr>
          <w:rStyle w:val="SC2503"/>
        </w:rPr>
        <w:t xml:space="preserve"> 25,25-27,5 GHz par le service inter</w:t>
      </w:r>
      <w:r>
        <w:rPr>
          <w:rStyle w:val="SC2503"/>
        </w:rPr>
        <w:noBreakHyphen/>
        <w:t>satellites est limitée aux applications de la recherche spatiale et aux applications des satellites d'exploration de la Terre.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CA1" w:rsidRDefault="005E5CA1">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CA1" w:rsidRDefault="005E5CA1" w:rsidP="005E5CA1">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CA1" w:rsidRPr="00837CB5" w:rsidRDefault="00E65035">
    <w:pPr>
      <w:pStyle w:val="Header"/>
      <w:jc w:val="left"/>
    </w:pPr>
    <w:r>
      <w:rPr>
        <w:rStyle w:val="PageNumber"/>
        <w:b/>
        <w:bCs/>
      </w:rPr>
      <w:fldChar w:fldCharType="begin"/>
    </w:r>
    <w:r w:rsidR="005E5CA1" w:rsidRPr="00837CB5">
      <w:rPr>
        <w:rStyle w:val="PageNumber"/>
        <w:b/>
        <w:bCs/>
      </w:rPr>
      <w:instrText xml:space="preserve"> PAGE </w:instrText>
    </w:r>
    <w:r>
      <w:rPr>
        <w:rStyle w:val="PageNumber"/>
        <w:b/>
        <w:bCs/>
      </w:rPr>
      <w:fldChar w:fldCharType="separate"/>
    </w:r>
    <w:r w:rsidR="00490E78">
      <w:rPr>
        <w:rStyle w:val="PageNumber"/>
        <w:b/>
        <w:bCs/>
        <w:noProof/>
      </w:rPr>
      <w:t>ii</w:t>
    </w:r>
    <w:r>
      <w:rPr>
        <w:rStyle w:val="PageNumber"/>
        <w:b/>
        <w:bCs/>
      </w:rPr>
      <w:fldChar w:fldCharType="end"/>
    </w:r>
    <w:r w:rsidR="005E5CA1" w:rsidRPr="00837CB5">
      <w:tab/>
    </w:r>
    <w:fldSimple w:instr=" DOCPROPERTY &quot;Header&quot; \* MERGEFORMAT ">
      <w:r w:rsidR="00490E78" w:rsidRPr="00490E78">
        <w:rPr>
          <w:b/>
          <w:bCs/>
        </w:rPr>
        <w:t xml:space="preserve">Rec. </w:t>
      </w:r>
    </w:fldSimple>
    <w:r w:rsidR="005E5CA1">
      <w:rPr>
        <w:b/>
        <w:bCs/>
      </w:rPr>
      <w:t xml:space="preserve"> </w:t>
    </w:r>
    <w:r>
      <w:rPr>
        <w:b/>
        <w:bCs/>
      </w:rPr>
      <w:fldChar w:fldCharType="begin"/>
    </w:r>
    <w:r w:rsidR="005E5CA1" w:rsidRPr="00837CB5">
      <w:rPr>
        <w:b/>
        <w:bCs/>
      </w:rPr>
      <w:instrText>styleref href</w:instrText>
    </w:r>
    <w:r>
      <w:rPr>
        <w:b/>
        <w:bCs/>
      </w:rPr>
      <w:fldChar w:fldCharType="separate"/>
    </w:r>
    <w:r w:rsidR="00490E78">
      <w:rPr>
        <w:b/>
        <w:bCs/>
        <w:noProof/>
      </w:rPr>
      <w:t>UIT-R  SA.1862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CA1" w:rsidRDefault="005E5CA1">
    <w:pPr>
      <w:pStyle w:val="Header"/>
    </w:pPr>
    <w:r>
      <w:tab/>
    </w:r>
    <w:fldSimple w:instr=" DOCPROPERTY &quot;Header&quot; \* MERGEFORMAT ">
      <w:r w:rsidR="00490E78" w:rsidRPr="00490E78">
        <w:rPr>
          <w:b/>
          <w:bCs/>
        </w:rPr>
        <w:t xml:space="preserve">Rec. </w:t>
      </w:r>
    </w:fldSimple>
    <w:r>
      <w:rPr>
        <w:b/>
        <w:bCs/>
      </w:rPr>
      <w:t xml:space="preserve"> </w:t>
    </w:r>
    <w:r w:rsidR="00E65035">
      <w:rPr>
        <w:b/>
        <w:bCs/>
      </w:rPr>
      <w:fldChar w:fldCharType="begin"/>
    </w:r>
    <w:r>
      <w:rPr>
        <w:b/>
        <w:bCs/>
      </w:rPr>
      <w:instrText>styleref href</w:instrText>
    </w:r>
    <w:r w:rsidR="00E65035">
      <w:rPr>
        <w:b/>
        <w:bCs/>
      </w:rPr>
      <w:fldChar w:fldCharType="separate"/>
    </w:r>
    <w:r w:rsidR="00490E78">
      <w:rPr>
        <w:b/>
        <w:bCs/>
        <w:noProof/>
      </w:rPr>
      <w:t>UIT-R  SA.1862</w:t>
    </w:r>
    <w:r w:rsidR="00E65035">
      <w:rPr>
        <w:b/>
        <w:bCs/>
      </w:rPr>
      <w:fldChar w:fldCharType="end"/>
    </w:r>
    <w:r>
      <w:tab/>
    </w:r>
    <w:r w:rsidR="00E65035">
      <w:rPr>
        <w:rStyle w:val="PageNumber"/>
        <w:b/>
        <w:bCs/>
      </w:rPr>
      <w:fldChar w:fldCharType="begin"/>
    </w:r>
    <w:r>
      <w:rPr>
        <w:rStyle w:val="PageNumber"/>
        <w:b/>
        <w:bCs/>
      </w:rPr>
      <w:instrText xml:space="preserve"> PAGE </w:instrText>
    </w:r>
    <w:r w:rsidR="00E65035">
      <w:rPr>
        <w:rStyle w:val="PageNumber"/>
        <w:b/>
        <w:bCs/>
      </w:rPr>
      <w:fldChar w:fldCharType="separate"/>
    </w:r>
    <w:r>
      <w:rPr>
        <w:rStyle w:val="PageNumber"/>
        <w:b/>
        <w:bCs/>
        <w:noProof/>
      </w:rPr>
      <w:t>1</w:t>
    </w:r>
    <w:r w:rsidR="00E65035">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CA1" w:rsidRDefault="00E65035">
    <w:pPr>
      <w:pStyle w:val="Header"/>
      <w:jc w:val="left"/>
      <w:rPr>
        <w:lang w:val="en-US"/>
      </w:rPr>
    </w:pPr>
    <w:r>
      <w:rPr>
        <w:rStyle w:val="PageNumber"/>
        <w:b/>
        <w:bCs/>
      </w:rPr>
      <w:fldChar w:fldCharType="begin"/>
    </w:r>
    <w:r w:rsidR="005E5CA1">
      <w:rPr>
        <w:rStyle w:val="PageNumber"/>
        <w:b/>
        <w:bCs/>
        <w:lang w:val="en-US"/>
      </w:rPr>
      <w:instrText xml:space="preserve"> PAGE </w:instrText>
    </w:r>
    <w:r>
      <w:rPr>
        <w:rStyle w:val="PageNumber"/>
        <w:b/>
        <w:bCs/>
      </w:rPr>
      <w:fldChar w:fldCharType="separate"/>
    </w:r>
    <w:r w:rsidR="00490E78">
      <w:rPr>
        <w:rStyle w:val="PageNumber"/>
        <w:b/>
        <w:bCs/>
        <w:noProof/>
        <w:lang w:val="en-US"/>
      </w:rPr>
      <w:t>12</w:t>
    </w:r>
    <w:r>
      <w:rPr>
        <w:rStyle w:val="PageNumber"/>
        <w:b/>
        <w:bCs/>
      </w:rPr>
      <w:fldChar w:fldCharType="end"/>
    </w:r>
    <w:r w:rsidR="005E5CA1">
      <w:rPr>
        <w:lang w:val="en-US"/>
      </w:rPr>
      <w:tab/>
    </w:r>
    <w:fldSimple w:instr=" DOCPROPERTY &quot;Header&quot; \* MERGEFORMAT ">
      <w:r w:rsidR="00490E78" w:rsidRPr="00490E78">
        <w:rPr>
          <w:b/>
          <w:bCs/>
          <w:lang w:val="en-US"/>
        </w:rPr>
        <w:t xml:space="preserve">Rec. </w:t>
      </w:r>
    </w:fldSimple>
    <w:r w:rsidR="005E5CA1">
      <w:rPr>
        <w:b/>
        <w:bCs/>
      </w:rPr>
      <w:t xml:space="preserve"> </w:t>
    </w:r>
    <w:r>
      <w:rPr>
        <w:b/>
        <w:bCs/>
      </w:rPr>
      <w:fldChar w:fldCharType="begin"/>
    </w:r>
    <w:r w:rsidR="005E5CA1">
      <w:rPr>
        <w:b/>
        <w:bCs/>
        <w:lang w:val="en-US"/>
      </w:rPr>
      <w:instrText>styleref href</w:instrText>
    </w:r>
    <w:r>
      <w:rPr>
        <w:b/>
        <w:bCs/>
      </w:rPr>
      <w:fldChar w:fldCharType="separate"/>
    </w:r>
    <w:r w:rsidR="00490E78">
      <w:rPr>
        <w:b/>
        <w:bCs/>
        <w:noProof/>
      </w:rPr>
      <w:t>UIT-R  SA.1862</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CA1" w:rsidRDefault="005E5CA1">
    <w:pPr>
      <w:pStyle w:val="Header"/>
    </w:pPr>
    <w:r>
      <w:tab/>
    </w:r>
    <w:fldSimple w:instr=" DOCPROPERTY &quot;Header&quot; \* MERGEFORMAT ">
      <w:r w:rsidR="00490E78" w:rsidRPr="00490E78">
        <w:rPr>
          <w:b/>
          <w:bCs/>
        </w:rPr>
        <w:t xml:space="preserve">Rec. </w:t>
      </w:r>
    </w:fldSimple>
    <w:r>
      <w:rPr>
        <w:b/>
        <w:bCs/>
      </w:rPr>
      <w:t xml:space="preserve"> </w:t>
    </w:r>
    <w:r w:rsidR="00E65035">
      <w:rPr>
        <w:b/>
        <w:bCs/>
      </w:rPr>
      <w:fldChar w:fldCharType="begin"/>
    </w:r>
    <w:r>
      <w:rPr>
        <w:b/>
        <w:bCs/>
      </w:rPr>
      <w:instrText>styleref href</w:instrText>
    </w:r>
    <w:r w:rsidR="00E65035">
      <w:rPr>
        <w:b/>
        <w:bCs/>
      </w:rPr>
      <w:fldChar w:fldCharType="separate"/>
    </w:r>
    <w:r w:rsidR="00490E78">
      <w:rPr>
        <w:b/>
        <w:bCs/>
        <w:noProof/>
      </w:rPr>
      <w:t>UIT-R  SA.1862</w:t>
    </w:r>
    <w:r w:rsidR="00E65035">
      <w:rPr>
        <w:b/>
        <w:bCs/>
      </w:rPr>
      <w:fldChar w:fldCharType="end"/>
    </w:r>
    <w:r>
      <w:tab/>
    </w:r>
    <w:r w:rsidR="00E65035">
      <w:rPr>
        <w:rStyle w:val="PageNumber"/>
        <w:b/>
        <w:bCs/>
      </w:rPr>
      <w:fldChar w:fldCharType="begin"/>
    </w:r>
    <w:r>
      <w:rPr>
        <w:rStyle w:val="PageNumber"/>
        <w:b/>
        <w:bCs/>
      </w:rPr>
      <w:instrText xml:space="preserve"> PAGE </w:instrText>
    </w:r>
    <w:r w:rsidR="00E65035">
      <w:rPr>
        <w:rStyle w:val="PageNumber"/>
        <w:b/>
        <w:bCs/>
      </w:rPr>
      <w:fldChar w:fldCharType="separate"/>
    </w:r>
    <w:r w:rsidR="00490E78">
      <w:rPr>
        <w:rStyle w:val="PageNumber"/>
        <w:b/>
        <w:bCs/>
        <w:noProof/>
      </w:rPr>
      <w:t>13</w:t>
    </w:r>
    <w:r w:rsidR="00E65035">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rsids>
    <w:rsidRoot w:val="00AD1875"/>
    <w:rsid w:val="00164DD2"/>
    <w:rsid w:val="001F739A"/>
    <w:rsid w:val="00217EBF"/>
    <w:rsid w:val="002D76C4"/>
    <w:rsid w:val="0042490D"/>
    <w:rsid w:val="00490E78"/>
    <w:rsid w:val="00554075"/>
    <w:rsid w:val="005E5CA1"/>
    <w:rsid w:val="006003E2"/>
    <w:rsid w:val="00607D68"/>
    <w:rsid w:val="007468DA"/>
    <w:rsid w:val="00A6617B"/>
    <w:rsid w:val="00AB0DC8"/>
    <w:rsid w:val="00AD1875"/>
    <w:rsid w:val="00B44E24"/>
    <w:rsid w:val="00B84307"/>
    <w:rsid w:val="00BF0A62"/>
    <w:rsid w:val="00DF4176"/>
    <w:rsid w:val="00E65035"/>
    <w:rsid w:val="00EA7683"/>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739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F739A"/>
    <w:pPr>
      <w:keepNext/>
      <w:keepLines/>
      <w:spacing w:before="480"/>
      <w:ind w:left="794" w:hanging="794"/>
      <w:outlineLvl w:val="0"/>
    </w:pPr>
    <w:rPr>
      <w:b/>
    </w:rPr>
  </w:style>
  <w:style w:type="paragraph" w:styleId="Heading2">
    <w:name w:val="heading 2"/>
    <w:basedOn w:val="Heading1"/>
    <w:next w:val="Normal"/>
    <w:link w:val="Heading2Char"/>
    <w:qFormat/>
    <w:rsid w:val="001F739A"/>
    <w:pPr>
      <w:spacing w:before="320"/>
      <w:outlineLvl w:val="1"/>
    </w:pPr>
  </w:style>
  <w:style w:type="paragraph" w:styleId="Heading3">
    <w:name w:val="heading 3"/>
    <w:basedOn w:val="Heading1"/>
    <w:next w:val="Normal"/>
    <w:link w:val="Heading3Char"/>
    <w:qFormat/>
    <w:rsid w:val="001F739A"/>
    <w:pPr>
      <w:spacing w:before="200"/>
      <w:outlineLvl w:val="2"/>
    </w:pPr>
  </w:style>
  <w:style w:type="paragraph" w:styleId="Heading4">
    <w:name w:val="heading 4"/>
    <w:basedOn w:val="Heading3"/>
    <w:next w:val="Normal"/>
    <w:link w:val="Heading4Char"/>
    <w:qFormat/>
    <w:rsid w:val="001F739A"/>
    <w:pPr>
      <w:tabs>
        <w:tab w:val="clear" w:pos="794"/>
        <w:tab w:val="left" w:pos="992"/>
      </w:tabs>
      <w:ind w:left="992" w:hanging="992"/>
      <w:outlineLvl w:val="3"/>
    </w:pPr>
  </w:style>
  <w:style w:type="paragraph" w:styleId="Heading5">
    <w:name w:val="heading 5"/>
    <w:basedOn w:val="Heading4"/>
    <w:next w:val="Normal"/>
    <w:link w:val="Heading5Char"/>
    <w:qFormat/>
    <w:rsid w:val="001F739A"/>
    <w:pPr>
      <w:outlineLvl w:val="4"/>
    </w:pPr>
  </w:style>
  <w:style w:type="paragraph" w:styleId="Heading6">
    <w:name w:val="heading 6"/>
    <w:basedOn w:val="Heading4"/>
    <w:next w:val="Normal"/>
    <w:link w:val="Heading6Char"/>
    <w:qFormat/>
    <w:rsid w:val="001F739A"/>
    <w:pPr>
      <w:tabs>
        <w:tab w:val="clear" w:pos="992"/>
        <w:tab w:val="clear" w:pos="1191"/>
      </w:tabs>
      <w:ind w:left="1588" w:hanging="1588"/>
      <w:outlineLvl w:val="5"/>
    </w:pPr>
  </w:style>
  <w:style w:type="paragraph" w:styleId="Heading7">
    <w:name w:val="heading 7"/>
    <w:basedOn w:val="Heading6"/>
    <w:next w:val="Normal"/>
    <w:link w:val="Heading7Char"/>
    <w:qFormat/>
    <w:rsid w:val="001F739A"/>
    <w:pPr>
      <w:outlineLvl w:val="6"/>
    </w:pPr>
  </w:style>
  <w:style w:type="paragraph" w:styleId="Heading8">
    <w:name w:val="heading 8"/>
    <w:basedOn w:val="Heading6"/>
    <w:next w:val="Normal"/>
    <w:link w:val="Heading8Char"/>
    <w:qFormat/>
    <w:rsid w:val="001F739A"/>
    <w:pPr>
      <w:outlineLvl w:val="7"/>
    </w:pPr>
  </w:style>
  <w:style w:type="paragraph" w:styleId="Heading9">
    <w:name w:val="heading 9"/>
    <w:basedOn w:val="Heading6"/>
    <w:next w:val="Normal"/>
    <w:link w:val="Heading9Char"/>
    <w:qFormat/>
    <w:rsid w:val="001F739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1F739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F739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F739A"/>
  </w:style>
  <w:style w:type="paragraph" w:customStyle="1" w:styleId="Headingb">
    <w:name w:val="Heading_b"/>
    <w:basedOn w:val="Heading3"/>
    <w:next w:val="Normal"/>
    <w:rsid w:val="001F739A"/>
    <w:pPr>
      <w:spacing w:before="160"/>
      <w:ind w:left="0" w:firstLine="0"/>
      <w:outlineLvl w:val="9"/>
    </w:pPr>
  </w:style>
  <w:style w:type="paragraph" w:customStyle="1" w:styleId="Headingi">
    <w:name w:val="Heading_i"/>
    <w:basedOn w:val="Heading3"/>
    <w:next w:val="Normal"/>
    <w:rsid w:val="001F739A"/>
    <w:pPr>
      <w:spacing w:before="160"/>
      <w:ind w:left="0" w:firstLine="0"/>
    </w:pPr>
    <w:rPr>
      <w:b w:val="0"/>
      <w:i/>
    </w:rPr>
  </w:style>
  <w:style w:type="character" w:customStyle="1" w:styleId="href">
    <w:name w:val="href"/>
    <w:basedOn w:val="DefaultParagraphFont"/>
    <w:rsid w:val="001F739A"/>
  </w:style>
  <w:style w:type="paragraph" w:customStyle="1" w:styleId="enumlev1">
    <w:name w:val="enumlev1"/>
    <w:basedOn w:val="Normal"/>
    <w:rsid w:val="001F739A"/>
    <w:pPr>
      <w:spacing w:before="80"/>
      <w:ind w:left="794" w:hanging="794"/>
    </w:pPr>
  </w:style>
  <w:style w:type="paragraph" w:customStyle="1" w:styleId="enumlev2">
    <w:name w:val="enumlev2"/>
    <w:basedOn w:val="enumlev1"/>
    <w:rsid w:val="001F739A"/>
    <w:pPr>
      <w:ind w:left="1191" w:hanging="397"/>
    </w:pPr>
  </w:style>
  <w:style w:type="paragraph" w:customStyle="1" w:styleId="enumlev3">
    <w:name w:val="enumlev3"/>
    <w:basedOn w:val="enumlev2"/>
    <w:rsid w:val="001F739A"/>
    <w:pPr>
      <w:ind w:left="1588"/>
    </w:pPr>
  </w:style>
  <w:style w:type="paragraph" w:customStyle="1" w:styleId="Normalaftertitle">
    <w:name w:val="Normal_after_title"/>
    <w:basedOn w:val="Normal"/>
    <w:next w:val="Normal"/>
    <w:rsid w:val="001F739A"/>
    <w:pPr>
      <w:spacing w:before="320"/>
    </w:pPr>
  </w:style>
  <w:style w:type="paragraph" w:customStyle="1" w:styleId="Note">
    <w:name w:val="Note"/>
    <w:basedOn w:val="Normal"/>
    <w:rsid w:val="001F739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F739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1F739A"/>
    <w:pPr>
      <w:spacing w:before="240"/>
    </w:pPr>
    <w:rPr>
      <w:sz w:val="22"/>
      <w:lang w:val="es-ES_tradnl"/>
    </w:rPr>
  </w:style>
  <w:style w:type="paragraph" w:customStyle="1" w:styleId="Recref">
    <w:name w:val="Rec_ref"/>
    <w:basedOn w:val="Normal"/>
    <w:next w:val="Recdate"/>
    <w:rsid w:val="001F739A"/>
    <w:pPr>
      <w:jc w:val="center"/>
    </w:pPr>
  </w:style>
  <w:style w:type="paragraph" w:customStyle="1" w:styleId="Recdate">
    <w:name w:val="Rec_date"/>
    <w:basedOn w:val="Recref"/>
    <w:next w:val="Normalaftertitle"/>
    <w:rsid w:val="001F739A"/>
    <w:pPr>
      <w:jc w:val="right"/>
    </w:pPr>
  </w:style>
  <w:style w:type="paragraph" w:customStyle="1" w:styleId="AnnexNoTitle">
    <w:name w:val="Annex_NoTitle"/>
    <w:basedOn w:val="Normal"/>
    <w:next w:val="Normalaftertitle"/>
    <w:rsid w:val="001F739A"/>
    <w:pPr>
      <w:keepNext/>
      <w:keepLines/>
      <w:spacing w:before="480" w:after="80"/>
      <w:jc w:val="center"/>
    </w:pPr>
    <w:rPr>
      <w:b/>
      <w:sz w:val="28"/>
    </w:rPr>
  </w:style>
  <w:style w:type="paragraph" w:customStyle="1" w:styleId="AppendixNoTitle">
    <w:name w:val="Appendix_NoTitle"/>
    <w:basedOn w:val="AnnexNoTitle"/>
    <w:next w:val="Normal"/>
    <w:rsid w:val="001F739A"/>
  </w:style>
  <w:style w:type="paragraph" w:customStyle="1" w:styleId="Tablefin">
    <w:name w:val="Table_fin"/>
    <w:basedOn w:val="Normal"/>
    <w:next w:val="Normal"/>
    <w:rsid w:val="001F739A"/>
    <w:pPr>
      <w:spacing w:before="0"/>
    </w:pPr>
    <w:rPr>
      <w:sz w:val="20"/>
      <w:lang w:val="en-GB"/>
    </w:rPr>
  </w:style>
  <w:style w:type="paragraph" w:customStyle="1" w:styleId="Tablehead">
    <w:name w:val="Table_head"/>
    <w:basedOn w:val="Normal"/>
    <w:next w:val="Normal"/>
    <w:rsid w:val="001F739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F73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F739A"/>
    <w:pPr>
      <w:keepNext/>
      <w:spacing w:before="360" w:after="120"/>
      <w:jc w:val="center"/>
    </w:pPr>
  </w:style>
  <w:style w:type="paragraph" w:customStyle="1" w:styleId="Tabletext">
    <w:name w:val="Table_text"/>
    <w:basedOn w:val="Normal"/>
    <w:rsid w:val="001F73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F739A"/>
    <w:pPr>
      <w:tabs>
        <w:tab w:val="clear" w:pos="1191"/>
        <w:tab w:val="clear" w:pos="1588"/>
        <w:tab w:val="clear" w:pos="1985"/>
        <w:tab w:val="center" w:pos="4820"/>
        <w:tab w:val="right" w:pos="9639"/>
      </w:tabs>
    </w:pPr>
  </w:style>
  <w:style w:type="paragraph" w:customStyle="1" w:styleId="Equationlegend">
    <w:name w:val="Equation_legend"/>
    <w:basedOn w:val="NormalIndent"/>
    <w:rsid w:val="001F739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F739A"/>
    <w:pPr>
      <w:ind w:left="794"/>
    </w:pPr>
  </w:style>
  <w:style w:type="paragraph" w:customStyle="1" w:styleId="Figurelegend">
    <w:name w:val="Figure_legend"/>
    <w:basedOn w:val="Normal"/>
    <w:rsid w:val="001F739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1F739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F739A"/>
    <w:pPr>
      <w:keepNext/>
      <w:keepLines/>
      <w:spacing w:before="480"/>
      <w:jc w:val="center"/>
    </w:pPr>
    <w:rPr>
      <w:sz w:val="28"/>
    </w:rPr>
  </w:style>
  <w:style w:type="paragraph" w:customStyle="1" w:styleId="Arttitle">
    <w:name w:val="Art_title"/>
    <w:basedOn w:val="Normal"/>
    <w:next w:val="Normalaftertitle"/>
    <w:rsid w:val="001F739A"/>
    <w:pPr>
      <w:keepNext/>
      <w:keepLines/>
      <w:spacing w:before="240"/>
      <w:jc w:val="center"/>
    </w:pPr>
    <w:rPr>
      <w:b/>
      <w:sz w:val="28"/>
    </w:rPr>
  </w:style>
  <w:style w:type="paragraph" w:customStyle="1" w:styleId="Blanc">
    <w:name w:val="Blanc"/>
    <w:basedOn w:val="Normal"/>
    <w:next w:val="Tabletext"/>
    <w:rsid w:val="001F739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F739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F739A"/>
    <w:pPr>
      <w:keepNext/>
      <w:keepLines/>
      <w:spacing w:before="160"/>
      <w:ind w:left="794"/>
    </w:pPr>
    <w:rPr>
      <w:i/>
    </w:rPr>
  </w:style>
  <w:style w:type="paragraph" w:customStyle="1" w:styleId="ChapNo">
    <w:name w:val="Chap_No"/>
    <w:basedOn w:val="ArtNo"/>
    <w:next w:val="Chaptitle"/>
    <w:rsid w:val="001F739A"/>
    <w:rPr>
      <w:b/>
    </w:rPr>
  </w:style>
  <w:style w:type="paragraph" w:customStyle="1" w:styleId="Chaptitle">
    <w:name w:val="Chap_title"/>
    <w:basedOn w:val="Arttitle"/>
    <w:next w:val="Normalaftertitle"/>
    <w:rsid w:val="001F739A"/>
  </w:style>
  <w:style w:type="character" w:styleId="FootnoteReference">
    <w:name w:val="footnote reference"/>
    <w:aliases w:val="Appel note de bas de p"/>
    <w:basedOn w:val="DefaultParagraphFont"/>
    <w:rsid w:val="001F739A"/>
    <w:rPr>
      <w:position w:val="6"/>
      <w:sz w:val="18"/>
    </w:rPr>
  </w:style>
  <w:style w:type="paragraph" w:styleId="FootnoteText">
    <w:name w:val="footnote text"/>
    <w:aliases w:val="footnote text"/>
    <w:basedOn w:val="Normal"/>
    <w:link w:val="FootnoteTextChar"/>
    <w:rsid w:val="001F739A"/>
    <w:pPr>
      <w:keepLines/>
      <w:tabs>
        <w:tab w:val="left" w:pos="255"/>
      </w:tabs>
      <w:ind w:left="255" w:hanging="255"/>
    </w:pPr>
    <w:rPr>
      <w:sz w:val="22"/>
    </w:rPr>
  </w:style>
  <w:style w:type="paragraph" w:styleId="Index1">
    <w:name w:val="index 1"/>
    <w:basedOn w:val="Normal"/>
    <w:next w:val="Normal"/>
    <w:rsid w:val="001F739A"/>
  </w:style>
  <w:style w:type="paragraph" w:styleId="Index2">
    <w:name w:val="index 2"/>
    <w:basedOn w:val="Normal"/>
    <w:next w:val="Normal"/>
    <w:rsid w:val="001F739A"/>
    <w:pPr>
      <w:ind w:left="283"/>
    </w:pPr>
  </w:style>
  <w:style w:type="paragraph" w:styleId="Index3">
    <w:name w:val="index 3"/>
    <w:basedOn w:val="Normal"/>
    <w:next w:val="Normal"/>
    <w:rsid w:val="001F739A"/>
    <w:pPr>
      <w:ind w:left="566"/>
    </w:pPr>
  </w:style>
  <w:style w:type="paragraph" w:styleId="IndexHeading">
    <w:name w:val="index heading"/>
    <w:basedOn w:val="Normal"/>
    <w:next w:val="Index1"/>
    <w:semiHidden/>
    <w:rsid w:val="001F739A"/>
  </w:style>
  <w:style w:type="paragraph" w:customStyle="1" w:styleId="Line">
    <w:name w:val="Line"/>
    <w:basedOn w:val="Normal"/>
    <w:next w:val="Normal"/>
    <w:rsid w:val="001F739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F739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F739A"/>
  </w:style>
  <w:style w:type="paragraph" w:customStyle="1" w:styleId="Partref">
    <w:name w:val="Part_ref"/>
    <w:basedOn w:val="Normal"/>
    <w:next w:val="Normal"/>
    <w:rsid w:val="001F739A"/>
    <w:pPr>
      <w:keepNext/>
      <w:keepLines/>
      <w:spacing w:after="280"/>
      <w:jc w:val="center"/>
    </w:pPr>
  </w:style>
  <w:style w:type="paragraph" w:customStyle="1" w:styleId="Parttitle">
    <w:name w:val="Part_title"/>
    <w:basedOn w:val="Normal"/>
    <w:next w:val="Normalaftertitle"/>
    <w:rsid w:val="001F739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F739A"/>
  </w:style>
  <w:style w:type="paragraph" w:customStyle="1" w:styleId="QuestionNo">
    <w:name w:val="Question_No"/>
    <w:basedOn w:val="RecNo"/>
    <w:next w:val="Normal"/>
    <w:rsid w:val="001F739A"/>
  </w:style>
  <w:style w:type="paragraph" w:customStyle="1" w:styleId="Questionref">
    <w:name w:val="Question_ref"/>
    <w:basedOn w:val="Recref"/>
    <w:next w:val="Questiondate"/>
    <w:rsid w:val="001F739A"/>
  </w:style>
  <w:style w:type="paragraph" w:customStyle="1" w:styleId="Questiontitle">
    <w:name w:val="Question_title"/>
    <w:basedOn w:val="Normal"/>
    <w:next w:val="Questionref"/>
    <w:rsid w:val="001F739A"/>
  </w:style>
  <w:style w:type="paragraph" w:customStyle="1" w:styleId="Reftext">
    <w:name w:val="Ref_text"/>
    <w:basedOn w:val="Normal"/>
    <w:rsid w:val="001F739A"/>
    <w:pPr>
      <w:ind w:left="794" w:hanging="794"/>
    </w:pPr>
    <w:rPr>
      <w:sz w:val="22"/>
    </w:rPr>
  </w:style>
  <w:style w:type="paragraph" w:customStyle="1" w:styleId="Reftitle">
    <w:name w:val="Ref_title"/>
    <w:basedOn w:val="Normal"/>
    <w:next w:val="Reftext"/>
    <w:rsid w:val="001F739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F739A"/>
  </w:style>
  <w:style w:type="paragraph" w:customStyle="1" w:styleId="RepNo">
    <w:name w:val="Rep_No"/>
    <w:basedOn w:val="RecNo"/>
    <w:next w:val="Reptitle"/>
    <w:rsid w:val="001F739A"/>
  </w:style>
  <w:style w:type="paragraph" w:customStyle="1" w:styleId="Repref">
    <w:name w:val="Rep_ref"/>
    <w:basedOn w:val="Recref"/>
    <w:next w:val="Repdate"/>
    <w:rsid w:val="001F739A"/>
  </w:style>
  <w:style w:type="paragraph" w:customStyle="1" w:styleId="Reptitle">
    <w:name w:val="Rep_title"/>
    <w:basedOn w:val="Rectitle"/>
    <w:next w:val="Repref"/>
    <w:rsid w:val="001F739A"/>
  </w:style>
  <w:style w:type="paragraph" w:customStyle="1" w:styleId="Resdate">
    <w:name w:val="Res_date"/>
    <w:basedOn w:val="Recdate"/>
    <w:next w:val="Normalaftertitle"/>
    <w:rsid w:val="001F739A"/>
  </w:style>
  <w:style w:type="paragraph" w:customStyle="1" w:styleId="ResNo">
    <w:name w:val="Res_No"/>
    <w:basedOn w:val="RecNo"/>
    <w:next w:val="Restitle"/>
    <w:rsid w:val="001F739A"/>
  </w:style>
  <w:style w:type="paragraph" w:customStyle="1" w:styleId="Resref">
    <w:name w:val="Res_ref"/>
    <w:basedOn w:val="Recref"/>
    <w:next w:val="Resdate"/>
    <w:rsid w:val="001F739A"/>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1F739A"/>
  </w:style>
  <w:style w:type="paragraph" w:customStyle="1" w:styleId="Sectiontitle">
    <w:name w:val="Section_title"/>
    <w:basedOn w:val="Normal"/>
    <w:next w:val="Normalaftertitle"/>
    <w:rsid w:val="001F739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F739A"/>
    <w:pPr>
      <w:tabs>
        <w:tab w:val="clear" w:pos="794"/>
        <w:tab w:val="clear" w:pos="1191"/>
        <w:tab w:val="clear" w:pos="1588"/>
        <w:tab w:val="clear" w:pos="1985"/>
        <w:tab w:val="right" w:pos="9611"/>
      </w:tabs>
    </w:pPr>
    <w:rPr>
      <w:i/>
    </w:rPr>
  </w:style>
  <w:style w:type="paragraph" w:styleId="TOC1">
    <w:name w:val="toc 1"/>
    <w:basedOn w:val="Normal"/>
    <w:rsid w:val="001F739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F739A"/>
    <w:pPr>
      <w:tabs>
        <w:tab w:val="clear" w:pos="567"/>
        <w:tab w:val="left" w:pos="1276"/>
      </w:tabs>
      <w:spacing w:before="160"/>
      <w:ind w:left="1276" w:hanging="709"/>
    </w:pPr>
  </w:style>
  <w:style w:type="paragraph" w:styleId="TOC3">
    <w:name w:val="toc 3"/>
    <w:basedOn w:val="TOC2"/>
    <w:rsid w:val="001F739A"/>
    <w:pPr>
      <w:tabs>
        <w:tab w:val="clear" w:pos="1276"/>
        <w:tab w:val="left" w:pos="2155"/>
      </w:tabs>
      <w:ind w:left="2155" w:hanging="879"/>
    </w:pPr>
  </w:style>
  <w:style w:type="paragraph" w:styleId="TOC4">
    <w:name w:val="toc 4"/>
    <w:basedOn w:val="TOC3"/>
    <w:rsid w:val="001F739A"/>
    <w:pPr>
      <w:tabs>
        <w:tab w:val="left" w:pos="3261"/>
      </w:tabs>
      <w:spacing w:before="80"/>
      <w:ind w:left="3261" w:hanging="993"/>
    </w:pPr>
  </w:style>
  <w:style w:type="paragraph" w:styleId="TOC5">
    <w:name w:val="toc 5"/>
    <w:basedOn w:val="TOC4"/>
    <w:rsid w:val="001F739A"/>
  </w:style>
  <w:style w:type="paragraph" w:styleId="TOC6">
    <w:name w:val="toc 6"/>
    <w:basedOn w:val="TOC4"/>
    <w:rsid w:val="001F739A"/>
  </w:style>
  <w:style w:type="paragraph" w:styleId="TOC7">
    <w:name w:val="toc 7"/>
    <w:basedOn w:val="TOC4"/>
    <w:rsid w:val="001F739A"/>
  </w:style>
  <w:style w:type="paragraph" w:styleId="TOC8">
    <w:name w:val="toc 8"/>
    <w:basedOn w:val="TOC4"/>
    <w:rsid w:val="001F739A"/>
  </w:style>
  <w:style w:type="paragraph" w:customStyle="1" w:styleId="Rectitle">
    <w:name w:val="Rec_title"/>
    <w:basedOn w:val="Normal"/>
    <w:next w:val="Recref"/>
    <w:rsid w:val="001F739A"/>
    <w:pPr>
      <w:keepNext/>
      <w:keepLines/>
      <w:spacing w:before="240"/>
      <w:jc w:val="center"/>
    </w:pPr>
    <w:rPr>
      <w:b/>
      <w:sz w:val="28"/>
    </w:rPr>
  </w:style>
  <w:style w:type="paragraph" w:customStyle="1" w:styleId="Annexref">
    <w:name w:val="Annex_ref"/>
    <w:basedOn w:val="Normal"/>
    <w:next w:val="Normalaftertitle"/>
    <w:rsid w:val="001F739A"/>
    <w:pPr>
      <w:keepNext/>
      <w:keepLines/>
      <w:spacing w:after="280"/>
      <w:jc w:val="center"/>
    </w:pPr>
  </w:style>
  <w:style w:type="paragraph" w:customStyle="1" w:styleId="Appendixref">
    <w:name w:val="Appendix_ref"/>
    <w:basedOn w:val="Annexref"/>
    <w:next w:val="Normalaftertitle"/>
    <w:rsid w:val="001F739A"/>
  </w:style>
  <w:style w:type="paragraph" w:customStyle="1" w:styleId="Figuretitle">
    <w:name w:val="Figure_title"/>
    <w:basedOn w:val="Normal"/>
    <w:next w:val="Figure"/>
    <w:rsid w:val="001F739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F739A"/>
    <w:pPr>
      <w:keepNext/>
      <w:spacing w:before="0" w:after="120"/>
      <w:jc w:val="center"/>
    </w:pPr>
    <w:rPr>
      <w:b/>
    </w:rPr>
  </w:style>
  <w:style w:type="paragraph" w:customStyle="1" w:styleId="Summary">
    <w:name w:val="Summary"/>
    <w:basedOn w:val="Normal"/>
    <w:next w:val="Normalaftertitle"/>
    <w:rsid w:val="001F739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A7683"/>
    <w:rPr>
      <w:color w:val="0000FF"/>
      <w:u w:val="single"/>
    </w:rPr>
  </w:style>
  <w:style w:type="character" w:customStyle="1" w:styleId="Heading1Char">
    <w:name w:val="Heading 1 Char"/>
    <w:basedOn w:val="DefaultParagraphFont"/>
    <w:link w:val="Heading1"/>
    <w:rsid w:val="00EA7683"/>
    <w:rPr>
      <w:b/>
      <w:sz w:val="24"/>
      <w:lang w:val="fr-FR" w:eastAsia="en-US"/>
    </w:rPr>
  </w:style>
  <w:style w:type="character" w:customStyle="1" w:styleId="Heading2Char">
    <w:name w:val="Heading 2 Char"/>
    <w:basedOn w:val="DefaultParagraphFont"/>
    <w:link w:val="Heading2"/>
    <w:rsid w:val="00EA7683"/>
    <w:rPr>
      <w:b/>
      <w:sz w:val="24"/>
      <w:lang w:val="fr-FR" w:eastAsia="en-US"/>
    </w:rPr>
  </w:style>
  <w:style w:type="character" w:customStyle="1" w:styleId="Heading3Char">
    <w:name w:val="Heading 3 Char"/>
    <w:basedOn w:val="DefaultParagraphFont"/>
    <w:link w:val="Heading3"/>
    <w:rsid w:val="00EA7683"/>
    <w:rPr>
      <w:b/>
      <w:sz w:val="24"/>
      <w:lang w:val="fr-FR" w:eastAsia="en-US"/>
    </w:rPr>
  </w:style>
  <w:style w:type="character" w:customStyle="1" w:styleId="Heading4Char">
    <w:name w:val="Heading 4 Char"/>
    <w:basedOn w:val="DefaultParagraphFont"/>
    <w:link w:val="Heading4"/>
    <w:rsid w:val="00EA7683"/>
    <w:rPr>
      <w:b/>
      <w:sz w:val="24"/>
      <w:lang w:val="fr-FR" w:eastAsia="en-US"/>
    </w:rPr>
  </w:style>
  <w:style w:type="character" w:customStyle="1" w:styleId="Heading5Char">
    <w:name w:val="Heading 5 Char"/>
    <w:basedOn w:val="DefaultParagraphFont"/>
    <w:link w:val="Heading5"/>
    <w:rsid w:val="00EA7683"/>
    <w:rPr>
      <w:b/>
      <w:sz w:val="24"/>
      <w:lang w:val="fr-FR" w:eastAsia="en-US"/>
    </w:rPr>
  </w:style>
  <w:style w:type="character" w:customStyle="1" w:styleId="Heading6Char">
    <w:name w:val="Heading 6 Char"/>
    <w:basedOn w:val="DefaultParagraphFont"/>
    <w:link w:val="Heading6"/>
    <w:rsid w:val="00EA7683"/>
    <w:rPr>
      <w:b/>
      <w:sz w:val="24"/>
      <w:lang w:val="fr-FR" w:eastAsia="en-US"/>
    </w:rPr>
  </w:style>
  <w:style w:type="character" w:customStyle="1" w:styleId="Heading7Char">
    <w:name w:val="Heading 7 Char"/>
    <w:basedOn w:val="DefaultParagraphFont"/>
    <w:link w:val="Heading7"/>
    <w:rsid w:val="00EA7683"/>
    <w:rPr>
      <w:b/>
      <w:sz w:val="24"/>
      <w:lang w:val="fr-FR" w:eastAsia="en-US"/>
    </w:rPr>
  </w:style>
  <w:style w:type="character" w:customStyle="1" w:styleId="Heading8Char">
    <w:name w:val="Heading 8 Char"/>
    <w:basedOn w:val="DefaultParagraphFont"/>
    <w:link w:val="Heading8"/>
    <w:rsid w:val="00EA7683"/>
    <w:rPr>
      <w:b/>
      <w:sz w:val="24"/>
      <w:lang w:val="fr-FR" w:eastAsia="en-US"/>
    </w:rPr>
  </w:style>
  <w:style w:type="character" w:customStyle="1" w:styleId="Heading9Char">
    <w:name w:val="Heading 9 Char"/>
    <w:basedOn w:val="DefaultParagraphFont"/>
    <w:link w:val="Heading9"/>
    <w:rsid w:val="00EA7683"/>
    <w:rPr>
      <w:b/>
      <w:sz w:val="24"/>
      <w:lang w:val="fr-FR" w:eastAsia="en-US"/>
    </w:rPr>
  </w:style>
  <w:style w:type="paragraph" w:customStyle="1" w:styleId="NormalerText">
    <w:name w:val="Normaler Text"/>
    <w:basedOn w:val="Normal"/>
    <w:autoRedefine/>
    <w:rsid w:val="00EA7683"/>
    <w:pPr>
      <w:spacing w:after="120"/>
    </w:pPr>
    <w:rPr>
      <w:lang w:val="en-GB" w:eastAsia="de-DE"/>
    </w:rPr>
  </w:style>
  <w:style w:type="character" w:customStyle="1" w:styleId="SC2503">
    <w:name w:val="SC2503"/>
    <w:rsid w:val="00EA7683"/>
    <w:rPr>
      <w:color w:val="000000"/>
    </w:rPr>
  </w:style>
  <w:style w:type="character" w:customStyle="1" w:styleId="FootnoteTextChar">
    <w:name w:val="Footnote Text Char"/>
    <w:aliases w:val="footnote text Char"/>
    <w:basedOn w:val="DefaultParagraphFont"/>
    <w:link w:val="FootnoteText"/>
    <w:rsid w:val="00EA7683"/>
    <w:rPr>
      <w:sz w:val="22"/>
      <w:lang w:val="fr-FR" w:eastAsia="en-US"/>
    </w:rPr>
  </w:style>
  <w:style w:type="character" w:customStyle="1" w:styleId="HeaderChar">
    <w:name w:val="Header Char"/>
    <w:aliases w:val="encabezado Char"/>
    <w:basedOn w:val="DefaultParagraphFont"/>
    <w:link w:val="Header"/>
    <w:uiPriority w:val="99"/>
    <w:rsid w:val="00EA7683"/>
    <w:rPr>
      <w:sz w:val="24"/>
      <w:lang w:val="fr-FR" w:eastAsia="en-US"/>
    </w:rPr>
  </w:style>
  <w:style w:type="paragraph" w:styleId="Caption">
    <w:name w:val="caption"/>
    <w:basedOn w:val="Normal"/>
    <w:next w:val="Normal"/>
    <w:qFormat/>
    <w:rsid w:val="00EA7683"/>
    <w:pPr>
      <w:spacing w:before="480"/>
      <w:ind w:left="708" w:hanging="708"/>
      <w:jc w:val="left"/>
    </w:pPr>
    <w:rPr>
      <w:b/>
      <w:bCs/>
      <w:sz w:val="20"/>
      <w:u w:val="single"/>
    </w:rPr>
  </w:style>
  <w:style w:type="paragraph" w:styleId="BodyText">
    <w:name w:val="Body Text"/>
    <w:basedOn w:val="Normal"/>
    <w:link w:val="BodyTextChar"/>
    <w:rsid w:val="00EA7683"/>
    <w:pPr>
      <w:jc w:val="left"/>
    </w:pPr>
    <w:rPr>
      <w:bCs/>
      <w:sz w:val="20"/>
    </w:rPr>
  </w:style>
  <w:style w:type="character" w:customStyle="1" w:styleId="BodyTextChar">
    <w:name w:val="Body Text Char"/>
    <w:basedOn w:val="DefaultParagraphFont"/>
    <w:link w:val="BodyText"/>
    <w:rsid w:val="00EA7683"/>
    <w:rPr>
      <w:bCs/>
      <w:lang w:val="fr-FR" w:eastAsia="en-US"/>
    </w:rPr>
  </w:style>
  <w:style w:type="character" w:customStyle="1" w:styleId="FooterChar">
    <w:name w:val="Footer Char"/>
    <w:basedOn w:val="DefaultParagraphFont"/>
    <w:link w:val="Footer"/>
    <w:rsid w:val="00EA7683"/>
    <w:rPr>
      <w:noProof/>
      <w:sz w:val="18"/>
      <w:lang w:val="fr-FR" w:eastAsia="en-US"/>
    </w:rPr>
  </w:style>
  <w:style w:type="table" w:styleId="TableGrid">
    <w:name w:val="Table Grid"/>
    <w:basedOn w:val="TableNormal"/>
    <w:rsid w:val="00EA7683"/>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Notitle">
    <w:name w:val="Figure_No &amp; title"/>
    <w:basedOn w:val="Normal"/>
    <w:next w:val="Normalaftertitle"/>
    <w:rsid w:val="00EA7683"/>
    <w:pPr>
      <w:keepLines/>
      <w:spacing w:before="240" w:after="120"/>
      <w:jc w:val="center"/>
    </w:pPr>
    <w:rPr>
      <w:b/>
    </w:rPr>
  </w:style>
  <w:style w:type="paragraph" w:customStyle="1" w:styleId="TabletitleBR">
    <w:name w:val="Table_title_BR"/>
    <w:basedOn w:val="Normal"/>
    <w:next w:val="Tablehead"/>
    <w:rsid w:val="00EA7683"/>
    <w:pPr>
      <w:keepNext/>
      <w:keepLines/>
      <w:spacing w:before="0" w:after="120"/>
      <w:jc w:val="center"/>
    </w:pPr>
    <w:rPr>
      <w:b/>
    </w:rPr>
  </w:style>
  <w:style w:type="paragraph" w:customStyle="1" w:styleId="AnnexNotitle0">
    <w:name w:val="Annex_No &amp; title"/>
    <w:basedOn w:val="Normal"/>
    <w:next w:val="Normalaftertitle"/>
    <w:rsid w:val="00EA7683"/>
    <w:pPr>
      <w:keepNext/>
      <w:keepLines/>
      <w:spacing w:before="480"/>
      <w:jc w:val="center"/>
    </w:pPr>
    <w:rPr>
      <w:b/>
      <w:sz w:val="28"/>
    </w:rPr>
  </w:style>
  <w:style w:type="paragraph" w:customStyle="1" w:styleId="AppendixNotitle0">
    <w:name w:val="Appendix_No &amp; title"/>
    <w:basedOn w:val="AnnexNotitle0"/>
    <w:next w:val="Normalaftertitle"/>
    <w:rsid w:val="00EA7683"/>
  </w:style>
  <w:style w:type="paragraph" w:customStyle="1" w:styleId="FooterQP">
    <w:name w:val="Footer_QP"/>
    <w:basedOn w:val="Normal"/>
    <w:rsid w:val="00EA7683"/>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EA7683"/>
    <w:pPr>
      <w:spacing w:before="480"/>
      <w:jc w:val="center"/>
    </w:pPr>
    <w:rPr>
      <w:b/>
      <w:sz w:val="28"/>
    </w:rPr>
  </w:style>
  <w:style w:type="character" w:styleId="EndnoteReference">
    <w:name w:val="endnote reference"/>
    <w:basedOn w:val="DefaultParagraphFont"/>
    <w:rsid w:val="00EA7683"/>
    <w:rPr>
      <w:vertAlign w:val="superscript"/>
    </w:rPr>
  </w:style>
  <w:style w:type="paragraph" w:customStyle="1" w:styleId="Formal">
    <w:name w:val="Formal"/>
    <w:basedOn w:val="ASN1"/>
    <w:rsid w:val="00EA7683"/>
    <w:pPr>
      <w:tabs>
        <w:tab w:val="left" w:pos="794"/>
        <w:tab w:val="left" w:pos="1191"/>
        <w:tab w:val="left" w:pos="1588"/>
        <w:tab w:val="left" w:pos="1985"/>
      </w:tabs>
      <w:jc w:val="left"/>
    </w:pPr>
    <w:rPr>
      <w:rFonts w:ascii="Courier New" w:hAnsi="Courier New"/>
      <w:b w:val="0"/>
    </w:rPr>
  </w:style>
  <w:style w:type="paragraph" w:customStyle="1" w:styleId="RecNoBR">
    <w:name w:val="Rec_No_BR"/>
    <w:basedOn w:val="Normal"/>
    <w:next w:val="Rectitle"/>
    <w:rsid w:val="00EA7683"/>
    <w:pPr>
      <w:keepNext/>
      <w:keepLines/>
      <w:spacing w:before="480"/>
      <w:jc w:val="center"/>
    </w:pPr>
    <w:rPr>
      <w:caps/>
      <w:sz w:val="28"/>
    </w:rPr>
  </w:style>
  <w:style w:type="paragraph" w:customStyle="1" w:styleId="QuestionNoBR">
    <w:name w:val="Question_No_BR"/>
    <w:basedOn w:val="RecNoBR"/>
    <w:next w:val="Questiontitle"/>
    <w:rsid w:val="00EA7683"/>
  </w:style>
  <w:style w:type="paragraph" w:customStyle="1" w:styleId="Figurewithouttitle">
    <w:name w:val="Figure_without_title"/>
    <w:basedOn w:val="Normal"/>
    <w:next w:val="Normalaftertitle"/>
    <w:rsid w:val="00EA7683"/>
    <w:pPr>
      <w:keepLines/>
      <w:spacing w:before="240" w:after="120"/>
      <w:jc w:val="center"/>
    </w:pPr>
  </w:style>
  <w:style w:type="paragraph" w:customStyle="1" w:styleId="FirstFooter">
    <w:name w:val="FirstFooter"/>
    <w:basedOn w:val="Footer"/>
    <w:rsid w:val="00EA7683"/>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EA7683"/>
  </w:style>
  <w:style w:type="paragraph" w:customStyle="1" w:styleId="ResNoBR">
    <w:name w:val="Res_No_BR"/>
    <w:basedOn w:val="RecNoBR"/>
    <w:next w:val="Restitle"/>
    <w:rsid w:val="00EA7683"/>
  </w:style>
  <w:style w:type="paragraph" w:customStyle="1" w:styleId="Section1">
    <w:name w:val="Section_1"/>
    <w:basedOn w:val="Normal"/>
    <w:next w:val="Normal"/>
    <w:rsid w:val="00EA7683"/>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A7683"/>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EA7683"/>
    <w:pPr>
      <w:spacing w:before="840" w:after="200"/>
      <w:jc w:val="center"/>
    </w:pPr>
    <w:rPr>
      <w:b/>
      <w:sz w:val="28"/>
    </w:rPr>
  </w:style>
  <w:style w:type="paragraph" w:customStyle="1" w:styleId="SpecialFooter">
    <w:name w:val="Special Footer"/>
    <w:basedOn w:val="Footer"/>
    <w:rsid w:val="00EA7683"/>
    <w:pPr>
      <w:tabs>
        <w:tab w:val="left" w:pos="567"/>
        <w:tab w:val="left" w:pos="1134"/>
        <w:tab w:val="left" w:pos="1701"/>
        <w:tab w:val="left" w:pos="2268"/>
        <w:tab w:val="left" w:pos="2835"/>
        <w:tab w:val="left" w:pos="5954"/>
        <w:tab w:val="right" w:pos="9639"/>
      </w:tabs>
    </w:pPr>
    <w:rPr>
      <w:noProof w:val="0"/>
      <w:sz w:val="16"/>
    </w:rPr>
  </w:style>
  <w:style w:type="paragraph" w:customStyle="1" w:styleId="TableNotitle">
    <w:name w:val="Table_No &amp; title"/>
    <w:basedOn w:val="Normal"/>
    <w:next w:val="Tablehead"/>
    <w:rsid w:val="00EA7683"/>
    <w:pPr>
      <w:keepNext/>
      <w:keepLines/>
      <w:spacing w:before="360" w:after="120"/>
      <w:jc w:val="center"/>
    </w:pPr>
    <w:rPr>
      <w:b/>
    </w:rPr>
  </w:style>
  <w:style w:type="paragraph" w:customStyle="1" w:styleId="Tableref">
    <w:name w:val="Table_ref"/>
    <w:basedOn w:val="Normal"/>
    <w:next w:val="TabletitleBR"/>
    <w:rsid w:val="00EA7683"/>
    <w:pPr>
      <w:keepNext/>
      <w:spacing w:before="0" w:after="120"/>
      <w:jc w:val="center"/>
    </w:pPr>
  </w:style>
  <w:style w:type="paragraph" w:customStyle="1" w:styleId="Title1">
    <w:name w:val="Title 1"/>
    <w:basedOn w:val="Source"/>
    <w:next w:val="Title2"/>
    <w:rsid w:val="00EA768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A7683"/>
  </w:style>
  <w:style w:type="paragraph" w:customStyle="1" w:styleId="Title3">
    <w:name w:val="Title 3"/>
    <w:basedOn w:val="Title2"/>
    <w:next w:val="Title4"/>
    <w:rsid w:val="00EA7683"/>
    <w:rPr>
      <w:caps w:val="0"/>
    </w:rPr>
  </w:style>
  <w:style w:type="paragraph" w:customStyle="1" w:styleId="Title4">
    <w:name w:val="Title 4"/>
    <w:basedOn w:val="Title3"/>
    <w:next w:val="Heading1"/>
    <w:rsid w:val="00EA7683"/>
    <w:rPr>
      <w:b/>
    </w:rPr>
  </w:style>
  <w:style w:type="character" w:customStyle="1" w:styleId="Artref">
    <w:name w:val="Art_ref"/>
    <w:basedOn w:val="DefaultParagraphFont"/>
    <w:rsid w:val="00EA7683"/>
  </w:style>
  <w:style w:type="character" w:customStyle="1" w:styleId="Appdef">
    <w:name w:val="App_def"/>
    <w:basedOn w:val="DefaultParagraphFont"/>
    <w:rsid w:val="00EA7683"/>
    <w:rPr>
      <w:rFonts w:ascii="Times New Roman" w:hAnsi="Times New Roman"/>
      <w:b/>
    </w:rPr>
  </w:style>
  <w:style w:type="character" w:customStyle="1" w:styleId="Appref">
    <w:name w:val="App_ref"/>
    <w:basedOn w:val="DefaultParagraphFont"/>
    <w:rsid w:val="00EA7683"/>
  </w:style>
  <w:style w:type="character" w:customStyle="1" w:styleId="Artdef">
    <w:name w:val="Art_def"/>
    <w:basedOn w:val="DefaultParagraphFont"/>
    <w:rsid w:val="00EA7683"/>
    <w:rPr>
      <w:rFonts w:ascii="Times New Roman" w:hAnsi="Times New Roman"/>
      <w:b/>
    </w:rPr>
  </w:style>
  <w:style w:type="character" w:customStyle="1" w:styleId="Recdef">
    <w:name w:val="Rec_def"/>
    <w:basedOn w:val="DefaultParagraphFont"/>
    <w:rsid w:val="00EA7683"/>
    <w:rPr>
      <w:b/>
    </w:rPr>
  </w:style>
  <w:style w:type="character" w:customStyle="1" w:styleId="Resdef">
    <w:name w:val="Res_def"/>
    <w:basedOn w:val="DefaultParagraphFont"/>
    <w:rsid w:val="00EA7683"/>
    <w:rPr>
      <w:rFonts w:ascii="Times New Roman" w:hAnsi="Times New Roman"/>
      <w:b/>
    </w:rPr>
  </w:style>
  <w:style w:type="character" w:customStyle="1" w:styleId="Tablefreq">
    <w:name w:val="Table_freq"/>
    <w:basedOn w:val="DefaultParagraphFont"/>
    <w:rsid w:val="00EA7683"/>
    <w:rPr>
      <w:b/>
      <w:color w:val="auto"/>
    </w:rPr>
  </w:style>
  <w:style w:type="paragraph" w:customStyle="1" w:styleId="TableNoBR">
    <w:name w:val="Table_No_BR"/>
    <w:basedOn w:val="Normal"/>
    <w:next w:val="TabletitleBR"/>
    <w:rsid w:val="00EA7683"/>
    <w:pPr>
      <w:keepNext/>
      <w:spacing w:before="560" w:after="120"/>
      <w:jc w:val="center"/>
    </w:pPr>
    <w:rPr>
      <w:caps/>
    </w:rPr>
  </w:style>
  <w:style w:type="paragraph" w:customStyle="1" w:styleId="FiguretitleBR">
    <w:name w:val="Figure_title_BR"/>
    <w:basedOn w:val="TabletitleBR"/>
    <w:next w:val="Figurewithouttitle"/>
    <w:rsid w:val="00EA7683"/>
    <w:pPr>
      <w:keepNext w:val="0"/>
      <w:spacing w:after="480"/>
    </w:pPr>
  </w:style>
  <w:style w:type="paragraph" w:customStyle="1" w:styleId="FigureNoBR">
    <w:name w:val="Figure_No_BR"/>
    <w:basedOn w:val="Normal"/>
    <w:next w:val="FiguretitleBR"/>
    <w:rsid w:val="00EA7683"/>
    <w:pPr>
      <w:keepNext/>
      <w:keepLines/>
      <w:spacing w:before="480" w:after="120"/>
      <w:jc w:val="center"/>
    </w:pPr>
    <w:rPr>
      <w:cap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header" Target="header6.xml"/><Relationship Id="rId10" Type="http://schemas.openxmlformats.org/officeDocument/2006/relationships/hyperlink" Target="http://www.itu.int/publ/R-REC/fr"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E17B2-856B-4D48-AEDC-396F1CA67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221</TotalTime>
  <Pages>15</Pages>
  <Words>4588</Words>
  <Characters>25547</Characters>
  <Application>Microsoft Office Word</Application>
  <DocSecurity>0</DocSecurity>
  <Lines>212</Lines>
  <Paragraphs>60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8</cp:revision>
  <cp:lastPrinted>2005-02-10T15:54:00Z</cp:lastPrinted>
  <dcterms:created xsi:type="dcterms:W3CDTF">2010-08-05T12:15:00Z</dcterms:created>
  <dcterms:modified xsi:type="dcterms:W3CDTF">2010-09-03T11:55:00Z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