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1717A" w:rsidRPr="00575CB8" w:rsidRDefault="00B1717A" w:rsidP="00B1717A">
      <w:pPr>
        <w:rPr>
          <w:lang w:val="en-US"/>
        </w:rPr>
      </w:pPr>
      <w:bookmarkStart w:id="0" w:name="dbreak"/>
      <w:bookmarkEnd w:id="0"/>
    </w:p>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tbl>
      <w:tblPr>
        <w:tblStyle w:val="TableGrid"/>
        <w:tblW w:w="100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0089"/>
      </w:tblGrid>
      <w:tr w:rsidR="00B1717A" w:rsidRPr="00F45338" w:rsidTr="00D62884">
        <w:tc>
          <w:tcPr>
            <w:tcW w:w="10089" w:type="dxa"/>
          </w:tcPr>
          <w:p w:rsidR="00B1717A" w:rsidRPr="0010336F" w:rsidRDefault="00B1717A" w:rsidP="00D62884">
            <w:pPr>
              <w:spacing w:before="380" w:line="280" w:lineRule="exact"/>
              <w:jc w:val="right"/>
              <w:rPr>
                <w:rFonts w:ascii="Tahoma" w:hAnsi="Tahoma" w:cs="Tahoma"/>
                <w:b/>
                <w:bCs/>
                <w:iCs/>
                <w:color w:val="243285"/>
                <w:sz w:val="32"/>
                <w:szCs w:val="32"/>
                <w:lang w:val="en-US"/>
              </w:rPr>
            </w:pPr>
          </w:p>
          <w:p w:rsidR="00B1717A" w:rsidRPr="0010336F" w:rsidRDefault="00B1717A" w:rsidP="00D12388">
            <w:pPr>
              <w:spacing w:before="380" w:line="280" w:lineRule="exact"/>
              <w:jc w:val="right"/>
              <w:rPr>
                <w:rFonts w:ascii="Tahoma" w:hAnsi="Tahoma" w:cs="Tahoma"/>
                <w:b/>
                <w:bCs/>
                <w:iCs/>
                <w:color w:val="243285"/>
                <w:sz w:val="36"/>
                <w:szCs w:val="36"/>
                <w:lang w:val="es-ES_tradnl"/>
              </w:rPr>
            </w:pPr>
            <w:proofErr w:type="gramStart"/>
            <w:r w:rsidRPr="0010336F">
              <w:rPr>
                <w:rFonts w:ascii="Tahoma" w:hAnsi="Tahoma" w:cs="Tahoma"/>
                <w:b/>
                <w:bCs/>
                <w:iCs/>
                <w:color w:val="243285"/>
                <w:sz w:val="36"/>
                <w:szCs w:val="36"/>
                <w:lang w:val="es-ES_tradnl"/>
              </w:rPr>
              <w:t>Recomendación  UIT</w:t>
            </w:r>
            <w:proofErr w:type="gramEnd"/>
            <w:r w:rsidRPr="0010336F">
              <w:rPr>
                <w:rFonts w:ascii="Tahoma" w:hAnsi="Tahoma" w:cs="Tahoma"/>
                <w:b/>
                <w:bCs/>
                <w:iCs/>
                <w:color w:val="243285"/>
                <w:sz w:val="36"/>
                <w:szCs w:val="36"/>
                <w:lang w:val="es-ES_tradnl"/>
              </w:rPr>
              <w:t xml:space="preserve">-R  </w:t>
            </w:r>
            <w:r w:rsidR="00DE71F7">
              <w:rPr>
                <w:rFonts w:ascii="Tahoma" w:hAnsi="Tahoma" w:cs="Tahoma"/>
                <w:b/>
                <w:bCs/>
                <w:iCs/>
                <w:color w:val="243285"/>
                <w:sz w:val="36"/>
                <w:szCs w:val="36"/>
                <w:lang w:val="es-ES_tradnl"/>
              </w:rPr>
              <w:t>S</w:t>
            </w:r>
            <w:r w:rsidR="00025336">
              <w:rPr>
                <w:rFonts w:ascii="Tahoma" w:hAnsi="Tahoma" w:cs="Tahoma"/>
                <w:b/>
                <w:bCs/>
                <w:iCs/>
                <w:color w:val="243285"/>
                <w:sz w:val="36"/>
                <w:szCs w:val="36"/>
                <w:lang w:val="es-ES_tradnl"/>
              </w:rPr>
              <w:t>A</w:t>
            </w:r>
            <w:r w:rsidRPr="0010336F">
              <w:rPr>
                <w:rFonts w:ascii="Tahoma" w:hAnsi="Tahoma" w:cs="Tahoma"/>
                <w:b/>
                <w:bCs/>
                <w:iCs/>
                <w:color w:val="243285"/>
                <w:sz w:val="36"/>
                <w:szCs w:val="36"/>
                <w:lang w:val="es-ES_tradnl"/>
              </w:rPr>
              <w:t>.</w:t>
            </w:r>
            <w:r w:rsidR="00215C64">
              <w:rPr>
                <w:rFonts w:ascii="Tahoma" w:hAnsi="Tahoma" w:cs="Tahoma"/>
                <w:b/>
                <w:bCs/>
                <w:iCs/>
                <w:color w:val="243285"/>
                <w:sz w:val="36"/>
                <w:szCs w:val="36"/>
                <w:lang w:val="es-ES_tradnl"/>
              </w:rPr>
              <w:t>1164-4</w:t>
            </w:r>
          </w:p>
          <w:p w:rsidR="00B1717A" w:rsidRPr="0010336F" w:rsidRDefault="00B1717A" w:rsidP="00215C64">
            <w:pPr>
              <w:spacing w:before="80" w:line="280" w:lineRule="exact"/>
              <w:jc w:val="right"/>
              <w:rPr>
                <w:rFonts w:ascii="Tahoma" w:hAnsi="Tahoma" w:cs="Tahoma"/>
                <w:b/>
                <w:bCs/>
                <w:iCs/>
                <w:color w:val="243285"/>
                <w:szCs w:val="24"/>
                <w:lang w:val="es-ES_tradnl"/>
              </w:rPr>
            </w:pPr>
            <w:r w:rsidRPr="0010336F">
              <w:rPr>
                <w:rFonts w:ascii="Tahoma" w:hAnsi="Tahoma" w:cs="Tahoma"/>
                <w:b/>
                <w:bCs/>
                <w:iCs/>
                <w:color w:val="243285"/>
                <w:szCs w:val="24"/>
                <w:lang w:val="es-ES_tradnl"/>
              </w:rPr>
              <w:t>(</w:t>
            </w:r>
            <w:r w:rsidR="00215C64">
              <w:rPr>
                <w:rFonts w:ascii="Tahoma" w:hAnsi="Tahoma" w:cs="Tahoma"/>
                <w:b/>
                <w:bCs/>
                <w:iCs/>
                <w:color w:val="243285"/>
                <w:szCs w:val="24"/>
                <w:lang w:val="es-ES_tradnl"/>
              </w:rPr>
              <w:t>08</w:t>
            </w:r>
            <w:r w:rsidRPr="0010336F">
              <w:rPr>
                <w:rFonts w:ascii="Tahoma" w:hAnsi="Tahoma" w:cs="Tahoma"/>
                <w:b/>
                <w:bCs/>
                <w:iCs/>
                <w:color w:val="243285"/>
                <w:szCs w:val="24"/>
                <w:lang w:val="es-ES_tradnl"/>
              </w:rPr>
              <w:t>/</w:t>
            </w:r>
            <w:r w:rsidR="00215C64">
              <w:rPr>
                <w:rFonts w:ascii="Tahoma" w:hAnsi="Tahoma" w:cs="Tahoma"/>
                <w:b/>
                <w:bCs/>
                <w:iCs/>
                <w:color w:val="243285"/>
                <w:szCs w:val="24"/>
                <w:lang w:val="es-ES_tradnl"/>
              </w:rPr>
              <w:t>2019</w:t>
            </w:r>
            <w:r w:rsidRPr="0010336F">
              <w:rPr>
                <w:rFonts w:ascii="Tahoma" w:hAnsi="Tahoma" w:cs="Tahoma"/>
                <w:b/>
                <w:bCs/>
                <w:iCs/>
                <w:color w:val="243285"/>
                <w:szCs w:val="24"/>
                <w:lang w:val="es-ES_tradnl"/>
              </w:rPr>
              <w:t>)</w:t>
            </w:r>
          </w:p>
        </w:tc>
      </w:tr>
      <w:tr w:rsidR="00B1717A" w:rsidRPr="007D238E" w:rsidTr="00D62884">
        <w:tc>
          <w:tcPr>
            <w:tcW w:w="10089" w:type="dxa"/>
          </w:tcPr>
          <w:p w:rsidR="00B1717A" w:rsidRPr="007D238E" w:rsidRDefault="00B1717A" w:rsidP="00D62884">
            <w:pPr>
              <w:spacing w:before="80" w:line="500" w:lineRule="exact"/>
              <w:jc w:val="right"/>
              <w:rPr>
                <w:rFonts w:ascii="Tahoma" w:hAnsi="Tahoma" w:cs="Tahoma"/>
                <w:b/>
                <w:bCs/>
                <w:color w:val="243285"/>
                <w:sz w:val="44"/>
                <w:szCs w:val="44"/>
                <w:lang w:val="es-ES_tradnl"/>
              </w:rPr>
            </w:pPr>
          </w:p>
          <w:p w:rsidR="00B1717A" w:rsidRDefault="007D238E" w:rsidP="00D62884">
            <w:pPr>
              <w:spacing w:before="80" w:line="500" w:lineRule="exact"/>
              <w:jc w:val="right"/>
              <w:rPr>
                <w:rFonts w:ascii="Tahoma" w:hAnsi="Tahoma" w:cs="Tahoma"/>
                <w:b/>
                <w:bCs/>
                <w:color w:val="243285"/>
                <w:sz w:val="44"/>
                <w:szCs w:val="44"/>
                <w:lang w:val="es-ES_tradnl"/>
              </w:rPr>
            </w:pPr>
            <w:r w:rsidRPr="007D238E">
              <w:rPr>
                <w:rFonts w:ascii="Tahoma" w:hAnsi="Tahoma" w:cs="Tahoma"/>
                <w:b/>
                <w:bCs/>
                <w:color w:val="243285"/>
                <w:sz w:val="44"/>
                <w:szCs w:val="44"/>
                <w:lang w:val="es-ES_tradnl"/>
              </w:rPr>
              <w:t>Criterios de compartición y coordinación para los enlaces de servicio</w:t>
            </w:r>
            <w:r w:rsidR="00EB1B0E">
              <w:rPr>
                <w:rFonts w:ascii="Tahoma" w:hAnsi="Tahoma" w:cs="Tahoma"/>
                <w:b/>
                <w:bCs/>
                <w:color w:val="243285"/>
                <w:sz w:val="44"/>
                <w:szCs w:val="44"/>
                <w:lang w:val="es-ES_tradnl"/>
              </w:rPr>
              <w:t xml:space="preserve"> </w:t>
            </w:r>
            <w:r w:rsidRPr="007D238E">
              <w:rPr>
                <w:rFonts w:ascii="Tahoma" w:hAnsi="Tahoma" w:cs="Tahoma"/>
                <w:b/>
                <w:bCs/>
                <w:color w:val="243285"/>
                <w:sz w:val="44"/>
                <w:szCs w:val="44"/>
                <w:lang w:val="es-ES_tradnl"/>
              </w:rPr>
              <w:t>de los sistemas de recogida de datos</w:t>
            </w:r>
            <w:r w:rsidR="00EB1B0E">
              <w:rPr>
                <w:rFonts w:ascii="Tahoma" w:hAnsi="Tahoma" w:cs="Tahoma"/>
                <w:b/>
                <w:bCs/>
                <w:color w:val="243285"/>
                <w:sz w:val="44"/>
                <w:szCs w:val="44"/>
                <w:lang w:val="es-ES_tradnl"/>
              </w:rPr>
              <w:t xml:space="preserve"> </w:t>
            </w:r>
            <w:r w:rsidRPr="007D238E">
              <w:rPr>
                <w:rFonts w:ascii="Tahoma" w:hAnsi="Tahoma" w:cs="Tahoma"/>
                <w:b/>
                <w:bCs/>
                <w:color w:val="243285"/>
                <w:sz w:val="44"/>
                <w:szCs w:val="44"/>
                <w:lang w:val="es-ES_tradnl"/>
              </w:rPr>
              <w:t>que utilizan satélites OSG</w:t>
            </w:r>
            <w:r w:rsidR="00EB1B0E">
              <w:rPr>
                <w:rFonts w:ascii="Tahoma" w:hAnsi="Tahoma" w:cs="Tahoma"/>
                <w:b/>
                <w:bCs/>
                <w:color w:val="243285"/>
                <w:sz w:val="44"/>
                <w:szCs w:val="44"/>
                <w:lang w:val="es-ES_tradnl"/>
              </w:rPr>
              <w:t xml:space="preserve"> </w:t>
            </w:r>
            <w:r w:rsidRPr="007D238E">
              <w:rPr>
                <w:rFonts w:ascii="Tahoma" w:hAnsi="Tahoma" w:cs="Tahoma"/>
                <w:b/>
                <w:bCs/>
                <w:color w:val="243285"/>
                <w:sz w:val="44"/>
                <w:szCs w:val="44"/>
                <w:lang w:val="es-ES_tradnl"/>
              </w:rPr>
              <w:t xml:space="preserve">en los servicios de exploración </w:t>
            </w:r>
            <w:r>
              <w:rPr>
                <w:rFonts w:ascii="Tahoma" w:hAnsi="Tahoma" w:cs="Tahoma"/>
                <w:b/>
                <w:bCs/>
                <w:color w:val="243285"/>
                <w:sz w:val="44"/>
                <w:szCs w:val="44"/>
                <w:lang w:val="es-ES_tradnl"/>
              </w:rPr>
              <w:br/>
            </w:r>
            <w:r w:rsidRPr="007D238E">
              <w:rPr>
                <w:rFonts w:ascii="Tahoma" w:hAnsi="Tahoma" w:cs="Tahoma"/>
                <w:b/>
                <w:bCs/>
                <w:color w:val="243285"/>
                <w:sz w:val="44"/>
                <w:szCs w:val="44"/>
                <w:lang w:val="es-ES_tradnl"/>
              </w:rPr>
              <w:t xml:space="preserve">de la Tierra por satélite </w:t>
            </w:r>
            <w:r w:rsidRPr="007D238E">
              <w:rPr>
                <w:rFonts w:ascii="Tahoma" w:hAnsi="Tahoma" w:cs="Tahoma"/>
                <w:b/>
                <w:bCs/>
                <w:color w:val="243285"/>
                <w:sz w:val="44"/>
                <w:szCs w:val="44"/>
                <w:lang w:val="es-ES_tradnl"/>
              </w:rPr>
              <w:br/>
              <w:t>y de meteorología por satélite</w:t>
            </w:r>
          </w:p>
          <w:p w:rsidR="00B1717A" w:rsidRPr="007D238E" w:rsidRDefault="00B1717A" w:rsidP="00D62884">
            <w:pPr>
              <w:spacing w:before="80" w:line="500" w:lineRule="exact"/>
              <w:jc w:val="right"/>
              <w:rPr>
                <w:rFonts w:ascii="Tahoma" w:hAnsi="Tahoma" w:cs="Tahoma"/>
                <w:b/>
                <w:bCs/>
                <w:color w:val="243285"/>
                <w:sz w:val="44"/>
                <w:szCs w:val="44"/>
                <w:lang w:val="es-ES_tradnl"/>
              </w:rPr>
            </w:pPr>
          </w:p>
        </w:tc>
      </w:tr>
      <w:tr w:rsidR="00B1717A" w:rsidRPr="00F45338" w:rsidTr="00D62884">
        <w:tc>
          <w:tcPr>
            <w:tcW w:w="10089" w:type="dxa"/>
          </w:tcPr>
          <w:p w:rsidR="00B1717A" w:rsidRPr="0010336F" w:rsidRDefault="00B1717A" w:rsidP="00D62884">
            <w:pPr>
              <w:spacing w:before="80" w:line="280" w:lineRule="exact"/>
              <w:ind w:right="640"/>
              <w:rPr>
                <w:rFonts w:ascii="Tahoma" w:hAnsi="Tahoma" w:cs="Tahoma"/>
                <w:b/>
                <w:bCs/>
                <w:iCs/>
                <w:color w:val="243285"/>
                <w:sz w:val="32"/>
                <w:szCs w:val="32"/>
                <w:lang w:val="es-ES_tradnl"/>
              </w:rPr>
            </w:pPr>
          </w:p>
          <w:p w:rsidR="00B1717A" w:rsidRPr="0010336F" w:rsidRDefault="00B1717A" w:rsidP="00D62884">
            <w:pPr>
              <w:spacing w:before="80" w:line="280" w:lineRule="exact"/>
              <w:ind w:right="640"/>
              <w:rPr>
                <w:rFonts w:ascii="Tahoma" w:hAnsi="Tahoma" w:cs="Tahoma"/>
                <w:b/>
                <w:bCs/>
                <w:iCs/>
                <w:color w:val="243285"/>
                <w:sz w:val="32"/>
                <w:szCs w:val="32"/>
                <w:lang w:val="es-ES_tradnl"/>
              </w:rPr>
            </w:pPr>
          </w:p>
          <w:p w:rsidR="00B1717A" w:rsidRPr="0010336F" w:rsidRDefault="00B1717A" w:rsidP="00D62884">
            <w:pPr>
              <w:spacing w:before="80" w:after="180" w:line="360" w:lineRule="exact"/>
              <w:ind w:right="720"/>
              <w:rPr>
                <w:rFonts w:ascii="Tahoma" w:hAnsi="Tahoma" w:cs="Tahoma"/>
                <w:b/>
                <w:bCs/>
                <w:iCs/>
                <w:color w:val="243285"/>
                <w:sz w:val="36"/>
                <w:szCs w:val="36"/>
                <w:lang w:val="es-ES_tradnl"/>
              </w:rPr>
            </w:pPr>
          </w:p>
          <w:p w:rsidR="00B1717A" w:rsidRPr="0010336F" w:rsidRDefault="00B1717A" w:rsidP="00D12388">
            <w:pPr>
              <w:spacing w:before="80" w:after="180" w:line="36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Serie </w:t>
            </w:r>
            <w:r w:rsidR="00DE71F7">
              <w:rPr>
                <w:rFonts w:ascii="Tahoma" w:hAnsi="Tahoma" w:cs="Tahoma"/>
                <w:b/>
                <w:bCs/>
                <w:iCs/>
                <w:color w:val="243285"/>
                <w:sz w:val="36"/>
                <w:szCs w:val="36"/>
                <w:lang w:val="es-ES_tradnl"/>
              </w:rPr>
              <w:t>S</w:t>
            </w:r>
            <w:r w:rsidR="00025336">
              <w:rPr>
                <w:rFonts w:ascii="Tahoma" w:hAnsi="Tahoma" w:cs="Tahoma"/>
                <w:b/>
                <w:bCs/>
                <w:iCs/>
                <w:color w:val="243285"/>
                <w:sz w:val="36"/>
                <w:szCs w:val="36"/>
                <w:lang w:val="es-ES_tradnl"/>
              </w:rPr>
              <w:t>A</w:t>
            </w:r>
          </w:p>
          <w:p w:rsidR="00B1717A" w:rsidRPr="0010336F" w:rsidRDefault="00025336" w:rsidP="00D62884">
            <w:pPr>
              <w:spacing w:before="80" w:line="420" w:lineRule="exact"/>
              <w:jc w:val="right"/>
              <w:rPr>
                <w:rFonts w:ascii="Tahoma" w:hAnsi="Tahoma" w:cs="Tahoma"/>
                <w:b/>
                <w:bCs/>
                <w:iCs/>
                <w:color w:val="243285"/>
                <w:sz w:val="36"/>
                <w:szCs w:val="36"/>
                <w:lang w:val="es-ES_tradnl"/>
              </w:rPr>
            </w:pPr>
            <w:r>
              <w:rPr>
                <w:rFonts w:ascii="Tahoma" w:hAnsi="Tahoma" w:cs="Tahoma"/>
                <w:b/>
                <w:bCs/>
                <w:iCs/>
                <w:color w:val="243285"/>
                <w:sz w:val="36"/>
                <w:szCs w:val="36"/>
                <w:lang w:val="es-ES_tradnl"/>
              </w:rPr>
              <w:t>Aplicaciones espaciales y meteorología</w:t>
            </w:r>
          </w:p>
        </w:tc>
      </w:tr>
    </w:tbl>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pStyle w:val="Equation"/>
        <w:tabs>
          <w:tab w:val="clear" w:pos="4820"/>
          <w:tab w:val="clear" w:pos="9639"/>
          <w:tab w:val="left" w:pos="1191"/>
          <w:tab w:val="left" w:pos="1588"/>
          <w:tab w:val="left" w:pos="1985"/>
        </w:tabs>
        <w:rPr>
          <w:rFonts w:ascii="Palatino Linotype" w:hAnsi="Palatino Linotype"/>
          <w:lang w:val="es-ES_tradnl"/>
        </w:rPr>
        <w:sectPr w:rsidR="00B1717A" w:rsidRPr="0026666F">
          <w:headerReference w:type="even" r:id="rId6"/>
          <w:headerReference w:type="default" r:id="rId7"/>
          <w:pgSz w:w="11907" w:h="16840" w:code="9"/>
          <w:pgMar w:top="1089" w:right="1089" w:bottom="284" w:left="1089" w:header="567" w:footer="284" w:gutter="0"/>
          <w:pgNumType w:start="1"/>
          <w:cols w:space="720"/>
        </w:sectPr>
      </w:pPr>
    </w:p>
    <w:p w:rsidR="00B1717A" w:rsidRPr="006C718C" w:rsidRDefault="00B1717A" w:rsidP="005A1CE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0" w:after="0"/>
        <w:rPr>
          <w:bCs/>
          <w:sz w:val="24"/>
          <w:szCs w:val="24"/>
          <w:lang w:val="es-ES_tradnl"/>
        </w:rPr>
      </w:pPr>
      <w:bookmarkStart w:id="1" w:name="c2tope"/>
      <w:bookmarkEnd w:id="1"/>
      <w:r w:rsidRPr="006C718C">
        <w:rPr>
          <w:bCs/>
          <w:sz w:val="24"/>
          <w:szCs w:val="24"/>
          <w:lang w:val="es-ES_tradnl"/>
        </w:rPr>
        <w:lastRenderedPageBreak/>
        <w:t>Prólogo</w:t>
      </w:r>
    </w:p>
    <w:p w:rsidR="00B1717A" w:rsidRPr="006C718C" w:rsidRDefault="00B1717A" w:rsidP="00B1717A">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B1717A" w:rsidRPr="006C718C" w:rsidRDefault="00B1717A" w:rsidP="00B1717A">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B1717A" w:rsidRPr="00021E8A" w:rsidRDefault="00B1717A" w:rsidP="00B1717A">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rsidR="00B1717A" w:rsidRPr="00021E8A" w:rsidRDefault="00B1717A" w:rsidP="003B5B1B">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8"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B1717A" w:rsidRPr="007C36CA" w:rsidRDefault="00B1717A" w:rsidP="00B1717A">
      <w:pPr>
        <w:spacing w:before="0"/>
        <w:jc w:val="center"/>
        <w:rPr>
          <w:sz w:val="22"/>
          <w:lang w:val="es-ES_tradnl"/>
        </w:rPr>
      </w:pPr>
    </w:p>
    <w:p w:rsidR="00B1717A" w:rsidRPr="007C36CA" w:rsidRDefault="00B1717A" w:rsidP="00B1717A">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B1717A" w:rsidRPr="00F45338" w:rsidTr="00D62884">
        <w:tc>
          <w:tcPr>
            <w:tcW w:w="9360" w:type="dxa"/>
            <w:gridSpan w:val="2"/>
          </w:tcPr>
          <w:p w:rsidR="00B1717A" w:rsidRPr="00021E8A" w:rsidRDefault="00B1717A" w:rsidP="00D62884">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rsidR="00B1717A" w:rsidRPr="00763D08"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9" w:history="1">
              <w:r w:rsidRPr="00763D08">
                <w:rPr>
                  <w:rStyle w:val="Hyperlink"/>
                  <w:b w:val="0"/>
                  <w:bCs/>
                  <w:sz w:val="18"/>
                  <w:szCs w:val="18"/>
                  <w:lang w:val="es-ES_tradnl"/>
                </w:rPr>
                <w:t>http://www.itu.int/publ/R-REC/es</w:t>
              </w:r>
            </w:hyperlink>
            <w:r w:rsidRPr="00763D08">
              <w:rPr>
                <w:b w:val="0"/>
                <w:bCs/>
                <w:sz w:val="18"/>
                <w:szCs w:val="18"/>
                <w:lang w:val="es-ES_tradnl"/>
              </w:rPr>
              <w:t>)</w:t>
            </w:r>
          </w:p>
        </w:tc>
      </w:tr>
      <w:tr w:rsidR="00B1717A" w:rsidRPr="00036EE3" w:rsidTr="004532F7">
        <w:tc>
          <w:tcPr>
            <w:tcW w:w="1140" w:type="dxa"/>
            <w:tcBorders>
              <w:bottom w:val="nil"/>
            </w:tcBorders>
          </w:tcPr>
          <w:p w:rsidR="00B1717A" w:rsidRPr="00036EE3" w:rsidRDefault="00B1717A" w:rsidP="00D62884">
            <w:pPr>
              <w:spacing w:before="180" w:after="100"/>
              <w:ind w:left="57"/>
              <w:rPr>
                <w:b/>
                <w:bCs/>
                <w:sz w:val="20"/>
                <w:lang w:val="en-US"/>
              </w:rPr>
            </w:pPr>
            <w:r w:rsidRPr="00036EE3">
              <w:rPr>
                <w:b/>
                <w:bCs/>
                <w:sz w:val="20"/>
                <w:lang w:val="en-US"/>
              </w:rPr>
              <w:t>Series</w:t>
            </w:r>
          </w:p>
        </w:tc>
        <w:tc>
          <w:tcPr>
            <w:tcW w:w="8220" w:type="dxa"/>
            <w:tcBorders>
              <w:bottom w:val="nil"/>
            </w:tcBorders>
          </w:tcPr>
          <w:p w:rsidR="00B1717A" w:rsidRPr="00036EE3"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proofErr w:type="spellStart"/>
            <w:r>
              <w:rPr>
                <w:bCs/>
                <w:sz w:val="20"/>
                <w:lang w:val="en-US"/>
              </w:rPr>
              <w:t>Título</w:t>
            </w:r>
            <w:proofErr w:type="spellEnd"/>
          </w:p>
        </w:tc>
      </w:tr>
      <w:tr w:rsidR="00B1717A" w:rsidRPr="004532F7" w:rsidTr="004532F7">
        <w:tc>
          <w:tcPr>
            <w:tcW w:w="1140" w:type="dxa"/>
            <w:tcBorders>
              <w:top w:val="nil"/>
              <w:bottom w:val="nil"/>
            </w:tcBorders>
            <w:shd w:val="clear" w:color="auto" w:fill="auto"/>
          </w:tcPr>
          <w:p w:rsidR="00B1717A" w:rsidRPr="004532F7" w:rsidRDefault="00B1717A" w:rsidP="00D62884">
            <w:pPr>
              <w:spacing w:before="30" w:after="30"/>
              <w:ind w:left="57"/>
              <w:jc w:val="left"/>
              <w:rPr>
                <w:b/>
                <w:bCs/>
                <w:sz w:val="20"/>
                <w:lang w:val="en-US"/>
              </w:rPr>
            </w:pPr>
            <w:r w:rsidRPr="004532F7">
              <w:rPr>
                <w:b/>
                <w:bCs/>
                <w:sz w:val="20"/>
                <w:lang w:val="en-US"/>
              </w:rPr>
              <w:t>BO</w:t>
            </w:r>
          </w:p>
        </w:tc>
        <w:tc>
          <w:tcPr>
            <w:tcW w:w="8220" w:type="dxa"/>
            <w:tcBorders>
              <w:top w:val="nil"/>
              <w:bottom w:val="nil"/>
            </w:tcBorders>
            <w:shd w:val="clear" w:color="auto" w:fill="auto"/>
          </w:tcPr>
          <w:p w:rsidR="00B1717A" w:rsidRPr="004532F7"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proofErr w:type="spellStart"/>
            <w:r w:rsidRPr="004532F7">
              <w:rPr>
                <w:b w:val="0"/>
                <w:sz w:val="20"/>
              </w:rPr>
              <w:t>Distribución</w:t>
            </w:r>
            <w:proofErr w:type="spellEnd"/>
            <w:r w:rsidRPr="004532F7">
              <w:rPr>
                <w:b w:val="0"/>
                <w:sz w:val="20"/>
              </w:rPr>
              <w:t xml:space="preserve"> </w:t>
            </w:r>
            <w:proofErr w:type="spellStart"/>
            <w:r w:rsidRPr="004532F7">
              <w:rPr>
                <w:b w:val="0"/>
                <w:sz w:val="20"/>
              </w:rPr>
              <w:t>por</w:t>
            </w:r>
            <w:proofErr w:type="spellEnd"/>
            <w:r w:rsidRPr="004532F7">
              <w:rPr>
                <w:b w:val="0"/>
                <w:sz w:val="20"/>
              </w:rPr>
              <w:t xml:space="preserve"> </w:t>
            </w:r>
            <w:proofErr w:type="spellStart"/>
            <w:r w:rsidRPr="004532F7">
              <w:rPr>
                <w:b w:val="0"/>
                <w:sz w:val="20"/>
              </w:rPr>
              <w:t>satélite</w:t>
            </w:r>
            <w:proofErr w:type="spellEnd"/>
          </w:p>
        </w:tc>
      </w:tr>
      <w:tr w:rsidR="00B1717A" w:rsidRPr="00F45338" w:rsidTr="00847DD5">
        <w:tc>
          <w:tcPr>
            <w:tcW w:w="1140" w:type="dxa"/>
            <w:tcBorders>
              <w:top w:val="nil"/>
              <w:bottom w:val="nil"/>
            </w:tcBorders>
            <w:shd w:val="clear" w:color="auto" w:fill="auto"/>
          </w:tcPr>
          <w:p w:rsidR="00B1717A" w:rsidRPr="006B22C3" w:rsidRDefault="00B1717A" w:rsidP="00D62884">
            <w:pPr>
              <w:spacing w:before="30" w:after="30"/>
              <w:ind w:left="57"/>
              <w:jc w:val="left"/>
              <w:rPr>
                <w:b/>
                <w:bCs/>
                <w:sz w:val="20"/>
                <w:lang w:val="en-US"/>
              </w:rPr>
            </w:pPr>
            <w:r w:rsidRPr="006B22C3">
              <w:rPr>
                <w:b/>
                <w:bCs/>
                <w:sz w:val="20"/>
                <w:lang w:val="en-US"/>
              </w:rPr>
              <w:t>BR</w:t>
            </w:r>
          </w:p>
        </w:tc>
        <w:tc>
          <w:tcPr>
            <w:tcW w:w="8220" w:type="dxa"/>
            <w:tcBorders>
              <w:top w:val="nil"/>
              <w:bottom w:val="nil"/>
            </w:tcBorders>
            <w:shd w:val="clear" w:color="auto" w:fill="auto"/>
          </w:tcPr>
          <w:p w:rsidR="00B1717A" w:rsidRPr="006B22C3"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6B22C3">
              <w:rPr>
                <w:b w:val="0"/>
                <w:sz w:val="20"/>
                <w:lang w:val="es-ES_tradnl"/>
              </w:rPr>
              <w:t>Registro para producción, archivo y reproducción; películas en televisión</w:t>
            </w:r>
          </w:p>
        </w:tc>
      </w:tr>
      <w:tr w:rsidR="00B1717A" w:rsidRPr="00847DD5" w:rsidTr="00847DD5">
        <w:tc>
          <w:tcPr>
            <w:tcW w:w="1140" w:type="dxa"/>
            <w:tcBorders>
              <w:top w:val="nil"/>
              <w:bottom w:val="nil"/>
            </w:tcBorders>
            <w:shd w:val="clear" w:color="auto" w:fill="auto"/>
          </w:tcPr>
          <w:p w:rsidR="00B1717A" w:rsidRPr="00847DD5" w:rsidRDefault="00B1717A" w:rsidP="00D62884">
            <w:pPr>
              <w:spacing w:before="30" w:after="30"/>
              <w:ind w:left="57"/>
              <w:jc w:val="left"/>
              <w:rPr>
                <w:b/>
                <w:bCs/>
                <w:sz w:val="20"/>
                <w:lang w:val="en-US"/>
              </w:rPr>
            </w:pPr>
            <w:r w:rsidRPr="00847DD5">
              <w:rPr>
                <w:b/>
                <w:bCs/>
                <w:sz w:val="20"/>
                <w:lang w:val="en-US"/>
              </w:rPr>
              <w:t>BS</w:t>
            </w:r>
          </w:p>
        </w:tc>
        <w:tc>
          <w:tcPr>
            <w:tcW w:w="8220" w:type="dxa"/>
            <w:tcBorders>
              <w:top w:val="nil"/>
              <w:bottom w:val="nil"/>
            </w:tcBorders>
            <w:shd w:val="clear" w:color="auto" w:fill="auto"/>
          </w:tcPr>
          <w:p w:rsidR="00B1717A" w:rsidRPr="00847DD5" w:rsidRDefault="002814F2"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proofErr w:type="spellStart"/>
            <w:r w:rsidRPr="00021E8A">
              <w:rPr>
                <w:b w:val="0"/>
                <w:bCs/>
                <w:sz w:val="20"/>
              </w:rPr>
              <w:t>Servicio</w:t>
            </w:r>
            <w:proofErr w:type="spellEnd"/>
            <w:r w:rsidRPr="00021E8A">
              <w:rPr>
                <w:b w:val="0"/>
                <w:bCs/>
                <w:sz w:val="20"/>
              </w:rPr>
              <w:t xml:space="preserve"> de </w:t>
            </w:r>
            <w:proofErr w:type="spellStart"/>
            <w:r w:rsidRPr="00021E8A">
              <w:rPr>
                <w:b w:val="0"/>
                <w:bCs/>
                <w:sz w:val="20"/>
              </w:rPr>
              <w:t>radiodifusión</w:t>
            </w:r>
            <w:proofErr w:type="spellEnd"/>
            <w:r w:rsidRPr="00021E8A">
              <w:rPr>
                <w:b w:val="0"/>
                <w:bCs/>
                <w:sz w:val="20"/>
              </w:rPr>
              <w:t xml:space="preserve"> </w:t>
            </w:r>
            <w:r>
              <w:rPr>
                <w:b w:val="0"/>
                <w:bCs/>
                <w:sz w:val="20"/>
              </w:rPr>
              <w:t>(</w:t>
            </w:r>
            <w:proofErr w:type="spellStart"/>
            <w:r w:rsidRPr="00021E8A">
              <w:rPr>
                <w:b w:val="0"/>
                <w:bCs/>
                <w:sz w:val="20"/>
              </w:rPr>
              <w:t>sonora</w:t>
            </w:r>
            <w:proofErr w:type="spellEnd"/>
            <w:r>
              <w:rPr>
                <w:b w:val="0"/>
                <w:bCs/>
                <w:sz w:val="20"/>
              </w:rPr>
              <w:t>)</w:t>
            </w:r>
          </w:p>
        </w:tc>
      </w:tr>
      <w:tr w:rsidR="00B1717A" w:rsidRPr="00ED2695" w:rsidTr="00366CEE">
        <w:tc>
          <w:tcPr>
            <w:tcW w:w="1140" w:type="dxa"/>
            <w:tcBorders>
              <w:top w:val="nil"/>
              <w:bottom w:val="nil"/>
            </w:tcBorders>
            <w:shd w:val="clear" w:color="auto" w:fill="auto"/>
          </w:tcPr>
          <w:p w:rsidR="00B1717A" w:rsidRPr="00ED2695" w:rsidRDefault="00B1717A" w:rsidP="00D62884">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B1717A" w:rsidRPr="00021E8A"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proofErr w:type="spellStart"/>
            <w:r w:rsidRPr="00021E8A">
              <w:rPr>
                <w:b w:val="0"/>
                <w:bCs/>
                <w:sz w:val="20"/>
              </w:rPr>
              <w:t>Servicio</w:t>
            </w:r>
            <w:proofErr w:type="spellEnd"/>
            <w:r w:rsidRPr="00021E8A">
              <w:rPr>
                <w:b w:val="0"/>
                <w:bCs/>
                <w:sz w:val="20"/>
              </w:rPr>
              <w:t xml:space="preserve"> de </w:t>
            </w:r>
            <w:proofErr w:type="spellStart"/>
            <w:r w:rsidRPr="00021E8A">
              <w:rPr>
                <w:b w:val="0"/>
                <w:bCs/>
                <w:sz w:val="20"/>
              </w:rPr>
              <w:t>radiodifusión</w:t>
            </w:r>
            <w:proofErr w:type="spellEnd"/>
            <w:r w:rsidRPr="00021E8A">
              <w:rPr>
                <w:b w:val="0"/>
                <w:bCs/>
                <w:sz w:val="20"/>
              </w:rPr>
              <w:t xml:space="preserve"> (</w:t>
            </w:r>
            <w:proofErr w:type="spellStart"/>
            <w:r w:rsidRPr="00021E8A">
              <w:rPr>
                <w:b w:val="0"/>
                <w:bCs/>
                <w:sz w:val="20"/>
              </w:rPr>
              <w:t>televisión</w:t>
            </w:r>
            <w:proofErr w:type="spellEnd"/>
            <w:r w:rsidRPr="00021E8A">
              <w:rPr>
                <w:b w:val="0"/>
                <w:bCs/>
                <w:sz w:val="20"/>
              </w:rPr>
              <w:t>)</w:t>
            </w:r>
          </w:p>
        </w:tc>
      </w:tr>
      <w:tr w:rsidR="00B1717A" w:rsidRPr="00366CEE" w:rsidTr="00366CEE">
        <w:tc>
          <w:tcPr>
            <w:tcW w:w="1140" w:type="dxa"/>
            <w:tcBorders>
              <w:top w:val="nil"/>
              <w:bottom w:val="nil"/>
            </w:tcBorders>
            <w:shd w:val="clear" w:color="auto" w:fill="auto"/>
          </w:tcPr>
          <w:p w:rsidR="00B1717A" w:rsidRPr="00366CEE" w:rsidRDefault="00B1717A" w:rsidP="00D62884">
            <w:pPr>
              <w:spacing w:before="30" w:after="30"/>
              <w:ind w:left="57"/>
              <w:jc w:val="left"/>
              <w:rPr>
                <w:b/>
                <w:bCs/>
                <w:sz w:val="20"/>
                <w:lang w:val="fr-CH"/>
              </w:rPr>
            </w:pPr>
            <w:r w:rsidRPr="00366CEE">
              <w:rPr>
                <w:b/>
                <w:bCs/>
                <w:sz w:val="20"/>
                <w:lang w:val="fr-CH"/>
              </w:rPr>
              <w:t>F</w:t>
            </w:r>
          </w:p>
        </w:tc>
        <w:tc>
          <w:tcPr>
            <w:tcW w:w="8220" w:type="dxa"/>
            <w:tcBorders>
              <w:top w:val="nil"/>
              <w:bottom w:val="nil"/>
            </w:tcBorders>
            <w:shd w:val="clear" w:color="auto" w:fill="auto"/>
          </w:tcPr>
          <w:p w:rsidR="00B1717A" w:rsidRPr="00366CEE" w:rsidRDefault="00B1717A" w:rsidP="00D628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proofErr w:type="spellStart"/>
            <w:r w:rsidRPr="00366CEE">
              <w:rPr>
                <w:sz w:val="20"/>
              </w:rPr>
              <w:t>Servicio</w:t>
            </w:r>
            <w:proofErr w:type="spellEnd"/>
            <w:r w:rsidRPr="00366CEE">
              <w:rPr>
                <w:sz w:val="20"/>
              </w:rPr>
              <w:t xml:space="preserve"> </w:t>
            </w:r>
            <w:proofErr w:type="spellStart"/>
            <w:r w:rsidRPr="00366CEE">
              <w:rPr>
                <w:sz w:val="20"/>
              </w:rPr>
              <w:t>fijo</w:t>
            </w:r>
            <w:proofErr w:type="spellEnd"/>
          </w:p>
        </w:tc>
      </w:tr>
      <w:tr w:rsidR="00B1717A" w:rsidRPr="00F45338" w:rsidTr="00F95576">
        <w:tc>
          <w:tcPr>
            <w:tcW w:w="1140" w:type="dxa"/>
            <w:tcBorders>
              <w:top w:val="nil"/>
              <w:bottom w:val="nil"/>
            </w:tcBorders>
            <w:shd w:val="clear" w:color="auto" w:fill="auto"/>
          </w:tcPr>
          <w:p w:rsidR="00B1717A" w:rsidRPr="0010336F" w:rsidRDefault="00B1717A" w:rsidP="00D62884">
            <w:pPr>
              <w:spacing w:before="30" w:after="30"/>
              <w:ind w:left="57"/>
              <w:jc w:val="left"/>
              <w:rPr>
                <w:rFonts w:hAnsi="Times New Roman Bold"/>
                <w:b/>
                <w:bCs/>
                <w:sz w:val="20"/>
                <w:lang w:val="en-US"/>
              </w:rPr>
            </w:pPr>
            <w:r w:rsidRPr="0010336F">
              <w:rPr>
                <w:rFonts w:hAnsi="Times New Roman Bold"/>
                <w:b/>
                <w:bCs/>
                <w:sz w:val="20"/>
                <w:lang w:val="en-US"/>
              </w:rPr>
              <w:t>M</w:t>
            </w:r>
          </w:p>
        </w:tc>
        <w:tc>
          <w:tcPr>
            <w:tcW w:w="8220" w:type="dxa"/>
            <w:tcBorders>
              <w:top w:val="nil"/>
              <w:bottom w:val="nil"/>
            </w:tcBorders>
            <w:shd w:val="clear" w:color="auto" w:fill="auto"/>
          </w:tcPr>
          <w:p w:rsidR="00B1717A" w:rsidRPr="0010336F"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10336F">
              <w:rPr>
                <w:rFonts w:hAnsi="Times New Roman Bold"/>
                <w:b w:val="0"/>
                <w:sz w:val="20"/>
                <w:lang w:val="es-ES_tradnl"/>
              </w:rPr>
              <w:t>Servicios m</w:t>
            </w:r>
            <w:r w:rsidRPr="0010336F">
              <w:rPr>
                <w:rFonts w:hAnsi="Times New Roman Bold"/>
                <w:b w:val="0"/>
                <w:sz w:val="20"/>
                <w:lang w:val="es-ES_tradnl"/>
              </w:rPr>
              <w:t>ó</w:t>
            </w:r>
            <w:r w:rsidRPr="0010336F">
              <w:rPr>
                <w:rFonts w:hAnsi="Times New Roman Bold"/>
                <w:b w:val="0"/>
                <w:sz w:val="20"/>
                <w:lang w:val="es-ES_tradnl"/>
              </w:rPr>
              <w:t xml:space="preserve">viles, de </w:t>
            </w:r>
            <w:proofErr w:type="spellStart"/>
            <w:r w:rsidRPr="0010336F">
              <w:rPr>
                <w:rFonts w:hAnsi="Times New Roman Bold"/>
                <w:b w:val="0"/>
                <w:sz w:val="20"/>
                <w:lang w:val="es-ES_tradnl"/>
              </w:rPr>
              <w:t>radiodeterminaci</w:t>
            </w:r>
            <w:r w:rsidRPr="0010336F">
              <w:rPr>
                <w:rFonts w:hAnsi="Times New Roman Bold"/>
                <w:b w:val="0"/>
                <w:sz w:val="20"/>
                <w:lang w:val="es-ES_tradnl"/>
              </w:rPr>
              <w:t>ó</w:t>
            </w:r>
            <w:r w:rsidRPr="0010336F">
              <w:rPr>
                <w:rFonts w:hAnsi="Times New Roman Bold"/>
                <w:b w:val="0"/>
                <w:sz w:val="20"/>
                <w:lang w:val="es-ES_tradnl"/>
              </w:rPr>
              <w:t>n</w:t>
            </w:r>
            <w:proofErr w:type="spellEnd"/>
            <w:r w:rsidRPr="0010336F">
              <w:rPr>
                <w:rFonts w:hAnsi="Times New Roman Bold"/>
                <w:b w:val="0"/>
                <w:sz w:val="20"/>
                <w:lang w:val="es-ES_tradnl"/>
              </w:rPr>
              <w:t>, de aficionados y otros servicios por sat</w:t>
            </w:r>
            <w:r w:rsidRPr="0010336F">
              <w:rPr>
                <w:rFonts w:hAnsi="Times New Roman Bold"/>
                <w:b w:val="0"/>
                <w:sz w:val="20"/>
                <w:lang w:val="es-ES_tradnl"/>
              </w:rPr>
              <w:t>é</w:t>
            </w:r>
            <w:r w:rsidRPr="0010336F">
              <w:rPr>
                <w:rFonts w:hAnsi="Times New Roman Bold"/>
                <w:b w:val="0"/>
                <w:sz w:val="20"/>
                <w:lang w:val="es-ES_tradnl"/>
              </w:rPr>
              <w:t>lite conexos</w:t>
            </w:r>
          </w:p>
        </w:tc>
      </w:tr>
      <w:tr w:rsidR="00B1717A" w:rsidRPr="00F45338" w:rsidTr="00DE71F7">
        <w:tc>
          <w:tcPr>
            <w:tcW w:w="1140" w:type="dxa"/>
            <w:tcBorders>
              <w:top w:val="nil"/>
              <w:bottom w:val="nil"/>
            </w:tcBorders>
            <w:shd w:val="clear" w:color="auto" w:fill="auto"/>
          </w:tcPr>
          <w:p w:rsidR="00B1717A" w:rsidRPr="00F95576" w:rsidRDefault="00B1717A" w:rsidP="00D62884">
            <w:pPr>
              <w:spacing w:before="30" w:after="30"/>
              <w:ind w:left="57"/>
              <w:jc w:val="left"/>
              <w:rPr>
                <w:b/>
                <w:bCs/>
                <w:sz w:val="20"/>
                <w:lang w:val="fr-CH"/>
              </w:rPr>
            </w:pPr>
            <w:r w:rsidRPr="00F95576">
              <w:rPr>
                <w:b/>
                <w:bCs/>
                <w:sz w:val="20"/>
                <w:lang w:val="fr-CH"/>
              </w:rPr>
              <w:t>P</w:t>
            </w:r>
          </w:p>
        </w:tc>
        <w:tc>
          <w:tcPr>
            <w:tcW w:w="8220" w:type="dxa"/>
            <w:tcBorders>
              <w:top w:val="nil"/>
              <w:bottom w:val="nil"/>
            </w:tcBorders>
            <w:shd w:val="clear" w:color="auto" w:fill="auto"/>
          </w:tcPr>
          <w:p w:rsidR="00B1717A" w:rsidRPr="00F95576" w:rsidRDefault="00B1717A" w:rsidP="00D62884">
            <w:pPr>
              <w:spacing w:before="30" w:after="30"/>
              <w:jc w:val="left"/>
              <w:rPr>
                <w:sz w:val="20"/>
                <w:lang w:val="es-ES_tradnl"/>
              </w:rPr>
            </w:pPr>
            <w:r w:rsidRPr="00F95576">
              <w:rPr>
                <w:sz w:val="20"/>
                <w:lang w:val="es-ES_tradnl"/>
              </w:rPr>
              <w:t>Propagación de las ondas radioeléctricas</w:t>
            </w:r>
          </w:p>
        </w:tc>
      </w:tr>
      <w:tr w:rsidR="00B1717A" w:rsidRPr="00DE71F7" w:rsidTr="00D12388">
        <w:tc>
          <w:tcPr>
            <w:tcW w:w="1140" w:type="dxa"/>
            <w:tcBorders>
              <w:top w:val="nil"/>
              <w:bottom w:val="nil"/>
            </w:tcBorders>
            <w:shd w:val="clear" w:color="auto" w:fill="auto"/>
          </w:tcPr>
          <w:p w:rsidR="00B1717A" w:rsidRPr="00DE71F7" w:rsidRDefault="00B1717A" w:rsidP="00D62884">
            <w:pPr>
              <w:spacing w:before="30" w:after="30"/>
              <w:ind w:left="57"/>
              <w:jc w:val="left"/>
              <w:rPr>
                <w:b/>
                <w:bCs/>
                <w:sz w:val="20"/>
                <w:lang w:val="en-US"/>
              </w:rPr>
            </w:pPr>
            <w:r w:rsidRPr="00DE71F7">
              <w:rPr>
                <w:b/>
                <w:bCs/>
                <w:sz w:val="20"/>
                <w:lang w:val="en-US"/>
              </w:rPr>
              <w:t>RA</w:t>
            </w:r>
          </w:p>
        </w:tc>
        <w:tc>
          <w:tcPr>
            <w:tcW w:w="8220" w:type="dxa"/>
            <w:tcBorders>
              <w:top w:val="nil"/>
              <w:bottom w:val="nil"/>
            </w:tcBorders>
            <w:shd w:val="clear" w:color="auto" w:fill="auto"/>
          </w:tcPr>
          <w:p w:rsidR="00B1717A" w:rsidRPr="00DE71F7" w:rsidRDefault="00B1717A" w:rsidP="00A2250E">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proofErr w:type="spellStart"/>
            <w:r w:rsidRPr="00DE71F7">
              <w:rPr>
                <w:sz w:val="20"/>
              </w:rPr>
              <w:t>Radioastronomía</w:t>
            </w:r>
            <w:proofErr w:type="spellEnd"/>
          </w:p>
        </w:tc>
      </w:tr>
      <w:tr w:rsidR="00B1717A" w:rsidRPr="00F45338" w:rsidTr="00025336">
        <w:tc>
          <w:tcPr>
            <w:tcW w:w="1140" w:type="dxa"/>
            <w:tcBorders>
              <w:top w:val="nil"/>
              <w:bottom w:val="nil"/>
            </w:tcBorders>
            <w:shd w:val="clear" w:color="auto" w:fill="auto"/>
          </w:tcPr>
          <w:p w:rsidR="00B1717A" w:rsidRPr="00D12388" w:rsidRDefault="00B1717A" w:rsidP="00D62884">
            <w:pPr>
              <w:spacing w:before="30" w:after="30"/>
              <w:ind w:left="57"/>
              <w:jc w:val="left"/>
              <w:rPr>
                <w:b/>
                <w:bCs/>
                <w:sz w:val="20"/>
                <w:lang w:val="en-US"/>
              </w:rPr>
            </w:pPr>
            <w:r w:rsidRPr="00D12388">
              <w:rPr>
                <w:b/>
                <w:bCs/>
                <w:sz w:val="20"/>
                <w:lang w:val="en-US"/>
              </w:rPr>
              <w:t>RS</w:t>
            </w:r>
          </w:p>
        </w:tc>
        <w:tc>
          <w:tcPr>
            <w:tcW w:w="8220" w:type="dxa"/>
            <w:tcBorders>
              <w:top w:val="nil"/>
              <w:bottom w:val="nil"/>
            </w:tcBorders>
            <w:shd w:val="clear" w:color="auto" w:fill="auto"/>
          </w:tcPr>
          <w:p w:rsidR="00B1717A" w:rsidRPr="00D12388" w:rsidRDefault="00B1717A" w:rsidP="00D628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s-ES_tradnl"/>
              </w:rPr>
            </w:pPr>
            <w:r w:rsidRPr="00D12388">
              <w:rPr>
                <w:sz w:val="20"/>
                <w:lang w:val="es-ES_tradnl"/>
              </w:rPr>
              <w:t>Sistemas de detección a distancia</w:t>
            </w:r>
          </w:p>
        </w:tc>
      </w:tr>
      <w:tr w:rsidR="00B1717A" w:rsidRPr="00025336" w:rsidTr="00025336">
        <w:tc>
          <w:tcPr>
            <w:tcW w:w="1140" w:type="dxa"/>
            <w:tcBorders>
              <w:top w:val="nil"/>
              <w:bottom w:val="nil"/>
            </w:tcBorders>
            <w:shd w:val="clear" w:color="auto" w:fill="auto"/>
          </w:tcPr>
          <w:p w:rsidR="00B1717A" w:rsidRPr="00025336" w:rsidRDefault="00B1717A" w:rsidP="00D62884">
            <w:pPr>
              <w:spacing w:before="30" w:after="30"/>
              <w:ind w:left="57"/>
              <w:jc w:val="left"/>
              <w:rPr>
                <w:b/>
                <w:bCs/>
                <w:sz w:val="20"/>
                <w:lang w:val="en-US"/>
              </w:rPr>
            </w:pPr>
            <w:r w:rsidRPr="00025336">
              <w:rPr>
                <w:b/>
                <w:bCs/>
                <w:sz w:val="20"/>
                <w:lang w:val="en-US"/>
              </w:rPr>
              <w:t>S</w:t>
            </w:r>
          </w:p>
        </w:tc>
        <w:tc>
          <w:tcPr>
            <w:tcW w:w="8220" w:type="dxa"/>
            <w:tcBorders>
              <w:top w:val="nil"/>
              <w:bottom w:val="nil"/>
            </w:tcBorders>
            <w:shd w:val="clear" w:color="auto" w:fill="auto"/>
          </w:tcPr>
          <w:p w:rsidR="00B1717A" w:rsidRPr="00025336" w:rsidRDefault="00B1717A" w:rsidP="00D62884">
            <w:pPr>
              <w:spacing w:before="30" w:after="30"/>
              <w:jc w:val="left"/>
              <w:rPr>
                <w:sz w:val="20"/>
                <w:lang w:val="en-US"/>
              </w:rPr>
            </w:pPr>
            <w:proofErr w:type="spellStart"/>
            <w:r w:rsidRPr="00025336">
              <w:rPr>
                <w:sz w:val="20"/>
              </w:rPr>
              <w:t>Servicio</w:t>
            </w:r>
            <w:proofErr w:type="spellEnd"/>
            <w:r w:rsidRPr="00025336">
              <w:rPr>
                <w:sz w:val="20"/>
              </w:rPr>
              <w:t xml:space="preserve"> </w:t>
            </w:r>
            <w:proofErr w:type="spellStart"/>
            <w:r w:rsidRPr="00025336">
              <w:rPr>
                <w:sz w:val="20"/>
              </w:rPr>
              <w:t>fijo</w:t>
            </w:r>
            <w:proofErr w:type="spellEnd"/>
            <w:r w:rsidRPr="00025336">
              <w:rPr>
                <w:sz w:val="20"/>
              </w:rPr>
              <w:t xml:space="preserve"> </w:t>
            </w:r>
            <w:proofErr w:type="spellStart"/>
            <w:r w:rsidRPr="00025336">
              <w:rPr>
                <w:sz w:val="20"/>
              </w:rPr>
              <w:t>por</w:t>
            </w:r>
            <w:proofErr w:type="spellEnd"/>
            <w:r w:rsidRPr="00025336">
              <w:rPr>
                <w:sz w:val="20"/>
              </w:rPr>
              <w:t xml:space="preserve"> </w:t>
            </w:r>
            <w:proofErr w:type="spellStart"/>
            <w:r w:rsidRPr="00025336">
              <w:rPr>
                <w:sz w:val="20"/>
              </w:rPr>
              <w:t>satélite</w:t>
            </w:r>
            <w:proofErr w:type="spellEnd"/>
          </w:p>
        </w:tc>
      </w:tr>
      <w:tr w:rsidR="00B1717A" w:rsidRPr="00025336" w:rsidTr="00025336">
        <w:tc>
          <w:tcPr>
            <w:tcW w:w="1140" w:type="dxa"/>
            <w:tcBorders>
              <w:top w:val="nil"/>
              <w:bottom w:val="nil"/>
            </w:tcBorders>
            <w:shd w:val="clear" w:color="auto" w:fill="F3F3F3"/>
          </w:tcPr>
          <w:p w:rsidR="00B1717A" w:rsidRPr="00025336" w:rsidRDefault="00B1717A" w:rsidP="00D62884">
            <w:pPr>
              <w:spacing w:before="30" w:after="30"/>
              <w:ind w:left="57"/>
              <w:jc w:val="left"/>
              <w:rPr>
                <w:b/>
                <w:bCs/>
                <w:color w:val="000080"/>
                <w:sz w:val="20"/>
                <w:lang w:val="en-US"/>
              </w:rPr>
            </w:pPr>
            <w:r w:rsidRPr="00025336">
              <w:rPr>
                <w:b/>
                <w:bCs/>
                <w:color w:val="000080"/>
                <w:sz w:val="20"/>
                <w:lang w:val="en-US"/>
              </w:rPr>
              <w:t>SA</w:t>
            </w:r>
          </w:p>
        </w:tc>
        <w:tc>
          <w:tcPr>
            <w:tcW w:w="8220" w:type="dxa"/>
            <w:tcBorders>
              <w:top w:val="nil"/>
              <w:bottom w:val="nil"/>
            </w:tcBorders>
            <w:shd w:val="clear" w:color="auto" w:fill="F3F3F3"/>
          </w:tcPr>
          <w:p w:rsidR="00B1717A" w:rsidRPr="00025336" w:rsidRDefault="00B1717A" w:rsidP="00D62884">
            <w:pPr>
              <w:spacing w:before="30" w:after="30"/>
              <w:jc w:val="left"/>
              <w:rPr>
                <w:b/>
                <w:bCs/>
                <w:color w:val="000080"/>
                <w:sz w:val="20"/>
                <w:lang w:val="en-US"/>
              </w:rPr>
            </w:pPr>
            <w:proofErr w:type="spellStart"/>
            <w:r w:rsidRPr="00025336">
              <w:rPr>
                <w:b/>
                <w:bCs/>
                <w:color w:val="000080"/>
                <w:sz w:val="20"/>
              </w:rPr>
              <w:t>Aplicaciones</w:t>
            </w:r>
            <w:proofErr w:type="spellEnd"/>
            <w:r w:rsidRPr="00025336">
              <w:rPr>
                <w:b/>
                <w:bCs/>
                <w:color w:val="000080"/>
                <w:sz w:val="20"/>
              </w:rPr>
              <w:t xml:space="preserve"> </w:t>
            </w:r>
            <w:proofErr w:type="spellStart"/>
            <w:r w:rsidRPr="00025336">
              <w:rPr>
                <w:b/>
                <w:bCs/>
                <w:color w:val="000080"/>
                <w:sz w:val="20"/>
              </w:rPr>
              <w:t>espaciales</w:t>
            </w:r>
            <w:proofErr w:type="spellEnd"/>
            <w:r w:rsidRPr="00025336">
              <w:rPr>
                <w:b/>
                <w:bCs/>
                <w:color w:val="000080"/>
                <w:sz w:val="20"/>
              </w:rPr>
              <w:t xml:space="preserve"> y </w:t>
            </w:r>
            <w:proofErr w:type="spellStart"/>
            <w:r w:rsidRPr="00025336">
              <w:rPr>
                <w:b/>
                <w:bCs/>
                <w:color w:val="000080"/>
                <w:sz w:val="20"/>
              </w:rPr>
              <w:t>meteorología</w:t>
            </w:r>
            <w:proofErr w:type="spellEnd"/>
          </w:p>
        </w:tc>
      </w:tr>
      <w:tr w:rsidR="00B1717A" w:rsidRPr="00F45338" w:rsidTr="00025336">
        <w:tc>
          <w:tcPr>
            <w:tcW w:w="1140" w:type="dxa"/>
            <w:tcBorders>
              <w:top w:val="nil"/>
            </w:tcBorders>
          </w:tcPr>
          <w:p w:rsidR="00B1717A" w:rsidRPr="00036EE3" w:rsidRDefault="00B1717A" w:rsidP="00D62884">
            <w:pPr>
              <w:spacing w:before="30" w:after="30"/>
              <w:ind w:left="57"/>
              <w:jc w:val="left"/>
              <w:rPr>
                <w:b/>
                <w:bCs/>
                <w:sz w:val="20"/>
                <w:lang w:val="en-US"/>
              </w:rPr>
            </w:pPr>
            <w:r w:rsidRPr="00036EE3">
              <w:rPr>
                <w:b/>
                <w:bCs/>
                <w:sz w:val="20"/>
                <w:lang w:val="en-US"/>
              </w:rPr>
              <w:t>SF</w:t>
            </w:r>
          </w:p>
        </w:tc>
        <w:tc>
          <w:tcPr>
            <w:tcW w:w="8220" w:type="dxa"/>
            <w:tcBorders>
              <w:top w:val="nil"/>
            </w:tcBorders>
          </w:tcPr>
          <w:p w:rsidR="00B1717A" w:rsidRPr="00021E8A" w:rsidRDefault="00B1717A" w:rsidP="00D62884">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B1717A" w:rsidRPr="00036EE3" w:rsidTr="00D62884">
        <w:tc>
          <w:tcPr>
            <w:tcW w:w="1140" w:type="dxa"/>
            <w:shd w:val="clear" w:color="auto" w:fill="auto"/>
          </w:tcPr>
          <w:p w:rsidR="00B1717A" w:rsidRPr="001240BC" w:rsidRDefault="00B1717A" w:rsidP="00D62884">
            <w:pPr>
              <w:spacing w:before="30" w:after="30"/>
              <w:ind w:left="57"/>
              <w:jc w:val="left"/>
              <w:rPr>
                <w:b/>
                <w:bCs/>
                <w:sz w:val="20"/>
                <w:lang w:val="en-US"/>
              </w:rPr>
            </w:pPr>
            <w:r w:rsidRPr="001240BC">
              <w:rPr>
                <w:b/>
                <w:bCs/>
                <w:sz w:val="20"/>
                <w:lang w:val="en-US"/>
              </w:rPr>
              <w:t>SM</w:t>
            </w:r>
          </w:p>
        </w:tc>
        <w:tc>
          <w:tcPr>
            <w:tcW w:w="8220" w:type="dxa"/>
            <w:shd w:val="clear" w:color="auto" w:fill="auto"/>
          </w:tcPr>
          <w:p w:rsidR="00B1717A" w:rsidRPr="001240BC" w:rsidRDefault="00B1717A" w:rsidP="00D62884">
            <w:pPr>
              <w:spacing w:before="30" w:after="30"/>
              <w:jc w:val="left"/>
              <w:rPr>
                <w:sz w:val="20"/>
                <w:lang w:val="en-US"/>
              </w:rPr>
            </w:pPr>
            <w:proofErr w:type="spellStart"/>
            <w:r w:rsidRPr="001240BC">
              <w:rPr>
                <w:sz w:val="20"/>
              </w:rPr>
              <w:t>Gestión</w:t>
            </w:r>
            <w:proofErr w:type="spellEnd"/>
            <w:r w:rsidRPr="001240BC">
              <w:rPr>
                <w:sz w:val="20"/>
              </w:rPr>
              <w:t xml:space="preserve"> </w:t>
            </w:r>
            <w:proofErr w:type="spellStart"/>
            <w:r w:rsidRPr="001240BC">
              <w:rPr>
                <w:sz w:val="20"/>
              </w:rPr>
              <w:t>del</w:t>
            </w:r>
            <w:proofErr w:type="spellEnd"/>
            <w:r w:rsidRPr="001240BC">
              <w:rPr>
                <w:sz w:val="20"/>
              </w:rPr>
              <w:t xml:space="preserve"> </w:t>
            </w:r>
            <w:proofErr w:type="spellStart"/>
            <w:r w:rsidRPr="001240BC">
              <w:rPr>
                <w:sz w:val="20"/>
              </w:rPr>
              <w:t>espectro</w:t>
            </w:r>
            <w:proofErr w:type="spellEnd"/>
          </w:p>
        </w:tc>
      </w:tr>
      <w:tr w:rsidR="00B1717A" w:rsidRPr="00036EE3"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SNG</w:t>
            </w:r>
          </w:p>
        </w:tc>
        <w:tc>
          <w:tcPr>
            <w:tcW w:w="8220" w:type="dxa"/>
          </w:tcPr>
          <w:p w:rsidR="00B1717A" w:rsidRPr="00021E8A" w:rsidRDefault="00B1717A" w:rsidP="00D62884">
            <w:pPr>
              <w:spacing w:before="30" w:after="30"/>
              <w:jc w:val="left"/>
              <w:rPr>
                <w:bCs/>
                <w:sz w:val="20"/>
                <w:lang w:val="en-US"/>
              </w:rPr>
            </w:pPr>
            <w:proofErr w:type="spellStart"/>
            <w:r w:rsidRPr="00021E8A">
              <w:rPr>
                <w:bCs/>
                <w:sz w:val="20"/>
              </w:rPr>
              <w:t>Periodismo</w:t>
            </w:r>
            <w:proofErr w:type="spellEnd"/>
            <w:r w:rsidRPr="00021E8A">
              <w:rPr>
                <w:bCs/>
                <w:sz w:val="20"/>
              </w:rPr>
              <w:t xml:space="preserve"> </w:t>
            </w:r>
            <w:proofErr w:type="spellStart"/>
            <w:r w:rsidRPr="00021E8A">
              <w:rPr>
                <w:bCs/>
                <w:sz w:val="20"/>
              </w:rPr>
              <w:t>electrónico</w:t>
            </w:r>
            <w:proofErr w:type="spellEnd"/>
            <w:r w:rsidRPr="00021E8A">
              <w:rPr>
                <w:bCs/>
                <w:sz w:val="20"/>
              </w:rPr>
              <w:t xml:space="preserve"> </w:t>
            </w:r>
            <w:proofErr w:type="spellStart"/>
            <w:r w:rsidRPr="00021E8A">
              <w:rPr>
                <w:bCs/>
                <w:sz w:val="20"/>
              </w:rPr>
              <w:t>por</w:t>
            </w:r>
            <w:proofErr w:type="spellEnd"/>
            <w:r w:rsidRPr="00021E8A">
              <w:rPr>
                <w:bCs/>
                <w:sz w:val="20"/>
              </w:rPr>
              <w:t xml:space="preserve"> </w:t>
            </w:r>
            <w:proofErr w:type="spellStart"/>
            <w:r w:rsidRPr="00021E8A">
              <w:rPr>
                <w:bCs/>
                <w:sz w:val="20"/>
              </w:rPr>
              <w:t>satélite</w:t>
            </w:r>
            <w:proofErr w:type="spellEnd"/>
          </w:p>
        </w:tc>
      </w:tr>
      <w:tr w:rsidR="00B1717A" w:rsidRPr="00F45338"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TF</w:t>
            </w:r>
          </w:p>
        </w:tc>
        <w:tc>
          <w:tcPr>
            <w:tcW w:w="8220" w:type="dxa"/>
          </w:tcPr>
          <w:p w:rsidR="00B1717A" w:rsidRPr="00021E8A" w:rsidRDefault="00B1717A" w:rsidP="00D62884">
            <w:pPr>
              <w:spacing w:before="30" w:after="30"/>
              <w:jc w:val="left"/>
              <w:rPr>
                <w:bCs/>
                <w:sz w:val="20"/>
                <w:lang w:val="es-ES_tradnl"/>
              </w:rPr>
            </w:pPr>
            <w:r w:rsidRPr="00021E8A">
              <w:rPr>
                <w:bCs/>
                <w:sz w:val="20"/>
                <w:lang w:val="es-ES_tradnl"/>
              </w:rPr>
              <w:t>Emisiones de frecuencias patrón y señales horarias</w:t>
            </w:r>
          </w:p>
        </w:tc>
      </w:tr>
      <w:tr w:rsidR="00B1717A" w:rsidRPr="00036EE3"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V</w:t>
            </w:r>
          </w:p>
        </w:tc>
        <w:tc>
          <w:tcPr>
            <w:tcW w:w="8220" w:type="dxa"/>
          </w:tcPr>
          <w:p w:rsidR="00B1717A" w:rsidRPr="00021E8A" w:rsidRDefault="00B1717A" w:rsidP="00D62884">
            <w:pPr>
              <w:spacing w:before="30" w:after="140"/>
              <w:jc w:val="left"/>
              <w:rPr>
                <w:bCs/>
                <w:sz w:val="20"/>
                <w:lang w:val="en-US"/>
              </w:rPr>
            </w:pPr>
            <w:proofErr w:type="spellStart"/>
            <w:r w:rsidRPr="00021E8A">
              <w:rPr>
                <w:bCs/>
                <w:sz w:val="20"/>
              </w:rPr>
              <w:t>Vocabulario</w:t>
            </w:r>
            <w:proofErr w:type="spellEnd"/>
            <w:r w:rsidRPr="00021E8A">
              <w:rPr>
                <w:bCs/>
                <w:sz w:val="20"/>
              </w:rPr>
              <w:t xml:space="preserve"> y </w:t>
            </w:r>
            <w:proofErr w:type="spellStart"/>
            <w:r w:rsidRPr="00021E8A">
              <w:rPr>
                <w:bCs/>
                <w:sz w:val="20"/>
              </w:rPr>
              <w:t>cuestiones</w:t>
            </w:r>
            <w:proofErr w:type="spellEnd"/>
            <w:r w:rsidRPr="00021E8A">
              <w:rPr>
                <w:bCs/>
                <w:sz w:val="20"/>
              </w:rPr>
              <w:t xml:space="preserve"> </w:t>
            </w:r>
            <w:proofErr w:type="spellStart"/>
            <w:r w:rsidRPr="00021E8A">
              <w:rPr>
                <w:bCs/>
                <w:sz w:val="20"/>
              </w:rPr>
              <w:t>afines</w:t>
            </w:r>
            <w:proofErr w:type="spellEnd"/>
          </w:p>
        </w:tc>
      </w:tr>
    </w:tbl>
    <w:p w:rsidR="00B1717A" w:rsidRPr="00036EE3" w:rsidRDefault="00B1717A" w:rsidP="00B1717A">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B1717A" w:rsidTr="00D62884">
        <w:tc>
          <w:tcPr>
            <w:tcW w:w="720" w:type="dxa"/>
          </w:tcPr>
          <w:p w:rsidR="00B1717A" w:rsidRDefault="00B1717A" w:rsidP="00D62884">
            <w:pPr>
              <w:spacing w:before="0"/>
              <w:jc w:val="center"/>
              <w:rPr>
                <w:sz w:val="22"/>
                <w:lang w:val="en-US"/>
              </w:rPr>
            </w:pPr>
          </w:p>
        </w:tc>
      </w:tr>
    </w:tbl>
    <w:tbl>
      <w:tblPr>
        <w:tblStyle w:val="TableGrid"/>
        <w:tblW w:w="0" w:type="auto"/>
        <w:tblInd w:w="288" w:type="dxa"/>
        <w:tblBorders>
          <w:top w:val="single" w:sz="12" w:space="0" w:color="000080"/>
          <w:left w:val="single" w:sz="12" w:space="0" w:color="000080"/>
          <w:bottom w:val="single" w:sz="12" w:space="0" w:color="000080"/>
          <w:right w:val="single" w:sz="12" w:space="0" w:color="000080"/>
          <w:insideH w:val="none" w:sz="0" w:space="0" w:color="auto"/>
          <w:insideV w:val="none" w:sz="0" w:space="0" w:color="auto"/>
        </w:tblBorders>
        <w:tblLook w:val="01E0" w:firstRow="1" w:lastRow="1" w:firstColumn="1" w:lastColumn="1" w:noHBand="0" w:noVBand="0"/>
      </w:tblPr>
      <w:tblGrid>
        <w:gridCol w:w="9321"/>
      </w:tblGrid>
      <w:tr w:rsidR="00B1717A" w:rsidRPr="00F45338" w:rsidTr="00D62884">
        <w:tc>
          <w:tcPr>
            <w:tcW w:w="9360" w:type="dxa"/>
          </w:tcPr>
          <w:p w:rsidR="00B1717A" w:rsidRPr="00763D08" w:rsidRDefault="00B1717A" w:rsidP="00AD7E7A">
            <w:pPr>
              <w:spacing w:before="92" w:after="92"/>
              <w:jc w:val="left"/>
              <w:rPr>
                <w:i/>
                <w:iCs/>
                <w:sz w:val="20"/>
                <w:lang w:val="es-ES_tradnl"/>
              </w:rPr>
            </w:pPr>
            <w:r w:rsidRPr="00763D08">
              <w:rPr>
                <w:b/>
                <w:bCs/>
                <w:i/>
                <w:iCs/>
                <w:sz w:val="20"/>
                <w:lang w:val="es-ES_tradnl"/>
              </w:rPr>
              <w:t>Nota</w:t>
            </w:r>
            <w:r w:rsidRPr="00763D08">
              <w:rPr>
                <w:i/>
                <w:iCs/>
                <w:sz w:val="20"/>
                <w:lang w:val="es-ES_tradnl"/>
              </w:rPr>
              <w:t xml:space="preserve">: Esta Recomendación UIT-R fue aprobada en inglés conforme al procedimiento detallado en la </w:t>
            </w:r>
            <w:r w:rsidRPr="00763D08">
              <w:rPr>
                <w:i/>
                <w:iCs/>
                <w:sz w:val="20"/>
                <w:lang w:val="es-ES_tradnl"/>
              </w:rPr>
              <w:br/>
              <w:t>Resolución UIT-R 1.</w:t>
            </w:r>
          </w:p>
        </w:tc>
      </w:tr>
    </w:tbl>
    <w:p w:rsidR="00B1717A" w:rsidRPr="00763D08" w:rsidRDefault="00B1717A" w:rsidP="00B1717A">
      <w:pPr>
        <w:spacing w:before="0"/>
        <w:jc w:val="center"/>
        <w:rPr>
          <w:sz w:val="22"/>
          <w:lang w:val="es-ES_tradnl"/>
        </w:rPr>
      </w:pPr>
    </w:p>
    <w:p w:rsidR="00B1717A" w:rsidRPr="00763D08" w:rsidRDefault="00B1717A" w:rsidP="00B1717A">
      <w:pPr>
        <w:spacing w:before="60"/>
        <w:jc w:val="right"/>
        <w:rPr>
          <w:i/>
          <w:iCs/>
          <w:sz w:val="20"/>
          <w:lang w:val="es-ES_tradnl"/>
        </w:rPr>
      </w:pPr>
      <w:r w:rsidRPr="00763D08">
        <w:rPr>
          <w:i/>
          <w:iCs/>
          <w:sz w:val="20"/>
          <w:lang w:val="es-ES_tradnl"/>
        </w:rPr>
        <w:t>Publicación electrónica</w:t>
      </w:r>
    </w:p>
    <w:p w:rsidR="00B1717A" w:rsidRPr="00763D08" w:rsidRDefault="00B1717A" w:rsidP="00951E54">
      <w:pPr>
        <w:spacing w:before="0" w:after="40"/>
        <w:jc w:val="right"/>
        <w:rPr>
          <w:sz w:val="20"/>
          <w:lang w:val="es-ES_tradnl"/>
        </w:rPr>
      </w:pPr>
      <w:r w:rsidRPr="00763D08">
        <w:rPr>
          <w:sz w:val="20"/>
          <w:lang w:val="es-ES_tradnl"/>
        </w:rPr>
        <w:t>Ginebra, 20</w:t>
      </w:r>
      <w:r w:rsidR="00E839A5">
        <w:rPr>
          <w:sz w:val="20"/>
          <w:lang w:val="es-ES_tradnl"/>
        </w:rPr>
        <w:t>20</w:t>
      </w:r>
    </w:p>
    <w:p w:rsidR="00B1717A" w:rsidRPr="00763D08" w:rsidRDefault="00B1717A" w:rsidP="005A1CE1">
      <w:pPr>
        <w:spacing w:before="0" w:after="120"/>
        <w:jc w:val="center"/>
        <w:rPr>
          <w:sz w:val="22"/>
          <w:lang w:val="es-ES_tradnl"/>
        </w:rPr>
      </w:pPr>
    </w:p>
    <w:p w:rsidR="00B1717A" w:rsidRPr="00763D08" w:rsidRDefault="00B1717A" w:rsidP="00063999">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2" w:name="iiannee"/>
      <w:bookmarkEnd w:id="2"/>
      <w:r w:rsidRPr="00763D08">
        <w:rPr>
          <w:sz w:val="20"/>
          <w:lang w:val="es-ES_tradnl"/>
        </w:rPr>
        <w:t>20</w:t>
      </w:r>
      <w:r w:rsidR="00E839A5">
        <w:rPr>
          <w:sz w:val="20"/>
          <w:lang w:val="es-ES_tradnl"/>
        </w:rPr>
        <w:t>20</w:t>
      </w:r>
    </w:p>
    <w:p w:rsidR="00B1717A" w:rsidRPr="006C718C" w:rsidRDefault="00B1717A" w:rsidP="00B1717A">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B1717A" w:rsidRPr="006C718C" w:rsidRDefault="00B1717A" w:rsidP="00B1717A">
      <w:pPr>
        <w:spacing w:before="160"/>
        <w:rPr>
          <w:i/>
          <w:sz w:val="20"/>
          <w:highlight w:val="yellow"/>
          <w:lang w:val="es-ES_tradnl"/>
        </w:rPr>
        <w:sectPr w:rsidR="00B1717A" w:rsidRPr="006C718C" w:rsidSect="00D62884">
          <w:headerReference w:type="even" r:id="rId10"/>
          <w:headerReference w:type="default" r:id="rId11"/>
          <w:pgSz w:w="11907" w:h="16834" w:code="9"/>
          <w:pgMar w:top="1418" w:right="1134" w:bottom="1134" w:left="1134" w:header="720" w:footer="482" w:gutter="0"/>
          <w:pgNumType w:fmt="lowerRoman" w:start="2"/>
          <w:cols w:space="720"/>
        </w:sectPr>
      </w:pPr>
    </w:p>
    <w:p w:rsidR="007D238E" w:rsidRDefault="007D238E" w:rsidP="005A1CE1">
      <w:pPr>
        <w:pStyle w:val="RecNo"/>
        <w:spacing w:before="0"/>
        <w:rPr>
          <w:lang w:val="es-ES_tradnl"/>
        </w:rPr>
      </w:pPr>
      <w:bookmarkStart w:id="3" w:name="irecnoe"/>
      <w:bookmarkEnd w:id="3"/>
      <w:proofErr w:type="gramStart"/>
      <w:r w:rsidRPr="00763D08">
        <w:rPr>
          <w:lang w:val="es-ES_tradnl"/>
        </w:rPr>
        <w:lastRenderedPageBreak/>
        <w:t xml:space="preserve">RECOMENDACIÓN  </w:t>
      </w:r>
      <w:r w:rsidRPr="0010336F">
        <w:rPr>
          <w:rStyle w:val="href"/>
          <w:lang w:val="es-ES_tradnl"/>
        </w:rPr>
        <w:t>UIT</w:t>
      </w:r>
      <w:proofErr w:type="gramEnd"/>
      <w:r w:rsidRPr="0010336F">
        <w:rPr>
          <w:rStyle w:val="href"/>
          <w:lang w:val="es-ES_tradnl"/>
        </w:rPr>
        <w:t xml:space="preserve">-R  </w:t>
      </w:r>
      <w:r>
        <w:rPr>
          <w:rStyle w:val="href"/>
          <w:lang w:val="es-ES_tradnl"/>
        </w:rPr>
        <w:t>SA</w:t>
      </w:r>
      <w:r w:rsidRPr="0010336F">
        <w:rPr>
          <w:rStyle w:val="href"/>
          <w:lang w:val="es-ES_tradnl"/>
        </w:rPr>
        <w:t>.</w:t>
      </w:r>
      <w:r w:rsidR="00E839A5">
        <w:rPr>
          <w:rStyle w:val="href"/>
          <w:lang w:val="es-ES_tradnl"/>
        </w:rPr>
        <w:t>1164-4</w:t>
      </w:r>
    </w:p>
    <w:p w:rsidR="007D238E" w:rsidRPr="007703E3" w:rsidRDefault="007D238E" w:rsidP="007D238E">
      <w:pPr>
        <w:pStyle w:val="Rectitle"/>
        <w:rPr>
          <w:lang w:val="es-ES_tradnl"/>
        </w:rPr>
      </w:pPr>
      <w:r w:rsidRPr="007703E3">
        <w:rPr>
          <w:lang w:val="es-ES_tradnl"/>
        </w:rPr>
        <w:t xml:space="preserve">Criterios de compartición y coordinación para los enlaces de servicio </w:t>
      </w:r>
      <w:r>
        <w:rPr>
          <w:lang w:val="es-ES_tradnl"/>
        </w:rPr>
        <w:br/>
      </w:r>
      <w:r w:rsidRPr="007703E3">
        <w:rPr>
          <w:lang w:val="es-ES_tradnl"/>
        </w:rPr>
        <w:t xml:space="preserve">de los sistemas de recogida de datos que utilizan satélites OSG </w:t>
      </w:r>
      <w:r>
        <w:rPr>
          <w:lang w:val="es-ES_tradnl"/>
        </w:rPr>
        <w:br/>
      </w:r>
      <w:r w:rsidRPr="007703E3">
        <w:rPr>
          <w:lang w:val="es-ES_tradnl"/>
        </w:rPr>
        <w:t xml:space="preserve">en los servicios de exploración de la Tierra por satélite </w:t>
      </w:r>
      <w:r w:rsidRPr="007703E3">
        <w:rPr>
          <w:lang w:val="es-ES_tradnl"/>
        </w:rPr>
        <w:br/>
        <w:t>y de meteorología por satélite</w:t>
      </w:r>
    </w:p>
    <w:p w:rsidR="007D238E" w:rsidRPr="007703E3" w:rsidRDefault="007D238E" w:rsidP="007D238E">
      <w:pPr>
        <w:pStyle w:val="Questionref"/>
        <w:rPr>
          <w:lang w:val="es-ES_tradnl"/>
        </w:rPr>
      </w:pPr>
      <w:r w:rsidRPr="007703E3">
        <w:rPr>
          <w:lang w:val="es-ES_tradnl"/>
        </w:rPr>
        <w:t>(Cuestión UIT-R 142/7)</w:t>
      </w:r>
    </w:p>
    <w:p w:rsidR="007D238E" w:rsidRPr="007703E3" w:rsidRDefault="007D238E" w:rsidP="007D238E">
      <w:pPr>
        <w:pStyle w:val="Recdate"/>
        <w:rPr>
          <w:lang w:val="es-ES_tradnl"/>
        </w:rPr>
      </w:pPr>
      <w:r w:rsidRPr="007703E3">
        <w:rPr>
          <w:lang w:val="es-ES_tradnl"/>
        </w:rPr>
        <w:t>(1995-1997-1999-2018</w:t>
      </w:r>
      <w:r>
        <w:rPr>
          <w:lang w:val="es-ES_tradnl"/>
        </w:rPr>
        <w:t>-2019</w:t>
      </w:r>
      <w:r w:rsidRPr="007703E3">
        <w:rPr>
          <w:lang w:val="es-ES_tradnl"/>
        </w:rPr>
        <w:t>)</w:t>
      </w:r>
    </w:p>
    <w:p w:rsidR="007D238E" w:rsidRPr="007703E3" w:rsidRDefault="007D238E" w:rsidP="007D238E">
      <w:pPr>
        <w:pStyle w:val="HeadingSum"/>
      </w:pPr>
      <w:r w:rsidRPr="007703E3">
        <w:t>Cometido</w:t>
      </w:r>
    </w:p>
    <w:p w:rsidR="007D238E" w:rsidRPr="007703E3" w:rsidRDefault="007D238E" w:rsidP="007D238E">
      <w:pPr>
        <w:pStyle w:val="Summary"/>
      </w:pPr>
      <w:r w:rsidRPr="007703E3">
        <w:t>En la presente Recomendación se especifican los criterios de compartición y coordinación necesarios para proteger los enlaces de servicio de los sistemas de recogida de datos en los servicios de exploración de la Tierra por satélite y de meteorología por satélite utilizando los criterios de interferencia combinada que figuran en la Recomendación UIT-R SA.1163.</w:t>
      </w:r>
    </w:p>
    <w:p w:rsidR="007D238E" w:rsidRPr="007703E3" w:rsidRDefault="007D238E" w:rsidP="007D238E">
      <w:pPr>
        <w:pStyle w:val="Headingb"/>
        <w:rPr>
          <w:lang w:val="es-ES_tradnl"/>
        </w:rPr>
      </w:pPr>
      <w:r w:rsidRPr="007703E3">
        <w:rPr>
          <w:lang w:val="es-ES_tradnl"/>
        </w:rPr>
        <w:t>Palabras clave</w:t>
      </w:r>
    </w:p>
    <w:p w:rsidR="007D238E" w:rsidRPr="007703E3" w:rsidRDefault="007D238E" w:rsidP="007D238E">
      <w:pPr>
        <w:rPr>
          <w:lang w:val="es-ES_tradnl"/>
        </w:rPr>
      </w:pPr>
      <w:r w:rsidRPr="007703E3">
        <w:rPr>
          <w:lang w:val="es-ES_tradnl"/>
        </w:rPr>
        <w:t>Criterios de compartición, criterios de coordinación, límites de potencia, sistemas de recogida de datos</w:t>
      </w:r>
    </w:p>
    <w:p w:rsidR="007D238E" w:rsidRPr="007703E3" w:rsidRDefault="007D238E" w:rsidP="007D238E">
      <w:pPr>
        <w:pStyle w:val="Headingb"/>
        <w:rPr>
          <w:lang w:val="es-ES_tradnl"/>
        </w:rPr>
      </w:pPr>
      <w:r w:rsidRPr="007703E3">
        <w:rPr>
          <w:lang w:val="es-ES_tradnl"/>
        </w:rPr>
        <w:t>Recomendaciones e Informes del UIT-R conexos</w:t>
      </w:r>
    </w:p>
    <w:p w:rsidR="007D238E" w:rsidRPr="00AF33EF" w:rsidRDefault="007D238E" w:rsidP="007D238E">
      <w:pPr>
        <w:pStyle w:val="Reftext"/>
        <w:rPr>
          <w:lang w:val="es-ES_tradnl"/>
        </w:rPr>
      </w:pPr>
      <w:r w:rsidRPr="007703E3">
        <w:rPr>
          <w:lang w:val="es-ES_tradnl"/>
        </w:rPr>
        <w:t>Recomendación UIT-R</w:t>
      </w:r>
      <w:r w:rsidRPr="007703E3">
        <w:rPr>
          <w:szCs w:val="24"/>
          <w:lang w:val="es-ES_tradnl" w:eastAsia="zh-CN"/>
        </w:rPr>
        <w:t xml:space="preserve"> SA.1023 –</w:t>
      </w:r>
      <w:r w:rsidRPr="007703E3">
        <w:rPr>
          <w:lang w:val="es-ES_tradnl"/>
        </w:rPr>
        <w:t xml:space="preserve"> </w:t>
      </w:r>
      <w:r w:rsidRPr="00AF33EF">
        <w:rPr>
          <w:iCs/>
          <w:lang w:val="es-ES_tradnl"/>
        </w:rPr>
        <w:t>Metodología para determinar los criterios de compartición y coordinación de los sistemas que intervienen en los servicios de exploración de la Tierra por satélite y de meteorología por satélite</w:t>
      </w:r>
    </w:p>
    <w:p w:rsidR="007D238E" w:rsidRPr="00AF33EF" w:rsidRDefault="007D238E" w:rsidP="007D238E">
      <w:pPr>
        <w:pStyle w:val="Reftext"/>
        <w:rPr>
          <w:szCs w:val="24"/>
          <w:lang w:val="es-ES_tradnl" w:eastAsia="zh-CN"/>
        </w:rPr>
      </w:pPr>
      <w:r w:rsidRPr="007703E3">
        <w:rPr>
          <w:lang w:val="es-ES_tradnl"/>
        </w:rPr>
        <w:t>Recomendación UIT-R</w:t>
      </w:r>
      <w:r w:rsidRPr="007703E3">
        <w:rPr>
          <w:szCs w:val="24"/>
          <w:lang w:val="es-ES_tradnl" w:eastAsia="zh-CN"/>
        </w:rPr>
        <w:t xml:space="preserve"> SA.1163 – </w:t>
      </w:r>
      <w:r w:rsidRPr="00AF33EF">
        <w:rPr>
          <w:iCs/>
          <w:szCs w:val="24"/>
          <w:lang w:val="es-ES_tradnl" w:eastAsia="zh-CN"/>
        </w:rPr>
        <w:t>C</w:t>
      </w:r>
      <w:r w:rsidRPr="00AF33EF">
        <w:rPr>
          <w:iCs/>
          <w:lang w:val="es-ES_tradnl"/>
        </w:rPr>
        <w:t>riterios de interferencia para los enlaces de servicio en los sistemas de recogida de datos de los servicios de exploración de la Tierra por satélite y de meteorología por satélite</w:t>
      </w:r>
    </w:p>
    <w:p w:rsidR="007D238E" w:rsidRPr="00AF33EF" w:rsidRDefault="007D238E" w:rsidP="007D238E">
      <w:pPr>
        <w:pStyle w:val="Reftext"/>
        <w:rPr>
          <w:szCs w:val="24"/>
          <w:lang w:val="es-ES_tradnl" w:eastAsia="zh-CN"/>
        </w:rPr>
      </w:pPr>
      <w:r w:rsidRPr="007703E3">
        <w:rPr>
          <w:lang w:val="es-ES_tradnl"/>
        </w:rPr>
        <w:t>Recomendación UIT-R</w:t>
      </w:r>
      <w:r w:rsidRPr="007703E3">
        <w:rPr>
          <w:szCs w:val="24"/>
          <w:lang w:val="es-ES_tradnl" w:eastAsia="zh-CN"/>
        </w:rPr>
        <w:t xml:space="preserve"> SM.1448 – </w:t>
      </w:r>
      <w:r w:rsidRPr="00AF33EF">
        <w:rPr>
          <w:iCs/>
          <w:lang w:val="es-ES_tradnl"/>
        </w:rPr>
        <w:t>Determinación de la zona de coordinación alrededor de una estación terrena en las bandas de frecuencias entre 100 MHz y 105 GHz</w:t>
      </w:r>
    </w:p>
    <w:p w:rsidR="007D238E" w:rsidRPr="007703E3" w:rsidRDefault="007D238E" w:rsidP="007D238E">
      <w:pPr>
        <w:pStyle w:val="Normalaftertitle"/>
        <w:rPr>
          <w:lang w:val="es-ES_tradnl"/>
        </w:rPr>
      </w:pPr>
      <w:r w:rsidRPr="007703E3">
        <w:rPr>
          <w:lang w:val="es-ES_tradnl"/>
        </w:rPr>
        <w:t>La Asamblea de Radiocomunicaciones de la UIT,</w:t>
      </w:r>
    </w:p>
    <w:p w:rsidR="007D238E" w:rsidRPr="007703E3" w:rsidRDefault="007D238E" w:rsidP="007D238E">
      <w:pPr>
        <w:pStyle w:val="Call"/>
        <w:rPr>
          <w:lang w:val="es-ES_tradnl"/>
        </w:rPr>
      </w:pPr>
      <w:r w:rsidRPr="007703E3">
        <w:rPr>
          <w:lang w:val="es-ES_tradnl"/>
        </w:rPr>
        <w:t>considerando</w:t>
      </w:r>
    </w:p>
    <w:p w:rsidR="007D238E" w:rsidRPr="007703E3" w:rsidRDefault="007D238E" w:rsidP="007D238E">
      <w:pPr>
        <w:rPr>
          <w:lang w:val="es-ES_tradnl"/>
        </w:rPr>
      </w:pPr>
      <w:r w:rsidRPr="007703E3">
        <w:rPr>
          <w:i/>
          <w:iCs/>
          <w:lang w:val="es-ES_tradnl"/>
        </w:rPr>
        <w:t>a)</w:t>
      </w:r>
      <w:r w:rsidRPr="007703E3">
        <w:rPr>
          <w:lang w:val="es-ES_tradnl"/>
        </w:rPr>
        <w:tab/>
        <w:t>que las bandas de frecuencias atribuidas a los servicios de exploración de la Tierra por satélite (incluido el servicio de meteorología por satélite (</w:t>
      </w:r>
      <w:proofErr w:type="spellStart"/>
      <w:r w:rsidRPr="007703E3">
        <w:rPr>
          <w:lang w:val="es-ES_tradnl"/>
        </w:rPr>
        <w:t>MetSat</w:t>
      </w:r>
      <w:proofErr w:type="spellEnd"/>
      <w:r w:rsidRPr="007703E3">
        <w:rPr>
          <w:lang w:val="es-ES_tradnl"/>
        </w:rPr>
        <w:t>)) pueden ser compartidas por varios sistemas, incluyendo sistemas que funcionan en otros servicios;</w:t>
      </w:r>
    </w:p>
    <w:p w:rsidR="007D238E" w:rsidRPr="007703E3" w:rsidRDefault="007D238E" w:rsidP="007D238E">
      <w:pPr>
        <w:rPr>
          <w:lang w:val="es-ES_tradnl"/>
        </w:rPr>
      </w:pPr>
      <w:r w:rsidRPr="007703E3">
        <w:rPr>
          <w:i/>
          <w:iCs/>
          <w:lang w:val="es-ES_tradnl"/>
        </w:rPr>
        <w:t>b)</w:t>
      </w:r>
      <w:r w:rsidRPr="007703E3">
        <w:rPr>
          <w:lang w:val="es-ES_tradnl"/>
        </w:rPr>
        <w:tab/>
        <w:t>que en la Recomendación UIT-R SA.1163 se especifican los criterios de interferencia necesarios para determinar los criterios de compartición;</w:t>
      </w:r>
    </w:p>
    <w:p w:rsidR="007D238E" w:rsidRPr="007703E3" w:rsidRDefault="007D238E" w:rsidP="007D238E">
      <w:pPr>
        <w:rPr>
          <w:lang w:val="es-ES_tradnl"/>
        </w:rPr>
      </w:pPr>
      <w:r w:rsidRPr="007703E3">
        <w:rPr>
          <w:i/>
          <w:iCs/>
          <w:lang w:val="es-ES_tradnl"/>
        </w:rPr>
        <w:t>c)</w:t>
      </w:r>
      <w:r w:rsidRPr="007703E3">
        <w:rPr>
          <w:lang w:val="es-ES_tradnl"/>
        </w:rPr>
        <w:tab/>
        <w:t>que los criterios de compartición pueden determinarse utilizando la metodología descrita en la Recomendación UIT-R SA.1023;</w:t>
      </w:r>
    </w:p>
    <w:p w:rsidR="007D238E" w:rsidRPr="007703E3" w:rsidRDefault="007D238E" w:rsidP="007D238E">
      <w:pPr>
        <w:rPr>
          <w:lang w:val="es-ES_tradnl"/>
        </w:rPr>
      </w:pPr>
      <w:r w:rsidRPr="007703E3">
        <w:rPr>
          <w:i/>
          <w:iCs/>
          <w:lang w:val="es-ES_tradnl"/>
        </w:rPr>
        <w:t>d)</w:t>
      </w:r>
      <w:r w:rsidRPr="007703E3">
        <w:rPr>
          <w:lang w:val="es-ES_tradnl"/>
        </w:rPr>
        <w:tab/>
        <w:t>que la distribución típica de las estaciones interferentes puede variar en el transcurso de los años como resultado del aumento del número de sistemas y de las revisiones de las atribuciones de bandas de frecuencias adoptadas por las conferencias mundiales de radiocomunicaciones;</w:t>
      </w:r>
    </w:p>
    <w:p w:rsidR="007D238E" w:rsidRPr="007703E3" w:rsidRDefault="007D238E" w:rsidP="007D238E">
      <w:pPr>
        <w:rPr>
          <w:lang w:val="es-ES_tradnl"/>
        </w:rPr>
      </w:pPr>
      <w:r w:rsidRPr="007703E3">
        <w:rPr>
          <w:i/>
          <w:iCs/>
          <w:lang w:val="es-ES_tradnl"/>
        </w:rPr>
        <w:t>e)</w:t>
      </w:r>
      <w:r w:rsidRPr="007703E3">
        <w:rPr>
          <w:lang w:val="es-ES_tradnl"/>
        </w:rPr>
        <w:tab/>
        <w:t>que controlando la utilización del espectro de radiofrecuencias en su propio territorio y mediante la coordinación internacional de las asignaciones de frecuencia, las administraciones pueden ejercer un cierto grado de control sobre el número de sistemas que pueden provocar interferencia a niveles significativos;</w:t>
      </w:r>
    </w:p>
    <w:p w:rsidR="007D238E" w:rsidRPr="007703E3" w:rsidRDefault="007D238E" w:rsidP="007D238E">
      <w:pPr>
        <w:rPr>
          <w:lang w:val="es-ES_tradnl"/>
        </w:rPr>
      </w:pPr>
      <w:r w:rsidRPr="007703E3">
        <w:rPr>
          <w:i/>
          <w:iCs/>
          <w:lang w:val="es-ES_tradnl"/>
        </w:rPr>
        <w:lastRenderedPageBreak/>
        <w:t>f)</w:t>
      </w:r>
      <w:r w:rsidRPr="007703E3">
        <w:rPr>
          <w:lang w:val="es-ES_tradnl"/>
        </w:rPr>
        <w:tab/>
        <w:t xml:space="preserve">que no es probable que los niveles de interferencia que aparecen en las estaciones terrenas operando a bordo de barcos en el servicio </w:t>
      </w:r>
      <w:proofErr w:type="spellStart"/>
      <w:r w:rsidRPr="007703E3">
        <w:rPr>
          <w:lang w:val="es-ES_tradnl"/>
        </w:rPr>
        <w:t>MetSat</w:t>
      </w:r>
      <w:proofErr w:type="spellEnd"/>
      <w:r w:rsidRPr="007703E3">
        <w:rPr>
          <w:lang w:val="es-ES_tradnl"/>
        </w:rPr>
        <w:t xml:space="preserve"> sean más elevados que los que sufren las estaciones terrenas operando en tierra;</w:t>
      </w:r>
    </w:p>
    <w:p w:rsidR="007D238E" w:rsidRPr="007703E3" w:rsidRDefault="007D238E" w:rsidP="007D238E">
      <w:pPr>
        <w:rPr>
          <w:lang w:val="es-ES_tradnl"/>
        </w:rPr>
      </w:pPr>
      <w:r w:rsidRPr="007703E3">
        <w:rPr>
          <w:i/>
          <w:iCs/>
          <w:lang w:val="es-ES_tradnl"/>
        </w:rPr>
        <w:t>g)</w:t>
      </w:r>
      <w:r w:rsidRPr="007703E3">
        <w:rPr>
          <w:lang w:val="es-ES_tradnl"/>
        </w:rPr>
        <w:tab/>
        <w:t>que la Recomendación UIT-R SM.1448 proporciona las metodologías para determinar cuándo debe asegurarse la coordinación entre las estaciones terrenales de transmisión y las estaciones terrenas,</w:t>
      </w:r>
    </w:p>
    <w:p w:rsidR="007D238E" w:rsidRPr="007703E3" w:rsidRDefault="007D238E" w:rsidP="007D238E">
      <w:pPr>
        <w:pStyle w:val="Call"/>
        <w:rPr>
          <w:lang w:val="es-ES_tradnl"/>
        </w:rPr>
      </w:pPr>
      <w:r w:rsidRPr="007703E3">
        <w:rPr>
          <w:lang w:val="es-ES_tradnl"/>
        </w:rPr>
        <w:t>recomienda</w:t>
      </w:r>
    </w:p>
    <w:p w:rsidR="007D238E" w:rsidRPr="007703E3" w:rsidRDefault="007D238E" w:rsidP="007D238E">
      <w:pPr>
        <w:rPr>
          <w:lang w:val="es-ES_tradnl"/>
        </w:rPr>
      </w:pPr>
      <w:r w:rsidRPr="007703E3">
        <w:rPr>
          <w:b/>
          <w:lang w:val="es-ES_tradnl"/>
        </w:rPr>
        <w:t>1</w:t>
      </w:r>
      <w:r w:rsidRPr="007703E3">
        <w:rPr>
          <w:b/>
          <w:lang w:val="es-ES_tradnl"/>
        </w:rPr>
        <w:tab/>
      </w:r>
      <w:r w:rsidRPr="007703E3">
        <w:rPr>
          <w:lang w:val="es-ES_tradnl"/>
        </w:rPr>
        <w:t>que se utilicen los niveles de interferencia procedente de una sola fuente indicados en el Cuadro 1, conforme a los análisis descritos en el Anexo 1, como criterios de compartición</w:t>
      </w:r>
      <w:r w:rsidRPr="007703E3">
        <w:rPr>
          <w:szCs w:val="24"/>
          <w:lang w:val="es-ES_tradnl"/>
        </w:rPr>
        <w:t xml:space="preserve"> y coordinación</w:t>
      </w:r>
      <w:r w:rsidRPr="007703E3">
        <w:rPr>
          <w:lang w:val="es-ES_tradnl"/>
        </w:rPr>
        <w:t xml:space="preserve"> o como base para formas alternativas de criterios de compartición (por ejemplo, límites de </w:t>
      </w:r>
      <w:proofErr w:type="spellStart"/>
      <w:r w:rsidRPr="007703E3">
        <w:rPr>
          <w:lang w:val="es-ES_tradnl"/>
        </w:rPr>
        <w:t>dfp</w:t>
      </w:r>
      <w:proofErr w:type="spellEnd"/>
      <w:r w:rsidRPr="007703E3">
        <w:rPr>
          <w:lang w:val="es-ES_tradnl"/>
        </w:rPr>
        <w:t xml:space="preserve">), a fin de proteger las estaciones que funcionan en el servicio de exploración de la Tierra por satélite y en el servicio </w:t>
      </w:r>
      <w:proofErr w:type="spellStart"/>
      <w:r w:rsidRPr="007703E3">
        <w:rPr>
          <w:lang w:val="es-ES_tradnl"/>
        </w:rPr>
        <w:t>MetSat</w:t>
      </w:r>
      <w:proofErr w:type="spellEnd"/>
      <w:r w:rsidRPr="007703E3">
        <w:rPr>
          <w:lang w:val="es-ES_tradnl"/>
        </w:rPr>
        <w:t>;</w:t>
      </w:r>
    </w:p>
    <w:p w:rsidR="007D238E" w:rsidRPr="007703E3" w:rsidRDefault="007D238E" w:rsidP="007D238E">
      <w:pPr>
        <w:rPr>
          <w:lang w:val="es-ES_tradnl"/>
        </w:rPr>
      </w:pPr>
      <w:r w:rsidRPr="007703E3">
        <w:rPr>
          <w:b/>
          <w:lang w:val="es-ES_tradnl"/>
        </w:rPr>
        <w:t>2</w:t>
      </w:r>
      <w:r w:rsidRPr="007703E3">
        <w:rPr>
          <w:lang w:val="es-ES_tradnl"/>
        </w:rPr>
        <w:tab/>
        <w:t xml:space="preserve">que como valor umbral para la coordinación entre las estaciones espaciales de transmisión y las estaciones terrenas de recepción que funcionan en el servicio </w:t>
      </w:r>
      <w:proofErr w:type="spellStart"/>
      <w:r w:rsidRPr="007703E3">
        <w:rPr>
          <w:lang w:val="es-ES_tradnl"/>
        </w:rPr>
        <w:t>MetSat</w:t>
      </w:r>
      <w:proofErr w:type="spellEnd"/>
      <w:r w:rsidRPr="007703E3">
        <w:rPr>
          <w:lang w:val="es-ES_tradnl"/>
        </w:rPr>
        <w:t xml:space="preserve"> se utilice el 6% de incremento de cresta de la temperatura de ruido equivalente del enlace;</w:t>
      </w:r>
    </w:p>
    <w:p w:rsidR="007D238E" w:rsidRPr="007703E3" w:rsidRDefault="007D238E" w:rsidP="007D238E">
      <w:pPr>
        <w:rPr>
          <w:lang w:val="es-ES_tradnl"/>
        </w:rPr>
      </w:pPr>
      <w:r w:rsidRPr="007703E3">
        <w:rPr>
          <w:b/>
          <w:lang w:val="es-ES_tradnl"/>
        </w:rPr>
        <w:t>3</w:t>
      </w:r>
      <w:r w:rsidRPr="007703E3">
        <w:rPr>
          <w:b/>
          <w:lang w:val="es-ES_tradnl"/>
        </w:rPr>
        <w:tab/>
      </w:r>
      <w:r w:rsidRPr="007703E3">
        <w:rPr>
          <w:lang w:val="es-ES_tradnl"/>
        </w:rPr>
        <w:t>que se examine periódicamente la distribución de las fuentes de interferencia especificadas en el Anexo 1</w:t>
      </w:r>
      <w:r w:rsidRPr="007703E3">
        <w:rPr>
          <w:szCs w:val="24"/>
          <w:lang w:val="es-ES_tradnl"/>
        </w:rPr>
        <w:t xml:space="preserve"> y para la banda de frecuencias 401-403 MHz en el Anexo 2,</w:t>
      </w:r>
      <w:r w:rsidRPr="007703E3">
        <w:rPr>
          <w:lang w:val="es-ES_tradnl"/>
        </w:rPr>
        <w:t xml:space="preserve"> para determinar si debe revisarse el entorno de interferencia típico y los consiguientes criterios de compartición.</w:t>
      </w:r>
    </w:p>
    <w:p w:rsidR="007D238E" w:rsidRPr="007703E3" w:rsidRDefault="007D238E" w:rsidP="007D238E">
      <w:pPr>
        <w:pStyle w:val="TableNo"/>
        <w:spacing w:before="480"/>
        <w:rPr>
          <w:lang w:val="es-ES_tradnl"/>
        </w:rPr>
      </w:pPr>
      <w:r w:rsidRPr="007703E3">
        <w:rPr>
          <w:lang w:val="es-ES_tradnl"/>
        </w:rPr>
        <w:t>CUADRO 1</w:t>
      </w:r>
    </w:p>
    <w:p w:rsidR="007D238E" w:rsidRPr="007703E3" w:rsidRDefault="007D238E" w:rsidP="007D238E">
      <w:pPr>
        <w:pStyle w:val="Tabletitle"/>
        <w:rPr>
          <w:lang w:val="es-ES_tradnl"/>
        </w:rPr>
      </w:pPr>
      <w:r w:rsidRPr="007703E3">
        <w:rPr>
          <w:lang w:val="es-ES_tradnl"/>
        </w:rPr>
        <w:t xml:space="preserve">Criterios de compartición para las estaciones del SETS y el </w:t>
      </w:r>
      <w:proofErr w:type="spellStart"/>
      <w:r w:rsidRPr="007703E3">
        <w:rPr>
          <w:lang w:val="es-ES_tradnl"/>
        </w:rPr>
        <w:t>MetSat</w:t>
      </w:r>
      <w:proofErr w:type="spellEnd"/>
    </w:p>
    <w:p w:rsidR="007D238E" w:rsidRPr="007703E3" w:rsidRDefault="007D238E" w:rsidP="007D238E">
      <w:pPr>
        <w:pStyle w:val="Blanc"/>
        <w:rPr>
          <w:sz w:val="2"/>
          <w:lang w:val="es-ES_tradnl"/>
        </w:rPr>
      </w:pP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555"/>
        <w:gridCol w:w="1422"/>
        <w:gridCol w:w="1701"/>
        <w:gridCol w:w="1559"/>
        <w:gridCol w:w="1701"/>
        <w:gridCol w:w="1696"/>
      </w:tblGrid>
      <w:tr w:rsidR="007D238E" w:rsidRPr="007D238E" w:rsidTr="00B9587B">
        <w:trPr>
          <w:cantSplit/>
          <w:jc w:val="center"/>
        </w:trPr>
        <w:tc>
          <w:tcPr>
            <w:tcW w:w="1555" w:type="dxa"/>
          </w:tcPr>
          <w:p w:rsidR="007D238E" w:rsidRPr="007703E3" w:rsidRDefault="007D238E" w:rsidP="00B9587B">
            <w:pPr>
              <w:pStyle w:val="Tablehead"/>
              <w:rPr>
                <w:lang w:val="es-ES_tradnl"/>
              </w:rPr>
            </w:pPr>
            <w:r w:rsidRPr="007703E3">
              <w:rPr>
                <w:lang w:val="es-ES_tradnl"/>
              </w:rPr>
              <w:t>Banda de</w:t>
            </w:r>
            <w:r w:rsidRPr="007703E3">
              <w:rPr>
                <w:lang w:val="es-ES_tradnl"/>
              </w:rPr>
              <w:br/>
              <w:t>frecuencias</w:t>
            </w:r>
            <w:r w:rsidRPr="007703E3">
              <w:rPr>
                <w:lang w:val="es-ES_tradnl"/>
              </w:rPr>
              <w:br/>
              <w:t>(MHz)</w:t>
            </w:r>
          </w:p>
        </w:tc>
        <w:tc>
          <w:tcPr>
            <w:tcW w:w="1422" w:type="dxa"/>
          </w:tcPr>
          <w:p w:rsidR="007D238E" w:rsidRPr="007703E3" w:rsidRDefault="007D238E" w:rsidP="00B9587B">
            <w:pPr>
              <w:pStyle w:val="Tablehead"/>
              <w:rPr>
                <w:lang w:val="es-ES_tradnl"/>
              </w:rPr>
            </w:pPr>
            <w:r w:rsidRPr="007703E3">
              <w:rPr>
                <w:lang w:val="es-ES_tradnl"/>
              </w:rPr>
              <w:t>Estación</w:t>
            </w:r>
            <w:r w:rsidRPr="007703E3">
              <w:rPr>
                <w:lang w:val="es-ES_tradnl"/>
              </w:rPr>
              <w:br/>
              <w:t>sometida a interferencia</w:t>
            </w:r>
          </w:p>
        </w:tc>
        <w:tc>
          <w:tcPr>
            <w:tcW w:w="3260" w:type="dxa"/>
            <w:gridSpan w:val="2"/>
          </w:tcPr>
          <w:p w:rsidR="007D238E" w:rsidRPr="007703E3" w:rsidRDefault="007D238E" w:rsidP="00B9587B">
            <w:pPr>
              <w:pStyle w:val="Tablehead"/>
              <w:rPr>
                <w:lang w:val="es-ES_tradnl"/>
              </w:rPr>
            </w:pPr>
            <w:r w:rsidRPr="007703E3">
              <w:rPr>
                <w:lang w:val="es-ES_tradnl"/>
              </w:rPr>
              <w:t>Potencia de la señal interferente</w:t>
            </w:r>
            <w:r w:rsidRPr="007703E3">
              <w:rPr>
                <w:lang w:val="es-ES_tradnl"/>
              </w:rPr>
              <w:br/>
              <w:t>(</w:t>
            </w:r>
            <w:proofErr w:type="spellStart"/>
            <w:r w:rsidRPr="007703E3">
              <w:rPr>
                <w:lang w:val="es-ES_tradnl"/>
              </w:rPr>
              <w:t>dBW</w:t>
            </w:r>
            <w:proofErr w:type="spellEnd"/>
            <w:r w:rsidRPr="007703E3">
              <w:rPr>
                <w:lang w:val="es-ES_tradnl"/>
              </w:rPr>
              <w:t>) en el ancho de banda de</w:t>
            </w:r>
            <w:r w:rsidRPr="007703E3">
              <w:rPr>
                <w:lang w:val="es-ES_tradnl"/>
              </w:rPr>
              <w:br/>
              <w:t>referencia que no debe rebasarse</w:t>
            </w:r>
            <w:r w:rsidRPr="007703E3">
              <w:rPr>
                <w:lang w:val="es-ES_tradnl"/>
              </w:rPr>
              <w:br/>
              <w:t>más del 20% del tiempo</w:t>
            </w:r>
          </w:p>
        </w:tc>
        <w:tc>
          <w:tcPr>
            <w:tcW w:w="3397" w:type="dxa"/>
            <w:gridSpan w:val="2"/>
          </w:tcPr>
          <w:p w:rsidR="007D238E" w:rsidRPr="007703E3" w:rsidRDefault="007D238E" w:rsidP="00B9587B">
            <w:pPr>
              <w:pStyle w:val="Tablehead"/>
              <w:rPr>
                <w:lang w:val="es-ES_tradnl"/>
              </w:rPr>
            </w:pPr>
            <w:r w:rsidRPr="007703E3">
              <w:rPr>
                <w:lang w:val="es-ES_tradnl"/>
              </w:rPr>
              <w:t>Potencia de la señal</w:t>
            </w:r>
            <w:r w:rsidRPr="007703E3">
              <w:rPr>
                <w:lang w:val="es-ES_tradnl"/>
              </w:rPr>
              <w:br/>
              <w:t>interferente (</w:t>
            </w:r>
            <w:proofErr w:type="spellStart"/>
            <w:r w:rsidRPr="007703E3">
              <w:rPr>
                <w:lang w:val="es-ES_tradnl"/>
              </w:rPr>
              <w:t>dBW</w:t>
            </w:r>
            <w:proofErr w:type="spellEnd"/>
            <w:r w:rsidRPr="007703E3">
              <w:rPr>
                <w:lang w:val="es-ES_tradnl"/>
              </w:rPr>
              <w:t>) en el ancho</w:t>
            </w:r>
            <w:r w:rsidRPr="007703E3">
              <w:rPr>
                <w:lang w:val="es-ES_tradnl"/>
              </w:rPr>
              <w:br/>
              <w:t xml:space="preserve">de banda de referencia que no debe rebasarse más del </w:t>
            </w:r>
            <w:r w:rsidRPr="007703E3">
              <w:rPr>
                <w:i/>
                <w:iCs/>
                <w:lang w:val="es-ES_tradnl"/>
              </w:rPr>
              <w:t>p</w:t>
            </w:r>
            <w:r w:rsidRPr="007703E3">
              <w:rPr>
                <w:lang w:val="es-ES_tradnl"/>
              </w:rPr>
              <w:t>% del tiempo</w:t>
            </w:r>
          </w:p>
        </w:tc>
      </w:tr>
      <w:tr w:rsidR="007D238E" w:rsidRPr="007703E3" w:rsidTr="00B9587B">
        <w:trPr>
          <w:cantSplit/>
          <w:jc w:val="center"/>
        </w:trPr>
        <w:tc>
          <w:tcPr>
            <w:tcW w:w="1555" w:type="dxa"/>
          </w:tcPr>
          <w:p w:rsidR="007D238E" w:rsidRPr="007703E3" w:rsidRDefault="007D238E" w:rsidP="00B9587B">
            <w:pPr>
              <w:pStyle w:val="TableText0"/>
              <w:spacing w:before="60" w:after="60"/>
              <w:ind w:left="57" w:right="57"/>
              <w:jc w:val="center"/>
              <w:rPr>
                <w:lang w:val="es-ES_tradnl"/>
              </w:rPr>
            </w:pPr>
          </w:p>
        </w:tc>
        <w:tc>
          <w:tcPr>
            <w:tcW w:w="1422" w:type="dxa"/>
          </w:tcPr>
          <w:p w:rsidR="007D238E" w:rsidRPr="007703E3" w:rsidRDefault="007D238E" w:rsidP="00B9587B">
            <w:pPr>
              <w:pStyle w:val="TableText0"/>
              <w:spacing w:before="60" w:after="60"/>
              <w:ind w:left="57" w:right="57"/>
              <w:jc w:val="center"/>
              <w:rPr>
                <w:lang w:val="es-ES_tradnl"/>
              </w:rPr>
            </w:pPr>
          </w:p>
        </w:tc>
        <w:tc>
          <w:tcPr>
            <w:tcW w:w="1701" w:type="dxa"/>
          </w:tcPr>
          <w:p w:rsidR="007D238E" w:rsidRPr="007703E3" w:rsidRDefault="007D238E" w:rsidP="00B9587B">
            <w:pPr>
              <w:pStyle w:val="Tablehead"/>
              <w:rPr>
                <w:lang w:val="es-ES_tradnl"/>
              </w:rPr>
            </w:pPr>
            <w:r w:rsidRPr="007703E3">
              <w:rPr>
                <w:lang w:val="es-ES_tradnl"/>
              </w:rPr>
              <w:t>Espacio-Tierra</w:t>
            </w:r>
          </w:p>
        </w:tc>
        <w:tc>
          <w:tcPr>
            <w:tcW w:w="1559" w:type="dxa"/>
          </w:tcPr>
          <w:p w:rsidR="007D238E" w:rsidRPr="007703E3" w:rsidRDefault="007D238E" w:rsidP="00B9587B">
            <w:pPr>
              <w:pStyle w:val="Tablehead"/>
              <w:rPr>
                <w:lang w:val="es-ES_tradnl"/>
              </w:rPr>
            </w:pPr>
            <w:r w:rsidRPr="007703E3">
              <w:rPr>
                <w:lang w:val="es-ES_tradnl"/>
              </w:rPr>
              <w:t>Terrenal</w:t>
            </w:r>
          </w:p>
        </w:tc>
        <w:tc>
          <w:tcPr>
            <w:tcW w:w="1701" w:type="dxa"/>
          </w:tcPr>
          <w:p w:rsidR="007D238E" w:rsidRPr="007703E3" w:rsidRDefault="007D238E" w:rsidP="00B9587B">
            <w:pPr>
              <w:pStyle w:val="Tablehead"/>
              <w:rPr>
                <w:lang w:val="es-ES_tradnl"/>
              </w:rPr>
            </w:pPr>
            <w:r w:rsidRPr="007703E3">
              <w:rPr>
                <w:lang w:val="es-ES_tradnl"/>
              </w:rPr>
              <w:t>Espacio-Tierra</w:t>
            </w:r>
          </w:p>
        </w:tc>
        <w:tc>
          <w:tcPr>
            <w:tcW w:w="1696" w:type="dxa"/>
          </w:tcPr>
          <w:p w:rsidR="007D238E" w:rsidRPr="007703E3" w:rsidRDefault="007D238E" w:rsidP="00B9587B">
            <w:pPr>
              <w:pStyle w:val="Tablehead"/>
              <w:rPr>
                <w:lang w:val="es-ES_tradnl"/>
              </w:rPr>
            </w:pPr>
            <w:r w:rsidRPr="007703E3">
              <w:rPr>
                <w:lang w:val="es-ES_tradnl"/>
              </w:rPr>
              <w:t>Terrenal</w:t>
            </w:r>
          </w:p>
        </w:tc>
      </w:tr>
      <w:tr w:rsidR="007D238E" w:rsidRPr="007703E3" w:rsidTr="00B9587B">
        <w:trPr>
          <w:cantSplit/>
          <w:jc w:val="center"/>
        </w:trPr>
        <w:tc>
          <w:tcPr>
            <w:tcW w:w="1555" w:type="dxa"/>
          </w:tcPr>
          <w:p w:rsidR="007D238E" w:rsidRPr="007703E3" w:rsidRDefault="007D238E" w:rsidP="00B9587B">
            <w:pPr>
              <w:pStyle w:val="Tabletext"/>
              <w:jc w:val="center"/>
              <w:rPr>
                <w:lang w:val="es-ES_tradnl"/>
              </w:rPr>
            </w:pPr>
            <w:r w:rsidRPr="007703E3">
              <w:rPr>
                <w:lang w:val="es-ES_tradnl"/>
              </w:rPr>
              <w:t>401-403</w:t>
            </w:r>
            <w:r w:rsidRPr="007703E3">
              <w:rPr>
                <w:lang w:val="es-ES_tradnl"/>
              </w:rPr>
              <w:br/>
              <w:t>Tierra-espacio</w:t>
            </w:r>
          </w:p>
        </w:tc>
        <w:tc>
          <w:tcPr>
            <w:tcW w:w="1422" w:type="dxa"/>
          </w:tcPr>
          <w:p w:rsidR="007D238E" w:rsidRPr="007703E3" w:rsidRDefault="007D238E" w:rsidP="00B9587B">
            <w:pPr>
              <w:pStyle w:val="Tabletext"/>
              <w:jc w:val="center"/>
              <w:rPr>
                <w:lang w:val="es-ES_tradnl"/>
              </w:rPr>
            </w:pPr>
            <w:r w:rsidRPr="007703E3">
              <w:rPr>
                <w:lang w:val="es-ES_tradnl"/>
              </w:rPr>
              <w:t xml:space="preserve">Estación </w:t>
            </w:r>
            <w:r>
              <w:rPr>
                <w:lang w:val="es-ES_tradnl"/>
              </w:rPr>
              <w:br/>
            </w:r>
            <w:r w:rsidRPr="007703E3">
              <w:rPr>
                <w:lang w:val="es-ES_tradnl"/>
              </w:rPr>
              <w:t>espacial</w:t>
            </w:r>
          </w:p>
        </w:tc>
        <w:tc>
          <w:tcPr>
            <w:tcW w:w="1701" w:type="dxa"/>
          </w:tcPr>
          <w:p w:rsidR="007D238E" w:rsidRPr="007703E3" w:rsidRDefault="007D238E" w:rsidP="00B9587B">
            <w:pPr>
              <w:pStyle w:val="Tabletext"/>
              <w:jc w:val="center"/>
              <w:rPr>
                <w:lang w:val="es-ES_tradnl"/>
              </w:rPr>
            </w:pPr>
            <w:r w:rsidRPr="007703E3">
              <w:rPr>
                <w:lang w:val="es-ES_tradnl"/>
              </w:rPr>
              <w:t xml:space="preserve">–201,5 </w:t>
            </w:r>
            <w:proofErr w:type="spellStart"/>
            <w:r w:rsidRPr="007703E3">
              <w:rPr>
                <w:lang w:val="es-ES_tradnl"/>
              </w:rPr>
              <w:t>dBW</w:t>
            </w:r>
            <w:proofErr w:type="spellEnd"/>
            <w:r w:rsidRPr="007703E3">
              <w:rPr>
                <w:lang w:val="es-ES_tradnl"/>
              </w:rPr>
              <w:t xml:space="preserve"> </w:t>
            </w:r>
            <w:r>
              <w:rPr>
                <w:lang w:val="es-ES_tradnl"/>
              </w:rPr>
              <w:br/>
            </w:r>
            <w:r w:rsidRPr="007703E3">
              <w:rPr>
                <w:lang w:val="es-ES_tradnl"/>
              </w:rPr>
              <w:t xml:space="preserve">por </w:t>
            </w:r>
            <w:r>
              <w:rPr>
                <w:lang w:val="es-ES_tradnl"/>
              </w:rPr>
              <w:br/>
            </w:r>
            <w:r w:rsidRPr="007703E3">
              <w:rPr>
                <w:lang w:val="es-ES_tradnl"/>
              </w:rPr>
              <w:t>100 Hz</w:t>
            </w:r>
            <w:r w:rsidRPr="007703E3">
              <w:rPr>
                <w:position w:val="6"/>
                <w:sz w:val="14"/>
                <w:lang w:val="es-ES_tradnl"/>
              </w:rPr>
              <w:t>(2) (3)</w:t>
            </w:r>
          </w:p>
        </w:tc>
        <w:tc>
          <w:tcPr>
            <w:tcW w:w="1559" w:type="dxa"/>
          </w:tcPr>
          <w:p w:rsidR="007D238E" w:rsidRPr="007703E3" w:rsidRDefault="007D238E" w:rsidP="00B9587B">
            <w:pPr>
              <w:pStyle w:val="Tabletext"/>
              <w:jc w:val="center"/>
              <w:rPr>
                <w:lang w:val="es-ES_tradnl"/>
              </w:rPr>
            </w:pPr>
            <w:r w:rsidRPr="007703E3">
              <w:rPr>
                <w:lang w:val="es-ES_tradnl"/>
              </w:rPr>
              <w:t xml:space="preserve">–201,5 </w:t>
            </w:r>
            <w:proofErr w:type="spellStart"/>
            <w:r w:rsidRPr="007703E3">
              <w:rPr>
                <w:lang w:val="es-ES_tradnl"/>
              </w:rPr>
              <w:t>dBW</w:t>
            </w:r>
            <w:proofErr w:type="spellEnd"/>
            <w:r w:rsidRPr="007703E3">
              <w:rPr>
                <w:lang w:val="es-ES_tradnl"/>
              </w:rPr>
              <w:t xml:space="preserve"> </w:t>
            </w:r>
            <w:r>
              <w:rPr>
                <w:lang w:val="es-ES_tradnl"/>
              </w:rPr>
              <w:br/>
            </w:r>
            <w:r w:rsidRPr="007703E3">
              <w:rPr>
                <w:lang w:val="es-ES_tradnl"/>
              </w:rPr>
              <w:t xml:space="preserve">por </w:t>
            </w:r>
            <w:r>
              <w:rPr>
                <w:lang w:val="es-ES_tradnl"/>
              </w:rPr>
              <w:br/>
            </w:r>
            <w:r w:rsidRPr="007703E3">
              <w:rPr>
                <w:lang w:val="es-ES_tradnl"/>
              </w:rPr>
              <w:t>100 Hz</w:t>
            </w:r>
            <w:r w:rsidRPr="007703E3">
              <w:rPr>
                <w:position w:val="6"/>
                <w:sz w:val="14"/>
                <w:lang w:val="es-ES_tradnl"/>
              </w:rPr>
              <w:t>(2)</w:t>
            </w:r>
          </w:p>
        </w:tc>
        <w:tc>
          <w:tcPr>
            <w:tcW w:w="1701" w:type="dxa"/>
          </w:tcPr>
          <w:p w:rsidR="007D238E" w:rsidRPr="007703E3" w:rsidRDefault="007D238E" w:rsidP="00B9587B">
            <w:pPr>
              <w:pStyle w:val="Tabletext"/>
              <w:jc w:val="center"/>
              <w:rPr>
                <w:lang w:val="es-ES_tradnl"/>
              </w:rPr>
            </w:pPr>
            <w:r w:rsidRPr="007703E3">
              <w:rPr>
                <w:lang w:val="es-ES_tradnl"/>
              </w:rPr>
              <w:t xml:space="preserve">–186,4 </w:t>
            </w:r>
            <w:proofErr w:type="spellStart"/>
            <w:r w:rsidRPr="007703E3">
              <w:rPr>
                <w:lang w:val="es-ES_tradnl"/>
              </w:rPr>
              <w:t>dBW</w:t>
            </w:r>
            <w:proofErr w:type="spellEnd"/>
            <w:r w:rsidRPr="007703E3">
              <w:rPr>
                <w:lang w:val="es-ES_tradnl"/>
              </w:rPr>
              <w:t xml:space="preserve"> </w:t>
            </w:r>
            <w:r>
              <w:rPr>
                <w:lang w:val="es-ES_tradnl"/>
              </w:rPr>
              <w:br/>
            </w:r>
            <w:r w:rsidRPr="007703E3">
              <w:rPr>
                <w:lang w:val="es-ES_tradnl"/>
              </w:rPr>
              <w:t>por 100 Hz</w:t>
            </w:r>
            <w:r w:rsidRPr="007703E3">
              <w:rPr>
                <w:position w:val="6"/>
                <w:sz w:val="14"/>
                <w:lang w:val="es-ES_tradnl"/>
              </w:rPr>
              <w:t>(1) (3)</w:t>
            </w:r>
            <w:r w:rsidRPr="007703E3">
              <w:rPr>
                <w:lang w:val="es-ES_tradnl"/>
              </w:rPr>
              <w:br/>
            </w:r>
            <w:r w:rsidRPr="007703E3">
              <w:rPr>
                <w:i/>
                <w:iCs/>
                <w:lang w:val="es-ES_tradnl"/>
              </w:rPr>
              <w:t>p</w:t>
            </w:r>
            <w:r w:rsidRPr="007703E3">
              <w:rPr>
                <w:lang w:val="es-ES_tradnl"/>
              </w:rPr>
              <w:t xml:space="preserve"> </w:t>
            </w:r>
            <w:r w:rsidRPr="007703E3">
              <w:rPr>
                <w:rFonts w:ascii="Symbol" w:hAnsi="Symbol"/>
                <w:lang w:val="es-ES_tradnl"/>
              </w:rPr>
              <w:t></w:t>
            </w:r>
            <w:r w:rsidRPr="007703E3">
              <w:rPr>
                <w:lang w:val="es-ES_tradnl"/>
              </w:rPr>
              <w:t xml:space="preserve"> 0,075</w:t>
            </w:r>
          </w:p>
        </w:tc>
        <w:tc>
          <w:tcPr>
            <w:tcW w:w="1696" w:type="dxa"/>
          </w:tcPr>
          <w:p w:rsidR="007D238E" w:rsidRPr="007703E3" w:rsidRDefault="007D238E" w:rsidP="00B9587B">
            <w:pPr>
              <w:pStyle w:val="Tabletext"/>
              <w:jc w:val="center"/>
              <w:rPr>
                <w:lang w:val="es-ES_tradnl"/>
              </w:rPr>
            </w:pPr>
            <w:r w:rsidRPr="007703E3">
              <w:rPr>
                <w:lang w:val="es-ES_tradnl"/>
              </w:rPr>
              <w:t xml:space="preserve">–187,7 </w:t>
            </w:r>
            <w:proofErr w:type="spellStart"/>
            <w:r w:rsidRPr="007703E3">
              <w:rPr>
                <w:lang w:val="es-ES_tradnl"/>
              </w:rPr>
              <w:t>dBW</w:t>
            </w:r>
            <w:proofErr w:type="spellEnd"/>
            <w:r w:rsidRPr="007703E3">
              <w:rPr>
                <w:lang w:val="es-ES_tradnl"/>
              </w:rPr>
              <w:t xml:space="preserve"> </w:t>
            </w:r>
            <w:r>
              <w:rPr>
                <w:lang w:val="es-ES_tradnl"/>
              </w:rPr>
              <w:br/>
            </w:r>
            <w:r w:rsidRPr="007703E3">
              <w:rPr>
                <w:lang w:val="es-ES_tradnl"/>
              </w:rPr>
              <w:t>por 100 Hz</w:t>
            </w:r>
            <w:r w:rsidRPr="007703E3">
              <w:rPr>
                <w:position w:val="6"/>
                <w:sz w:val="14"/>
                <w:lang w:val="es-ES_tradnl"/>
              </w:rPr>
              <w:t>(2)</w:t>
            </w:r>
            <w:r w:rsidRPr="007703E3">
              <w:rPr>
                <w:lang w:val="es-ES_tradnl"/>
              </w:rPr>
              <w:br/>
            </w:r>
            <w:r w:rsidRPr="007703E3">
              <w:rPr>
                <w:i/>
                <w:iCs/>
                <w:lang w:val="es-ES_tradnl"/>
              </w:rPr>
              <w:t>p</w:t>
            </w:r>
            <w:r w:rsidRPr="007703E3">
              <w:rPr>
                <w:lang w:val="es-ES_tradnl"/>
              </w:rPr>
              <w:t xml:space="preserve"> </w:t>
            </w:r>
            <w:r w:rsidRPr="007703E3">
              <w:rPr>
                <w:rFonts w:ascii="Symbol" w:hAnsi="Symbol"/>
                <w:lang w:val="es-ES_tradnl"/>
              </w:rPr>
              <w:t></w:t>
            </w:r>
            <w:r w:rsidRPr="007703E3">
              <w:rPr>
                <w:lang w:val="es-ES_tradnl"/>
              </w:rPr>
              <w:t xml:space="preserve"> 0,025</w:t>
            </w:r>
          </w:p>
        </w:tc>
      </w:tr>
      <w:tr w:rsidR="007D238E" w:rsidRPr="007703E3" w:rsidTr="00B9587B">
        <w:trPr>
          <w:cantSplit/>
          <w:jc w:val="center"/>
        </w:trPr>
        <w:tc>
          <w:tcPr>
            <w:tcW w:w="1555" w:type="dxa"/>
          </w:tcPr>
          <w:p w:rsidR="007D238E" w:rsidRPr="007703E3" w:rsidRDefault="007D238E" w:rsidP="00B9587B">
            <w:pPr>
              <w:pStyle w:val="Tabletext"/>
              <w:jc w:val="center"/>
              <w:rPr>
                <w:lang w:val="es-ES_tradnl"/>
              </w:rPr>
            </w:pPr>
            <w:r w:rsidRPr="007703E3">
              <w:rPr>
                <w:lang w:val="es-ES_tradnl"/>
              </w:rPr>
              <w:t>1</w:t>
            </w:r>
            <w:r w:rsidRPr="007703E3">
              <w:rPr>
                <w:sz w:val="12"/>
                <w:lang w:val="es-ES_tradnl"/>
              </w:rPr>
              <w:t> </w:t>
            </w:r>
            <w:r w:rsidRPr="007703E3">
              <w:rPr>
                <w:lang w:val="es-ES_tradnl"/>
              </w:rPr>
              <w:t>670-1</w:t>
            </w:r>
            <w:r w:rsidRPr="007703E3">
              <w:rPr>
                <w:sz w:val="12"/>
                <w:lang w:val="es-ES_tradnl"/>
              </w:rPr>
              <w:t> </w:t>
            </w:r>
            <w:r w:rsidRPr="007703E3">
              <w:rPr>
                <w:lang w:val="es-ES_tradnl"/>
              </w:rPr>
              <w:t>690 espacio-Tierra</w:t>
            </w:r>
          </w:p>
        </w:tc>
        <w:tc>
          <w:tcPr>
            <w:tcW w:w="1422" w:type="dxa"/>
          </w:tcPr>
          <w:p w:rsidR="007D238E" w:rsidRPr="007703E3" w:rsidRDefault="007D238E" w:rsidP="00B9587B">
            <w:pPr>
              <w:pStyle w:val="Tabletext"/>
              <w:jc w:val="center"/>
              <w:rPr>
                <w:lang w:val="es-ES_tradnl"/>
              </w:rPr>
            </w:pPr>
            <w:r w:rsidRPr="007703E3">
              <w:rPr>
                <w:lang w:val="es-ES_tradnl"/>
              </w:rPr>
              <w:t xml:space="preserve">Estación </w:t>
            </w:r>
            <w:r>
              <w:rPr>
                <w:lang w:val="es-ES_tradnl"/>
              </w:rPr>
              <w:br/>
            </w:r>
            <w:r w:rsidRPr="007703E3">
              <w:rPr>
                <w:lang w:val="es-ES_tradnl"/>
              </w:rPr>
              <w:t>terrena</w:t>
            </w:r>
          </w:p>
        </w:tc>
        <w:tc>
          <w:tcPr>
            <w:tcW w:w="1701" w:type="dxa"/>
          </w:tcPr>
          <w:p w:rsidR="007D238E" w:rsidRPr="007703E3" w:rsidRDefault="007D238E" w:rsidP="00B9587B">
            <w:pPr>
              <w:pStyle w:val="Tabletext"/>
              <w:jc w:val="center"/>
              <w:rPr>
                <w:lang w:val="es-ES_tradnl"/>
              </w:rPr>
            </w:pPr>
            <w:r w:rsidRPr="007703E3">
              <w:rPr>
                <w:lang w:val="es-ES_tradnl"/>
              </w:rPr>
              <w:t xml:space="preserve">–218,8 </w:t>
            </w:r>
            <w:proofErr w:type="spellStart"/>
            <w:r w:rsidRPr="007703E3">
              <w:rPr>
                <w:lang w:val="es-ES_tradnl"/>
              </w:rPr>
              <w:t>dBW</w:t>
            </w:r>
            <w:proofErr w:type="spellEnd"/>
            <w:r w:rsidRPr="007703E3">
              <w:rPr>
                <w:lang w:val="es-ES_tradnl"/>
              </w:rPr>
              <w:t xml:space="preserve"> </w:t>
            </w:r>
            <w:r>
              <w:rPr>
                <w:lang w:val="es-ES_tradnl"/>
              </w:rPr>
              <w:br/>
            </w:r>
            <w:r w:rsidRPr="007703E3">
              <w:rPr>
                <w:lang w:val="es-ES_tradnl"/>
              </w:rPr>
              <w:t xml:space="preserve">por </w:t>
            </w:r>
            <w:r>
              <w:rPr>
                <w:lang w:val="es-ES_tradnl"/>
              </w:rPr>
              <w:br/>
            </w:r>
            <w:r w:rsidRPr="007703E3">
              <w:rPr>
                <w:lang w:val="es-ES_tradnl"/>
              </w:rPr>
              <w:t>100 Hz</w:t>
            </w:r>
            <w:r w:rsidRPr="007703E3">
              <w:rPr>
                <w:position w:val="6"/>
                <w:sz w:val="14"/>
                <w:lang w:val="es-ES_tradnl"/>
              </w:rPr>
              <w:t>(2)</w:t>
            </w:r>
          </w:p>
        </w:tc>
        <w:tc>
          <w:tcPr>
            <w:tcW w:w="1559" w:type="dxa"/>
          </w:tcPr>
          <w:p w:rsidR="007D238E" w:rsidRPr="007703E3" w:rsidRDefault="007D238E" w:rsidP="00B9587B">
            <w:pPr>
              <w:pStyle w:val="Tabletext"/>
              <w:jc w:val="center"/>
              <w:rPr>
                <w:lang w:val="es-ES_tradnl"/>
              </w:rPr>
            </w:pPr>
            <w:r w:rsidRPr="007703E3">
              <w:rPr>
                <w:lang w:val="es-ES_tradnl"/>
              </w:rPr>
              <w:t xml:space="preserve">–198,8 </w:t>
            </w:r>
            <w:proofErr w:type="spellStart"/>
            <w:r w:rsidRPr="007703E3">
              <w:rPr>
                <w:lang w:val="es-ES_tradnl"/>
              </w:rPr>
              <w:t>dBW</w:t>
            </w:r>
            <w:proofErr w:type="spellEnd"/>
            <w:r w:rsidRPr="007703E3">
              <w:rPr>
                <w:lang w:val="es-ES_tradnl"/>
              </w:rPr>
              <w:t xml:space="preserve"> </w:t>
            </w:r>
            <w:r>
              <w:rPr>
                <w:lang w:val="es-ES_tradnl"/>
              </w:rPr>
              <w:br/>
            </w:r>
            <w:r w:rsidRPr="007703E3">
              <w:rPr>
                <w:lang w:val="es-ES_tradnl"/>
              </w:rPr>
              <w:t xml:space="preserve">por </w:t>
            </w:r>
            <w:r>
              <w:rPr>
                <w:lang w:val="es-ES_tradnl"/>
              </w:rPr>
              <w:br/>
            </w:r>
            <w:r w:rsidRPr="007703E3">
              <w:rPr>
                <w:lang w:val="es-ES_tradnl"/>
              </w:rPr>
              <w:t>100 Hz</w:t>
            </w:r>
            <w:r w:rsidRPr="007703E3">
              <w:rPr>
                <w:position w:val="6"/>
                <w:sz w:val="14"/>
                <w:lang w:val="es-ES_tradnl"/>
              </w:rPr>
              <w:t>(2)</w:t>
            </w:r>
          </w:p>
        </w:tc>
        <w:tc>
          <w:tcPr>
            <w:tcW w:w="1701" w:type="dxa"/>
          </w:tcPr>
          <w:p w:rsidR="007D238E" w:rsidRPr="007703E3" w:rsidRDefault="007D238E" w:rsidP="00B9587B">
            <w:pPr>
              <w:pStyle w:val="Tabletext"/>
              <w:jc w:val="center"/>
              <w:rPr>
                <w:lang w:val="es-ES_tradnl"/>
              </w:rPr>
            </w:pPr>
            <w:r w:rsidRPr="007703E3">
              <w:rPr>
                <w:lang w:val="es-ES_tradnl"/>
              </w:rPr>
              <w:t xml:space="preserve">–195,1 </w:t>
            </w:r>
            <w:proofErr w:type="spellStart"/>
            <w:r w:rsidRPr="007703E3">
              <w:rPr>
                <w:lang w:val="es-ES_tradnl"/>
              </w:rPr>
              <w:t>dBW</w:t>
            </w:r>
            <w:proofErr w:type="spellEnd"/>
            <w:r w:rsidRPr="007703E3">
              <w:rPr>
                <w:lang w:val="es-ES_tradnl"/>
              </w:rPr>
              <w:t xml:space="preserve"> </w:t>
            </w:r>
            <w:r>
              <w:rPr>
                <w:lang w:val="es-ES_tradnl"/>
              </w:rPr>
              <w:br/>
            </w:r>
            <w:r w:rsidRPr="007703E3">
              <w:rPr>
                <w:lang w:val="es-ES_tradnl"/>
              </w:rPr>
              <w:t>por 100 Hz</w:t>
            </w:r>
            <w:r w:rsidRPr="007703E3">
              <w:rPr>
                <w:position w:val="6"/>
                <w:sz w:val="14"/>
                <w:lang w:val="es-ES_tradnl"/>
              </w:rPr>
              <w:t>(2)</w:t>
            </w:r>
            <w:r w:rsidRPr="007703E3">
              <w:rPr>
                <w:lang w:val="es-ES_tradnl"/>
              </w:rPr>
              <w:t xml:space="preserve"> </w:t>
            </w:r>
            <w:r w:rsidRPr="007703E3">
              <w:rPr>
                <w:lang w:val="es-ES_tradnl"/>
              </w:rPr>
              <w:br/>
            </w:r>
            <w:r w:rsidRPr="007703E3">
              <w:rPr>
                <w:i/>
                <w:iCs/>
                <w:lang w:val="es-ES_tradnl"/>
              </w:rPr>
              <w:t>p</w:t>
            </w:r>
            <w:r w:rsidRPr="007703E3">
              <w:rPr>
                <w:lang w:val="es-ES_tradnl"/>
              </w:rPr>
              <w:t xml:space="preserve"> </w:t>
            </w:r>
            <w:r w:rsidRPr="007703E3">
              <w:rPr>
                <w:rFonts w:ascii="Symbol" w:hAnsi="Symbol"/>
                <w:lang w:val="es-ES_tradnl"/>
              </w:rPr>
              <w:t></w:t>
            </w:r>
            <w:r w:rsidRPr="007703E3">
              <w:rPr>
                <w:lang w:val="es-ES_tradnl"/>
              </w:rPr>
              <w:t xml:space="preserve"> 0,0025</w:t>
            </w:r>
          </w:p>
        </w:tc>
        <w:tc>
          <w:tcPr>
            <w:tcW w:w="1696" w:type="dxa"/>
          </w:tcPr>
          <w:p w:rsidR="007D238E" w:rsidRPr="007703E3" w:rsidRDefault="007D238E" w:rsidP="00B9587B">
            <w:pPr>
              <w:pStyle w:val="Tabletext"/>
              <w:jc w:val="center"/>
              <w:rPr>
                <w:lang w:val="es-ES_tradnl"/>
              </w:rPr>
            </w:pPr>
            <w:r w:rsidRPr="007703E3">
              <w:rPr>
                <w:lang w:val="es-ES_tradnl"/>
              </w:rPr>
              <w:t>–19</w:t>
            </w:r>
            <w:r>
              <w:rPr>
                <w:lang w:val="es-ES_tradnl"/>
              </w:rPr>
              <w:t>4</w:t>
            </w:r>
            <w:r w:rsidRPr="007703E3">
              <w:rPr>
                <w:lang w:val="es-ES_tradnl"/>
              </w:rPr>
              <w:t>,</w:t>
            </w:r>
            <w:r>
              <w:rPr>
                <w:lang w:val="es-ES_tradnl"/>
              </w:rPr>
              <w:t>3</w:t>
            </w:r>
            <w:r w:rsidRPr="007703E3">
              <w:rPr>
                <w:lang w:val="es-ES_tradnl"/>
              </w:rPr>
              <w:t xml:space="preserve"> </w:t>
            </w:r>
            <w:proofErr w:type="spellStart"/>
            <w:r w:rsidRPr="007703E3">
              <w:rPr>
                <w:lang w:val="es-ES_tradnl"/>
              </w:rPr>
              <w:t>dBW</w:t>
            </w:r>
            <w:proofErr w:type="spellEnd"/>
            <w:r w:rsidRPr="007703E3">
              <w:rPr>
                <w:lang w:val="es-ES_tradnl"/>
              </w:rPr>
              <w:t xml:space="preserve"> </w:t>
            </w:r>
            <w:r>
              <w:rPr>
                <w:lang w:val="es-ES_tradnl"/>
              </w:rPr>
              <w:br/>
            </w:r>
            <w:r w:rsidRPr="007703E3">
              <w:rPr>
                <w:lang w:val="es-ES_tradnl"/>
              </w:rPr>
              <w:t>por 100 Hz</w:t>
            </w:r>
            <w:r w:rsidRPr="007703E3">
              <w:rPr>
                <w:position w:val="6"/>
                <w:sz w:val="14"/>
                <w:lang w:val="es-ES_tradnl"/>
              </w:rPr>
              <w:t>(2)</w:t>
            </w:r>
            <w:r w:rsidRPr="007703E3">
              <w:rPr>
                <w:lang w:val="es-ES_tradnl"/>
              </w:rPr>
              <w:t xml:space="preserve"> </w:t>
            </w:r>
            <w:r w:rsidRPr="007703E3">
              <w:rPr>
                <w:lang w:val="es-ES_tradnl"/>
              </w:rPr>
              <w:br/>
            </w:r>
            <w:r w:rsidRPr="007703E3">
              <w:rPr>
                <w:i/>
                <w:iCs/>
                <w:lang w:val="es-ES_tradnl"/>
              </w:rPr>
              <w:t>p</w:t>
            </w:r>
            <w:r w:rsidRPr="007703E3">
              <w:rPr>
                <w:lang w:val="es-ES_tradnl"/>
              </w:rPr>
              <w:t xml:space="preserve"> </w:t>
            </w:r>
            <w:r w:rsidRPr="007703E3">
              <w:rPr>
                <w:rFonts w:ascii="Symbol" w:hAnsi="Symbol"/>
                <w:lang w:val="es-ES_tradnl"/>
              </w:rPr>
              <w:t></w:t>
            </w:r>
            <w:r w:rsidRPr="007703E3">
              <w:rPr>
                <w:lang w:val="es-ES_tradnl"/>
              </w:rPr>
              <w:t xml:space="preserve"> 0,011</w:t>
            </w:r>
          </w:p>
        </w:tc>
      </w:tr>
      <w:tr w:rsidR="007D238E" w:rsidRPr="007703E3" w:rsidTr="00B9587B">
        <w:trPr>
          <w:cantSplit/>
          <w:jc w:val="center"/>
        </w:trPr>
        <w:tc>
          <w:tcPr>
            <w:tcW w:w="1555" w:type="dxa"/>
            <w:tcBorders>
              <w:bottom w:val="single" w:sz="4" w:space="0" w:color="auto"/>
            </w:tcBorders>
          </w:tcPr>
          <w:p w:rsidR="007D238E" w:rsidRPr="007703E3" w:rsidRDefault="007D238E" w:rsidP="00B9587B">
            <w:pPr>
              <w:pStyle w:val="Tabletext"/>
              <w:jc w:val="center"/>
              <w:rPr>
                <w:lang w:val="es-ES_tradnl"/>
              </w:rPr>
            </w:pPr>
            <w:r w:rsidRPr="007703E3">
              <w:rPr>
                <w:lang w:val="es-ES_tradnl"/>
              </w:rPr>
              <w:t>2</w:t>
            </w:r>
            <w:r w:rsidRPr="007703E3">
              <w:rPr>
                <w:sz w:val="12"/>
                <w:lang w:val="es-ES_tradnl"/>
              </w:rPr>
              <w:t> </w:t>
            </w:r>
            <w:r w:rsidRPr="007703E3">
              <w:rPr>
                <w:lang w:val="es-ES_tradnl"/>
              </w:rPr>
              <w:t>025-2</w:t>
            </w:r>
            <w:r w:rsidRPr="007703E3">
              <w:rPr>
                <w:sz w:val="12"/>
                <w:lang w:val="es-ES_tradnl"/>
              </w:rPr>
              <w:t> </w:t>
            </w:r>
            <w:r w:rsidRPr="007703E3">
              <w:rPr>
                <w:lang w:val="es-ES_tradnl"/>
              </w:rPr>
              <w:t>110 Tierra-espacio</w:t>
            </w:r>
          </w:p>
        </w:tc>
        <w:tc>
          <w:tcPr>
            <w:tcW w:w="1422" w:type="dxa"/>
            <w:tcBorders>
              <w:bottom w:val="single" w:sz="4" w:space="0" w:color="auto"/>
            </w:tcBorders>
          </w:tcPr>
          <w:p w:rsidR="007D238E" w:rsidRPr="007703E3" w:rsidRDefault="007D238E" w:rsidP="00B9587B">
            <w:pPr>
              <w:pStyle w:val="Tabletext"/>
              <w:jc w:val="center"/>
              <w:rPr>
                <w:lang w:val="es-ES_tradnl"/>
              </w:rPr>
            </w:pPr>
            <w:r w:rsidRPr="007703E3">
              <w:rPr>
                <w:lang w:val="es-ES_tradnl"/>
              </w:rPr>
              <w:t>Estación</w:t>
            </w:r>
            <w:r>
              <w:rPr>
                <w:lang w:val="es-ES_tradnl"/>
              </w:rPr>
              <w:br/>
            </w:r>
            <w:r w:rsidRPr="007703E3">
              <w:rPr>
                <w:lang w:val="es-ES_tradnl"/>
              </w:rPr>
              <w:t>espacial</w:t>
            </w:r>
          </w:p>
        </w:tc>
        <w:tc>
          <w:tcPr>
            <w:tcW w:w="1701" w:type="dxa"/>
            <w:tcBorders>
              <w:bottom w:val="single" w:sz="4" w:space="0" w:color="auto"/>
            </w:tcBorders>
          </w:tcPr>
          <w:p w:rsidR="007D238E" w:rsidRPr="007703E3" w:rsidRDefault="007D238E" w:rsidP="00B9587B">
            <w:pPr>
              <w:pStyle w:val="Tabletext"/>
              <w:jc w:val="center"/>
              <w:rPr>
                <w:lang w:val="es-ES_tradnl"/>
              </w:rPr>
            </w:pPr>
            <w:r w:rsidRPr="007703E3">
              <w:rPr>
                <w:lang w:val="es-ES_tradnl"/>
              </w:rPr>
              <w:t xml:space="preserve">–211,2 </w:t>
            </w:r>
            <w:proofErr w:type="spellStart"/>
            <w:r w:rsidRPr="007703E3">
              <w:rPr>
                <w:lang w:val="es-ES_tradnl"/>
              </w:rPr>
              <w:t>dBW</w:t>
            </w:r>
            <w:proofErr w:type="spellEnd"/>
            <w:r w:rsidRPr="007703E3">
              <w:rPr>
                <w:lang w:val="es-ES_tradnl"/>
              </w:rPr>
              <w:t xml:space="preserve"> </w:t>
            </w:r>
            <w:r>
              <w:rPr>
                <w:lang w:val="es-ES_tradnl"/>
              </w:rPr>
              <w:br/>
            </w:r>
            <w:r w:rsidRPr="007703E3">
              <w:rPr>
                <w:lang w:val="es-ES_tradnl"/>
              </w:rPr>
              <w:t xml:space="preserve">por </w:t>
            </w:r>
            <w:r>
              <w:rPr>
                <w:lang w:val="es-ES_tradnl"/>
              </w:rPr>
              <w:br/>
            </w:r>
            <w:r w:rsidRPr="007703E3">
              <w:rPr>
                <w:lang w:val="es-ES_tradnl"/>
              </w:rPr>
              <w:t>100 Hz</w:t>
            </w:r>
            <w:r w:rsidRPr="007703E3">
              <w:rPr>
                <w:position w:val="6"/>
                <w:sz w:val="14"/>
                <w:lang w:val="es-ES_tradnl"/>
              </w:rPr>
              <w:t>(2)</w:t>
            </w:r>
          </w:p>
        </w:tc>
        <w:tc>
          <w:tcPr>
            <w:tcW w:w="1559" w:type="dxa"/>
            <w:tcBorders>
              <w:bottom w:val="single" w:sz="4" w:space="0" w:color="auto"/>
            </w:tcBorders>
          </w:tcPr>
          <w:p w:rsidR="007D238E" w:rsidRPr="007703E3" w:rsidRDefault="007D238E" w:rsidP="00B9587B">
            <w:pPr>
              <w:pStyle w:val="Tabletext"/>
              <w:jc w:val="center"/>
              <w:rPr>
                <w:lang w:val="es-ES_tradnl"/>
              </w:rPr>
            </w:pPr>
            <w:r w:rsidRPr="007703E3">
              <w:rPr>
                <w:lang w:val="es-ES_tradnl"/>
              </w:rPr>
              <w:t xml:space="preserve">–194,3 </w:t>
            </w:r>
            <w:proofErr w:type="spellStart"/>
            <w:r w:rsidRPr="007703E3">
              <w:rPr>
                <w:lang w:val="es-ES_tradnl"/>
              </w:rPr>
              <w:t>dBW</w:t>
            </w:r>
            <w:proofErr w:type="spellEnd"/>
            <w:r w:rsidRPr="007703E3">
              <w:rPr>
                <w:lang w:val="es-ES_tradnl"/>
              </w:rPr>
              <w:t xml:space="preserve"> </w:t>
            </w:r>
            <w:r>
              <w:rPr>
                <w:lang w:val="es-ES_tradnl"/>
              </w:rPr>
              <w:br/>
            </w:r>
            <w:r w:rsidRPr="007703E3">
              <w:rPr>
                <w:lang w:val="es-ES_tradnl"/>
              </w:rPr>
              <w:t xml:space="preserve">por </w:t>
            </w:r>
            <w:r>
              <w:rPr>
                <w:lang w:val="es-ES_tradnl"/>
              </w:rPr>
              <w:br/>
            </w:r>
            <w:r w:rsidRPr="007703E3">
              <w:rPr>
                <w:lang w:val="es-ES_tradnl"/>
              </w:rPr>
              <w:t>100 Hz</w:t>
            </w:r>
            <w:r w:rsidRPr="007703E3">
              <w:rPr>
                <w:position w:val="6"/>
                <w:sz w:val="14"/>
                <w:lang w:val="es-ES_tradnl"/>
              </w:rPr>
              <w:t>(2)</w:t>
            </w:r>
          </w:p>
        </w:tc>
        <w:tc>
          <w:tcPr>
            <w:tcW w:w="1701" w:type="dxa"/>
            <w:tcBorders>
              <w:bottom w:val="single" w:sz="4" w:space="0" w:color="auto"/>
            </w:tcBorders>
          </w:tcPr>
          <w:p w:rsidR="007D238E" w:rsidRPr="007703E3" w:rsidRDefault="007D238E" w:rsidP="00B9587B">
            <w:pPr>
              <w:pStyle w:val="Tabletext"/>
              <w:jc w:val="center"/>
              <w:rPr>
                <w:lang w:val="es-ES_tradnl"/>
              </w:rPr>
            </w:pPr>
            <w:r w:rsidRPr="007703E3">
              <w:rPr>
                <w:lang w:val="es-ES_tradnl"/>
              </w:rPr>
              <w:t xml:space="preserve">–187,6 </w:t>
            </w:r>
            <w:proofErr w:type="spellStart"/>
            <w:r w:rsidRPr="007703E3">
              <w:rPr>
                <w:lang w:val="es-ES_tradnl"/>
              </w:rPr>
              <w:t>dBW</w:t>
            </w:r>
            <w:proofErr w:type="spellEnd"/>
            <w:r w:rsidRPr="007703E3">
              <w:rPr>
                <w:lang w:val="es-ES_tradnl"/>
              </w:rPr>
              <w:t xml:space="preserve"> </w:t>
            </w:r>
            <w:r>
              <w:rPr>
                <w:lang w:val="es-ES_tradnl"/>
              </w:rPr>
              <w:br/>
            </w:r>
            <w:r w:rsidRPr="007703E3">
              <w:rPr>
                <w:lang w:val="es-ES_tradnl"/>
              </w:rPr>
              <w:t>por 100 Hz</w:t>
            </w:r>
            <w:r w:rsidRPr="007703E3">
              <w:rPr>
                <w:position w:val="6"/>
                <w:sz w:val="14"/>
                <w:lang w:val="es-ES_tradnl"/>
              </w:rPr>
              <w:t>(2)</w:t>
            </w:r>
            <w:r w:rsidRPr="007703E3">
              <w:rPr>
                <w:lang w:val="es-ES_tradnl"/>
              </w:rPr>
              <w:t xml:space="preserve"> </w:t>
            </w:r>
            <w:r w:rsidRPr="007703E3">
              <w:rPr>
                <w:lang w:val="es-ES_tradnl"/>
              </w:rPr>
              <w:br/>
            </w:r>
            <w:r w:rsidRPr="007703E3">
              <w:rPr>
                <w:i/>
                <w:iCs/>
                <w:lang w:val="es-ES_tradnl"/>
              </w:rPr>
              <w:t>p</w:t>
            </w:r>
            <w:r w:rsidRPr="007703E3">
              <w:rPr>
                <w:lang w:val="es-ES_tradnl"/>
              </w:rPr>
              <w:t xml:space="preserve"> </w:t>
            </w:r>
            <w:r w:rsidRPr="007703E3">
              <w:rPr>
                <w:rFonts w:ascii="Symbol" w:hAnsi="Symbol"/>
                <w:lang w:val="es-ES_tradnl"/>
              </w:rPr>
              <w:t></w:t>
            </w:r>
            <w:r w:rsidRPr="007703E3">
              <w:rPr>
                <w:lang w:val="es-ES_tradnl"/>
              </w:rPr>
              <w:t xml:space="preserve"> 0,0025</w:t>
            </w:r>
          </w:p>
        </w:tc>
        <w:tc>
          <w:tcPr>
            <w:tcW w:w="1696" w:type="dxa"/>
            <w:tcBorders>
              <w:bottom w:val="single" w:sz="4" w:space="0" w:color="auto"/>
            </w:tcBorders>
          </w:tcPr>
          <w:p w:rsidR="007D238E" w:rsidRPr="007703E3" w:rsidRDefault="007D238E" w:rsidP="00B9587B">
            <w:pPr>
              <w:pStyle w:val="Tabletext"/>
              <w:jc w:val="center"/>
              <w:rPr>
                <w:lang w:val="es-ES_tradnl"/>
              </w:rPr>
            </w:pPr>
            <w:r w:rsidRPr="007703E3">
              <w:rPr>
                <w:lang w:val="es-ES_tradnl"/>
              </w:rPr>
              <w:t>–186,</w:t>
            </w:r>
            <w:r>
              <w:rPr>
                <w:lang w:val="es-ES_tradnl"/>
              </w:rPr>
              <w:t>7</w:t>
            </w:r>
            <w:r w:rsidRPr="007703E3">
              <w:rPr>
                <w:lang w:val="es-ES_tradnl"/>
              </w:rPr>
              <w:t xml:space="preserve"> </w:t>
            </w:r>
            <w:proofErr w:type="spellStart"/>
            <w:r w:rsidRPr="007703E3">
              <w:rPr>
                <w:lang w:val="es-ES_tradnl"/>
              </w:rPr>
              <w:t>dBW</w:t>
            </w:r>
            <w:proofErr w:type="spellEnd"/>
            <w:r w:rsidRPr="007703E3">
              <w:rPr>
                <w:lang w:val="es-ES_tradnl"/>
              </w:rPr>
              <w:t xml:space="preserve"> </w:t>
            </w:r>
            <w:r>
              <w:rPr>
                <w:lang w:val="es-ES_tradnl"/>
              </w:rPr>
              <w:br/>
            </w:r>
            <w:r w:rsidRPr="007703E3">
              <w:rPr>
                <w:lang w:val="es-ES_tradnl"/>
              </w:rPr>
              <w:t>por 100 Hz</w:t>
            </w:r>
            <w:r w:rsidRPr="007703E3">
              <w:rPr>
                <w:position w:val="6"/>
                <w:sz w:val="14"/>
                <w:lang w:val="es-ES_tradnl"/>
              </w:rPr>
              <w:t>(2)</w:t>
            </w:r>
            <w:r w:rsidRPr="007703E3">
              <w:rPr>
                <w:lang w:val="es-ES_tradnl"/>
              </w:rPr>
              <w:br/>
            </w:r>
            <w:r w:rsidRPr="007703E3">
              <w:rPr>
                <w:i/>
                <w:iCs/>
                <w:lang w:val="es-ES_tradnl"/>
              </w:rPr>
              <w:t>p</w:t>
            </w:r>
            <w:r w:rsidRPr="007703E3">
              <w:rPr>
                <w:lang w:val="es-ES_tradnl"/>
              </w:rPr>
              <w:t xml:space="preserve"> </w:t>
            </w:r>
            <w:r w:rsidRPr="007703E3">
              <w:rPr>
                <w:rFonts w:ascii="Symbol" w:hAnsi="Symbol"/>
                <w:lang w:val="es-ES_tradnl"/>
              </w:rPr>
              <w:t></w:t>
            </w:r>
            <w:r w:rsidRPr="007703E3">
              <w:rPr>
                <w:lang w:val="es-ES_tradnl"/>
              </w:rPr>
              <w:t xml:space="preserve"> 0,011</w:t>
            </w:r>
          </w:p>
        </w:tc>
      </w:tr>
      <w:tr w:rsidR="007D238E" w:rsidRPr="007703E3" w:rsidTr="00B9587B">
        <w:trPr>
          <w:cantSplit/>
          <w:jc w:val="center"/>
        </w:trPr>
        <w:tc>
          <w:tcPr>
            <w:tcW w:w="1555" w:type="dxa"/>
            <w:tcBorders>
              <w:bottom w:val="nil"/>
            </w:tcBorders>
          </w:tcPr>
          <w:p w:rsidR="007D238E" w:rsidRPr="007703E3" w:rsidRDefault="007D238E" w:rsidP="00B9587B">
            <w:pPr>
              <w:pStyle w:val="Tabletext"/>
              <w:jc w:val="center"/>
              <w:rPr>
                <w:lang w:val="es-ES_tradnl"/>
              </w:rPr>
            </w:pPr>
            <w:r w:rsidRPr="007703E3">
              <w:rPr>
                <w:lang w:val="es-ES_tradnl"/>
              </w:rPr>
              <w:t>460-470 espacio</w:t>
            </w:r>
            <w:r>
              <w:rPr>
                <w:lang w:val="es-ES_tradnl"/>
              </w:rPr>
              <w:noBreakHyphen/>
            </w:r>
            <w:r w:rsidRPr="007703E3">
              <w:rPr>
                <w:lang w:val="es-ES_tradnl"/>
              </w:rPr>
              <w:t>Tierra</w:t>
            </w:r>
          </w:p>
        </w:tc>
        <w:tc>
          <w:tcPr>
            <w:tcW w:w="1422" w:type="dxa"/>
            <w:tcBorders>
              <w:bottom w:val="nil"/>
            </w:tcBorders>
          </w:tcPr>
          <w:p w:rsidR="007D238E" w:rsidRPr="007703E3" w:rsidRDefault="007D238E" w:rsidP="00B9587B">
            <w:pPr>
              <w:pStyle w:val="Tabletext"/>
              <w:jc w:val="center"/>
              <w:rPr>
                <w:lang w:val="es-ES_tradnl"/>
              </w:rPr>
            </w:pPr>
            <w:r w:rsidRPr="007703E3">
              <w:rPr>
                <w:lang w:val="es-ES_tradnl"/>
              </w:rPr>
              <w:t>Estación</w:t>
            </w:r>
            <w:r>
              <w:rPr>
                <w:lang w:val="es-ES_tradnl"/>
              </w:rPr>
              <w:br/>
            </w:r>
            <w:r w:rsidRPr="007703E3">
              <w:rPr>
                <w:lang w:val="es-ES_tradnl"/>
              </w:rPr>
              <w:t>terrena</w:t>
            </w:r>
          </w:p>
        </w:tc>
        <w:tc>
          <w:tcPr>
            <w:tcW w:w="1701" w:type="dxa"/>
            <w:tcBorders>
              <w:bottom w:val="nil"/>
            </w:tcBorders>
          </w:tcPr>
          <w:p w:rsidR="007D238E" w:rsidRPr="007703E3" w:rsidRDefault="007D238E" w:rsidP="00B9587B">
            <w:pPr>
              <w:pStyle w:val="Tabletext"/>
              <w:jc w:val="center"/>
              <w:rPr>
                <w:lang w:val="es-ES_tradnl"/>
              </w:rPr>
            </w:pPr>
            <w:r w:rsidRPr="007703E3">
              <w:rPr>
                <w:lang w:val="es-ES_tradnl"/>
              </w:rPr>
              <w:t xml:space="preserve">–207,5 </w:t>
            </w:r>
            <w:proofErr w:type="spellStart"/>
            <w:r w:rsidRPr="007703E3">
              <w:rPr>
                <w:lang w:val="es-ES_tradnl"/>
              </w:rPr>
              <w:t>dBW</w:t>
            </w:r>
            <w:proofErr w:type="spellEnd"/>
            <w:r w:rsidRPr="007703E3">
              <w:rPr>
                <w:lang w:val="es-ES_tradnl"/>
              </w:rPr>
              <w:t xml:space="preserve"> </w:t>
            </w:r>
            <w:r>
              <w:rPr>
                <w:lang w:val="es-ES_tradnl"/>
              </w:rPr>
              <w:br/>
            </w:r>
            <w:r w:rsidRPr="007703E3">
              <w:rPr>
                <w:lang w:val="es-ES_tradnl"/>
              </w:rPr>
              <w:t xml:space="preserve">por </w:t>
            </w:r>
            <w:r>
              <w:rPr>
                <w:lang w:val="es-ES_tradnl"/>
              </w:rPr>
              <w:br/>
            </w:r>
            <w:r w:rsidRPr="007703E3">
              <w:rPr>
                <w:lang w:val="es-ES_tradnl"/>
              </w:rPr>
              <w:t>100 Hz</w:t>
            </w:r>
            <w:r w:rsidRPr="007703E3">
              <w:rPr>
                <w:position w:val="6"/>
                <w:sz w:val="14"/>
                <w:lang w:val="es-ES_tradnl"/>
              </w:rPr>
              <w:t>(1)</w:t>
            </w:r>
          </w:p>
        </w:tc>
        <w:tc>
          <w:tcPr>
            <w:tcW w:w="1559" w:type="dxa"/>
            <w:tcBorders>
              <w:bottom w:val="nil"/>
            </w:tcBorders>
          </w:tcPr>
          <w:p w:rsidR="007D238E" w:rsidRPr="007703E3" w:rsidRDefault="007D238E" w:rsidP="00B9587B">
            <w:pPr>
              <w:pStyle w:val="Tabletext"/>
              <w:jc w:val="center"/>
              <w:rPr>
                <w:lang w:val="es-ES_tradnl"/>
              </w:rPr>
            </w:pPr>
            <w:r w:rsidRPr="007703E3">
              <w:rPr>
                <w:lang w:val="es-ES_tradnl"/>
              </w:rPr>
              <w:t xml:space="preserve">–187,5 </w:t>
            </w:r>
            <w:proofErr w:type="spellStart"/>
            <w:r w:rsidRPr="007703E3">
              <w:rPr>
                <w:lang w:val="es-ES_tradnl"/>
              </w:rPr>
              <w:t>dBW</w:t>
            </w:r>
            <w:proofErr w:type="spellEnd"/>
            <w:r w:rsidRPr="007703E3">
              <w:rPr>
                <w:lang w:val="es-ES_tradnl"/>
              </w:rPr>
              <w:t xml:space="preserve"> </w:t>
            </w:r>
            <w:r>
              <w:rPr>
                <w:lang w:val="es-ES_tradnl"/>
              </w:rPr>
              <w:br/>
            </w:r>
            <w:r w:rsidRPr="007703E3">
              <w:rPr>
                <w:lang w:val="es-ES_tradnl"/>
              </w:rPr>
              <w:t xml:space="preserve">por </w:t>
            </w:r>
            <w:r>
              <w:rPr>
                <w:lang w:val="es-ES_tradnl"/>
              </w:rPr>
              <w:br/>
            </w:r>
            <w:r w:rsidRPr="007703E3">
              <w:rPr>
                <w:lang w:val="es-ES_tradnl"/>
              </w:rPr>
              <w:t>100 Hz</w:t>
            </w:r>
            <w:r w:rsidRPr="007703E3">
              <w:rPr>
                <w:position w:val="6"/>
                <w:sz w:val="14"/>
                <w:lang w:val="es-ES_tradnl"/>
              </w:rPr>
              <w:t>(1)</w:t>
            </w:r>
          </w:p>
        </w:tc>
        <w:tc>
          <w:tcPr>
            <w:tcW w:w="1701" w:type="dxa"/>
            <w:tcBorders>
              <w:bottom w:val="nil"/>
            </w:tcBorders>
          </w:tcPr>
          <w:p w:rsidR="007D238E" w:rsidRPr="007703E3" w:rsidRDefault="007D238E" w:rsidP="00B9587B">
            <w:pPr>
              <w:pStyle w:val="Tabletext"/>
              <w:jc w:val="center"/>
              <w:rPr>
                <w:lang w:val="es-ES_tradnl"/>
              </w:rPr>
            </w:pPr>
            <w:r w:rsidRPr="007703E3">
              <w:rPr>
                <w:lang w:val="es-ES_tradnl"/>
              </w:rPr>
              <w:t xml:space="preserve">–183,9 </w:t>
            </w:r>
            <w:proofErr w:type="spellStart"/>
            <w:r w:rsidRPr="007703E3">
              <w:rPr>
                <w:lang w:val="es-ES_tradnl"/>
              </w:rPr>
              <w:t>dBW</w:t>
            </w:r>
            <w:proofErr w:type="spellEnd"/>
            <w:r w:rsidRPr="007703E3">
              <w:rPr>
                <w:lang w:val="es-ES_tradnl"/>
              </w:rPr>
              <w:t xml:space="preserve"> </w:t>
            </w:r>
            <w:r>
              <w:rPr>
                <w:lang w:val="es-ES_tradnl"/>
              </w:rPr>
              <w:br/>
            </w:r>
            <w:r w:rsidRPr="007703E3">
              <w:rPr>
                <w:lang w:val="es-ES_tradnl"/>
              </w:rPr>
              <w:t>por 100 Hz</w:t>
            </w:r>
            <w:r w:rsidRPr="007703E3">
              <w:rPr>
                <w:position w:val="6"/>
                <w:sz w:val="14"/>
                <w:lang w:val="es-ES_tradnl"/>
              </w:rPr>
              <w:t>(2)</w:t>
            </w:r>
            <w:r w:rsidRPr="007703E3">
              <w:rPr>
                <w:lang w:val="es-ES_tradnl"/>
              </w:rPr>
              <w:t xml:space="preserve"> </w:t>
            </w:r>
            <w:r w:rsidRPr="007703E3">
              <w:rPr>
                <w:lang w:val="es-ES_tradnl"/>
              </w:rPr>
              <w:br/>
            </w:r>
            <w:r w:rsidRPr="007703E3">
              <w:rPr>
                <w:i/>
                <w:iCs/>
                <w:lang w:val="es-ES_tradnl"/>
              </w:rPr>
              <w:t>p</w:t>
            </w:r>
            <w:r w:rsidRPr="007703E3">
              <w:rPr>
                <w:lang w:val="es-ES_tradnl"/>
              </w:rPr>
              <w:t xml:space="preserve"> </w:t>
            </w:r>
            <w:r w:rsidRPr="007703E3">
              <w:rPr>
                <w:rFonts w:ascii="Symbol" w:hAnsi="Symbol"/>
                <w:lang w:val="es-ES_tradnl"/>
              </w:rPr>
              <w:t></w:t>
            </w:r>
            <w:r w:rsidRPr="007703E3">
              <w:rPr>
                <w:lang w:val="es-ES_tradnl"/>
              </w:rPr>
              <w:t xml:space="preserve"> 0,01</w:t>
            </w:r>
          </w:p>
        </w:tc>
        <w:tc>
          <w:tcPr>
            <w:tcW w:w="1696" w:type="dxa"/>
            <w:tcBorders>
              <w:bottom w:val="nil"/>
            </w:tcBorders>
          </w:tcPr>
          <w:p w:rsidR="007D238E" w:rsidRPr="007703E3" w:rsidRDefault="007D238E" w:rsidP="00B9587B">
            <w:pPr>
              <w:pStyle w:val="Tabletext"/>
              <w:jc w:val="center"/>
              <w:rPr>
                <w:lang w:val="es-ES_tradnl"/>
              </w:rPr>
            </w:pPr>
            <w:r w:rsidRPr="007703E3">
              <w:rPr>
                <w:lang w:val="es-ES_tradnl"/>
              </w:rPr>
              <w:t xml:space="preserve">–183 </w:t>
            </w:r>
            <w:proofErr w:type="spellStart"/>
            <w:r w:rsidRPr="007703E3">
              <w:rPr>
                <w:lang w:val="es-ES_tradnl"/>
              </w:rPr>
              <w:t>dBW</w:t>
            </w:r>
            <w:proofErr w:type="spellEnd"/>
            <w:r w:rsidRPr="007703E3">
              <w:rPr>
                <w:lang w:val="es-ES_tradnl"/>
              </w:rPr>
              <w:t xml:space="preserve"> </w:t>
            </w:r>
            <w:r>
              <w:rPr>
                <w:lang w:val="es-ES_tradnl"/>
              </w:rPr>
              <w:br/>
            </w:r>
            <w:r w:rsidRPr="007703E3">
              <w:rPr>
                <w:lang w:val="es-ES_tradnl"/>
              </w:rPr>
              <w:t>por 100 Hz</w:t>
            </w:r>
            <w:r w:rsidRPr="007703E3">
              <w:rPr>
                <w:position w:val="6"/>
                <w:sz w:val="14"/>
                <w:lang w:val="es-ES_tradnl"/>
              </w:rPr>
              <w:t>(2)</w:t>
            </w:r>
            <w:r w:rsidRPr="007703E3">
              <w:rPr>
                <w:lang w:val="es-ES_tradnl"/>
              </w:rPr>
              <w:t xml:space="preserve"> </w:t>
            </w:r>
            <w:r w:rsidRPr="007703E3">
              <w:rPr>
                <w:lang w:val="es-ES_tradnl"/>
              </w:rPr>
              <w:br/>
            </w:r>
            <w:r w:rsidRPr="007703E3">
              <w:rPr>
                <w:i/>
                <w:iCs/>
                <w:lang w:val="es-ES_tradnl"/>
              </w:rPr>
              <w:t>p</w:t>
            </w:r>
            <w:r w:rsidRPr="007703E3">
              <w:rPr>
                <w:lang w:val="es-ES_tradnl"/>
              </w:rPr>
              <w:t xml:space="preserve"> </w:t>
            </w:r>
            <w:r w:rsidRPr="007703E3">
              <w:rPr>
                <w:rFonts w:ascii="Symbol" w:hAnsi="Symbol"/>
                <w:lang w:val="es-ES_tradnl"/>
              </w:rPr>
              <w:t></w:t>
            </w:r>
            <w:r w:rsidRPr="007703E3">
              <w:rPr>
                <w:lang w:val="es-ES_tradnl"/>
              </w:rPr>
              <w:t xml:space="preserve"> 0,045</w:t>
            </w:r>
          </w:p>
        </w:tc>
      </w:tr>
    </w:tbl>
    <w:tbl>
      <w:tblPr>
        <w:tblStyle w:val="TableGrid"/>
        <w:tblW w:w="0" w:type="auto"/>
        <w:jc w:val="center"/>
        <w:tblLayout w:type="fixed"/>
        <w:tblLook w:val="04A0" w:firstRow="1" w:lastRow="0" w:firstColumn="1" w:lastColumn="0" w:noHBand="0" w:noVBand="1"/>
      </w:tblPr>
      <w:tblGrid>
        <w:gridCol w:w="9639"/>
      </w:tblGrid>
      <w:tr w:rsidR="007D238E" w:rsidRPr="007703E3" w:rsidTr="00B9587B">
        <w:trPr>
          <w:jc w:val="center"/>
        </w:trPr>
        <w:tc>
          <w:tcPr>
            <w:tcW w:w="9639" w:type="dxa"/>
            <w:tcBorders>
              <w:left w:val="nil"/>
              <w:bottom w:val="nil"/>
              <w:right w:val="nil"/>
            </w:tcBorders>
          </w:tcPr>
          <w:p w:rsidR="007D238E" w:rsidRPr="00CD03EA" w:rsidRDefault="007D238E" w:rsidP="00B9587B">
            <w:pPr>
              <w:pStyle w:val="Tablelegend"/>
              <w:rPr>
                <w:lang w:val="es-ES_tradnl"/>
              </w:rPr>
            </w:pPr>
            <w:r w:rsidRPr="00FD3E7D">
              <w:rPr>
                <w:position w:val="6"/>
                <w:sz w:val="14"/>
                <w:lang w:val="es-ES_tradnl"/>
              </w:rPr>
              <w:t>(1)</w:t>
            </w:r>
            <w:r w:rsidRPr="00CD03EA">
              <w:rPr>
                <w:lang w:val="es-ES_tradnl"/>
              </w:rPr>
              <w:tab/>
              <w:t>La potencia de la señal interferente (</w:t>
            </w:r>
            <w:proofErr w:type="spellStart"/>
            <w:r w:rsidRPr="00CD03EA">
              <w:rPr>
                <w:lang w:val="es-ES_tradnl"/>
              </w:rPr>
              <w:t>dBW</w:t>
            </w:r>
            <w:proofErr w:type="spellEnd"/>
            <w:r w:rsidRPr="00CD03EA">
              <w:rPr>
                <w:lang w:val="es-ES_tradnl"/>
              </w:rPr>
              <w:t>) en el ancho de banda de referencia se da para una recepción con ángulos de elevación superiores a 5</w:t>
            </w:r>
            <w:r w:rsidRPr="00CD03EA">
              <w:rPr>
                <w:rFonts w:ascii="Symbol" w:hAnsi="Symbol"/>
                <w:lang w:val="es-ES_tradnl"/>
              </w:rPr>
              <w:t></w:t>
            </w:r>
            <w:r w:rsidRPr="00CD03EA">
              <w:rPr>
                <w:lang w:val="es-ES_tradnl"/>
              </w:rPr>
              <w:t>.</w:t>
            </w:r>
          </w:p>
          <w:p w:rsidR="007D238E" w:rsidRPr="00CD03EA" w:rsidRDefault="007D238E" w:rsidP="00B9587B">
            <w:pPr>
              <w:pStyle w:val="Tablelegend"/>
              <w:rPr>
                <w:lang w:val="es-ES_tradnl"/>
              </w:rPr>
            </w:pPr>
            <w:r w:rsidRPr="00FD3E7D">
              <w:rPr>
                <w:position w:val="6"/>
                <w:sz w:val="14"/>
                <w:lang w:val="es-ES_tradnl"/>
              </w:rPr>
              <w:t>(2)</w:t>
            </w:r>
            <w:r w:rsidRPr="00CD03EA">
              <w:rPr>
                <w:lang w:val="es-ES_tradnl"/>
              </w:rPr>
              <w:tab/>
              <w:t>La potencia de la señal interferente (</w:t>
            </w:r>
            <w:proofErr w:type="spellStart"/>
            <w:r w:rsidRPr="00CD03EA">
              <w:rPr>
                <w:lang w:val="es-ES_tradnl"/>
              </w:rPr>
              <w:t>dBW</w:t>
            </w:r>
            <w:proofErr w:type="spellEnd"/>
            <w:r w:rsidRPr="00CD03EA">
              <w:rPr>
                <w:lang w:val="es-ES_tradnl"/>
              </w:rPr>
              <w:t>) en el ancho de banda de referencia se da para una recepción con ángulos de elevación superiores a 3</w:t>
            </w:r>
            <w:r w:rsidRPr="00CD03EA">
              <w:rPr>
                <w:rFonts w:ascii="Symbol" w:hAnsi="Symbol"/>
                <w:lang w:val="es-ES_tradnl"/>
              </w:rPr>
              <w:t></w:t>
            </w:r>
            <w:r w:rsidRPr="00CD03EA">
              <w:rPr>
                <w:lang w:val="es-ES_tradnl"/>
              </w:rPr>
              <w:t>.</w:t>
            </w:r>
          </w:p>
          <w:p w:rsidR="007D238E" w:rsidRPr="007703E3" w:rsidRDefault="007D238E" w:rsidP="00B9587B">
            <w:pPr>
              <w:pStyle w:val="Tablelegend"/>
              <w:rPr>
                <w:lang w:val="es-ES_tradnl"/>
              </w:rPr>
            </w:pPr>
            <w:r w:rsidRPr="00FD3E7D">
              <w:rPr>
                <w:position w:val="6"/>
                <w:sz w:val="14"/>
                <w:lang w:val="es-ES_tradnl"/>
              </w:rPr>
              <w:t>(3)</w:t>
            </w:r>
            <w:r w:rsidRPr="00CD03EA">
              <w:rPr>
                <w:lang w:val="es-ES_tradnl"/>
              </w:rPr>
              <w:tab/>
              <w:t>Estos valores representan múltiples fuentes de interferencia en el sentido espacio-espacio. Véase el Anexo</w:t>
            </w:r>
            <w:r>
              <w:rPr>
                <w:lang w:val="es-ES_tradnl"/>
              </w:rPr>
              <w:t> </w:t>
            </w:r>
            <w:r w:rsidRPr="00CD03EA">
              <w:rPr>
                <w:lang w:val="es-ES_tradnl"/>
              </w:rPr>
              <w:t>2.</w:t>
            </w:r>
          </w:p>
        </w:tc>
      </w:tr>
      <w:tr w:rsidR="007D238E" w:rsidRPr="007D238E" w:rsidTr="00B9587B">
        <w:tblPrEx>
          <w:jc w:val="left"/>
        </w:tblPrEx>
        <w:tc>
          <w:tcPr>
            <w:tcW w:w="9639" w:type="dxa"/>
            <w:tcBorders>
              <w:top w:val="nil"/>
              <w:left w:val="nil"/>
              <w:bottom w:val="nil"/>
              <w:right w:val="nil"/>
            </w:tcBorders>
          </w:tcPr>
          <w:p w:rsidR="007D238E" w:rsidRPr="00CD03EA" w:rsidRDefault="007D238E" w:rsidP="00B9587B">
            <w:pPr>
              <w:pStyle w:val="TableLegend0"/>
              <w:keepLines/>
              <w:spacing w:before="120" w:line="240" w:lineRule="auto"/>
              <w:rPr>
                <w:i/>
                <w:iCs/>
                <w:sz w:val="22"/>
                <w:szCs w:val="22"/>
                <w:lang w:val="es-ES_tradnl"/>
              </w:rPr>
            </w:pPr>
            <w:r w:rsidRPr="00CD03EA">
              <w:rPr>
                <w:i/>
                <w:iCs/>
                <w:sz w:val="22"/>
                <w:szCs w:val="22"/>
                <w:lang w:val="es-ES_tradnl"/>
              </w:rPr>
              <w:lastRenderedPageBreak/>
              <w:t>Notas relativas al Cuadro 1:</w:t>
            </w:r>
          </w:p>
          <w:p w:rsidR="007D238E" w:rsidRPr="00CD03EA" w:rsidRDefault="007D238E" w:rsidP="00B9587B">
            <w:pPr>
              <w:pStyle w:val="TableLegend0"/>
              <w:keepNext w:val="0"/>
              <w:spacing w:line="240" w:lineRule="auto"/>
              <w:rPr>
                <w:sz w:val="22"/>
                <w:szCs w:val="22"/>
                <w:lang w:val="es-ES_tradnl"/>
              </w:rPr>
            </w:pPr>
            <w:r w:rsidRPr="00CD03EA">
              <w:rPr>
                <w:sz w:val="22"/>
                <w:szCs w:val="22"/>
                <w:lang w:val="es-ES_tradnl"/>
              </w:rPr>
              <w:t>NOTA 1 – Los umbrales de potencia de señal interferente de una sola fuente en este Cuadro 1 son los niveles admisibles de potencia de señal interferente que caen dentro del ancho de banda de referencia especificado. En consecuencia, la potencia total de las señales</w:t>
            </w:r>
            <w:r>
              <w:rPr>
                <w:sz w:val="22"/>
                <w:szCs w:val="22"/>
                <w:lang w:val="es-ES_tradnl"/>
              </w:rPr>
              <w:t xml:space="preserve"> </w:t>
            </w:r>
            <w:r w:rsidRPr="00CD03EA">
              <w:rPr>
                <w:sz w:val="22"/>
                <w:szCs w:val="22"/>
                <w:lang w:val="es-ES_tradnl"/>
              </w:rPr>
              <w:t>interferentes cuyo ancho de banda es menor que el ancho de banda de referencia debe considerarse en los análisis de compartición de frecuencias. Cuando el ancho de banda de la señal interferente es mayor que el ancho de banda de referencia o no cubre totalmente la banda de paso del receptor específico sometido a estudio, debe aplicarse el rechazo dependiente de la frecuencia disponible junto con los niveles de interferencia admisibles especificados. En las Recomendaciones UIT-R pertinentes de la Serie SM figuran orientaciones sobre este tema.</w:t>
            </w:r>
          </w:p>
          <w:p w:rsidR="007D238E" w:rsidRPr="00CD03EA" w:rsidRDefault="007D238E" w:rsidP="00B9587B">
            <w:pPr>
              <w:pStyle w:val="TableLegend0"/>
              <w:keepNext w:val="0"/>
              <w:spacing w:line="240" w:lineRule="auto"/>
              <w:rPr>
                <w:sz w:val="22"/>
                <w:szCs w:val="22"/>
                <w:lang w:val="es-ES_tradnl"/>
              </w:rPr>
            </w:pPr>
            <w:r w:rsidRPr="00CD03EA">
              <w:rPr>
                <w:sz w:val="22"/>
                <w:szCs w:val="22"/>
                <w:lang w:val="es-ES_tradnl"/>
              </w:rPr>
              <w:t xml:space="preserve">NOTA 2 – Los criterios de compartición pueden expresarse en forma de </w:t>
            </w:r>
            <w:proofErr w:type="spellStart"/>
            <w:r w:rsidRPr="00CD03EA">
              <w:rPr>
                <w:sz w:val="22"/>
                <w:szCs w:val="22"/>
                <w:lang w:val="es-ES_tradnl"/>
              </w:rPr>
              <w:t>dfp</w:t>
            </w:r>
            <w:proofErr w:type="spellEnd"/>
            <w:r w:rsidRPr="00CD03EA">
              <w:rPr>
                <w:sz w:val="22"/>
                <w:szCs w:val="22"/>
                <w:lang w:val="es-ES_tradnl"/>
              </w:rPr>
              <w:t xml:space="preserve"> admisible en el haz principal de</w:t>
            </w:r>
            <w:r>
              <w:rPr>
                <w:sz w:val="22"/>
                <w:szCs w:val="22"/>
                <w:lang w:val="es-ES_tradnl"/>
              </w:rPr>
              <w:t xml:space="preserve"> </w:t>
            </w:r>
            <w:r w:rsidRPr="00CD03EA">
              <w:rPr>
                <w:sz w:val="22"/>
                <w:szCs w:val="22"/>
                <w:lang w:val="es-ES_tradnl"/>
              </w:rPr>
              <w:t>la antena receptora, restando 10 log (</w:t>
            </w:r>
            <w:r w:rsidRPr="00BC1B72">
              <w:rPr>
                <w:i/>
                <w:iCs/>
                <w:sz w:val="22"/>
                <w:szCs w:val="22"/>
                <w:lang w:val="es-ES"/>
              </w:rPr>
              <w:t xml:space="preserve">G </w:t>
            </w:r>
            <w:r w:rsidRPr="00BC1B72">
              <w:rPr>
                <w:sz w:val="22"/>
                <w:szCs w:val="22"/>
                <w:lang w:val="fr-FR"/>
              </w:rPr>
              <w:sym w:font="Symbol" w:char="F06C"/>
            </w:r>
            <w:r w:rsidRPr="00BC1B72">
              <w:rPr>
                <w:position w:val="6"/>
                <w:sz w:val="14"/>
                <w:szCs w:val="14"/>
                <w:lang w:val="es-ES"/>
              </w:rPr>
              <w:t>2</w:t>
            </w:r>
            <w:r w:rsidRPr="00BC1B72">
              <w:rPr>
                <w:sz w:val="22"/>
                <w:szCs w:val="22"/>
                <w:lang w:val="es-ES"/>
              </w:rPr>
              <w:t>/4</w:t>
            </w:r>
            <w:r w:rsidRPr="00BC1B72">
              <w:rPr>
                <w:sz w:val="22"/>
                <w:szCs w:val="22"/>
                <w:lang w:val="fr-FR"/>
              </w:rPr>
              <w:sym w:font="Symbol" w:char="F070"/>
            </w:r>
            <w:r w:rsidRPr="00CD03EA">
              <w:rPr>
                <w:sz w:val="22"/>
                <w:szCs w:val="22"/>
                <w:lang w:val="es-ES_tradnl"/>
              </w:rPr>
              <w:t xml:space="preserve">) a los valores del Cuadro 1, donde </w:t>
            </w:r>
            <w:r w:rsidRPr="00CD03EA">
              <w:rPr>
                <w:i/>
                <w:iCs/>
                <w:sz w:val="22"/>
                <w:szCs w:val="22"/>
                <w:lang w:val="es-ES_tradnl"/>
              </w:rPr>
              <w:t>G</w:t>
            </w:r>
            <w:r w:rsidRPr="00CD03EA">
              <w:rPr>
                <w:sz w:val="22"/>
                <w:szCs w:val="22"/>
                <w:lang w:val="es-ES_tradnl"/>
              </w:rPr>
              <w:t xml:space="preserve"> es la ganancia de la antena y </w:t>
            </w:r>
            <w:r w:rsidRPr="00CD03EA">
              <w:rPr>
                <w:sz w:val="22"/>
                <w:szCs w:val="22"/>
                <w:lang w:val="es-ES_tradnl"/>
              </w:rPr>
              <w:sym w:font="Symbol" w:char="F06C"/>
            </w:r>
            <w:r w:rsidRPr="00CD03EA">
              <w:rPr>
                <w:sz w:val="22"/>
                <w:szCs w:val="22"/>
                <w:lang w:val="es-ES_tradnl"/>
              </w:rPr>
              <w:t xml:space="preserve"> la longitud de onda.</w:t>
            </w:r>
          </w:p>
          <w:p w:rsidR="007D238E" w:rsidRPr="00CD03EA" w:rsidRDefault="007D238E" w:rsidP="00B9587B">
            <w:pPr>
              <w:pStyle w:val="TableLegend0"/>
              <w:keepNext w:val="0"/>
              <w:spacing w:line="240" w:lineRule="auto"/>
              <w:rPr>
                <w:sz w:val="22"/>
                <w:szCs w:val="22"/>
                <w:lang w:val="es-ES_tradnl"/>
              </w:rPr>
            </w:pPr>
            <w:r w:rsidRPr="00CD03EA">
              <w:rPr>
                <w:sz w:val="22"/>
                <w:szCs w:val="22"/>
                <w:lang w:val="es-ES_tradnl"/>
              </w:rPr>
              <w:t>NOTA 3 – Para obtener los criterios de compartición anteriores a partir de los niveles admisibles de potencia total de la señal interferente no se ha tenido en cuenta la interferencia producida por las emisiones no esenciales.</w:t>
            </w:r>
          </w:p>
          <w:p w:rsidR="007D238E" w:rsidRPr="00CD03EA" w:rsidRDefault="007D238E" w:rsidP="00B9587B">
            <w:pPr>
              <w:pStyle w:val="TableLegend0"/>
              <w:keepNext w:val="0"/>
              <w:spacing w:line="240" w:lineRule="auto"/>
              <w:rPr>
                <w:sz w:val="22"/>
                <w:szCs w:val="22"/>
                <w:lang w:val="es-ES_tradnl"/>
              </w:rPr>
            </w:pPr>
            <w:r w:rsidRPr="00CD03EA">
              <w:rPr>
                <w:sz w:val="22"/>
                <w:szCs w:val="22"/>
                <w:lang w:val="es-ES_tradnl"/>
              </w:rPr>
              <w:t xml:space="preserve">NOTA 4 – El nivel especificado de potencia de la señal interferente procedente de una sola fuente puede convertirse directamente a valores equivalentes de </w:t>
            </w:r>
            <w:proofErr w:type="spellStart"/>
            <w:r w:rsidRPr="00CD03EA">
              <w:rPr>
                <w:sz w:val="22"/>
                <w:szCs w:val="22"/>
                <w:lang w:val="es-ES_tradnl"/>
              </w:rPr>
              <w:t>dfp</w:t>
            </w:r>
            <w:proofErr w:type="spellEnd"/>
            <w:r w:rsidRPr="00CD03EA">
              <w:rPr>
                <w:sz w:val="22"/>
                <w:szCs w:val="22"/>
                <w:lang w:val="es-ES_tradnl"/>
              </w:rPr>
              <w:t xml:space="preserve"> y aplicarse como esos valores únicamente en el caso de estaciones terrenas que utilizan antenas de baja ganancia sin seguimiento.</w:t>
            </w:r>
          </w:p>
          <w:p w:rsidR="007D238E" w:rsidRPr="00CD03EA" w:rsidRDefault="007D238E" w:rsidP="00B9587B">
            <w:pPr>
              <w:pStyle w:val="TableLegend0"/>
              <w:keepNext w:val="0"/>
              <w:spacing w:line="240" w:lineRule="auto"/>
              <w:rPr>
                <w:sz w:val="22"/>
                <w:szCs w:val="22"/>
                <w:lang w:val="es-ES_tradnl"/>
              </w:rPr>
            </w:pPr>
            <w:r w:rsidRPr="00CD03EA">
              <w:rPr>
                <w:sz w:val="22"/>
                <w:szCs w:val="22"/>
                <w:lang w:val="es-ES_tradnl"/>
              </w:rPr>
              <w:t>NOTA 5 – Para que la interferencia tenga un nivel igual o inferior al admisible deben cumplirse los criterios de compartición a largo plazo (20% del tiempo) y a corto plazo (menos del 1% del tiempo).</w:t>
            </w:r>
          </w:p>
          <w:p w:rsidR="007D238E" w:rsidRPr="007703E3" w:rsidRDefault="007D238E" w:rsidP="00B9587B">
            <w:pPr>
              <w:pStyle w:val="TableLegend0"/>
              <w:keepNext w:val="0"/>
              <w:tabs>
                <w:tab w:val="left" w:pos="273"/>
              </w:tabs>
              <w:spacing w:before="120" w:line="240" w:lineRule="auto"/>
              <w:rPr>
                <w:position w:val="6"/>
                <w:sz w:val="14"/>
                <w:lang w:val="es-ES_tradnl"/>
              </w:rPr>
            </w:pPr>
            <w:r w:rsidRPr="00CD03EA">
              <w:rPr>
                <w:sz w:val="22"/>
                <w:szCs w:val="22"/>
                <w:lang w:val="es-ES_tradnl"/>
              </w:rPr>
              <w:t>NOTA 6 – Los criterios de compartición especificados para los trayectos de señales terrenales interferentes son aplicables a las estaciones en tierra. Los criterios para los trayectos de las señales interferentes espacio-Tierra también pueden aplicarse a los trayectos aire-superficie.</w:t>
            </w:r>
          </w:p>
        </w:tc>
      </w:tr>
    </w:tbl>
    <w:p w:rsidR="007D238E" w:rsidRDefault="007D238E" w:rsidP="007D238E">
      <w:pPr>
        <w:pStyle w:val="Tablefin"/>
        <w:rPr>
          <w:lang w:val="es-ES_tradnl"/>
        </w:rPr>
      </w:pPr>
    </w:p>
    <w:p w:rsidR="00815DF3" w:rsidRPr="00815DF3" w:rsidRDefault="00815DF3" w:rsidP="00815DF3">
      <w:pPr>
        <w:rPr>
          <w:lang w:val="es-ES_tradnl"/>
        </w:rPr>
      </w:pPr>
    </w:p>
    <w:p w:rsidR="007D238E" w:rsidRPr="007703E3" w:rsidRDefault="007D238E" w:rsidP="007D238E">
      <w:pPr>
        <w:pStyle w:val="AnnexNoTitle"/>
        <w:rPr>
          <w:lang w:val="es-ES_tradnl"/>
        </w:rPr>
      </w:pPr>
      <w:r w:rsidRPr="007703E3">
        <w:rPr>
          <w:lang w:val="es-ES_tradnl"/>
        </w:rPr>
        <w:t>Anexo 1</w:t>
      </w:r>
      <w:r w:rsidRPr="007703E3">
        <w:rPr>
          <w:lang w:val="es-ES_tradnl"/>
        </w:rPr>
        <w:br/>
      </w:r>
      <w:r w:rsidRPr="007703E3">
        <w:rPr>
          <w:lang w:val="es-ES_tradnl"/>
        </w:rPr>
        <w:br/>
        <w:t>Bases para los criterios de compartición y coordinación</w:t>
      </w:r>
    </w:p>
    <w:p w:rsidR="007D238E" w:rsidRPr="007703E3" w:rsidRDefault="007D238E" w:rsidP="007D238E">
      <w:pPr>
        <w:pStyle w:val="Heading1"/>
        <w:rPr>
          <w:lang w:val="es-ES_tradnl"/>
        </w:rPr>
      </w:pPr>
      <w:r w:rsidRPr="007703E3">
        <w:rPr>
          <w:lang w:val="es-ES_tradnl"/>
        </w:rPr>
        <w:t>1</w:t>
      </w:r>
      <w:r w:rsidRPr="007703E3">
        <w:rPr>
          <w:lang w:val="es-ES_tradnl"/>
        </w:rPr>
        <w:tab/>
        <w:t>Introducción</w:t>
      </w:r>
    </w:p>
    <w:p w:rsidR="007D238E" w:rsidRPr="007703E3" w:rsidRDefault="007D238E" w:rsidP="007D238E">
      <w:pPr>
        <w:rPr>
          <w:lang w:val="es-ES_tradnl"/>
        </w:rPr>
      </w:pPr>
      <w:r w:rsidRPr="007703E3">
        <w:rPr>
          <w:lang w:val="es-ES_tradnl"/>
        </w:rPr>
        <w:t>Este Anexo presenta la aplicación de la Recomendación UIT-R SA.1023 utilizando los criterios de interferencia a los que se llega en la Recomendación UIT-R SA.1163. Los niveles de interferencia admisible se dividen, de acuerdo con la Recomendación UIT-R SA.1023, en las categorías espacial y terrenal y, posteriormente, en el número de fuentes de interferencia que cabe prever dentro de cada categoría. En el Cuadro 2 se indican las bases de esta división y en los puntos siguientes se examina brevemente el entorno de interferencia en cada banda.</w:t>
      </w:r>
    </w:p>
    <w:p w:rsidR="007D238E" w:rsidRPr="007703E3" w:rsidRDefault="007D238E" w:rsidP="007D238E">
      <w:pPr>
        <w:pStyle w:val="Heading1"/>
        <w:rPr>
          <w:lang w:val="es-ES_tradnl"/>
        </w:rPr>
      </w:pPr>
      <w:r w:rsidRPr="007703E3">
        <w:rPr>
          <w:lang w:val="es-ES_tradnl"/>
        </w:rPr>
        <w:t>2</w:t>
      </w:r>
      <w:r w:rsidRPr="007703E3">
        <w:rPr>
          <w:lang w:val="es-ES_tradnl"/>
        </w:rPr>
        <w:tab/>
        <w:t>Banda 401-403 MHz</w:t>
      </w:r>
    </w:p>
    <w:p w:rsidR="007D238E" w:rsidRPr="007703E3" w:rsidRDefault="007D238E" w:rsidP="007D238E">
      <w:pPr>
        <w:rPr>
          <w:lang w:val="es-ES_tradnl"/>
        </w:rPr>
      </w:pPr>
      <w:r w:rsidRPr="007703E3">
        <w:rPr>
          <w:lang w:val="es-ES_tradnl"/>
        </w:rPr>
        <w:t>La banda 401-402 MHz está atribuida a los servicios de ayudas a la meteorología, de operaciones espaciales (sentido espacio-Tierra), de exploración de la Tierra por satélite (Tierra</w:t>
      </w:r>
      <w:r w:rsidRPr="007703E3">
        <w:rPr>
          <w:lang w:val="es-ES_tradnl"/>
        </w:rPr>
        <w:noBreakHyphen/>
        <w:t xml:space="preserve">espacio) y de meteorología por satélite (Tierra-espacio) a título primario, y a los servicios fijo y móvil </w:t>
      </w:r>
      <w:r w:rsidRPr="007703E3">
        <w:rPr>
          <w:szCs w:val="24"/>
          <w:lang w:val="es-ES_tradnl"/>
        </w:rPr>
        <w:t>(salvo móvil aeronáutico) a título secundario</w:t>
      </w:r>
      <w:r w:rsidRPr="007703E3">
        <w:rPr>
          <w:lang w:val="es-ES_tradnl"/>
        </w:rPr>
        <w:t>. En el marco de esta banda, las atribuciones a los servicios espaciales en ambos sentidos deben tener en cuenta la interferencia que puede surgir en el sentido espacio</w:t>
      </w:r>
      <w:r w:rsidRPr="007703E3">
        <w:rPr>
          <w:lang w:val="es-ES_tradnl"/>
        </w:rPr>
        <w:noBreakHyphen/>
        <w:t>espacio. Este caso se aborda con mayor detenimiento en el Anexo 2.</w:t>
      </w:r>
    </w:p>
    <w:p w:rsidR="007D238E" w:rsidRPr="007703E3" w:rsidRDefault="007D238E" w:rsidP="007D238E">
      <w:pPr>
        <w:rPr>
          <w:lang w:val="es-ES_tradnl"/>
        </w:rPr>
      </w:pPr>
      <w:r w:rsidRPr="007703E3">
        <w:rPr>
          <w:lang w:val="es-ES_tradnl"/>
        </w:rPr>
        <w:lastRenderedPageBreak/>
        <w:t>La banda 402-403 MHz está atribuida a las ayudas a la meteorología, el SETS (Tierra-espacio) y el</w:t>
      </w:r>
      <w:r w:rsidRPr="007703E3">
        <w:rPr>
          <w:szCs w:val="24"/>
          <w:lang w:val="es-ES_tradnl"/>
        </w:rPr>
        <w:t> </w:t>
      </w:r>
      <w:proofErr w:type="spellStart"/>
      <w:r w:rsidRPr="007703E3">
        <w:rPr>
          <w:lang w:val="es-ES_tradnl"/>
        </w:rPr>
        <w:t>MetSat</w:t>
      </w:r>
      <w:proofErr w:type="spellEnd"/>
      <w:r w:rsidRPr="007703E3">
        <w:rPr>
          <w:lang w:val="es-ES_tradnl"/>
        </w:rPr>
        <w:t xml:space="preserve"> (Tierra-espacio)</w:t>
      </w:r>
      <w:r w:rsidRPr="007703E3">
        <w:rPr>
          <w:szCs w:val="24"/>
          <w:lang w:val="es-ES_tradnl"/>
        </w:rPr>
        <w:t xml:space="preserve"> a título primario y a los servicios</w:t>
      </w:r>
      <w:r w:rsidRPr="007703E3">
        <w:rPr>
          <w:lang w:val="es-ES_tradnl"/>
        </w:rPr>
        <w:t xml:space="preserve"> fijo y móvil </w:t>
      </w:r>
      <w:r w:rsidRPr="007703E3">
        <w:rPr>
          <w:szCs w:val="24"/>
          <w:lang w:val="es-ES_tradnl"/>
        </w:rPr>
        <w:t>(salvo móvil aeronáutico) a título secundario</w:t>
      </w:r>
      <w:r w:rsidRPr="007703E3">
        <w:rPr>
          <w:lang w:val="es-ES_tradnl"/>
        </w:rPr>
        <w:t>.</w:t>
      </w:r>
    </w:p>
    <w:p w:rsidR="007D238E" w:rsidRPr="007703E3" w:rsidRDefault="007D238E" w:rsidP="007D238E">
      <w:pPr>
        <w:rPr>
          <w:lang w:val="es-ES_tradnl"/>
        </w:rPr>
      </w:pPr>
      <w:r w:rsidRPr="007703E3">
        <w:rPr>
          <w:lang w:val="es-ES_tradnl"/>
        </w:rPr>
        <w:t xml:space="preserve">La mayoría del tiempo, cabe esperar que las estaciones de los servicios de exploración de la Tierra por satélite y </w:t>
      </w:r>
      <w:proofErr w:type="spellStart"/>
      <w:r w:rsidRPr="007703E3">
        <w:rPr>
          <w:lang w:val="es-ES_tradnl"/>
        </w:rPr>
        <w:t>MetSat</w:t>
      </w:r>
      <w:proofErr w:type="spellEnd"/>
      <w:r w:rsidRPr="007703E3">
        <w:rPr>
          <w:lang w:val="es-ES_tradnl"/>
        </w:rPr>
        <w:t xml:space="preserve"> produzcan niveles de interferencia más elevados que las de los servicios terrenales. A corto plazo, las mejoras de propagación en los trayectos de interferencia terrenales y la variación en el emplazamiento de las estaciones móviles pueden provocar niveles de interferencia similares a los procedentes de los trayectos espacio-Tierra y las estaciones terrenales.</w:t>
      </w:r>
    </w:p>
    <w:p w:rsidR="007D238E" w:rsidRPr="007703E3" w:rsidRDefault="007D238E" w:rsidP="007D238E">
      <w:pPr>
        <w:pStyle w:val="Heading1"/>
        <w:rPr>
          <w:lang w:val="es-ES_tradnl"/>
        </w:rPr>
      </w:pPr>
      <w:r w:rsidRPr="007703E3">
        <w:rPr>
          <w:lang w:val="es-ES_tradnl"/>
        </w:rPr>
        <w:t>3</w:t>
      </w:r>
      <w:r w:rsidRPr="007703E3">
        <w:rPr>
          <w:lang w:val="es-ES_tradnl"/>
        </w:rPr>
        <w:tab/>
        <w:t>Banda 460-470 MHz</w:t>
      </w:r>
    </w:p>
    <w:p w:rsidR="007D238E" w:rsidRPr="007703E3" w:rsidRDefault="007D238E" w:rsidP="007D238E">
      <w:pPr>
        <w:rPr>
          <w:lang w:val="es-ES_tradnl"/>
        </w:rPr>
      </w:pPr>
      <w:r w:rsidRPr="007703E3">
        <w:rPr>
          <w:lang w:val="es-ES_tradnl"/>
        </w:rPr>
        <w:t>La banda 460-470 MHz está atribuida a los servicios móvil</w:t>
      </w:r>
      <w:r w:rsidRPr="007703E3">
        <w:rPr>
          <w:szCs w:val="24"/>
          <w:lang w:val="es-ES_tradnl"/>
        </w:rPr>
        <w:t xml:space="preserve"> y fijo a título primario</w:t>
      </w:r>
      <w:r w:rsidRPr="007703E3">
        <w:rPr>
          <w:lang w:val="es-ES_tradnl"/>
        </w:rPr>
        <w:t xml:space="preserve"> y al servicio</w:t>
      </w:r>
      <w:r w:rsidRPr="007703E3">
        <w:rPr>
          <w:szCs w:val="24"/>
          <w:lang w:val="es-ES_tradnl"/>
        </w:rPr>
        <w:t xml:space="preserve"> de meteorología por satélite</w:t>
      </w:r>
      <w:r w:rsidRPr="007703E3">
        <w:rPr>
          <w:lang w:val="es-ES_tradnl"/>
        </w:rPr>
        <w:t>. La mayor parte del tiempo la interferencia procederá de las estaciones terrenales. Durante breves periodos de tiempo cabe esperar la aparición de fuentes de interferencia adicional procedentes de los sistemas espaciales.</w:t>
      </w:r>
    </w:p>
    <w:p w:rsidR="007D238E" w:rsidRPr="007703E3" w:rsidRDefault="007D238E" w:rsidP="007D238E">
      <w:pPr>
        <w:pStyle w:val="Heading1"/>
        <w:rPr>
          <w:lang w:val="es-ES_tradnl"/>
        </w:rPr>
      </w:pPr>
      <w:r w:rsidRPr="007703E3">
        <w:rPr>
          <w:lang w:val="es-ES_tradnl"/>
        </w:rPr>
        <w:t>4</w:t>
      </w:r>
      <w:r w:rsidRPr="007703E3">
        <w:rPr>
          <w:lang w:val="es-ES_tradnl"/>
        </w:rPr>
        <w:tab/>
        <w:t>Banda 1 670-1 690 MHz</w:t>
      </w:r>
    </w:p>
    <w:p w:rsidR="007D238E" w:rsidRPr="007703E3" w:rsidRDefault="007D238E" w:rsidP="007D238E">
      <w:pPr>
        <w:rPr>
          <w:lang w:val="es-ES_tradnl"/>
        </w:rPr>
      </w:pPr>
      <w:r w:rsidRPr="007703E3">
        <w:rPr>
          <w:lang w:val="es-ES_tradnl"/>
        </w:rPr>
        <w:t xml:space="preserve">La banda 1 670-1 690 MHz está atribuida a título primario a los servicios de ayudas a la meteorología, al </w:t>
      </w:r>
      <w:proofErr w:type="spellStart"/>
      <w:r w:rsidRPr="007703E3">
        <w:rPr>
          <w:lang w:val="es-ES_tradnl"/>
        </w:rPr>
        <w:t>MetSat</w:t>
      </w:r>
      <w:proofErr w:type="spellEnd"/>
      <w:r w:rsidRPr="007703E3">
        <w:rPr>
          <w:lang w:val="es-ES_tradnl"/>
        </w:rPr>
        <w:t xml:space="preserve"> (espacio-Tierra) y a los servicios fijo y móvil y,</w:t>
      </w:r>
      <w:r w:rsidRPr="007703E3">
        <w:rPr>
          <w:szCs w:val="24"/>
          <w:lang w:val="es-ES_tradnl"/>
        </w:rPr>
        <w:t xml:space="preserve"> y la banda 1 670-1 675 MHz </w:t>
      </w:r>
      <w:r w:rsidRPr="007703E3">
        <w:rPr>
          <w:lang w:val="es-ES_tradnl"/>
        </w:rPr>
        <w:t>está atribuida a título primario al servicio móvil por satélite (Tierra-espacio).</w:t>
      </w:r>
    </w:p>
    <w:p w:rsidR="007D238E" w:rsidRPr="007703E3" w:rsidRDefault="007D238E" w:rsidP="007D238E">
      <w:pPr>
        <w:pStyle w:val="Heading1"/>
        <w:rPr>
          <w:lang w:val="es-ES_tradnl"/>
        </w:rPr>
      </w:pPr>
      <w:r w:rsidRPr="007703E3">
        <w:rPr>
          <w:lang w:val="es-ES_tradnl"/>
        </w:rPr>
        <w:t>5</w:t>
      </w:r>
      <w:r w:rsidRPr="007703E3">
        <w:rPr>
          <w:lang w:val="es-ES_tradnl"/>
        </w:rPr>
        <w:tab/>
        <w:t>Banda 2 025-2 110 MHz</w:t>
      </w:r>
    </w:p>
    <w:p w:rsidR="007D238E" w:rsidRPr="007703E3" w:rsidRDefault="007D238E" w:rsidP="007D238E">
      <w:pPr>
        <w:rPr>
          <w:lang w:val="es-ES_tradnl"/>
        </w:rPr>
      </w:pPr>
      <w:r w:rsidRPr="007703E3">
        <w:rPr>
          <w:lang w:val="es-ES_tradnl"/>
        </w:rPr>
        <w:t>La banda 2 025-2 110 MHz está atribuida a título primario a los servicios fijo y móvil, al servicio de investigación espacial (Tierra-espacio y espacio-espacio), al servicio de operaciones espaciales (Tierra-espacio y espacio-espacio), y a los servicios de exploración de la Tierra por satélite (Tierra</w:t>
      </w:r>
      <w:r w:rsidRPr="007703E3">
        <w:rPr>
          <w:lang w:val="es-ES_tradnl"/>
        </w:rPr>
        <w:noBreakHyphen/>
        <w:t>espacio y espacio</w:t>
      </w:r>
      <w:r w:rsidRPr="007703E3">
        <w:rPr>
          <w:lang w:val="es-ES_tradnl"/>
        </w:rPr>
        <w:noBreakHyphen/>
        <w:t>espacio).</w:t>
      </w:r>
    </w:p>
    <w:p w:rsidR="007D238E" w:rsidRPr="007703E3" w:rsidRDefault="007D238E" w:rsidP="007D238E">
      <w:pPr>
        <w:pStyle w:val="TableNo"/>
        <w:rPr>
          <w:lang w:val="es-ES_tradnl"/>
        </w:rPr>
      </w:pPr>
      <w:r w:rsidRPr="007703E3">
        <w:rPr>
          <w:lang w:val="es-ES_tradnl"/>
        </w:rPr>
        <w:t>CUADRO 2</w:t>
      </w:r>
    </w:p>
    <w:p w:rsidR="007D238E" w:rsidRPr="007703E3" w:rsidRDefault="007D238E" w:rsidP="007D238E">
      <w:pPr>
        <w:pStyle w:val="Tabletitle"/>
        <w:rPr>
          <w:lang w:val="es-ES_tradnl"/>
        </w:rPr>
      </w:pPr>
      <w:r w:rsidRPr="007703E3">
        <w:rPr>
          <w:lang w:val="es-ES_tradnl"/>
        </w:rPr>
        <w:t>Parámetros utilizados para obtener los criterios de compartición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181"/>
        <w:gridCol w:w="1193"/>
        <w:gridCol w:w="916"/>
        <w:gridCol w:w="1193"/>
        <w:gridCol w:w="916"/>
        <w:gridCol w:w="1193"/>
        <w:gridCol w:w="916"/>
        <w:gridCol w:w="1193"/>
        <w:gridCol w:w="938"/>
      </w:tblGrid>
      <w:tr w:rsidR="007D238E" w:rsidRPr="007D238E" w:rsidTr="00B9587B">
        <w:trPr>
          <w:cantSplit/>
          <w:jc w:val="center"/>
        </w:trPr>
        <w:tc>
          <w:tcPr>
            <w:tcW w:w="1270" w:type="dxa"/>
            <w:vMerge w:val="restart"/>
            <w:vAlign w:val="center"/>
          </w:tcPr>
          <w:p w:rsidR="007D238E" w:rsidRPr="007703E3" w:rsidRDefault="007D238E" w:rsidP="00B9587B">
            <w:pPr>
              <w:pStyle w:val="Tablehead"/>
              <w:rPr>
                <w:b w:val="0"/>
                <w:bCs/>
                <w:sz w:val="20"/>
                <w:lang w:val="es-ES_tradnl"/>
              </w:rPr>
            </w:pPr>
            <w:r w:rsidRPr="007703E3">
              <w:rPr>
                <w:bCs/>
                <w:sz w:val="20"/>
                <w:lang w:val="es-ES_tradnl"/>
              </w:rPr>
              <w:t>Banda de</w:t>
            </w:r>
            <w:r w:rsidRPr="007703E3">
              <w:rPr>
                <w:bCs/>
                <w:sz w:val="20"/>
                <w:lang w:val="es-ES_tradnl"/>
              </w:rPr>
              <w:br/>
              <w:t>frecuencias</w:t>
            </w:r>
            <w:r w:rsidRPr="007703E3">
              <w:rPr>
                <w:bCs/>
                <w:sz w:val="20"/>
                <w:lang w:val="es-ES_tradnl"/>
              </w:rPr>
              <w:br/>
              <w:t>(MHz)</w:t>
            </w:r>
          </w:p>
        </w:tc>
        <w:tc>
          <w:tcPr>
            <w:tcW w:w="2268" w:type="dxa"/>
            <w:gridSpan w:val="2"/>
          </w:tcPr>
          <w:p w:rsidR="007D238E" w:rsidRPr="007703E3" w:rsidRDefault="007D238E" w:rsidP="00B9587B">
            <w:pPr>
              <w:pStyle w:val="Tablehead"/>
              <w:rPr>
                <w:b w:val="0"/>
                <w:bCs/>
                <w:sz w:val="20"/>
                <w:lang w:val="es-ES_tradnl"/>
              </w:rPr>
            </w:pPr>
            <w:r w:rsidRPr="007703E3">
              <w:rPr>
                <w:bCs/>
                <w:sz w:val="20"/>
                <w:lang w:val="es-ES_tradnl"/>
              </w:rPr>
              <w:t>Distribución a largo plazo</w:t>
            </w:r>
            <w:r>
              <w:rPr>
                <w:bCs/>
                <w:sz w:val="20"/>
                <w:lang w:val="es-ES_tradnl"/>
              </w:rPr>
              <w:t xml:space="preserve"> </w:t>
            </w:r>
            <w:r w:rsidRPr="007703E3">
              <w:rPr>
                <w:bCs/>
                <w:sz w:val="20"/>
                <w:lang w:val="es-ES_tradnl"/>
              </w:rPr>
              <w:t xml:space="preserve">entre </w:t>
            </w:r>
            <w:r>
              <w:rPr>
                <w:bCs/>
                <w:sz w:val="20"/>
                <w:lang w:val="es-ES_tradnl"/>
              </w:rPr>
              <w:br/>
            </w:r>
            <w:r w:rsidRPr="007703E3">
              <w:rPr>
                <w:bCs/>
                <w:sz w:val="20"/>
                <w:lang w:val="es-ES_tradnl"/>
              </w:rPr>
              <w:t xml:space="preserve">categorías de fuentes </w:t>
            </w:r>
            <w:r>
              <w:rPr>
                <w:bCs/>
                <w:sz w:val="20"/>
                <w:lang w:val="es-ES_tradnl"/>
              </w:rPr>
              <w:br/>
            </w:r>
            <w:r w:rsidRPr="007703E3">
              <w:rPr>
                <w:bCs/>
                <w:sz w:val="20"/>
                <w:lang w:val="es-ES_tradnl"/>
              </w:rPr>
              <w:t>de interferencia</w:t>
            </w:r>
          </w:p>
        </w:tc>
        <w:tc>
          <w:tcPr>
            <w:tcW w:w="2268" w:type="dxa"/>
            <w:gridSpan w:val="2"/>
          </w:tcPr>
          <w:p w:rsidR="007D238E" w:rsidRPr="007703E3" w:rsidRDefault="007D238E" w:rsidP="00B9587B">
            <w:pPr>
              <w:pStyle w:val="Tablehead"/>
              <w:rPr>
                <w:b w:val="0"/>
                <w:bCs/>
                <w:sz w:val="20"/>
                <w:lang w:val="es-ES_tradnl"/>
              </w:rPr>
            </w:pPr>
            <w:r w:rsidRPr="007703E3">
              <w:rPr>
                <w:bCs/>
                <w:sz w:val="20"/>
                <w:lang w:val="es-ES_tradnl"/>
              </w:rPr>
              <w:t xml:space="preserve">Distribución a corto plazo entre </w:t>
            </w:r>
            <w:r>
              <w:rPr>
                <w:bCs/>
                <w:sz w:val="20"/>
                <w:lang w:val="es-ES_tradnl"/>
              </w:rPr>
              <w:br/>
            </w:r>
            <w:r w:rsidRPr="007703E3">
              <w:rPr>
                <w:bCs/>
                <w:sz w:val="20"/>
                <w:lang w:val="es-ES_tradnl"/>
              </w:rPr>
              <w:t xml:space="preserve">categorías de fuentes </w:t>
            </w:r>
            <w:r>
              <w:rPr>
                <w:bCs/>
                <w:sz w:val="20"/>
                <w:lang w:val="es-ES_tradnl"/>
              </w:rPr>
              <w:br/>
            </w:r>
            <w:r w:rsidRPr="007703E3">
              <w:rPr>
                <w:bCs/>
                <w:sz w:val="20"/>
                <w:lang w:val="es-ES_tradnl"/>
              </w:rPr>
              <w:t>de interferencia</w:t>
            </w:r>
          </w:p>
        </w:tc>
        <w:tc>
          <w:tcPr>
            <w:tcW w:w="2268" w:type="dxa"/>
            <w:gridSpan w:val="2"/>
          </w:tcPr>
          <w:p w:rsidR="007D238E" w:rsidRPr="007703E3" w:rsidRDefault="007D238E" w:rsidP="00B9587B">
            <w:pPr>
              <w:pStyle w:val="Tablehead"/>
              <w:rPr>
                <w:b w:val="0"/>
                <w:bCs/>
                <w:sz w:val="20"/>
                <w:lang w:val="es-ES_tradnl"/>
              </w:rPr>
            </w:pPr>
            <w:r w:rsidRPr="007703E3">
              <w:rPr>
                <w:bCs/>
                <w:sz w:val="20"/>
                <w:lang w:val="es-ES_tradnl"/>
              </w:rPr>
              <w:t xml:space="preserve">Número equivalente </w:t>
            </w:r>
            <w:r>
              <w:rPr>
                <w:bCs/>
                <w:sz w:val="20"/>
                <w:lang w:val="es-ES_tradnl"/>
              </w:rPr>
              <w:br/>
            </w:r>
            <w:r w:rsidRPr="007703E3">
              <w:rPr>
                <w:bCs/>
                <w:sz w:val="20"/>
                <w:lang w:val="es-ES_tradnl"/>
              </w:rPr>
              <w:t xml:space="preserve">de fuentes de interferencia a </w:t>
            </w:r>
            <w:r>
              <w:rPr>
                <w:bCs/>
                <w:sz w:val="20"/>
                <w:lang w:val="es-ES_tradnl"/>
              </w:rPr>
              <w:br/>
            </w:r>
            <w:r w:rsidRPr="007703E3">
              <w:rPr>
                <w:bCs/>
                <w:sz w:val="20"/>
                <w:lang w:val="es-ES_tradnl"/>
              </w:rPr>
              <w:t>largo plazo</w:t>
            </w:r>
          </w:p>
        </w:tc>
        <w:tc>
          <w:tcPr>
            <w:tcW w:w="2291" w:type="dxa"/>
            <w:gridSpan w:val="2"/>
          </w:tcPr>
          <w:p w:rsidR="007D238E" w:rsidRPr="007703E3" w:rsidRDefault="007D238E" w:rsidP="00B9587B">
            <w:pPr>
              <w:pStyle w:val="Tablehead"/>
              <w:rPr>
                <w:b w:val="0"/>
                <w:bCs/>
                <w:sz w:val="20"/>
                <w:lang w:val="es-ES_tradnl"/>
              </w:rPr>
            </w:pPr>
            <w:r w:rsidRPr="007703E3">
              <w:rPr>
                <w:bCs/>
                <w:sz w:val="20"/>
                <w:lang w:val="es-ES_tradnl"/>
              </w:rPr>
              <w:t xml:space="preserve">Número equivalente </w:t>
            </w:r>
            <w:r>
              <w:rPr>
                <w:bCs/>
                <w:sz w:val="20"/>
                <w:lang w:val="es-ES_tradnl"/>
              </w:rPr>
              <w:br/>
            </w:r>
            <w:r w:rsidRPr="007703E3">
              <w:rPr>
                <w:bCs/>
                <w:sz w:val="20"/>
                <w:lang w:val="es-ES_tradnl"/>
              </w:rPr>
              <w:t xml:space="preserve">de fuentes de interferencia a </w:t>
            </w:r>
            <w:r>
              <w:rPr>
                <w:bCs/>
                <w:sz w:val="20"/>
                <w:lang w:val="es-ES_tradnl"/>
              </w:rPr>
              <w:br/>
            </w:r>
            <w:r w:rsidRPr="007703E3">
              <w:rPr>
                <w:bCs/>
                <w:sz w:val="20"/>
                <w:lang w:val="es-ES_tradnl"/>
              </w:rPr>
              <w:t>corto plazo</w:t>
            </w:r>
          </w:p>
        </w:tc>
      </w:tr>
      <w:tr w:rsidR="007D238E" w:rsidRPr="007D238E" w:rsidTr="00B9587B">
        <w:trPr>
          <w:cantSplit/>
          <w:jc w:val="center"/>
        </w:trPr>
        <w:tc>
          <w:tcPr>
            <w:tcW w:w="1270" w:type="dxa"/>
            <w:vMerge/>
          </w:tcPr>
          <w:p w:rsidR="007D238E" w:rsidRPr="007703E3" w:rsidRDefault="007D238E" w:rsidP="00B9587B">
            <w:pPr>
              <w:pStyle w:val="Tablehead"/>
              <w:rPr>
                <w:b w:val="0"/>
                <w:bCs/>
                <w:sz w:val="20"/>
                <w:lang w:val="es-ES_tradnl"/>
              </w:rPr>
            </w:pPr>
          </w:p>
        </w:tc>
        <w:tc>
          <w:tcPr>
            <w:tcW w:w="2268" w:type="dxa"/>
            <w:gridSpan w:val="2"/>
          </w:tcPr>
          <w:p w:rsidR="007D238E" w:rsidRPr="007703E3" w:rsidRDefault="007D238E" w:rsidP="00B9587B">
            <w:pPr>
              <w:pStyle w:val="Tablehead"/>
              <w:rPr>
                <w:b w:val="0"/>
                <w:bCs/>
                <w:sz w:val="20"/>
                <w:lang w:val="es-ES_tradnl"/>
              </w:rPr>
            </w:pPr>
            <w:r w:rsidRPr="007703E3">
              <w:rPr>
                <w:bCs/>
                <w:sz w:val="20"/>
                <w:lang w:val="es-ES_tradnl"/>
              </w:rPr>
              <w:t>Trayecto de la señal interferente</w:t>
            </w:r>
          </w:p>
        </w:tc>
        <w:tc>
          <w:tcPr>
            <w:tcW w:w="2268" w:type="dxa"/>
            <w:gridSpan w:val="2"/>
          </w:tcPr>
          <w:p w:rsidR="007D238E" w:rsidRPr="007703E3" w:rsidRDefault="007D238E" w:rsidP="00B9587B">
            <w:pPr>
              <w:pStyle w:val="Tablehead"/>
              <w:rPr>
                <w:b w:val="0"/>
                <w:bCs/>
                <w:sz w:val="20"/>
                <w:lang w:val="es-ES_tradnl"/>
              </w:rPr>
            </w:pPr>
            <w:r w:rsidRPr="007703E3">
              <w:rPr>
                <w:bCs/>
                <w:sz w:val="20"/>
                <w:lang w:val="es-ES_tradnl"/>
              </w:rPr>
              <w:t>Trayecto de la señal interferente</w:t>
            </w:r>
          </w:p>
        </w:tc>
        <w:tc>
          <w:tcPr>
            <w:tcW w:w="2268" w:type="dxa"/>
            <w:gridSpan w:val="2"/>
          </w:tcPr>
          <w:p w:rsidR="007D238E" w:rsidRPr="007703E3" w:rsidRDefault="007D238E" w:rsidP="00B9587B">
            <w:pPr>
              <w:pStyle w:val="Tablehead"/>
              <w:rPr>
                <w:b w:val="0"/>
                <w:bCs/>
                <w:sz w:val="20"/>
                <w:lang w:val="es-ES_tradnl"/>
              </w:rPr>
            </w:pPr>
            <w:r w:rsidRPr="007703E3">
              <w:rPr>
                <w:bCs/>
                <w:sz w:val="20"/>
                <w:lang w:val="es-ES_tradnl"/>
              </w:rPr>
              <w:t>Trayecto de la señal interferente</w:t>
            </w:r>
          </w:p>
        </w:tc>
        <w:tc>
          <w:tcPr>
            <w:tcW w:w="2291" w:type="dxa"/>
            <w:gridSpan w:val="2"/>
          </w:tcPr>
          <w:p w:rsidR="007D238E" w:rsidRPr="007703E3" w:rsidRDefault="007D238E" w:rsidP="00B9587B">
            <w:pPr>
              <w:pStyle w:val="Tablehead"/>
              <w:rPr>
                <w:b w:val="0"/>
                <w:bCs/>
                <w:sz w:val="20"/>
                <w:lang w:val="es-ES_tradnl"/>
              </w:rPr>
            </w:pPr>
            <w:r w:rsidRPr="007703E3">
              <w:rPr>
                <w:bCs/>
                <w:sz w:val="20"/>
                <w:lang w:val="es-ES_tradnl"/>
              </w:rPr>
              <w:t>Trayecto de la señal interferente</w:t>
            </w:r>
          </w:p>
        </w:tc>
      </w:tr>
      <w:tr w:rsidR="007D238E" w:rsidRPr="007703E3" w:rsidTr="00B9587B">
        <w:trPr>
          <w:cantSplit/>
          <w:jc w:val="center"/>
        </w:trPr>
        <w:tc>
          <w:tcPr>
            <w:tcW w:w="1270" w:type="dxa"/>
            <w:vMerge/>
          </w:tcPr>
          <w:p w:rsidR="007D238E" w:rsidRPr="007703E3" w:rsidRDefault="007D238E" w:rsidP="00B9587B">
            <w:pPr>
              <w:pStyle w:val="Tablehead"/>
              <w:rPr>
                <w:b w:val="0"/>
                <w:bCs/>
                <w:sz w:val="20"/>
                <w:lang w:val="es-ES_tradnl"/>
              </w:rPr>
            </w:pPr>
          </w:p>
        </w:tc>
        <w:tc>
          <w:tcPr>
            <w:tcW w:w="1283" w:type="dxa"/>
            <w:vAlign w:val="center"/>
          </w:tcPr>
          <w:p w:rsidR="007D238E" w:rsidRPr="007703E3" w:rsidRDefault="007D238E" w:rsidP="00B9587B">
            <w:pPr>
              <w:pStyle w:val="Tablehead"/>
              <w:rPr>
                <w:b w:val="0"/>
                <w:bCs/>
                <w:sz w:val="20"/>
                <w:lang w:val="es-ES_tradnl"/>
              </w:rPr>
            </w:pPr>
            <w:r w:rsidRPr="007703E3">
              <w:rPr>
                <w:bCs/>
                <w:sz w:val="20"/>
                <w:lang w:val="es-ES_tradnl"/>
              </w:rPr>
              <w:t>Espacio-Tierra</w:t>
            </w:r>
          </w:p>
        </w:tc>
        <w:tc>
          <w:tcPr>
            <w:tcW w:w="985" w:type="dxa"/>
            <w:vAlign w:val="center"/>
          </w:tcPr>
          <w:p w:rsidR="007D238E" w:rsidRPr="007703E3" w:rsidRDefault="007D238E" w:rsidP="00B9587B">
            <w:pPr>
              <w:pStyle w:val="Tablehead"/>
              <w:rPr>
                <w:b w:val="0"/>
                <w:bCs/>
                <w:sz w:val="20"/>
                <w:lang w:val="es-ES_tradnl"/>
              </w:rPr>
            </w:pPr>
            <w:r w:rsidRPr="007703E3">
              <w:rPr>
                <w:bCs/>
                <w:sz w:val="20"/>
                <w:lang w:val="es-ES_tradnl"/>
              </w:rPr>
              <w:t>Terrenal</w:t>
            </w:r>
          </w:p>
        </w:tc>
        <w:tc>
          <w:tcPr>
            <w:tcW w:w="1283" w:type="dxa"/>
            <w:vAlign w:val="center"/>
          </w:tcPr>
          <w:p w:rsidR="007D238E" w:rsidRPr="007703E3" w:rsidRDefault="007D238E" w:rsidP="00B9587B">
            <w:pPr>
              <w:pStyle w:val="Tablehead"/>
              <w:rPr>
                <w:b w:val="0"/>
                <w:bCs/>
                <w:sz w:val="20"/>
                <w:lang w:val="es-ES_tradnl"/>
              </w:rPr>
            </w:pPr>
            <w:r w:rsidRPr="007703E3">
              <w:rPr>
                <w:bCs/>
                <w:sz w:val="20"/>
                <w:lang w:val="es-ES_tradnl"/>
              </w:rPr>
              <w:t>Espacio-Tierra</w:t>
            </w:r>
          </w:p>
        </w:tc>
        <w:tc>
          <w:tcPr>
            <w:tcW w:w="985" w:type="dxa"/>
            <w:vAlign w:val="center"/>
          </w:tcPr>
          <w:p w:rsidR="007D238E" w:rsidRPr="007703E3" w:rsidRDefault="007D238E" w:rsidP="00B9587B">
            <w:pPr>
              <w:pStyle w:val="Tablehead"/>
              <w:rPr>
                <w:b w:val="0"/>
                <w:bCs/>
                <w:sz w:val="20"/>
                <w:lang w:val="es-ES_tradnl"/>
              </w:rPr>
            </w:pPr>
            <w:r w:rsidRPr="007703E3">
              <w:rPr>
                <w:bCs/>
                <w:sz w:val="20"/>
                <w:lang w:val="es-ES_tradnl"/>
              </w:rPr>
              <w:t>Terrenal</w:t>
            </w:r>
          </w:p>
        </w:tc>
        <w:tc>
          <w:tcPr>
            <w:tcW w:w="1283" w:type="dxa"/>
            <w:vAlign w:val="center"/>
          </w:tcPr>
          <w:p w:rsidR="007D238E" w:rsidRPr="007703E3" w:rsidRDefault="007D238E" w:rsidP="00B9587B">
            <w:pPr>
              <w:pStyle w:val="Tablehead"/>
              <w:rPr>
                <w:b w:val="0"/>
                <w:bCs/>
                <w:sz w:val="20"/>
                <w:lang w:val="es-ES_tradnl"/>
              </w:rPr>
            </w:pPr>
            <w:r w:rsidRPr="007703E3">
              <w:rPr>
                <w:bCs/>
                <w:sz w:val="20"/>
                <w:lang w:val="es-ES_tradnl"/>
              </w:rPr>
              <w:t>Espacio-Tierra</w:t>
            </w:r>
          </w:p>
        </w:tc>
        <w:tc>
          <w:tcPr>
            <w:tcW w:w="985" w:type="dxa"/>
            <w:vAlign w:val="center"/>
          </w:tcPr>
          <w:p w:rsidR="007D238E" w:rsidRPr="007703E3" w:rsidRDefault="007D238E" w:rsidP="00B9587B">
            <w:pPr>
              <w:pStyle w:val="Tablehead"/>
              <w:rPr>
                <w:b w:val="0"/>
                <w:bCs/>
                <w:sz w:val="20"/>
                <w:lang w:val="es-ES_tradnl"/>
              </w:rPr>
            </w:pPr>
            <w:r w:rsidRPr="007703E3">
              <w:rPr>
                <w:bCs/>
                <w:sz w:val="20"/>
                <w:lang w:val="es-ES_tradnl"/>
              </w:rPr>
              <w:t>Terrenal</w:t>
            </w:r>
          </w:p>
        </w:tc>
        <w:tc>
          <w:tcPr>
            <w:tcW w:w="1283" w:type="dxa"/>
            <w:vAlign w:val="center"/>
          </w:tcPr>
          <w:p w:rsidR="007D238E" w:rsidRPr="007703E3" w:rsidRDefault="007D238E" w:rsidP="00B9587B">
            <w:pPr>
              <w:pStyle w:val="Tablehead"/>
              <w:rPr>
                <w:b w:val="0"/>
                <w:bCs/>
                <w:sz w:val="20"/>
                <w:lang w:val="es-ES_tradnl"/>
              </w:rPr>
            </w:pPr>
            <w:r w:rsidRPr="007703E3">
              <w:rPr>
                <w:bCs/>
                <w:sz w:val="20"/>
                <w:lang w:val="es-ES_tradnl"/>
              </w:rPr>
              <w:t>Espacio-Tierra</w:t>
            </w:r>
          </w:p>
        </w:tc>
        <w:tc>
          <w:tcPr>
            <w:tcW w:w="1008" w:type="dxa"/>
            <w:vAlign w:val="center"/>
          </w:tcPr>
          <w:p w:rsidR="007D238E" w:rsidRPr="007703E3" w:rsidRDefault="007D238E" w:rsidP="00B9587B">
            <w:pPr>
              <w:pStyle w:val="Tablehead"/>
              <w:rPr>
                <w:b w:val="0"/>
                <w:bCs/>
                <w:sz w:val="20"/>
                <w:lang w:val="es-ES_tradnl"/>
              </w:rPr>
            </w:pPr>
            <w:r w:rsidRPr="007703E3">
              <w:rPr>
                <w:bCs/>
                <w:sz w:val="20"/>
                <w:lang w:val="es-ES_tradnl"/>
              </w:rPr>
              <w:t>Terrenal</w:t>
            </w:r>
          </w:p>
        </w:tc>
      </w:tr>
      <w:tr w:rsidR="007D238E" w:rsidRPr="007703E3" w:rsidTr="00B9587B">
        <w:trPr>
          <w:cantSplit/>
          <w:jc w:val="center"/>
        </w:trPr>
        <w:tc>
          <w:tcPr>
            <w:tcW w:w="1270" w:type="dxa"/>
          </w:tcPr>
          <w:p w:rsidR="007D238E" w:rsidRPr="007703E3" w:rsidRDefault="007D238E" w:rsidP="00B9587B">
            <w:pPr>
              <w:pStyle w:val="Tabletext"/>
              <w:jc w:val="center"/>
              <w:rPr>
                <w:sz w:val="20"/>
                <w:szCs w:val="18"/>
                <w:lang w:val="es-ES_tradnl"/>
              </w:rPr>
            </w:pPr>
            <w:r w:rsidRPr="007703E3">
              <w:rPr>
                <w:sz w:val="20"/>
                <w:szCs w:val="18"/>
                <w:lang w:val="es-ES_tradnl"/>
              </w:rPr>
              <w:t>401-403</w:t>
            </w:r>
          </w:p>
        </w:tc>
        <w:tc>
          <w:tcPr>
            <w:tcW w:w="1283" w:type="dxa"/>
          </w:tcPr>
          <w:p w:rsidR="007D238E" w:rsidRPr="007703E3" w:rsidRDefault="007D238E" w:rsidP="00B9587B">
            <w:pPr>
              <w:pStyle w:val="Tabletext"/>
              <w:jc w:val="center"/>
              <w:rPr>
                <w:sz w:val="20"/>
                <w:szCs w:val="18"/>
                <w:lang w:val="es-ES_tradnl"/>
              </w:rPr>
            </w:pPr>
            <w:r w:rsidRPr="007703E3">
              <w:rPr>
                <w:sz w:val="20"/>
                <w:szCs w:val="18"/>
                <w:lang w:val="es-ES_tradnl"/>
              </w:rPr>
              <w:t>90%</w:t>
            </w:r>
          </w:p>
        </w:tc>
        <w:tc>
          <w:tcPr>
            <w:tcW w:w="985" w:type="dxa"/>
          </w:tcPr>
          <w:p w:rsidR="007D238E" w:rsidRPr="007703E3" w:rsidRDefault="007D238E" w:rsidP="00B9587B">
            <w:pPr>
              <w:pStyle w:val="Tabletext"/>
              <w:jc w:val="center"/>
              <w:rPr>
                <w:sz w:val="20"/>
                <w:szCs w:val="18"/>
                <w:lang w:val="es-ES_tradnl"/>
              </w:rPr>
            </w:pPr>
            <w:r w:rsidRPr="007703E3">
              <w:rPr>
                <w:sz w:val="20"/>
                <w:szCs w:val="18"/>
                <w:lang w:val="es-ES_tradnl"/>
              </w:rPr>
              <w:t>10%</w:t>
            </w:r>
          </w:p>
        </w:tc>
        <w:tc>
          <w:tcPr>
            <w:tcW w:w="1283" w:type="dxa"/>
          </w:tcPr>
          <w:p w:rsidR="007D238E" w:rsidRPr="007703E3" w:rsidRDefault="007D238E" w:rsidP="00B9587B">
            <w:pPr>
              <w:pStyle w:val="Tabletext"/>
              <w:jc w:val="center"/>
              <w:rPr>
                <w:sz w:val="20"/>
                <w:szCs w:val="18"/>
                <w:lang w:val="es-ES_tradnl"/>
              </w:rPr>
            </w:pPr>
            <w:r w:rsidRPr="007703E3">
              <w:rPr>
                <w:sz w:val="20"/>
                <w:szCs w:val="18"/>
                <w:lang w:val="es-ES_tradnl"/>
              </w:rPr>
              <w:t>75%</w:t>
            </w:r>
          </w:p>
        </w:tc>
        <w:tc>
          <w:tcPr>
            <w:tcW w:w="985" w:type="dxa"/>
          </w:tcPr>
          <w:p w:rsidR="007D238E" w:rsidRPr="007703E3" w:rsidRDefault="007D238E" w:rsidP="00B9587B">
            <w:pPr>
              <w:pStyle w:val="Tabletext"/>
              <w:jc w:val="center"/>
              <w:rPr>
                <w:sz w:val="20"/>
                <w:szCs w:val="18"/>
                <w:lang w:val="es-ES_tradnl"/>
              </w:rPr>
            </w:pPr>
            <w:r w:rsidRPr="007703E3">
              <w:rPr>
                <w:sz w:val="20"/>
                <w:szCs w:val="18"/>
                <w:lang w:val="es-ES_tradnl"/>
              </w:rPr>
              <w:t>25%</w:t>
            </w:r>
          </w:p>
        </w:tc>
        <w:tc>
          <w:tcPr>
            <w:tcW w:w="1283" w:type="dxa"/>
          </w:tcPr>
          <w:p w:rsidR="007D238E" w:rsidRPr="007703E3" w:rsidRDefault="007D238E" w:rsidP="00B9587B">
            <w:pPr>
              <w:pStyle w:val="Tabletext"/>
              <w:jc w:val="center"/>
              <w:rPr>
                <w:sz w:val="20"/>
                <w:szCs w:val="18"/>
                <w:lang w:val="es-ES_tradnl"/>
              </w:rPr>
            </w:pPr>
            <w:r w:rsidRPr="007703E3">
              <w:rPr>
                <w:sz w:val="20"/>
                <w:szCs w:val="18"/>
                <w:lang w:val="es-ES_tradnl"/>
              </w:rPr>
              <w:t>9</w:t>
            </w:r>
            <w:r w:rsidRPr="007703E3">
              <w:rPr>
                <w:sz w:val="20"/>
                <w:szCs w:val="18"/>
                <w:vertAlign w:val="superscript"/>
                <w:lang w:val="es-ES_tradnl"/>
              </w:rPr>
              <w:t>(1)</w:t>
            </w:r>
          </w:p>
        </w:tc>
        <w:tc>
          <w:tcPr>
            <w:tcW w:w="985" w:type="dxa"/>
          </w:tcPr>
          <w:p w:rsidR="007D238E" w:rsidRPr="007703E3" w:rsidRDefault="007D238E" w:rsidP="00B9587B">
            <w:pPr>
              <w:pStyle w:val="Tabletext"/>
              <w:jc w:val="center"/>
              <w:rPr>
                <w:sz w:val="20"/>
                <w:szCs w:val="18"/>
                <w:lang w:val="es-ES_tradnl"/>
              </w:rPr>
            </w:pPr>
            <w:r w:rsidRPr="007703E3">
              <w:rPr>
                <w:sz w:val="20"/>
                <w:szCs w:val="18"/>
                <w:lang w:val="es-ES_tradnl"/>
              </w:rPr>
              <w:t>1</w:t>
            </w:r>
          </w:p>
        </w:tc>
        <w:tc>
          <w:tcPr>
            <w:tcW w:w="1283" w:type="dxa"/>
          </w:tcPr>
          <w:p w:rsidR="007D238E" w:rsidRPr="007703E3" w:rsidRDefault="007D238E" w:rsidP="00B9587B">
            <w:pPr>
              <w:pStyle w:val="Tabletext"/>
              <w:jc w:val="center"/>
              <w:rPr>
                <w:sz w:val="20"/>
                <w:szCs w:val="18"/>
                <w:lang w:val="es-ES_tradnl"/>
              </w:rPr>
            </w:pPr>
            <w:r w:rsidRPr="007703E3">
              <w:rPr>
                <w:sz w:val="20"/>
                <w:szCs w:val="18"/>
                <w:lang w:val="es-ES_tradnl"/>
              </w:rPr>
              <w:t>1</w:t>
            </w:r>
          </w:p>
        </w:tc>
        <w:tc>
          <w:tcPr>
            <w:tcW w:w="1008" w:type="dxa"/>
          </w:tcPr>
          <w:p w:rsidR="007D238E" w:rsidRPr="007703E3" w:rsidRDefault="007D238E" w:rsidP="00B9587B">
            <w:pPr>
              <w:pStyle w:val="Tabletext"/>
              <w:jc w:val="center"/>
              <w:rPr>
                <w:sz w:val="20"/>
                <w:szCs w:val="18"/>
                <w:lang w:val="es-ES_tradnl"/>
              </w:rPr>
            </w:pPr>
            <w:r w:rsidRPr="007703E3">
              <w:rPr>
                <w:sz w:val="20"/>
                <w:szCs w:val="18"/>
                <w:lang w:val="es-ES_tradnl"/>
              </w:rPr>
              <w:t>1</w:t>
            </w:r>
          </w:p>
        </w:tc>
      </w:tr>
      <w:tr w:rsidR="007D238E" w:rsidRPr="007703E3" w:rsidTr="00B9587B">
        <w:trPr>
          <w:cantSplit/>
          <w:jc w:val="center"/>
        </w:trPr>
        <w:tc>
          <w:tcPr>
            <w:tcW w:w="1270" w:type="dxa"/>
          </w:tcPr>
          <w:p w:rsidR="007D238E" w:rsidRPr="007703E3" w:rsidRDefault="007D238E" w:rsidP="00B9587B">
            <w:pPr>
              <w:pStyle w:val="Tabletext"/>
              <w:jc w:val="center"/>
              <w:rPr>
                <w:sz w:val="20"/>
                <w:szCs w:val="18"/>
                <w:lang w:val="es-ES_tradnl"/>
              </w:rPr>
            </w:pPr>
            <w:r w:rsidRPr="007703E3">
              <w:rPr>
                <w:sz w:val="20"/>
                <w:szCs w:val="18"/>
                <w:lang w:val="es-ES_tradnl"/>
              </w:rPr>
              <w:t>1 670-1 690</w:t>
            </w:r>
          </w:p>
        </w:tc>
        <w:tc>
          <w:tcPr>
            <w:tcW w:w="1283" w:type="dxa"/>
          </w:tcPr>
          <w:p w:rsidR="007D238E" w:rsidRPr="007703E3" w:rsidRDefault="007D238E" w:rsidP="00B9587B">
            <w:pPr>
              <w:pStyle w:val="Tabletext"/>
              <w:jc w:val="center"/>
              <w:rPr>
                <w:sz w:val="20"/>
                <w:szCs w:val="18"/>
                <w:lang w:val="es-ES_tradnl"/>
              </w:rPr>
            </w:pPr>
            <w:r w:rsidRPr="007703E3">
              <w:rPr>
                <w:sz w:val="20"/>
                <w:szCs w:val="18"/>
                <w:lang w:val="es-ES_tradnl"/>
              </w:rPr>
              <w:t>1%</w:t>
            </w:r>
          </w:p>
        </w:tc>
        <w:tc>
          <w:tcPr>
            <w:tcW w:w="985" w:type="dxa"/>
          </w:tcPr>
          <w:p w:rsidR="007D238E" w:rsidRPr="007703E3" w:rsidRDefault="007D238E" w:rsidP="00B9587B">
            <w:pPr>
              <w:pStyle w:val="Tabletext"/>
              <w:jc w:val="center"/>
              <w:rPr>
                <w:sz w:val="20"/>
                <w:szCs w:val="18"/>
                <w:lang w:val="es-ES_tradnl"/>
              </w:rPr>
            </w:pPr>
            <w:r w:rsidRPr="007703E3">
              <w:rPr>
                <w:sz w:val="20"/>
                <w:szCs w:val="18"/>
                <w:lang w:val="es-ES_tradnl"/>
              </w:rPr>
              <w:t>99%</w:t>
            </w:r>
          </w:p>
        </w:tc>
        <w:tc>
          <w:tcPr>
            <w:tcW w:w="1283" w:type="dxa"/>
          </w:tcPr>
          <w:p w:rsidR="007D238E" w:rsidRPr="007703E3" w:rsidRDefault="007D238E" w:rsidP="00B9587B">
            <w:pPr>
              <w:pStyle w:val="Tabletext"/>
              <w:jc w:val="center"/>
              <w:rPr>
                <w:sz w:val="20"/>
                <w:szCs w:val="18"/>
                <w:lang w:val="es-ES_tradnl"/>
              </w:rPr>
            </w:pPr>
            <w:r w:rsidRPr="007703E3">
              <w:rPr>
                <w:sz w:val="20"/>
                <w:szCs w:val="18"/>
                <w:lang w:val="es-ES_tradnl"/>
              </w:rPr>
              <w:t>10%</w:t>
            </w:r>
          </w:p>
        </w:tc>
        <w:tc>
          <w:tcPr>
            <w:tcW w:w="985" w:type="dxa"/>
          </w:tcPr>
          <w:p w:rsidR="007D238E" w:rsidRPr="007703E3" w:rsidRDefault="007D238E" w:rsidP="00B9587B">
            <w:pPr>
              <w:pStyle w:val="Tabletext"/>
              <w:jc w:val="center"/>
              <w:rPr>
                <w:sz w:val="20"/>
                <w:szCs w:val="18"/>
                <w:lang w:val="es-ES_tradnl"/>
              </w:rPr>
            </w:pPr>
            <w:r w:rsidRPr="007703E3">
              <w:rPr>
                <w:sz w:val="20"/>
                <w:szCs w:val="18"/>
                <w:lang w:val="es-ES_tradnl"/>
              </w:rPr>
              <w:t>90%</w:t>
            </w:r>
          </w:p>
        </w:tc>
        <w:tc>
          <w:tcPr>
            <w:tcW w:w="1283" w:type="dxa"/>
          </w:tcPr>
          <w:p w:rsidR="007D238E" w:rsidRPr="007703E3" w:rsidRDefault="007D238E" w:rsidP="00B9587B">
            <w:pPr>
              <w:pStyle w:val="Tabletext"/>
              <w:jc w:val="center"/>
              <w:rPr>
                <w:sz w:val="20"/>
                <w:szCs w:val="18"/>
                <w:lang w:val="es-ES_tradnl"/>
              </w:rPr>
            </w:pPr>
            <w:r w:rsidRPr="007703E3">
              <w:rPr>
                <w:sz w:val="20"/>
                <w:szCs w:val="18"/>
                <w:lang w:val="es-ES_tradnl"/>
              </w:rPr>
              <w:t>1</w:t>
            </w:r>
          </w:p>
        </w:tc>
        <w:tc>
          <w:tcPr>
            <w:tcW w:w="985" w:type="dxa"/>
          </w:tcPr>
          <w:p w:rsidR="007D238E" w:rsidRPr="007703E3" w:rsidRDefault="007D238E" w:rsidP="00B9587B">
            <w:pPr>
              <w:pStyle w:val="Tabletext"/>
              <w:jc w:val="center"/>
              <w:rPr>
                <w:sz w:val="20"/>
                <w:szCs w:val="18"/>
                <w:lang w:val="es-ES_tradnl"/>
              </w:rPr>
            </w:pPr>
            <w:r w:rsidRPr="007703E3">
              <w:rPr>
                <w:sz w:val="20"/>
                <w:szCs w:val="18"/>
                <w:lang w:val="es-ES_tradnl"/>
              </w:rPr>
              <w:t>1</w:t>
            </w:r>
          </w:p>
        </w:tc>
        <w:tc>
          <w:tcPr>
            <w:tcW w:w="1283" w:type="dxa"/>
          </w:tcPr>
          <w:p w:rsidR="007D238E" w:rsidRPr="007703E3" w:rsidRDefault="007D238E" w:rsidP="00B9587B">
            <w:pPr>
              <w:pStyle w:val="Tabletext"/>
              <w:jc w:val="center"/>
              <w:rPr>
                <w:sz w:val="20"/>
                <w:szCs w:val="18"/>
                <w:lang w:val="es-ES_tradnl"/>
              </w:rPr>
            </w:pPr>
            <w:r w:rsidRPr="007703E3">
              <w:rPr>
                <w:sz w:val="20"/>
                <w:szCs w:val="18"/>
                <w:lang w:val="es-ES_tradnl"/>
              </w:rPr>
              <w:t>1</w:t>
            </w:r>
          </w:p>
        </w:tc>
        <w:tc>
          <w:tcPr>
            <w:tcW w:w="1008" w:type="dxa"/>
          </w:tcPr>
          <w:p w:rsidR="007D238E" w:rsidRPr="007703E3" w:rsidRDefault="007D238E" w:rsidP="00B9587B">
            <w:pPr>
              <w:pStyle w:val="Tabletext"/>
              <w:jc w:val="center"/>
              <w:rPr>
                <w:sz w:val="20"/>
                <w:szCs w:val="18"/>
                <w:lang w:val="es-ES_tradnl"/>
              </w:rPr>
            </w:pPr>
            <w:r w:rsidRPr="007703E3">
              <w:rPr>
                <w:sz w:val="20"/>
                <w:szCs w:val="18"/>
                <w:lang w:val="es-ES_tradnl"/>
              </w:rPr>
              <w:t>2</w:t>
            </w:r>
          </w:p>
        </w:tc>
      </w:tr>
      <w:tr w:rsidR="007D238E" w:rsidRPr="007703E3" w:rsidTr="00B9587B">
        <w:trPr>
          <w:cantSplit/>
          <w:jc w:val="center"/>
        </w:trPr>
        <w:tc>
          <w:tcPr>
            <w:tcW w:w="1270" w:type="dxa"/>
          </w:tcPr>
          <w:p w:rsidR="007D238E" w:rsidRPr="007703E3" w:rsidRDefault="007D238E" w:rsidP="00B9587B">
            <w:pPr>
              <w:pStyle w:val="Tabletext"/>
              <w:jc w:val="center"/>
              <w:rPr>
                <w:sz w:val="20"/>
                <w:szCs w:val="18"/>
                <w:lang w:val="es-ES_tradnl"/>
              </w:rPr>
            </w:pPr>
            <w:r w:rsidRPr="007703E3">
              <w:rPr>
                <w:sz w:val="20"/>
                <w:szCs w:val="18"/>
                <w:lang w:val="es-ES_tradnl"/>
              </w:rPr>
              <w:t>2 025-2 110</w:t>
            </w:r>
          </w:p>
        </w:tc>
        <w:tc>
          <w:tcPr>
            <w:tcW w:w="1283" w:type="dxa"/>
          </w:tcPr>
          <w:p w:rsidR="007D238E" w:rsidRPr="007703E3" w:rsidRDefault="007D238E" w:rsidP="00B9587B">
            <w:pPr>
              <w:pStyle w:val="Tabletext"/>
              <w:jc w:val="center"/>
              <w:rPr>
                <w:sz w:val="20"/>
                <w:szCs w:val="18"/>
                <w:lang w:val="es-ES_tradnl"/>
              </w:rPr>
            </w:pPr>
            <w:r w:rsidRPr="007703E3">
              <w:rPr>
                <w:sz w:val="20"/>
                <w:szCs w:val="18"/>
                <w:lang w:val="es-ES_tradnl"/>
              </w:rPr>
              <w:t>1%</w:t>
            </w:r>
          </w:p>
        </w:tc>
        <w:tc>
          <w:tcPr>
            <w:tcW w:w="985" w:type="dxa"/>
          </w:tcPr>
          <w:p w:rsidR="007D238E" w:rsidRPr="007703E3" w:rsidRDefault="007D238E" w:rsidP="00B9587B">
            <w:pPr>
              <w:pStyle w:val="Tabletext"/>
              <w:jc w:val="center"/>
              <w:rPr>
                <w:sz w:val="20"/>
                <w:szCs w:val="18"/>
                <w:lang w:val="es-ES_tradnl"/>
              </w:rPr>
            </w:pPr>
            <w:r w:rsidRPr="007703E3">
              <w:rPr>
                <w:sz w:val="20"/>
                <w:szCs w:val="18"/>
                <w:lang w:val="es-ES_tradnl"/>
              </w:rPr>
              <w:t>99%</w:t>
            </w:r>
          </w:p>
        </w:tc>
        <w:tc>
          <w:tcPr>
            <w:tcW w:w="1283" w:type="dxa"/>
          </w:tcPr>
          <w:p w:rsidR="007D238E" w:rsidRPr="007703E3" w:rsidRDefault="007D238E" w:rsidP="00B9587B">
            <w:pPr>
              <w:pStyle w:val="Tabletext"/>
              <w:jc w:val="center"/>
              <w:rPr>
                <w:sz w:val="20"/>
                <w:szCs w:val="18"/>
                <w:lang w:val="es-ES_tradnl"/>
              </w:rPr>
            </w:pPr>
            <w:r w:rsidRPr="007703E3">
              <w:rPr>
                <w:sz w:val="20"/>
                <w:szCs w:val="18"/>
                <w:lang w:val="es-ES_tradnl"/>
              </w:rPr>
              <w:t>10%</w:t>
            </w:r>
          </w:p>
        </w:tc>
        <w:tc>
          <w:tcPr>
            <w:tcW w:w="985" w:type="dxa"/>
          </w:tcPr>
          <w:p w:rsidR="007D238E" w:rsidRPr="007703E3" w:rsidRDefault="007D238E" w:rsidP="00B9587B">
            <w:pPr>
              <w:pStyle w:val="Tabletext"/>
              <w:jc w:val="center"/>
              <w:rPr>
                <w:sz w:val="20"/>
                <w:szCs w:val="18"/>
                <w:lang w:val="es-ES_tradnl"/>
              </w:rPr>
            </w:pPr>
            <w:r w:rsidRPr="007703E3">
              <w:rPr>
                <w:sz w:val="20"/>
                <w:szCs w:val="18"/>
                <w:lang w:val="es-ES_tradnl"/>
              </w:rPr>
              <w:t>90%</w:t>
            </w:r>
          </w:p>
        </w:tc>
        <w:tc>
          <w:tcPr>
            <w:tcW w:w="1283" w:type="dxa"/>
          </w:tcPr>
          <w:p w:rsidR="007D238E" w:rsidRPr="007703E3" w:rsidRDefault="007D238E" w:rsidP="00B9587B">
            <w:pPr>
              <w:pStyle w:val="Tabletext"/>
              <w:jc w:val="center"/>
              <w:rPr>
                <w:sz w:val="20"/>
                <w:szCs w:val="18"/>
                <w:lang w:val="es-ES_tradnl"/>
              </w:rPr>
            </w:pPr>
            <w:r w:rsidRPr="007703E3">
              <w:rPr>
                <w:sz w:val="20"/>
                <w:szCs w:val="18"/>
                <w:lang w:val="es-ES_tradnl"/>
              </w:rPr>
              <w:t>1</w:t>
            </w:r>
          </w:p>
        </w:tc>
        <w:tc>
          <w:tcPr>
            <w:tcW w:w="985" w:type="dxa"/>
          </w:tcPr>
          <w:p w:rsidR="007D238E" w:rsidRPr="007703E3" w:rsidRDefault="007D238E" w:rsidP="00B9587B">
            <w:pPr>
              <w:pStyle w:val="Tabletext"/>
              <w:jc w:val="center"/>
              <w:rPr>
                <w:sz w:val="20"/>
                <w:szCs w:val="18"/>
                <w:lang w:val="es-ES_tradnl"/>
              </w:rPr>
            </w:pPr>
            <w:r w:rsidRPr="007703E3">
              <w:rPr>
                <w:sz w:val="20"/>
                <w:szCs w:val="18"/>
                <w:lang w:val="es-ES_tradnl"/>
              </w:rPr>
              <w:t>2</w:t>
            </w:r>
          </w:p>
        </w:tc>
        <w:tc>
          <w:tcPr>
            <w:tcW w:w="1283" w:type="dxa"/>
          </w:tcPr>
          <w:p w:rsidR="007D238E" w:rsidRPr="007703E3" w:rsidRDefault="007D238E" w:rsidP="00B9587B">
            <w:pPr>
              <w:pStyle w:val="Tabletext"/>
              <w:jc w:val="center"/>
              <w:rPr>
                <w:sz w:val="20"/>
                <w:szCs w:val="18"/>
                <w:lang w:val="es-ES_tradnl"/>
              </w:rPr>
            </w:pPr>
            <w:r w:rsidRPr="007703E3">
              <w:rPr>
                <w:sz w:val="20"/>
                <w:szCs w:val="18"/>
                <w:lang w:val="es-ES_tradnl"/>
              </w:rPr>
              <w:t>1</w:t>
            </w:r>
          </w:p>
        </w:tc>
        <w:tc>
          <w:tcPr>
            <w:tcW w:w="1008" w:type="dxa"/>
          </w:tcPr>
          <w:p w:rsidR="007D238E" w:rsidRPr="007703E3" w:rsidRDefault="007D238E" w:rsidP="00B9587B">
            <w:pPr>
              <w:pStyle w:val="Tabletext"/>
              <w:jc w:val="center"/>
              <w:rPr>
                <w:sz w:val="20"/>
                <w:szCs w:val="18"/>
                <w:lang w:val="es-ES_tradnl"/>
              </w:rPr>
            </w:pPr>
            <w:r w:rsidRPr="007703E3">
              <w:rPr>
                <w:sz w:val="20"/>
                <w:szCs w:val="18"/>
                <w:lang w:val="es-ES_tradnl"/>
              </w:rPr>
              <w:t>2</w:t>
            </w:r>
          </w:p>
        </w:tc>
      </w:tr>
      <w:tr w:rsidR="007D238E" w:rsidRPr="007703E3" w:rsidTr="00B9587B">
        <w:trPr>
          <w:cantSplit/>
          <w:jc w:val="center"/>
        </w:trPr>
        <w:tc>
          <w:tcPr>
            <w:tcW w:w="1270" w:type="dxa"/>
            <w:tcBorders>
              <w:bottom w:val="single" w:sz="4" w:space="0" w:color="auto"/>
            </w:tcBorders>
          </w:tcPr>
          <w:p w:rsidR="007D238E" w:rsidRPr="007703E3" w:rsidRDefault="007D238E" w:rsidP="00B9587B">
            <w:pPr>
              <w:pStyle w:val="Tabletext"/>
              <w:jc w:val="center"/>
              <w:rPr>
                <w:sz w:val="20"/>
                <w:szCs w:val="18"/>
                <w:lang w:val="es-ES_tradnl"/>
              </w:rPr>
            </w:pPr>
            <w:r w:rsidRPr="007703E3">
              <w:rPr>
                <w:sz w:val="20"/>
                <w:szCs w:val="18"/>
                <w:lang w:val="es-ES_tradnl"/>
              </w:rPr>
              <w:t>460-470</w:t>
            </w:r>
          </w:p>
        </w:tc>
        <w:tc>
          <w:tcPr>
            <w:tcW w:w="1283" w:type="dxa"/>
            <w:tcBorders>
              <w:bottom w:val="single" w:sz="4" w:space="0" w:color="auto"/>
            </w:tcBorders>
          </w:tcPr>
          <w:p w:rsidR="007D238E" w:rsidRPr="007703E3" w:rsidRDefault="007D238E" w:rsidP="00B9587B">
            <w:pPr>
              <w:pStyle w:val="Tabletext"/>
              <w:jc w:val="center"/>
              <w:rPr>
                <w:sz w:val="20"/>
                <w:szCs w:val="18"/>
                <w:lang w:val="es-ES_tradnl"/>
              </w:rPr>
            </w:pPr>
            <w:r w:rsidRPr="007703E3">
              <w:rPr>
                <w:sz w:val="20"/>
                <w:szCs w:val="18"/>
                <w:lang w:val="es-ES_tradnl"/>
              </w:rPr>
              <w:t>1%</w:t>
            </w:r>
          </w:p>
        </w:tc>
        <w:tc>
          <w:tcPr>
            <w:tcW w:w="985" w:type="dxa"/>
            <w:tcBorders>
              <w:bottom w:val="single" w:sz="4" w:space="0" w:color="auto"/>
            </w:tcBorders>
          </w:tcPr>
          <w:p w:rsidR="007D238E" w:rsidRPr="007703E3" w:rsidRDefault="007D238E" w:rsidP="00B9587B">
            <w:pPr>
              <w:pStyle w:val="Tabletext"/>
              <w:jc w:val="center"/>
              <w:rPr>
                <w:sz w:val="20"/>
                <w:szCs w:val="18"/>
                <w:lang w:val="es-ES_tradnl"/>
              </w:rPr>
            </w:pPr>
            <w:r w:rsidRPr="007703E3">
              <w:rPr>
                <w:sz w:val="20"/>
                <w:szCs w:val="18"/>
                <w:lang w:val="es-ES_tradnl"/>
              </w:rPr>
              <w:t>99%</w:t>
            </w:r>
          </w:p>
        </w:tc>
        <w:tc>
          <w:tcPr>
            <w:tcW w:w="1283" w:type="dxa"/>
            <w:tcBorders>
              <w:bottom w:val="single" w:sz="4" w:space="0" w:color="auto"/>
            </w:tcBorders>
          </w:tcPr>
          <w:p w:rsidR="007D238E" w:rsidRPr="007703E3" w:rsidRDefault="007D238E" w:rsidP="00B9587B">
            <w:pPr>
              <w:pStyle w:val="Tabletext"/>
              <w:jc w:val="center"/>
              <w:rPr>
                <w:sz w:val="20"/>
                <w:szCs w:val="18"/>
                <w:lang w:val="es-ES_tradnl"/>
              </w:rPr>
            </w:pPr>
            <w:r w:rsidRPr="007703E3">
              <w:rPr>
                <w:sz w:val="20"/>
                <w:szCs w:val="18"/>
                <w:lang w:val="es-ES_tradnl"/>
              </w:rPr>
              <w:t>10%</w:t>
            </w:r>
          </w:p>
        </w:tc>
        <w:tc>
          <w:tcPr>
            <w:tcW w:w="985" w:type="dxa"/>
            <w:tcBorders>
              <w:bottom w:val="single" w:sz="4" w:space="0" w:color="auto"/>
            </w:tcBorders>
          </w:tcPr>
          <w:p w:rsidR="007D238E" w:rsidRPr="007703E3" w:rsidRDefault="007D238E" w:rsidP="00B9587B">
            <w:pPr>
              <w:pStyle w:val="Tabletext"/>
              <w:jc w:val="center"/>
              <w:rPr>
                <w:sz w:val="20"/>
                <w:szCs w:val="18"/>
                <w:lang w:val="es-ES_tradnl"/>
              </w:rPr>
            </w:pPr>
            <w:r w:rsidRPr="007703E3">
              <w:rPr>
                <w:sz w:val="20"/>
                <w:szCs w:val="18"/>
                <w:lang w:val="es-ES_tradnl"/>
              </w:rPr>
              <w:t>90%</w:t>
            </w:r>
          </w:p>
        </w:tc>
        <w:tc>
          <w:tcPr>
            <w:tcW w:w="1283" w:type="dxa"/>
            <w:tcBorders>
              <w:bottom w:val="single" w:sz="4" w:space="0" w:color="auto"/>
            </w:tcBorders>
          </w:tcPr>
          <w:p w:rsidR="007D238E" w:rsidRPr="007703E3" w:rsidRDefault="007D238E" w:rsidP="00B9587B">
            <w:pPr>
              <w:pStyle w:val="Tabletext"/>
              <w:jc w:val="center"/>
              <w:rPr>
                <w:sz w:val="20"/>
                <w:szCs w:val="18"/>
                <w:lang w:val="es-ES_tradnl"/>
              </w:rPr>
            </w:pPr>
            <w:r w:rsidRPr="007703E3">
              <w:rPr>
                <w:sz w:val="20"/>
                <w:szCs w:val="18"/>
                <w:lang w:val="es-ES_tradnl"/>
              </w:rPr>
              <w:t>1</w:t>
            </w:r>
          </w:p>
        </w:tc>
        <w:tc>
          <w:tcPr>
            <w:tcW w:w="985" w:type="dxa"/>
            <w:tcBorders>
              <w:bottom w:val="single" w:sz="4" w:space="0" w:color="auto"/>
            </w:tcBorders>
          </w:tcPr>
          <w:p w:rsidR="007D238E" w:rsidRPr="007703E3" w:rsidRDefault="007D238E" w:rsidP="00B9587B">
            <w:pPr>
              <w:pStyle w:val="Tabletext"/>
              <w:jc w:val="center"/>
              <w:rPr>
                <w:sz w:val="20"/>
                <w:szCs w:val="18"/>
                <w:lang w:val="es-ES_tradnl"/>
              </w:rPr>
            </w:pPr>
            <w:r w:rsidRPr="007703E3">
              <w:rPr>
                <w:sz w:val="20"/>
                <w:szCs w:val="18"/>
                <w:lang w:val="es-ES_tradnl"/>
              </w:rPr>
              <w:t>1</w:t>
            </w:r>
          </w:p>
        </w:tc>
        <w:tc>
          <w:tcPr>
            <w:tcW w:w="1283" w:type="dxa"/>
            <w:tcBorders>
              <w:bottom w:val="single" w:sz="4" w:space="0" w:color="auto"/>
            </w:tcBorders>
          </w:tcPr>
          <w:p w:rsidR="007D238E" w:rsidRPr="007703E3" w:rsidRDefault="007D238E" w:rsidP="00B9587B">
            <w:pPr>
              <w:pStyle w:val="Tabletext"/>
              <w:jc w:val="center"/>
              <w:rPr>
                <w:sz w:val="20"/>
                <w:szCs w:val="18"/>
                <w:lang w:val="es-ES_tradnl"/>
              </w:rPr>
            </w:pPr>
            <w:r w:rsidRPr="007703E3">
              <w:rPr>
                <w:sz w:val="20"/>
                <w:szCs w:val="18"/>
                <w:lang w:val="es-ES_tradnl"/>
              </w:rPr>
              <w:t>1</w:t>
            </w:r>
          </w:p>
        </w:tc>
        <w:tc>
          <w:tcPr>
            <w:tcW w:w="1008" w:type="dxa"/>
            <w:tcBorders>
              <w:bottom w:val="single" w:sz="4" w:space="0" w:color="auto"/>
            </w:tcBorders>
          </w:tcPr>
          <w:p w:rsidR="007D238E" w:rsidRPr="007703E3" w:rsidRDefault="007D238E" w:rsidP="00B9587B">
            <w:pPr>
              <w:pStyle w:val="Tabletext"/>
              <w:jc w:val="center"/>
              <w:rPr>
                <w:sz w:val="20"/>
                <w:szCs w:val="18"/>
                <w:lang w:val="es-ES_tradnl"/>
              </w:rPr>
            </w:pPr>
            <w:r w:rsidRPr="007703E3">
              <w:rPr>
                <w:sz w:val="20"/>
                <w:szCs w:val="18"/>
                <w:lang w:val="es-ES_tradnl"/>
              </w:rPr>
              <w:t>2</w:t>
            </w:r>
          </w:p>
        </w:tc>
      </w:tr>
      <w:tr w:rsidR="007D238E" w:rsidRPr="007703E3" w:rsidTr="00B9587B">
        <w:trPr>
          <w:cantSplit/>
          <w:jc w:val="center"/>
        </w:trPr>
        <w:tc>
          <w:tcPr>
            <w:tcW w:w="10365" w:type="dxa"/>
            <w:gridSpan w:val="9"/>
            <w:tcBorders>
              <w:left w:val="nil"/>
              <w:bottom w:val="nil"/>
              <w:right w:val="nil"/>
            </w:tcBorders>
          </w:tcPr>
          <w:p w:rsidR="007D238E" w:rsidRPr="007703E3" w:rsidRDefault="007D238E" w:rsidP="00B9587B">
            <w:pPr>
              <w:pStyle w:val="TableLegend0"/>
              <w:tabs>
                <w:tab w:val="left" w:pos="288"/>
              </w:tabs>
              <w:spacing w:line="240" w:lineRule="auto"/>
              <w:ind w:left="288" w:right="0" w:hanging="288"/>
              <w:rPr>
                <w:szCs w:val="18"/>
                <w:lang w:val="es-ES_tradnl"/>
              </w:rPr>
            </w:pPr>
            <w:r w:rsidRPr="007703E3">
              <w:rPr>
                <w:vertAlign w:val="superscript"/>
                <w:lang w:val="es-ES_tradnl"/>
              </w:rPr>
              <w:t>(1)</w:t>
            </w:r>
            <w:r>
              <w:rPr>
                <w:lang w:val="es-ES_tradnl"/>
              </w:rPr>
              <w:tab/>
            </w:r>
            <w:r w:rsidRPr="007703E3">
              <w:rPr>
                <w:lang w:val="es-ES_tradnl"/>
              </w:rPr>
              <w:t>Este valor representa el número de fuentes de interferencia espacio-Tierra en la línea de visión del enlace Tierra-espacio afectado en la OSG. Véase el Anexo 2.</w:t>
            </w:r>
          </w:p>
        </w:tc>
      </w:tr>
    </w:tbl>
    <w:p w:rsidR="007D238E" w:rsidRPr="007703E3" w:rsidRDefault="007D238E" w:rsidP="007D238E">
      <w:pPr>
        <w:pStyle w:val="Tablefin"/>
        <w:rPr>
          <w:lang w:val="es-ES_tradnl"/>
        </w:rPr>
      </w:pPr>
    </w:p>
    <w:p w:rsidR="007D238E" w:rsidRPr="007703E3" w:rsidRDefault="007D238E" w:rsidP="007D238E">
      <w:pPr>
        <w:pStyle w:val="AnnexNoTitle"/>
        <w:rPr>
          <w:lang w:val="es-ES_tradnl"/>
        </w:rPr>
      </w:pPr>
      <w:r w:rsidRPr="007703E3">
        <w:rPr>
          <w:lang w:val="es-ES_tradnl"/>
        </w:rPr>
        <w:lastRenderedPageBreak/>
        <w:t>Anexo 2</w:t>
      </w:r>
      <w:r w:rsidRPr="007703E3">
        <w:rPr>
          <w:lang w:val="es-ES_tradnl"/>
        </w:rPr>
        <w:br/>
      </w:r>
      <w:r w:rsidRPr="007703E3">
        <w:rPr>
          <w:lang w:val="es-ES_tradnl"/>
        </w:rPr>
        <w:br/>
        <w:t xml:space="preserve">Aplicación de los criterios de compartición y coordinación </w:t>
      </w:r>
      <w:r w:rsidRPr="007703E3">
        <w:rPr>
          <w:lang w:val="es-ES_tradnl"/>
        </w:rPr>
        <w:br/>
        <w:t>en la banda de frecuencias 401-403 MHz</w:t>
      </w:r>
    </w:p>
    <w:p w:rsidR="007D238E" w:rsidRPr="007703E3" w:rsidRDefault="007D238E" w:rsidP="007D238E">
      <w:pPr>
        <w:pStyle w:val="Heading1"/>
        <w:rPr>
          <w:lang w:val="es-ES_tradnl" w:eastAsia="zh-CN"/>
        </w:rPr>
      </w:pPr>
      <w:r w:rsidRPr="007703E3">
        <w:rPr>
          <w:lang w:val="es-ES_tradnl" w:eastAsia="zh-CN"/>
        </w:rPr>
        <w:t>1</w:t>
      </w:r>
      <w:r w:rsidRPr="007703E3">
        <w:rPr>
          <w:lang w:val="es-ES_tradnl" w:eastAsia="zh-CN"/>
        </w:rPr>
        <w:tab/>
        <w:t>Introducción</w:t>
      </w:r>
    </w:p>
    <w:p w:rsidR="007D238E" w:rsidRPr="007703E3" w:rsidRDefault="007D238E" w:rsidP="007D238E">
      <w:pPr>
        <w:rPr>
          <w:lang w:val="es-ES_tradnl"/>
        </w:rPr>
      </w:pPr>
      <w:r w:rsidRPr="007703E3">
        <w:rPr>
          <w:lang w:val="es-ES_tradnl"/>
        </w:rPr>
        <w:t>En el presente Anexo se aborda la aplicación de los criterios de compartición para la protección de los sistemas de recogida de datos (DCS) en la banda 401-403 MHz, habida cuenta de la evolución de la atribución y de su futuro uso.</w:t>
      </w:r>
    </w:p>
    <w:p w:rsidR="007D238E" w:rsidRPr="007703E3" w:rsidRDefault="007D238E" w:rsidP="007D238E">
      <w:pPr>
        <w:rPr>
          <w:szCs w:val="24"/>
          <w:lang w:val="es-ES_tradnl" w:eastAsia="zh-CN"/>
        </w:rPr>
      </w:pPr>
      <w:r w:rsidRPr="007703E3">
        <w:rPr>
          <w:szCs w:val="24"/>
          <w:lang w:val="es-ES_tradnl" w:eastAsia="zh-CN"/>
        </w:rPr>
        <w:t>En los últimos tiempos, se ha registrado un creciente interés en la utilización de sistemas de satélites pequeños con fines diversos, incluidas las misiones de detección de referencia terrestre y de comunicaciones</w:t>
      </w:r>
      <w:r w:rsidRPr="007703E3">
        <w:rPr>
          <w:rStyle w:val="FootnoteReference"/>
          <w:szCs w:val="24"/>
          <w:lang w:val="es-ES_tradnl" w:eastAsia="zh-CN"/>
        </w:rPr>
        <w:footnoteReference w:customMarkFollows="1" w:id="1"/>
        <w:t>1</w:t>
      </w:r>
      <w:r w:rsidRPr="007703E3">
        <w:rPr>
          <w:szCs w:val="24"/>
          <w:lang w:val="es-ES_tradnl" w:eastAsia="zh-CN"/>
        </w:rPr>
        <w:t>. Algunos de estos nuevos sistemas se han notificado con miras a la utilización de la banda de operaciones espaciales 401-402 MHz (espacio-Tierra), que está atribuida a título primario al servicio de ayudas meteorológicas, el servicio de exploración de la Tierra por satélite (SETS) (Tierra-espacio) y el servicio de meteorología por satélite (</w:t>
      </w:r>
      <w:proofErr w:type="spellStart"/>
      <w:r w:rsidRPr="007703E3">
        <w:rPr>
          <w:szCs w:val="24"/>
          <w:lang w:val="es-ES_tradnl" w:eastAsia="zh-CN"/>
        </w:rPr>
        <w:t>MetSat</w:t>
      </w:r>
      <w:proofErr w:type="spellEnd"/>
      <w:r w:rsidRPr="007703E3">
        <w:rPr>
          <w:szCs w:val="24"/>
          <w:lang w:val="es-ES_tradnl" w:eastAsia="zh-CN"/>
        </w:rPr>
        <w:t>) (Tierra-espacio).</w:t>
      </w:r>
    </w:p>
    <w:p w:rsidR="007D238E" w:rsidRPr="007703E3" w:rsidRDefault="007D238E" w:rsidP="007D238E">
      <w:pPr>
        <w:rPr>
          <w:szCs w:val="24"/>
          <w:lang w:val="es-ES_tradnl" w:eastAsia="zh-CN"/>
        </w:rPr>
      </w:pPr>
      <w:r w:rsidRPr="007703E3">
        <w:rPr>
          <w:szCs w:val="24"/>
          <w:lang w:val="es-ES_tradnl" w:eastAsia="zh-CN"/>
        </w:rPr>
        <w:t>Los satélites pequeños pueden utilizar la banda 401-402 MHz para operaciones espaciales en el sentido espacio-Tierra. Dadas sus reducidas dimensiones, las antenas utilizadas para las comunicaciones espacio-Tierra también pueden ser de menor tamaño, lo que limita la ganancia de antena que puede lograrse</w:t>
      </w:r>
      <w:r w:rsidRPr="007703E3">
        <w:rPr>
          <w:rStyle w:val="FootnoteReference"/>
          <w:szCs w:val="24"/>
          <w:lang w:val="es-ES_tradnl" w:eastAsia="zh-CN"/>
        </w:rPr>
        <w:footnoteReference w:customMarkFollows="1" w:id="2"/>
        <w:t>2</w:t>
      </w:r>
      <w:r w:rsidRPr="007703E3">
        <w:rPr>
          <w:szCs w:val="24"/>
          <w:lang w:val="es-ES_tradnl" w:eastAsia="zh-CN"/>
        </w:rPr>
        <w:t>. Además, puede que no sea posible mantener la orientación espacio-Tierra de una antena. Estos factores podrían generar un nivel significativo de energía de radiofrecuencia interferente en dirección a la órbita geoestacionaria, donde los satélites meteorológicos reciben las señales de los DCS.</w:t>
      </w:r>
    </w:p>
    <w:p w:rsidR="007D238E" w:rsidRPr="007703E3" w:rsidRDefault="007D238E" w:rsidP="007D238E">
      <w:pPr>
        <w:pStyle w:val="Heading1"/>
        <w:rPr>
          <w:lang w:val="es-ES_tradnl"/>
        </w:rPr>
      </w:pPr>
      <w:r w:rsidRPr="007703E3">
        <w:rPr>
          <w:lang w:val="es-ES_tradnl"/>
        </w:rPr>
        <w:t>2</w:t>
      </w:r>
      <w:r w:rsidRPr="007703E3">
        <w:rPr>
          <w:lang w:val="es-ES_tradnl"/>
        </w:rPr>
        <w:tab/>
        <w:t>Límites de potencia para proteger los DCS</w:t>
      </w:r>
    </w:p>
    <w:p w:rsidR="007D238E" w:rsidRPr="007703E3" w:rsidRDefault="007D238E" w:rsidP="007D238E">
      <w:pPr>
        <w:rPr>
          <w:lang w:val="es-ES_tradnl"/>
        </w:rPr>
      </w:pPr>
      <w:r w:rsidRPr="007703E3">
        <w:rPr>
          <w:lang w:val="es-ES_tradnl"/>
        </w:rPr>
        <w:t xml:space="preserve">El presente Anexo se centra en la necesidad de que los límites de potencia comprendan los transmisores del servicio de operaciones espaciales en la banda 401-403 MHz, con miras a la protección de las estaciones espaciales receptoras del SETS y el </w:t>
      </w:r>
      <w:proofErr w:type="spellStart"/>
      <w:r w:rsidRPr="007703E3">
        <w:rPr>
          <w:lang w:val="es-ES_tradnl"/>
        </w:rPr>
        <w:t>MetSat</w:t>
      </w:r>
      <w:proofErr w:type="spellEnd"/>
      <w:r w:rsidRPr="007703E3">
        <w:rPr>
          <w:lang w:val="es-ES_tradnl"/>
        </w:rPr>
        <w:t xml:space="preserve"> en los satélites geoestacionarios en que el trayecto interferente discurre en el sentido espacio-espacio. Este análisis ilustra la adaptación de los criterios de compartición existentes al caso especial del creciente uso de la atribución espacio-Tierra para controlar posibles interferencias al funcionamiento de los DCS.</w:t>
      </w:r>
    </w:p>
    <w:p w:rsidR="007D238E" w:rsidRPr="007703E3" w:rsidRDefault="007D238E" w:rsidP="007D238E">
      <w:pPr>
        <w:rPr>
          <w:lang w:val="es-ES_tradnl"/>
        </w:rPr>
      </w:pPr>
      <w:r w:rsidRPr="007703E3">
        <w:rPr>
          <w:lang w:val="es-ES_tradnl"/>
        </w:rPr>
        <w:t xml:space="preserve">En el Cuadro 1 de la Recomendación UIT-R SA.1163 se definen los criterios de interferencia a corto y largo plazo para la banda de 401-403 MHz. Los criterios a largo plazo, especificados en la entrada del receptor del satélite, se fijan en –191,5 </w:t>
      </w:r>
      <w:proofErr w:type="gramStart"/>
      <w:r w:rsidRPr="007703E3">
        <w:rPr>
          <w:lang w:val="es-ES_tradnl"/>
        </w:rPr>
        <w:t>dB(</w:t>
      </w:r>
      <w:proofErr w:type="gramEnd"/>
      <w:r w:rsidRPr="007703E3">
        <w:rPr>
          <w:lang w:val="es-ES_tradnl"/>
        </w:rPr>
        <w:t xml:space="preserve">W/100 Hz). El valor de los criterios a largo plazo es pertinente para este análisis porque la interferencia procedente de una constelación completa de satélites en órbita terrestre baja puede considerarse de largo plazo en los casos en que se observa desde un receptor del SETS o el </w:t>
      </w:r>
      <w:proofErr w:type="spellStart"/>
      <w:r w:rsidRPr="007703E3">
        <w:rPr>
          <w:lang w:val="es-ES_tradnl"/>
        </w:rPr>
        <w:t>MetSat</w:t>
      </w:r>
      <w:proofErr w:type="spellEnd"/>
      <w:r w:rsidRPr="007703E3">
        <w:rPr>
          <w:lang w:val="es-ES_tradnl"/>
        </w:rPr>
        <w:t xml:space="preserve"> estacionado en la órbita geoestacionaria.</w:t>
      </w:r>
    </w:p>
    <w:p w:rsidR="007D238E" w:rsidRPr="007703E3" w:rsidRDefault="007D238E" w:rsidP="007D238E">
      <w:pPr>
        <w:keepNext/>
        <w:keepLines/>
        <w:rPr>
          <w:lang w:val="es-ES_tradnl"/>
        </w:rPr>
      </w:pPr>
      <w:r w:rsidRPr="007703E3">
        <w:rPr>
          <w:lang w:val="es-ES_tradnl"/>
        </w:rPr>
        <w:lastRenderedPageBreak/>
        <w:t xml:space="preserve">En las siguientes secciones se deriva un límite de potencia para proteger los receptores del SETS y el </w:t>
      </w:r>
      <w:proofErr w:type="spellStart"/>
      <w:r w:rsidRPr="007703E3">
        <w:rPr>
          <w:lang w:val="es-ES_tradnl"/>
        </w:rPr>
        <w:t>MetSat</w:t>
      </w:r>
      <w:proofErr w:type="spellEnd"/>
      <w:r w:rsidRPr="007703E3">
        <w:rPr>
          <w:lang w:val="es-ES_tradnl"/>
        </w:rPr>
        <w:t xml:space="preserve"> y, a continuación, se traduce a una </w:t>
      </w:r>
      <w:proofErr w:type="spellStart"/>
      <w:r w:rsidRPr="007703E3">
        <w:rPr>
          <w:lang w:val="es-ES_tradnl"/>
        </w:rPr>
        <w:t>dfp</w:t>
      </w:r>
      <w:proofErr w:type="spellEnd"/>
      <w:r w:rsidRPr="007703E3">
        <w:rPr>
          <w:lang w:val="es-ES_tradnl"/>
        </w:rPr>
        <w:t xml:space="preserve"> que puede ser evaluada a lo largo de la órbita geoestacionaria. Además, se describe un método racional para evaluar la relación entre los criterios de interferencia combinada y un límite para la interferencia procedente de una sola fuente, en el contexto actual en que los sistemas espaciales evolucionan rápidamente. En primer lugar, se estima el máximo número probable de transmisores de operaciones espaciales en órbita terrestre baja que funcionan en la misma frecuencia y se hallan en la línea de visión. En segundo lugar, el criterio de interferencia aplicable de la Recomendación UIT-R SA.1163 se divide por ese valor, a fin de obtener un límite de potencia de interferencia de una sola entrada en el receptor del SETS en órbita geoestacionaria. Acto seguido, dicho límite de potencia de una sola fuente se traduce en un límite de </w:t>
      </w:r>
      <w:proofErr w:type="spellStart"/>
      <w:r w:rsidRPr="007703E3">
        <w:rPr>
          <w:lang w:val="es-ES_tradnl"/>
        </w:rPr>
        <w:t>dfp</w:t>
      </w:r>
      <w:proofErr w:type="spellEnd"/>
      <w:r w:rsidRPr="007703E3">
        <w:rPr>
          <w:lang w:val="es-ES_tradnl"/>
        </w:rPr>
        <w:t xml:space="preserve"> de una sola fuente, que puede evaluarse en la órbita geoestacionaria.</w:t>
      </w:r>
    </w:p>
    <w:p w:rsidR="007D238E" w:rsidRPr="007703E3" w:rsidRDefault="007D238E" w:rsidP="007D238E">
      <w:pPr>
        <w:pStyle w:val="Heading2"/>
        <w:rPr>
          <w:lang w:val="es-ES_tradnl"/>
        </w:rPr>
      </w:pPr>
      <w:r w:rsidRPr="007703E3">
        <w:rPr>
          <w:lang w:val="es-ES_tradnl"/>
        </w:rPr>
        <w:t>2.1</w:t>
      </w:r>
      <w:r w:rsidRPr="007703E3">
        <w:rPr>
          <w:lang w:val="es-ES_tradnl"/>
        </w:rPr>
        <w:tab/>
        <w:t>Estimación de los transmisores en órbita terrestre baja del servicio de operaciones espaciales que funcionan en la misma frecuencia y se hallan en la línea de visión desde la órbita geoestacionaria</w:t>
      </w:r>
    </w:p>
    <w:p w:rsidR="007D238E" w:rsidRPr="007703E3" w:rsidRDefault="007D238E" w:rsidP="007D238E">
      <w:pPr>
        <w:rPr>
          <w:lang w:val="es-ES_tradnl"/>
        </w:rPr>
      </w:pPr>
      <w:r w:rsidRPr="007703E3">
        <w:rPr>
          <w:lang w:val="es-ES_tradnl"/>
        </w:rPr>
        <w:t>En principio, se presume que no puede existir más de un satélite en órbita terrestre baja que transmita a una cierta estación de operaciones espaciales en tierra en una frecuencia determinada. La zona en torno a la estación en tierra a la que se aplica lo anterior puede denominarse «zona de exclusión de una sola frecuencia». Asumiendo que la constelación se halle a una altitud orbital común de 400 km, la superficie de la zona de exclusión de frecuencia común rondaría los 9</w:t>
      </w:r>
      <w:r>
        <w:rPr>
          <w:lang w:val="es-ES_tradnl"/>
        </w:rPr>
        <w:t> </w:t>
      </w:r>
      <w:r w:rsidRPr="007703E3">
        <w:rPr>
          <w:lang w:val="es-ES_tradnl"/>
        </w:rPr>
        <w:t>200</w:t>
      </w:r>
      <w:r>
        <w:rPr>
          <w:lang w:val="es-ES_tradnl"/>
        </w:rPr>
        <w:t> </w:t>
      </w:r>
      <w:r w:rsidRPr="007703E3">
        <w:rPr>
          <w:lang w:val="es-ES_tradnl"/>
        </w:rPr>
        <w:t>000 km</w:t>
      </w:r>
      <w:r w:rsidRPr="007703E3">
        <w:rPr>
          <w:spacing w:val="-2"/>
          <w:szCs w:val="24"/>
          <w:vertAlign w:val="superscript"/>
          <w:lang w:val="es-ES_tradnl"/>
        </w:rPr>
        <w:t>2</w:t>
      </w:r>
      <w:r w:rsidRPr="007703E3">
        <w:rPr>
          <w:lang w:val="es-ES_tradnl"/>
        </w:rPr>
        <w:t xml:space="preserve"> (véase la Fig</w:t>
      </w:r>
      <w:r>
        <w:rPr>
          <w:lang w:val="es-ES_tradnl"/>
        </w:rPr>
        <w:t>.</w:t>
      </w:r>
      <w:r w:rsidRPr="007703E3">
        <w:rPr>
          <w:lang w:val="es-ES_tradnl"/>
        </w:rPr>
        <w:t> 1). La superficie total en la línea de visión del satélite geoestacionario sería de 226 000 000 km</w:t>
      </w:r>
      <w:r w:rsidRPr="007703E3">
        <w:rPr>
          <w:spacing w:val="-2"/>
          <w:szCs w:val="24"/>
          <w:vertAlign w:val="superscript"/>
          <w:lang w:val="es-ES_tradnl"/>
        </w:rPr>
        <w:t>2</w:t>
      </w:r>
      <w:r w:rsidRPr="007703E3">
        <w:rPr>
          <w:lang w:val="es-ES_tradnl"/>
        </w:rPr>
        <w:t>. En consecuencia, existirían unas 25 zonas de exclusión de esta índole en la línea de visión de un satélite geoestacionario. Si además se asume que no es posible utilizar la misma frecuencia en zonas de exclusión adyacentes, ya que en la práctica se darán superposiciones geográficas, entonces, en el caso de mayor densidad, la misma frecuencia podría utilizarse en aproximadamente 1/3 de estas zonas de exclusión (reutilización de frecuencias en tres colores) o en ocho o nueve zonas aproximadamente (véase la Fig</w:t>
      </w:r>
      <w:r>
        <w:rPr>
          <w:lang w:val="es-ES_tradnl"/>
        </w:rPr>
        <w:t>. </w:t>
      </w:r>
      <w:r w:rsidRPr="007703E3">
        <w:rPr>
          <w:lang w:val="es-ES_tradnl"/>
        </w:rPr>
        <w:t>2). En este análisis se asume que 9 zonas podrían estar reutilizando una frecuencia común de operaciones espaciales en la línea de visión de un satélite geoestacionario.</w:t>
      </w:r>
    </w:p>
    <w:p w:rsidR="007D238E" w:rsidRPr="007703E3" w:rsidRDefault="007D238E" w:rsidP="007D238E">
      <w:pPr>
        <w:pStyle w:val="FigureNo"/>
        <w:rPr>
          <w:lang w:val="es-ES_tradnl"/>
        </w:rPr>
      </w:pPr>
      <w:r w:rsidRPr="007703E3">
        <w:rPr>
          <w:lang w:val="es-ES_tradnl"/>
        </w:rPr>
        <w:lastRenderedPageBreak/>
        <w:t>FIGURA 1</w:t>
      </w:r>
    </w:p>
    <w:p w:rsidR="007D238E" w:rsidRPr="007703E3" w:rsidRDefault="007D238E" w:rsidP="007D238E">
      <w:pPr>
        <w:pStyle w:val="Figuretitle"/>
        <w:keepLines/>
        <w:rPr>
          <w:lang w:val="es-ES_tradnl"/>
        </w:rPr>
      </w:pPr>
      <w:r w:rsidRPr="007703E3">
        <w:rPr>
          <w:lang w:val="es-ES_tradnl"/>
        </w:rPr>
        <w:t xml:space="preserve">Zona de exclusión </w:t>
      </w:r>
      <w:r w:rsidRPr="007703E3">
        <w:rPr>
          <w:spacing w:val="-2"/>
          <w:szCs w:val="24"/>
          <w:lang w:val="es-ES_tradnl"/>
        </w:rPr>
        <w:t>de una sola frecuencia</w:t>
      </w:r>
    </w:p>
    <w:p w:rsidR="007D238E" w:rsidRPr="007703E3" w:rsidRDefault="00335E5E" w:rsidP="007D238E">
      <w:pPr>
        <w:pStyle w:val="Figure"/>
        <w:keepNext/>
        <w:spacing w:before="240"/>
        <w:rPr>
          <w:lang w:val="es-ES_tradnl"/>
        </w:rPr>
      </w:pPr>
      <w:r>
        <w:object w:dxaOrig="4463" w:dyaOrig="31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279.6pt;height:197.4pt" o:ole="">
            <v:imagedata r:id="rId12" o:title=""/>
          </v:shape>
          <o:OLEObject Type="Embed" ProgID="CorelDraw.Graphic.17" ShapeID="_x0000_i1029" DrawAspect="Content" ObjectID="_1641115604" r:id="rId13"/>
        </w:object>
      </w:r>
    </w:p>
    <w:p w:rsidR="007D238E" w:rsidRPr="007703E3" w:rsidRDefault="007D238E" w:rsidP="007D238E">
      <w:pPr>
        <w:pStyle w:val="FigureNo"/>
        <w:rPr>
          <w:lang w:val="es-ES_tradnl"/>
        </w:rPr>
      </w:pPr>
      <w:r w:rsidRPr="007703E3">
        <w:rPr>
          <w:lang w:val="es-ES_tradnl"/>
        </w:rPr>
        <w:t>FIGURA 2</w:t>
      </w:r>
    </w:p>
    <w:p w:rsidR="007D238E" w:rsidRDefault="007D238E" w:rsidP="007D238E">
      <w:pPr>
        <w:pStyle w:val="Figuretitle"/>
        <w:rPr>
          <w:lang w:val="es-ES_tradnl"/>
        </w:rPr>
      </w:pPr>
      <w:r w:rsidRPr="007703E3">
        <w:rPr>
          <w:lang w:val="es-ES_tradnl"/>
        </w:rPr>
        <w:t>Reutilización de frecuencias en tres colores</w:t>
      </w:r>
    </w:p>
    <w:p w:rsidR="007D238E" w:rsidRPr="0024228F" w:rsidRDefault="00B206D3" w:rsidP="007D238E">
      <w:pPr>
        <w:pStyle w:val="Figure"/>
        <w:rPr>
          <w:lang w:val="es-ES_tradnl"/>
        </w:rPr>
      </w:pPr>
      <w:r>
        <w:rPr>
          <w:noProof/>
          <w:lang w:val="en-GB" w:eastAsia="en-GB"/>
        </w:rPr>
        <w:drawing>
          <wp:inline distT="0" distB="0" distL="0" distR="0">
            <wp:extent cx="3304039" cy="348996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A.1164-02e.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304039" cy="3489967"/>
                    </a:xfrm>
                    <a:prstGeom prst="rect">
                      <a:avLst/>
                    </a:prstGeom>
                  </pic:spPr>
                </pic:pic>
              </a:graphicData>
            </a:graphic>
          </wp:inline>
        </w:drawing>
      </w:r>
    </w:p>
    <w:p w:rsidR="007D238E" w:rsidRPr="007703E3" w:rsidRDefault="007D238E" w:rsidP="007D238E">
      <w:pPr>
        <w:pStyle w:val="Heading2"/>
        <w:rPr>
          <w:lang w:val="es-ES_tradnl"/>
        </w:rPr>
      </w:pPr>
      <w:r w:rsidRPr="007703E3">
        <w:rPr>
          <w:lang w:val="es-ES_tradnl"/>
        </w:rPr>
        <w:t>2.2</w:t>
      </w:r>
      <w:r w:rsidRPr="007703E3">
        <w:rPr>
          <w:lang w:val="es-ES_tradnl"/>
        </w:rPr>
        <w:tab/>
        <w:t>Cálculo del límite de potencia (a largo plazo) para proteger los DCS</w:t>
      </w:r>
    </w:p>
    <w:p w:rsidR="007D238E" w:rsidRPr="007703E3" w:rsidRDefault="007D238E" w:rsidP="007D238E">
      <w:pPr>
        <w:rPr>
          <w:lang w:val="es-ES_tradnl"/>
        </w:rPr>
      </w:pPr>
      <w:r w:rsidRPr="007703E3">
        <w:rPr>
          <w:lang w:val="es-ES_tradnl"/>
        </w:rPr>
        <w:t>Dado que se estima que nueve satélites en la línea de visión de un receptor DCS podrían estar utilizando la misma frecuencia y que la distribución de la potencia de interferencia en el trayecto espacio-Tierra equivale al 90% de la potencia de interferencia total (véase el Cuadro 2), el límite de potencia de interferencia de una sola fuente en el receptor de satélite de DCPR es el siguiente:</w:t>
      </w:r>
    </w:p>
    <w:p w:rsidR="007D238E" w:rsidRPr="007703E3" w:rsidRDefault="007D238E" w:rsidP="007D238E">
      <w:pPr>
        <w:pStyle w:val="Equation"/>
        <w:rPr>
          <w:lang w:val="es-ES_tradnl"/>
        </w:rPr>
      </w:pPr>
      <w:r w:rsidRPr="007703E3">
        <w:rPr>
          <w:lang w:val="es-ES_tradnl"/>
        </w:rPr>
        <w:tab/>
        <w:t xml:space="preserve">−191,5 </w:t>
      </w:r>
      <w:proofErr w:type="gramStart"/>
      <w:r w:rsidRPr="007703E3">
        <w:rPr>
          <w:lang w:val="es-ES_tradnl"/>
        </w:rPr>
        <w:t>dB(</w:t>
      </w:r>
      <w:proofErr w:type="gramEnd"/>
      <w:r w:rsidRPr="007703E3">
        <w:rPr>
          <w:lang w:val="es-ES_tradnl"/>
        </w:rPr>
        <w:t>W/100 Hz) + 10*LOG10(0,9) − 10*LOG10(9) = −201,5 dB(W/100 Hz).</w:t>
      </w:r>
    </w:p>
    <w:p w:rsidR="007D238E" w:rsidRPr="007703E3" w:rsidRDefault="007D238E" w:rsidP="007D238E">
      <w:pPr>
        <w:pStyle w:val="Heading2"/>
        <w:rPr>
          <w:lang w:val="es-ES_tradnl"/>
        </w:rPr>
      </w:pPr>
      <w:r w:rsidRPr="007703E3">
        <w:rPr>
          <w:lang w:val="es-ES_tradnl"/>
        </w:rPr>
        <w:lastRenderedPageBreak/>
        <w:t>2.3</w:t>
      </w:r>
      <w:r w:rsidRPr="007703E3">
        <w:rPr>
          <w:lang w:val="es-ES_tradnl"/>
        </w:rPr>
        <w:tab/>
        <w:t xml:space="preserve">Cálculo del límite de la </w:t>
      </w:r>
      <w:proofErr w:type="spellStart"/>
      <w:r w:rsidRPr="007703E3">
        <w:rPr>
          <w:lang w:val="es-ES_tradnl"/>
        </w:rPr>
        <w:t>dfp</w:t>
      </w:r>
      <w:proofErr w:type="spellEnd"/>
      <w:r w:rsidRPr="007703E3">
        <w:rPr>
          <w:lang w:val="es-ES_tradnl"/>
        </w:rPr>
        <w:t xml:space="preserve"> (a largo plazo) para proteger los DCS</w:t>
      </w:r>
    </w:p>
    <w:p w:rsidR="007D238E" w:rsidRPr="007703E3" w:rsidRDefault="007D238E" w:rsidP="007D238E">
      <w:pPr>
        <w:rPr>
          <w:lang w:val="es-ES_tradnl"/>
        </w:rPr>
      </w:pPr>
      <w:r w:rsidRPr="007703E3">
        <w:rPr>
          <w:lang w:val="es-ES_tradnl"/>
        </w:rPr>
        <w:t xml:space="preserve">La conversión a un límite de </w:t>
      </w:r>
      <w:proofErr w:type="spellStart"/>
      <w:r w:rsidRPr="007703E3">
        <w:rPr>
          <w:lang w:val="es-ES_tradnl"/>
        </w:rPr>
        <w:t>dfp</w:t>
      </w:r>
      <w:proofErr w:type="spellEnd"/>
      <w:r w:rsidRPr="007703E3">
        <w:rPr>
          <w:lang w:val="es-ES_tradnl"/>
        </w:rPr>
        <w:t xml:space="preserve"> de una sola fuente figura en el Cuadro 3.</w:t>
      </w:r>
    </w:p>
    <w:p w:rsidR="007D238E" w:rsidRPr="007703E3" w:rsidRDefault="007D238E" w:rsidP="007D238E">
      <w:pPr>
        <w:pStyle w:val="TableNo"/>
        <w:rPr>
          <w:lang w:val="es-ES_tradnl"/>
        </w:rPr>
      </w:pPr>
      <w:r w:rsidRPr="007703E3">
        <w:rPr>
          <w:lang w:val="es-ES_tradnl"/>
        </w:rPr>
        <w:t>CUADRO 3</w:t>
      </w:r>
    </w:p>
    <w:p w:rsidR="007D238E" w:rsidRPr="007703E3" w:rsidRDefault="007D238E" w:rsidP="007D238E">
      <w:pPr>
        <w:pStyle w:val="Tabletitle"/>
        <w:rPr>
          <w:lang w:val="es-ES_tradnl"/>
        </w:rPr>
      </w:pPr>
      <w:r w:rsidRPr="007703E3">
        <w:rPr>
          <w:lang w:val="es-ES_tradnl"/>
        </w:rPr>
        <w:t xml:space="preserve">Criterios de compartición a largo plazo y cálculo de la </w:t>
      </w:r>
      <w:proofErr w:type="spellStart"/>
      <w:r w:rsidRPr="007703E3">
        <w:rPr>
          <w:lang w:val="es-ES_tradnl"/>
        </w:rPr>
        <w:t>dfp</w:t>
      </w:r>
      <w:proofErr w:type="spellEnd"/>
      <w:r w:rsidRPr="007703E3">
        <w:rPr>
          <w:lang w:val="es-ES_tradnl"/>
        </w:rPr>
        <w:t xml:space="preserve"> para proteger los DCS</w:t>
      </w:r>
    </w:p>
    <w:tbl>
      <w:tblPr>
        <w:tblW w:w="9639" w:type="dxa"/>
        <w:jc w:val="center"/>
        <w:tblLook w:val="04A0" w:firstRow="1" w:lastRow="0" w:firstColumn="1" w:lastColumn="0" w:noHBand="0" w:noVBand="1"/>
      </w:tblPr>
      <w:tblGrid>
        <w:gridCol w:w="6037"/>
        <w:gridCol w:w="1308"/>
        <w:gridCol w:w="2294"/>
      </w:tblGrid>
      <w:tr w:rsidR="007D238E" w:rsidRPr="007703E3" w:rsidTr="00B9587B">
        <w:trPr>
          <w:trHeight w:val="320"/>
          <w:jc w:val="center"/>
        </w:trPr>
        <w:tc>
          <w:tcPr>
            <w:tcW w:w="6000" w:type="dxa"/>
            <w:tcBorders>
              <w:top w:val="single" w:sz="2" w:space="0" w:color="auto"/>
              <w:left w:val="single" w:sz="2" w:space="0" w:color="auto"/>
              <w:bottom w:val="single" w:sz="4" w:space="0" w:color="auto"/>
              <w:right w:val="single" w:sz="4" w:space="0" w:color="auto"/>
            </w:tcBorders>
            <w:shd w:val="clear" w:color="auto" w:fill="auto"/>
            <w:noWrap/>
            <w:vAlign w:val="center"/>
            <w:hideMark/>
          </w:tcPr>
          <w:p w:rsidR="007D238E" w:rsidRPr="007703E3" w:rsidRDefault="007D238E" w:rsidP="00B9587B">
            <w:pPr>
              <w:pStyle w:val="Tablehead"/>
              <w:rPr>
                <w:lang w:val="es-ES_tradnl"/>
              </w:rPr>
            </w:pPr>
            <w:r w:rsidRPr="007703E3">
              <w:rPr>
                <w:lang w:val="es-ES_tradnl"/>
              </w:rPr>
              <w:t xml:space="preserve">Criterios de compartición a largo plazo y </w:t>
            </w:r>
            <w:r w:rsidRPr="007703E3">
              <w:rPr>
                <w:lang w:val="es-ES_tradnl"/>
              </w:rPr>
              <w:br/>
              <w:t xml:space="preserve">cálculo de la </w:t>
            </w:r>
            <w:proofErr w:type="spellStart"/>
            <w:r w:rsidRPr="007703E3">
              <w:rPr>
                <w:lang w:val="es-ES_tradnl"/>
              </w:rPr>
              <w:t>dfp</w:t>
            </w:r>
            <w:proofErr w:type="spellEnd"/>
            <w:r w:rsidRPr="007703E3">
              <w:rPr>
                <w:lang w:val="es-ES_tradnl"/>
              </w:rPr>
              <w:t xml:space="preserve"> para proteger los DCS</w:t>
            </w:r>
          </w:p>
        </w:tc>
        <w:tc>
          <w:tcPr>
            <w:tcW w:w="1300" w:type="dxa"/>
            <w:tcBorders>
              <w:top w:val="single" w:sz="2" w:space="0" w:color="auto"/>
              <w:left w:val="nil"/>
              <w:bottom w:val="single" w:sz="4" w:space="0" w:color="auto"/>
              <w:right w:val="single" w:sz="4" w:space="0" w:color="auto"/>
            </w:tcBorders>
            <w:shd w:val="clear" w:color="auto" w:fill="auto"/>
            <w:noWrap/>
            <w:vAlign w:val="center"/>
            <w:hideMark/>
          </w:tcPr>
          <w:p w:rsidR="007D238E" w:rsidRPr="007703E3" w:rsidRDefault="007D238E" w:rsidP="00B9587B">
            <w:pPr>
              <w:pStyle w:val="Tablehead"/>
              <w:rPr>
                <w:lang w:val="es-ES_tradnl"/>
              </w:rPr>
            </w:pPr>
            <w:r w:rsidRPr="007703E3">
              <w:rPr>
                <w:lang w:val="es-ES_tradnl"/>
              </w:rPr>
              <w:t>Valor</w:t>
            </w:r>
          </w:p>
        </w:tc>
        <w:tc>
          <w:tcPr>
            <w:tcW w:w="2280" w:type="dxa"/>
            <w:tcBorders>
              <w:top w:val="single" w:sz="2" w:space="0" w:color="auto"/>
              <w:left w:val="nil"/>
              <w:bottom w:val="single" w:sz="4" w:space="0" w:color="auto"/>
              <w:right w:val="single" w:sz="2" w:space="0" w:color="auto"/>
            </w:tcBorders>
            <w:shd w:val="clear" w:color="auto" w:fill="auto"/>
            <w:noWrap/>
            <w:vAlign w:val="center"/>
            <w:hideMark/>
          </w:tcPr>
          <w:p w:rsidR="007D238E" w:rsidRPr="007703E3" w:rsidRDefault="007D238E" w:rsidP="00B9587B">
            <w:pPr>
              <w:pStyle w:val="Tablehead"/>
              <w:rPr>
                <w:lang w:val="es-ES_tradnl"/>
              </w:rPr>
            </w:pPr>
            <w:r w:rsidRPr="007703E3">
              <w:rPr>
                <w:lang w:val="es-ES_tradnl"/>
              </w:rPr>
              <w:t>Unidades</w:t>
            </w:r>
          </w:p>
        </w:tc>
      </w:tr>
      <w:tr w:rsidR="007D238E" w:rsidRPr="007703E3" w:rsidTr="00B9587B">
        <w:trPr>
          <w:jc w:val="center"/>
        </w:trPr>
        <w:tc>
          <w:tcPr>
            <w:tcW w:w="60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D238E" w:rsidRPr="007703E3" w:rsidRDefault="007D238E" w:rsidP="00B9587B">
            <w:pPr>
              <w:pStyle w:val="Tabletext"/>
              <w:rPr>
                <w:lang w:val="es-ES_tradnl"/>
              </w:rPr>
            </w:pPr>
            <w:r w:rsidRPr="007703E3">
              <w:rPr>
                <w:lang w:val="es-ES_tradnl"/>
              </w:rPr>
              <w:t>Criterios de interferencia (Rec. UIT-R SA.1163, Cuadro 1)</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rsidR="007D238E" w:rsidRPr="007703E3" w:rsidRDefault="007D238E" w:rsidP="00B9587B">
            <w:pPr>
              <w:pStyle w:val="Tabletext"/>
              <w:jc w:val="center"/>
              <w:rPr>
                <w:lang w:val="es-ES_tradnl"/>
              </w:rPr>
            </w:pPr>
            <w:r w:rsidRPr="007703E3">
              <w:rPr>
                <w:lang w:val="es-ES_tradnl"/>
              </w:rPr>
              <w:t>−191,5</w:t>
            </w:r>
          </w:p>
        </w:tc>
        <w:tc>
          <w:tcPr>
            <w:tcW w:w="2280" w:type="dxa"/>
            <w:tcBorders>
              <w:top w:val="single" w:sz="4" w:space="0" w:color="auto"/>
              <w:left w:val="nil"/>
              <w:bottom w:val="single" w:sz="4" w:space="0" w:color="auto"/>
              <w:right w:val="single" w:sz="4" w:space="0" w:color="auto"/>
            </w:tcBorders>
            <w:shd w:val="clear" w:color="auto" w:fill="auto"/>
            <w:noWrap/>
            <w:vAlign w:val="bottom"/>
            <w:hideMark/>
          </w:tcPr>
          <w:p w:rsidR="007D238E" w:rsidRPr="007703E3" w:rsidRDefault="007D238E" w:rsidP="00B9587B">
            <w:pPr>
              <w:pStyle w:val="Tabletext"/>
              <w:jc w:val="center"/>
              <w:rPr>
                <w:lang w:val="es-ES_tradnl"/>
              </w:rPr>
            </w:pPr>
            <w:r w:rsidRPr="007703E3">
              <w:rPr>
                <w:lang w:val="es-ES_tradnl"/>
              </w:rPr>
              <w:t>dB(W/100 Hz)</w:t>
            </w:r>
          </w:p>
        </w:tc>
      </w:tr>
      <w:tr w:rsidR="007D238E" w:rsidRPr="007703E3" w:rsidTr="00B9587B">
        <w:trPr>
          <w:jc w:val="center"/>
        </w:trPr>
        <w:tc>
          <w:tcPr>
            <w:tcW w:w="60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D238E" w:rsidRPr="007703E3" w:rsidRDefault="007D238E" w:rsidP="00B9587B">
            <w:pPr>
              <w:pStyle w:val="Tabletext"/>
              <w:rPr>
                <w:lang w:val="es-ES_tradnl"/>
              </w:rPr>
            </w:pPr>
            <w:r w:rsidRPr="007703E3">
              <w:rPr>
                <w:lang w:val="es-ES_tradnl"/>
              </w:rPr>
              <w:t>Distribución del trayecto de interferencia espacio-Tierra</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rsidR="007D238E" w:rsidRPr="007703E3" w:rsidRDefault="007D238E" w:rsidP="00B9587B">
            <w:pPr>
              <w:pStyle w:val="Tabletext"/>
              <w:jc w:val="center"/>
              <w:rPr>
                <w:lang w:val="es-ES_tradnl"/>
              </w:rPr>
            </w:pPr>
            <w:r w:rsidRPr="007703E3">
              <w:rPr>
                <w:lang w:val="es-ES_tradnl"/>
              </w:rPr>
              <w:t>90</w:t>
            </w:r>
          </w:p>
        </w:tc>
        <w:tc>
          <w:tcPr>
            <w:tcW w:w="2280" w:type="dxa"/>
            <w:tcBorders>
              <w:top w:val="single" w:sz="4" w:space="0" w:color="auto"/>
              <w:left w:val="nil"/>
              <w:bottom w:val="single" w:sz="4" w:space="0" w:color="auto"/>
              <w:right w:val="single" w:sz="4" w:space="0" w:color="auto"/>
            </w:tcBorders>
            <w:shd w:val="clear" w:color="auto" w:fill="auto"/>
            <w:noWrap/>
            <w:vAlign w:val="bottom"/>
            <w:hideMark/>
          </w:tcPr>
          <w:p w:rsidR="007D238E" w:rsidRPr="007703E3" w:rsidRDefault="007D238E" w:rsidP="00B9587B">
            <w:pPr>
              <w:pStyle w:val="Tabletext"/>
              <w:jc w:val="center"/>
              <w:rPr>
                <w:lang w:val="es-ES_tradnl"/>
              </w:rPr>
            </w:pPr>
            <w:r w:rsidRPr="007703E3">
              <w:rPr>
                <w:lang w:val="es-ES_tradnl"/>
              </w:rPr>
              <w:t>%</w:t>
            </w:r>
          </w:p>
        </w:tc>
      </w:tr>
      <w:tr w:rsidR="007D238E" w:rsidRPr="007703E3" w:rsidTr="00B9587B">
        <w:trPr>
          <w:jc w:val="center"/>
        </w:trPr>
        <w:tc>
          <w:tcPr>
            <w:tcW w:w="60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D238E" w:rsidRPr="007703E3" w:rsidRDefault="007D238E" w:rsidP="00B9587B">
            <w:pPr>
              <w:pStyle w:val="Tabletext"/>
              <w:rPr>
                <w:lang w:val="es-ES_tradnl"/>
              </w:rPr>
            </w:pPr>
            <w:r w:rsidRPr="007703E3">
              <w:rPr>
                <w:lang w:val="es-ES_tradnl"/>
              </w:rPr>
              <w:t>Criterios de interferencia, componente del trayecto espacio-Tierra</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rsidR="007D238E" w:rsidRPr="007703E3" w:rsidRDefault="007D238E" w:rsidP="00B9587B">
            <w:pPr>
              <w:pStyle w:val="Tabletext"/>
              <w:jc w:val="center"/>
              <w:rPr>
                <w:lang w:val="es-ES_tradnl"/>
              </w:rPr>
            </w:pPr>
            <w:r w:rsidRPr="007703E3">
              <w:rPr>
                <w:lang w:val="es-ES_tradnl"/>
              </w:rPr>
              <w:t>−192,0</w:t>
            </w:r>
          </w:p>
        </w:tc>
        <w:tc>
          <w:tcPr>
            <w:tcW w:w="2280" w:type="dxa"/>
            <w:tcBorders>
              <w:top w:val="single" w:sz="4" w:space="0" w:color="auto"/>
              <w:left w:val="nil"/>
              <w:bottom w:val="single" w:sz="4" w:space="0" w:color="auto"/>
              <w:right w:val="single" w:sz="4" w:space="0" w:color="auto"/>
            </w:tcBorders>
            <w:shd w:val="clear" w:color="auto" w:fill="auto"/>
            <w:noWrap/>
            <w:vAlign w:val="bottom"/>
            <w:hideMark/>
          </w:tcPr>
          <w:p w:rsidR="007D238E" w:rsidRPr="007703E3" w:rsidRDefault="007D238E" w:rsidP="00B9587B">
            <w:pPr>
              <w:pStyle w:val="Tabletext"/>
              <w:jc w:val="center"/>
              <w:rPr>
                <w:lang w:val="es-ES_tradnl"/>
              </w:rPr>
            </w:pPr>
            <w:r w:rsidRPr="007703E3">
              <w:rPr>
                <w:lang w:val="es-ES_tradnl"/>
              </w:rPr>
              <w:t>dB(W/100 Hz)</w:t>
            </w:r>
          </w:p>
        </w:tc>
      </w:tr>
      <w:tr w:rsidR="007D238E" w:rsidRPr="007703E3" w:rsidTr="00B9587B">
        <w:trPr>
          <w:jc w:val="center"/>
        </w:trPr>
        <w:tc>
          <w:tcPr>
            <w:tcW w:w="60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D238E" w:rsidRPr="007703E3" w:rsidRDefault="007D238E" w:rsidP="00B9587B">
            <w:pPr>
              <w:pStyle w:val="Tabletext"/>
              <w:rPr>
                <w:lang w:val="es-ES_tradnl"/>
              </w:rPr>
            </w:pPr>
            <w:r w:rsidRPr="007703E3">
              <w:rPr>
                <w:lang w:val="es-ES_tradnl"/>
              </w:rPr>
              <w:t>Número equivalente de fuentes de interferencia a largo plazo</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rsidR="007D238E" w:rsidRPr="007703E3" w:rsidRDefault="007D238E" w:rsidP="00B9587B">
            <w:pPr>
              <w:pStyle w:val="Tabletext"/>
              <w:jc w:val="center"/>
              <w:rPr>
                <w:lang w:val="es-ES_tradnl"/>
              </w:rPr>
            </w:pPr>
            <w:r w:rsidRPr="007703E3">
              <w:rPr>
                <w:lang w:val="es-ES_tradnl"/>
              </w:rPr>
              <w:t>9</w:t>
            </w:r>
          </w:p>
        </w:tc>
        <w:tc>
          <w:tcPr>
            <w:tcW w:w="2280" w:type="dxa"/>
            <w:tcBorders>
              <w:top w:val="single" w:sz="4" w:space="0" w:color="auto"/>
              <w:left w:val="nil"/>
              <w:bottom w:val="single" w:sz="4" w:space="0" w:color="auto"/>
              <w:right w:val="single" w:sz="4" w:space="0" w:color="auto"/>
            </w:tcBorders>
            <w:shd w:val="clear" w:color="auto" w:fill="auto"/>
            <w:noWrap/>
            <w:vAlign w:val="bottom"/>
            <w:hideMark/>
          </w:tcPr>
          <w:p w:rsidR="007D238E" w:rsidRPr="007703E3" w:rsidRDefault="007D238E" w:rsidP="00B9587B">
            <w:pPr>
              <w:pStyle w:val="Tabletext"/>
              <w:jc w:val="center"/>
              <w:rPr>
                <w:lang w:val="es-ES_tradnl"/>
              </w:rPr>
            </w:pPr>
            <w:r w:rsidRPr="007703E3">
              <w:rPr>
                <w:lang w:val="es-ES_tradnl"/>
              </w:rPr>
              <w:t>−</w:t>
            </w:r>
          </w:p>
        </w:tc>
      </w:tr>
      <w:tr w:rsidR="007D238E" w:rsidRPr="007703E3" w:rsidTr="00B9587B">
        <w:trPr>
          <w:jc w:val="center"/>
        </w:trPr>
        <w:tc>
          <w:tcPr>
            <w:tcW w:w="60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D238E" w:rsidRPr="007703E3" w:rsidRDefault="007D238E" w:rsidP="00B9587B">
            <w:pPr>
              <w:pStyle w:val="Tabletext"/>
              <w:rPr>
                <w:lang w:val="es-ES_tradnl"/>
              </w:rPr>
            </w:pPr>
            <w:r w:rsidRPr="007703E3">
              <w:rPr>
                <w:lang w:val="es-ES_tradnl"/>
              </w:rPr>
              <w:t>Criterios de compartición (una sola fuente)</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rsidR="007D238E" w:rsidRPr="007703E3" w:rsidRDefault="007D238E" w:rsidP="00B9587B">
            <w:pPr>
              <w:pStyle w:val="Tabletext"/>
              <w:jc w:val="center"/>
              <w:rPr>
                <w:lang w:val="es-ES_tradnl"/>
              </w:rPr>
            </w:pPr>
            <w:r w:rsidRPr="007703E3">
              <w:rPr>
                <w:lang w:val="es-ES_tradnl"/>
              </w:rPr>
              <w:t>−201,5</w:t>
            </w:r>
          </w:p>
        </w:tc>
        <w:tc>
          <w:tcPr>
            <w:tcW w:w="2280" w:type="dxa"/>
            <w:tcBorders>
              <w:top w:val="single" w:sz="4" w:space="0" w:color="auto"/>
              <w:left w:val="nil"/>
              <w:bottom w:val="single" w:sz="4" w:space="0" w:color="auto"/>
              <w:right w:val="single" w:sz="4" w:space="0" w:color="auto"/>
            </w:tcBorders>
            <w:shd w:val="clear" w:color="auto" w:fill="auto"/>
            <w:noWrap/>
            <w:vAlign w:val="bottom"/>
            <w:hideMark/>
          </w:tcPr>
          <w:p w:rsidR="007D238E" w:rsidRPr="007703E3" w:rsidRDefault="007D238E" w:rsidP="00B9587B">
            <w:pPr>
              <w:pStyle w:val="Tabletext"/>
              <w:jc w:val="center"/>
              <w:rPr>
                <w:lang w:val="es-ES_tradnl"/>
              </w:rPr>
            </w:pPr>
            <w:r w:rsidRPr="007703E3">
              <w:rPr>
                <w:lang w:val="es-ES_tradnl"/>
              </w:rPr>
              <w:t>dB(W/100 Hz)</w:t>
            </w:r>
          </w:p>
        </w:tc>
      </w:tr>
      <w:tr w:rsidR="007D238E" w:rsidRPr="007703E3" w:rsidTr="00B9587B">
        <w:trPr>
          <w:jc w:val="center"/>
        </w:trPr>
        <w:tc>
          <w:tcPr>
            <w:tcW w:w="6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38E" w:rsidRPr="007703E3" w:rsidRDefault="007D238E" w:rsidP="00B9587B">
            <w:pPr>
              <w:pStyle w:val="Tabletext"/>
              <w:rPr>
                <w:lang w:val="es-ES_tradnl"/>
              </w:rPr>
            </w:pPr>
            <w:r w:rsidRPr="007703E3">
              <w:rPr>
                <w:lang w:val="es-ES_tradnl"/>
              </w:rPr>
              <w:t>Ganancia de la antena receptora del vehículo espacial DCPR</w:t>
            </w:r>
            <w:r w:rsidRPr="007703E3">
              <w:rPr>
                <w:vertAlign w:val="superscript"/>
                <w:lang w:val="es-ES_tradnl"/>
              </w:rPr>
              <w:t>(1)</w:t>
            </w:r>
          </w:p>
        </w:tc>
        <w:tc>
          <w:tcPr>
            <w:tcW w:w="1300" w:type="dxa"/>
            <w:tcBorders>
              <w:top w:val="single" w:sz="4" w:space="0" w:color="auto"/>
              <w:left w:val="nil"/>
              <w:bottom w:val="single" w:sz="4" w:space="0" w:color="auto"/>
              <w:right w:val="single" w:sz="4" w:space="0" w:color="auto"/>
            </w:tcBorders>
            <w:shd w:val="clear" w:color="auto" w:fill="auto"/>
            <w:noWrap/>
            <w:vAlign w:val="center"/>
            <w:hideMark/>
          </w:tcPr>
          <w:p w:rsidR="007D238E" w:rsidRPr="007703E3" w:rsidRDefault="007D238E" w:rsidP="00B9587B">
            <w:pPr>
              <w:pStyle w:val="Tabletext"/>
              <w:jc w:val="center"/>
              <w:rPr>
                <w:lang w:val="es-ES_tradnl"/>
              </w:rPr>
            </w:pPr>
            <w:r w:rsidRPr="007703E3">
              <w:rPr>
                <w:lang w:val="es-ES_tradnl"/>
              </w:rPr>
              <w:t>13,8</w:t>
            </w:r>
          </w:p>
        </w:tc>
        <w:tc>
          <w:tcPr>
            <w:tcW w:w="2280" w:type="dxa"/>
            <w:tcBorders>
              <w:top w:val="single" w:sz="4" w:space="0" w:color="auto"/>
              <w:left w:val="nil"/>
              <w:bottom w:val="single" w:sz="4" w:space="0" w:color="auto"/>
              <w:right w:val="single" w:sz="4" w:space="0" w:color="auto"/>
            </w:tcBorders>
            <w:shd w:val="clear" w:color="auto" w:fill="auto"/>
            <w:noWrap/>
            <w:vAlign w:val="center"/>
            <w:hideMark/>
          </w:tcPr>
          <w:p w:rsidR="007D238E" w:rsidRPr="007703E3" w:rsidRDefault="007D238E" w:rsidP="00B9587B">
            <w:pPr>
              <w:pStyle w:val="Tabletext"/>
              <w:jc w:val="center"/>
              <w:rPr>
                <w:lang w:val="es-ES_tradnl"/>
              </w:rPr>
            </w:pPr>
            <w:proofErr w:type="spellStart"/>
            <w:r w:rsidRPr="007703E3">
              <w:rPr>
                <w:lang w:val="es-ES_tradnl"/>
              </w:rPr>
              <w:t>dBi</w:t>
            </w:r>
            <w:proofErr w:type="spellEnd"/>
          </w:p>
        </w:tc>
      </w:tr>
      <w:tr w:rsidR="007D238E" w:rsidRPr="007703E3" w:rsidTr="00B9587B">
        <w:trPr>
          <w:jc w:val="center"/>
        </w:trPr>
        <w:tc>
          <w:tcPr>
            <w:tcW w:w="6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238E" w:rsidRPr="007703E3" w:rsidRDefault="007D238E" w:rsidP="00B9587B">
            <w:pPr>
              <w:pStyle w:val="Tabletext"/>
              <w:rPr>
                <w:lang w:val="es-ES_tradnl"/>
              </w:rPr>
            </w:pPr>
            <w:r w:rsidRPr="007703E3">
              <w:rPr>
                <w:lang w:val="es-ES_tradnl"/>
              </w:rPr>
              <w:t>Zona isótropa de recepción</w:t>
            </w:r>
          </w:p>
        </w:tc>
        <w:tc>
          <w:tcPr>
            <w:tcW w:w="1300" w:type="dxa"/>
            <w:tcBorders>
              <w:top w:val="single" w:sz="4" w:space="0" w:color="auto"/>
              <w:left w:val="nil"/>
              <w:bottom w:val="single" w:sz="4" w:space="0" w:color="auto"/>
              <w:right w:val="single" w:sz="4" w:space="0" w:color="auto"/>
            </w:tcBorders>
            <w:shd w:val="clear" w:color="auto" w:fill="auto"/>
            <w:noWrap/>
            <w:vAlign w:val="center"/>
            <w:hideMark/>
          </w:tcPr>
          <w:p w:rsidR="007D238E" w:rsidRPr="007703E3" w:rsidRDefault="007D238E" w:rsidP="00B9587B">
            <w:pPr>
              <w:pStyle w:val="Tabletext"/>
              <w:jc w:val="center"/>
              <w:rPr>
                <w:lang w:val="es-ES_tradnl"/>
              </w:rPr>
            </w:pPr>
            <w:r w:rsidRPr="007703E3">
              <w:rPr>
                <w:lang w:val="es-ES_tradnl"/>
              </w:rPr>
              <w:t>−13,5</w:t>
            </w:r>
          </w:p>
        </w:tc>
        <w:tc>
          <w:tcPr>
            <w:tcW w:w="2280" w:type="dxa"/>
            <w:tcBorders>
              <w:top w:val="single" w:sz="4" w:space="0" w:color="auto"/>
              <w:left w:val="nil"/>
              <w:bottom w:val="single" w:sz="4" w:space="0" w:color="auto"/>
              <w:right w:val="single" w:sz="4" w:space="0" w:color="auto"/>
            </w:tcBorders>
            <w:shd w:val="clear" w:color="auto" w:fill="auto"/>
            <w:noWrap/>
            <w:vAlign w:val="center"/>
            <w:hideMark/>
          </w:tcPr>
          <w:p w:rsidR="007D238E" w:rsidRPr="007703E3" w:rsidRDefault="007D238E" w:rsidP="00B9587B">
            <w:pPr>
              <w:pStyle w:val="Tabletext"/>
              <w:jc w:val="center"/>
              <w:rPr>
                <w:lang w:val="es-ES_tradnl"/>
              </w:rPr>
            </w:pPr>
            <w:r w:rsidRPr="007703E3">
              <w:rPr>
                <w:lang w:val="es-ES_tradnl"/>
              </w:rPr>
              <w:t>dB(m</w:t>
            </w:r>
            <w:r w:rsidRPr="007703E3">
              <w:rPr>
                <w:vertAlign w:val="superscript"/>
                <w:lang w:val="es-ES_tradnl"/>
              </w:rPr>
              <w:t>2</w:t>
            </w:r>
            <w:r w:rsidRPr="007703E3">
              <w:rPr>
                <w:lang w:val="es-ES_tradnl"/>
              </w:rPr>
              <w:t>)</w:t>
            </w:r>
          </w:p>
        </w:tc>
      </w:tr>
      <w:tr w:rsidR="007D238E" w:rsidRPr="007703E3" w:rsidTr="00B9587B">
        <w:trPr>
          <w:jc w:val="center"/>
        </w:trPr>
        <w:tc>
          <w:tcPr>
            <w:tcW w:w="60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D238E" w:rsidRPr="007703E3" w:rsidRDefault="007D238E" w:rsidP="00B9587B">
            <w:pPr>
              <w:pStyle w:val="Tabletext"/>
              <w:rPr>
                <w:lang w:val="es-ES_tradnl"/>
              </w:rPr>
            </w:pPr>
            <w:proofErr w:type="spellStart"/>
            <w:r w:rsidRPr="007703E3">
              <w:rPr>
                <w:lang w:val="es-ES_tradnl"/>
              </w:rPr>
              <w:t>dfp</w:t>
            </w:r>
            <w:proofErr w:type="spellEnd"/>
            <w:r w:rsidRPr="007703E3">
              <w:rPr>
                <w:lang w:val="es-ES_tradnl"/>
              </w:rPr>
              <w:t xml:space="preserve"> (una sola fuente) en el ancho de banda de referencia</w:t>
            </w:r>
          </w:p>
        </w:tc>
        <w:tc>
          <w:tcPr>
            <w:tcW w:w="1300" w:type="dxa"/>
            <w:tcBorders>
              <w:top w:val="single" w:sz="4" w:space="0" w:color="auto"/>
              <w:left w:val="nil"/>
              <w:bottom w:val="single" w:sz="4" w:space="0" w:color="auto"/>
              <w:right w:val="single" w:sz="4" w:space="0" w:color="auto"/>
            </w:tcBorders>
            <w:shd w:val="clear" w:color="auto" w:fill="auto"/>
            <w:noWrap/>
            <w:vAlign w:val="center"/>
          </w:tcPr>
          <w:p w:rsidR="007D238E" w:rsidRPr="007703E3" w:rsidRDefault="007D238E" w:rsidP="00B9587B">
            <w:pPr>
              <w:pStyle w:val="Tabletext"/>
              <w:jc w:val="center"/>
              <w:rPr>
                <w:lang w:val="es-ES_tradnl"/>
              </w:rPr>
            </w:pPr>
            <w:r w:rsidRPr="007703E3">
              <w:rPr>
                <w:lang w:val="es-ES_tradnl"/>
              </w:rPr>
              <w:t>−201,8</w:t>
            </w:r>
          </w:p>
        </w:tc>
        <w:tc>
          <w:tcPr>
            <w:tcW w:w="2280" w:type="dxa"/>
            <w:tcBorders>
              <w:top w:val="single" w:sz="4" w:space="0" w:color="auto"/>
              <w:left w:val="nil"/>
              <w:bottom w:val="single" w:sz="4" w:space="0" w:color="auto"/>
              <w:right w:val="single" w:sz="4" w:space="0" w:color="auto"/>
            </w:tcBorders>
            <w:shd w:val="clear" w:color="auto" w:fill="auto"/>
            <w:noWrap/>
            <w:vAlign w:val="center"/>
          </w:tcPr>
          <w:p w:rsidR="007D238E" w:rsidRPr="007703E3" w:rsidRDefault="007D238E" w:rsidP="00B9587B">
            <w:pPr>
              <w:pStyle w:val="Tabletext"/>
              <w:jc w:val="center"/>
              <w:rPr>
                <w:lang w:val="es-ES_tradnl"/>
              </w:rPr>
            </w:pPr>
            <w:r w:rsidRPr="007703E3">
              <w:rPr>
                <w:lang w:val="es-ES_tradnl"/>
              </w:rPr>
              <w:t>dB(W/m</w:t>
            </w:r>
            <w:r w:rsidRPr="007703E3">
              <w:rPr>
                <w:vertAlign w:val="superscript"/>
                <w:lang w:val="es-ES_tradnl"/>
              </w:rPr>
              <w:t>2</w:t>
            </w:r>
            <w:r w:rsidRPr="007703E3">
              <w:rPr>
                <w:lang w:val="es-ES_tradnl"/>
              </w:rPr>
              <w:t>/100 Hz)</w:t>
            </w:r>
          </w:p>
        </w:tc>
      </w:tr>
      <w:tr w:rsidR="007D238E" w:rsidRPr="007D238E" w:rsidTr="00B9587B">
        <w:trPr>
          <w:jc w:val="center"/>
        </w:trPr>
        <w:tc>
          <w:tcPr>
            <w:tcW w:w="9580" w:type="dxa"/>
            <w:gridSpan w:val="3"/>
            <w:tcBorders>
              <w:top w:val="single" w:sz="4" w:space="0" w:color="auto"/>
            </w:tcBorders>
            <w:shd w:val="clear" w:color="auto" w:fill="auto"/>
            <w:noWrap/>
            <w:vAlign w:val="center"/>
          </w:tcPr>
          <w:p w:rsidR="007D238E" w:rsidRPr="007703E3" w:rsidRDefault="007D238E" w:rsidP="00B9587B">
            <w:pPr>
              <w:pStyle w:val="Tablelegend"/>
              <w:rPr>
                <w:lang w:val="es-ES_tradnl"/>
              </w:rPr>
            </w:pPr>
            <w:r w:rsidRPr="007703E3">
              <w:rPr>
                <w:vertAlign w:val="superscript"/>
                <w:lang w:val="es-ES_tradnl"/>
              </w:rPr>
              <w:t>(1)</w:t>
            </w:r>
            <w:r w:rsidRPr="007703E3">
              <w:rPr>
                <w:lang w:val="es-ES_tradnl"/>
              </w:rPr>
              <w:tab/>
              <w:t>La ganancia de la antena receptora del vehículo espacial DCPR se ha obtenido del Cuadro 1 de la Recomendación UIT-R SA.1163.</w:t>
            </w:r>
          </w:p>
        </w:tc>
      </w:tr>
    </w:tbl>
    <w:p w:rsidR="007D238E" w:rsidRPr="007703E3" w:rsidRDefault="007D238E" w:rsidP="007D238E">
      <w:pPr>
        <w:pStyle w:val="Tablefin"/>
        <w:rPr>
          <w:lang w:val="es-ES_tradnl"/>
        </w:rPr>
      </w:pPr>
    </w:p>
    <w:p w:rsidR="007D238E" w:rsidRPr="007703E3" w:rsidRDefault="007D238E" w:rsidP="007D238E">
      <w:pPr>
        <w:rPr>
          <w:lang w:val="es-ES_tradnl"/>
        </w:rPr>
      </w:pPr>
      <w:r w:rsidRPr="007703E3">
        <w:rPr>
          <w:lang w:val="es-ES_tradnl"/>
        </w:rPr>
        <w:t xml:space="preserve">Así, los criterios de compartición equivalentes, expresados en forma de </w:t>
      </w:r>
      <w:proofErr w:type="spellStart"/>
      <w:r w:rsidRPr="007703E3">
        <w:rPr>
          <w:lang w:val="es-ES_tradnl"/>
        </w:rPr>
        <w:t>dfp</w:t>
      </w:r>
      <w:proofErr w:type="spellEnd"/>
      <w:r w:rsidRPr="007703E3">
        <w:rPr>
          <w:lang w:val="es-ES_tradnl"/>
        </w:rPr>
        <w:t xml:space="preserve"> de una sola fuente en la órbita geoestacionaria, equivalen a −201,8 </w:t>
      </w:r>
      <w:proofErr w:type="gramStart"/>
      <w:r w:rsidRPr="007703E3">
        <w:rPr>
          <w:lang w:val="es-ES_tradnl"/>
        </w:rPr>
        <w:t>dB(</w:t>
      </w:r>
      <w:proofErr w:type="gramEnd"/>
      <w:r w:rsidRPr="007703E3">
        <w:rPr>
          <w:lang w:val="es-ES_tradnl"/>
        </w:rPr>
        <w:t>W/m</w:t>
      </w:r>
      <w:r w:rsidRPr="007703E3">
        <w:rPr>
          <w:szCs w:val="24"/>
          <w:vertAlign w:val="superscript"/>
          <w:lang w:val="es-ES_tradnl"/>
        </w:rPr>
        <w:t>2</w:t>
      </w:r>
      <w:r w:rsidRPr="007703E3">
        <w:rPr>
          <w:lang w:val="es-ES_tradnl"/>
        </w:rPr>
        <w:t>/100 Hz). Este es el límite para la interferencia procedente de una sola fuente que han de cumplir todos los satélites del servicio de operaciones espaciales que funcionen en l</w:t>
      </w:r>
      <w:bookmarkStart w:id="4" w:name="_GoBack"/>
      <w:bookmarkEnd w:id="4"/>
      <w:r w:rsidRPr="007703E3">
        <w:rPr>
          <w:lang w:val="es-ES_tradnl"/>
        </w:rPr>
        <w:t>a banda de frecuencias 401-403 MHz.</w:t>
      </w:r>
    </w:p>
    <w:p w:rsidR="007D238E" w:rsidRPr="002319C6" w:rsidRDefault="007D238E" w:rsidP="007D238E">
      <w:pPr>
        <w:pStyle w:val="Reasons"/>
        <w:rPr>
          <w:lang w:val="es-ES"/>
        </w:rPr>
      </w:pPr>
    </w:p>
    <w:p w:rsidR="007D238E" w:rsidRDefault="007D238E" w:rsidP="007D238E">
      <w:pPr>
        <w:jc w:val="center"/>
      </w:pPr>
      <w:r>
        <w:t>______________</w:t>
      </w:r>
    </w:p>
    <w:p w:rsidR="00B1717A" w:rsidRPr="0010336F" w:rsidRDefault="00B1717A" w:rsidP="007D238E">
      <w:pPr>
        <w:rPr>
          <w:lang w:val="es-ES_tradnl"/>
        </w:rPr>
      </w:pPr>
    </w:p>
    <w:sectPr w:rsidR="00B1717A" w:rsidRPr="0010336F" w:rsidSect="00DA5A08">
      <w:headerReference w:type="even" r:id="rId15"/>
      <w:headerReference w:type="default" r:id="rId16"/>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263A6" w:rsidRDefault="00F263A6">
      <w:r>
        <w:separator/>
      </w:r>
    </w:p>
  </w:endnote>
  <w:endnote w:type="continuationSeparator" w:id="0">
    <w:p w:rsidR="00F263A6" w:rsidRDefault="00F263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263A6" w:rsidRDefault="00F263A6">
      <w:r>
        <w:separator/>
      </w:r>
    </w:p>
  </w:footnote>
  <w:footnote w:type="continuationSeparator" w:id="0">
    <w:p w:rsidR="00F263A6" w:rsidRDefault="00F263A6">
      <w:r>
        <w:continuationSeparator/>
      </w:r>
    </w:p>
  </w:footnote>
  <w:footnote w:id="1">
    <w:p w:rsidR="007D238E" w:rsidRPr="00D35954" w:rsidRDefault="007D238E" w:rsidP="007D238E">
      <w:pPr>
        <w:pStyle w:val="FootnoteText"/>
        <w:spacing w:before="80"/>
        <w:rPr>
          <w:lang w:val="es-ES"/>
        </w:rPr>
      </w:pPr>
      <w:r w:rsidRPr="00A32447">
        <w:rPr>
          <w:rStyle w:val="FootnoteReference"/>
          <w:lang w:val="es-ES"/>
        </w:rPr>
        <w:t>1</w:t>
      </w:r>
      <w:r w:rsidRPr="004D0A15">
        <w:rPr>
          <w:lang w:val="es-ES"/>
        </w:rPr>
        <w:tab/>
      </w:r>
      <w:r>
        <w:rPr>
          <w:lang w:val="es-ES"/>
        </w:rPr>
        <w:t xml:space="preserve">Véase el </w:t>
      </w:r>
      <w:r w:rsidRPr="009E6712">
        <w:rPr>
          <w:lang w:val="es-ES"/>
        </w:rPr>
        <w:t>Informe UIT-R SA.2312-</w:t>
      </w:r>
      <w:r>
        <w:rPr>
          <w:lang w:val="es-ES"/>
        </w:rPr>
        <w:t>0 – </w:t>
      </w:r>
      <w:r w:rsidRPr="002F780B">
        <w:rPr>
          <w:iCs/>
          <w:lang w:val="es-ES"/>
        </w:rPr>
        <w:t xml:space="preserve">Características, definiciones y requisitos de espectro de los </w:t>
      </w:r>
      <w:proofErr w:type="spellStart"/>
      <w:r w:rsidRPr="002F780B">
        <w:rPr>
          <w:iCs/>
          <w:lang w:val="es-ES"/>
        </w:rPr>
        <w:t>nanosatélites</w:t>
      </w:r>
      <w:proofErr w:type="spellEnd"/>
      <w:r w:rsidRPr="002F780B">
        <w:rPr>
          <w:iCs/>
          <w:lang w:val="es-ES"/>
        </w:rPr>
        <w:t xml:space="preserve"> y los </w:t>
      </w:r>
      <w:proofErr w:type="spellStart"/>
      <w:r w:rsidRPr="002F780B">
        <w:rPr>
          <w:iCs/>
          <w:lang w:val="es-ES"/>
        </w:rPr>
        <w:t>picosatélites</w:t>
      </w:r>
      <w:proofErr w:type="spellEnd"/>
      <w:r w:rsidRPr="002F780B">
        <w:rPr>
          <w:iCs/>
          <w:lang w:val="es-ES"/>
        </w:rPr>
        <w:t>, así como de los sistemas integrados por estos últimos</w:t>
      </w:r>
      <w:r w:rsidRPr="002F780B">
        <w:rPr>
          <w:lang w:val="es-ES"/>
        </w:rPr>
        <w:t>.</w:t>
      </w:r>
    </w:p>
  </w:footnote>
  <w:footnote w:id="2">
    <w:p w:rsidR="007D238E" w:rsidRPr="00D35954" w:rsidRDefault="007D238E" w:rsidP="007D238E">
      <w:pPr>
        <w:pStyle w:val="FootnoteText"/>
        <w:spacing w:before="80"/>
        <w:rPr>
          <w:lang w:val="es-ES"/>
        </w:rPr>
      </w:pPr>
      <w:r w:rsidRPr="00A32447">
        <w:rPr>
          <w:rStyle w:val="FootnoteReference"/>
          <w:lang w:val="es-ES"/>
        </w:rPr>
        <w:t>2</w:t>
      </w:r>
      <w:r w:rsidRPr="00D35954">
        <w:rPr>
          <w:lang w:val="es-ES"/>
        </w:rPr>
        <w:tab/>
        <w:t>En el Cuadro 2 del Informe UIT-R SA.2312-0 se describe la direccionalidad de l</w:t>
      </w:r>
      <w:r>
        <w:rPr>
          <w:lang w:val="es-ES"/>
        </w:rPr>
        <w:t>as</w:t>
      </w:r>
      <w:r w:rsidRPr="00D35954">
        <w:rPr>
          <w:lang w:val="es-ES"/>
        </w:rPr>
        <w:t xml:space="preserve"> antena</w:t>
      </w:r>
      <w:r>
        <w:rPr>
          <w:lang w:val="es-ES"/>
        </w:rPr>
        <w:t>s</w:t>
      </w:r>
      <w:r w:rsidRPr="00D35954">
        <w:rPr>
          <w:lang w:val="es-ES"/>
        </w:rPr>
        <w:t xml:space="preserve"> de los </w:t>
      </w:r>
      <w:r w:rsidRPr="00111951">
        <w:rPr>
          <w:lang w:val="es-ES"/>
        </w:rPr>
        <w:t xml:space="preserve">típicos </w:t>
      </w:r>
      <w:r w:rsidRPr="00D35954">
        <w:rPr>
          <w:lang w:val="es-ES"/>
        </w:rPr>
        <w:t xml:space="preserve">sistemas de </w:t>
      </w:r>
      <w:proofErr w:type="spellStart"/>
      <w:r w:rsidRPr="00D35954">
        <w:rPr>
          <w:lang w:val="es-ES"/>
        </w:rPr>
        <w:t>nanosatélite</w:t>
      </w:r>
      <w:r>
        <w:rPr>
          <w:lang w:val="es-ES"/>
        </w:rPr>
        <w:t>s</w:t>
      </w:r>
      <w:proofErr w:type="spellEnd"/>
      <w:r w:rsidRPr="00D35954">
        <w:rPr>
          <w:lang w:val="es-ES"/>
        </w:rPr>
        <w:t xml:space="preserve"> y de </w:t>
      </w:r>
      <w:proofErr w:type="spellStart"/>
      <w:r w:rsidRPr="00D35954">
        <w:rPr>
          <w:lang w:val="es-ES"/>
        </w:rPr>
        <w:t>picosatélite</w:t>
      </w:r>
      <w:r>
        <w:rPr>
          <w:lang w:val="es-ES"/>
        </w:rPr>
        <w:t>s</w:t>
      </w:r>
      <w:proofErr w:type="spellEnd"/>
      <w:r w:rsidRPr="00D35954">
        <w:rPr>
          <w:lang w:val="es-ES"/>
        </w:rPr>
        <w:t xml:space="preserve"> como</w:t>
      </w:r>
      <w:r>
        <w:rPr>
          <w:lang w:val="es-ES"/>
        </w:rPr>
        <w:t xml:space="preserve"> «n</w:t>
      </w:r>
      <w:r w:rsidRPr="00D35954">
        <w:rPr>
          <w:lang w:val="es-ES"/>
        </w:rPr>
        <w:t>ormalmente</w:t>
      </w:r>
      <w:r>
        <w:rPr>
          <w:lang w:val="es-ES"/>
        </w:rPr>
        <w:t xml:space="preserve">, de tan </w:t>
      </w:r>
      <w:r w:rsidRPr="00D35954">
        <w:rPr>
          <w:lang w:val="es-ES"/>
        </w:rPr>
        <w:t>s</w:t>
      </w:r>
      <w:r>
        <w:rPr>
          <w:lang w:val="es-ES"/>
        </w:rPr>
        <w:t>o</w:t>
      </w:r>
      <w:r w:rsidRPr="00D35954">
        <w:rPr>
          <w:lang w:val="es-ES"/>
        </w:rPr>
        <w:t xml:space="preserve">lo 1 </w:t>
      </w:r>
      <w:r w:rsidRPr="009E6712">
        <w:rPr>
          <w:lang w:val="es-ES"/>
        </w:rPr>
        <w:t>o</w:t>
      </w:r>
      <w:r w:rsidRPr="00D35954">
        <w:rPr>
          <w:lang w:val="es-ES"/>
        </w:rPr>
        <w:t xml:space="preserve"> 2 antenas activas por banda, a menudo omnidireccionales (por ejemplo, debido a la falta de </w:t>
      </w:r>
      <w:r w:rsidRPr="001D313E">
        <w:rPr>
          <w:lang w:val="es-ES"/>
        </w:rPr>
        <w:t xml:space="preserve">mecanismos </w:t>
      </w:r>
      <w:r w:rsidRPr="00CC258C">
        <w:rPr>
          <w:lang w:val="es-ES"/>
        </w:rPr>
        <w:t xml:space="preserve">de </w:t>
      </w:r>
      <w:r w:rsidRPr="00D35954">
        <w:rPr>
          <w:lang w:val="es-ES"/>
        </w:rPr>
        <w:t xml:space="preserve">control de la actitud y/o de </w:t>
      </w:r>
      <w:r>
        <w:rPr>
          <w:lang w:val="es-ES"/>
        </w:rPr>
        <w:t>puntería</w:t>
      </w:r>
      <w:r w:rsidRPr="00D35954">
        <w:rPr>
          <w:lang w:val="es-ES"/>
        </w:rPr>
        <w:t xml:space="preserve"> de la antena)</w:t>
      </w:r>
      <w:r>
        <w:rPr>
          <w:lang w:val="es-ES"/>
        </w:rPr>
        <w:t>»</w:t>
      </w:r>
      <w:r w:rsidRPr="00D35954">
        <w:rPr>
          <w:lang w:val="es-ES"/>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5336" w:rsidRDefault="00025336">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5336" w:rsidRDefault="00087C9D" w:rsidP="00D62884">
    <w:pPr>
      <w:pStyle w:val="Header"/>
      <w:ind w:right="360" w:firstLine="360"/>
    </w:pPr>
    <w:r>
      <w:rPr>
        <w:noProof/>
        <w:lang w:val="en-GB" w:eastAsia="en-GB"/>
      </w:rPr>
      <w:drawing>
        <wp:anchor distT="0" distB="0" distL="114300" distR="114300" simplePos="0" relativeHeight="251656704" behindDoc="1" locked="0" layoutInCell="1" allowOverlap="1" wp14:anchorId="3AB3F651" wp14:editId="24FD4803">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5336" w:rsidRDefault="00D12AD9" w:rsidP="00B1717A">
    <w:pPr>
      <w:pStyle w:val="Header"/>
      <w:jc w:val="left"/>
    </w:pPr>
    <w:r>
      <w:rPr>
        <w:rStyle w:val="PageNumber"/>
        <w:b/>
        <w:bCs/>
      </w:rPr>
      <w:fldChar w:fldCharType="begin"/>
    </w:r>
    <w:r w:rsidR="00025336">
      <w:rPr>
        <w:rStyle w:val="PageNumber"/>
        <w:b/>
        <w:bCs/>
      </w:rPr>
      <w:instrText xml:space="preserve"> PAGE </w:instrText>
    </w:r>
    <w:r>
      <w:rPr>
        <w:rStyle w:val="PageNumber"/>
        <w:b/>
        <w:bCs/>
      </w:rPr>
      <w:fldChar w:fldCharType="separate"/>
    </w:r>
    <w:r w:rsidR="00FE6B4F">
      <w:rPr>
        <w:rStyle w:val="PageNumber"/>
        <w:b/>
        <w:bCs/>
        <w:noProof/>
      </w:rPr>
      <w:t>ii</w:t>
    </w:r>
    <w:r>
      <w:rPr>
        <w:rStyle w:val="PageNumber"/>
        <w:b/>
        <w:bCs/>
      </w:rPr>
      <w:fldChar w:fldCharType="end"/>
    </w:r>
    <w:r w:rsidR="00025336">
      <w:tab/>
    </w:r>
    <w:r w:rsidR="003B5B1B">
      <w:rPr>
        <w:b/>
        <w:bCs/>
        <w:lang w:val="en-US"/>
      </w:rPr>
      <w:fldChar w:fldCharType="begin"/>
    </w:r>
    <w:r w:rsidR="003B5B1B">
      <w:rPr>
        <w:b/>
        <w:bCs/>
        <w:lang w:val="en-US"/>
      </w:rPr>
      <w:instrText xml:space="preserve"> DOCPROPERTY "Header" \* MERGEFORMAT </w:instrText>
    </w:r>
    <w:r w:rsidR="003B5B1B">
      <w:rPr>
        <w:b/>
        <w:bCs/>
        <w:lang w:val="en-US"/>
      </w:rPr>
      <w:fldChar w:fldCharType="separate"/>
    </w:r>
    <w:r w:rsidR="00FE6B4F">
      <w:rPr>
        <w:b/>
        <w:bCs/>
        <w:lang w:val="en-US"/>
      </w:rPr>
      <w:t xml:space="preserve">Rec. </w:t>
    </w:r>
    <w:r w:rsidR="003B5B1B">
      <w:rPr>
        <w:b/>
        <w:bCs/>
        <w:lang w:val="en-US"/>
      </w:rPr>
      <w:fldChar w:fldCharType="end"/>
    </w:r>
    <w:r w:rsidR="00025336">
      <w:rPr>
        <w:b/>
        <w:bCs/>
      </w:rPr>
      <w:t xml:space="preserve"> </w:t>
    </w:r>
    <w:r>
      <w:rPr>
        <w:b/>
        <w:bCs/>
      </w:rPr>
      <w:fldChar w:fldCharType="begin"/>
    </w:r>
    <w:r w:rsidR="00025336">
      <w:rPr>
        <w:b/>
        <w:bCs/>
      </w:rPr>
      <w:instrText>styleref href</w:instrText>
    </w:r>
    <w:r>
      <w:rPr>
        <w:b/>
        <w:bCs/>
      </w:rPr>
      <w:fldChar w:fldCharType="separate"/>
    </w:r>
    <w:r w:rsidR="00FE6B4F">
      <w:rPr>
        <w:b/>
        <w:bCs/>
        <w:noProof/>
      </w:rPr>
      <w:t>UIT-R  SA.1164-4</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5336" w:rsidRDefault="00025336">
    <w:pPr>
      <w:pStyle w:val="Header"/>
    </w:pPr>
    <w:r>
      <w:tab/>
    </w:r>
    <w:r w:rsidR="003B5B1B">
      <w:rPr>
        <w:lang w:val="en-US"/>
      </w:rPr>
      <w:fldChar w:fldCharType="begin"/>
    </w:r>
    <w:r w:rsidR="003B5B1B">
      <w:rPr>
        <w:lang w:val="en-US"/>
      </w:rPr>
      <w:instrText xml:space="preserve"> DOCPROPERTY "Header" \* MERGEFORMAT </w:instrText>
    </w:r>
    <w:r w:rsidR="003B5B1B">
      <w:rPr>
        <w:lang w:val="en-US"/>
      </w:rPr>
      <w:fldChar w:fldCharType="separate"/>
    </w:r>
    <w:r w:rsidR="00FE6B4F" w:rsidRPr="00FE6B4F">
      <w:t xml:space="preserve">Rec. </w:t>
    </w:r>
    <w:r w:rsidR="003B5B1B">
      <w:rPr>
        <w:lang w:val="en-US"/>
      </w:rPr>
      <w:fldChar w:fldCharType="end"/>
    </w:r>
    <w:r>
      <w:rPr>
        <w:b/>
        <w:bCs/>
      </w:rPr>
      <w:t xml:space="preserve">  </w:t>
    </w:r>
    <w:r w:rsidR="00D12AD9">
      <w:rPr>
        <w:b/>
        <w:bCs/>
      </w:rPr>
      <w:fldChar w:fldCharType="begin"/>
    </w:r>
    <w:r>
      <w:rPr>
        <w:b/>
        <w:bCs/>
      </w:rPr>
      <w:instrText>styleref href</w:instrText>
    </w:r>
    <w:r w:rsidR="00D12AD9">
      <w:rPr>
        <w:b/>
        <w:bCs/>
      </w:rPr>
      <w:fldChar w:fldCharType="separate"/>
    </w:r>
    <w:r w:rsidR="00FE6B4F">
      <w:rPr>
        <w:b/>
        <w:bCs/>
        <w:noProof/>
      </w:rPr>
      <w:t>UIT-R  SA.1164-4</w:t>
    </w:r>
    <w:r w:rsidR="00D12AD9">
      <w:rPr>
        <w:b/>
        <w:bCs/>
      </w:rPr>
      <w:fldChar w:fldCharType="end"/>
    </w:r>
    <w:r>
      <w:tab/>
    </w:r>
    <w:r w:rsidR="00D12AD9">
      <w:rPr>
        <w:rStyle w:val="PageNumber"/>
        <w:b/>
        <w:bCs/>
      </w:rPr>
      <w:fldChar w:fldCharType="begin"/>
    </w:r>
    <w:r>
      <w:rPr>
        <w:rStyle w:val="PageNumber"/>
        <w:b/>
        <w:bCs/>
      </w:rPr>
      <w:instrText xml:space="preserve"> PAGE </w:instrText>
    </w:r>
    <w:r w:rsidR="00D12AD9">
      <w:rPr>
        <w:rStyle w:val="PageNumber"/>
        <w:b/>
        <w:bCs/>
      </w:rPr>
      <w:fldChar w:fldCharType="separate"/>
    </w:r>
    <w:r w:rsidR="005A1CE1">
      <w:rPr>
        <w:rStyle w:val="PageNumber"/>
        <w:b/>
        <w:bCs/>
        <w:noProof/>
      </w:rPr>
      <w:t>iii</w:t>
    </w:r>
    <w:r w:rsidR="00D12AD9">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5336" w:rsidRDefault="00D12AD9">
    <w:pPr>
      <w:pStyle w:val="Header"/>
      <w:jc w:val="left"/>
      <w:rPr>
        <w:lang w:val="en-US"/>
      </w:rPr>
    </w:pPr>
    <w:r>
      <w:rPr>
        <w:rStyle w:val="PageNumber"/>
        <w:b/>
        <w:bCs/>
      </w:rPr>
      <w:fldChar w:fldCharType="begin"/>
    </w:r>
    <w:r w:rsidR="00025336">
      <w:rPr>
        <w:rStyle w:val="PageNumber"/>
        <w:b/>
        <w:bCs/>
        <w:lang w:val="en-US"/>
      </w:rPr>
      <w:instrText xml:space="preserve"> PAGE </w:instrText>
    </w:r>
    <w:r>
      <w:rPr>
        <w:rStyle w:val="PageNumber"/>
        <w:b/>
        <w:bCs/>
      </w:rPr>
      <w:fldChar w:fldCharType="separate"/>
    </w:r>
    <w:r w:rsidR="00FE6B4F">
      <w:rPr>
        <w:rStyle w:val="PageNumber"/>
        <w:b/>
        <w:bCs/>
        <w:noProof/>
        <w:lang w:val="en-US"/>
      </w:rPr>
      <w:t>8</w:t>
    </w:r>
    <w:r>
      <w:rPr>
        <w:rStyle w:val="PageNumber"/>
        <w:b/>
        <w:bCs/>
      </w:rPr>
      <w:fldChar w:fldCharType="end"/>
    </w:r>
    <w:r w:rsidR="00025336">
      <w:rPr>
        <w:lang w:val="en-US"/>
      </w:rPr>
      <w:tab/>
    </w:r>
    <w:r w:rsidR="003B5B1B">
      <w:rPr>
        <w:b/>
        <w:bCs/>
        <w:lang w:val="en-US"/>
      </w:rPr>
      <w:fldChar w:fldCharType="begin"/>
    </w:r>
    <w:r w:rsidR="003B5B1B">
      <w:rPr>
        <w:b/>
        <w:bCs/>
        <w:lang w:val="en-US"/>
      </w:rPr>
      <w:instrText xml:space="preserve"> DOCPROPERTY "Header" \* MERGEFORMAT </w:instrText>
    </w:r>
    <w:r w:rsidR="003B5B1B">
      <w:rPr>
        <w:b/>
        <w:bCs/>
        <w:lang w:val="en-US"/>
      </w:rPr>
      <w:fldChar w:fldCharType="separate"/>
    </w:r>
    <w:r w:rsidR="00FE6B4F">
      <w:rPr>
        <w:b/>
        <w:bCs/>
        <w:lang w:val="en-US"/>
      </w:rPr>
      <w:t xml:space="preserve">Rec. </w:t>
    </w:r>
    <w:r w:rsidR="003B5B1B">
      <w:rPr>
        <w:b/>
        <w:bCs/>
        <w:lang w:val="en-US"/>
      </w:rPr>
      <w:fldChar w:fldCharType="end"/>
    </w:r>
    <w:r w:rsidR="00025336">
      <w:rPr>
        <w:b/>
        <w:bCs/>
      </w:rPr>
      <w:t xml:space="preserve"> </w:t>
    </w:r>
    <w:r>
      <w:rPr>
        <w:b/>
        <w:bCs/>
      </w:rPr>
      <w:fldChar w:fldCharType="begin"/>
    </w:r>
    <w:r w:rsidR="00025336">
      <w:rPr>
        <w:b/>
        <w:bCs/>
        <w:lang w:val="en-US"/>
      </w:rPr>
      <w:instrText>styleref href</w:instrText>
    </w:r>
    <w:r>
      <w:rPr>
        <w:b/>
        <w:bCs/>
      </w:rPr>
      <w:fldChar w:fldCharType="separate"/>
    </w:r>
    <w:r w:rsidR="00FE6B4F">
      <w:rPr>
        <w:b/>
        <w:bCs/>
        <w:noProof/>
        <w:lang w:val="en-US"/>
      </w:rPr>
      <w:t>UIT-R  SA.1164-4</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5336" w:rsidRDefault="00025336">
    <w:pPr>
      <w:pStyle w:val="Header"/>
    </w:pPr>
    <w:r>
      <w:tab/>
    </w:r>
    <w:r w:rsidR="003B5B1B">
      <w:rPr>
        <w:b/>
        <w:bCs/>
      </w:rPr>
      <w:fldChar w:fldCharType="begin"/>
    </w:r>
    <w:r w:rsidR="003B5B1B">
      <w:rPr>
        <w:b/>
        <w:bCs/>
      </w:rPr>
      <w:instrText xml:space="preserve"> DOCPROPERTY "Header" \* MERGEFORMAT </w:instrText>
    </w:r>
    <w:r w:rsidR="003B5B1B">
      <w:rPr>
        <w:b/>
        <w:bCs/>
      </w:rPr>
      <w:fldChar w:fldCharType="separate"/>
    </w:r>
    <w:r w:rsidR="00FE6B4F">
      <w:rPr>
        <w:b/>
        <w:bCs/>
      </w:rPr>
      <w:t xml:space="preserve">Rec. </w:t>
    </w:r>
    <w:r w:rsidR="003B5B1B">
      <w:rPr>
        <w:b/>
        <w:bCs/>
      </w:rPr>
      <w:fldChar w:fldCharType="end"/>
    </w:r>
    <w:r>
      <w:rPr>
        <w:b/>
        <w:bCs/>
      </w:rPr>
      <w:t xml:space="preserve"> </w:t>
    </w:r>
    <w:r w:rsidR="00D12AD9">
      <w:rPr>
        <w:b/>
        <w:bCs/>
      </w:rPr>
      <w:fldChar w:fldCharType="begin"/>
    </w:r>
    <w:r>
      <w:rPr>
        <w:b/>
        <w:bCs/>
      </w:rPr>
      <w:instrText>styleref href</w:instrText>
    </w:r>
    <w:r w:rsidR="00D12AD9">
      <w:rPr>
        <w:b/>
        <w:bCs/>
      </w:rPr>
      <w:fldChar w:fldCharType="separate"/>
    </w:r>
    <w:r w:rsidR="00FE6B4F">
      <w:rPr>
        <w:b/>
        <w:bCs/>
        <w:noProof/>
      </w:rPr>
      <w:t>UIT-R  SA.1164-4</w:t>
    </w:r>
    <w:r w:rsidR="00D12AD9">
      <w:rPr>
        <w:b/>
        <w:bCs/>
      </w:rPr>
      <w:fldChar w:fldCharType="end"/>
    </w:r>
    <w:r>
      <w:tab/>
    </w:r>
    <w:r w:rsidR="00D12AD9">
      <w:rPr>
        <w:rStyle w:val="PageNumber"/>
        <w:b/>
        <w:bCs/>
      </w:rPr>
      <w:fldChar w:fldCharType="begin"/>
    </w:r>
    <w:r>
      <w:rPr>
        <w:rStyle w:val="PageNumber"/>
        <w:b/>
        <w:bCs/>
      </w:rPr>
      <w:instrText xml:space="preserve"> PAGE </w:instrText>
    </w:r>
    <w:r w:rsidR="00D12AD9">
      <w:rPr>
        <w:rStyle w:val="PageNumber"/>
        <w:b/>
        <w:bCs/>
      </w:rPr>
      <w:fldChar w:fldCharType="separate"/>
    </w:r>
    <w:r w:rsidR="00FE6B4F">
      <w:rPr>
        <w:rStyle w:val="PageNumber"/>
        <w:b/>
        <w:bCs/>
        <w:noProof/>
      </w:rPr>
      <w:t>7</w:t>
    </w:r>
    <w:r w:rsidR="00D12AD9">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hideSpellingErrors/>
  <w:hideGrammaticalErrors/>
  <w:activeWritingStyle w:appName="MSWord" w:lang="en-US" w:vendorID="64" w:dllVersion="131077" w:nlCheck="1" w:checkStyle="0"/>
  <w:activeWritingStyle w:appName="MSWord" w:lang="es-ES_tradnl" w:vendorID="64" w:dllVersion="131078" w:nlCheck="1" w:checkStyle="0"/>
  <w:activeWritingStyle w:appName="MSWord" w:lang="en-US" w:vendorID="64" w:dllVersion="131078" w:nlCheck="1" w:checkStyle="1"/>
  <w:activeWritingStyle w:appName="MSWord" w:lang="fr-FR" w:vendorID="64" w:dllVersion="131078" w:nlCheck="1" w:checkStyle="0"/>
  <w:activeWritingStyle w:appName="MSWord" w:lang="fr-CH" w:vendorID="64" w:dllVersion="131078" w:nlCheck="1" w:checkStyle="0"/>
  <w:activeWritingStyle w:appName="MSWord" w:lang="es-ES" w:vendorID="64" w:dllVersion="131078"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717A"/>
    <w:rsid w:val="00025336"/>
    <w:rsid w:val="00063999"/>
    <w:rsid w:val="00087C9D"/>
    <w:rsid w:val="000C7358"/>
    <w:rsid w:val="00215C64"/>
    <w:rsid w:val="00236E9D"/>
    <w:rsid w:val="00265C56"/>
    <w:rsid w:val="00266EDC"/>
    <w:rsid w:val="002814F2"/>
    <w:rsid w:val="002C1C8F"/>
    <w:rsid w:val="002D76C4"/>
    <w:rsid w:val="002F780B"/>
    <w:rsid w:val="003223EB"/>
    <w:rsid w:val="00335E5E"/>
    <w:rsid w:val="00341249"/>
    <w:rsid w:val="00363835"/>
    <w:rsid w:val="00366CEE"/>
    <w:rsid w:val="003B274F"/>
    <w:rsid w:val="003B5B1B"/>
    <w:rsid w:val="004532F7"/>
    <w:rsid w:val="005A1CE1"/>
    <w:rsid w:val="005A6102"/>
    <w:rsid w:val="00607D68"/>
    <w:rsid w:val="006B22C3"/>
    <w:rsid w:val="0071435A"/>
    <w:rsid w:val="007D238E"/>
    <w:rsid w:val="00815DF3"/>
    <w:rsid w:val="00847DD5"/>
    <w:rsid w:val="00880680"/>
    <w:rsid w:val="00951E54"/>
    <w:rsid w:val="009F421B"/>
    <w:rsid w:val="00A2250E"/>
    <w:rsid w:val="00A6617B"/>
    <w:rsid w:val="00AB0DC8"/>
    <w:rsid w:val="00AD7E7A"/>
    <w:rsid w:val="00AF33EF"/>
    <w:rsid w:val="00B1717A"/>
    <w:rsid w:val="00B206D3"/>
    <w:rsid w:val="00B44E24"/>
    <w:rsid w:val="00B77978"/>
    <w:rsid w:val="00B87252"/>
    <w:rsid w:val="00BB77E9"/>
    <w:rsid w:val="00BD5FC2"/>
    <w:rsid w:val="00BF7841"/>
    <w:rsid w:val="00C55575"/>
    <w:rsid w:val="00CB7FC8"/>
    <w:rsid w:val="00D12388"/>
    <w:rsid w:val="00D12AD9"/>
    <w:rsid w:val="00D62884"/>
    <w:rsid w:val="00D70CDC"/>
    <w:rsid w:val="00DA5A08"/>
    <w:rsid w:val="00DE71F7"/>
    <w:rsid w:val="00DF4176"/>
    <w:rsid w:val="00E839A5"/>
    <w:rsid w:val="00EB1589"/>
    <w:rsid w:val="00EB1B0E"/>
    <w:rsid w:val="00F263A6"/>
    <w:rsid w:val="00F45338"/>
    <w:rsid w:val="00F95576"/>
    <w:rsid w:val="00FB56BF"/>
    <w:rsid w:val="00FE6B4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F4C3132"/>
  <w15:docId w15:val="{BB814983-3256-4EEF-9323-2B28A584E0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A5A08"/>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DA5A08"/>
    <w:pPr>
      <w:keepNext/>
      <w:keepLines/>
      <w:spacing w:before="480"/>
      <w:ind w:left="794" w:hanging="794"/>
      <w:outlineLvl w:val="0"/>
    </w:pPr>
    <w:rPr>
      <w:b/>
    </w:rPr>
  </w:style>
  <w:style w:type="paragraph" w:styleId="Heading2">
    <w:name w:val="heading 2"/>
    <w:basedOn w:val="Heading1"/>
    <w:next w:val="Normal"/>
    <w:link w:val="Heading2Char"/>
    <w:qFormat/>
    <w:rsid w:val="00DA5A08"/>
    <w:pPr>
      <w:spacing w:before="320"/>
      <w:outlineLvl w:val="1"/>
    </w:pPr>
  </w:style>
  <w:style w:type="paragraph" w:styleId="Heading3">
    <w:name w:val="heading 3"/>
    <w:basedOn w:val="Heading1"/>
    <w:next w:val="Normal"/>
    <w:qFormat/>
    <w:rsid w:val="00DA5A08"/>
    <w:pPr>
      <w:spacing w:before="200"/>
      <w:outlineLvl w:val="2"/>
    </w:pPr>
  </w:style>
  <w:style w:type="paragraph" w:styleId="Heading4">
    <w:name w:val="heading 4"/>
    <w:basedOn w:val="Heading3"/>
    <w:next w:val="Normal"/>
    <w:qFormat/>
    <w:rsid w:val="00DA5A08"/>
    <w:pPr>
      <w:tabs>
        <w:tab w:val="clear" w:pos="794"/>
        <w:tab w:val="left" w:pos="992"/>
      </w:tabs>
      <w:ind w:left="992" w:hanging="992"/>
      <w:outlineLvl w:val="3"/>
    </w:pPr>
  </w:style>
  <w:style w:type="paragraph" w:styleId="Heading5">
    <w:name w:val="heading 5"/>
    <w:basedOn w:val="Heading4"/>
    <w:next w:val="Normal"/>
    <w:qFormat/>
    <w:rsid w:val="00DA5A08"/>
    <w:pPr>
      <w:outlineLvl w:val="4"/>
    </w:pPr>
  </w:style>
  <w:style w:type="paragraph" w:styleId="Heading6">
    <w:name w:val="heading 6"/>
    <w:basedOn w:val="Heading4"/>
    <w:next w:val="Normal"/>
    <w:qFormat/>
    <w:rsid w:val="00DA5A08"/>
    <w:pPr>
      <w:tabs>
        <w:tab w:val="clear" w:pos="992"/>
        <w:tab w:val="clear" w:pos="1191"/>
      </w:tabs>
      <w:ind w:left="1588" w:hanging="1588"/>
      <w:outlineLvl w:val="5"/>
    </w:pPr>
  </w:style>
  <w:style w:type="paragraph" w:styleId="Heading7">
    <w:name w:val="heading 7"/>
    <w:basedOn w:val="Heading6"/>
    <w:next w:val="Normal"/>
    <w:qFormat/>
    <w:rsid w:val="00DA5A08"/>
    <w:pPr>
      <w:outlineLvl w:val="6"/>
    </w:pPr>
  </w:style>
  <w:style w:type="paragraph" w:styleId="Heading8">
    <w:name w:val="heading 8"/>
    <w:basedOn w:val="Heading6"/>
    <w:next w:val="Normal"/>
    <w:qFormat/>
    <w:rsid w:val="00DA5A08"/>
    <w:pPr>
      <w:outlineLvl w:val="7"/>
    </w:pPr>
  </w:style>
  <w:style w:type="paragraph" w:styleId="Heading9">
    <w:name w:val="heading 9"/>
    <w:basedOn w:val="Heading6"/>
    <w:next w:val="Normal"/>
    <w:qFormat/>
    <w:rsid w:val="00DA5A08"/>
    <w:pPr>
      <w:jc w:val="left"/>
      <w:outlineLvl w:val="8"/>
    </w:pPr>
  </w:style>
  <w:style w:type="character" w:default="1" w:styleId="DefaultParagraphFont">
    <w:name w:val="Default Paragraph Font"/>
    <w:uiPriority w:val="1"/>
    <w:semiHidden/>
    <w:unhideWhenUsed/>
    <w:rsid w:val="00DA5A08"/>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DA5A08"/>
  </w:style>
  <w:style w:type="paragraph" w:styleId="Header">
    <w:name w:val="header"/>
    <w:basedOn w:val="Normal"/>
    <w:rsid w:val="00DA5A08"/>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DA5A08"/>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DA5A08"/>
  </w:style>
  <w:style w:type="paragraph" w:customStyle="1" w:styleId="Headingb">
    <w:name w:val="Heading_b"/>
    <w:basedOn w:val="Heading3"/>
    <w:next w:val="Normal"/>
    <w:rsid w:val="00DA5A08"/>
    <w:pPr>
      <w:spacing w:before="160"/>
      <w:ind w:left="0" w:firstLine="0"/>
      <w:outlineLvl w:val="9"/>
    </w:pPr>
  </w:style>
  <w:style w:type="paragraph" w:customStyle="1" w:styleId="Headingi">
    <w:name w:val="Heading_i"/>
    <w:basedOn w:val="Heading3"/>
    <w:next w:val="Normal"/>
    <w:rsid w:val="00DA5A08"/>
    <w:pPr>
      <w:spacing w:before="160"/>
      <w:ind w:left="0" w:firstLine="0"/>
    </w:pPr>
    <w:rPr>
      <w:b w:val="0"/>
      <w:i/>
    </w:rPr>
  </w:style>
  <w:style w:type="character" w:customStyle="1" w:styleId="href">
    <w:name w:val="href"/>
    <w:basedOn w:val="DefaultParagraphFont"/>
    <w:rsid w:val="00DA5A08"/>
  </w:style>
  <w:style w:type="paragraph" w:customStyle="1" w:styleId="enumlev1">
    <w:name w:val="enumlev1"/>
    <w:basedOn w:val="Normal"/>
    <w:rsid w:val="00DA5A08"/>
    <w:pPr>
      <w:spacing w:before="80"/>
      <w:ind w:left="794" w:hanging="794"/>
    </w:pPr>
  </w:style>
  <w:style w:type="paragraph" w:customStyle="1" w:styleId="enumlev2">
    <w:name w:val="enumlev2"/>
    <w:basedOn w:val="enumlev1"/>
    <w:rsid w:val="00DA5A08"/>
    <w:pPr>
      <w:ind w:left="1191" w:hanging="397"/>
    </w:pPr>
  </w:style>
  <w:style w:type="paragraph" w:customStyle="1" w:styleId="enumlev3">
    <w:name w:val="enumlev3"/>
    <w:basedOn w:val="enumlev2"/>
    <w:rsid w:val="00DA5A08"/>
    <w:pPr>
      <w:ind w:left="1588"/>
    </w:pPr>
  </w:style>
  <w:style w:type="paragraph" w:customStyle="1" w:styleId="Normalaftertitle">
    <w:name w:val="Normal_after_title"/>
    <w:basedOn w:val="Normal"/>
    <w:next w:val="Normal"/>
    <w:rsid w:val="00DA5A08"/>
    <w:pPr>
      <w:spacing w:before="320"/>
    </w:pPr>
  </w:style>
  <w:style w:type="paragraph" w:customStyle="1" w:styleId="Note">
    <w:name w:val="Note"/>
    <w:basedOn w:val="Normal"/>
    <w:rsid w:val="00DA5A08"/>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DA5A08"/>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DA5A08"/>
    <w:pPr>
      <w:spacing w:before="240"/>
    </w:pPr>
    <w:rPr>
      <w:sz w:val="22"/>
      <w:lang w:val="es-ES_tradnl"/>
    </w:rPr>
  </w:style>
  <w:style w:type="paragraph" w:customStyle="1" w:styleId="Recref">
    <w:name w:val="Rec_ref"/>
    <w:basedOn w:val="Normal"/>
    <w:next w:val="Recdate"/>
    <w:rsid w:val="00DA5A08"/>
    <w:pPr>
      <w:jc w:val="center"/>
    </w:pPr>
  </w:style>
  <w:style w:type="paragraph" w:customStyle="1" w:styleId="Recdate">
    <w:name w:val="Rec_date"/>
    <w:basedOn w:val="Recref"/>
    <w:next w:val="Normalaftertitle"/>
    <w:rsid w:val="00DA5A08"/>
    <w:pPr>
      <w:jc w:val="right"/>
    </w:pPr>
  </w:style>
  <w:style w:type="paragraph" w:customStyle="1" w:styleId="AnnexNoTitle">
    <w:name w:val="Annex_NoTitle"/>
    <w:basedOn w:val="Normal"/>
    <w:next w:val="Normalaftertitle"/>
    <w:rsid w:val="00DA5A08"/>
    <w:pPr>
      <w:keepNext/>
      <w:keepLines/>
      <w:spacing w:before="480" w:after="80"/>
      <w:jc w:val="center"/>
    </w:pPr>
    <w:rPr>
      <w:b/>
      <w:sz w:val="28"/>
    </w:rPr>
  </w:style>
  <w:style w:type="paragraph" w:customStyle="1" w:styleId="AppendixNoTitle">
    <w:name w:val="Appendix_NoTitle"/>
    <w:basedOn w:val="AnnexNoTitle"/>
    <w:next w:val="Normal"/>
    <w:rsid w:val="00DA5A08"/>
  </w:style>
  <w:style w:type="paragraph" w:customStyle="1" w:styleId="Tablefin">
    <w:name w:val="Table_fin"/>
    <w:basedOn w:val="Normal"/>
    <w:next w:val="Normal"/>
    <w:rsid w:val="00DA5A08"/>
    <w:pPr>
      <w:spacing w:before="0"/>
    </w:pPr>
    <w:rPr>
      <w:sz w:val="20"/>
      <w:lang w:val="en-GB"/>
    </w:rPr>
  </w:style>
  <w:style w:type="paragraph" w:customStyle="1" w:styleId="Tablehead">
    <w:name w:val="Table_head"/>
    <w:basedOn w:val="Normal"/>
    <w:next w:val="Normal"/>
    <w:rsid w:val="00DA5A08"/>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DA5A0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DA5A08"/>
    <w:pPr>
      <w:keepNext/>
      <w:spacing w:before="360" w:after="120"/>
      <w:jc w:val="center"/>
    </w:pPr>
  </w:style>
  <w:style w:type="paragraph" w:customStyle="1" w:styleId="Tabletext">
    <w:name w:val="Table_text"/>
    <w:basedOn w:val="Normal"/>
    <w:link w:val="TabletextChar"/>
    <w:rsid w:val="00DA5A0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DA5A08"/>
    <w:pPr>
      <w:tabs>
        <w:tab w:val="clear" w:pos="1191"/>
        <w:tab w:val="clear" w:pos="1588"/>
        <w:tab w:val="clear" w:pos="1985"/>
        <w:tab w:val="center" w:pos="4820"/>
        <w:tab w:val="right" w:pos="9639"/>
      </w:tabs>
    </w:pPr>
  </w:style>
  <w:style w:type="paragraph" w:customStyle="1" w:styleId="Equationlegend">
    <w:name w:val="Equation_legend"/>
    <w:basedOn w:val="NormalIndent"/>
    <w:rsid w:val="00DA5A08"/>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DA5A08"/>
    <w:pPr>
      <w:ind w:left="794"/>
    </w:pPr>
  </w:style>
  <w:style w:type="paragraph" w:customStyle="1" w:styleId="Figurelegend">
    <w:name w:val="Figure_legend"/>
    <w:basedOn w:val="Normal"/>
    <w:rsid w:val="00DA5A08"/>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A5A08"/>
    <w:pPr>
      <w:keepNext/>
      <w:keepLines/>
      <w:spacing w:before="480" w:after="80"/>
      <w:jc w:val="center"/>
    </w:pPr>
    <w:rPr>
      <w:caps/>
      <w:sz w:val="18"/>
    </w:rPr>
  </w:style>
  <w:style w:type="paragraph" w:customStyle="1" w:styleId="tocpart">
    <w:name w:val="tocpart"/>
    <w:basedOn w:val="Normal"/>
    <w:rsid w:val="00DA5A08"/>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DA5A08"/>
    <w:pPr>
      <w:keepNext/>
      <w:keepLines/>
      <w:spacing w:before="480"/>
      <w:jc w:val="center"/>
    </w:pPr>
    <w:rPr>
      <w:sz w:val="28"/>
    </w:rPr>
  </w:style>
  <w:style w:type="paragraph" w:customStyle="1" w:styleId="Arttitle">
    <w:name w:val="Art_title"/>
    <w:basedOn w:val="Normal"/>
    <w:next w:val="Normalaftertitle"/>
    <w:rsid w:val="00DA5A08"/>
    <w:pPr>
      <w:keepNext/>
      <w:keepLines/>
      <w:spacing w:before="240"/>
      <w:jc w:val="center"/>
    </w:pPr>
    <w:rPr>
      <w:b/>
      <w:sz w:val="28"/>
    </w:rPr>
  </w:style>
  <w:style w:type="paragraph" w:customStyle="1" w:styleId="Blanc">
    <w:name w:val="Blanc"/>
    <w:basedOn w:val="Normal"/>
    <w:next w:val="Tabletext"/>
    <w:rsid w:val="00DA5A08"/>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DA5A08"/>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DA5A08"/>
    <w:pPr>
      <w:keepNext/>
      <w:keepLines/>
      <w:spacing w:before="160"/>
      <w:ind w:left="794"/>
    </w:pPr>
    <w:rPr>
      <w:i/>
    </w:rPr>
  </w:style>
  <w:style w:type="paragraph" w:customStyle="1" w:styleId="ChapNo">
    <w:name w:val="Chap_No"/>
    <w:basedOn w:val="ArtNo"/>
    <w:next w:val="Chaptitle"/>
    <w:rsid w:val="00DA5A08"/>
    <w:rPr>
      <w:b/>
    </w:rPr>
  </w:style>
  <w:style w:type="paragraph" w:customStyle="1" w:styleId="Chaptitle">
    <w:name w:val="Chap_title"/>
    <w:basedOn w:val="Arttitle"/>
    <w:next w:val="Normalaftertitle"/>
    <w:rsid w:val="00DA5A08"/>
  </w:style>
  <w:style w:type="character" w:styleId="FootnoteReference">
    <w:name w:val="footnote reference"/>
    <w:basedOn w:val="DefaultParagraphFont"/>
    <w:rsid w:val="00DA5A08"/>
    <w:rPr>
      <w:position w:val="6"/>
      <w:sz w:val="18"/>
    </w:rPr>
  </w:style>
  <w:style w:type="paragraph" w:styleId="FootnoteText">
    <w:name w:val="footnote text"/>
    <w:basedOn w:val="Normal"/>
    <w:link w:val="FootnoteTextChar"/>
    <w:rsid w:val="00DA5A08"/>
    <w:pPr>
      <w:keepLines/>
      <w:tabs>
        <w:tab w:val="left" w:pos="255"/>
      </w:tabs>
      <w:ind w:left="255" w:hanging="255"/>
    </w:pPr>
    <w:rPr>
      <w:sz w:val="22"/>
    </w:rPr>
  </w:style>
  <w:style w:type="paragraph" w:styleId="Index1">
    <w:name w:val="index 1"/>
    <w:basedOn w:val="Normal"/>
    <w:next w:val="Normal"/>
    <w:semiHidden/>
    <w:rsid w:val="00DA5A08"/>
  </w:style>
  <w:style w:type="paragraph" w:styleId="Index2">
    <w:name w:val="index 2"/>
    <w:basedOn w:val="Normal"/>
    <w:next w:val="Normal"/>
    <w:semiHidden/>
    <w:rsid w:val="00DA5A08"/>
    <w:pPr>
      <w:ind w:left="283"/>
    </w:pPr>
  </w:style>
  <w:style w:type="paragraph" w:styleId="Index3">
    <w:name w:val="index 3"/>
    <w:basedOn w:val="Normal"/>
    <w:next w:val="Normal"/>
    <w:semiHidden/>
    <w:rsid w:val="00DA5A08"/>
    <w:pPr>
      <w:ind w:left="566"/>
    </w:pPr>
  </w:style>
  <w:style w:type="paragraph" w:styleId="IndexHeading">
    <w:name w:val="index heading"/>
    <w:basedOn w:val="Normal"/>
    <w:next w:val="Index1"/>
    <w:semiHidden/>
    <w:rsid w:val="00DA5A08"/>
  </w:style>
  <w:style w:type="paragraph" w:customStyle="1" w:styleId="Line">
    <w:name w:val="Line"/>
    <w:basedOn w:val="Normal"/>
    <w:next w:val="Normal"/>
    <w:rsid w:val="00DA5A08"/>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DA5A08"/>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DA5A08"/>
  </w:style>
  <w:style w:type="paragraph" w:customStyle="1" w:styleId="Partref">
    <w:name w:val="Part_ref"/>
    <w:basedOn w:val="Normal"/>
    <w:next w:val="Normal"/>
    <w:rsid w:val="00DA5A08"/>
    <w:pPr>
      <w:keepNext/>
      <w:keepLines/>
      <w:spacing w:after="280"/>
      <w:jc w:val="center"/>
    </w:pPr>
  </w:style>
  <w:style w:type="paragraph" w:customStyle="1" w:styleId="Parttitle">
    <w:name w:val="Part_title"/>
    <w:basedOn w:val="Normal"/>
    <w:next w:val="Normalaftertitle"/>
    <w:rsid w:val="00DA5A08"/>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DA5A08"/>
  </w:style>
  <w:style w:type="paragraph" w:customStyle="1" w:styleId="QuestionNo">
    <w:name w:val="Question_No"/>
    <w:basedOn w:val="RecNo"/>
    <w:next w:val="Normal"/>
    <w:rsid w:val="00DA5A08"/>
  </w:style>
  <w:style w:type="paragraph" w:customStyle="1" w:styleId="Questionref">
    <w:name w:val="Question_ref"/>
    <w:basedOn w:val="Recref"/>
    <w:next w:val="Questiondate"/>
    <w:rsid w:val="00DA5A08"/>
  </w:style>
  <w:style w:type="paragraph" w:customStyle="1" w:styleId="Questiontitle">
    <w:name w:val="Question_title"/>
    <w:basedOn w:val="Normal"/>
    <w:next w:val="Questionref"/>
    <w:rsid w:val="00DA5A08"/>
  </w:style>
  <w:style w:type="paragraph" w:customStyle="1" w:styleId="Reftext">
    <w:name w:val="Ref_text"/>
    <w:basedOn w:val="Normal"/>
    <w:rsid w:val="00DA5A08"/>
    <w:pPr>
      <w:ind w:left="794" w:hanging="794"/>
    </w:pPr>
    <w:rPr>
      <w:sz w:val="22"/>
    </w:rPr>
  </w:style>
  <w:style w:type="paragraph" w:customStyle="1" w:styleId="Reftitle">
    <w:name w:val="Ref_title"/>
    <w:basedOn w:val="Normal"/>
    <w:next w:val="Reftext"/>
    <w:rsid w:val="00DA5A08"/>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DA5A08"/>
  </w:style>
  <w:style w:type="paragraph" w:customStyle="1" w:styleId="RepNo">
    <w:name w:val="Rep_No"/>
    <w:basedOn w:val="RecNo"/>
    <w:next w:val="Reptitle"/>
    <w:rsid w:val="00DA5A08"/>
  </w:style>
  <w:style w:type="paragraph" w:customStyle="1" w:styleId="Repref">
    <w:name w:val="Rep_ref"/>
    <w:basedOn w:val="Recref"/>
    <w:next w:val="Repdate"/>
    <w:rsid w:val="00DA5A08"/>
  </w:style>
  <w:style w:type="paragraph" w:customStyle="1" w:styleId="Reptitle">
    <w:name w:val="Rep_title"/>
    <w:basedOn w:val="Rectitle"/>
    <w:next w:val="Repref"/>
    <w:rsid w:val="00DA5A08"/>
  </w:style>
  <w:style w:type="paragraph" w:customStyle="1" w:styleId="Resdate">
    <w:name w:val="Res_date"/>
    <w:basedOn w:val="Recdate"/>
    <w:next w:val="Normalaftertitle"/>
    <w:rsid w:val="00DA5A08"/>
  </w:style>
  <w:style w:type="paragraph" w:customStyle="1" w:styleId="ResNo">
    <w:name w:val="Res_No"/>
    <w:basedOn w:val="RecNo"/>
    <w:next w:val="Restitle"/>
    <w:rsid w:val="00DA5A08"/>
  </w:style>
  <w:style w:type="paragraph" w:customStyle="1" w:styleId="Resref">
    <w:name w:val="Res_ref"/>
    <w:basedOn w:val="Recref"/>
    <w:next w:val="Resdate"/>
    <w:rsid w:val="00DA5A08"/>
  </w:style>
  <w:style w:type="paragraph" w:customStyle="1" w:styleId="Restitle">
    <w:name w:val="Res_title"/>
    <w:basedOn w:val="Normal"/>
    <w:next w:val="Resref"/>
    <w:rsid w:val="00DA5A08"/>
    <w:pPr>
      <w:spacing w:before="240"/>
      <w:jc w:val="center"/>
    </w:pPr>
    <w:rPr>
      <w:b/>
      <w:sz w:val="28"/>
    </w:rPr>
  </w:style>
  <w:style w:type="paragraph" w:customStyle="1" w:styleId="SectionNo">
    <w:name w:val="Section_No"/>
    <w:basedOn w:val="Normal"/>
    <w:next w:val="Normal"/>
    <w:rsid w:val="00DA5A08"/>
  </w:style>
  <w:style w:type="paragraph" w:customStyle="1" w:styleId="Sectiontitle">
    <w:name w:val="Section_title"/>
    <w:basedOn w:val="Normal"/>
    <w:next w:val="Normalaftertitle"/>
    <w:rsid w:val="00DA5A08"/>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DA5A08"/>
    <w:pPr>
      <w:tabs>
        <w:tab w:val="clear" w:pos="794"/>
        <w:tab w:val="clear" w:pos="1191"/>
        <w:tab w:val="clear" w:pos="1588"/>
        <w:tab w:val="clear" w:pos="1985"/>
        <w:tab w:val="right" w:pos="9611"/>
      </w:tabs>
    </w:pPr>
    <w:rPr>
      <w:i/>
    </w:rPr>
  </w:style>
  <w:style w:type="paragraph" w:styleId="TOC1">
    <w:name w:val="toc 1"/>
    <w:basedOn w:val="Normal"/>
    <w:semiHidden/>
    <w:rsid w:val="00DA5A08"/>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DA5A08"/>
    <w:pPr>
      <w:tabs>
        <w:tab w:val="clear" w:pos="567"/>
        <w:tab w:val="left" w:pos="1276"/>
      </w:tabs>
      <w:spacing w:before="160"/>
      <w:ind w:left="1276" w:hanging="709"/>
    </w:pPr>
  </w:style>
  <w:style w:type="paragraph" w:styleId="TOC3">
    <w:name w:val="toc 3"/>
    <w:basedOn w:val="TOC2"/>
    <w:semiHidden/>
    <w:rsid w:val="00DA5A08"/>
    <w:pPr>
      <w:tabs>
        <w:tab w:val="clear" w:pos="1276"/>
        <w:tab w:val="left" w:pos="2155"/>
      </w:tabs>
      <w:ind w:left="2155" w:hanging="879"/>
    </w:pPr>
  </w:style>
  <w:style w:type="paragraph" w:styleId="TOC4">
    <w:name w:val="toc 4"/>
    <w:basedOn w:val="TOC3"/>
    <w:semiHidden/>
    <w:rsid w:val="00DA5A08"/>
    <w:pPr>
      <w:tabs>
        <w:tab w:val="left" w:pos="3261"/>
      </w:tabs>
      <w:spacing w:before="80"/>
      <w:ind w:left="3261" w:hanging="993"/>
    </w:pPr>
  </w:style>
  <w:style w:type="paragraph" w:styleId="TOC5">
    <w:name w:val="toc 5"/>
    <w:basedOn w:val="TOC4"/>
    <w:semiHidden/>
    <w:rsid w:val="00DA5A08"/>
  </w:style>
  <w:style w:type="paragraph" w:styleId="TOC6">
    <w:name w:val="toc 6"/>
    <w:basedOn w:val="TOC4"/>
    <w:semiHidden/>
    <w:rsid w:val="00DA5A08"/>
  </w:style>
  <w:style w:type="paragraph" w:styleId="TOC7">
    <w:name w:val="toc 7"/>
    <w:basedOn w:val="TOC4"/>
    <w:semiHidden/>
    <w:rsid w:val="00DA5A08"/>
  </w:style>
  <w:style w:type="paragraph" w:styleId="TOC8">
    <w:name w:val="toc 8"/>
    <w:basedOn w:val="TOC4"/>
    <w:semiHidden/>
    <w:rsid w:val="00DA5A08"/>
  </w:style>
  <w:style w:type="paragraph" w:customStyle="1" w:styleId="Rectitle">
    <w:name w:val="Rec_title"/>
    <w:basedOn w:val="Normal"/>
    <w:next w:val="Recref"/>
    <w:rsid w:val="00DA5A08"/>
    <w:pPr>
      <w:keepNext/>
      <w:keepLines/>
      <w:spacing w:before="240"/>
      <w:jc w:val="center"/>
    </w:pPr>
    <w:rPr>
      <w:b/>
      <w:sz w:val="28"/>
    </w:rPr>
  </w:style>
  <w:style w:type="paragraph" w:customStyle="1" w:styleId="Annexref">
    <w:name w:val="Annex_ref"/>
    <w:basedOn w:val="Normal"/>
    <w:next w:val="Normalaftertitle"/>
    <w:rsid w:val="00DA5A08"/>
    <w:pPr>
      <w:keepNext/>
      <w:keepLines/>
      <w:spacing w:after="280"/>
      <w:jc w:val="center"/>
    </w:pPr>
  </w:style>
  <w:style w:type="paragraph" w:customStyle="1" w:styleId="Appendixref">
    <w:name w:val="Appendix_ref"/>
    <w:basedOn w:val="Annexref"/>
    <w:next w:val="Normalaftertitle"/>
    <w:rsid w:val="00DA5A08"/>
  </w:style>
  <w:style w:type="paragraph" w:customStyle="1" w:styleId="Figuretitle">
    <w:name w:val="Figure_title"/>
    <w:basedOn w:val="Normal"/>
    <w:next w:val="Figure"/>
    <w:link w:val="FiguretitleChar"/>
    <w:rsid w:val="00DA5A08"/>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DA5A08"/>
    <w:pPr>
      <w:keepNext/>
      <w:spacing w:before="0" w:after="120"/>
      <w:jc w:val="center"/>
    </w:pPr>
    <w:rPr>
      <w:b/>
    </w:rPr>
  </w:style>
  <w:style w:type="paragraph" w:customStyle="1" w:styleId="Summary">
    <w:name w:val="Summary"/>
    <w:basedOn w:val="Normal"/>
    <w:next w:val="Normalaftertitle"/>
    <w:autoRedefine/>
    <w:rsid w:val="00DA5A08"/>
    <w:pPr>
      <w:spacing w:after="480"/>
    </w:pPr>
    <w:rPr>
      <w:sz w:val="22"/>
      <w:lang w:val="es-ES_tradnl"/>
    </w:rPr>
  </w:style>
  <w:style w:type="character" w:styleId="Hyperlink">
    <w:name w:val="Hyperlink"/>
    <w:basedOn w:val="DefaultParagraphFont"/>
    <w:rsid w:val="00B1717A"/>
    <w:rPr>
      <w:color w:val="0000FF"/>
      <w:u w:val="single"/>
    </w:rPr>
  </w:style>
  <w:style w:type="paragraph" w:customStyle="1" w:styleId="Figure">
    <w:name w:val="Figure"/>
    <w:basedOn w:val="FigureNo"/>
    <w:next w:val="Normal"/>
    <w:rsid w:val="00DA5A08"/>
    <w:pPr>
      <w:keepNext w:val="0"/>
      <w:spacing w:before="0" w:after="240"/>
    </w:pPr>
  </w:style>
  <w:style w:type="table" w:styleId="TableGrid">
    <w:name w:val="Table Grid"/>
    <w:basedOn w:val="TableNormal"/>
    <w:rsid w:val="00B1717A"/>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LegendNote">
    <w:name w:val="Table_Legend_Note"/>
    <w:basedOn w:val="Tablelegend"/>
    <w:next w:val="Tablelegend"/>
    <w:rsid w:val="00DA5A08"/>
    <w:pPr>
      <w:ind w:left="-85" w:firstLine="0"/>
    </w:pPr>
    <w:rPr>
      <w:lang w:val="en-US"/>
    </w:rPr>
  </w:style>
  <w:style w:type="character" w:customStyle="1" w:styleId="Heading1Char">
    <w:name w:val="Heading 1 Char"/>
    <w:basedOn w:val="DefaultParagraphFont"/>
    <w:link w:val="Heading1"/>
    <w:rsid w:val="007D238E"/>
    <w:rPr>
      <w:b/>
      <w:sz w:val="24"/>
      <w:lang w:val="fr-FR" w:eastAsia="en-US"/>
    </w:rPr>
  </w:style>
  <w:style w:type="character" w:customStyle="1" w:styleId="Heading2Char">
    <w:name w:val="Heading 2 Char"/>
    <w:basedOn w:val="DefaultParagraphFont"/>
    <w:link w:val="Heading2"/>
    <w:rsid w:val="007D238E"/>
    <w:rPr>
      <w:b/>
      <w:sz w:val="24"/>
      <w:lang w:val="fr-FR" w:eastAsia="en-US"/>
    </w:rPr>
  </w:style>
  <w:style w:type="character" w:customStyle="1" w:styleId="FootnoteTextChar">
    <w:name w:val="Footnote Text Char"/>
    <w:basedOn w:val="DefaultParagraphFont"/>
    <w:link w:val="FootnoteText"/>
    <w:rsid w:val="007D238E"/>
    <w:rPr>
      <w:sz w:val="22"/>
      <w:lang w:val="fr-FR" w:eastAsia="en-US"/>
    </w:rPr>
  </w:style>
  <w:style w:type="paragraph" w:customStyle="1" w:styleId="Reasons">
    <w:name w:val="Reasons"/>
    <w:basedOn w:val="Normal"/>
    <w:qFormat/>
    <w:rsid w:val="007D238E"/>
    <w:pPr>
      <w:tabs>
        <w:tab w:val="clear" w:pos="794"/>
        <w:tab w:val="clear" w:pos="1191"/>
        <w:tab w:val="clear" w:pos="1588"/>
        <w:tab w:val="clear" w:pos="1985"/>
      </w:tabs>
      <w:overflowPunct/>
      <w:autoSpaceDE/>
      <w:autoSpaceDN/>
      <w:adjustRightInd/>
      <w:spacing w:before="0"/>
      <w:jc w:val="left"/>
      <w:textAlignment w:val="auto"/>
    </w:pPr>
    <w:rPr>
      <w:lang w:val="en-US"/>
    </w:rPr>
  </w:style>
  <w:style w:type="paragraph" w:customStyle="1" w:styleId="TableLegend0">
    <w:name w:val="Table_Legend"/>
    <w:basedOn w:val="Normal"/>
    <w:next w:val="Normal"/>
    <w:rsid w:val="007D238E"/>
    <w:pPr>
      <w:keepNext/>
      <w:spacing w:before="86" w:line="199" w:lineRule="exact"/>
      <w:ind w:left="-85" w:right="-85"/>
    </w:pPr>
    <w:rPr>
      <w:sz w:val="18"/>
      <w:lang w:val="en-GB"/>
    </w:rPr>
  </w:style>
  <w:style w:type="paragraph" w:customStyle="1" w:styleId="TableText0">
    <w:name w:val="Table_Text"/>
    <w:basedOn w:val="TableLegend0"/>
    <w:rsid w:val="007D238E"/>
    <w:pPr>
      <w:spacing w:before="100" w:after="100" w:line="190" w:lineRule="exact"/>
      <w:ind w:left="0" w:right="0"/>
    </w:pPr>
  </w:style>
  <w:style w:type="character" w:customStyle="1" w:styleId="TabletextChar">
    <w:name w:val="Table_text Char"/>
    <w:basedOn w:val="DefaultParagraphFont"/>
    <w:link w:val="Tabletext"/>
    <w:locked/>
    <w:rsid w:val="007D238E"/>
    <w:rPr>
      <w:sz w:val="22"/>
      <w:lang w:val="fr-FR" w:eastAsia="en-US"/>
    </w:rPr>
  </w:style>
  <w:style w:type="character" w:customStyle="1" w:styleId="FiguretitleChar">
    <w:name w:val="Figure_title Char"/>
    <w:basedOn w:val="DefaultParagraphFont"/>
    <w:link w:val="Figuretitle"/>
    <w:locked/>
    <w:rsid w:val="007D238E"/>
    <w:rPr>
      <w:rFonts w:ascii="Times New Roman Bold" w:hAnsi="Times New Roman Bold"/>
      <w:b/>
      <w:sz w:val="18"/>
      <w:lang w:val="fr-FR" w:eastAsia="en-US"/>
    </w:rPr>
  </w:style>
  <w:style w:type="character" w:customStyle="1" w:styleId="FigureNoChar">
    <w:name w:val="Figure_No Char"/>
    <w:basedOn w:val="DefaultParagraphFont"/>
    <w:link w:val="FigureNo"/>
    <w:locked/>
    <w:rsid w:val="007D238E"/>
    <w:rPr>
      <w:caps/>
      <w:sz w:val="18"/>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itu.int/ITU-R/go/patents/es" TargetMode="External"/><Relationship Id="rId13" Type="http://schemas.openxmlformats.org/officeDocument/2006/relationships/oleObject" Target="embeddings/oleObject1.bin"/><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image" Target="media/image2.emf"/><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eader" Target="header6.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header" Target="header4.xml"/><Relationship Id="rId5" Type="http://schemas.openxmlformats.org/officeDocument/2006/relationships/endnotes" Target="endnotes.xml"/><Relationship Id="rId15" Type="http://schemas.openxmlformats.org/officeDocument/2006/relationships/header" Target="header5.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hyperlink" Target="http://www.itu.int/publ/R-REC/es" TargetMode="External"/><Relationship Id="rId14"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talano\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94</TotalTime>
  <Pages>10</Pages>
  <Words>3373</Words>
  <Characters>18420</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21750</CharactersWithSpaces>
  <SharedDoc>false</SharedDoc>
  <HLinks>
    <vt:vector size="12" baseType="variant">
      <vt:variant>
        <vt:i4>196692</vt:i4>
      </vt:variant>
      <vt:variant>
        <vt:i4>3</vt:i4>
      </vt:variant>
      <vt:variant>
        <vt:i4>0</vt:i4>
      </vt:variant>
      <vt:variant>
        <vt:i4>5</vt:i4>
      </vt:variant>
      <vt:variant>
        <vt:lpwstr>http://www.itu.int/publ/R-REC/es</vt:lpwstr>
      </vt:variant>
      <vt:variant>
        <vt:lpwstr/>
      </vt:variant>
      <vt:variant>
        <vt:i4>2097198</vt:i4>
      </vt:variant>
      <vt:variant>
        <vt:i4>0</vt:i4>
      </vt:variant>
      <vt:variant>
        <vt:i4>0</vt:i4>
      </vt:variant>
      <vt:variant>
        <vt:i4>5</vt:i4>
      </vt:variant>
      <vt:variant>
        <vt:lpwstr>http://www.itu.int/ITU-R/go/patents/es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santosbo</dc:creator>
  <cp:keywords/>
  <dc:description/>
  <cp:lastModifiedBy>Catalano Moreira, Rossana</cp:lastModifiedBy>
  <cp:revision>16</cp:revision>
  <cp:lastPrinted>2020-01-21T11:33:00Z</cp:lastPrinted>
  <dcterms:created xsi:type="dcterms:W3CDTF">2020-01-21T09:56:00Z</dcterms:created>
  <dcterms:modified xsi:type="dcterms:W3CDTF">2020-01-21T11:38:00Z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