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92537D" w:rsidRDefault="00FE79FE">
      <w:pPr>
        <w:rPr>
          <w:lang w:val="en-GB"/>
        </w:rPr>
      </w:pPr>
    </w:p>
    <w:p w:rsidR="00FE79FE" w:rsidRPr="0092537D" w:rsidRDefault="00FE79FE">
      <w:pPr>
        <w:rPr>
          <w:lang w:val="en-GB"/>
        </w:rPr>
      </w:pPr>
    </w:p>
    <w:p w:rsidR="00FE79FE" w:rsidRPr="0092537D" w:rsidRDefault="00FE79FE">
      <w:pPr>
        <w:rPr>
          <w:lang w:val="en-GB"/>
        </w:rPr>
      </w:pPr>
    </w:p>
    <w:p w:rsidR="00FE79FE" w:rsidRPr="0092537D" w:rsidRDefault="00FE79FE">
      <w:pPr>
        <w:rPr>
          <w:lang w:val="en-GB"/>
        </w:rPr>
      </w:pPr>
    </w:p>
    <w:p w:rsidR="00FE79FE" w:rsidRPr="0092537D" w:rsidRDefault="00FE79FE">
      <w:pPr>
        <w:rPr>
          <w:lang w:val="en-GB"/>
        </w:rPr>
      </w:pPr>
    </w:p>
    <w:p w:rsidR="00013002" w:rsidRPr="0092537D" w:rsidRDefault="00013002">
      <w:pPr>
        <w:rPr>
          <w:lang w:val="en-GB"/>
        </w:rPr>
      </w:pPr>
    </w:p>
    <w:p w:rsidR="00013002" w:rsidRPr="0092537D" w:rsidRDefault="00013002">
      <w:pPr>
        <w:rPr>
          <w:lang w:val="en-GB"/>
        </w:rPr>
      </w:pPr>
    </w:p>
    <w:p w:rsidR="00013002" w:rsidRPr="0092537D" w:rsidRDefault="00013002">
      <w:pPr>
        <w:rPr>
          <w:lang w:val="en-GB"/>
        </w:rPr>
      </w:pPr>
    </w:p>
    <w:p w:rsidR="00FE79FE" w:rsidRPr="0092537D" w:rsidRDefault="00FE79FE">
      <w:pPr>
        <w:rPr>
          <w:lang w:val="en-GB"/>
        </w:rPr>
      </w:pPr>
    </w:p>
    <w:p w:rsidR="00FE79FE" w:rsidRPr="0092537D" w:rsidRDefault="00FE79FE">
      <w:pPr>
        <w:rPr>
          <w:lang w:val="en-GB"/>
        </w:rPr>
      </w:pPr>
    </w:p>
    <w:p w:rsidR="00FE79FE" w:rsidRPr="0092537D" w:rsidRDefault="00FE79FE">
      <w:pPr>
        <w:rPr>
          <w:lang w:val="en-GB"/>
        </w:rPr>
      </w:pPr>
    </w:p>
    <w:p w:rsidR="00FE79FE" w:rsidRPr="0092537D" w:rsidRDefault="00FE79FE">
      <w:pPr>
        <w:rPr>
          <w:lang w:val="en-GB"/>
        </w:rPr>
      </w:pPr>
    </w:p>
    <w:tbl>
      <w:tblPr>
        <w:tblW w:w="10089" w:type="dxa"/>
        <w:tblLook w:val="01E0" w:firstRow="1" w:lastRow="1" w:firstColumn="1" w:lastColumn="1" w:noHBand="0" w:noVBand="0"/>
      </w:tblPr>
      <w:tblGrid>
        <w:gridCol w:w="10089"/>
      </w:tblGrid>
      <w:tr w:rsidR="00FE79FE" w:rsidRPr="0092537D">
        <w:tc>
          <w:tcPr>
            <w:tcW w:w="10089" w:type="dxa"/>
          </w:tcPr>
          <w:p w:rsidR="00276D21" w:rsidRPr="0092537D" w:rsidRDefault="00276D21" w:rsidP="00013002">
            <w:pPr>
              <w:spacing w:before="380" w:line="280" w:lineRule="exact"/>
              <w:jc w:val="right"/>
              <w:rPr>
                <w:rFonts w:ascii="Tahoma" w:hAnsi="Tahoma" w:cs="Tahoma"/>
                <w:b/>
                <w:bCs/>
                <w:iCs/>
                <w:color w:val="243285"/>
                <w:sz w:val="32"/>
                <w:szCs w:val="32"/>
                <w:lang w:val="en-GB"/>
              </w:rPr>
            </w:pPr>
          </w:p>
          <w:p w:rsidR="00FE79FE" w:rsidRPr="0092537D" w:rsidRDefault="00FE79FE" w:rsidP="00A4173A">
            <w:pPr>
              <w:spacing w:before="380" w:line="280" w:lineRule="exact"/>
              <w:jc w:val="right"/>
              <w:rPr>
                <w:rFonts w:ascii="Tahoma" w:hAnsi="Tahoma" w:cs="Tahoma"/>
                <w:b/>
                <w:bCs/>
                <w:iCs/>
                <w:color w:val="243285"/>
                <w:sz w:val="36"/>
                <w:szCs w:val="36"/>
                <w:lang w:val="en-GB"/>
              </w:rPr>
            </w:pPr>
            <w:r w:rsidRPr="0092537D">
              <w:rPr>
                <w:rFonts w:ascii="Tahoma" w:hAnsi="Tahoma" w:cs="Tahoma"/>
                <w:b/>
                <w:bCs/>
                <w:iCs/>
                <w:color w:val="243285"/>
                <w:sz w:val="36"/>
                <w:szCs w:val="36"/>
                <w:lang w:val="en-GB"/>
              </w:rPr>
              <w:t xml:space="preserve">Recommendation  ITU-R  </w:t>
            </w:r>
            <w:r w:rsidR="002E6D89" w:rsidRPr="0092537D">
              <w:rPr>
                <w:rFonts w:ascii="Tahoma" w:hAnsi="Tahoma" w:cs="Tahoma"/>
                <w:b/>
                <w:bCs/>
                <w:iCs/>
                <w:color w:val="243285"/>
                <w:sz w:val="36"/>
                <w:szCs w:val="36"/>
                <w:lang w:val="en-GB"/>
              </w:rPr>
              <w:t>SA.1164-4</w:t>
            </w:r>
          </w:p>
          <w:p w:rsidR="00FE79FE" w:rsidRPr="0092537D" w:rsidRDefault="00FE79FE" w:rsidP="002E6D89">
            <w:pPr>
              <w:spacing w:before="80" w:line="280" w:lineRule="exact"/>
              <w:jc w:val="right"/>
              <w:rPr>
                <w:rFonts w:ascii="Tahoma" w:hAnsi="Tahoma" w:cs="Tahoma"/>
                <w:b/>
                <w:bCs/>
                <w:iCs/>
                <w:color w:val="243285"/>
                <w:szCs w:val="24"/>
                <w:lang w:val="en-GB"/>
              </w:rPr>
            </w:pPr>
            <w:r w:rsidRPr="0092537D">
              <w:rPr>
                <w:rFonts w:ascii="Tahoma" w:hAnsi="Tahoma" w:cs="Tahoma"/>
                <w:b/>
                <w:bCs/>
                <w:iCs/>
                <w:color w:val="243285"/>
                <w:szCs w:val="24"/>
                <w:lang w:val="en-GB"/>
              </w:rPr>
              <w:t>(</w:t>
            </w:r>
            <w:r w:rsidR="002E6D89" w:rsidRPr="0092537D">
              <w:rPr>
                <w:rFonts w:ascii="Tahoma" w:hAnsi="Tahoma" w:cs="Tahoma"/>
                <w:b/>
                <w:bCs/>
                <w:iCs/>
                <w:color w:val="243285"/>
                <w:szCs w:val="24"/>
                <w:lang w:val="en-GB"/>
              </w:rPr>
              <w:t>08</w:t>
            </w:r>
            <w:r w:rsidR="00F52627" w:rsidRPr="0092537D">
              <w:rPr>
                <w:rFonts w:ascii="Tahoma" w:hAnsi="Tahoma" w:cs="Tahoma"/>
                <w:b/>
                <w:bCs/>
                <w:iCs/>
                <w:color w:val="243285"/>
                <w:szCs w:val="24"/>
                <w:lang w:val="en-GB"/>
              </w:rPr>
              <w:t>/</w:t>
            </w:r>
            <w:r w:rsidR="002E6D89" w:rsidRPr="0092537D">
              <w:rPr>
                <w:rFonts w:ascii="Tahoma" w:hAnsi="Tahoma" w:cs="Tahoma"/>
                <w:b/>
                <w:bCs/>
                <w:iCs/>
                <w:color w:val="243285"/>
                <w:szCs w:val="24"/>
                <w:lang w:val="en-GB"/>
              </w:rPr>
              <w:t>2019</w:t>
            </w:r>
            <w:r w:rsidRPr="0092537D">
              <w:rPr>
                <w:rFonts w:ascii="Tahoma" w:hAnsi="Tahoma" w:cs="Tahoma"/>
                <w:b/>
                <w:bCs/>
                <w:iCs/>
                <w:color w:val="243285"/>
                <w:szCs w:val="24"/>
                <w:lang w:val="en-GB"/>
              </w:rPr>
              <w:t>)</w:t>
            </w:r>
          </w:p>
        </w:tc>
      </w:tr>
      <w:tr w:rsidR="00FE79FE" w:rsidRPr="00557C83">
        <w:tc>
          <w:tcPr>
            <w:tcW w:w="10089" w:type="dxa"/>
          </w:tcPr>
          <w:p w:rsidR="00FE79FE" w:rsidRPr="0092537D" w:rsidRDefault="002E6D89" w:rsidP="00C95C69">
            <w:pPr>
              <w:spacing w:before="80" w:line="500" w:lineRule="exact"/>
              <w:jc w:val="right"/>
              <w:rPr>
                <w:rFonts w:ascii="Tahoma" w:hAnsi="Tahoma" w:cs="Tahoma"/>
                <w:b/>
                <w:bCs/>
                <w:iCs/>
                <w:color w:val="243285"/>
                <w:sz w:val="44"/>
                <w:szCs w:val="44"/>
                <w:lang w:val="en-GB"/>
              </w:rPr>
            </w:pPr>
            <w:r w:rsidRPr="0092537D">
              <w:rPr>
                <w:rFonts w:ascii="Tahoma" w:hAnsi="Tahoma" w:cs="Tahoma"/>
                <w:b/>
                <w:bCs/>
                <w:iCs/>
                <w:color w:val="243285"/>
                <w:sz w:val="44"/>
                <w:szCs w:val="44"/>
                <w:lang w:val="en-GB"/>
              </w:rPr>
              <w:t>Sharing and coordination criteria for service links in data collection systems using GSO satellites in the Earth exploration-satellite and meteorological-satellite services</w:t>
            </w:r>
          </w:p>
          <w:p w:rsidR="00A62A14" w:rsidRPr="0092537D" w:rsidRDefault="00A62A14" w:rsidP="00FE79FE">
            <w:pPr>
              <w:spacing w:before="80" w:line="500" w:lineRule="exact"/>
              <w:jc w:val="right"/>
              <w:rPr>
                <w:rFonts w:ascii="Tahoma" w:hAnsi="Tahoma" w:cs="Tahoma"/>
                <w:b/>
                <w:bCs/>
                <w:iCs/>
                <w:color w:val="243285"/>
                <w:sz w:val="40"/>
                <w:szCs w:val="40"/>
                <w:lang w:val="en-GB"/>
              </w:rPr>
            </w:pPr>
          </w:p>
        </w:tc>
      </w:tr>
      <w:tr w:rsidR="00FE79FE" w:rsidRPr="0092537D">
        <w:tc>
          <w:tcPr>
            <w:tcW w:w="10089" w:type="dxa"/>
          </w:tcPr>
          <w:p w:rsidR="001F38BB" w:rsidRPr="0092537D" w:rsidRDefault="001F38BB" w:rsidP="001F38BB">
            <w:pPr>
              <w:spacing w:before="80" w:line="280" w:lineRule="exact"/>
              <w:ind w:right="640"/>
              <w:rPr>
                <w:rFonts w:ascii="Tahoma" w:hAnsi="Tahoma" w:cs="Tahoma"/>
                <w:b/>
                <w:bCs/>
                <w:iCs/>
                <w:color w:val="243285"/>
                <w:sz w:val="32"/>
                <w:szCs w:val="32"/>
                <w:lang w:val="en-GB"/>
              </w:rPr>
            </w:pPr>
          </w:p>
          <w:p w:rsidR="001F38BB" w:rsidRPr="0092537D" w:rsidRDefault="001F38BB" w:rsidP="001F38BB">
            <w:pPr>
              <w:spacing w:before="80" w:line="280" w:lineRule="exact"/>
              <w:ind w:right="640"/>
              <w:rPr>
                <w:rFonts w:ascii="Tahoma" w:hAnsi="Tahoma" w:cs="Tahoma"/>
                <w:b/>
                <w:bCs/>
                <w:iCs/>
                <w:color w:val="243285"/>
                <w:sz w:val="32"/>
                <w:szCs w:val="32"/>
                <w:lang w:val="en-GB"/>
              </w:rPr>
            </w:pPr>
          </w:p>
          <w:p w:rsidR="001F38BB" w:rsidRPr="0092537D" w:rsidRDefault="001F38BB" w:rsidP="001F38BB">
            <w:pPr>
              <w:spacing w:before="80" w:after="180" w:line="360" w:lineRule="exact"/>
              <w:ind w:right="720"/>
              <w:rPr>
                <w:rFonts w:ascii="Tahoma" w:hAnsi="Tahoma" w:cs="Tahoma"/>
                <w:b/>
                <w:bCs/>
                <w:iCs/>
                <w:color w:val="243285"/>
                <w:sz w:val="36"/>
                <w:szCs w:val="36"/>
                <w:lang w:val="en-GB"/>
              </w:rPr>
            </w:pPr>
          </w:p>
          <w:p w:rsidR="00013002" w:rsidRPr="0092537D" w:rsidRDefault="00A4173A" w:rsidP="00013002">
            <w:pPr>
              <w:spacing w:before="80" w:after="180" w:line="360" w:lineRule="exact"/>
              <w:jc w:val="right"/>
              <w:rPr>
                <w:rFonts w:ascii="Tahoma" w:hAnsi="Tahoma" w:cs="Tahoma"/>
                <w:b/>
                <w:bCs/>
                <w:iCs/>
                <w:color w:val="243285"/>
                <w:sz w:val="36"/>
                <w:szCs w:val="36"/>
                <w:lang w:val="en-GB"/>
              </w:rPr>
            </w:pPr>
            <w:r w:rsidRPr="0092537D">
              <w:rPr>
                <w:rFonts w:ascii="Tahoma" w:hAnsi="Tahoma" w:cs="Tahoma"/>
                <w:b/>
                <w:bCs/>
                <w:iCs/>
                <w:color w:val="243285"/>
                <w:sz w:val="36"/>
                <w:szCs w:val="36"/>
                <w:lang w:val="en-GB"/>
              </w:rPr>
              <w:t>SA</w:t>
            </w:r>
            <w:r w:rsidR="00FE79FE" w:rsidRPr="0092537D">
              <w:rPr>
                <w:rFonts w:ascii="Tahoma" w:hAnsi="Tahoma" w:cs="Tahoma"/>
                <w:b/>
                <w:bCs/>
                <w:iCs/>
                <w:color w:val="243285"/>
                <w:sz w:val="36"/>
                <w:szCs w:val="36"/>
                <w:lang w:val="en-GB"/>
              </w:rPr>
              <w:t xml:space="preserve"> Series</w:t>
            </w:r>
          </w:p>
          <w:p w:rsidR="00FE79FE" w:rsidRPr="0092537D" w:rsidRDefault="00A4173A" w:rsidP="00FE79FE">
            <w:pPr>
              <w:spacing w:before="80" w:line="360" w:lineRule="exact"/>
              <w:jc w:val="right"/>
              <w:rPr>
                <w:rFonts w:ascii="Tahoma" w:hAnsi="Tahoma" w:cs="Tahoma"/>
                <w:b/>
                <w:bCs/>
                <w:iCs/>
                <w:color w:val="243285"/>
                <w:sz w:val="36"/>
                <w:szCs w:val="36"/>
                <w:lang w:val="en-GB"/>
              </w:rPr>
            </w:pPr>
            <w:r w:rsidRPr="0092537D">
              <w:rPr>
                <w:rFonts w:ascii="Tahoma" w:hAnsi="Tahoma" w:cs="Tahoma"/>
                <w:b/>
                <w:bCs/>
                <w:iCs/>
                <w:color w:val="243285"/>
                <w:sz w:val="36"/>
                <w:szCs w:val="36"/>
                <w:lang w:val="en-GB"/>
              </w:rPr>
              <w:t>Space applications and meteorology</w:t>
            </w:r>
          </w:p>
          <w:p w:rsidR="00FE79FE" w:rsidRPr="0092537D" w:rsidRDefault="00FE79FE" w:rsidP="00FE79FE">
            <w:pPr>
              <w:spacing w:before="80" w:line="360" w:lineRule="exact"/>
              <w:jc w:val="right"/>
              <w:rPr>
                <w:rFonts w:ascii="Tahoma" w:hAnsi="Tahoma" w:cs="Tahoma"/>
                <w:b/>
                <w:bCs/>
                <w:iCs/>
                <w:color w:val="243285"/>
                <w:sz w:val="32"/>
                <w:szCs w:val="32"/>
                <w:lang w:val="en-GB"/>
              </w:rPr>
            </w:pPr>
          </w:p>
        </w:tc>
      </w:tr>
    </w:tbl>
    <w:p w:rsidR="00A71FE5" w:rsidRPr="0092537D" w:rsidRDefault="00A71FE5" w:rsidP="00CD659B">
      <w:pPr>
        <w:spacing w:before="80"/>
        <w:rPr>
          <w:i/>
          <w:sz w:val="22"/>
          <w:lang w:val="en-GB"/>
        </w:rPr>
      </w:pPr>
    </w:p>
    <w:p w:rsidR="00FE79FE" w:rsidRPr="0092537D" w:rsidRDefault="00FE79FE" w:rsidP="00CD659B">
      <w:pPr>
        <w:spacing w:before="80"/>
        <w:rPr>
          <w:i/>
          <w:sz w:val="22"/>
          <w:lang w:val="en-GB"/>
        </w:rPr>
      </w:pPr>
    </w:p>
    <w:p w:rsidR="00FE79FE" w:rsidRPr="0092537D" w:rsidRDefault="00FE79FE" w:rsidP="00CD659B">
      <w:pPr>
        <w:spacing w:before="80"/>
        <w:rPr>
          <w:i/>
          <w:sz w:val="22"/>
          <w:lang w:val="en-GB"/>
        </w:rPr>
      </w:pPr>
    </w:p>
    <w:p w:rsidR="00FE79FE" w:rsidRPr="0092537D" w:rsidRDefault="00FE79FE" w:rsidP="00CD659B">
      <w:pPr>
        <w:spacing w:before="80"/>
        <w:rPr>
          <w:i/>
          <w:sz w:val="22"/>
          <w:lang w:val="en-GB"/>
        </w:rPr>
      </w:pPr>
    </w:p>
    <w:p w:rsidR="00FE79FE" w:rsidRPr="0092537D" w:rsidRDefault="00FE79FE" w:rsidP="00CD659B">
      <w:pPr>
        <w:spacing w:before="80"/>
        <w:rPr>
          <w:i/>
          <w:sz w:val="22"/>
          <w:lang w:val="en-GB"/>
        </w:rPr>
      </w:pPr>
    </w:p>
    <w:p w:rsidR="00A71FE5" w:rsidRPr="0092537D" w:rsidRDefault="00A71FE5" w:rsidP="00CD659B">
      <w:pPr>
        <w:spacing w:before="80"/>
        <w:rPr>
          <w:i/>
          <w:sz w:val="22"/>
          <w:lang w:val="en-GB"/>
        </w:rPr>
      </w:pPr>
    </w:p>
    <w:p w:rsidR="00CD659B" w:rsidRPr="0092537D"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92537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92537D"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92537D">
        <w:rPr>
          <w:bCs/>
          <w:sz w:val="24"/>
          <w:szCs w:val="24"/>
          <w:lang w:val="en-GB"/>
        </w:rPr>
        <w:lastRenderedPageBreak/>
        <w:t>Foreword</w:t>
      </w:r>
    </w:p>
    <w:p w:rsidR="00586EF8" w:rsidRPr="0092537D" w:rsidRDefault="00586EF8" w:rsidP="00586EF8">
      <w:pPr>
        <w:spacing w:before="240"/>
        <w:rPr>
          <w:sz w:val="20"/>
          <w:lang w:val="en-GB"/>
        </w:rPr>
      </w:pPr>
      <w:r w:rsidRPr="0092537D">
        <w:rPr>
          <w:sz w:val="20"/>
          <w:lang w:val="en-GB"/>
        </w:rPr>
        <w:t xml:space="preserve">The role of the </w:t>
      </w:r>
      <w:proofErr w:type="spellStart"/>
      <w:r w:rsidRPr="0092537D">
        <w:rPr>
          <w:sz w:val="20"/>
          <w:lang w:val="en-GB"/>
        </w:rPr>
        <w:t>Radiocommunication</w:t>
      </w:r>
      <w:proofErr w:type="spellEnd"/>
      <w:r w:rsidRPr="0092537D">
        <w:rPr>
          <w:sz w:val="20"/>
          <w:lang w:val="en-GB"/>
        </w:rPr>
        <w:t xml:space="preserve"> Sector is to ensure the rational, equitable, efficient and economical use of the radio-frequency spectrum by all </w:t>
      </w:r>
      <w:proofErr w:type="spellStart"/>
      <w:r w:rsidRPr="0092537D">
        <w:rPr>
          <w:sz w:val="20"/>
          <w:lang w:val="en-GB"/>
        </w:rPr>
        <w:t>radiocommunication</w:t>
      </w:r>
      <w:proofErr w:type="spellEnd"/>
      <w:r w:rsidRPr="0092537D">
        <w:rPr>
          <w:sz w:val="20"/>
          <w:lang w:val="en-GB"/>
        </w:rPr>
        <w:t xml:space="preserve"> services, including satellite services, and carry out studies without limit of frequency range on the basis of which Recommendations are adopted.</w:t>
      </w:r>
    </w:p>
    <w:p w:rsidR="00586EF8" w:rsidRPr="0092537D" w:rsidRDefault="00586EF8" w:rsidP="00586EF8">
      <w:pPr>
        <w:rPr>
          <w:sz w:val="20"/>
          <w:lang w:val="en-GB"/>
        </w:rPr>
      </w:pPr>
      <w:r w:rsidRPr="0092537D">
        <w:rPr>
          <w:sz w:val="20"/>
          <w:lang w:val="en-GB"/>
        </w:rPr>
        <w:t xml:space="preserve">The regulatory and policy functions of the </w:t>
      </w:r>
      <w:proofErr w:type="spellStart"/>
      <w:r w:rsidRPr="0092537D">
        <w:rPr>
          <w:sz w:val="20"/>
          <w:lang w:val="en-GB"/>
        </w:rPr>
        <w:t>Radiocommunication</w:t>
      </w:r>
      <w:proofErr w:type="spellEnd"/>
      <w:r w:rsidRPr="0092537D">
        <w:rPr>
          <w:sz w:val="20"/>
          <w:lang w:val="en-GB"/>
        </w:rPr>
        <w:t xml:space="preserve"> Sector are performed by World and Regional </w:t>
      </w:r>
      <w:proofErr w:type="spellStart"/>
      <w:r w:rsidRPr="0092537D">
        <w:rPr>
          <w:sz w:val="20"/>
          <w:lang w:val="en-GB"/>
        </w:rPr>
        <w:t>Radiocommunication</w:t>
      </w:r>
      <w:proofErr w:type="spellEnd"/>
      <w:r w:rsidRPr="0092537D">
        <w:rPr>
          <w:sz w:val="20"/>
          <w:lang w:val="en-GB"/>
        </w:rPr>
        <w:t xml:space="preserve"> Conferences and </w:t>
      </w:r>
      <w:proofErr w:type="spellStart"/>
      <w:r w:rsidRPr="0092537D">
        <w:rPr>
          <w:sz w:val="20"/>
          <w:lang w:val="en-GB"/>
        </w:rPr>
        <w:t>Radiocommunication</w:t>
      </w:r>
      <w:proofErr w:type="spellEnd"/>
      <w:r w:rsidRPr="0092537D">
        <w:rPr>
          <w:sz w:val="20"/>
          <w:lang w:val="en-GB"/>
        </w:rPr>
        <w:t xml:space="preserve"> Assemblies supported by Study Groups.</w:t>
      </w:r>
    </w:p>
    <w:p w:rsidR="00B714F3" w:rsidRPr="0092537D" w:rsidRDefault="00B714F3" w:rsidP="002F5199">
      <w:pPr>
        <w:pStyle w:val="Heading1"/>
        <w:spacing w:before="680"/>
        <w:jc w:val="center"/>
        <w:rPr>
          <w:szCs w:val="24"/>
          <w:lang w:val="en-GB"/>
        </w:rPr>
      </w:pPr>
      <w:r w:rsidRPr="0092537D">
        <w:rPr>
          <w:szCs w:val="24"/>
          <w:lang w:val="en-GB"/>
        </w:rPr>
        <w:t>Policy on Intellectual Property Right (IPR)</w:t>
      </w:r>
    </w:p>
    <w:p w:rsidR="00B714F3" w:rsidRPr="0092537D" w:rsidRDefault="00B714F3" w:rsidP="00557C83">
      <w:pPr>
        <w:tabs>
          <w:tab w:val="clear" w:pos="794"/>
          <w:tab w:val="clear" w:pos="1191"/>
          <w:tab w:val="clear" w:pos="1588"/>
          <w:tab w:val="clear" w:pos="1985"/>
        </w:tabs>
        <w:spacing w:before="240"/>
        <w:rPr>
          <w:sz w:val="20"/>
          <w:lang w:val="en-GB"/>
        </w:rPr>
      </w:pPr>
      <w:r w:rsidRPr="0092537D">
        <w:rPr>
          <w:sz w:val="20"/>
          <w:lang w:val="en-GB"/>
        </w:rPr>
        <w:t>ITU-R policy on IPR is described in the Common Patent Policy for ITU-T/ITU-R/ISO/IEC referenced in Resolution ITU</w:t>
      </w:r>
      <w:r w:rsidR="00557C83">
        <w:rPr>
          <w:sz w:val="20"/>
          <w:lang w:val="en-GB"/>
        </w:rPr>
        <w:noBreakHyphen/>
      </w:r>
      <w:r w:rsidRPr="0092537D">
        <w:rPr>
          <w:sz w:val="20"/>
          <w:lang w:val="en-GB"/>
        </w:rPr>
        <w:t xml:space="preserve">R 1. Forms to be used for the submission of patent statements and licensing declarations by patent holders are available from </w:t>
      </w:r>
      <w:hyperlink r:id="rId11" w:history="1">
        <w:r w:rsidRPr="0092537D">
          <w:rPr>
            <w:rStyle w:val="Hyperlink"/>
            <w:sz w:val="20"/>
            <w:lang w:val="en-GB"/>
          </w:rPr>
          <w:t>http://www.itu.int/ITU</w:t>
        </w:r>
        <w:r w:rsidR="00EE04BA" w:rsidRPr="0092537D">
          <w:rPr>
            <w:rStyle w:val="Hyperlink"/>
            <w:sz w:val="20"/>
            <w:lang w:val="en-GB"/>
          </w:rPr>
          <w:t>-</w:t>
        </w:r>
        <w:r w:rsidRPr="0092537D">
          <w:rPr>
            <w:rStyle w:val="Hyperlink"/>
            <w:sz w:val="20"/>
            <w:lang w:val="en-GB"/>
          </w:rPr>
          <w:t>R/go/patents/en</w:t>
        </w:r>
      </w:hyperlink>
      <w:r w:rsidRPr="0092537D">
        <w:rPr>
          <w:sz w:val="20"/>
          <w:lang w:val="en-GB"/>
        </w:rPr>
        <w:t xml:space="preserve"> where the Guidelines for Implementation of the Common Patent Policy for ITU</w:t>
      </w:r>
      <w:r w:rsidRPr="0092537D">
        <w:rPr>
          <w:sz w:val="20"/>
          <w:lang w:val="en-GB"/>
        </w:rPr>
        <w:noBreakHyphen/>
        <w:t>T/ITU</w:t>
      </w:r>
      <w:r w:rsidRPr="0092537D">
        <w:rPr>
          <w:sz w:val="20"/>
          <w:lang w:val="en-GB"/>
        </w:rPr>
        <w:noBreakHyphen/>
        <w:t xml:space="preserve">R/ISO/IEC and the ITU-R patent information database can also be found. </w:t>
      </w:r>
    </w:p>
    <w:p w:rsidR="00586EF8" w:rsidRPr="0092537D" w:rsidRDefault="00586EF8" w:rsidP="00586EF8">
      <w:pPr>
        <w:jc w:val="center"/>
        <w:rPr>
          <w:sz w:val="22"/>
          <w:lang w:val="en-GB"/>
        </w:rPr>
      </w:pPr>
    </w:p>
    <w:p w:rsidR="00A971A1" w:rsidRPr="0092537D"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57C83">
        <w:tc>
          <w:tcPr>
            <w:tcW w:w="9360" w:type="dxa"/>
            <w:gridSpan w:val="2"/>
          </w:tcPr>
          <w:p w:rsidR="00036EE3" w:rsidRPr="0092537D"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92537D">
              <w:rPr>
                <w:sz w:val="22"/>
                <w:szCs w:val="22"/>
                <w:lang w:val="en-GB"/>
              </w:rPr>
              <w:t xml:space="preserve">Series of ITU-R Recommendations </w:t>
            </w:r>
          </w:p>
          <w:p w:rsidR="00036EE3" w:rsidRPr="0092537D"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92537D">
              <w:rPr>
                <w:b w:val="0"/>
                <w:sz w:val="18"/>
                <w:szCs w:val="18"/>
                <w:lang w:val="en-GB"/>
              </w:rPr>
              <w:t xml:space="preserve">(Also available online at </w:t>
            </w:r>
            <w:hyperlink r:id="rId12" w:history="1">
              <w:r w:rsidRPr="0092537D">
                <w:rPr>
                  <w:rStyle w:val="Hyperlink"/>
                  <w:b w:val="0"/>
                  <w:sz w:val="18"/>
                  <w:szCs w:val="18"/>
                  <w:lang w:val="en-GB"/>
                </w:rPr>
                <w:t>http://www.itu.int/publ/R-REC/en</w:t>
              </w:r>
            </w:hyperlink>
            <w:r w:rsidRPr="0092537D">
              <w:rPr>
                <w:b w:val="0"/>
                <w:sz w:val="18"/>
                <w:szCs w:val="18"/>
                <w:lang w:val="en-GB"/>
              </w:rPr>
              <w:t>)</w:t>
            </w:r>
          </w:p>
        </w:tc>
      </w:tr>
      <w:tr w:rsidR="00A971A1" w:rsidRPr="0092537D" w:rsidTr="00A4173A">
        <w:tc>
          <w:tcPr>
            <w:tcW w:w="1140" w:type="dxa"/>
            <w:tcBorders>
              <w:bottom w:val="nil"/>
            </w:tcBorders>
          </w:tcPr>
          <w:p w:rsidR="00A971A1" w:rsidRPr="0092537D" w:rsidRDefault="00A971A1" w:rsidP="000D0677">
            <w:pPr>
              <w:spacing w:before="200" w:after="100"/>
              <w:ind w:left="57"/>
              <w:rPr>
                <w:b/>
                <w:bCs/>
                <w:sz w:val="20"/>
                <w:lang w:val="en-GB"/>
              </w:rPr>
            </w:pPr>
            <w:r w:rsidRPr="0092537D">
              <w:rPr>
                <w:b/>
                <w:bCs/>
                <w:sz w:val="20"/>
                <w:lang w:val="en-GB"/>
              </w:rPr>
              <w:t>Series</w:t>
            </w:r>
          </w:p>
        </w:tc>
        <w:tc>
          <w:tcPr>
            <w:tcW w:w="8220" w:type="dxa"/>
            <w:tcBorders>
              <w:bottom w:val="nil"/>
            </w:tcBorders>
          </w:tcPr>
          <w:p w:rsidR="00A971A1" w:rsidRPr="0092537D"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92537D">
              <w:rPr>
                <w:bCs/>
                <w:sz w:val="20"/>
                <w:lang w:val="en-GB"/>
              </w:rPr>
              <w:t>Title</w:t>
            </w:r>
          </w:p>
        </w:tc>
      </w:tr>
      <w:tr w:rsidR="00A31928" w:rsidRPr="0092537D" w:rsidTr="00A4173A">
        <w:tc>
          <w:tcPr>
            <w:tcW w:w="1140" w:type="dxa"/>
            <w:tcBorders>
              <w:top w:val="nil"/>
              <w:bottom w:val="nil"/>
            </w:tcBorders>
            <w:shd w:val="clear" w:color="auto" w:fill="auto"/>
          </w:tcPr>
          <w:p w:rsidR="00A31928" w:rsidRPr="0092537D" w:rsidRDefault="00A31928" w:rsidP="006B1D2B">
            <w:pPr>
              <w:spacing w:before="30" w:after="30"/>
              <w:ind w:left="57"/>
              <w:jc w:val="left"/>
              <w:rPr>
                <w:b/>
                <w:sz w:val="20"/>
                <w:lang w:val="en-GB"/>
              </w:rPr>
            </w:pPr>
            <w:r w:rsidRPr="0092537D">
              <w:rPr>
                <w:b/>
                <w:sz w:val="20"/>
                <w:lang w:val="en-GB"/>
              </w:rPr>
              <w:t>BO</w:t>
            </w:r>
          </w:p>
        </w:tc>
        <w:tc>
          <w:tcPr>
            <w:tcW w:w="8220" w:type="dxa"/>
            <w:tcBorders>
              <w:top w:val="nil"/>
              <w:bottom w:val="nil"/>
            </w:tcBorders>
            <w:shd w:val="clear" w:color="auto" w:fill="auto"/>
          </w:tcPr>
          <w:p w:rsidR="00A31928" w:rsidRPr="0092537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92537D">
              <w:rPr>
                <w:b w:val="0"/>
                <w:bCs/>
                <w:sz w:val="20"/>
                <w:lang w:val="en-GB"/>
              </w:rPr>
              <w:t>Satellite delivery</w:t>
            </w:r>
          </w:p>
        </w:tc>
      </w:tr>
      <w:tr w:rsidR="00A31928" w:rsidRPr="00557C83" w:rsidTr="001B164E">
        <w:tc>
          <w:tcPr>
            <w:tcW w:w="1140" w:type="dxa"/>
            <w:tcBorders>
              <w:top w:val="nil"/>
            </w:tcBorders>
          </w:tcPr>
          <w:p w:rsidR="00A31928" w:rsidRPr="0092537D" w:rsidRDefault="00A31928" w:rsidP="006B1D2B">
            <w:pPr>
              <w:spacing w:before="30" w:after="30"/>
              <w:ind w:left="57"/>
              <w:jc w:val="left"/>
              <w:rPr>
                <w:b/>
                <w:bCs/>
                <w:sz w:val="20"/>
                <w:lang w:val="en-GB"/>
              </w:rPr>
            </w:pPr>
            <w:r w:rsidRPr="0092537D">
              <w:rPr>
                <w:b/>
                <w:bCs/>
                <w:sz w:val="20"/>
                <w:lang w:val="en-GB"/>
              </w:rPr>
              <w:t>BR</w:t>
            </w:r>
          </w:p>
        </w:tc>
        <w:tc>
          <w:tcPr>
            <w:tcW w:w="8220" w:type="dxa"/>
            <w:tcBorders>
              <w:top w:val="nil"/>
            </w:tcBorders>
          </w:tcPr>
          <w:p w:rsidR="00A31928" w:rsidRPr="0092537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2537D">
              <w:rPr>
                <w:b w:val="0"/>
                <w:sz w:val="20"/>
                <w:lang w:val="en-GB"/>
              </w:rPr>
              <w:t>Recording for production, archival and play-out; film for television</w:t>
            </w:r>
          </w:p>
        </w:tc>
      </w:tr>
      <w:tr w:rsidR="00A31928" w:rsidRPr="0092537D">
        <w:tc>
          <w:tcPr>
            <w:tcW w:w="1140" w:type="dxa"/>
          </w:tcPr>
          <w:p w:rsidR="00A31928" w:rsidRPr="0092537D" w:rsidRDefault="00A31928" w:rsidP="006B1D2B">
            <w:pPr>
              <w:spacing w:before="30" w:after="30"/>
              <w:ind w:left="57"/>
              <w:jc w:val="left"/>
              <w:rPr>
                <w:b/>
                <w:bCs/>
                <w:sz w:val="20"/>
                <w:lang w:val="en-GB"/>
              </w:rPr>
            </w:pPr>
            <w:r w:rsidRPr="0092537D">
              <w:rPr>
                <w:b/>
                <w:bCs/>
                <w:sz w:val="20"/>
                <w:lang w:val="en-GB"/>
              </w:rPr>
              <w:t>BS</w:t>
            </w:r>
          </w:p>
        </w:tc>
        <w:tc>
          <w:tcPr>
            <w:tcW w:w="8220" w:type="dxa"/>
          </w:tcPr>
          <w:p w:rsidR="00A31928" w:rsidRPr="0092537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2537D">
              <w:rPr>
                <w:b w:val="0"/>
                <w:sz w:val="20"/>
                <w:lang w:val="en-GB"/>
              </w:rPr>
              <w:t>Broadcasting service (sound)</w:t>
            </w:r>
          </w:p>
        </w:tc>
      </w:tr>
      <w:tr w:rsidR="00A31928" w:rsidRPr="0092537D">
        <w:tc>
          <w:tcPr>
            <w:tcW w:w="1140" w:type="dxa"/>
            <w:shd w:val="clear" w:color="auto" w:fill="auto"/>
          </w:tcPr>
          <w:p w:rsidR="00A31928" w:rsidRPr="0092537D" w:rsidRDefault="00A31928" w:rsidP="006B1D2B">
            <w:pPr>
              <w:spacing w:before="30" w:after="30"/>
              <w:ind w:left="57"/>
              <w:jc w:val="left"/>
              <w:rPr>
                <w:b/>
                <w:bCs/>
                <w:sz w:val="20"/>
                <w:lang w:val="en-GB"/>
              </w:rPr>
            </w:pPr>
            <w:r w:rsidRPr="0092537D">
              <w:rPr>
                <w:b/>
                <w:bCs/>
                <w:sz w:val="20"/>
                <w:lang w:val="en-GB"/>
              </w:rPr>
              <w:t>BT</w:t>
            </w:r>
          </w:p>
        </w:tc>
        <w:tc>
          <w:tcPr>
            <w:tcW w:w="8220" w:type="dxa"/>
            <w:shd w:val="clear" w:color="auto" w:fill="auto"/>
          </w:tcPr>
          <w:p w:rsidR="00A31928" w:rsidRPr="0092537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2537D">
              <w:rPr>
                <w:b w:val="0"/>
                <w:sz w:val="20"/>
                <w:lang w:val="en-GB"/>
              </w:rPr>
              <w:t>Broadcasting service (television)</w:t>
            </w:r>
          </w:p>
        </w:tc>
      </w:tr>
      <w:tr w:rsidR="00A31928" w:rsidRPr="0092537D">
        <w:tc>
          <w:tcPr>
            <w:tcW w:w="1140" w:type="dxa"/>
            <w:shd w:val="clear" w:color="auto" w:fill="auto"/>
          </w:tcPr>
          <w:p w:rsidR="00A31928" w:rsidRPr="0092537D" w:rsidRDefault="00A31928" w:rsidP="006B1D2B">
            <w:pPr>
              <w:spacing w:before="30" w:after="30"/>
              <w:ind w:left="57"/>
              <w:jc w:val="left"/>
              <w:rPr>
                <w:b/>
                <w:bCs/>
                <w:sz w:val="20"/>
                <w:lang w:val="en-GB"/>
              </w:rPr>
            </w:pPr>
            <w:r w:rsidRPr="0092537D">
              <w:rPr>
                <w:b/>
                <w:bCs/>
                <w:sz w:val="20"/>
                <w:lang w:val="en-GB"/>
              </w:rPr>
              <w:t>F</w:t>
            </w:r>
          </w:p>
        </w:tc>
        <w:tc>
          <w:tcPr>
            <w:tcW w:w="8220" w:type="dxa"/>
            <w:shd w:val="clear" w:color="auto" w:fill="auto"/>
          </w:tcPr>
          <w:p w:rsidR="00A31928" w:rsidRPr="0092537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2537D">
              <w:rPr>
                <w:sz w:val="20"/>
                <w:lang w:val="en-GB"/>
              </w:rPr>
              <w:t>Fixed service</w:t>
            </w:r>
          </w:p>
        </w:tc>
      </w:tr>
      <w:tr w:rsidR="00A31928" w:rsidRPr="0092537D">
        <w:tc>
          <w:tcPr>
            <w:tcW w:w="1140" w:type="dxa"/>
            <w:shd w:val="clear" w:color="auto" w:fill="auto"/>
          </w:tcPr>
          <w:p w:rsidR="00A31928" w:rsidRPr="0092537D" w:rsidRDefault="00A31928" w:rsidP="006B1D2B">
            <w:pPr>
              <w:spacing w:before="30" w:after="30"/>
              <w:ind w:left="57"/>
              <w:jc w:val="left"/>
              <w:rPr>
                <w:b/>
                <w:bCs/>
                <w:sz w:val="20"/>
                <w:lang w:val="en-GB"/>
              </w:rPr>
            </w:pPr>
            <w:r w:rsidRPr="0092537D">
              <w:rPr>
                <w:b/>
                <w:bCs/>
                <w:sz w:val="20"/>
                <w:lang w:val="en-GB"/>
              </w:rPr>
              <w:t>M</w:t>
            </w:r>
          </w:p>
        </w:tc>
        <w:tc>
          <w:tcPr>
            <w:tcW w:w="8220" w:type="dxa"/>
            <w:shd w:val="clear" w:color="auto" w:fill="auto"/>
          </w:tcPr>
          <w:p w:rsidR="00A31928" w:rsidRPr="0092537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92537D">
              <w:rPr>
                <w:b w:val="0"/>
                <w:sz w:val="20"/>
                <w:lang w:val="en-GB"/>
              </w:rPr>
              <w:t xml:space="preserve">Mobile, </w:t>
            </w:r>
            <w:proofErr w:type="spellStart"/>
            <w:r w:rsidRPr="0092537D">
              <w:rPr>
                <w:b w:val="0"/>
                <w:sz w:val="20"/>
                <w:lang w:val="en-GB"/>
              </w:rPr>
              <w:t>radiodetermination</w:t>
            </w:r>
            <w:proofErr w:type="spellEnd"/>
            <w:r w:rsidRPr="0092537D">
              <w:rPr>
                <w:b w:val="0"/>
                <w:sz w:val="20"/>
                <w:lang w:val="en-GB"/>
              </w:rPr>
              <w:t>, amateur and related satellite services</w:t>
            </w:r>
          </w:p>
        </w:tc>
      </w:tr>
      <w:tr w:rsidR="00A31928" w:rsidRPr="0092537D">
        <w:tc>
          <w:tcPr>
            <w:tcW w:w="1140" w:type="dxa"/>
          </w:tcPr>
          <w:p w:rsidR="00A31928" w:rsidRPr="0092537D" w:rsidRDefault="00A31928" w:rsidP="006B1D2B">
            <w:pPr>
              <w:spacing w:before="30" w:after="30"/>
              <w:ind w:left="57"/>
              <w:jc w:val="left"/>
              <w:rPr>
                <w:b/>
                <w:bCs/>
                <w:sz w:val="20"/>
                <w:lang w:val="en-GB"/>
              </w:rPr>
            </w:pPr>
            <w:r w:rsidRPr="0092537D">
              <w:rPr>
                <w:b/>
                <w:bCs/>
                <w:sz w:val="20"/>
                <w:lang w:val="en-GB"/>
              </w:rPr>
              <w:t>P</w:t>
            </w:r>
          </w:p>
        </w:tc>
        <w:tc>
          <w:tcPr>
            <w:tcW w:w="8220" w:type="dxa"/>
          </w:tcPr>
          <w:p w:rsidR="00A31928" w:rsidRPr="0092537D" w:rsidRDefault="00A31928" w:rsidP="006B1D2B">
            <w:pPr>
              <w:spacing w:before="30" w:after="30"/>
              <w:jc w:val="left"/>
              <w:rPr>
                <w:sz w:val="20"/>
                <w:lang w:val="en-GB"/>
              </w:rPr>
            </w:pPr>
            <w:proofErr w:type="spellStart"/>
            <w:r w:rsidRPr="0092537D">
              <w:rPr>
                <w:sz w:val="20"/>
                <w:lang w:val="en-GB"/>
              </w:rPr>
              <w:t>Radiowave</w:t>
            </w:r>
            <w:proofErr w:type="spellEnd"/>
            <w:r w:rsidRPr="0092537D">
              <w:rPr>
                <w:sz w:val="20"/>
                <w:lang w:val="en-GB"/>
              </w:rPr>
              <w:t xml:space="preserve"> propagation</w:t>
            </w:r>
          </w:p>
        </w:tc>
      </w:tr>
      <w:tr w:rsidR="00A31928" w:rsidRPr="0092537D">
        <w:tc>
          <w:tcPr>
            <w:tcW w:w="1140" w:type="dxa"/>
          </w:tcPr>
          <w:p w:rsidR="00A31928" w:rsidRPr="0092537D" w:rsidRDefault="00A31928" w:rsidP="006B1D2B">
            <w:pPr>
              <w:spacing w:before="30" w:after="30"/>
              <w:ind w:left="57"/>
              <w:jc w:val="left"/>
              <w:rPr>
                <w:b/>
                <w:bCs/>
                <w:sz w:val="20"/>
                <w:lang w:val="en-GB"/>
              </w:rPr>
            </w:pPr>
            <w:r w:rsidRPr="0092537D">
              <w:rPr>
                <w:b/>
                <w:bCs/>
                <w:sz w:val="20"/>
                <w:lang w:val="en-GB"/>
              </w:rPr>
              <w:t>RA</w:t>
            </w:r>
          </w:p>
        </w:tc>
        <w:tc>
          <w:tcPr>
            <w:tcW w:w="8220" w:type="dxa"/>
          </w:tcPr>
          <w:p w:rsidR="00A31928" w:rsidRPr="0092537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2537D">
              <w:rPr>
                <w:sz w:val="20"/>
                <w:lang w:val="en-GB"/>
              </w:rPr>
              <w:t>Radio astronomy</w:t>
            </w:r>
          </w:p>
        </w:tc>
      </w:tr>
      <w:tr w:rsidR="00A31928" w:rsidRPr="0092537D">
        <w:tc>
          <w:tcPr>
            <w:tcW w:w="1140" w:type="dxa"/>
          </w:tcPr>
          <w:p w:rsidR="00A31928" w:rsidRPr="0092537D" w:rsidRDefault="00A31928" w:rsidP="006B1D2B">
            <w:pPr>
              <w:spacing w:before="30" w:after="30"/>
              <w:ind w:left="57"/>
              <w:jc w:val="left"/>
              <w:rPr>
                <w:b/>
                <w:bCs/>
                <w:sz w:val="20"/>
                <w:lang w:val="en-GB"/>
              </w:rPr>
            </w:pPr>
            <w:r w:rsidRPr="0092537D">
              <w:rPr>
                <w:b/>
                <w:bCs/>
                <w:sz w:val="20"/>
                <w:lang w:val="en-GB"/>
              </w:rPr>
              <w:t>RS</w:t>
            </w:r>
          </w:p>
        </w:tc>
        <w:tc>
          <w:tcPr>
            <w:tcW w:w="8220" w:type="dxa"/>
          </w:tcPr>
          <w:p w:rsidR="00A31928" w:rsidRPr="0092537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92537D">
              <w:rPr>
                <w:sz w:val="20"/>
                <w:lang w:val="en-GB"/>
              </w:rPr>
              <w:t>Remote sensing systems</w:t>
            </w:r>
          </w:p>
        </w:tc>
      </w:tr>
      <w:tr w:rsidR="00A31928" w:rsidRPr="0092537D" w:rsidTr="00A4173A">
        <w:tc>
          <w:tcPr>
            <w:tcW w:w="1140" w:type="dxa"/>
            <w:tcBorders>
              <w:bottom w:val="nil"/>
            </w:tcBorders>
          </w:tcPr>
          <w:p w:rsidR="00A31928" w:rsidRPr="0092537D" w:rsidRDefault="00A31928" w:rsidP="006B1D2B">
            <w:pPr>
              <w:spacing w:before="30" w:after="30"/>
              <w:ind w:left="57"/>
              <w:jc w:val="left"/>
              <w:rPr>
                <w:b/>
                <w:bCs/>
                <w:sz w:val="20"/>
                <w:lang w:val="en-GB"/>
              </w:rPr>
            </w:pPr>
            <w:r w:rsidRPr="0092537D">
              <w:rPr>
                <w:b/>
                <w:bCs/>
                <w:sz w:val="20"/>
                <w:lang w:val="en-GB"/>
              </w:rPr>
              <w:t>S</w:t>
            </w:r>
          </w:p>
        </w:tc>
        <w:tc>
          <w:tcPr>
            <w:tcW w:w="8220" w:type="dxa"/>
            <w:tcBorders>
              <w:bottom w:val="nil"/>
            </w:tcBorders>
          </w:tcPr>
          <w:p w:rsidR="00A31928" w:rsidRPr="0092537D" w:rsidRDefault="00A31928" w:rsidP="006B1D2B">
            <w:pPr>
              <w:spacing w:before="30" w:after="30"/>
              <w:jc w:val="left"/>
              <w:rPr>
                <w:sz w:val="20"/>
                <w:lang w:val="en-GB"/>
              </w:rPr>
            </w:pPr>
            <w:r w:rsidRPr="0092537D">
              <w:rPr>
                <w:sz w:val="20"/>
                <w:lang w:val="en-GB"/>
              </w:rPr>
              <w:t>Fixed-satellite service</w:t>
            </w:r>
          </w:p>
        </w:tc>
      </w:tr>
      <w:tr w:rsidR="00A31928" w:rsidRPr="0092537D" w:rsidTr="00A4173A">
        <w:tc>
          <w:tcPr>
            <w:tcW w:w="1140" w:type="dxa"/>
            <w:tcBorders>
              <w:top w:val="nil"/>
              <w:bottom w:val="nil"/>
            </w:tcBorders>
            <w:shd w:val="clear" w:color="auto" w:fill="F3F3F3"/>
          </w:tcPr>
          <w:p w:rsidR="00A31928" w:rsidRPr="0092537D" w:rsidRDefault="00A31928" w:rsidP="006B1D2B">
            <w:pPr>
              <w:spacing w:before="30" w:after="30"/>
              <w:ind w:left="57"/>
              <w:jc w:val="left"/>
              <w:rPr>
                <w:b/>
                <w:bCs/>
                <w:color w:val="000080"/>
                <w:sz w:val="20"/>
                <w:lang w:val="en-GB"/>
              </w:rPr>
            </w:pPr>
            <w:r w:rsidRPr="0092537D">
              <w:rPr>
                <w:b/>
                <w:bCs/>
                <w:color w:val="000080"/>
                <w:sz w:val="20"/>
                <w:lang w:val="en-GB"/>
              </w:rPr>
              <w:t>SA</w:t>
            </w:r>
          </w:p>
        </w:tc>
        <w:tc>
          <w:tcPr>
            <w:tcW w:w="8220" w:type="dxa"/>
            <w:tcBorders>
              <w:top w:val="nil"/>
              <w:bottom w:val="nil"/>
            </w:tcBorders>
            <w:shd w:val="clear" w:color="auto" w:fill="F3F3F3"/>
          </w:tcPr>
          <w:p w:rsidR="00A31928" w:rsidRPr="0092537D" w:rsidRDefault="00A31928" w:rsidP="006B1D2B">
            <w:pPr>
              <w:spacing w:before="30" w:after="30"/>
              <w:jc w:val="left"/>
              <w:rPr>
                <w:b/>
                <w:bCs/>
                <w:color w:val="000080"/>
                <w:sz w:val="20"/>
                <w:lang w:val="en-GB"/>
              </w:rPr>
            </w:pPr>
            <w:r w:rsidRPr="0092537D">
              <w:rPr>
                <w:b/>
                <w:bCs/>
                <w:color w:val="000080"/>
                <w:sz w:val="20"/>
                <w:lang w:val="en-GB"/>
              </w:rPr>
              <w:t>Space applications and meteorology</w:t>
            </w:r>
          </w:p>
        </w:tc>
      </w:tr>
      <w:tr w:rsidR="00A31928" w:rsidRPr="00557C83" w:rsidTr="00A4173A">
        <w:tc>
          <w:tcPr>
            <w:tcW w:w="1140" w:type="dxa"/>
            <w:tcBorders>
              <w:top w:val="nil"/>
              <w:bottom w:val="nil"/>
            </w:tcBorders>
          </w:tcPr>
          <w:p w:rsidR="00A31928" w:rsidRPr="0092537D" w:rsidRDefault="00A31928" w:rsidP="006B1D2B">
            <w:pPr>
              <w:spacing w:before="30" w:after="30"/>
              <w:ind w:left="57"/>
              <w:jc w:val="left"/>
              <w:rPr>
                <w:b/>
                <w:bCs/>
                <w:sz w:val="20"/>
                <w:lang w:val="en-GB"/>
              </w:rPr>
            </w:pPr>
            <w:r w:rsidRPr="0092537D">
              <w:rPr>
                <w:b/>
                <w:bCs/>
                <w:sz w:val="20"/>
                <w:lang w:val="en-GB"/>
              </w:rPr>
              <w:t>SF</w:t>
            </w:r>
          </w:p>
        </w:tc>
        <w:tc>
          <w:tcPr>
            <w:tcW w:w="8220" w:type="dxa"/>
            <w:tcBorders>
              <w:top w:val="nil"/>
              <w:bottom w:val="nil"/>
            </w:tcBorders>
          </w:tcPr>
          <w:p w:rsidR="00A31928" w:rsidRPr="0092537D" w:rsidRDefault="00A31928" w:rsidP="006B1D2B">
            <w:pPr>
              <w:spacing w:before="30" w:after="30"/>
              <w:jc w:val="left"/>
              <w:rPr>
                <w:sz w:val="20"/>
                <w:lang w:val="en-GB"/>
              </w:rPr>
            </w:pPr>
            <w:r w:rsidRPr="0092537D">
              <w:rPr>
                <w:sz w:val="20"/>
                <w:lang w:val="en-GB"/>
              </w:rPr>
              <w:t>Frequency sharing and coordination between fixed-satellite and fixed service systems</w:t>
            </w:r>
          </w:p>
        </w:tc>
      </w:tr>
      <w:tr w:rsidR="00A31928" w:rsidRPr="0092537D" w:rsidTr="001B164E">
        <w:tc>
          <w:tcPr>
            <w:tcW w:w="1140" w:type="dxa"/>
            <w:tcBorders>
              <w:top w:val="nil"/>
              <w:bottom w:val="nil"/>
            </w:tcBorders>
            <w:shd w:val="clear" w:color="auto" w:fill="auto"/>
          </w:tcPr>
          <w:p w:rsidR="00A31928" w:rsidRPr="0092537D" w:rsidRDefault="00A31928" w:rsidP="006B1D2B">
            <w:pPr>
              <w:spacing w:before="30" w:after="30"/>
              <w:ind w:left="57"/>
              <w:jc w:val="left"/>
              <w:rPr>
                <w:rFonts w:ascii="Times New Roman Bold" w:hAnsi="Times New Roman Bold" w:cs="Times New Roman Bold"/>
                <w:b/>
                <w:bCs/>
                <w:sz w:val="20"/>
                <w:lang w:val="en-GB"/>
              </w:rPr>
            </w:pPr>
            <w:r w:rsidRPr="0092537D">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A31928" w:rsidRPr="0092537D" w:rsidRDefault="00A31928" w:rsidP="006B1D2B">
            <w:pPr>
              <w:spacing w:before="30" w:after="30"/>
              <w:jc w:val="left"/>
              <w:rPr>
                <w:rFonts w:hAnsi="Times New Roman Bold"/>
                <w:sz w:val="20"/>
                <w:lang w:val="en-GB"/>
              </w:rPr>
            </w:pPr>
            <w:r w:rsidRPr="0092537D">
              <w:rPr>
                <w:rFonts w:hAnsi="Times New Roman Bold"/>
                <w:sz w:val="20"/>
                <w:lang w:val="en-GB"/>
              </w:rPr>
              <w:t>Spectrum management</w:t>
            </w:r>
          </w:p>
        </w:tc>
      </w:tr>
      <w:tr w:rsidR="00A31928" w:rsidRPr="0092537D" w:rsidTr="001B164E">
        <w:tc>
          <w:tcPr>
            <w:tcW w:w="1140" w:type="dxa"/>
            <w:tcBorders>
              <w:top w:val="nil"/>
            </w:tcBorders>
          </w:tcPr>
          <w:p w:rsidR="00A31928" w:rsidRPr="0092537D" w:rsidRDefault="00A31928" w:rsidP="006B1D2B">
            <w:pPr>
              <w:spacing w:before="30" w:after="30"/>
              <w:ind w:left="57"/>
              <w:jc w:val="left"/>
              <w:rPr>
                <w:b/>
                <w:bCs/>
                <w:sz w:val="20"/>
                <w:lang w:val="en-GB"/>
              </w:rPr>
            </w:pPr>
            <w:r w:rsidRPr="0092537D">
              <w:rPr>
                <w:b/>
                <w:bCs/>
                <w:sz w:val="20"/>
                <w:lang w:val="en-GB"/>
              </w:rPr>
              <w:t>SNG</w:t>
            </w:r>
          </w:p>
        </w:tc>
        <w:tc>
          <w:tcPr>
            <w:tcW w:w="8220" w:type="dxa"/>
            <w:tcBorders>
              <w:top w:val="nil"/>
            </w:tcBorders>
          </w:tcPr>
          <w:p w:rsidR="00A31928" w:rsidRPr="0092537D" w:rsidRDefault="00A31928" w:rsidP="006B1D2B">
            <w:pPr>
              <w:spacing w:before="30" w:after="30"/>
              <w:jc w:val="left"/>
              <w:rPr>
                <w:sz w:val="20"/>
                <w:lang w:val="en-GB"/>
              </w:rPr>
            </w:pPr>
            <w:r w:rsidRPr="0092537D">
              <w:rPr>
                <w:sz w:val="20"/>
                <w:lang w:val="en-GB"/>
              </w:rPr>
              <w:t>Satellite news gathering</w:t>
            </w:r>
          </w:p>
        </w:tc>
      </w:tr>
      <w:tr w:rsidR="00A31928" w:rsidRPr="00557C83">
        <w:tc>
          <w:tcPr>
            <w:tcW w:w="1140" w:type="dxa"/>
          </w:tcPr>
          <w:p w:rsidR="00A31928" w:rsidRPr="0092537D" w:rsidRDefault="00A31928" w:rsidP="006B1D2B">
            <w:pPr>
              <w:spacing w:before="30" w:after="30"/>
              <w:ind w:left="57"/>
              <w:jc w:val="left"/>
              <w:rPr>
                <w:b/>
                <w:bCs/>
                <w:sz w:val="20"/>
                <w:lang w:val="en-GB"/>
              </w:rPr>
            </w:pPr>
            <w:r w:rsidRPr="0092537D">
              <w:rPr>
                <w:b/>
                <w:bCs/>
                <w:sz w:val="20"/>
                <w:lang w:val="en-GB"/>
              </w:rPr>
              <w:t>TF</w:t>
            </w:r>
          </w:p>
        </w:tc>
        <w:tc>
          <w:tcPr>
            <w:tcW w:w="8220" w:type="dxa"/>
          </w:tcPr>
          <w:p w:rsidR="00A31928" w:rsidRPr="0092537D" w:rsidRDefault="00A31928" w:rsidP="006B1D2B">
            <w:pPr>
              <w:spacing w:before="30" w:after="30"/>
              <w:jc w:val="left"/>
              <w:rPr>
                <w:sz w:val="20"/>
                <w:lang w:val="en-GB"/>
              </w:rPr>
            </w:pPr>
            <w:r w:rsidRPr="0092537D">
              <w:rPr>
                <w:sz w:val="20"/>
                <w:lang w:val="en-GB"/>
              </w:rPr>
              <w:t>Time signals and frequency standards emissions</w:t>
            </w:r>
          </w:p>
        </w:tc>
      </w:tr>
      <w:tr w:rsidR="00A31928" w:rsidRPr="0092537D">
        <w:tc>
          <w:tcPr>
            <w:tcW w:w="1140" w:type="dxa"/>
          </w:tcPr>
          <w:p w:rsidR="00A31928" w:rsidRPr="0092537D" w:rsidRDefault="00A31928" w:rsidP="006B1D2B">
            <w:pPr>
              <w:spacing w:before="30" w:after="30"/>
              <w:ind w:left="57"/>
              <w:jc w:val="left"/>
              <w:rPr>
                <w:b/>
                <w:bCs/>
                <w:sz w:val="20"/>
                <w:lang w:val="en-GB"/>
              </w:rPr>
            </w:pPr>
            <w:r w:rsidRPr="0092537D">
              <w:rPr>
                <w:b/>
                <w:bCs/>
                <w:sz w:val="20"/>
                <w:lang w:val="en-GB"/>
              </w:rPr>
              <w:t>V</w:t>
            </w:r>
          </w:p>
        </w:tc>
        <w:tc>
          <w:tcPr>
            <w:tcW w:w="8220" w:type="dxa"/>
          </w:tcPr>
          <w:p w:rsidR="00A31928" w:rsidRPr="0092537D" w:rsidRDefault="00A31928" w:rsidP="00906589">
            <w:pPr>
              <w:spacing w:before="30" w:after="180"/>
              <w:jc w:val="left"/>
              <w:rPr>
                <w:sz w:val="20"/>
                <w:lang w:val="en-GB"/>
              </w:rPr>
            </w:pPr>
            <w:r w:rsidRPr="0092537D">
              <w:rPr>
                <w:sz w:val="20"/>
                <w:lang w:val="en-GB"/>
              </w:rPr>
              <w:t>Vocabulary and related subjects</w:t>
            </w:r>
          </w:p>
        </w:tc>
      </w:tr>
    </w:tbl>
    <w:p w:rsidR="00036EE3" w:rsidRPr="0092537D" w:rsidRDefault="00036EE3"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92537D">
        <w:tc>
          <w:tcPr>
            <w:tcW w:w="720" w:type="dxa"/>
          </w:tcPr>
          <w:p w:rsidR="00036EE3" w:rsidRPr="0092537D" w:rsidRDefault="00036EE3" w:rsidP="007B1357">
            <w:pPr>
              <w:jc w:val="center"/>
              <w:rPr>
                <w:sz w:val="22"/>
                <w:lang w:val="en-GB"/>
              </w:rPr>
            </w:pPr>
          </w:p>
        </w:tc>
      </w:tr>
    </w:tbl>
    <w:p w:rsidR="00036EE3" w:rsidRPr="0092537D" w:rsidRDefault="00036EE3" w:rsidP="007B135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557C83">
        <w:tc>
          <w:tcPr>
            <w:tcW w:w="9360" w:type="dxa"/>
          </w:tcPr>
          <w:p w:rsidR="00036EE3" w:rsidRPr="0092537D" w:rsidRDefault="00036EE3" w:rsidP="009C45DD">
            <w:pPr>
              <w:spacing w:after="120"/>
              <w:ind w:left="-57"/>
              <w:jc w:val="center"/>
              <w:rPr>
                <w:sz w:val="20"/>
                <w:lang w:val="en-GB"/>
              </w:rPr>
            </w:pPr>
            <w:r w:rsidRPr="0092537D">
              <w:rPr>
                <w:b/>
                <w:bCs/>
                <w:i/>
                <w:iCs/>
                <w:sz w:val="20"/>
                <w:lang w:val="en-GB"/>
              </w:rPr>
              <w:t>Note</w:t>
            </w:r>
            <w:r w:rsidRPr="0092537D">
              <w:rPr>
                <w:sz w:val="20"/>
                <w:lang w:val="en-GB"/>
              </w:rPr>
              <w:t xml:space="preserve">: </w:t>
            </w:r>
            <w:r w:rsidRPr="0092537D">
              <w:rPr>
                <w:i/>
                <w:iCs/>
                <w:sz w:val="20"/>
                <w:lang w:val="en-GB"/>
              </w:rPr>
              <w:t>This ITU-R Recommendation was approved in English under the procedure detailed in Resolution ITU-R 1.</w:t>
            </w:r>
          </w:p>
        </w:tc>
      </w:tr>
    </w:tbl>
    <w:p w:rsidR="00B714F3" w:rsidRPr="0092537D" w:rsidRDefault="00B714F3" w:rsidP="002F5199">
      <w:pPr>
        <w:spacing w:before="0"/>
        <w:jc w:val="center"/>
        <w:rPr>
          <w:sz w:val="22"/>
          <w:lang w:val="en-GB"/>
        </w:rPr>
      </w:pPr>
    </w:p>
    <w:p w:rsidR="00B714F3" w:rsidRPr="0092537D" w:rsidRDefault="00B714F3" w:rsidP="002F5199">
      <w:pPr>
        <w:spacing w:before="0"/>
        <w:jc w:val="center"/>
        <w:rPr>
          <w:sz w:val="22"/>
          <w:lang w:val="en-GB"/>
        </w:rPr>
      </w:pPr>
    </w:p>
    <w:p w:rsidR="00470E28" w:rsidRPr="0092537D" w:rsidRDefault="002F5199" w:rsidP="007B1357">
      <w:pPr>
        <w:spacing w:before="0"/>
        <w:jc w:val="right"/>
        <w:rPr>
          <w:i/>
          <w:iCs/>
          <w:sz w:val="20"/>
          <w:lang w:val="en-GB"/>
        </w:rPr>
      </w:pPr>
      <w:r w:rsidRPr="0092537D">
        <w:rPr>
          <w:i/>
          <w:iCs/>
          <w:sz w:val="20"/>
          <w:lang w:val="en-GB"/>
        </w:rPr>
        <w:t>Electronic Publication</w:t>
      </w:r>
    </w:p>
    <w:p w:rsidR="002F5199" w:rsidRPr="0092537D" w:rsidRDefault="002F5199" w:rsidP="009C0792">
      <w:pPr>
        <w:spacing w:before="0"/>
        <w:jc w:val="right"/>
        <w:rPr>
          <w:sz w:val="20"/>
          <w:lang w:val="en-GB"/>
        </w:rPr>
      </w:pPr>
      <w:r w:rsidRPr="0092537D">
        <w:rPr>
          <w:sz w:val="20"/>
          <w:lang w:val="en-GB"/>
        </w:rPr>
        <w:t>Geneva, 20</w:t>
      </w:r>
      <w:r w:rsidR="003E5917" w:rsidRPr="0092537D">
        <w:rPr>
          <w:sz w:val="20"/>
          <w:lang w:val="en-GB"/>
        </w:rPr>
        <w:t>1</w:t>
      </w:r>
      <w:r w:rsidR="007C1867" w:rsidRPr="0092537D">
        <w:rPr>
          <w:sz w:val="20"/>
          <w:lang w:val="en-GB"/>
        </w:rPr>
        <w:t>9</w:t>
      </w:r>
    </w:p>
    <w:p w:rsidR="009C45DD" w:rsidRPr="0092537D" w:rsidRDefault="009C45DD" w:rsidP="009C45DD">
      <w:pPr>
        <w:spacing w:before="0"/>
        <w:jc w:val="center"/>
        <w:rPr>
          <w:sz w:val="22"/>
          <w:lang w:val="en-GB"/>
        </w:rPr>
      </w:pPr>
    </w:p>
    <w:p w:rsidR="00586EF8" w:rsidRPr="0092537D" w:rsidRDefault="00586EF8" w:rsidP="009C0792">
      <w:pPr>
        <w:jc w:val="center"/>
        <w:rPr>
          <w:sz w:val="20"/>
          <w:lang w:val="en-GB"/>
        </w:rPr>
      </w:pPr>
      <w:r w:rsidRPr="0092537D">
        <w:rPr>
          <w:sz w:val="20"/>
          <w:lang w:val="en-GB"/>
        </w:rPr>
        <w:sym w:font="Symbol" w:char="F0E3"/>
      </w:r>
      <w:r w:rsidRPr="0092537D">
        <w:rPr>
          <w:sz w:val="20"/>
          <w:lang w:val="en-GB"/>
        </w:rPr>
        <w:t xml:space="preserve"> ITU </w:t>
      </w:r>
      <w:bookmarkStart w:id="1" w:name="iiannee"/>
      <w:bookmarkEnd w:id="1"/>
      <w:r w:rsidRPr="0092537D">
        <w:rPr>
          <w:sz w:val="20"/>
          <w:lang w:val="en-GB"/>
        </w:rPr>
        <w:t>20</w:t>
      </w:r>
      <w:r w:rsidR="003E5917" w:rsidRPr="0092537D">
        <w:rPr>
          <w:sz w:val="20"/>
          <w:lang w:val="en-GB"/>
        </w:rPr>
        <w:t>1</w:t>
      </w:r>
      <w:r w:rsidR="007C1867" w:rsidRPr="0092537D">
        <w:rPr>
          <w:sz w:val="20"/>
          <w:lang w:val="en-GB"/>
        </w:rPr>
        <w:t>9</w:t>
      </w:r>
    </w:p>
    <w:p w:rsidR="00586EF8" w:rsidRPr="0092537D" w:rsidRDefault="00586EF8" w:rsidP="00470E28">
      <w:pPr>
        <w:rPr>
          <w:sz w:val="18"/>
          <w:szCs w:val="18"/>
          <w:lang w:val="en-GB"/>
        </w:rPr>
      </w:pPr>
      <w:r w:rsidRPr="0092537D">
        <w:rPr>
          <w:sz w:val="18"/>
          <w:szCs w:val="18"/>
          <w:lang w:val="en-GB"/>
        </w:rPr>
        <w:t>All rights reserved. No part of thi</w:t>
      </w:r>
      <w:r w:rsidR="00470E28" w:rsidRPr="0092537D">
        <w:rPr>
          <w:sz w:val="18"/>
          <w:szCs w:val="18"/>
          <w:lang w:val="en-GB"/>
        </w:rPr>
        <w:t xml:space="preserve">s publication may be reproduced, </w:t>
      </w:r>
      <w:r w:rsidRPr="0092537D">
        <w:rPr>
          <w:sz w:val="18"/>
          <w:szCs w:val="18"/>
          <w:lang w:val="en-GB"/>
        </w:rPr>
        <w:t xml:space="preserve">by any means </w:t>
      </w:r>
      <w:r w:rsidR="00470E28" w:rsidRPr="0092537D">
        <w:rPr>
          <w:sz w:val="18"/>
          <w:szCs w:val="18"/>
          <w:lang w:val="en-GB"/>
        </w:rPr>
        <w:t xml:space="preserve">whatsoever, </w:t>
      </w:r>
      <w:r w:rsidRPr="0092537D">
        <w:rPr>
          <w:sz w:val="18"/>
          <w:szCs w:val="18"/>
          <w:lang w:val="en-GB"/>
        </w:rPr>
        <w:t xml:space="preserve">without written permission </w:t>
      </w:r>
      <w:r w:rsidR="00470E28" w:rsidRPr="0092537D">
        <w:rPr>
          <w:sz w:val="18"/>
          <w:szCs w:val="18"/>
          <w:lang w:val="en-GB"/>
        </w:rPr>
        <w:t>of</w:t>
      </w:r>
      <w:r w:rsidRPr="0092537D">
        <w:rPr>
          <w:sz w:val="18"/>
          <w:szCs w:val="18"/>
          <w:lang w:val="en-GB"/>
        </w:rPr>
        <w:t xml:space="preserve"> ITU.</w:t>
      </w:r>
    </w:p>
    <w:p w:rsidR="007565CC" w:rsidRPr="0092537D" w:rsidRDefault="007565CC" w:rsidP="00A971A1">
      <w:pPr>
        <w:spacing w:before="160"/>
        <w:rPr>
          <w:i/>
          <w:sz w:val="20"/>
          <w:lang w:val="en-GB"/>
        </w:rPr>
        <w:sectPr w:rsidR="007565CC" w:rsidRPr="0092537D"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EC5363" w:rsidRPr="0092537D" w:rsidRDefault="00EC5363" w:rsidP="00EC5363">
      <w:pPr>
        <w:pStyle w:val="RecNo"/>
        <w:rPr>
          <w:rFonts w:asciiTheme="majorBidi" w:hAnsiTheme="majorBidi" w:cstheme="majorBidi"/>
          <w:b/>
          <w:lang w:val="en-GB"/>
        </w:rPr>
      </w:pPr>
      <w:bookmarkStart w:id="2" w:name="irecnoe"/>
      <w:bookmarkEnd w:id="2"/>
      <w:r w:rsidRPr="0092537D">
        <w:rPr>
          <w:lang w:val="en-GB"/>
        </w:rPr>
        <w:lastRenderedPageBreak/>
        <w:t xml:space="preserve">RECOMMENDATION  </w:t>
      </w:r>
      <w:r w:rsidRPr="0092537D">
        <w:rPr>
          <w:rStyle w:val="href"/>
          <w:lang w:val="en-GB"/>
        </w:rPr>
        <w:t>ITU-R  SA.1164-4</w:t>
      </w:r>
    </w:p>
    <w:p w:rsidR="00EC5363" w:rsidRPr="0092537D" w:rsidRDefault="00EC5363" w:rsidP="00EC5363">
      <w:pPr>
        <w:pStyle w:val="Rectitle"/>
        <w:rPr>
          <w:lang w:val="en-GB"/>
        </w:rPr>
      </w:pPr>
      <w:r w:rsidRPr="0092537D">
        <w:rPr>
          <w:lang w:val="en-GB"/>
        </w:rPr>
        <w:t xml:space="preserve">Sharing and coordination criteria for service links in data collection systems using GSO satellites in the Earth exploration-satellite and </w:t>
      </w:r>
      <w:r w:rsidRPr="0092537D">
        <w:rPr>
          <w:lang w:val="en-GB"/>
        </w:rPr>
        <w:br/>
        <w:t>meteorological-satellite services</w:t>
      </w:r>
    </w:p>
    <w:p w:rsidR="00EC5363" w:rsidRPr="0092537D" w:rsidRDefault="00EC5363" w:rsidP="00EC5363">
      <w:pPr>
        <w:pStyle w:val="Questionref"/>
        <w:rPr>
          <w:lang w:val="en-GB"/>
        </w:rPr>
      </w:pPr>
      <w:r w:rsidRPr="0092537D">
        <w:rPr>
          <w:lang w:val="en-GB"/>
        </w:rPr>
        <w:t>(Question ITU-R 142/7)</w:t>
      </w:r>
    </w:p>
    <w:p w:rsidR="00EC5363" w:rsidRPr="0092537D" w:rsidRDefault="00EC5363" w:rsidP="00EC5363">
      <w:pPr>
        <w:pStyle w:val="Recdate"/>
        <w:rPr>
          <w:lang w:val="en-GB"/>
        </w:rPr>
      </w:pPr>
      <w:r w:rsidRPr="0092537D">
        <w:rPr>
          <w:lang w:val="en-GB"/>
        </w:rPr>
        <w:t>(1995-1997-1999-2018-2019)</w:t>
      </w:r>
    </w:p>
    <w:p w:rsidR="00EC5363" w:rsidRPr="00557C83" w:rsidRDefault="00EC5363" w:rsidP="00557C83">
      <w:pPr>
        <w:pStyle w:val="HeadingSum"/>
        <w:rPr>
          <w:sz w:val="22"/>
        </w:rPr>
      </w:pPr>
      <w:r w:rsidRPr="00557C83">
        <w:rPr>
          <w:sz w:val="22"/>
        </w:rPr>
        <w:t>Scope</w:t>
      </w:r>
    </w:p>
    <w:p w:rsidR="00EC5363" w:rsidRPr="00557C83" w:rsidRDefault="00EC5363" w:rsidP="00EC5363">
      <w:pPr>
        <w:pStyle w:val="Summary"/>
        <w:rPr>
          <w:sz w:val="22"/>
          <w:szCs w:val="22"/>
        </w:rPr>
      </w:pPr>
      <w:r w:rsidRPr="00557C83">
        <w:rPr>
          <w:sz w:val="22"/>
          <w:szCs w:val="22"/>
        </w:rPr>
        <w:t>This Recommendation provides the sharing and coordination criteria to protect service links for data collection systems in the Earth exploration-satellite and meteorological-satellite services using the aggregate interference criteria given in Recommendation ITU-R SA.1163.</w:t>
      </w:r>
    </w:p>
    <w:p w:rsidR="00EC5363" w:rsidRPr="0092537D" w:rsidRDefault="00EC5363" w:rsidP="00EC5363">
      <w:pPr>
        <w:pStyle w:val="Headingb"/>
        <w:rPr>
          <w:szCs w:val="24"/>
          <w:lang w:val="en-GB"/>
        </w:rPr>
      </w:pPr>
      <w:r w:rsidRPr="0092537D">
        <w:rPr>
          <w:szCs w:val="24"/>
          <w:lang w:val="en-GB"/>
        </w:rPr>
        <w:t>Keywords</w:t>
      </w:r>
    </w:p>
    <w:p w:rsidR="00EC5363" w:rsidRPr="0092537D" w:rsidRDefault="00EC5363" w:rsidP="00EC5363">
      <w:pPr>
        <w:rPr>
          <w:szCs w:val="24"/>
          <w:lang w:val="en-GB"/>
        </w:rPr>
      </w:pPr>
      <w:r w:rsidRPr="0092537D">
        <w:rPr>
          <w:szCs w:val="24"/>
          <w:lang w:val="en-GB"/>
        </w:rPr>
        <w:t>Sharing criteria, coordination criteria, power limits, data collection systems</w:t>
      </w:r>
    </w:p>
    <w:p w:rsidR="00EC5363" w:rsidRPr="0092537D" w:rsidRDefault="00EC5363" w:rsidP="00EC5363">
      <w:pPr>
        <w:pStyle w:val="Headingb"/>
        <w:rPr>
          <w:lang w:val="en-GB" w:eastAsia="zh-CN"/>
        </w:rPr>
      </w:pPr>
      <w:r w:rsidRPr="0092537D">
        <w:rPr>
          <w:lang w:val="en-GB" w:eastAsia="zh-CN"/>
        </w:rPr>
        <w:t>Related ITU-R Recommendations and Reports</w:t>
      </w:r>
    </w:p>
    <w:p w:rsidR="00EC5363" w:rsidRPr="0092537D" w:rsidRDefault="00EC5363" w:rsidP="00EC5363">
      <w:pPr>
        <w:pStyle w:val="Reftext"/>
        <w:rPr>
          <w:lang w:val="en-GB"/>
        </w:rPr>
      </w:pPr>
      <w:r w:rsidRPr="0092537D">
        <w:rPr>
          <w:szCs w:val="24"/>
          <w:lang w:val="en-GB" w:eastAsia="zh-CN"/>
        </w:rPr>
        <w:t xml:space="preserve">Recommendations ITU-R SA.1023 – </w:t>
      </w:r>
      <w:r w:rsidRPr="0092537D">
        <w:rPr>
          <w:lang w:val="en-GB"/>
        </w:rPr>
        <w:t>Methodology for determining sharing and coordination criteria for systems in the Earth exploration-satellite and meteorological-satellite services</w:t>
      </w:r>
    </w:p>
    <w:p w:rsidR="00EC5363" w:rsidRPr="0092537D" w:rsidRDefault="00EC5363" w:rsidP="00EC5363">
      <w:pPr>
        <w:pStyle w:val="Reftext"/>
        <w:rPr>
          <w:lang w:val="en-GB"/>
        </w:rPr>
      </w:pPr>
      <w:r w:rsidRPr="0092537D">
        <w:rPr>
          <w:szCs w:val="24"/>
          <w:lang w:val="en-GB" w:eastAsia="zh-CN"/>
        </w:rPr>
        <w:t xml:space="preserve">Recommendations ITU-R SA.1163 – </w:t>
      </w:r>
      <w:r w:rsidRPr="0092537D">
        <w:rPr>
          <w:lang w:val="en-GB"/>
        </w:rPr>
        <w:t>Interference criteria for service links in data collection systems in the Earth exploration-satellite and meteorological-satellite services</w:t>
      </w:r>
    </w:p>
    <w:p w:rsidR="00EC5363" w:rsidRPr="0092537D" w:rsidRDefault="00EC5363" w:rsidP="00EC5363">
      <w:pPr>
        <w:pStyle w:val="Reftext"/>
        <w:rPr>
          <w:szCs w:val="24"/>
          <w:lang w:val="en-GB" w:eastAsia="zh-CN"/>
        </w:rPr>
      </w:pPr>
      <w:r w:rsidRPr="0092537D">
        <w:rPr>
          <w:szCs w:val="24"/>
          <w:lang w:val="en-GB" w:eastAsia="zh-CN"/>
        </w:rPr>
        <w:t xml:space="preserve">Recommendations ITU-R SM.1448 – </w:t>
      </w:r>
      <w:r w:rsidRPr="0092537D">
        <w:rPr>
          <w:lang w:val="en-GB"/>
        </w:rPr>
        <w:t>Determination of the coordination area around an earth station in the frequency bands between 100 MHz and 105 GHz</w:t>
      </w:r>
    </w:p>
    <w:p w:rsidR="00EC5363" w:rsidRPr="0092537D" w:rsidRDefault="00EC5363" w:rsidP="00EC5363">
      <w:pPr>
        <w:pStyle w:val="Normalaftertitle"/>
        <w:rPr>
          <w:lang w:val="en-GB"/>
        </w:rPr>
      </w:pPr>
      <w:r w:rsidRPr="0092537D">
        <w:rPr>
          <w:lang w:val="en-GB"/>
        </w:rPr>
        <w:t xml:space="preserve">The ITU </w:t>
      </w:r>
      <w:proofErr w:type="spellStart"/>
      <w:r w:rsidRPr="0092537D">
        <w:rPr>
          <w:lang w:val="en-GB"/>
        </w:rPr>
        <w:t>Radiocommunication</w:t>
      </w:r>
      <w:proofErr w:type="spellEnd"/>
      <w:r w:rsidRPr="0092537D">
        <w:rPr>
          <w:lang w:val="en-GB"/>
        </w:rPr>
        <w:t xml:space="preserve"> Assembly,</w:t>
      </w:r>
    </w:p>
    <w:p w:rsidR="00EC5363" w:rsidRPr="0092537D" w:rsidRDefault="00EC5363" w:rsidP="00EC5363">
      <w:pPr>
        <w:pStyle w:val="Call"/>
        <w:rPr>
          <w:lang w:val="en-GB"/>
        </w:rPr>
      </w:pPr>
      <w:r w:rsidRPr="0092537D">
        <w:rPr>
          <w:lang w:val="en-GB"/>
        </w:rPr>
        <w:t>considering</w:t>
      </w:r>
    </w:p>
    <w:p w:rsidR="00EC5363" w:rsidRPr="0092537D" w:rsidRDefault="00EC5363" w:rsidP="00EC5363">
      <w:pPr>
        <w:rPr>
          <w:lang w:val="en-GB"/>
        </w:rPr>
      </w:pPr>
      <w:r w:rsidRPr="0092537D">
        <w:rPr>
          <w:i/>
          <w:iCs/>
          <w:lang w:val="en-GB"/>
        </w:rPr>
        <w:t>a)</w:t>
      </w:r>
      <w:r w:rsidRPr="0092537D">
        <w:rPr>
          <w:lang w:val="en-GB"/>
        </w:rPr>
        <w:tab/>
        <w:t>that the frequency bands allocated to the Earth exploration-satellite service (EESS) (including the meteorological-satellite (</w:t>
      </w:r>
      <w:proofErr w:type="spellStart"/>
      <w:r w:rsidRPr="0092537D">
        <w:rPr>
          <w:lang w:val="en-GB"/>
        </w:rPr>
        <w:t>MetSat</w:t>
      </w:r>
      <w:proofErr w:type="spellEnd"/>
      <w:r w:rsidRPr="0092537D">
        <w:rPr>
          <w:lang w:val="en-GB"/>
        </w:rPr>
        <w:t>) service) may be shared by several systems, including those operating in other services;</w:t>
      </w:r>
    </w:p>
    <w:p w:rsidR="00EC5363" w:rsidRPr="0092537D" w:rsidRDefault="00EC5363" w:rsidP="00EC5363">
      <w:pPr>
        <w:rPr>
          <w:lang w:val="en-GB"/>
        </w:rPr>
      </w:pPr>
      <w:r w:rsidRPr="0092537D">
        <w:rPr>
          <w:i/>
          <w:iCs/>
          <w:lang w:val="en-GB"/>
        </w:rPr>
        <w:t>b)</w:t>
      </w:r>
      <w:r w:rsidRPr="0092537D">
        <w:rPr>
          <w:lang w:val="en-GB"/>
        </w:rPr>
        <w:tab/>
        <w:t>that Recommendation ITU-R SA.1163 specifies the interference criteria needed to determine the sharing criteria;</w:t>
      </w:r>
    </w:p>
    <w:p w:rsidR="00EC5363" w:rsidRPr="0092537D" w:rsidRDefault="00EC5363" w:rsidP="00EC5363">
      <w:pPr>
        <w:rPr>
          <w:lang w:val="en-GB"/>
        </w:rPr>
      </w:pPr>
      <w:r w:rsidRPr="0092537D">
        <w:rPr>
          <w:i/>
          <w:iCs/>
          <w:lang w:val="en-GB"/>
        </w:rPr>
        <w:t>c)</w:t>
      </w:r>
      <w:r w:rsidRPr="0092537D">
        <w:rPr>
          <w:lang w:val="en-GB"/>
        </w:rPr>
        <w:tab/>
        <w:t>that sharing criteria may be determined using the methodology described in Recommendation ITU</w:t>
      </w:r>
      <w:r w:rsidRPr="0092537D">
        <w:rPr>
          <w:lang w:val="en-GB"/>
        </w:rPr>
        <w:noBreakHyphen/>
        <w:t>R SA.1023;</w:t>
      </w:r>
    </w:p>
    <w:p w:rsidR="00EC5363" w:rsidRPr="0092537D" w:rsidRDefault="00EC5363" w:rsidP="00EC5363">
      <w:pPr>
        <w:rPr>
          <w:lang w:val="en-GB"/>
        </w:rPr>
      </w:pPr>
      <w:r w:rsidRPr="0092537D">
        <w:rPr>
          <w:i/>
          <w:iCs/>
          <w:lang w:val="en-GB"/>
        </w:rPr>
        <w:t>d)</w:t>
      </w:r>
      <w:r w:rsidRPr="0092537D">
        <w:rPr>
          <w:lang w:val="en-GB"/>
        </w:rPr>
        <w:tab/>
        <w:t xml:space="preserve">that the typical deployment of interfering stations may change over a period of years as a result of growth in the number of systems and revisions to frequency band allocations that are adopted by world </w:t>
      </w:r>
      <w:proofErr w:type="spellStart"/>
      <w:r w:rsidRPr="0092537D">
        <w:rPr>
          <w:lang w:val="en-GB"/>
        </w:rPr>
        <w:t>radiocommunication</w:t>
      </w:r>
      <w:proofErr w:type="spellEnd"/>
      <w:r w:rsidRPr="0092537D">
        <w:rPr>
          <w:lang w:val="en-GB"/>
        </w:rPr>
        <w:t xml:space="preserve"> conferences;</w:t>
      </w:r>
    </w:p>
    <w:p w:rsidR="00EC5363" w:rsidRPr="0092537D" w:rsidRDefault="00EC5363" w:rsidP="00EC5363">
      <w:pPr>
        <w:rPr>
          <w:lang w:val="en-GB"/>
        </w:rPr>
      </w:pPr>
      <w:r w:rsidRPr="0092537D">
        <w:rPr>
          <w:i/>
          <w:iCs/>
          <w:lang w:val="en-GB"/>
        </w:rPr>
        <w:t>e)</w:t>
      </w:r>
      <w:r w:rsidRPr="0092537D">
        <w:rPr>
          <w:lang w:val="en-GB"/>
        </w:rPr>
        <w:tab/>
        <w:t>that by governing the use of the radio-frequency spectrum in their territory and through international coordination of frequency assignments, administrations may exercise a degree of control over the number of systems that may generate interference at significant levels;</w:t>
      </w:r>
    </w:p>
    <w:p w:rsidR="00EC5363" w:rsidRPr="0092537D" w:rsidRDefault="00EC5363" w:rsidP="00EC5363">
      <w:pPr>
        <w:rPr>
          <w:lang w:val="en-GB"/>
        </w:rPr>
      </w:pPr>
      <w:r w:rsidRPr="0092537D">
        <w:rPr>
          <w:i/>
          <w:iCs/>
          <w:lang w:val="en-GB"/>
        </w:rPr>
        <w:t>f)</w:t>
      </w:r>
      <w:r w:rsidRPr="0092537D">
        <w:rPr>
          <w:lang w:val="en-GB"/>
        </w:rPr>
        <w:tab/>
        <w:t xml:space="preserve">that the interference levels encountered by shipborne earth stations in the </w:t>
      </w:r>
      <w:proofErr w:type="spellStart"/>
      <w:r w:rsidRPr="0092537D">
        <w:rPr>
          <w:lang w:val="en-GB"/>
        </w:rPr>
        <w:t>MetSat</w:t>
      </w:r>
      <w:proofErr w:type="spellEnd"/>
      <w:r w:rsidRPr="0092537D">
        <w:rPr>
          <w:lang w:val="en-GB"/>
        </w:rPr>
        <w:t xml:space="preserve"> service are unlikely to be worse than those encountered by earth stations operating on land;</w:t>
      </w:r>
    </w:p>
    <w:p w:rsidR="00EC5363" w:rsidRPr="0092537D" w:rsidRDefault="00EC5363" w:rsidP="00EC5363">
      <w:pPr>
        <w:rPr>
          <w:lang w:val="en-GB"/>
        </w:rPr>
      </w:pPr>
      <w:r w:rsidRPr="0092537D">
        <w:rPr>
          <w:i/>
          <w:iCs/>
          <w:lang w:val="en-GB"/>
        </w:rPr>
        <w:t>g)</w:t>
      </w:r>
      <w:r w:rsidRPr="0092537D">
        <w:rPr>
          <w:lang w:val="en-GB"/>
        </w:rPr>
        <w:tab/>
        <w:t>Recommendation ITU-R SM.1448, which provides the methodologies for determining when coordination is warranted between transmitting terrestrial stations and earth stations,</w:t>
      </w:r>
    </w:p>
    <w:p w:rsidR="00EC5363" w:rsidRPr="0092537D" w:rsidRDefault="00EC5363" w:rsidP="00EC5363">
      <w:pPr>
        <w:pStyle w:val="Call"/>
        <w:rPr>
          <w:lang w:val="en-GB"/>
        </w:rPr>
      </w:pPr>
      <w:r w:rsidRPr="0092537D">
        <w:rPr>
          <w:lang w:val="en-GB"/>
        </w:rPr>
        <w:lastRenderedPageBreak/>
        <w:t>recommends</w:t>
      </w:r>
    </w:p>
    <w:p w:rsidR="00EC5363" w:rsidRPr="0092537D" w:rsidRDefault="00EC5363" w:rsidP="00EC5363">
      <w:pPr>
        <w:rPr>
          <w:lang w:val="en-GB"/>
        </w:rPr>
      </w:pPr>
      <w:r w:rsidRPr="0092537D">
        <w:rPr>
          <w:b/>
          <w:lang w:val="en-GB"/>
        </w:rPr>
        <w:t>1</w:t>
      </w:r>
      <w:r w:rsidRPr="0092537D">
        <w:rPr>
          <w:lang w:val="en-GB"/>
        </w:rPr>
        <w:tab/>
        <w:t xml:space="preserve">that the single entry interference levels presented in Table 1, based on the analysis described in Annex 1, should be used as sharing and coordination criteria, or as the basis for alternative forms of sharing criteria (e.g. </w:t>
      </w:r>
      <w:proofErr w:type="spellStart"/>
      <w:r w:rsidRPr="0092537D">
        <w:rPr>
          <w:lang w:val="en-GB"/>
        </w:rPr>
        <w:t>pfd</w:t>
      </w:r>
      <w:proofErr w:type="spellEnd"/>
      <w:r w:rsidRPr="0092537D">
        <w:rPr>
          <w:lang w:val="en-GB"/>
        </w:rPr>
        <w:t xml:space="preserve"> limits), for the protection of stations operating in the EESS and </w:t>
      </w:r>
      <w:proofErr w:type="spellStart"/>
      <w:r w:rsidRPr="0092537D">
        <w:rPr>
          <w:lang w:val="en-GB"/>
        </w:rPr>
        <w:t>MetSat</w:t>
      </w:r>
      <w:proofErr w:type="spellEnd"/>
      <w:r w:rsidRPr="0092537D">
        <w:rPr>
          <w:lang w:val="en-GB"/>
        </w:rPr>
        <w:t xml:space="preserve"> service;</w:t>
      </w:r>
    </w:p>
    <w:p w:rsidR="00EC5363" w:rsidRPr="0092537D" w:rsidRDefault="00EC5363" w:rsidP="00EC5363">
      <w:pPr>
        <w:rPr>
          <w:lang w:val="en-GB"/>
        </w:rPr>
      </w:pPr>
      <w:r w:rsidRPr="0092537D">
        <w:rPr>
          <w:b/>
          <w:lang w:val="en-GB"/>
        </w:rPr>
        <w:t>2</w:t>
      </w:r>
      <w:r w:rsidRPr="0092537D">
        <w:rPr>
          <w:lang w:val="en-GB"/>
        </w:rPr>
        <w:tab/>
        <w:t xml:space="preserve">that a 6% peak increase in equivalent link noise temperature should be used as the threshold for coordination between transmitting space stations and receiving earth stations operating in the </w:t>
      </w:r>
      <w:proofErr w:type="spellStart"/>
      <w:r w:rsidRPr="0092537D">
        <w:rPr>
          <w:lang w:val="en-GB"/>
        </w:rPr>
        <w:t>MetSat</w:t>
      </w:r>
      <w:proofErr w:type="spellEnd"/>
      <w:r w:rsidRPr="0092537D">
        <w:rPr>
          <w:lang w:val="en-GB"/>
        </w:rPr>
        <w:t xml:space="preserve"> service;</w:t>
      </w:r>
    </w:p>
    <w:p w:rsidR="00EC5363" w:rsidRPr="0092537D" w:rsidRDefault="00EC5363" w:rsidP="00EC5363">
      <w:pPr>
        <w:rPr>
          <w:lang w:val="en-GB"/>
        </w:rPr>
      </w:pPr>
      <w:r w:rsidRPr="0092537D">
        <w:rPr>
          <w:b/>
          <w:lang w:val="en-GB"/>
        </w:rPr>
        <w:t>3</w:t>
      </w:r>
      <w:r w:rsidRPr="0092537D">
        <w:rPr>
          <w:lang w:val="en-GB"/>
        </w:rPr>
        <w:tab/>
        <w:t>that the deployment of interferers specified in Annex 1 and for the 401-403 MHz band in Annex 2, should be reviewed periodically in order to determine whether the typical interference environment and consequential sharing criteria should be revised.</w:t>
      </w:r>
    </w:p>
    <w:p w:rsidR="00EC5363" w:rsidRPr="0092537D" w:rsidRDefault="00EC5363" w:rsidP="00EC5363">
      <w:pPr>
        <w:pStyle w:val="TableNo"/>
        <w:rPr>
          <w:lang w:val="en-GB"/>
        </w:rPr>
      </w:pPr>
      <w:r w:rsidRPr="0092537D">
        <w:rPr>
          <w:lang w:val="en-GB"/>
        </w:rPr>
        <w:t>TABLE 1</w:t>
      </w:r>
    </w:p>
    <w:p w:rsidR="00EC5363" w:rsidRPr="0092537D" w:rsidRDefault="00EC5363" w:rsidP="00EC5363">
      <w:pPr>
        <w:pStyle w:val="Tabletitle"/>
        <w:rPr>
          <w:lang w:val="en-GB"/>
        </w:rPr>
      </w:pPr>
      <w:r w:rsidRPr="0092537D">
        <w:rPr>
          <w:lang w:val="en-GB"/>
        </w:rPr>
        <w:t xml:space="preserve">Sharing criteria for stations in the EESS and </w:t>
      </w:r>
      <w:proofErr w:type="spellStart"/>
      <w:r w:rsidRPr="0092537D">
        <w:rPr>
          <w:lang w:val="en-GB"/>
        </w:rPr>
        <w:t>MetSat</w:t>
      </w:r>
      <w:proofErr w:type="spellEnd"/>
      <w:r w:rsidRPr="0092537D">
        <w:rPr>
          <w:lang w:val="en-GB"/>
        </w:rPr>
        <w:t xml:space="preserve"> service</w:t>
      </w:r>
    </w:p>
    <w:tbl>
      <w:tblPr>
        <w:tblStyle w:val="TableGrid"/>
        <w:tblW w:w="9644" w:type="dxa"/>
        <w:tblInd w:w="-5" w:type="dxa"/>
        <w:tblLook w:val="04A0" w:firstRow="1" w:lastRow="0" w:firstColumn="1" w:lastColumn="0" w:noHBand="0" w:noVBand="1"/>
      </w:tblPr>
      <w:tblGrid>
        <w:gridCol w:w="1606"/>
        <w:gridCol w:w="1370"/>
        <w:gridCol w:w="1845"/>
        <w:gridCol w:w="1420"/>
        <w:gridCol w:w="1795"/>
        <w:gridCol w:w="1608"/>
      </w:tblGrid>
      <w:tr w:rsidR="00EC5363" w:rsidRPr="00557C83" w:rsidTr="00AA7EB6">
        <w:tc>
          <w:tcPr>
            <w:tcW w:w="1606" w:type="dxa"/>
            <w:vAlign w:val="center"/>
          </w:tcPr>
          <w:p w:rsidR="00EC5363" w:rsidRPr="0092537D" w:rsidRDefault="00EC5363" w:rsidP="00AA7EB6">
            <w:pPr>
              <w:pStyle w:val="Tablehead"/>
              <w:rPr>
                <w:lang w:val="en-GB"/>
              </w:rPr>
            </w:pPr>
            <w:r w:rsidRPr="0092537D">
              <w:rPr>
                <w:lang w:val="en-GB"/>
              </w:rPr>
              <w:t>Frequency</w:t>
            </w:r>
            <w:r w:rsidRPr="0092537D">
              <w:rPr>
                <w:lang w:val="en-GB"/>
              </w:rPr>
              <w:br/>
              <w:t>band</w:t>
            </w:r>
            <w:r w:rsidRPr="0092537D">
              <w:rPr>
                <w:lang w:val="en-GB"/>
              </w:rPr>
              <w:br/>
              <w:t>(MHz)</w:t>
            </w:r>
          </w:p>
        </w:tc>
        <w:tc>
          <w:tcPr>
            <w:tcW w:w="1369" w:type="dxa"/>
            <w:vAlign w:val="center"/>
          </w:tcPr>
          <w:p w:rsidR="00EC5363" w:rsidRPr="0092537D" w:rsidRDefault="00EC5363" w:rsidP="00AA7EB6">
            <w:pPr>
              <w:pStyle w:val="Tablehead"/>
              <w:rPr>
                <w:lang w:val="en-GB"/>
              </w:rPr>
            </w:pPr>
            <w:r w:rsidRPr="0092537D">
              <w:rPr>
                <w:lang w:val="en-GB"/>
              </w:rPr>
              <w:t>Station</w:t>
            </w:r>
            <w:r w:rsidRPr="0092537D">
              <w:rPr>
                <w:lang w:val="en-GB"/>
              </w:rPr>
              <w:br/>
              <w:t xml:space="preserve">subject to </w:t>
            </w:r>
            <w:r w:rsidRPr="0092537D">
              <w:rPr>
                <w:lang w:val="en-GB"/>
              </w:rPr>
              <w:br/>
              <w:t>interference</w:t>
            </w:r>
          </w:p>
        </w:tc>
        <w:tc>
          <w:tcPr>
            <w:tcW w:w="3263" w:type="dxa"/>
            <w:gridSpan w:val="2"/>
            <w:vAlign w:val="center"/>
          </w:tcPr>
          <w:p w:rsidR="00EC5363" w:rsidRPr="0092537D" w:rsidRDefault="00EC5363" w:rsidP="00AA7EB6">
            <w:pPr>
              <w:pStyle w:val="Tablehead"/>
              <w:rPr>
                <w:lang w:val="en-GB"/>
              </w:rPr>
            </w:pPr>
            <w:r w:rsidRPr="0092537D">
              <w:rPr>
                <w:lang w:val="en-GB"/>
              </w:rPr>
              <w:t>Interfering signal power (</w:t>
            </w:r>
            <w:proofErr w:type="spellStart"/>
            <w:r w:rsidRPr="0092537D">
              <w:rPr>
                <w:lang w:val="en-GB"/>
              </w:rPr>
              <w:t>dBW</w:t>
            </w:r>
            <w:proofErr w:type="spellEnd"/>
            <w:r w:rsidRPr="0092537D">
              <w:rPr>
                <w:lang w:val="en-GB"/>
              </w:rPr>
              <w:t xml:space="preserve">) in the reference bandwidth to be exceeded no more than </w:t>
            </w:r>
            <w:r w:rsidRPr="0092537D">
              <w:rPr>
                <w:lang w:val="en-GB"/>
              </w:rPr>
              <w:br/>
              <w:t>20% of the time</w:t>
            </w:r>
          </w:p>
        </w:tc>
        <w:tc>
          <w:tcPr>
            <w:tcW w:w="3401" w:type="dxa"/>
            <w:gridSpan w:val="2"/>
            <w:vAlign w:val="center"/>
          </w:tcPr>
          <w:p w:rsidR="00EC5363" w:rsidRPr="0092537D" w:rsidRDefault="00EC5363" w:rsidP="00AA7EB6">
            <w:pPr>
              <w:pStyle w:val="Tablehead"/>
              <w:rPr>
                <w:lang w:val="en-GB"/>
              </w:rPr>
            </w:pPr>
            <w:r w:rsidRPr="0092537D">
              <w:rPr>
                <w:lang w:val="en-GB"/>
              </w:rPr>
              <w:t>Interfering signal power (</w:t>
            </w:r>
            <w:proofErr w:type="spellStart"/>
            <w:r w:rsidRPr="0092537D">
              <w:rPr>
                <w:lang w:val="en-GB"/>
              </w:rPr>
              <w:t>dBW</w:t>
            </w:r>
            <w:proofErr w:type="spellEnd"/>
            <w:r w:rsidRPr="0092537D">
              <w:rPr>
                <w:lang w:val="en-GB"/>
              </w:rPr>
              <w:t>) in the reference bandwidth to be exceeded no more than</w:t>
            </w:r>
            <w:r w:rsidRPr="0092537D">
              <w:rPr>
                <w:lang w:val="en-GB"/>
              </w:rPr>
              <w:br/>
            </w:r>
            <w:r w:rsidRPr="0092537D">
              <w:rPr>
                <w:i/>
                <w:iCs/>
                <w:lang w:val="en-GB"/>
              </w:rPr>
              <w:t>p</w:t>
            </w:r>
            <w:r w:rsidRPr="0092537D">
              <w:rPr>
                <w:lang w:val="en-GB"/>
              </w:rPr>
              <w:t>% of the time</w:t>
            </w:r>
          </w:p>
        </w:tc>
      </w:tr>
      <w:tr w:rsidR="00EC5363" w:rsidRPr="0092537D" w:rsidTr="00AA7EB6">
        <w:tc>
          <w:tcPr>
            <w:tcW w:w="1606" w:type="dxa"/>
          </w:tcPr>
          <w:p w:rsidR="00EC5363" w:rsidRPr="0092537D" w:rsidRDefault="00EC5363" w:rsidP="00AA7EB6">
            <w:pPr>
              <w:pStyle w:val="Tabletext"/>
              <w:rPr>
                <w:lang w:val="en-GB"/>
              </w:rPr>
            </w:pPr>
          </w:p>
        </w:tc>
        <w:tc>
          <w:tcPr>
            <w:tcW w:w="1369" w:type="dxa"/>
          </w:tcPr>
          <w:p w:rsidR="00EC5363" w:rsidRPr="0092537D" w:rsidRDefault="00EC5363" w:rsidP="00AA7EB6">
            <w:pPr>
              <w:pStyle w:val="Tabletext"/>
              <w:rPr>
                <w:lang w:val="en-GB"/>
              </w:rPr>
            </w:pPr>
          </w:p>
        </w:tc>
        <w:tc>
          <w:tcPr>
            <w:tcW w:w="1844" w:type="dxa"/>
          </w:tcPr>
          <w:p w:rsidR="00EC5363" w:rsidRPr="0092537D" w:rsidRDefault="00EC5363" w:rsidP="00AA7EB6">
            <w:pPr>
              <w:pStyle w:val="Tablehead"/>
              <w:rPr>
                <w:lang w:val="en-GB"/>
              </w:rPr>
            </w:pPr>
            <w:r w:rsidRPr="0092537D">
              <w:rPr>
                <w:lang w:val="en-GB"/>
              </w:rPr>
              <w:t>Space-to-Earth</w:t>
            </w:r>
          </w:p>
        </w:tc>
        <w:tc>
          <w:tcPr>
            <w:tcW w:w="1419" w:type="dxa"/>
          </w:tcPr>
          <w:p w:rsidR="00EC5363" w:rsidRPr="0092537D" w:rsidRDefault="00EC5363" w:rsidP="00AA7EB6">
            <w:pPr>
              <w:pStyle w:val="Tablehead"/>
              <w:rPr>
                <w:lang w:val="en-GB"/>
              </w:rPr>
            </w:pPr>
            <w:r w:rsidRPr="0092537D">
              <w:rPr>
                <w:lang w:val="en-GB"/>
              </w:rPr>
              <w:t>Terrestrial</w:t>
            </w:r>
          </w:p>
        </w:tc>
        <w:tc>
          <w:tcPr>
            <w:tcW w:w="1794" w:type="dxa"/>
          </w:tcPr>
          <w:p w:rsidR="00EC5363" w:rsidRPr="0092537D" w:rsidRDefault="00EC5363" w:rsidP="00AA7EB6">
            <w:pPr>
              <w:pStyle w:val="Tablehead"/>
              <w:rPr>
                <w:lang w:val="en-GB"/>
              </w:rPr>
            </w:pPr>
            <w:r w:rsidRPr="0092537D">
              <w:rPr>
                <w:lang w:val="en-GB"/>
              </w:rPr>
              <w:t>Space-to-Earth</w:t>
            </w:r>
          </w:p>
        </w:tc>
        <w:tc>
          <w:tcPr>
            <w:tcW w:w="1607" w:type="dxa"/>
          </w:tcPr>
          <w:p w:rsidR="00EC5363" w:rsidRPr="0092537D" w:rsidRDefault="00EC5363" w:rsidP="00AA7EB6">
            <w:pPr>
              <w:pStyle w:val="Tablehead"/>
              <w:rPr>
                <w:lang w:val="en-GB"/>
              </w:rPr>
            </w:pPr>
            <w:r w:rsidRPr="0092537D">
              <w:rPr>
                <w:lang w:val="en-GB"/>
              </w:rPr>
              <w:t>Terrestrial</w:t>
            </w:r>
          </w:p>
        </w:tc>
      </w:tr>
      <w:tr w:rsidR="00EC5363" w:rsidRPr="0092537D" w:rsidTr="00AA7EB6">
        <w:tc>
          <w:tcPr>
            <w:tcW w:w="1606" w:type="dxa"/>
          </w:tcPr>
          <w:p w:rsidR="00EC5363" w:rsidRPr="0092537D" w:rsidRDefault="00EC5363" w:rsidP="00AA7EB6">
            <w:pPr>
              <w:pStyle w:val="Tabletext"/>
              <w:jc w:val="center"/>
              <w:rPr>
                <w:lang w:val="en-GB"/>
              </w:rPr>
            </w:pPr>
            <w:r w:rsidRPr="0092537D">
              <w:rPr>
                <w:lang w:val="en-GB"/>
              </w:rPr>
              <w:t>401-403</w:t>
            </w:r>
            <w:r w:rsidRPr="0092537D">
              <w:rPr>
                <w:lang w:val="en-GB"/>
              </w:rPr>
              <w:br/>
              <w:t>Earth-to-space</w:t>
            </w:r>
          </w:p>
        </w:tc>
        <w:tc>
          <w:tcPr>
            <w:tcW w:w="1369" w:type="dxa"/>
          </w:tcPr>
          <w:p w:rsidR="00EC5363" w:rsidRPr="0092537D" w:rsidRDefault="00EC5363" w:rsidP="00AA7EB6">
            <w:pPr>
              <w:pStyle w:val="Tabletext"/>
              <w:jc w:val="center"/>
              <w:rPr>
                <w:lang w:val="en-GB"/>
              </w:rPr>
            </w:pPr>
            <w:r w:rsidRPr="0092537D">
              <w:rPr>
                <w:lang w:val="en-GB"/>
              </w:rPr>
              <w:t>Space</w:t>
            </w:r>
            <w:r w:rsidRPr="0092537D">
              <w:rPr>
                <w:lang w:val="en-GB"/>
              </w:rPr>
              <w:br/>
              <w:t>station</w:t>
            </w:r>
          </w:p>
        </w:tc>
        <w:tc>
          <w:tcPr>
            <w:tcW w:w="1844" w:type="dxa"/>
          </w:tcPr>
          <w:p w:rsidR="00EC5363" w:rsidRPr="0092537D" w:rsidRDefault="00EC5363" w:rsidP="00AA7EB6">
            <w:pPr>
              <w:pStyle w:val="Tabletext"/>
              <w:jc w:val="center"/>
              <w:rPr>
                <w:lang w:val="en-GB"/>
              </w:rPr>
            </w:pPr>
            <w:r w:rsidRPr="0092537D">
              <w:rPr>
                <w:lang w:val="en-GB"/>
              </w:rPr>
              <w:t xml:space="preserve">–201.5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(2) (3)</w:t>
            </w:r>
          </w:p>
        </w:tc>
        <w:tc>
          <w:tcPr>
            <w:tcW w:w="1419" w:type="dxa"/>
          </w:tcPr>
          <w:p w:rsidR="00EC5363" w:rsidRPr="0092537D" w:rsidRDefault="00123273" w:rsidP="00AA7EB6">
            <w:pPr>
              <w:pStyle w:val="Tabletext"/>
              <w:jc w:val="center"/>
              <w:rPr>
                <w:lang w:val="en-GB"/>
              </w:rPr>
            </w:pPr>
            <w:r w:rsidRPr="0092537D">
              <w:rPr>
                <w:lang w:val="en-GB"/>
              </w:rPr>
              <w:t xml:space="preserve">–201.5 </w:t>
            </w:r>
            <w:proofErr w:type="spellStart"/>
            <w:r w:rsidR="00EC5363" w:rsidRPr="0092537D">
              <w:rPr>
                <w:lang w:val="en-GB"/>
              </w:rPr>
              <w:t>dBW</w:t>
            </w:r>
            <w:proofErr w:type="spellEnd"/>
            <w:r w:rsidR="00EC5363" w:rsidRPr="0092537D">
              <w:rPr>
                <w:lang w:val="en-GB"/>
              </w:rPr>
              <w:t xml:space="preserve"> per</w:t>
            </w:r>
            <w:r w:rsidR="00EC5363" w:rsidRPr="0092537D">
              <w:rPr>
                <w:lang w:val="en-GB"/>
              </w:rPr>
              <w:br/>
              <w:t xml:space="preserve">100 Hz </w:t>
            </w:r>
            <w:r w:rsidR="00EC5363" w:rsidRPr="0092537D">
              <w:rPr>
                <w:position w:val="6"/>
                <w:sz w:val="14"/>
                <w:lang w:val="en-GB"/>
              </w:rPr>
              <w:t>(2)</w:t>
            </w:r>
          </w:p>
        </w:tc>
        <w:tc>
          <w:tcPr>
            <w:tcW w:w="1794" w:type="dxa"/>
          </w:tcPr>
          <w:p w:rsidR="00EC5363" w:rsidRPr="0092537D" w:rsidRDefault="00123273" w:rsidP="00AA7EB6">
            <w:pPr>
              <w:pStyle w:val="Tabletext"/>
              <w:jc w:val="center"/>
              <w:rPr>
                <w:lang w:val="en-GB"/>
              </w:rPr>
            </w:pPr>
            <w:r w:rsidRPr="0092537D">
              <w:rPr>
                <w:lang w:val="en-GB"/>
              </w:rPr>
              <w:t xml:space="preserve">–186.4 </w:t>
            </w:r>
            <w:proofErr w:type="spellStart"/>
            <w:r w:rsidR="00EC5363" w:rsidRPr="0092537D">
              <w:rPr>
                <w:lang w:val="en-GB"/>
              </w:rPr>
              <w:t>dBW</w:t>
            </w:r>
            <w:proofErr w:type="spellEnd"/>
            <w:r w:rsidR="00EC5363" w:rsidRPr="0092537D">
              <w:rPr>
                <w:lang w:val="en-GB"/>
              </w:rPr>
              <w:t xml:space="preserve"> per</w:t>
            </w:r>
            <w:r w:rsidR="00EC5363" w:rsidRPr="0092537D">
              <w:rPr>
                <w:lang w:val="en-GB"/>
              </w:rPr>
              <w:br/>
              <w:t xml:space="preserve">100 Hz </w:t>
            </w:r>
            <w:r w:rsidR="00EC5363" w:rsidRPr="0092537D">
              <w:rPr>
                <w:position w:val="6"/>
                <w:sz w:val="14"/>
                <w:lang w:val="en-GB"/>
              </w:rPr>
              <w:t>(1) (3)</w:t>
            </w:r>
            <w:r w:rsidR="00EC5363" w:rsidRPr="0092537D">
              <w:rPr>
                <w:position w:val="6"/>
                <w:lang w:val="en-GB"/>
              </w:rPr>
              <w:t xml:space="preserve"> </w:t>
            </w:r>
            <w:r w:rsidR="00EC5363" w:rsidRPr="0092537D">
              <w:rPr>
                <w:position w:val="6"/>
                <w:lang w:val="en-GB"/>
              </w:rPr>
              <w:br/>
            </w:r>
            <w:r w:rsidR="00EC5363" w:rsidRPr="0092537D">
              <w:rPr>
                <w:i/>
                <w:iCs/>
                <w:lang w:val="en-GB"/>
              </w:rPr>
              <w:t>p</w:t>
            </w:r>
            <w:r w:rsidR="00EC5363" w:rsidRPr="0092537D">
              <w:rPr>
                <w:lang w:val="en-GB"/>
              </w:rPr>
              <w:t xml:space="preserve"> </w:t>
            </w:r>
            <w:r w:rsidR="00EC5363" w:rsidRPr="0092537D">
              <w:rPr>
                <w:rFonts w:ascii="Symbol" w:hAnsi="Symbol"/>
                <w:lang w:val="en-GB"/>
              </w:rPr>
              <w:t></w:t>
            </w:r>
            <w:r w:rsidR="00EC5363" w:rsidRPr="0092537D">
              <w:rPr>
                <w:lang w:val="en-GB"/>
              </w:rPr>
              <w:t xml:space="preserve"> 0.075</w:t>
            </w:r>
          </w:p>
        </w:tc>
        <w:tc>
          <w:tcPr>
            <w:tcW w:w="1607" w:type="dxa"/>
          </w:tcPr>
          <w:p w:rsidR="00EC5363" w:rsidRPr="0092537D" w:rsidRDefault="00123273" w:rsidP="00AA7EB6">
            <w:pPr>
              <w:pStyle w:val="Tabletext"/>
              <w:jc w:val="center"/>
              <w:rPr>
                <w:lang w:val="en-GB"/>
              </w:rPr>
            </w:pPr>
            <w:r w:rsidRPr="0092537D">
              <w:rPr>
                <w:lang w:val="en-GB"/>
              </w:rPr>
              <w:t xml:space="preserve">–187.7 </w:t>
            </w:r>
            <w:proofErr w:type="spellStart"/>
            <w:r w:rsidR="00EC5363" w:rsidRPr="0092537D">
              <w:rPr>
                <w:lang w:val="en-GB"/>
              </w:rPr>
              <w:t>dBW</w:t>
            </w:r>
            <w:proofErr w:type="spellEnd"/>
            <w:r w:rsidR="00EC5363" w:rsidRPr="0092537D">
              <w:rPr>
                <w:lang w:val="en-GB"/>
              </w:rPr>
              <w:t xml:space="preserve"> per</w:t>
            </w:r>
            <w:r w:rsidR="00EC5363" w:rsidRPr="0092537D">
              <w:rPr>
                <w:lang w:val="en-GB"/>
              </w:rPr>
              <w:br/>
              <w:t xml:space="preserve">100 Hz </w:t>
            </w:r>
            <w:r w:rsidR="00EC5363" w:rsidRPr="0092537D">
              <w:rPr>
                <w:position w:val="6"/>
                <w:sz w:val="14"/>
                <w:lang w:val="en-GB"/>
              </w:rPr>
              <w:t>(2)</w:t>
            </w:r>
            <w:r w:rsidR="00EC5363" w:rsidRPr="0092537D">
              <w:rPr>
                <w:position w:val="6"/>
                <w:lang w:val="en-GB"/>
              </w:rPr>
              <w:t xml:space="preserve"> </w:t>
            </w:r>
            <w:r w:rsidR="00EC5363" w:rsidRPr="0092537D">
              <w:rPr>
                <w:position w:val="6"/>
                <w:lang w:val="en-GB"/>
              </w:rPr>
              <w:br/>
            </w:r>
            <w:r w:rsidR="00EC5363" w:rsidRPr="0092537D">
              <w:rPr>
                <w:i/>
                <w:iCs/>
                <w:lang w:val="en-GB"/>
              </w:rPr>
              <w:t>p</w:t>
            </w:r>
            <w:r w:rsidR="00EC5363" w:rsidRPr="0092537D">
              <w:rPr>
                <w:lang w:val="en-GB"/>
              </w:rPr>
              <w:t xml:space="preserve"> </w:t>
            </w:r>
            <w:r w:rsidR="00EC5363" w:rsidRPr="0092537D">
              <w:rPr>
                <w:rFonts w:ascii="Symbol" w:hAnsi="Symbol"/>
                <w:lang w:val="en-GB"/>
              </w:rPr>
              <w:t></w:t>
            </w:r>
            <w:r w:rsidR="00EC5363" w:rsidRPr="0092537D">
              <w:rPr>
                <w:lang w:val="en-GB"/>
              </w:rPr>
              <w:t xml:space="preserve"> 0.025</w:t>
            </w:r>
          </w:p>
        </w:tc>
      </w:tr>
      <w:tr w:rsidR="00EC5363" w:rsidRPr="0092537D" w:rsidTr="00AA7EB6">
        <w:tc>
          <w:tcPr>
            <w:tcW w:w="1606" w:type="dxa"/>
          </w:tcPr>
          <w:p w:rsidR="00EC5363" w:rsidRPr="0092537D" w:rsidRDefault="00EC5363" w:rsidP="00AA7EB6">
            <w:pPr>
              <w:pStyle w:val="Tabletext"/>
              <w:jc w:val="center"/>
              <w:rPr>
                <w:szCs w:val="22"/>
                <w:lang w:val="en-GB"/>
              </w:rPr>
            </w:pPr>
            <w:r w:rsidRPr="0092537D">
              <w:rPr>
                <w:szCs w:val="22"/>
                <w:lang w:val="en-GB"/>
              </w:rPr>
              <w:t>1 670-1 690</w:t>
            </w:r>
            <w:r w:rsidRPr="0092537D">
              <w:rPr>
                <w:szCs w:val="22"/>
                <w:lang w:val="en-GB"/>
              </w:rPr>
              <w:br/>
              <w:t>space-to-Earth</w:t>
            </w:r>
          </w:p>
        </w:tc>
        <w:tc>
          <w:tcPr>
            <w:tcW w:w="1369" w:type="dxa"/>
          </w:tcPr>
          <w:p w:rsidR="00EC5363" w:rsidRPr="0092537D" w:rsidRDefault="00EC5363" w:rsidP="00AA7EB6">
            <w:pPr>
              <w:pStyle w:val="Tabletext"/>
              <w:jc w:val="center"/>
              <w:rPr>
                <w:lang w:val="en-GB"/>
              </w:rPr>
            </w:pPr>
            <w:r w:rsidRPr="0092537D">
              <w:rPr>
                <w:lang w:val="en-GB"/>
              </w:rPr>
              <w:t>Earth</w:t>
            </w:r>
            <w:r w:rsidRPr="0092537D">
              <w:rPr>
                <w:lang w:val="en-GB"/>
              </w:rPr>
              <w:br/>
              <w:t>station</w:t>
            </w:r>
          </w:p>
        </w:tc>
        <w:tc>
          <w:tcPr>
            <w:tcW w:w="1844" w:type="dxa"/>
          </w:tcPr>
          <w:p w:rsidR="00EC5363" w:rsidRPr="0092537D" w:rsidRDefault="00431058" w:rsidP="00AA7EB6">
            <w:pPr>
              <w:pStyle w:val="Tabletext"/>
              <w:jc w:val="center"/>
              <w:rPr>
                <w:lang w:val="en-GB"/>
              </w:rPr>
            </w:pPr>
            <w:r w:rsidRPr="0092537D">
              <w:rPr>
                <w:lang w:val="en-GB"/>
              </w:rPr>
              <w:t xml:space="preserve">–218.8 </w:t>
            </w:r>
            <w:proofErr w:type="spellStart"/>
            <w:r w:rsidR="00EC5363" w:rsidRPr="0092537D">
              <w:rPr>
                <w:lang w:val="en-GB"/>
              </w:rPr>
              <w:t>dBW</w:t>
            </w:r>
            <w:proofErr w:type="spellEnd"/>
            <w:r w:rsidR="00EC5363" w:rsidRPr="0092537D">
              <w:rPr>
                <w:lang w:val="en-GB"/>
              </w:rPr>
              <w:t xml:space="preserve"> per</w:t>
            </w:r>
            <w:r w:rsidR="00EC5363" w:rsidRPr="0092537D">
              <w:rPr>
                <w:lang w:val="en-GB"/>
              </w:rPr>
              <w:br/>
              <w:t xml:space="preserve">100 Hz </w:t>
            </w:r>
            <w:r w:rsidR="00EC5363" w:rsidRPr="0092537D">
              <w:rPr>
                <w:position w:val="6"/>
                <w:sz w:val="14"/>
                <w:lang w:val="en-GB"/>
              </w:rPr>
              <w:t>(2)</w:t>
            </w:r>
          </w:p>
        </w:tc>
        <w:tc>
          <w:tcPr>
            <w:tcW w:w="1419" w:type="dxa"/>
          </w:tcPr>
          <w:p w:rsidR="00EC5363" w:rsidRPr="0092537D" w:rsidRDefault="00EC5363" w:rsidP="00AA7EB6">
            <w:pPr>
              <w:pStyle w:val="Tabletext"/>
              <w:jc w:val="center"/>
              <w:rPr>
                <w:lang w:val="en-GB"/>
              </w:rPr>
            </w:pPr>
            <w:r w:rsidRPr="0092537D">
              <w:rPr>
                <w:lang w:val="en-GB"/>
              </w:rPr>
              <w:t xml:space="preserve">–198.8 </w:t>
            </w:r>
            <w:proofErr w:type="spellStart"/>
            <w:r w:rsidRPr="0092537D">
              <w:rPr>
                <w:lang w:val="en-GB"/>
              </w:rPr>
              <w:t>dBW</w:t>
            </w:r>
            <w:proofErr w:type="spellEnd"/>
            <w:r w:rsidRPr="0092537D">
              <w:rPr>
                <w:lang w:val="en-GB"/>
              </w:rPr>
              <w:t xml:space="preserve"> per</w:t>
            </w:r>
            <w:r w:rsidRPr="0092537D">
              <w:rPr>
                <w:lang w:val="en-GB"/>
              </w:rPr>
              <w:br/>
              <w:t>100 Hz</w:t>
            </w:r>
            <w:r w:rsidR="00123273" w:rsidRPr="0092537D">
              <w:rPr>
                <w:lang w:val="en-GB"/>
              </w:rPr>
              <w:t xml:space="preserve"> </w:t>
            </w:r>
            <w:r w:rsidRPr="0092537D">
              <w:rPr>
                <w:position w:val="6"/>
                <w:sz w:val="14"/>
                <w:lang w:val="en-GB"/>
              </w:rPr>
              <w:t>(2)</w:t>
            </w:r>
          </w:p>
        </w:tc>
        <w:tc>
          <w:tcPr>
            <w:tcW w:w="1794" w:type="dxa"/>
          </w:tcPr>
          <w:p w:rsidR="00EC5363" w:rsidRPr="0092537D" w:rsidRDefault="00EC5363" w:rsidP="00AA7EB6">
            <w:pPr>
              <w:pStyle w:val="Tabletext"/>
              <w:jc w:val="center"/>
              <w:rPr>
                <w:lang w:val="en-GB"/>
              </w:rPr>
            </w:pPr>
            <w:r w:rsidRPr="0092537D">
              <w:rPr>
                <w:lang w:val="en-GB"/>
              </w:rPr>
              <w:t xml:space="preserve">–195.1 </w:t>
            </w:r>
            <w:proofErr w:type="spellStart"/>
            <w:r w:rsidRPr="0092537D">
              <w:rPr>
                <w:lang w:val="en-GB"/>
              </w:rPr>
              <w:t>dBW</w:t>
            </w:r>
            <w:proofErr w:type="spellEnd"/>
            <w:r w:rsidRPr="0092537D">
              <w:rPr>
                <w:lang w:val="en-GB"/>
              </w:rPr>
              <w:t xml:space="preserve"> per</w:t>
            </w:r>
            <w:r w:rsidRPr="0092537D">
              <w:rPr>
                <w:lang w:val="en-GB"/>
              </w:rPr>
              <w:br/>
              <w:t>100 Hz</w:t>
            </w:r>
            <w:r w:rsidR="00123273" w:rsidRPr="0092537D">
              <w:rPr>
                <w:lang w:val="en-GB"/>
              </w:rPr>
              <w:t xml:space="preserve"> </w:t>
            </w:r>
            <w:r w:rsidRPr="0092537D">
              <w:rPr>
                <w:position w:val="6"/>
                <w:sz w:val="14"/>
                <w:lang w:val="en-GB"/>
              </w:rPr>
              <w:t>(2)</w:t>
            </w:r>
            <w:r w:rsidRPr="0092537D">
              <w:rPr>
                <w:position w:val="6"/>
                <w:lang w:val="en-GB"/>
              </w:rPr>
              <w:t xml:space="preserve"> </w:t>
            </w:r>
            <w:r w:rsidRPr="0092537D">
              <w:rPr>
                <w:position w:val="6"/>
                <w:lang w:val="en-GB"/>
              </w:rPr>
              <w:br/>
            </w:r>
            <w:r w:rsidRPr="0092537D">
              <w:rPr>
                <w:i/>
                <w:iCs/>
                <w:lang w:val="en-GB"/>
              </w:rPr>
              <w:t>p</w:t>
            </w:r>
            <w:r w:rsidRPr="0092537D">
              <w:rPr>
                <w:lang w:val="en-GB"/>
              </w:rPr>
              <w:t xml:space="preserve"> </w:t>
            </w:r>
            <w:r w:rsidRPr="0092537D">
              <w:rPr>
                <w:rFonts w:ascii="Symbol" w:hAnsi="Symbol"/>
                <w:lang w:val="en-GB"/>
              </w:rPr>
              <w:t></w:t>
            </w:r>
            <w:r w:rsidRPr="0092537D">
              <w:rPr>
                <w:lang w:val="en-GB"/>
              </w:rPr>
              <w:t xml:space="preserve"> 0.0025</w:t>
            </w:r>
          </w:p>
        </w:tc>
        <w:tc>
          <w:tcPr>
            <w:tcW w:w="1607" w:type="dxa"/>
          </w:tcPr>
          <w:p w:rsidR="00EC5363" w:rsidRPr="0092537D" w:rsidRDefault="00EC5363" w:rsidP="00AA7EB6">
            <w:pPr>
              <w:pStyle w:val="Tabletext"/>
              <w:jc w:val="center"/>
              <w:rPr>
                <w:lang w:val="en-GB"/>
              </w:rPr>
            </w:pPr>
            <w:r w:rsidRPr="0092537D">
              <w:rPr>
                <w:lang w:val="en-GB"/>
              </w:rPr>
              <w:t xml:space="preserve">–194.3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(2)</w:t>
            </w:r>
            <w:r w:rsidRPr="0092537D">
              <w:rPr>
                <w:position w:val="6"/>
                <w:lang w:val="en-GB"/>
              </w:rPr>
              <w:t xml:space="preserve"> </w:t>
            </w:r>
            <w:r w:rsidRPr="0092537D">
              <w:rPr>
                <w:position w:val="6"/>
                <w:lang w:val="en-GB"/>
              </w:rPr>
              <w:br/>
            </w:r>
            <w:r w:rsidRPr="0092537D">
              <w:rPr>
                <w:i/>
                <w:iCs/>
                <w:lang w:val="en-GB"/>
              </w:rPr>
              <w:t>p</w:t>
            </w:r>
            <w:r w:rsidRPr="0092537D">
              <w:rPr>
                <w:lang w:val="en-GB"/>
              </w:rPr>
              <w:t xml:space="preserve"> </w:t>
            </w:r>
            <w:r w:rsidRPr="0092537D">
              <w:rPr>
                <w:rFonts w:ascii="Symbol" w:hAnsi="Symbol"/>
                <w:lang w:val="en-GB"/>
              </w:rPr>
              <w:t></w:t>
            </w:r>
            <w:r w:rsidRPr="0092537D">
              <w:rPr>
                <w:lang w:val="en-GB"/>
              </w:rPr>
              <w:t xml:space="preserve"> 0.011</w:t>
            </w:r>
          </w:p>
        </w:tc>
      </w:tr>
      <w:tr w:rsidR="00EC5363" w:rsidRPr="0092537D" w:rsidTr="00AA7EB6">
        <w:tc>
          <w:tcPr>
            <w:tcW w:w="1606" w:type="dxa"/>
            <w:tcBorders>
              <w:bottom w:val="single" w:sz="4" w:space="0" w:color="auto"/>
            </w:tcBorders>
          </w:tcPr>
          <w:p w:rsidR="00EC5363" w:rsidRPr="0092537D" w:rsidRDefault="00EC5363" w:rsidP="00AA7EB6">
            <w:pPr>
              <w:pStyle w:val="Tabletext"/>
              <w:jc w:val="center"/>
              <w:rPr>
                <w:szCs w:val="22"/>
                <w:lang w:val="en-GB"/>
              </w:rPr>
            </w:pPr>
            <w:r w:rsidRPr="0092537D">
              <w:rPr>
                <w:szCs w:val="22"/>
                <w:lang w:val="en-GB"/>
              </w:rPr>
              <w:t>2 025-2 110</w:t>
            </w:r>
            <w:r w:rsidRPr="0092537D">
              <w:rPr>
                <w:szCs w:val="22"/>
                <w:lang w:val="en-GB"/>
              </w:rPr>
              <w:br/>
              <w:t>Earth-to-space</w:t>
            </w:r>
          </w:p>
        </w:tc>
        <w:tc>
          <w:tcPr>
            <w:tcW w:w="1369" w:type="dxa"/>
            <w:tcBorders>
              <w:bottom w:val="single" w:sz="4" w:space="0" w:color="auto"/>
            </w:tcBorders>
          </w:tcPr>
          <w:p w:rsidR="00EC5363" w:rsidRPr="0092537D" w:rsidRDefault="00EC5363" w:rsidP="00AA7EB6">
            <w:pPr>
              <w:pStyle w:val="Tabletext"/>
              <w:jc w:val="center"/>
              <w:rPr>
                <w:lang w:val="en-GB"/>
              </w:rPr>
            </w:pPr>
            <w:r w:rsidRPr="0092537D">
              <w:rPr>
                <w:lang w:val="en-GB"/>
              </w:rPr>
              <w:t>Space</w:t>
            </w:r>
            <w:r w:rsidRPr="0092537D">
              <w:rPr>
                <w:lang w:val="en-GB"/>
              </w:rPr>
              <w:br/>
              <w:t>station</w:t>
            </w:r>
          </w:p>
        </w:tc>
        <w:tc>
          <w:tcPr>
            <w:tcW w:w="1844"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–211.2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(2)</w:t>
            </w:r>
          </w:p>
        </w:tc>
        <w:tc>
          <w:tcPr>
            <w:tcW w:w="1419"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–194.3 </w:t>
            </w:r>
            <w:proofErr w:type="spellStart"/>
            <w:r w:rsidRPr="0092537D">
              <w:rPr>
                <w:lang w:val="en-GB"/>
              </w:rPr>
              <w:t>dBW</w:t>
            </w:r>
            <w:proofErr w:type="spellEnd"/>
            <w:r w:rsidRPr="0092537D">
              <w:rPr>
                <w:lang w:val="en-GB"/>
              </w:rPr>
              <w:t xml:space="preserve"> per</w:t>
            </w:r>
            <w:r w:rsidRPr="0092537D">
              <w:rPr>
                <w:lang w:val="en-GB"/>
              </w:rPr>
              <w:br/>
              <w:t>100 Hz</w:t>
            </w:r>
            <w:r w:rsidR="00123273" w:rsidRPr="0092537D">
              <w:rPr>
                <w:lang w:val="en-GB"/>
              </w:rPr>
              <w:t xml:space="preserve"> </w:t>
            </w:r>
            <w:r w:rsidRPr="0092537D">
              <w:rPr>
                <w:position w:val="6"/>
                <w:sz w:val="14"/>
                <w:lang w:val="en-GB"/>
              </w:rPr>
              <w:t>(2)</w:t>
            </w:r>
          </w:p>
        </w:tc>
        <w:tc>
          <w:tcPr>
            <w:tcW w:w="1794"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–187.6 </w:t>
            </w:r>
            <w:proofErr w:type="spellStart"/>
            <w:r w:rsidRPr="0092537D">
              <w:rPr>
                <w:lang w:val="en-GB"/>
              </w:rPr>
              <w:t>dBW</w:t>
            </w:r>
            <w:proofErr w:type="spellEnd"/>
            <w:r w:rsidRPr="0092537D">
              <w:rPr>
                <w:lang w:val="en-GB"/>
              </w:rPr>
              <w:t xml:space="preserve"> per</w:t>
            </w:r>
            <w:r w:rsidRPr="0092537D">
              <w:rPr>
                <w:lang w:val="en-GB"/>
              </w:rPr>
              <w:br/>
              <w:t>100 Hz</w:t>
            </w:r>
            <w:r w:rsidR="00123273" w:rsidRPr="0092537D">
              <w:rPr>
                <w:lang w:val="en-GB"/>
              </w:rPr>
              <w:t xml:space="preserve"> </w:t>
            </w:r>
            <w:r w:rsidRPr="0092537D">
              <w:rPr>
                <w:position w:val="6"/>
                <w:sz w:val="14"/>
                <w:lang w:val="en-GB"/>
              </w:rPr>
              <w:t>(2)</w:t>
            </w:r>
            <w:r w:rsidRPr="0092537D">
              <w:rPr>
                <w:position w:val="6"/>
                <w:lang w:val="en-GB"/>
              </w:rPr>
              <w:t xml:space="preserve"> </w:t>
            </w:r>
            <w:r w:rsidRPr="0092537D">
              <w:rPr>
                <w:position w:val="6"/>
                <w:lang w:val="en-GB"/>
              </w:rPr>
              <w:br/>
            </w:r>
            <w:r w:rsidRPr="0092537D">
              <w:rPr>
                <w:i/>
                <w:iCs/>
                <w:lang w:val="en-GB"/>
              </w:rPr>
              <w:t>p</w:t>
            </w:r>
            <w:r w:rsidRPr="0092537D">
              <w:rPr>
                <w:lang w:val="en-GB"/>
              </w:rPr>
              <w:t xml:space="preserve"> </w:t>
            </w:r>
            <w:r w:rsidRPr="0092537D">
              <w:rPr>
                <w:rFonts w:ascii="Symbol" w:hAnsi="Symbol"/>
                <w:lang w:val="en-GB"/>
              </w:rPr>
              <w:t></w:t>
            </w:r>
            <w:r w:rsidRPr="0092537D">
              <w:rPr>
                <w:lang w:val="en-GB"/>
              </w:rPr>
              <w:t xml:space="preserve"> 0.0025</w:t>
            </w:r>
          </w:p>
        </w:tc>
        <w:tc>
          <w:tcPr>
            <w:tcW w:w="1607"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–186.7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(2)</w:t>
            </w:r>
            <w:r w:rsidRPr="0092537D">
              <w:rPr>
                <w:position w:val="6"/>
                <w:lang w:val="en-GB"/>
              </w:rPr>
              <w:t xml:space="preserve"> </w:t>
            </w:r>
            <w:r w:rsidRPr="0092537D">
              <w:rPr>
                <w:position w:val="6"/>
                <w:lang w:val="en-GB"/>
              </w:rPr>
              <w:br/>
            </w:r>
            <w:r w:rsidRPr="0092537D">
              <w:rPr>
                <w:i/>
                <w:iCs/>
                <w:lang w:val="en-GB"/>
              </w:rPr>
              <w:t>p</w:t>
            </w:r>
            <w:r w:rsidRPr="0092537D">
              <w:rPr>
                <w:lang w:val="en-GB"/>
              </w:rPr>
              <w:t xml:space="preserve"> </w:t>
            </w:r>
            <w:r w:rsidRPr="0092537D">
              <w:rPr>
                <w:rFonts w:ascii="Symbol" w:hAnsi="Symbol"/>
                <w:lang w:val="en-GB"/>
              </w:rPr>
              <w:t></w:t>
            </w:r>
            <w:r w:rsidRPr="0092537D">
              <w:rPr>
                <w:lang w:val="en-GB"/>
              </w:rPr>
              <w:t xml:space="preserve"> 0.011</w:t>
            </w:r>
          </w:p>
        </w:tc>
      </w:tr>
      <w:tr w:rsidR="00EC5363" w:rsidRPr="0092537D" w:rsidTr="005D2A0B">
        <w:tc>
          <w:tcPr>
            <w:tcW w:w="1606" w:type="dxa"/>
            <w:tcBorders>
              <w:bottom w:val="single" w:sz="4" w:space="0" w:color="auto"/>
            </w:tcBorders>
          </w:tcPr>
          <w:p w:rsidR="00EC5363" w:rsidRPr="0092537D" w:rsidRDefault="00EC5363" w:rsidP="00AA7EB6">
            <w:pPr>
              <w:pStyle w:val="Tabletext"/>
              <w:jc w:val="center"/>
              <w:rPr>
                <w:szCs w:val="22"/>
                <w:lang w:val="en-GB"/>
              </w:rPr>
            </w:pPr>
            <w:r w:rsidRPr="0092537D">
              <w:rPr>
                <w:szCs w:val="22"/>
                <w:lang w:val="en-GB"/>
              </w:rPr>
              <w:t>460-470</w:t>
            </w:r>
            <w:r w:rsidRPr="0092537D">
              <w:rPr>
                <w:szCs w:val="22"/>
                <w:lang w:val="en-GB"/>
              </w:rPr>
              <w:br/>
              <w:t>space-to-Earth</w:t>
            </w:r>
          </w:p>
        </w:tc>
        <w:tc>
          <w:tcPr>
            <w:tcW w:w="1369" w:type="dxa"/>
            <w:tcBorders>
              <w:bottom w:val="single" w:sz="4" w:space="0" w:color="auto"/>
            </w:tcBorders>
          </w:tcPr>
          <w:p w:rsidR="00EC5363" w:rsidRPr="0092537D" w:rsidRDefault="00EC5363" w:rsidP="00AA7EB6">
            <w:pPr>
              <w:pStyle w:val="Tabletext"/>
              <w:jc w:val="center"/>
              <w:rPr>
                <w:lang w:val="en-GB"/>
              </w:rPr>
            </w:pPr>
            <w:r w:rsidRPr="0092537D">
              <w:rPr>
                <w:lang w:val="en-GB"/>
              </w:rPr>
              <w:t>Earth</w:t>
            </w:r>
            <w:r w:rsidRPr="0092537D">
              <w:rPr>
                <w:lang w:val="en-GB"/>
              </w:rPr>
              <w:br/>
              <w:t>station</w:t>
            </w:r>
          </w:p>
        </w:tc>
        <w:tc>
          <w:tcPr>
            <w:tcW w:w="1844"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–207.5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(1)</w:t>
            </w:r>
          </w:p>
        </w:tc>
        <w:tc>
          <w:tcPr>
            <w:tcW w:w="1419"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–187.5 </w:t>
            </w:r>
            <w:proofErr w:type="spellStart"/>
            <w:r w:rsidRPr="0092537D">
              <w:rPr>
                <w:lang w:val="en-GB"/>
              </w:rPr>
              <w:t>dBW</w:t>
            </w:r>
            <w:proofErr w:type="spellEnd"/>
            <w:r w:rsidRPr="0092537D">
              <w:rPr>
                <w:lang w:val="en-GB"/>
              </w:rPr>
              <w:t xml:space="preserve"> per</w:t>
            </w:r>
            <w:r w:rsidRPr="0092537D">
              <w:rPr>
                <w:lang w:val="en-GB"/>
              </w:rPr>
              <w:br/>
              <w:t>100 Hz</w:t>
            </w:r>
            <w:r w:rsidR="00123273" w:rsidRPr="0092537D">
              <w:rPr>
                <w:lang w:val="en-GB"/>
              </w:rPr>
              <w:t xml:space="preserve"> </w:t>
            </w:r>
            <w:r w:rsidRPr="0092537D">
              <w:rPr>
                <w:position w:val="6"/>
                <w:sz w:val="14"/>
                <w:lang w:val="en-GB"/>
              </w:rPr>
              <w:t>(1)</w:t>
            </w:r>
          </w:p>
        </w:tc>
        <w:tc>
          <w:tcPr>
            <w:tcW w:w="1794"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–183.9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(2)</w:t>
            </w:r>
            <w:r w:rsidRPr="0092537D">
              <w:rPr>
                <w:position w:val="6"/>
                <w:lang w:val="en-GB"/>
              </w:rPr>
              <w:t xml:space="preserve"> </w:t>
            </w:r>
            <w:r w:rsidRPr="0092537D">
              <w:rPr>
                <w:position w:val="6"/>
                <w:lang w:val="en-GB"/>
              </w:rPr>
              <w:br/>
            </w:r>
            <w:r w:rsidRPr="0092537D">
              <w:rPr>
                <w:i/>
                <w:iCs/>
                <w:lang w:val="en-GB"/>
              </w:rPr>
              <w:t>p</w:t>
            </w:r>
            <w:r w:rsidRPr="0092537D">
              <w:rPr>
                <w:lang w:val="en-GB"/>
              </w:rPr>
              <w:t xml:space="preserve"> </w:t>
            </w:r>
            <w:r w:rsidRPr="0092537D">
              <w:rPr>
                <w:rFonts w:ascii="Symbol" w:hAnsi="Symbol"/>
                <w:lang w:val="en-GB"/>
              </w:rPr>
              <w:t></w:t>
            </w:r>
            <w:r w:rsidRPr="0092537D">
              <w:rPr>
                <w:lang w:val="en-GB"/>
              </w:rPr>
              <w:t xml:space="preserve"> 0.01</w:t>
            </w:r>
          </w:p>
        </w:tc>
        <w:tc>
          <w:tcPr>
            <w:tcW w:w="1607" w:type="dxa"/>
            <w:tcBorders>
              <w:bottom w:val="single" w:sz="4" w:space="0" w:color="auto"/>
            </w:tcBorders>
          </w:tcPr>
          <w:p w:rsidR="00EC5363" w:rsidRPr="0092537D" w:rsidRDefault="00EC5363" w:rsidP="00AA7EB6">
            <w:pPr>
              <w:pStyle w:val="Tabletext"/>
              <w:jc w:val="center"/>
              <w:rPr>
                <w:lang w:val="en-GB"/>
              </w:rPr>
            </w:pPr>
            <w:r w:rsidRPr="0092537D">
              <w:rPr>
                <w:lang w:val="en-GB"/>
              </w:rPr>
              <w:t xml:space="preserve">–183 </w:t>
            </w:r>
            <w:proofErr w:type="spellStart"/>
            <w:r w:rsidRPr="0092537D">
              <w:rPr>
                <w:lang w:val="en-GB"/>
              </w:rPr>
              <w:t>dBW</w:t>
            </w:r>
            <w:proofErr w:type="spellEnd"/>
            <w:r w:rsidRPr="0092537D">
              <w:rPr>
                <w:lang w:val="en-GB"/>
              </w:rPr>
              <w:t xml:space="preserve"> per</w:t>
            </w:r>
            <w:r w:rsidRPr="0092537D">
              <w:rPr>
                <w:lang w:val="en-GB"/>
              </w:rPr>
              <w:br/>
              <w:t xml:space="preserve">100 Hz </w:t>
            </w:r>
            <w:r w:rsidRPr="0092537D">
              <w:rPr>
                <w:position w:val="6"/>
                <w:sz w:val="14"/>
                <w:lang w:val="en-GB"/>
              </w:rPr>
              <w:t>(2)</w:t>
            </w:r>
            <w:r w:rsidRPr="0092537D">
              <w:rPr>
                <w:position w:val="6"/>
                <w:lang w:val="en-GB"/>
              </w:rPr>
              <w:t xml:space="preserve"> </w:t>
            </w:r>
            <w:r w:rsidRPr="0092537D">
              <w:rPr>
                <w:position w:val="6"/>
                <w:lang w:val="en-GB"/>
              </w:rPr>
              <w:br/>
            </w:r>
            <w:r w:rsidRPr="0092537D">
              <w:rPr>
                <w:i/>
                <w:iCs/>
                <w:lang w:val="en-GB"/>
              </w:rPr>
              <w:t>p</w:t>
            </w:r>
            <w:r w:rsidRPr="0092537D">
              <w:rPr>
                <w:lang w:val="en-GB"/>
              </w:rPr>
              <w:t xml:space="preserve"> </w:t>
            </w:r>
            <w:r w:rsidRPr="0092537D">
              <w:rPr>
                <w:rFonts w:ascii="Symbol" w:hAnsi="Symbol"/>
                <w:lang w:val="en-GB"/>
              </w:rPr>
              <w:t></w:t>
            </w:r>
            <w:r w:rsidRPr="0092537D">
              <w:rPr>
                <w:lang w:val="en-GB"/>
              </w:rPr>
              <w:t xml:space="preserve"> 0.045</w:t>
            </w:r>
          </w:p>
        </w:tc>
      </w:tr>
      <w:tr w:rsidR="00EC5363" w:rsidRPr="00557C83" w:rsidTr="005D2A0B">
        <w:tc>
          <w:tcPr>
            <w:tcW w:w="9639" w:type="dxa"/>
            <w:gridSpan w:val="6"/>
            <w:tcBorders>
              <w:top w:val="single" w:sz="4" w:space="0" w:color="auto"/>
              <w:left w:val="nil"/>
              <w:bottom w:val="nil"/>
              <w:right w:val="nil"/>
            </w:tcBorders>
          </w:tcPr>
          <w:p w:rsidR="00EC5363" w:rsidRPr="0092537D" w:rsidRDefault="00EC5363" w:rsidP="0067718B">
            <w:pPr>
              <w:pStyle w:val="Tabletext"/>
              <w:ind w:left="284" w:hanging="284"/>
              <w:rPr>
                <w:lang w:val="en-GB"/>
              </w:rPr>
            </w:pPr>
            <w:r w:rsidRPr="0092537D">
              <w:rPr>
                <w:position w:val="6"/>
                <w:sz w:val="14"/>
                <w:lang w:val="en-GB"/>
              </w:rPr>
              <w:t>(1)</w:t>
            </w:r>
            <w:r w:rsidRPr="0092537D">
              <w:rPr>
                <w:lang w:val="en-GB"/>
              </w:rPr>
              <w:tab/>
              <w:t>The interfering signal powers (</w:t>
            </w:r>
            <w:proofErr w:type="spellStart"/>
            <w:r w:rsidRPr="0092537D">
              <w:rPr>
                <w:lang w:val="en-GB"/>
              </w:rPr>
              <w:t>dBW</w:t>
            </w:r>
            <w:proofErr w:type="spellEnd"/>
            <w:r w:rsidRPr="0092537D">
              <w:rPr>
                <w:lang w:val="en-GB"/>
              </w:rPr>
              <w:t xml:space="preserve">) in the reference bandwidths are specified for reception at elevation </w:t>
            </w:r>
            <w:r w:rsidRPr="0092537D">
              <w:rPr>
                <w:lang w:val="en-GB"/>
              </w:rPr>
              <w:br/>
              <w:t xml:space="preserve">angles </w:t>
            </w:r>
            <w:r w:rsidRPr="0092537D">
              <w:rPr>
                <w:rFonts w:ascii="Symbol" w:hAnsi="Symbol"/>
                <w:lang w:val="en-GB"/>
              </w:rPr>
              <w:t></w:t>
            </w:r>
            <w:r w:rsidRPr="0092537D">
              <w:rPr>
                <w:rFonts w:ascii="Symbol" w:hAnsi="Symbol"/>
                <w:lang w:val="en-GB"/>
              </w:rPr>
              <w:t></w:t>
            </w:r>
            <w:r w:rsidRPr="0092537D">
              <w:rPr>
                <w:lang w:val="en-GB"/>
              </w:rPr>
              <w:t>5°.</w:t>
            </w:r>
          </w:p>
          <w:p w:rsidR="00EC5363" w:rsidRPr="0092537D" w:rsidRDefault="00EC5363" w:rsidP="0067718B">
            <w:pPr>
              <w:pStyle w:val="Tabletext"/>
              <w:ind w:left="284" w:hanging="284"/>
              <w:rPr>
                <w:lang w:val="en-GB"/>
              </w:rPr>
            </w:pPr>
            <w:r w:rsidRPr="0092537D">
              <w:rPr>
                <w:position w:val="6"/>
                <w:sz w:val="14"/>
                <w:lang w:val="en-GB"/>
              </w:rPr>
              <w:t>(2)</w:t>
            </w:r>
            <w:r w:rsidRPr="0092537D">
              <w:rPr>
                <w:lang w:val="en-GB"/>
              </w:rPr>
              <w:tab/>
              <w:t>The interfering signal powers (</w:t>
            </w:r>
            <w:proofErr w:type="spellStart"/>
            <w:r w:rsidRPr="0092537D">
              <w:rPr>
                <w:lang w:val="en-GB"/>
              </w:rPr>
              <w:t>dBW</w:t>
            </w:r>
            <w:proofErr w:type="spellEnd"/>
            <w:r w:rsidRPr="0092537D">
              <w:rPr>
                <w:lang w:val="en-GB"/>
              </w:rPr>
              <w:t xml:space="preserve">) in the reference bandwidths are specified for reception at elevation </w:t>
            </w:r>
            <w:r w:rsidRPr="0092537D">
              <w:rPr>
                <w:lang w:val="en-GB"/>
              </w:rPr>
              <w:br/>
              <w:t xml:space="preserve">angles </w:t>
            </w:r>
            <w:r w:rsidRPr="0092537D">
              <w:rPr>
                <w:rFonts w:ascii="Symbol" w:hAnsi="Symbol"/>
                <w:lang w:val="en-GB"/>
              </w:rPr>
              <w:t></w:t>
            </w:r>
            <w:r w:rsidRPr="0092537D">
              <w:rPr>
                <w:lang w:val="en-GB"/>
              </w:rPr>
              <w:t xml:space="preserve"> 3</w:t>
            </w:r>
            <w:r w:rsidRPr="0092537D">
              <w:rPr>
                <w:rFonts w:ascii="Symbol" w:hAnsi="Symbol"/>
                <w:lang w:val="en-GB"/>
              </w:rPr>
              <w:t></w:t>
            </w:r>
            <w:r w:rsidRPr="0092537D">
              <w:rPr>
                <w:lang w:val="en-GB"/>
              </w:rPr>
              <w:t>.</w:t>
            </w:r>
          </w:p>
          <w:p w:rsidR="00EC5363" w:rsidRPr="0092537D" w:rsidRDefault="00EC5363" w:rsidP="0067718B">
            <w:pPr>
              <w:pStyle w:val="Tabletext"/>
              <w:ind w:left="284" w:hanging="284"/>
              <w:rPr>
                <w:szCs w:val="18"/>
                <w:lang w:val="en-GB"/>
              </w:rPr>
            </w:pPr>
            <w:r w:rsidRPr="0092537D">
              <w:rPr>
                <w:szCs w:val="18"/>
                <w:vertAlign w:val="superscript"/>
                <w:lang w:val="en-GB"/>
              </w:rPr>
              <w:t>(3)</w:t>
            </w:r>
            <w:r w:rsidRPr="0092537D">
              <w:rPr>
                <w:szCs w:val="18"/>
                <w:lang w:val="en-GB"/>
              </w:rPr>
              <w:t xml:space="preserve"> </w:t>
            </w:r>
            <w:r w:rsidRPr="0092537D">
              <w:rPr>
                <w:szCs w:val="18"/>
                <w:lang w:val="en-GB"/>
              </w:rPr>
              <w:tab/>
              <w:t>These values account for multiple interferers in the space-to-space direction. See Annex 2.</w:t>
            </w:r>
          </w:p>
          <w:p w:rsidR="00EC5363" w:rsidRPr="0092537D" w:rsidRDefault="00EC5363" w:rsidP="0067718B">
            <w:pPr>
              <w:pStyle w:val="Tabletext"/>
              <w:keepNext/>
              <w:keepLines/>
              <w:rPr>
                <w:i/>
                <w:iCs/>
                <w:lang w:val="en-GB"/>
              </w:rPr>
            </w:pPr>
            <w:r w:rsidRPr="0092537D">
              <w:rPr>
                <w:lang w:val="en-GB"/>
              </w:rPr>
              <w:br w:type="page"/>
            </w:r>
            <w:r w:rsidRPr="0092537D">
              <w:rPr>
                <w:i/>
                <w:iCs/>
                <w:lang w:val="en-GB"/>
              </w:rPr>
              <w:t>Notes relative to Table 1:</w:t>
            </w:r>
          </w:p>
          <w:p w:rsidR="00EC5363" w:rsidRPr="0092537D" w:rsidRDefault="00EC5363" w:rsidP="0067718B">
            <w:pPr>
              <w:pStyle w:val="Tabletext"/>
              <w:keepNext/>
              <w:keepLines/>
              <w:rPr>
                <w:lang w:val="en-GB"/>
              </w:rPr>
            </w:pPr>
            <w:r w:rsidRPr="0092537D">
              <w:rPr>
                <w:lang w:val="en-GB"/>
              </w:rPr>
              <w:t>NOTE 1 – The single</w:t>
            </w:r>
            <w:r w:rsidRPr="0092537D">
              <w:rPr>
                <w:lang w:val="en-GB"/>
              </w:rPr>
              <w:noBreakHyphen/>
              <w:t>entry interfering signal power thresholds in Table 1 are the permissible levels of interfering signal power that fall within the specified reference bandwidth. Accordingly, the total power in interfering signals that are narrower than the reference bandwidth should be considered in frequency sharing analyses. In cases where the interfering bandwidth exceeds the reference bandwidth or does not fully overlap the passband of a specific receiver under study, the available frequency dependent rejection should be applied in conjunction with the specified permissible interference levels. The pertinent ITU</w:t>
            </w:r>
            <w:r w:rsidRPr="0092537D">
              <w:rPr>
                <w:lang w:val="en-GB"/>
              </w:rPr>
              <w:noBreakHyphen/>
              <w:t>R SM Recommendations should be consulted for guidance on this matter.</w:t>
            </w:r>
          </w:p>
        </w:tc>
      </w:tr>
      <w:tr w:rsidR="00EC5363" w:rsidRPr="00557C83" w:rsidTr="00AA7EB6">
        <w:tc>
          <w:tcPr>
            <w:tcW w:w="9639" w:type="dxa"/>
            <w:gridSpan w:val="6"/>
            <w:tcBorders>
              <w:top w:val="nil"/>
              <w:left w:val="nil"/>
              <w:bottom w:val="nil"/>
              <w:right w:val="nil"/>
            </w:tcBorders>
          </w:tcPr>
          <w:p w:rsidR="00EC5363" w:rsidRPr="0092537D" w:rsidRDefault="00EC5363" w:rsidP="00AA7EB6">
            <w:pPr>
              <w:pStyle w:val="Tabletext"/>
              <w:rPr>
                <w:lang w:val="en-GB"/>
              </w:rPr>
            </w:pPr>
            <w:r w:rsidRPr="0092537D">
              <w:rPr>
                <w:lang w:val="en-GB"/>
              </w:rPr>
              <w:lastRenderedPageBreak/>
              <w:t xml:space="preserve">NOTE 2 – The sharing criteria can be expressed as permissible </w:t>
            </w:r>
            <w:proofErr w:type="spellStart"/>
            <w:r w:rsidRPr="0092537D">
              <w:rPr>
                <w:lang w:val="en-GB"/>
              </w:rPr>
              <w:t>pfd</w:t>
            </w:r>
            <w:proofErr w:type="spellEnd"/>
            <w:r w:rsidRPr="0092537D">
              <w:rPr>
                <w:lang w:val="en-GB"/>
              </w:rPr>
              <w:t xml:space="preserve"> into the main beam of the receive antenna by subtracting 10 log (</w:t>
            </w:r>
            <w:r w:rsidRPr="0092537D">
              <w:rPr>
                <w:i/>
                <w:iCs/>
                <w:lang w:val="en-GB"/>
              </w:rPr>
              <w:t xml:space="preserve">G </w:t>
            </w:r>
            <w:r w:rsidRPr="0092537D">
              <w:rPr>
                <w:lang w:val="en-GB"/>
              </w:rPr>
              <w:sym w:font="Symbol" w:char="F06C"/>
            </w:r>
            <w:r w:rsidRPr="0092537D">
              <w:rPr>
                <w:position w:val="6"/>
                <w:sz w:val="14"/>
                <w:lang w:val="en-GB"/>
              </w:rPr>
              <w:t>2</w:t>
            </w:r>
            <w:r w:rsidRPr="0092537D">
              <w:rPr>
                <w:lang w:val="en-GB"/>
              </w:rPr>
              <w:t>/4</w:t>
            </w:r>
            <w:r w:rsidRPr="0092537D">
              <w:rPr>
                <w:lang w:val="en-GB"/>
              </w:rPr>
              <w:sym w:font="Symbol" w:char="F070"/>
            </w:r>
            <w:r w:rsidRPr="0092537D">
              <w:rPr>
                <w:lang w:val="en-GB"/>
              </w:rPr>
              <w:t xml:space="preserve">) from the values given in Table 1, where </w:t>
            </w:r>
            <w:r w:rsidRPr="0092537D">
              <w:rPr>
                <w:i/>
                <w:iCs/>
                <w:lang w:val="en-GB"/>
              </w:rPr>
              <w:t>G</w:t>
            </w:r>
            <w:r w:rsidRPr="0092537D">
              <w:rPr>
                <w:lang w:val="en-GB"/>
              </w:rPr>
              <w:t xml:space="preserve"> is the antenna gain and </w:t>
            </w:r>
            <w:r w:rsidRPr="0092537D">
              <w:rPr>
                <w:lang w:val="en-GB"/>
              </w:rPr>
              <w:sym w:font="Symbol" w:char="F06C"/>
            </w:r>
            <w:r w:rsidRPr="0092537D">
              <w:rPr>
                <w:lang w:val="en-GB"/>
              </w:rPr>
              <w:t xml:space="preserve"> is the wavelength.</w:t>
            </w:r>
          </w:p>
          <w:p w:rsidR="00EC5363" w:rsidRPr="0092537D" w:rsidRDefault="00EC5363" w:rsidP="00AA7EB6">
            <w:pPr>
              <w:pStyle w:val="Tabletext"/>
              <w:rPr>
                <w:lang w:val="en-GB"/>
              </w:rPr>
            </w:pPr>
            <w:r w:rsidRPr="0092537D">
              <w:rPr>
                <w:lang w:val="en-GB"/>
              </w:rPr>
              <w:t>NOTE 3 – In deriving the above sharing criteria from permissible total levels of interfering signal power, no allowance has been made for interference from spurious emissions.</w:t>
            </w:r>
          </w:p>
          <w:p w:rsidR="00EC5363" w:rsidRPr="0092537D" w:rsidRDefault="00EC5363" w:rsidP="00AA7EB6">
            <w:pPr>
              <w:pStyle w:val="Tabletext"/>
              <w:rPr>
                <w:lang w:val="en-GB"/>
              </w:rPr>
            </w:pPr>
            <w:r w:rsidRPr="0092537D">
              <w:rPr>
                <w:lang w:val="en-GB"/>
              </w:rPr>
              <w:t>NOTE 4 – The specified level of single</w:t>
            </w:r>
            <w:r w:rsidRPr="0092537D">
              <w:rPr>
                <w:lang w:val="en-GB"/>
              </w:rPr>
              <w:noBreakHyphen/>
              <w:t xml:space="preserve">entry interfering signal power may be directly converted to, and applied as, equivalent values of </w:t>
            </w:r>
            <w:proofErr w:type="spellStart"/>
            <w:r w:rsidRPr="0092537D">
              <w:rPr>
                <w:lang w:val="en-GB"/>
              </w:rPr>
              <w:t>pfd</w:t>
            </w:r>
            <w:proofErr w:type="spellEnd"/>
            <w:r w:rsidRPr="0092537D">
              <w:rPr>
                <w:lang w:val="en-GB"/>
              </w:rPr>
              <w:t xml:space="preserve"> only for earth stations that use low-gain, non-tracking antennas.</w:t>
            </w:r>
          </w:p>
          <w:p w:rsidR="00EC5363" w:rsidRPr="0092537D" w:rsidRDefault="00EC5363" w:rsidP="00AA7EB6">
            <w:pPr>
              <w:pStyle w:val="Tabletext"/>
              <w:rPr>
                <w:lang w:val="en-GB"/>
              </w:rPr>
            </w:pPr>
            <w:r w:rsidRPr="0092537D">
              <w:rPr>
                <w:lang w:val="en-GB"/>
              </w:rPr>
              <w:t>NOTE 5 – Both the long-term (20% of the time) and short-term (</w:t>
            </w:r>
            <w:r w:rsidRPr="0092537D">
              <w:rPr>
                <w:rFonts w:ascii="Symbol" w:hAnsi="Symbol"/>
                <w:lang w:val="en-GB"/>
              </w:rPr>
              <w:t></w:t>
            </w:r>
            <w:r w:rsidRPr="0092537D">
              <w:rPr>
                <w:lang w:val="en-GB"/>
              </w:rPr>
              <w:t xml:space="preserve"> 1% of the time) sharing criteria must be met in order for interference to be at or below permissible levels.</w:t>
            </w:r>
          </w:p>
          <w:p w:rsidR="00EC5363" w:rsidRPr="0092537D" w:rsidRDefault="00EC5363" w:rsidP="00AA7EB6">
            <w:pPr>
              <w:pStyle w:val="Tabletext"/>
              <w:rPr>
                <w:position w:val="6"/>
                <w:sz w:val="14"/>
                <w:lang w:val="en-GB"/>
              </w:rPr>
            </w:pPr>
            <w:r w:rsidRPr="0092537D">
              <w:rPr>
                <w:lang w:val="en-GB"/>
              </w:rPr>
              <w:t>NOTE 6 – Sharing criteria specified for terrestrial interfering signal paths are applicable to ground-based stations. The criteria for space-to-Earth interfering signal paths also pertain to air-to-ground paths.</w:t>
            </w:r>
          </w:p>
        </w:tc>
      </w:tr>
    </w:tbl>
    <w:p w:rsidR="00EC5363" w:rsidRPr="0092537D" w:rsidRDefault="00EC5363" w:rsidP="00EC5363">
      <w:pPr>
        <w:rPr>
          <w:lang w:val="en-GB"/>
        </w:rPr>
      </w:pPr>
    </w:p>
    <w:p w:rsidR="00EC5363" w:rsidRPr="0092537D" w:rsidRDefault="00EC5363" w:rsidP="00EC5363">
      <w:pPr>
        <w:rPr>
          <w:lang w:val="en-GB"/>
        </w:rPr>
      </w:pPr>
    </w:p>
    <w:p w:rsidR="00EC5363" w:rsidRPr="0092537D" w:rsidRDefault="00EC5363" w:rsidP="00EC5363">
      <w:pPr>
        <w:pStyle w:val="AnnexNoTitle"/>
        <w:rPr>
          <w:lang w:val="en-GB"/>
        </w:rPr>
      </w:pPr>
      <w:r w:rsidRPr="0092537D">
        <w:rPr>
          <w:lang w:val="en-GB"/>
        </w:rPr>
        <w:t>Annex 1</w:t>
      </w:r>
      <w:r w:rsidRPr="0092537D">
        <w:rPr>
          <w:lang w:val="en-GB"/>
        </w:rPr>
        <w:br/>
      </w:r>
      <w:r w:rsidRPr="0092537D">
        <w:rPr>
          <w:lang w:val="en-GB"/>
        </w:rPr>
        <w:br/>
        <w:t>Basis of sharing and coordination criteria</w:t>
      </w:r>
    </w:p>
    <w:p w:rsidR="00EC5363" w:rsidRPr="0092537D" w:rsidRDefault="00EC5363" w:rsidP="00EC5363">
      <w:pPr>
        <w:pStyle w:val="Heading1"/>
        <w:rPr>
          <w:lang w:val="en-GB"/>
        </w:rPr>
      </w:pPr>
      <w:r w:rsidRPr="0092537D">
        <w:rPr>
          <w:lang w:val="en-GB"/>
        </w:rPr>
        <w:t>1</w:t>
      </w:r>
      <w:r w:rsidRPr="0092537D">
        <w:rPr>
          <w:lang w:val="en-GB"/>
        </w:rPr>
        <w:tab/>
        <w:t>Introduction</w:t>
      </w:r>
    </w:p>
    <w:p w:rsidR="00EC5363" w:rsidRPr="0092537D" w:rsidRDefault="00EC5363" w:rsidP="00EC5363">
      <w:pPr>
        <w:rPr>
          <w:lang w:val="en-GB"/>
        </w:rPr>
      </w:pPr>
      <w:r w:rsidRPr="0092537D">
        <w:rPr>
          <w:lang w:val="en-GB"/>
        </w:rPr>
        <w:t>This Annex presents the implementation of Recommendation ITU-R SA.1023 using the interference criteria arrived at in Recommendation ITU-R SA.1163. The permissible interference levels are subdivided according to Recommendation ITU-R SA.1023 into space and terrestrial categories and then into the number of anticipated interferers in each category. The basis for these allotments is shown in Table 2 and a discussion of the interference environment in each band is presented below.</w:t>
      </w:r>
    </w:p>
    <w:p w:rsidR="00EC5363" w:rsidRPr="0092537D" w:rsidRDefault="00EC5363" w:rsidP="00EC5363">
      <w:pPr>
        <w:pStyle w:val="Heading1"/>
        <w:rPr>
          <w:lang w:val="en-GB"/>
        </w:rPr>
      </w:pPr>
      <w:r w:rsidRPr="0092537D">
        <w:rPr>
          <w:lang w:val="en-GB"/>
        </w:rPr>
        <w:t>2</w:t>
      </w:r>
      <w:r w:rsidRPr="0092537D">
        <w:rPr>
          <w:lang w:val="en-GB"/>
        </w:rPr>
        <w:tab/>
        <w:t>401-403 MHz band</w:t>
      </w:r>
    </w:p>
    <w:p w:rsidR="00EC5363" w:rsidRPr="0092537D" w:rsidRDefault="00EC5363" w:rsidP="00EC5363">
      <w:pPr>
        <w:rPr>
          <w:lang w:val="en-GB"/>
        </w:rPr>
      </w:pPr>
      <w:r w:rsidRPr="0092537D">
        <w:rPr>
          <w:lang w:val="en-GB"/>
        </w:rPr>
        <w:t xml:space="preserve">The 401-402 MHz band is allocated on a primary basis to the meteorological-aids, space operation (space-to-Earth direction), EESS (Earth-to-space), and </w:t>
      </w:r>
      <w:proofErr w:type="spellStart"/>
      <w:r w:rsidRPr="0092537D">
        <w:rPr>
          <w:lang w:val="en-GB"/>
        </w:rPr>
        <w:t>MetSat</w:t>
      </w:r>
      <w:proofErr w:type="spellEnd"/>
      <w:r w:rsidRPr="0092537D">
        <w:rPr>
          <w:lang w:val="en-GB"/>
        </w:rPr>
        <w:t xml:space="preserve"> (Earth</w:t>
      </w:r>
      <w:r w:rsidRPr="0092537D">
        <w:rPr>
          <w:lang w:val="en-GB"/>
        </w:rPr>
        <w:noBreakHyphen/>
        <w:t>to</w:t>
      </w:r>
      <w:r w:rsidRPr="0092537D">
        <w:rPr>
          <w:lang w:val="en-GB"/>
        </w:rPr>
        <w:noBreakHyphen/>
        <w:t>space) services on a primary basis and to the fixed and mobile (except aeronautical mobile) services on a secondary basis. The allocations of space services in both directions within the band presents the need to account for interference that may occur in the space-to-space direction. This case is elaborated more specifically in Annex 2.</w:t>
      </w:r>
    </w:p>
    <w:p w:rsidR="00EC5363" w:rsidRPr="0092537D" w:rsidRDefault="00EC5363" w:rsidP="00EC5363">
      <w:pPr>
        <w:rPr>
          <w:lang w:val="en-GB"/>
        </w:rPr>
      </w:pPr>
      <w:r w:rsidRPr="0092537D">
        <w:rPr>
          <w:lang w:val="en-GB"/>
        </w:rPr>
        <w:t xml:space="preserve">The 402-403 MHz band is allocated to the meteorological-aids, EESS (Earth-to-space), and </w:t>
      </w:r>
      <w:proofErr w:type="spellStart"/>
      <w:r w:rsidRPr="0092537D">
        <w:rPr>
          <w:lang w:val="en-GB"/>
        </w:rPr>
        <w:t>MetSat</w:t>
      </w:r>
      <w:proofErr w:type="spellEnd"/>
      <w:r w:rsidRPr="0092537D">
        <w:rPr>
          <w:lang w:val="en-GB"/>
        </w:rPr>
        <w:t xml:space="preserve"> (Earth-to-space) services on a primary basis and to the fixed, and mobile (except aeronautical mobile) services on a secondary basis.</w:t>
      </w:r>
    </w:p>
    <w:p w:rsidR="00EC5363" w:rsidRPr="0092537D" w:rsidRDefault="00EC5363" w:rsidP="00437151">
      <w:pPr>
        <w:keepNext/>
        <w:keepLines/>
        <w:rPr>
          <w:lang w:val="en-GB"/>
        </w:rPr>
      </w:pPr>
      <w:r w:rsidRPr="0092537D">
        <w:rPr>
          <w:lang w:val="en-GB"/>
        </w:rPr>
        <w:t xml:space="preserve">For most of the time, stations in the EESS and </w:t>
      </w:r>
      <w:proofErr w:type="spellStart"/>
      <w:r w:rsidRPr="0092537D">
        <w:rPr>
          <w:lang w:val="en-GB"/>
        </w:rPr>
        <w:t>MetSat</w:t>
      </w:r>
      <w:proofErr w:type="spellEnd"/>
      <w:r w:rsidRPr="0092537D">
        <w:rPr>
          <w:lang w:val="en-GB"/>
        </w:rPr>
        <w:t xml:space="preserve"> service are expected to produce higher interference levels than the terrestrial services. In the short-term, propagation enhancements on terrestrial interference paths and the location variability of mobile stations may result in similar interference levels from space-to-Earth and terrestrial stations.</w:t>
      </w:r>
    </w:p>
    <w:p w:rsidR="00EC5363" w:rsidRPr="0092537D" w:rsidRDefault="00EC5363" w:rsidP="00EC5363">
      <w:pPr>
        <w:pStyle w:val="Heading1"/>
        <w:rPr>
          <w:lang w:val="en-GB"/>
        </w:rPr>
      </w:pPr>
      <w:r w:rsidRPr="0092537D">
        <w:rPr>
          <w:lang w:val="en-GB"/>
        </w:rPr>
        <w:t>3</w:t>
      </w:r>
      <w:r w:rsidRPr="0092537D">
        <w:rPr>
          <w:lang w:val="en-GB"/>
        </w:rPr>
        <w:tab/>
        <w:t>460-470 MHz band</w:t>
      </w:r>
    </w:p>
    <w:p w:rsidR="00EC5363" w:rsidRPr="0092537D" w:rsidRDefault="00EC5363" w:rsidP="00EC5363">
      <w:pPr>
        <w:rPr>
          <w:lang w:val="en-GB"/>
        </w:rPr>
      </w:pPr>
      <w:r w:rsidRPr="0092537D">
        <w:rPr>
          <w:lang w:val="en-GB"/>
        </w:rPr>
        <w:t>The 460-470 MHz band is allocated to the mobile and fixed services on a primary basis and the Meteorological satellite service. For most of the time interference will occur from terrestrial stations. For brief periods additional interference sources from space systems can be expected.</w:t>
      </w:r>
    </w:p>
    <w:p w:rsidR="00EC5363" w:rsidRPr="0092537D" w:rsidRDefault="00EC5363" w:rsidP="00EC5363">
      <w:pPr>
        <w:pStyle w:val="Heading1"/>
        <w:rPr>
          <w:szCs w:val="24"/>
          <w:lang w:val="en-GB"/>
        </w:rPr>
      </w:pPr>
      <w:r w:rsidRPr="0092537D">
        <w:rPr>
          <w:szCs w:val="24"/>
          <w:lang w:val="en-GB"/>
        </w:rPr>
        <w:lastRenderedPageBreak/>
        <w:t>4</w:t>
      </w:r>
      <w:r w:rsidRPr="0092537D">
        <w:rPr>
          <w:szCs w:val="24"/>
          <w:lang w:val="en-GB"/>
        </w:rPr>
        <w:tab/>
        <w:t>1 670-1 690 MHz band</w:t>
      </w:r>
    </w:p>
    <w:p w:rsidR="00EC5363" w:rsidRPr="0092537D" w:rsidRDefault="00EC5363" w:rsidP="00EC5363">
      <w:pPr>
        <w:rPr>
          <w:lang w:val="en-GB"/>
        </w:rPr>
      </w:pPr>
      <w:r w:rsidRPr="0092537D">
        <w:rPr>
          <w:lang w:val="en-GB"/>
        </w:rPr>
        <w:t>The 1</w:t>
      </w:r>
      <w:r w:rsidRPr="0092537D">
        <w:rPr>
          <w:sz w:val="12"/>
          <w:lang w:val="en-GB"/>
        </w:rPr>
        <w:t> </w:t>
      </w:r>
      <w:r w:rsidRPr="0092537D">
        <w:rPr>
          <w:lang w:val="en-GB"/>
        </w:rPr>
        <w:t>670-1</w:t>
      </w:r>
      <w:r w:rsidRPr="0092537D">
        <w:rPr>
          <w:sz w:val="12"/>
          <w:lang w:val="en-GB"/>
        </w:rPr>
        <w:t> </w:t>
      </w:r>
      <w:r w:rsidRPr="0092537D">
        <w:rPr>
          <w:lang w:val="en-GB"/>
        </w:rPr>
        <w:t>690 MHz band is allocated on a primary basis to the met</w:t>
      </w:r>
      <w:r w:rsidR="00437151" w:rsidRPr="0092537D">
        <w:rPr>
          <w:lang w:val="en-GB"/>
        </w:rPr>
        <w:t xml:space="preserve">eorological aids, </w:t>
      </w:r>
      <w:proofErr w:type="spellStart"/>
      <w:r w:rsidR="00437151" w:rsidRPr="0092537D">
        <w:rPr>
          <w:lang w:val="en-GB"/>
        </w:rPr>
        <w:t>MetSat</w:t>
      </w:r>
      <w:proofErr w:type="spellEnd"/>
      <w:r w:rsidR="00437151" w:rsidRPr="0092537D">
        <w:rPr>
          <w:lang w:val="en-GB"/>
        </w:rPr>
        <w:t xml:space="preserve"> (space</w:t>
      </w:r>
      <w:r w:rsidR="00437151" w:rsidRPr="0092537D">
        <w:rPr>
          <w:lang w:val="en-GB"/>
        </w:rPr>
        <w:noBreakHyphen/>
      </w:r>
      <w:r w:rsidRPr="0092537D">
        <w:rPr>
          <w:lang w:val="en-GB"/>
        </w:rPr>
        <w:t>to-Earth), fixed and mobile services and, the 1 670-1 675 MHz band is allocated to the mobile-satellite service (Earth</w:t>
      </w:r>
      <w:r w:rsidRPr="0092537D">
        <w:rPr>
          <w:lang w:val="en-GB"/>
        </w:rPr>
        <w:noBreakHyphen/>
        <w:t>to-space) on a primary basis.</w:t>
      </w:r>
    </w:p>
    <w:p w:rsidR="00EC5363" w:rsidRPr="0092537D" w:rsidRDefault="00EC5363" w:rsidP="00EC5363">
      <w:pPr>
        <w:pStyle w:val="Heading1"/>
        <w:rPr>
          <w:szCs w:val="24"/>
          <w:lang w:val="en-GB"/>
        </w:rPr>
      </w:pPr>
      <w:r w:rsidRPr="0092537D">
        <w:rPr>
          <w:szCs w:val="24"/>
          <w:lang w:val="en-GB"/>
        </w:rPr>
        <w:t>5</w:t>
      </w:r>
      <w:r w:rsidRPr="0092537D">
        <w:rPr>
          <w:szCs w:val="24"/>
          <w:lang w:val="en-GB"/>
        </w:rPr>
        <w:tab/>
        <w:t>2 025-2 110 MHz band</w:t>
      </w:r>
    </w:p>
    <w:p w:rsidR="00EC5363" w:rsidRPr="0092537D" w:rsidRDefault="00EC5363" w:rsidP="00EC5363">
      <w:pPr>
        <w:rPr>
          <w:lang w:val="en-GB"/>
        </w:rPr>
      </w:pPr>
      <w:r w:rsidRPr="0092537D">
        <w:rPr>
          <w:lang w:val="en-GB"/>
        </w:rPr>
        <w:t>The 2</w:t>
      </w:r>
      <w:r w:rsidRPr="0092537D">
        <w:rPr>
          <w:sz w:val="12"/>
          <w:lang w:val="en-GB"/>
        </w:rPr>
        <w:t> </w:t>
      </w:r>
      <w:r w:rsidRPr="0092537D">
        <w:rPr>
          <w:lang w:val="en-GB"/>
        </w:rPr>
        <w:t>025-2</w:t>
      </w:r>
      <w:r w:rsidRPr="0092537D">
        <w:rPr>
          <w:sz w:val="12"/>
          <w:lang w:val="en-GB"/>
        </w:rPr>
        <w:t> </w:t>
      </w:r>
      <w:r w:rsidRPr="0092537D">
        <w:rPr>
          <w:lang w:val="en-GB"/>
        </w:rPr>
        <w:t>110 MHz band is allocated on a primary basis to the fixed and mobile services, to the space research service (Earth-to-space and space-to-space), to the space operation service (Earth</w:t>
      </w:r>
      <w:r w:rsidRPr="0092537D">
        <w:rPr>
          <w:lang w:val="en-GB"/>
        </w:rPr>
        <w:noBreakHyphen/>
        <w:t>to</w:t>
      </w:r>
      <w:r w:rsidRPr="0092537D">
        <w:rPr>
          <w:lang w:val="en-GB"/>
        </w:rPr>
        <w:noBreakHyphen/>
        <w:t>space and space-to-space), and to the EESS (Earth-to-space and space-to-space).</w:t>
      </w:r>
    </w:p>
    <w:p w:rsidR="00EC5363" w:rsidRPr="0092537D" w:rsidRDefault="00EC5363" w:rsidP="00EC5363">
      <w:pPr>
        <w:pStyle w:val="TableNo"/>
        <w:rPr>
          <w:lang w:val="en-GB"/>
        </w:rPr>
      </w:pPr>
      <w:r w:rsidRPr="0092537D">
        <w:rPr>
          <w:lang w:val="en-GB"/>
        </w:rPr>
        <w:t>TABLE 2</w:t>
      </w:r>
    </w:p>
    <w:p w:rsidR="00EC5363" w:rsidRPr="0092537D" w:rsidRDefault="00EC5363" w:rsidP="00EC5363">
      <w:pPr>
        <w:pStyle w:val="Tabletitle"/>
        <w:rPr>
          <w:lang w:val="en-GB"/>
        </w:rPr>
      </w:pPr>
      <w:r w:rsidRPr="0092537D">
        <w:rPr>
          <w:lang w:val="en-GB"/>
        </w:rPr>
        <w:t>Parameters used to derive sharing criteria</w:t>
      </w:r>
    </w:p>
    <w:tbl>
      <w:tblPr>
        <w:tblW w:w="96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426"/>
        <w:gridCol w:w="834"/>
        <w:gridCol w:w="1134"/>
        <w:gridCol w:w="993"/>
        <w:gridCol w:w="1134"/>
        <w:gridCol w:w="850"/>
        <w:gridCol w:w="1134"/>
        <w:gridCol w:w="851"/>
        <w:gridCol w:w="1275"/>
      </w:tblGrid>
      <w:tr w:rsidR="00EC5363" w:rsidRPr="00557C83" w:rsidTr="003521FD">
        <w:trPr>
          <w:jc w:val="center"/>
        </w:trPr>
        <w:tc>
          <w:tcPr>
            <w:tcW w:w="1426" w:type="dxa"/>
            <w:vMerge w:val="restart"/>
            <w:vAlign w:val="center"/>
          </w:tcPr>
          <w:p w:rsidR="00EC5363" w:rsidRPr="0092537D" w:rsidRDefault="00EC5363" w:rsidP="00AA7EB6">
            <w:pPr>
              <w:pStyle w:val="Tablehead"/>
              <w:rPr>
                <w:lang w:val="en-GB"/>
              </w:rPr>
            </w:pPr>
            <w:r w:rsidRPr="0092537D">
              <w:rPr>
                <w:lang w:val="en-GB"/>
              </w:rPr>
              <w:t>Frequency</w:t>
            </w:r>
            <w:r w:rsidRPr="0092537D">
              <w:rPr>
                <w:lang w:val="en-GB"/>
              </w:rPr>
              <w:br/>
              <w:t>band</w:t>
            </w:r>
            <w:r w:rsidRPr="0092537D">
              <w:rPr>
                <w:lang w:val="en-GB"/>
              </w:rPr>
              <w:br/>
              <w:t>(MHz)</w:t>
            </w:r>
          </w:p>
        </w:tc>
        <w:tc>
          <w:tcPr>
            <w:tcW w:w="1968" w:type="dxa"/>
            <w:gridSpan w:val="2"/>
            <w:vAlign w:val="center"/>
          </w:tcPr>
          <w:p w:rsidR="00EC5363" w:rsidRPr="0092537D" w:rsidRDefault="00EC5363" w:rsidP="00AA7EB6">
            <w:pPr>
              <w:pStyle w:val="Tablehead"/>
              <w:rPr>
                <w:lang w:val="en-GB"/>
              </w:rPr>
            </w:pPr>
            <w:r w:rsidRPr="0092537D">
              <w:rPr>
                <w:lang w:val="en-GB"/>
              </w:rPr>
              <w:t>Long-term apportionment between categories of interferers</w:t>
            </w:r>
          </w:p>
        </w:tc>
        <w:tc>
          <w:tcPr>
            <w:tcW w:w="2127" w:type="dxa"/>
            <w:gridSpan w:val="2"/>
            <w:vAlign w:val="center"/>
          </w:tcPr>
          <w:p w:rsidR="00EC5363" w:rsidRPr="0092537D" w:rsidRDefault="00EC5363" w:rsidP="003521FD">
            <w:pPr>
              <w:pStyle w:val="Tablehead"/>
              <w:rPr>
                <w:lang w:val="en-GB"/>
              </w:rPr>
            </w:pPr>
            <w:r w:rsidRPr="0092537D">
              <w:rPr>
                <w:lang w:val="en-GB"/>
              </w:rPr>
              <w:t>Short-term apportionment between categories of</w:t>
            </w:r>
            <w:r w:rsidR="003521FD" w:rsidRPr="0092537D">
              <w:rPr>
                <w:lang w:val="en-GB"/>
              </w:rPr>
              <w:t> </w:t>
            </w:r>
            <w:r w:rsidRPr="0092537D">
              <w:rPr>
                <w:lang w:val="en-GB"/>
              </w:rPr>
              <w:t>interferers</w:t>
            </w:r>
          </w:p>
        </w:tc>
        <w:tc>
          <w:tcPr>
            <w:tcW w:w="1984" w:type="dxa"/>
            <w:gridSpan w:val="2"/>
            <w:vAlign w:val="center"/>
          </w:tcPr>
          <w:p w:rsidR="00EC5363" w:rsidRPr="0092537D" w:rsidRDefault="00EC5363" w:rsidP="003521FD">
            <w:pPr>
              <w:pStyle w:val="Tablehead"/>
              <w:rPr>
                <w:lang w:val="en-GB"/>
              </w:rPr>
            </w:pPr>
            <w:r w:rsidRPr="0092537D">
              <w:rPr>
                <w:lang w:val="en-GB"/>
              </w:rPr>
              <w:t>Equivalent number of</w:t>
            </w:r>
            <w:r w:rsidR="003521FD" w:rsidRPr="0092537D">
              <w:rPr>
                <w:lang w:val="en-GB"/>
              </w:rPr>
              <w:t xml:space="preserve"> </w:t>
            </w:r>
            <w:r w:rsidRPr="0092537D">
              <w:rPr>
                <w:lang w:val="en-GB"/>
              </w:rPr>
              <w:t>long-term interferers</w:t>
            </w:r>
          </w:p>
        </w:tc>
        <w:tc>
          <w:tcPr>
            <w:tcW w:w="2126" w:type="dxa"/>
            <w:gridSpan w:val="2"/>
            <w:vAlign w:val="center"/>
          </w:tcPr>
          <w:p w:rsidR="00EC5363" w:rsidRPr="0092537D" w:rsidRDefault="00EC5363" w:rsidP="003521FD">
            <w:pPr>
              <w:pStyle w:val="Tablehead"/>
              <w:rPr>
                <w:lang w:val="en-GB"/>
              </w:rPr>
            </w:pPr>
            <w:r w:rsidRPr="0092537D">
              <w:rPr>
                <w:lang w:val="en-GB"/>
              </w:rPr>
              <w:t xml:space="preserve">Equivalent number </w:t>
            </w:r>
            <w:r w:rsidR="003521FD" w:rsidRPr="0092537D">
              <w:rPr>
                <w:lang w:val="en-GB"/>
              </w:rPr>
              <w:br/>
            </w:r>
            <w:r w:rsidRPr="0092537D">
              <w:rPr>
                <w:lang w:val="en-GB"/>
              </w:rPr>
              <w:t>of</w:t>
            </w:r>
            <w:r w:rsidR="003521FD" w:rsidRPr="0092537D">
              <w:rPr>
                <w:lang w:val="en-GB"/>
              </w:rPr>
              <w:t xml:space="preserve"> </w:t>
            </w:r>
            <w:r w:rsidRPr="0092537D">
              <w:rPr>
                <w:lang w:val="en-GB"/>
              </w:rPr>
              <w:t>short-term interferers</w:t>
            </w:r>
          </w:p>
        </w:tc>
      </w:tr>
      <w:tr w:rsidR="00EC5363" w:rsidRPr="0092537D" w:rsidTr="003521FD">
        <w:trPr>
          <w:jc w:val="center"/>
        </w:trPr>
        <w:tc>
          <w:tcPr>
            <w:tcW w:w="1426" w:type="dxa"/>
            <w:vMerge/>
          </w:tcPr>
          <w:p w:rsidR="00EC5363" w:rsidRPr="0092537D" w:rsidRDefault="00EC5363" w:rsidP="00AA7EB6">
            <w:pPr>
              <w:pStyle w:val="Tablehead"/>
              <w:rPr>
                <w:lang w:val="en-GB"/>
              </w:rPr>
            </w:pPr>
          </w:p>
        </w:tc>
        <w:tc>
          <w:tcPr>
            <w:tcW w:w="1968" w:type="dxa"/>
            <w:gridSpan w:val="2"/>
          </w:tcPr>
          <w:p w:rsidR="00EC5363" w:rsidRPr="0092537D" w:rsidRDefault="00EC5363" w:rsidP="00AA7EB6">
            <w:pPr>
              <w:pStyle w:val="Tablehead"/>
              <w:rPr>
                <w:lang w:val="en-GB"/>
              </w:rPr>
            </w:pPr>
            <w:r w:rsidRPr="0092537D">
              <w:rPr>
                <w:lang w:val="en-GB"/>
              </w:rPr>
              <w:t xml:space="preserve">Interfering </w:t>
            </w:r>
            <w:r w:rsidR="003521FD" w:rsidRPr="0092537D">
              <w:rPr>
                <w:lang w:val="en-GB"/>
              </w:rPr>
              <w:br/>
            </w:r>
            <w:r w:rsidRPr="0092537D">
              <w:rPr>
                <w:lang w:val="en-GB"/>
              </w:rPr>
              <w:t>signal path</w:t>
            </w:r>
          </w:p>
        </w:tc>
        <w:tc>
          <w:tcPr>
            <w:tcW w:w="2127" w:type="dxa"/>
            <w:gridSpan w:val="2"/>
          </w:tcPr>
          <w:p w:rsidR="00EC5363" w:rsidRPr="0092537D" w:rsidRDefault="00EC5363" w:rsidP="00AA7EB6">
            <w:pPr>
              <w:pStyle w:val="Tablehead"/>
              <w:rPr>
                <w:lang w:val="en-GB"/>
              </w:rPr>
            </w:pPr>
            <w:r w:rsidRPr="0092537D">
              <w:rPr>
                <w:lang w:val="en-GB"/>
              </w:rPr>
              <w:t xml:space="preserve">Interfering </w:t>
            </w:r>
            <w:r w:rsidR="003521FD" w:rsidRPr="0092537D">
              <w:rPr>
                <w:lang w:val="en-GB"/>
              </w:rPr>
              <w:br/>
            </w:r>
            <w:r w:rsidRPr="0092537D">
              <w:rPr>
                <w:lang w:val="en-GB"/>
              </w:rPr>
              <w:t>signal path</w:t>
            </w:r>
          </w:p>
        </w:tc>
        <w:tc>
          <w:tcPr>
            <w:tcW w:w="1984" w:type="dxa"/>
            <w:gridSpan w:val="2"/>
          </w:tcPr>
          <w:p w:rsidR="00EC5363" w:rsidRPr="0092537D" w:rsidRDefault="00EC5363" w:rsidP="00AA7EB6">
            <w:pPr>
              <w:pStyle w:val="Tablehead"/>
              <w:rPr>
                <w:lang w:val="en-GB"/>
              </w:rPr>
            </w:pPr>
            <w:r w:rsidRPr="0092537D">
              <w:rPr>
                <w:lang w:val="en-GB"/>
              </w:rPr>
              <w:t xml:space="preserve">Interfering </w:t>
            </w:r>
            <w:r w:rsidR="003521FD" w:rsidRPr="0092537D">
              <w:rPr>
                <w:lang w:val="en-GB"/>
              </w:rPr>
              <w:br/>
            </w:r>
            <w:r w:rsidRPr="0092537D">
              <w:rPr>
                <w:lang w:val="en-GB"/>
              </w:rPr>
              <w:t>signal path</w:t>
            </w:r>
          </w:p>
        </w:tc>
        <w:tc>
          <w:tcPr>
            <w:tcW w:w="2126" w:type="dxa"/>
            <w:gridSpan w:val="2"/>
          </w:tcPr>
          <w:p w:rsidR="00EC5363" w:rsidRPr="0092537D" w:rsidRDefault="00EC5363" w:rsidP="00AA7EB6">
            <w:pPr>
              <w:pStyle w:val="Tablehead"/>
              <w:rPr>
                <w:lang w:val="en-GB"/>
              </w:rPr>
            </w:pPr>
            <w:r w:rsidRPr="0092537D">
              <w:rPr>
                <w:lang w:val="en-GB"/>
              </w:rPr>
              <w:t xml:space="preserve">Interfering </w:t>
            </w:r>
            <w:r w:rsidR="003521FD" w:rsidRPr="0092537D">
              <w:rPr>
                <w:lang w:val="en-GB"/>
              </w:rPr>
              <w:br/>
            </w:r>
            <w:r w:rsidRPr="0092537D">
              <w:rPr>
                <w:lang w:val="en-GB"/>
              </w:rPr>
              <w:t>signal path</w:t>
            </w:r>
          </w:p>
        </w:tc>
      </w:tr>
      <w:tr w:rsidR="003521FD" w:rsidRPr="0092537D" w:rsidTr="003521FD">
        <w:trPr>
          <w:jc w:val="center"/>
        </w:trPr>
        <w:tc>
          <w:tcPr>
            <w:tcW w:w="1426" w:type="dxa"/>
            <w:vMerge/>
          </w:tcPr>
          <w:p w:rsidR="00EC5363" w:rsidRPr="0092537D" w:rsidRDefault="00EC5363" w:rsidP="00AA7EB6">
            <w:pPr>
              <w:pStyle w:val="Tablehead"/>
              <w:rPr>
                <w:lang w:val="en-GB"/>
              </w:rPr>
            </w:pPr>
          </w:p>
        </w:tc>
        <w:tc>
          <w:tcPr>
            <w:tcW w:w="834" w:type="dxa"/>
            <w:tcBorders>
              <w:top w:val="nil"/>
            </w:tcBorders>
          </w:tcPr>
          <w:p w:rsidR="00EC5363" w:rsidRPr="0092537D" w:rsidRDefault="00EC5363" w:rsidP="00AA7EB6">
            <w:pPr>
              <w:pStyle w:val="Tablehead"/>
              <w:rPr>
                <w:lang w:val="en-GB"/>
              </w:rPr>
            </w:pPr>
            <w:r w:rsidRPr="0092537D">
              <w:rPr>
                <w:lang w:val="en-GB"/>
              </w:rPr>
              <w:t>Space-to-Earth</w:t>
            </w:r>
          </w:p>
        </w:tc>
        <w:tc>
          <w:tcPr>
            <w:tcW w:w="1134" w:type="dxa"/>
          </w:tcPr>
          <w:p w:rsidR="00EC5363" w:rsidRPr="0092537D" w:rsidRDefault="00EC5363" w:rsidP="00AA7EB6">
            <w:pPr>
              <w:pStyle w:val="Tablehead"/>
              <w:rPr>
                <w:lang w:val="en-GB"/>
              </w:rPr>
            </w:pPr>
            <w:r w:rsidRPr="0092537D">
              <w:rPr>
                <w:lang w:val="en-GB"/>
              </w:rPr>
              <w:t>Terrestrial</w:t>
            </w:r>
          </w:p>
        </w:tc>
        <w:tc>
          <w:tcPr>
            <w:tcW w:w="993" w:type="dxa"/>
          </w:tcPr>
          <w:p w:rsidR="00EC5363" w:rsidRPr="0092537D" w:rsidRDefault="00EC5363" w:rsidP="00AA7EB6">
            <w:pPr>
              <w:pStyle w:val="Tablehead"/>
              <w:rPr>
                <w:lang w:val="en-GB"/>
              </w:rPr>
            </w:pPr>
            <w:r w:rsidRPr="0092537D">
              <w:rPr>
                <w:lang w:val="en-GB"/>
              </w:rPr>
              <w:t>Space-to-Earth</w:t>
            </w:r>
          </w:p>
        </w:tc>
        <w:tc>
          <w:tcPr>
            <w:tcW w:w="1134" w:type="dxa"/>
          </w:tcPr>
          <w:p w:rsidR="00EC5363" w:rsidRPr="0092537D" w:rsidRDefault="00EC5363" w:rsidP="00AA7EB6">
            <w:pPr>
              <w:pStyle w:val="Tablehead"/>
              <w:rPr>
                <w:lang w:val="en-GB"/>
              </w:rPr>
            </w:pPr>
            <w:r w:rsidRPr="0092537D">
              <w:rPr>
                <w:lang w:val="en-GB"/>
              </w:rPr>
              <w:t>Terrestrial</w:t>
            </w:r>
          </w:p>
        </w:tc>
        <w:tc>
          <w:tcPr>
            <w:tcW w:w="850" w:type="dxa"/>
          </w:tcPr>
          <w:p w:rsidR="00EC5363" w:rsidRPr="0092537D" w:rsidRDefault="00EC5363" w:rsidP="00AA7EB6">
            <w:pPr>
              <w:pStyle w:val="Tablehead"/>
              <w:rPr>
                <w:lang w:val="en-GB"/>
              </w:rPr>
            </w:pPr>
            <w:r w:rsidRPr="0092537D">
              <w:rPr>
                <w:lang w:val="en-GB"/>
              </w:rPr>
              <w:t>Space-to-Earth</w:t>
            </w:r>
          </w:p>
        </w:tc>
        <w:tc>
          <w:tcPr>
            <w:tcW w:w="1134" w:type="dxa"/>
          </w:tcPr>
          <w:p w:rsidR="00EC5363" w:rsidRPr="0092537D" w:rsidRDefault="00EC5363" w:rsidP="00AA7EB6">
            <w:pPr>
              <w:pStyle w:val="Tablehead"/>
              <w:rPr>
                <w:lang w:val="en-GB"/>
              </w:rPr>
            </w:pPr>
            <w:r w:rsidRPr="0092537D">
              <w:rPr>
                <w:lang w:val="en-GB"/>
              </w:rPr>
              <w:t>Terrestrial</w:t>
            </w:r>
          </w:p>
        </w:tc>
        <w:tc>
          <w:tcPr>
            <w:tcW w:w="851" w:type="dxa"/>
          </w:tcPr>
          <w:p w:rsidR="00EC5363" w:rsidRPr="0092537D" w:rsidRDefault="00EC5363" w:rsidP="00AA7EB6">
            <w:pPr>
              <w:pStyle w:val="Tablehead"/>
              <w:rPr>
                <w:lang w:val="en-GB"/>
              </w:rPr>
            </w:pPr>
            <w:r w:rsidRPr="0092537D">
              <w:rPr>
                <w:lang w:val="en-GB"/>
              </w:rPr>
              <w:t>Space-to-Earth</w:t>
            </w:r>
          </w:p>
        </w:tc>
        <w:tc>
          <w:tcPr>
            <w:tcW w:w="1275" w:type="dxa"/>
          </w:tcPr>
          <w:p w:rsidR="00EC5363" w:rsidRPr="0092537D" w:rsidRDefault="00EC5363" w:rsidP="00AA7EB6">
            <w:pPr>
              <w:pStyle w:val="Tablehead"/>
              <w:rPr>
                <w:lang w:val="en-GB"/>
              </w:rPr>
            </w:pPr>
            <w:r w:rsidRPr="0092537D">
              <w:rPr>
                <w:lang w:val="en-GB"/>
              </w:rPr>
              <w:t>Terrestrial</w:t>
            </w:r>
          </w:p>
        </w:tc>
      </w:tr>
      <w:tr w:rsidR="003521FD" w:rsidRPr="0092537D" w:rsidTr="003521FD">
        <w:trPr>
          <w:jc w:val="center"/>
        </w:trPr>
        <w:tc>
          <w:tcPr>
            <w:tcW w:w="1426" w:type="dxa"/>
          </w:tcPr>
          <w:p w:rsidR="00EC5363" w:rsidRPr="0092537D" w:rsidRDefault="00EC5363" w:rsidP="00AA7EB6">
            <w:pPr>
              <w:pStyle w:val="Tabletext"/>
              <w:jc w:val="center"/>
              <w:rPr>
                <w:lang w:val="en-GB"/>
              </w:rPr>
            </w:pPr>
            <w:r w:rsidRPr="0092537D">
              <w:rPr>
                <w:lang w:val="en-GB"/>
              </w:rPr>
              <w:t>401-403</w:t>
            </w:r>
          </w:p>
        </w:tc>
        <w:tc>
          <w:tcPr>
            <w:tcW w:w="834" w:type="dxa"/>
          </w:tcPr>
          <w:p w:rsidR="00EC5363" w:rsidRPr="0092537D" w:rsidRDefault="00EC5363" w:rsidP="00AA7EB6">
            <w:pPr>
              <w:pStyle w:val="Tabletext"/>
              <w:jc w:val="center"/>
              <w:rPr>
                <w:lang w:val="en-GB"/>
              </w:rPr>
            </w:pPr>
            <w:r w:rsidRPr="0092537D">
              <w:rPr>
                <w:lang w:val="en-GB"/>
              </w:rPr>
              <w:t>90%</w:t>
            </w:r>
          </w:p>
        </w:tc>
        <w:tc>
          <w:tcPr>
            <w:tcW w:w="1134" w:type="dxa"/>
          </w:tcPr>
          <w:p w:rsidR="00EC5363" w:rsidRPr="0092537D" w:rsidRDefault="00EC5363" w:rsidP="00AA7EB6">
            <w:pPr>
              <w:pStyle w:val="Tabletext"/>
              <w:jc w:val="center"/>
              <w:rPr>
                <w:lang w:val="en-GB"/>
              </w:rPr>
            </w:pPr>
            <w:r w:rsidRPr="0092537D">
              <w:rPr>
                <w:lang w:val="en-GB"/>
              </w:rPr>
              <w:t>10%</w:t>
            </w:r>
          </w:p>
        </w:tc>
        <w:tc>
          <w:tcPr>
            <w:tcW w:w="993" w:type="dxa"/>
          </w:tcPr>
          <w:p w:rsidR="00EC5363" w:rsidRPr="0092537D" w:rsidRDefault="00EC5363" w:rsidP="00AA7EB6">
            <w:pPr>
              <w:pStyle w:val="Tabletext"/>
              <w:jc w:val="center"/>
              <w:rPr>
                <w:lang w:val="en-GB"/>
              </w:rPr>
            </w:pPr>
            <w:r w:rsidRPr="0092537D">
              <w:rPr>
                <w:lang w:val="en-GB"/>
              </w:rPr>
              <w:t>75%</w:t>
            </w:r>
          </w:p>
        </w:tc>
        <w:tc>
          <w:tcPr>
            <w:tcW w:w="1134" w:type="dxa"/>
          </w:tcPr>
          <w:p w:rsidR="00EC5363" w:rsidRPr="0092537D" w:rsidRDefault="00EC5363" w:rsidP="00AA7EB6">
            <w:pPr>
              <w:pStyle w:val="Tabletext"/>
              <w:jc w:val="center"/>
              <w:rPr>
                <w:lang w:val="en-GB"/>
              </w:rPr>
            </w:pPr>
            <w:r w:rsidRPr="0092537D">
              <w:rPr>
                <w:lang w:val="en-GB"/>
              </w:rPr>
              <w:t>25%</w:t>
            </w:r>
          </w:p>
        </w:tc>
        <w:tc>
          <w:tcPr>
            <w:tcW w:w="850" w:type="dxa"/>
          </w:tcPr>
          <w:p w:rsidR="00EC5363" w:rsidRPr="0092537D" w:rsidRDefault="00EC5363" w:rsidP="00AA7EB6">
            <w:pPr>
              <w:pStyle w:val="Tabletext"/>
              <w:jc w:val="center"/>
              <w:rPr>
                <w:lang w:val="en-GB"/>
              </w:rPr>
            </w:pPr>
            <w:r w:rsidRPr="0092537D">
              <w:rPr>
                <w:lang w:val="en-GB"/>
              </w:rPr>
              <w:t xml:space="preserve">9 </w:t>
            </w:r>
            <w:r w:rsidRPr="0092537D">
              <w:rPr>
                <w:vertAlign w:val="superscript"/>
                <w:lang w:val="en-GB"/>
              </w:rPr>
              <w:t>(1)</w:t>
            </w:r>
          </w:p>
        </w:tc>
        <w:tc>
          <w:tcPr>
            <w:tcW w:w="1134" w:type="dxa"/>
          </w:tcPr>
          <w:p w:rsidR="00EC5363" w:rsidRPr="0092537D" w:rsidRDefault="00EC5363" w:rsidP="00AA7EB6">
            <w:pPr>
              <w:pStyle w:val="Tabletext"/>
              <w:jc w:val="center"/>
              <w:rPr>
                <w:lang w:val="en-GB"/>
              </w:rPr>
            </w:pPr>
            <w:r w:rsidRPr="0092537D">
              <w:rPr>
                <w:lang w:val="en-GB"/>
              </w:rPr>
              <w:t>1</w:t>
            </w:r>
          </w:p>
        </w:tc>
        <w:tc>
          <w:tcPr>
            <w:tcW w:w="851" w:type="dxa"/>
          </w:tcPr>
          <w:p w:rsidR="00EC5363" w:rsidRPr="0092537D" w:rsidRDefault="00EC5363" w:rsidP="00AA7EB6">
            <w:pPr>
              <w:pStyle w:val="Tabletext"/>
              <w:jc w:val="center"/>
              <w:rPr>
                <w:lang w:val="en-GB"/>
              </w:rPr>
            </w:pPr>
            <w:r w:rsidRPr="0092537D">
              <w:rPr>
                <w:lang w:val="en-GB"/>
              </w:rPr>
              <w:t>1</w:t>
            </w:r>
          </w:p>
        </w:tc>
        <w:tc>
          <w:tcPr>
            <w:tcW w:w="1275" w:type="dxa"/>
          </w:tcPr>
          <w:p w:rsidR="00EC5363" w:rsidRPr="0092537D" w:rsidRDefault="00EC5363" w:rsidP="00AA7EB6">
            <w:pPr>
              <w:pStyle w:val="Tabletext"/>
              <w:jc w:val="center"/>
              <w:rPr>
                <w:lang w:val="en-GB"/>
              </w:rPr>
            </w:pPr>
            <w:r w:rsidRPr="0092537D">
              <w:rPr>
                <w:lang w:val="en-GB"/>
              </w:rPr>
              <w:t>1</w:t>
            </w:r>
          </w:p>
        </w:tc>
      </w:tr>
      <w:tr w:rsidR="003521FD" w:rsidRPr="0092537D" w:rsidTr="003521FD">
        <w:trPr>
          <w:jc w:val="center"/>
        </w:trPr>
        <w:tc>
          <w:tcPr>
            <w:tcW w:w="1426" w:type="dxa"/>
          </w:tcPr>
          <w:p w:rsidR="00EC5363" w:rsidRPr="0092537D" w:rsidRDefault="00EC5363" w:rsidP="00AA7EB6">
            <w:pPr>
              <w:pStyle w:val="Tabletext"/>
              <w:jc w:val="center"/>
              <w:rPr>
                <w:lang w:val="en-GB"/>
              </w:rPr>
            </w:pPr>
            <w:r w:rsidRPr="0092537D">
              <w:rPr>
                <w:lang w:val="en-GB"/>
              </w:rPr>
              <w:t>1 670-1 690</w:t>
            </w:r>
          </w:p>
        </w:tc>
        <w:tc>
          <w:tcPr>
            <w:tcW w:w="834" w:type="dxa"/>
          </w:tcPr>
          <w:p w:rsidR="00EC5363" w:rsidRPr="0092537D" w:rsidRDefault="00EC5363" w:rsidP="00AA7EB6">
            <w:pPr>
              <w:pStyle w:val="Tabletext"/>
              <w:jc w:val="center"/>
              <w:rPr>
                <w:lang w:val="en-GB"/>
              </w:rPr>
            </w:pPr>
            <w:r w:rsidRPr="0092537D">
              <w:rPr>
                <w:lang w:val="en-GB"/>
              </w:rPr>
              <w:t>1%</w:t>
            </w:r>
          </w:p>
        </w:tc>
        <w:tc>
          <w:tcPr>
            <w:tcW w:w="1134" w:type="dxa"/>
          </w:tcPr>
          <w:p w:rsidR="00EC5363" w:rsidRPr="0092537D" w:rsidRDefault="00EC5363" w:rsidP="00AA7EB6">
            <w:pPr>
              <w:pStyle w:val="Tabletext"/>
              <w:jc w:val="center"/>
              <w:rPr>
                <w:lang w:val="en-GB"/>
              </w:rPr>
            </w:pPr>
            <w:r w:rsidRPr="0092537D">
              <w:rPr>
                <w:lang w:val="en-GB"/>
              </w:rPr>
              <w:t>99%</w:t>
            </w:r>
          </w:p>
        </w:tc>
        <w:tc>
          <w:tcPr>
            <w:tcW w:w="993" w:type="dxa"/>
          </w:tcPr>
          <w:p w:rsidR="00EC5363" w:rsidRPr="0092537D" w:rsidRDefault="00EC5363" w:rsidP="00AA7EB6">
            <w:pPr>
              <w:pStyle w:val="Tabletext"/>
              <w:jc w:val="center"/>
              <w:rPr>
                <w:lang w:val="en-GB"/>
              </w:rPr>
            </w:pPr>
            <w:r w:rsidRPr="0092537D">
              <w:rPr>
                <w:lang w:val="en-GB"/>
              </w:rPr>
              <w:t>10%</w:t>
            </w:r>
          </w:p>
        </w:tc>
        <w:tc>
          <w:tcPr>
            <w:tcW w:w="1134" w:type="dxa"/>
          </w:tcPr>
          <w:p w:rsidR="00EC5363" w:rsidRPr="0092537D" w:rsidRDefault="00EC5363" w:rsidP="00AA7EB6">
            <w:pPr>
              <w:pStyle w:val="Tabletext"/>
              <w:jc w:val="center"/>
              <w:rPr>
                <w:lang w:val="en-GB"/>
              </w:rPr>
            </w:pPr>
            <w:r w:rsidRPr="0092537D">
              <w:rPr>
                <w:lang w:val="en-GB"/>
              </w:rPr>
              <w:t>90%</w:t>
            </w:r>
          </w:p>
        </w:tc>
        <w:tc>
          <w:tcPr>
            <w:tcW w:w="850" w:type="dxa"/>
          </w:tcPr>
          <w:p w:rsidR="00EC5363" w:rsidRPr="0092537D" w:rsidRDefault="00EC5363" w:rsidP="00AA7EB6">
            <w:pPr>
              <w:pStyle w:val="Tabletext"/>
              <w:jc w:val="center"/>
              <w:rPr>
                <w:lang w:val="en-GB"/>
              </w:rPr>
            </w:pPr>
            <w:r w:rsidRPr="0092537D">
              <w:rPr>
                <w:lang w:val="en-GB"/>
              </w:rPr>
              <w:t>1</w:t>
            </w:r>
          </w:p>
        </w:tc>
        <w:tc>
          <w:tcPr>
            <w:tcW w:w="1134" w:type="dxa"/>
          </w:tcPr>
          <w:p w:rsidR="00EC5363" w:rsidRPr="0092537D" w:rsidRDefault="00EC5363" w:rsidP="00AA7EB6">
            <w:pPr>
              <w:pStyle w:val="Tabletext"/>
              <w:jc w:val="center"/>
              <w:rPr>
                <w:lang w:val="en-GB"/>
              </w:rPr>
            </w:pPr>
            <w:r w:rsidRPr="0092537D">
              <w:rPr>
                <w:lang w:val="en-GB"/>
              </w:rPr>
              <w:t>1</w:t>
            </w:r>
          </w:p>
        </w:tc>
        <w:tc>
          <w:tcPr>
            <w:tcW w:w="851" w:type="dxa"/>
          </w:tcPr>
          <w:p w:rsidR="00EC5363" w:rsidRPr="0092537D" w:rsidRDefault="00EC5363" w:rsidP="00AA7EB6">
            <w:pPr>
              <w:pStyle w:val="Tabletext"/>
              <w:jc w:val="center"/>
              <w:rPr>
                <w:lang w:val="en-GB"/>
              </w:rPr>
            </w:pPr>
            <w:r w:rsidRPr="0092537D">
              <w:rPr>
                <w:lang w:val="en-GB"/>
              </w:rPr>
              <w:t>1</w:t>
            </w:r>
          </w:p>
        </w:tc>
        <w:tc>
          <w:tcPr>
            <w:tcW w:w="1275" w:type="dxa"/>
          </w:tcPr>
          <w:p w:rsidR="00EC5363" w:rsidRPr="0092537D" w:rsidRDefault="00EC5363" w:rsidP="00AA7EB6">
            <w:pPr>
              <w:pStyle w:val="Tabletext"/>
              <w:jc w:val="center"/>
              <w:rPr>
                <w:lang w:val="en-GB"/>
              </w:rPr>
            </w:pPr>
            <w:r w:rsidRPr="0092537D">
              <w:rPr>
                <w:lang w:val="en-GB"/>
              </w:rPr>
              <w:t>2</w:t>
            </w:r>
          </w:p>
        </w:tc>
      </w:tr>
      <w:tr w:rsidR="003521FD" w:rsidRPr="0092537D" w:rsidTr="003521FD">
        <w:trPr>
          <w:jc w:val="center"/>
        </w:trPr>
        <w:tc>
          <w:tcPr>
            <w:tcW w:w="1426" w:type="dxa"/>
          </w:tcPr>
          <w:p w:rsidR="00EC5363" w:rsidRPr="0092537D" w:rsidRDefault="00EC5363" w:rsidP="00AA7EB6">
            <w:pPr>
              <w:pStyle w:val="Tabletext"/>
              <w:jc w:val="center"/>
              <w:rPr>
                <w:lang w:val="en-GB"/>
              </w:rPr>
            </w:pPr>
            <w:r w:rsidRPr="0092537D">
              <w:rPr>
                <w:lang w:val="en-GB"/>
              </w:rPr>
              <w:t>2 025-2 110</w:t>
            </w:r>
          </w:p>
        </w:tc>
        <w:tc>
          <w:tcPr>
            <w:tcW w:w="834" w:type="dxa"/>
          </w:tcPr>
          <w:p w:rsidR="00EC5363" w:rsidRPr="0092537D" w:rsidRDefault="00EC5363" w:rsidP="00AA7EB6">
            <w:pPr>
              <w:pStyle w:val="Tabletext"/>
              <w:jc w:val="center"/>
              <w:rPr>
                <w:lang w:val="en-GB"/>
              </w:rPr>
            </w:pPr>
            <w:r w:rsidRPr="0092537D">
              <w:rPr>
                <w:lang w:val="en-GB"/>
              </w:rPr>
              <w:t>1%</w:t>
            </w:r>
          </w:p>
        </w:tc>
        <w:tc>
          <w:tcPr>
            <w:tcW w:w="1134" w:type="dxa"/>
          </w:tcPr>
          <w:p w:rsidR="00EC5363" w:rsidRPr="0092537D" w:rsidRDefault="00EC5363" w:rsidP="00AA7EB6">
            <w:pPr>
              <w:pStyle w:val="Tabletext"/>
              <w:jc w:val="center"/>
              <w:rPr>
                <w:lang w:val="en-GB"/>
              </w:rPr>
            </w:pPr>
            <w:r w:rsidRPr="0092537D">
              <w:rPr>
                <w:lang w:val="en-GB"/>
              </w:rPr>
              <w:t>99%</w:t>
            </w:r>
          </w:p>
        </w:tc>
        <w:tc>
          <w:tcPr>
            <w:tcW w:w="993" w:type="dxa"/>
          </w:tcPr>
          <w:p w:rsidR="00EC5363" w:rsidRPr="0092537D" w:rsidRDefault="00EC5363" w:rsidP="00AA7EB6">
            <w:pPr>
              <w:pStyle w:val="Tabletext"/>
              <w:jc w:val="center"/>
              <w:rPr>
                <w:lang w:val="en-GB"/>
              </w:rPr>
            </w:pPr>
            <w:r w:rsidRPr="0092537D">
              <w:rPr>
                <w:lang w:val="en-GB"/>
              </w:rPr>
              <w:t>10%</w:t>
            </w:r>
          </w:p>
        </w:tc>
        <w:tc>
          <w:tcPr>
            <w:tcW w:w="1134" w:type="dxa"/>
          </w:tcPr>
          <w:p w:rsidR="00EC5363" w:rsidRPr="0092537D" w:rsidRDefault="00EC5363" w:rsidP="00AA7EB6">
            <w:pPr>
              <w:pStyle w:val="Tabletext"/>
              <w:jc w:val="center"/>
              <w:rPr>
                <w:lang w:val="en-GB"/>
              </w:rPr>
            </w:pPr>
            <w:r w:rsidRPr="0092537D">
              <w:rPr>
                <w:lang w:val="en-GB"/>
              </w:rPr>
              <w:t>90%</w:t>
            </w:r>
          </w:p>
        </w:tc>
        <w:tc>
          <w:tcPr>
            <w:tcW w:w="850" w:type="dxa"/>
          </w:tcPr>
          <w:p w:rsidR="00EC5363" w:rsidRPr="0092537D" w:rsidRDefault="00EC5363" w:rsidP="00AA7EB6">
            <w:pPr>
              <w:pStyle w:val="Tabletext"/>
              <w:jc w:val="center"/>
              <w:rPr>
                <w:lang w:val="en-GB"/>
              </w:rPr>
            </w:pPr>
            <w:r w:rsidRPr="0092537D">
              <w:rPr>
                <w:lang w:val="en-GB"/>
              </w:rPr>
              <w:t>1</w:t>
            </w:r>
          </w:p>
        </w:tc>
        <w:tc>
          <w:tcPr>
            <w:tcW w:w="1134" w:type="dxa"/>
          </w:tcPr>
          <w:p w:rsidR="00EC5363" w:rsidRPr="0092537D" w:rsidRDefault="00EC5363" w:rsidP="00AA7EB6">
            <w:pPr>
              <w:pStyle w:val="Tabletext"/>
              <w:jc w:val="center"/>
              <w:rPr>
                <w:lang w:val="en-GB"/>
              </w:rPr>
            </w:pPr>
            <w:r w:rsidRPr="0092537D">
              <w:rPr>
                <w:lang w:val="en-GB"/>
              </w:rPr>
              <w:t>2</w:t>
            </w:r>
          </w:p>
        </w:tc>
        <w:tc>
          <w:tcPr>
            <w:tcW w:w="851" w:type="dxa"/>
          </w:tcPr>
          <w:p w:rsidR="00EC5363" w:rsidRPr="0092537D" w:rsidRDefault="00EC5363" w:rsidP="00AA7EB6">
            <w:pPr>
              <w:pStyle w:val="Tabletext"/>
              <w:jc w:val="center"/>
              <w:rPr>
                <w:lang w:val="en-GB"/>
              </w:rPr>
            </w:pPr>
            <w:r w:rsidRPr="0092537D">
              <w:rPr>
                <w:lang w:val="en-GB"/>
              </w:rPr>
              <w:t>1</w:t>
            </w:r>
          </w:p>
        </w:tc>
        <w:tc>
          <w:tcPr>
            <w:tcW w:w="1275" w:type="dxa"/>
          </w:tcPr>
          <w:p w:rsidR="00EC5363" w:rsidRPr="0092537D" w:rsidRDefault="00EC5363" w:rsidP="00AA7EB6">
            <w:pPr>
              <w:pStyle w:val="Tabletext"/>
              <w:jc w:val="center"/>
              <w:rPr>
                <w:lang w:val="en-GB"/>
              </w:rPr>
            </w:pPr>
            <w:r w:rsidRPr="0092537D">
              <w:rPr>
                <w:lang w:val="en-GB"/>
              </w:rPr>
              <w:t>2</w:t>
            </w:r>
          </w:p>
        </w:tc>
      </w:tr>
      <w:tr w:rsidR="003521FD" w:rsidRPr="0092537D" w:rsidTr="003521FD">
        <w:trPr>
          <w:jc w:val="center"/>
        </w:trPr>
        <w:tc>
          <w:tcPr>
            <w:tcW w:w="1426" w:type="dxa"/>
            <w:tcBorders>
              <w:bottom w:val="single" w:sz="6" w:space="0" w:color="000000"/>
            </w:tcBorders>
          </w:tcPr>
          <w:p w:rsidR="00EC5363" w:rsidRPr="0092537D" w:rsidRDefault="00EC5363" w:rsidP="00AA7EB6">
            <w:pPr>
              <w:pStyle w:val="Tabletext"/>
              <w:jc w:val="center"/>
              <w:rPr>
                <w:lang w:val="en-GB"/>
              </w:rPr>
            </w:pPr>
            <w:r w:rsidRPr="0092537D">
              <w:rPr>
                <w:lang w:val="en-GB"/>
              </w:rPr>
              <w:t>460-470</w:t>
            </w:r>
          </w:p>
        </w:tc>
        <w:tc>
          <w:tcPr>
            <w:tcW w:w="834" w:type="dxa"/>
            <w:tcBorders>
              <w:bottom w:val="single" w:sz="6" w:space="0" w:color="000000"/>
            </w:tcBorders>
          </w:tcPr>
          <w:p w:rsidR="00EC5363" w:rsidRPr="0092537D" w:rsidRDefault="00EC5363" w:rsidP="00AA7EB6">
            <w:pPr>
              <w:pStyle w:val="Tabletext"/>
              <w:jc w:val="center"/>
              <w:rPr>
                <w:lang w:val="en-GB"/>
              </w:rPr>
            </w:pPr>
            <w:r w:rsidRPr="0092537D">
              <w:rPr>
                <w:lang w:val="en-GB"/>
              </w:rPr>
              <w:t>1%</w:t>
            </w:r>
          </w:p>
        </w:tc>
        <w:tc>
          <w:tcPr>
            <w:tcW w:w="1134" w:type="dxa"/>
            <w:tcBorders>
              <w:bottom w:val="single" w:sz="6" w:space="0" w:color="000000"/>
            </w:tcBorders>
          </w:tcPr>
          <w:p w:rsidR="00EC5363" w:rsidRPr="0092537D" w:rsidRDefault="00EC5363" w:rsidP="00AA7EB6">
            <w:pPr>
              <w:pStyle w:val="Tabletext"/>
              <w:jc w:val="center"/>
              <w:rPr>
                <w:lang w:val="en-GB"/>
              </w:rPr>
            </w:pPr>
            <w:r w:rsidRPr="0092537D">
              <w:rPr>
                <w:lang w:val="en-GB"/>
              </w:rPr>
              <w:t>99%</w:t>
            </w:r>
          </w:p>
        </w:tc>
        <w:tc>
          <w:tcPr>
            <w:tcW w:w="993" w:type="dxa"/>
            <w:tcBorders>
              <w:bottom w:val="single" w:sz="6" w:space="0" w:color="000000"/>
            </w:tcBorders>
          </w:tcPr>
          <w:p w:rsidR="00EC5363" w:rsidRPr="0092537D" w:rsidRDefault="00EC5363" w:rsidP="00AA7EB6">
            <w:pPr>
              <w:pStyle w:val="Tabletext"/>
              <w:jc w:val="center"/>
              <w:rPr>
                <w:lang w:val="en-GB"/>
              </w:rPr>
            </w:pPr>
            <w:r w:rsidRPr="0092537D">
              <w:rPr>
                <w:lang w:val="en-GB"/>
              </w:rPr>
              <w:t>10%</w:t>
            </w:r>
          </w:p>
        </w:tc>
        <w:tc>
          <w:tcPr>
            <w:tcW w:w="1134" w:type="dxa"/>
            <w:tcBorders>
              <w:bottom w:val="single" w:sz="6" w:space="0" w:color="000000"/>
            </w:tcBorders>
          </w:tcPr>
          <w:p w:rsidR="00EC5363" w:rsidRPr="0092537D" w:rsidRDefault="00EC5363" w:rsidP="00AA7EB6">
            <w:pPr>
              <w:pStyle w:val="Tabletext"/>
              <w:jc w:val="center"/>
              <w:rPr>
                <w:lang w:val="en-GB"/>
              </w:rPr>
            </w:pPr>
            <w:r w:rsidRPr="0092537D">
              <w:rPr>
                <w:lang w:val="en-GB"/>
              </w:rPr>
              <w:t>90%</w:t>
            </w:r>
          </w:p>
        </w:tc>
        <w:tc>
          <w:tcPr>
            <w:tcW w:w="850" w:type="dxa"/>
            <w:tcBorders>
              <w:bottom w:val="single" w:sz="6" w:space="0" w:color="000000"/>
            </w:tcBorders>
          </w:tcPr>
          <w:p w:rsidR="00EC5363" w:rsidRPr="0092537D" w:rsidRDefault="00EC5363" w:rsidP="00AA7EB6">
            <w:pPr>
              <w:pStyle w:val="Tabletext"/>
              <w:jc w:val="center"/>
              <w:rPr>
                <w:lang w:val="en-GB"/>
              </w:rPr>
            </w:pPr>
            <w:r w:rsidRPr="0092537D">
              <w:rPr>
                <w:lang w:val="en-GB"/>
              </w:rPr>
              <w:t>1</w:t>
            </w:r>
          </w:p>
        </w:tc>
        <w:tc>
          <w:tcPr>
            <w:tcW w:w="1134" w:type="dxa"/>
            <w:tcBorders>
              <w:bottom w:val="single" w:sz="6" w:space="0" w:color="000000"/>
            </w:tcBorders>
          </w:tcPr>
          <w:p w:rsidR="00EC5363" w:rsidRPr="0092537D" w:rsidRDefault="00EC5363" w:rsidP="00AA7EB6">
            <w:pPr>
              <w:pStyle w:val="Tabletext"/>
              <w:jc w:val="center"/>
              <w:rPr>
                <w:lang w:val="en-GB"/>
              </w:rPr>
            </w:pPr>
            <w:r w:rsidRPr="0092537D">
              <w:rPr>
                <w:lang w:val="en-GB"/>
              </w:rPr>
              <w:t>1</w:t>
            </w:r>
          </w:p>
        </w:tc>
        <w:tc>
          <w:tcPr>
            <w:tcW w:w="851" w:type="dxa"/>
            <w:tcBorders>
              <w:bottom w:val="single" w:sz="6" w:space="0" w:color="000000"/>
            </w:tcBorders>
          </w:tcPr>
          <w:p w:rsidR="00EC5363" w:rsidRPr="0092537D" w:rsidRDefault="00EC5363" w:rsidP="00AA7EB6">
            <w:pPr>
              <w:pStyle w:val="Tabletext"/>
              <w:jc w:val="center"/>
              <w:rPr>
                <w:lang w:val="en-GB"/>
              </w:rPr>
            </w:pPr>
            <w:r w:rsidRPr="0092537D">
              <w:rPr>
                <w:lang w:val="en-GB"/>
              </w:rPr>
              <w:t>1</w:t>
            </w:r>
          </w:p>
        </w:tc>
        <w:tc>
          <w:tcPr>
            <w:tcW w:w="1275" w:type="dxa"/>
            <w:tcBorders>
              <w:bottom w:val="single" w:sz="6" w:space="0" w:color="000000"/>
            </w:tcBorders>
          </w:tcPr>
          <w:p w:rsidR="00EC5363" w:rsidRPr="0092537D" w:rsidRDefault="00EC5363" w:rsidP="00AA7EB6">
            <w:pPr>
              <w:pStyle w:val="Tabletext"/>
              <w:jc w:val="center"/>
              <w:rPr>
                <w:lang w:val="en-GB"/>
              </w:rPr>
            </w:pPr>
            <w:r w:rsidRPr="0092537D">
              <w:rPr>
                <w:lang w:val="en-GB"/>
              </w:rPr>
              <w:t>2</w:t>
            </w:r>
          </w:p>
        </w:tc>
      </w:tr>
      <w:tr w:rsidR="00EC5363" w:rsidRPr="0092537D" w:rsidTr="003521FD">
        <w:trPr>
          <w:jc w:val="center"/>
        </w:trPr>
        <w:tc>
          <w:tcPr>
            <w:tcW w:w="9631" w:type="dxa"/>
            <w:gridSpan w:val="9"/>
            <w:tcBorders>
              <w:left w:val="nil"/>
              <w:bottom w:val="nil"/>
              <w:right w:val="nil"/>
            </w:tcBorders>
          </w:tcPr>
          <w:p w:rsidR="00EC5363" w:rsidRPr="0092537D" w:rsidRDefault="00EC5363" w:rsidP="00AA7EB6">
            <w:pPr>
              <w:pStyle w:val="Tabletext"/>
              <w:ind w:left="284" w:hanging="284"/>
              <w:rPr>
                <w:lang w:val="en-GB"/>
              </w:rPr>
            </w:pPr>
            <w:r w:rsidRPr="0092537D">
              <w:rPr>
                <w:vertAlign w:val="superscript"/>
                <w:lang w:val="en-GB"/>
              </w:rPr>
              <w:t>(1)</w:t>
            </w:r>
            <w:r w:rsidRPr="0092537D">
              <w:rPr>
                <w:lang w:val="en-GB"/>
              </w:rPr>
              <w:tab/>
              <w:t>This value accounts for the number of space-to-Earth interferers in view of the Earth-to-space victim link at the GSO. See Annex 2.</w:t>
            </w:r>
          </w:p>
        </w:tc>
      </w:tr>
    </w:tbl>
    <w:p w:rsidR="00EC5363" w:rsidRPr="0092537D" w:rsidRDefault="00EC5363" w:rsidP="00EC5363">
      <w:pPr>
        <w:pStyle w:val="Tablefin"/>
      </w:pPr>
    </w:p>
    <w:p w:rsidR="00EC5363" w:rsidRPr="0092537D" w:rsidRDefault="00EC5363" w:rsidP="00EC5363">
      <w:pPr>
        <w:rPr>
          <w:lang w:val="en-GB"/>
        </w:rPr>
      </w:pPr>
    </w:p>
    <w:p w:rsidR="00EC5363" w:rsidRPr="0092537D" w:rsidRDefault="00EC5363" w:rsidP="00EC5363">
      <w:pPr>
        <w:rPr>
          <w:lang w:val="en-GB"/>
        </w:rPr>
      </w:pPr>
    </w:p>
    <w:p w:rsidR="00EC5363" w:rsidRPr="0092537D" w:rsidRDefault="00EC5363" w:rsidP="00EC5363">
      <w:pPr>
        <w:pStyle w:val="AnnexNoTitle"/>
        <w:rPr>
          <w:lang w:val="en-GB"/>
        </w:rPr>
      </w:pPr>
      <w:r w:rsidRPr="0092537D">
        <w:rPr>
          <w:lang w:val="en-GB"/>
        </w:rPr>
        <w:t>Annex 2</w:t>
      </w:r>
      <w:r w:rsidRPr="0092537D">
        <w:rPr>
          <w:lang w:val="en-GB"/>
        </w:rPr>
        <w:br/>
      </w:r>
      <w:r w:rsidRPr="0092537D">
        <w:rPr>
          <w:lang w:val="en-GB"/>
        </w:rPr>
        <w:br/>
        <w:t xml:space="preserve">Application of the sharing and coordination </w:t>
      </w:r>
      <w:r w:rsidR="00FB7704" w:rsidRPr="0092537D">
        <w:rPr>
          <w:lang w:val="en-GB"/>
        </w:rPr>
        <w:br/>
      </w:r>
      <w:r w:rsidRPr="0092537D">
        <w:rPr>
          <w:lang w:val="en-GB"/>
        </w:rPr>
        <w:t>criteria in the band 401-403 MHz</w:t>
      </w:r>
    </w:p>
    <w:p w:rsidR="00EC5363" w:rsidRPr="0092537D" w:rsidRDefault="00EC5363" w:rsidP="00EC5363">
      <w:pPr>
        <w:pStyle w:val="Heading1"/>
        <w:rPr>
          <w:lang w:val="en-GB" w:eastAsia="zh-CN"/>
        </w:rPr>
      </w:pPr>
      <w:r w:rsidRPr="0092537D">
        <w:rPr>
          <w:lang w:val="en-GB" w:eastAsia="zh-CN"/>
        </w:rPr>
        <w:t>1</w:t>
      </w:r>
      <w:r w:rsidRPr="0092537D">
        <w:rPr>
          <w:lang w:val="en-GB" w:eastAsia="zh-CN"/>
        </w:rPr>
        <w:tab/>
        <w:t>Introduction</w:t>
      </w:r>
    </w:p>
    <w:p w:rsidR="00EC5363" w:rsidRPr="0092537D" w:rsidRDefault="00EC5363" w:rsidP="00EC5363">
      <w:pPr>
        <w:rPr>
          <w:lang w:val="en-GB" w:eastAsia="zh-CN"/>
        </w:rPr>
      </w:pPr>
      <w:r w:rsidRPr="0092537D">
        <w:rPr>
          <w:lang w:val="en-GB" w:eastAsia="zh-CN"/>
        </w:rPr>
        <w:t>This Annex discusses the application of the sharing criteria for protecting the Data Collection Systems (DCS) in the 401-403 MHz band in view of allocation updates and prospective usage.</w:t>
      </w:r>
    </w:p>
    <w:p w:rsidR="00EC5363" w:rsidRPr="0092537D" w:rsidRDefault="00EC5363" w:rsidP="00EC5363">
      <w:pPr>
        <w:rPr>
          <w:lang w:val="en-GB" w:eastAsia="zh-CN"/>
        </w:rPr>
      </w:pPr>
      <w:r w:rsidRPr="0092537D">
        <w:rPr>
          <w:lang w:val="en-GB" w:eastAsia="zh-CN"/>
        </w:rPr>
        <w:lastRenderedPageBreak/>
        <w:t>Recently there has been a growing interest in the use of small satellite systems for a variety of uses, including Earth sensing missions and communications missions</w:t>
      </w:r>
      <w:r w:rsidRPr="0092537D">
        <w:rPr>
          <w:rStyle w:val="FootnoteReference"/>
          <w:lang w:val="en-GB" w:eastAsia="zh-CN"/>
        </w:rPr>
        <w:footnoteReference w:id="1"/>
      </w:r>
      <w:r w:rsidRPr="0092537D">
        <w:rPr>
          <w:lang w:val="en-GB" w:eastAsia="zh-CN"/>
        </w:rPr>
        <w:t>. Some of these new systems have filed for the use of the 401-402 MHz space operations band (space-to-Earth), which is co-primary with the Meteorological Aids service, the Earth exploration-satellite (Earth-to-space) service (EESS), and the meteorological satellite (Earth-to-space) (</w:t>
      </w:r>
      <w:proofErr w:type="spellStart"/>
      <w:r w:rsidRPr="0092537D">
        <w:rPr>
          <w:lang w:val="en-GB" w:eastAsia="zh-CN"/>
        </w:rPr>
        <w:t>MetSat</w:t>
      </w:r>
      <w:proofErr w:type="spellEnd"/>
      <w:r w:rsidRPr="0092537D">
        <w:rPr>
          <w:lang w:val="en-GB" w:eastAsia="zh-CN"/>
        </w:rPr>
        <w:t>) service.</w:t>
      </w:r>
    </w:p>
    <w:p w:rsidR="00EC5363" w:rsidRPr="0092537D" w:rsidRDefault="00EC5363" w:rsidP="00EC5363">
      <w:pPr>
        <w:rPr>
          <w:lang w:val="en-GB" w:eastAsia="zh-CN"/>
        </w:rPr>
      </w:pPr>
      <w:r w:rsidRPr="0092537D">
        <w:rPr>
          <w:lang w:val="en-GB" w:eastAsia="zh-CN"/>
        </w:rPr>
        <w:t>Small satellites can use the 401-402 MHz band for space operations in the space-to-Earth direction. Because of their small size, the antennas used for space-to-Earth communications can also be small in size, limiting the amount of antenna gain that can be achieved</w:t>
      </w:r>
      <w:r w:rsidRPr="0092537D">
        <w:rPr>
          <w:rStyle w:val="FootnoteReference"/>
          <w:lang w:val="en-GB" w:eastAsia="zh-CN"/>
        </w:rPr>
        <w:footnoteReference w:id="2"/>
      </w:r>
      <w:r w:rsidRPr="0092537D">
        <w:rPr>
          <w:lang w:val="en-GB" w:eastAsia="zh-CN"/>
        </w:rPr>
        <w:t>. In addition, maintaining pointing of a space-to-Earth antenna may not be possible. These factors could result in a significant level of interfering radio frequency energy directed towards geostationary orbit, where the DCS signals are received on meteorological satellites.</w:t>
      </w:r>
    </w:p>
    <w:p w:rsidR="00EC5363" w:rsidRPr="0092537D" w:rsidRDefault="00EC5363" w:rsidP="00EC5363">
      <w:pPr>
        <w:pStyle w:val="Heading1"/>
        <w:rPr>
          <w:lang w:val="en-GB"/>
        </w:rPr>
      </w:pPr>
      <w:r w:rsidRPr="0092537D">
        <w:rPr>
          <w:lang w:val="en-GB"/>
        </w:rPr>
        <w:t>2</w:t>
      </w:r>
      <w:r w:rsidRPr="0092537D">
        <w:rPr>
          <w:lang w:val="en-GB"/>
        </w:rPr>
        <w:tab/>
        <w:t>Power limit to protect DCS</w:t>
      </w:r>
    </w:p>
    <w:p w:rsidR="00EC5363" w:rsidRPr="0092537D" w:rsidRDefault="00EC5363" w:rsidP="00EC5363">
      <w:pPr>
        <w:rPr>
          <w:lang w:val="en-GB"/>
        </w:rPr>
      </w:pPr>
      <w:r w:rsidRPr="0092537D">
        <w:rPr>
          <w:lang w:val="en-GB"/>
        </w:rPr>
        <w:t xml:space="preserve">This Annex elaborates on the need for power limits to account for transmitters in the space operations service in the 401-403 MHz band, to protect EESS and </w:t>
      </w:r>
      <w:proofErr w:type="spellStart"/>
      <w:r w:rsidRPr="0092537D">
        <w:rPr>
          <w:lang w:val="en-GB"/>
        </w:rPr>
        <w:t>MetSat</w:t>
      </w:r>
      <w:proofErr w:type="spellEnd"/>
      <w:r w:rsidRPr="0092537D">
        <w:rPr>
          <w:lang w:val="en-GB"/>
        </w:rPr>
        <w:t xml:space="preserve"> receiving space stations on geostationary satellites where the interfering path is in the space-to-space direction. This analysis illustrates the adaptation of existing sharing criteria to the special case of expanding use of the space-to-Earth allocation to control the potential of interference to the DCS operations.</w:t>
      </w:r>
    </w:p>
    <w:p w:rsidR="00EC5363" w:rsidRPr="0092537D" w:rsidRDefault="00EC5363" w:rsidP="00EC5363">
      <w:pPr>
        <w:rPr>
          <w:lang w:val="en-GB"/>
        </w:rPr>
      </w:pPr>
      <w:r w:rsidRPr="0092537D">
        <w:rPr>
          <w:lang w:val="en-GB"/>
        </w:rPr>
        <w:t>Table 1 of Recommendation ITU-R SA.1163 defines long- and short-term interference criteria for the 401 to 403 MHz band. The long-term criteria, specified at the input to the satellite receiver, is given as −191.5 dB(W/100 Hz). The long-term criteria value is relevant to this analysis because interference from a full constellation of satellites in low Earth orbit can be characterized as long</w:t>
      </w:r>
      <w:r w:rsidRPr="0092537D">
        <w:rPr>
          <w:lang w:val="en-GB"/>
        </w:rPr>
        <w:noBreakHyphen/>
        <w:t xml:space="preserve">term when viewed from an EESS or </w:t>
      </w:r>
      <w:proofErr w:type="spellStart"/>
      <w:r w:rsidRPr="0092537D">
        <w:rPr>
          <w:lang w:val="en-GB"/>
        </w:rPr>
        <w:t>MetSat</w:t>
      </w:r>
      <w:proofErr w:type="spellEnd"/>
      <w:r w:rsidRPr="0092537D">
        <w:rPr>
          <w:lang w:val="en-GB"/>
        </w:rPr>
        <w:t xml:space="preserve"> receiver stationed in the geostationary orbit.</w:t>
      </w:r>
    </w:p>
    <w:p w:rsidR="00EC5363" w:rsidRPr="0092537D" w:rsidRDefault="00EC5363" w:rsidP="00EC5363">
      <w:pPr>
        <w:rPr>
          <w:lang w:val="en-GB"/>
        </w:rPr>
      </w:pPr>
      <w:r w:rsidRPr="0092537D">
        <w:rPr>
          <w:lang w:val="en-GB"/>
        </w:rPr>
        <w:t xml:space="preserve">The following sections derive a power limit to protect EESS and </w:t>
      </w:r>
      <w:proofErr w:type="spellStart"/>
      <w:r w:rsidRPr="0092537D">
        <w:rPr>
          <w:lang w:val="en-GB"/>
        </w:rPr>
        <w:t>MetSat</w:t>
      </w:r>
      <w:proofErr w:type="spellEnd"/>
      <w:r w:rsidRPr="0092537D">
        <w:rPr>
          <w:lang w:val="en-GB"/>
        </w:rPr>
        <w:t xml:space="preserve"> receivers, and then translates this to a </w:t>
      </w:r>
      <w:proofErr w:type="spellStart"/>
      <w:r w:rsidRPr="0092537D">
        <w:rPr>
          <w:lang w:val="en-GB"/>
        </w:rPr>
        <w:t>pfd</w:t>
      </w:r>
      <w:proofErr w:type="spellEnd"/>
      <w:r w:rsidRPr="0092537D">
        <w:rPr>
          <w:lang w:val="en-GB"/>
        </w:rPr>
        <w:t xml:space="preserve"> that can be evaluated along the geostationary orbit. A rational method is described for assessing the relationship between the aggregate interference criteria and a single-entry limit, in the current environment of rapidly increasing space system developments. First, the likely maximum number of co-frequency, in-view, low Earth orbit Space Operations transmitters is estimated. Second, the applicable interference criterion from Recommendation ITU</w:t>
      </w:r>
      <w:r w:rsidRPr="0092537D">
        <w:rPr>
          <w:lang w:val="en-GB"/>
        </w:rPr>
        <w:noBreakHyphen/>
        <w:t xml:space="preserve">R SA.1163 is divided by this value to provide a single-entry interference power limit at the EESS receiver in geostationary orbit. This single-entry power limit is then translated into a single-entry </w:t>
      </w:r>
      <w:proofErr w:type="spellStart"/>
      <w:r w:rsidRPr="0092537D">
        <w:rPr>
          <w:lang w:val="en-GB"/>
        </w:rPr>
        <w:t>pfd</w:t>
      </w:r>
      <w:proofErr w:type="spellEnd"/>
      <w:r w:rsidRPr="0092537D">
        <w:rPr>
          <w:lang w:val="en-GB"/>
        </w:rPr>
        <w:t xml:space="preserve"> limit, which can be evaluated at geostationary orbit.</w:t>
      </w:r>
    </w:p>
    <w:p w:rsidR="00EC5363" w:rsidRPr="0092537D" w:rsidRDefault="00EC5363" w:rsidP="00EC5363">
      <w:pPr>
        <w:pStyle w:val="Heading2"/>
        <w:rPr>
          <w:lang w:val="en-GB"/>
        </w:rPr>
      </w:pPr>
      <w:r w:rsidRPr="0092537D">
        <w:rPr>
          <w:lang w:val="en-GB"/>
        </w:rPr>
        <w:t>2.1</w:t>
      </w:r>
      <w:r w:rsidRPr="0092537D">
        <w:rPr>
          <w:lang w:val="en-GB"/>
        </w:rPr>
        <w:tab/>
        <w:t>Estimation of co-frequency, in-view, low-Earth-orbit transmitters in the Space Operations service as seen from geostationary orbit</w:t>
      </w:r>
    </w:p>
    <w:p w:rsidR="00EC5363" w:rsidRPr="0092537D" w:rsidRDefault="00EC5363" w:rsidP="00FB7704">
      <w:pPr>
        <w:rPr>
          <w:lang w:val="en-GB"/>
        </w:rPr>
      </w:pPr>
      <w:r w:rsidRPr="0092537D">
        <w:rPr>
          <w:lang w:val="en-GB"/>
        </w:rPr>
        <w:t>It is assumed that there can be no more than one low-earth orbit satellite transmitting to any given space operations ground station on a given frequency. The area around the ground station within which this is applied can be called a single-frequency exclusion zone. For an assumed common orbital altitude for the constellation of 400 km, the co-frequency exclusion zone is approximately 9 200 000 km</w:t>
      </w:r>
      <w:r w:rsidRPr="0092537D">
        <w:rPr>
          <w:vertAlign w:val="superscript"/>
          <w:lang w:val="en-GB"/>
        </w:rPr>
        <w:t>2</w:t>
      </w:r>
      <w:r w:rsidRPr="0092537D">
        <w:rPr>
          <w:lang w:val="en-GB"/>
        </w:rPr>
        <w:t xml:space="preserve"> in area (see Fig. 1). The total area in view of the geostationary satellite is 226 000 000 km</w:t>
      </w:r>
      <w:r w:rsidRPr="0092537D">
        <w:rPr>
          <w:vertAlign w:val="superscript"/>
          <w:lang w:val="en-GB"/>
        </w:rPr>
        <w:t>2</w:t>
      </w:r>
      <w:r w:rsidRPr="0092537D">
        <w:rPr>
          <w:lang w:val="en-GB"/>
        </w:rPr>
        <w:t xml:space="preserve">. There are then approximately 25 of these exclusion zones in view of a </w:t>
      </w:r>
      <w:r w:rsidRPr="0092537D">
        <w:rPr>
          <w:lang w:val="en-GB"/>
        </w:rPr>
        <w:lastRenderedPageBreak/>
        <w:t>geostationary satellite. If it is further assumed that the same frequency cannot be used in adjacent exclusion zones because there will be geographic overlap in the real case, then in the highest density case the same frequency could be used in approximately 1/3 of these exclusion zones (three</w:t>
      </w:r>
      <w:r w:rsidRPr="0092537D">
        <w:rPr>
          <w:lang w:val="en-GB"/>
        </w:rPr>
        <w:noBreakHyphen/>
        <w:t>color frequency re-use), or roughly eight or nine zones (see Fig. 2). This analysis assumes that 9 zones could be re-using a common space operations frequency within vie</w:t>
      </w:r>
      <w:r w:rsidR="00FB7704" w:rsidRPr="0092537D">
        <w:rPr>
          <w:lang w:val="en-GB"/>
        </w:rPr>
        <w:t>w of a geostationary satellite.</w:t>
      </w:r>
    </w:p>
    <w:p w:rsidR="00EC5363" w:rsidRPr="0092537D" w:rsidRDefault="00EC5363" w:rsidP="00EC5363">
      <w:pPr>
        <w:pStyle w:val="FigureNo"/>
        <w:rPr>
          <w:lang w:val="en-GB"/>
        </w:rPr>
      </w:pPr>
      <w:r w:rsidRPr="0092537D">
        <w:rPr>
          <w:lang w:val="en-GB"/>
        </w:rPr>
        <w:t>FIGURE 1</w:t>
      </w:r>
    </w:p>
    <w:p w:rsidR="00EC5363" w:rsidRPr="0092537D" w:rsidRDefault="00EC5363" w:rsidP="00EC5363">
      <w:pPr>
        <w:pStyle w:val="Figuretitle"/>
        <w:rPr>
          <w:lang w:val="en-GB"/>
        </w:rPr>
      </w:pPr>
      <w:r w:rsidRPr="0092537D">
        <w:rPr>
          <w:lang w:val="en-GB"/>
        </w:rPr>
        <w:t>Single-frequency exclusion zone</w:t>
      </w:r>
    </w:p>
    <w:p w:rsidR="008138C7" w:rsidRPr="0092537D" w:rsidRDefault="008138C7" w:rsidP="008138C7">
      <w:pPr>
        <w:pStyle w:val="Figure"/>
        <w:rPr>
          <w:lang w:val="en-GB" w:eastAsia="en-GB"/>
        </w:rPr>
      </w:pPr>
      <w:r w:rsidRPr="0092537D">
        <w:rPr>
          <w:lang w:val="en-GB" w:eastAsia="en-GB"/>
        </w:rPr>
        <w:object w:dxaOrig="5135" w:dyaOrig="3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6pt;height:192.45pt" o:ole="">
            <v:imagedata r:id="rId15" o:title=""/>
          </v:shape>
          <o:OLEObject Type="Embed" ProgID="CorelDraw.Graphic.17" ShapeID="_x0000_i1025" DrawAspect="Content" ObjectID="_1626582918" r:id="rId16"/>
        </w:object>
      </w:r>
    </w:p>
    <w:p w:rsidR="00EC5363" w:rsidRPr="0092537D" w:rsidRDefault="00EC5363" w:rsidP="00EC5363">
      <w:pPr>
        <w:pStyle w:val="FigureNo"/>
        <w:rPr>
          <w:lang w:val="en-GB"/>
        </w:rPr>
      </w:pPr>
      <w:r w:rsidRPr="0092537D">
        <w:rPr>
          <w:lang w:val="en-GB"/>
        </w:rPr>
        <w:t>FIGURE 2</w:t>
      </w:r>
    </w:p>
    <w:p w:rsidR="00EC5363" w:rsidRPr="0092537D" w:rsidRDefault="00EC5363" w:rsidP="00EC5363">
      <w:pPr>
        <w:pStyle w:val="Figuretitle"/>
        <w:rPr>
          <w:lang w:val="en-GB"/>
        </w:rPr>
      </w:pPr>
      <w:r w:rsidRPr="0092537D">
        <w:rPr>
          <w:lang w:val="en-GB"/>
        </w:rPr>
        <w:t>3-color frequency re-use</w:t>
      </w:r>
    </w:p>
    <w:p w:rsidR="009E2DE6" w:rsidRPr="0092537D" w:rsidRDefault="00DF4011" w:rsidP="00EC5363">
      <w:pPr>
        <w:pStyle w:val="Figure"/>
        <w:rPr>
          <w:lang w:val="en-GB" w:eastAsia="en-GB"/>
        </w:rPr>
      </w:pPr>
      <w:r w:rsidRPr="0092537D">
        <w:rPr>
          <w:lang w:val="en-GB" w:eastAsia="en-GB"/>
        </w:rPr>
        <w:object w:dxaOrig="5015" w:dyaOrig="5289">
          <v:shape id="_x0000_i1026" type="#_x0000_t75" style="width:234.45pt;height:247.4pt" o:ole="">
            <v:imagedata r:id="rId17" o:title=""/>
          </v:shape>
          <o:OLEObject Type="Embed" ProgID="CorelDraw.Graphic.17" ShapeID="_x0000_i1026" DrawAspect="Content" ObjectID="_1626582919" r:id="rId18"/>
        </w:object>
      </w:r>
    </w:p>
    <w:p w:rsidR="00EC5363" w:rsidRPr="0092537D" w:rsidRDefault="00EC5363" w:rsidP="00EC5363">
      <w:pPr>
        <w:pStyle w:val="Heading2"/>
        <w:rPr>
          <w:lang w:val="en-GB"/>
        </w:rPr>
      </w:pPr>
      <w:r w:rsidRPr="0092537D">
        <w:rPr>
          <w:lang w:val="en-GB"/>
        </w:rPr>
        <w:t>2.2</w:t>
      </w:r>
      <w:r w:rsidRPr="0092537D">
        <w:rPr>
          <w:lang w:val="en-GB"/>
        </w:rPr>
        <w:tab/>
        <w:t>Power limit calculation (long-term) to protect DCS</w:t>
      </w:r>
    </w:p>
    <w:p w:rsidR="00EC5363" w:rsidRPr="0092537D" w:rsidRDefault="00EC5363" w:rsidP="00EC5363">
      <w:pPr>
        <w:rPr>
          <w:lang w:val="en-GB"/>
        </w:rPr>
      </w:pPr>
      <w:r w:rsidRPr="0092537D">
        <w:rPr>
          <w:lang w:val="en-GB"/>
        </w:rPr>
        <w:t>Given that an estimated nine satellites in view of a DCS receiver could be using the same frequency, and that the apportionment of interference power on the space-to-Earth path is 90% of the total interference power (from Table 2), the single-entry interference power limit at the DCP-R satellite receiver is therefore:</w:t>
      </w:r>
    </w:p>
    <w:p w:rsidR="00EC5363" w:rsidRPr="0092537D" w:rsidRDefault="00EC5363" w:rsidP="00EC5363">
      <w:pPr>
        <w:pStyle w:val="Equation"/>
        <w:rPr>
          <w:lang w:val="en-GB"/>
        </w:rPr>
      </w:pPr>
      <w:r w:rsidRPr="0092537D">
        <w:rPr>
          <w:lang w:val="en-GB"/>
        </w:rPr>
        <w:lastRenderedPageBreak/>
        <w:tab/>
        <w:t>−191.5 dB(W/100 Hz) + 10*LOG10(0.9) − 10*LOG10(9) = −201.5 dB(W/100 Hz).</w:t>
      </w:r>
    </w:p>
    <w:p w:rsidR="00EC5363" w:rsidRPr="0092537D" w:rsidRDefault="00EC5363" w:rsidP="00EC5363">
      <w:pPr>
        <w:pStyle w:val="Heading2"/>
        <w:rPr>
          <w:lang w:val="en-GB"/>
        </w:rPr>
      </w:pPr>
      <w:r w:rsidRPr="0092537D">
        <w:rPr>
          <w:lang w:val="en-GB"/>
        </w:rPr>
        <w:t>2.3</w:t>
      </w:r>
      <w:r w:rsidRPr="0092537D">
        <w:rPr>
          <w:lang w:val="en-GB"/>
        </w:rPr>
        <w:tab/>
      </w:r>
      <w:proofErr w:type="spellStart"/>
      <w:r w:rsidRPr="0092537D">
        <w:rPr>
          <w:lang w:val="en-GB"/>
        </w:rPr>
        <w:t>Pfd</w:t>
      </w:r>
      <w:proofErr w:type="spellEnd"/>
      <w:r w:rsidRPr="0092537D">
        <w:rPr>
          <w:lang w:val="en-GB"/>
        </w:rPr>
        <w:t xml:space="preserve"> calculation (long-term) to protect DCS</w:t>
      </w:r>
    </w:p>
    <w:p w:rsidR="00EC5363" w:rsidRPr="0092537D" w:rsidRDefault="00EC5363" w:rsidP="00EC5363">
      <w:pPr>
        <w:rPr>
          <w:lang w:val="en-GB"/>
        </w:rPr>
      </w:pPr>
      <w:r w:rsidRPr="0092537D">
        <w:rPr>
          <w:lang w:val="en-GB"/>
        </w:rPr>
        <w:t xml:space="preserve">The conversion to a single-entry </w:t>
      </w:r>
      <w:proofErr w:type="spellStart"/>
      <w:r w:rsidRPr="0092537D">
        <w:rPr>
          <w:lang w:val="en-GB"/>
        </w:rPr>
        <w:t>pfd</w:t>
      </w:r>
      <w:proofErr w:type="spellEnd"/>
      <w:r w:rsidRPr="0092537D">
        <w:rPr>
          <w:lang w:val="en-GB"/>
        </w:rPr>
        <w:t xml:space="preserve"> limit is given in Table 3.</w:t>
      </w:r>
    </w:p>
    <w:p w:rsidR="00EC5363" w:rsidRPr="0092537D" w:rsidRDefault="00EC5363" w:rsidP="00EC5363">
      <w:pPr>
        <w:pStyle w:val="TableNo"/>
        <w:rPr>
          <w:lang w:val="en-GB"/>
        </w:rPr>
      </w:pPr>
      <w:r w:rsidRPr="0092537D">
        <w:rPr>
          <w:lang w:val="en-GB"/>
        </w:rPr>
        <w:t>TABLE 3</w:t>
      </w:r>
    </w:p>
    <w:p w:rsidR="00EC5363" w:rsidRPr="0092537D" w:rsidRDefault="00EC5363" w:rsidP="00EC5363">
      <w:pPr>
        <w:pStyle w:val="Tabletitle"/>
        <w:rPr>
          <w:lang w:val="en-GB"/>
        </w:rPr>
      </w:pPr>
      <w:r w:rsidRPr="0092537D">
        <w:rPr>
          <w:lang w:val="en-GB"/>
        </w:rPr>
        <w:t xml:space="preserve">Long-term sharing criteria and </w:t>
      </w:r>
      <w:proofErr w:type="spellStart"/>
      <w:r w:rsidRPr="0092537D">
        <w:rPr>
          <w:lang w:val="en-GB"/>
        </w:rPr>
        <w:t>pfd</w:t>
      </w:r>
      <w:proofErr w:type="spellEnd"/>
      <w:r w:rsidRPr="0092537D">
        <w:rPr>
          <w:lang w:val="en-GB"/>
        </w:rPr>
        <w:t xml:space="preserve"> calculation to protect DCS Item</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7"/>
        <w:gridCol w:w="1308"/>
        <w:gridCol w:w="2294"/>
      </w:tblGrid>
      <w:tr w:rsidR="00EC5363" w:rsidRPr="0092537D" w:rsidTr="00AA1A90">
        <w:trPr>
          <w:trHeight w:val="320"/>
        </w:trPr>
        <w:tc>
          <w:tcPr>
            <w:tcW w:w="6000" w:type="dxa"/>
            <w:shd w:val="clear" w:color="auto" w:fill="auto"/>
            <w:noWrap/>
            <w:vAlign w:val="center"/>
            <w:hideMark/>
          </w:tcPr>
          <w:p w:rsidR="00EC5363" w:rsidRPr="0092537D" w:rsidRDefault="00EC5363" w:rsidP="00AA7EB6">
            <w:pPr>
              <w:pStyle w:val="Tablehead"/>
              <w:rPr>
                <w:lang w:val="en-GB"/>
              </w:rPr>
            </w:pPr>
            <w:r w:rsidRPr="0092537D">
              <w:rPr>
                <w:lang w:val="en-GB"/>
              </w:rPr>
              <w:t xml:space="preserve">Long-term sharing criteria and </w:t>
            </w:r>
            <w:proofErr w:type="spellStart"/>
            <w:r w:rsidRPr="0092537D">
              <w:rPr>
                <w:lang w:val="en-GB"/>
              </w:rPr>
              <w:t>pfd</w:t>
            </w:r>
            <w:proofErr w:type="spellEnd"/>
            <w:r w:rsidRPr="0092537D">
              <w:rPr>
                <w:lang w:val="en-GB"/>
              </w:rPr>
              <w:t xml:space="preserve"> </w:t>
            </w:r>
            <w:r w:rsidR="00AA1A90" w:rsidRPr="0092537D">
              <w:rPr>
                <w:lang w:val="en-GB"/>
              </w:rPr>
              <w:br/>
            </w:r>
            <w:r w:rsidRPr="0092537D">
              <w:rPr>
                <w:lang w:val="en-GB"/>
              </w:rPr>
              <w:t>calculation to protect DCS Item</w:t>
            </w:r>
          </w:p>
        </w:tc>
        <w:tc>
          <w:tcPr>
            <w:tcW w:w="1300" w:type="dxa"/>
            <w:shd w:val="clear" w:color="auto" w:fill="auto"/>
            <w:noWrap/>
            <w:vAlign w:val="center"/>
            <w:hideMark/>
          </w:tcPr>
          <w:p w:rsidR="00EC5363" w:rsidRPr="0092537D" w:rsidRDefault="00EC5363" w:rsidP="00AA7EB6">
            <w:pPr>
              <w:pStyle w:val="Tablehead"/>
              <w:rPr>
                <w:lang w:val="en-GB"/>
              </w:rPr>
            </w:pPr>
            <w:r w:rsidRPr="0092537D">
              <w:rPr>
                <w:lang w:val="en-GB"/>
              </w:rPr>
              <w:t>Value</w:t>
            </w:r>
          </w:p>
        </w:tc>
        <w:tc>
          <w:tcPr>
            <w:tcW w:w="2280" w:type="dxa"/>
            <w:shd w:val="clear" w:color="auto" w:fill="auto"/>
            <w:noWrap/>
            <w:vAlign w:val="center"/>
            <w:hideMark/>
          </w:tcPr>
          <w:p w:rsidR="00EC5363" w:rsidRPr="0092537D" w:rsidRDefault="00EC5363" w:rsidP="00AA7EB6">
            <w:pPr>
              <w:pStyle w:val="Tablehead"/>
              <w:rPr>
                <w:lang w:val="en-GB"/>
              </w:rPr>
            </w:pPr>
            <w:r w:rsidRPr="0092537D">
              <w:rPr>
                <w:lang w:val="en-GB"/>
              </w:rPr>
              <w:t>Units</w:t>
            </w:r>
          </w:p>
        </w:tc>
      </w:tr>
      <w:tr w:rsidR="00EC5363" w:rsidRPr="0092537D" w:rsidTr="00AA1A90">
        <w:tc>
          <w:tcPr>
            <w:tcW w:w="6000" w:type="dxa"/>
            <w:shd w:val="clear" w:color="auto" w:fill="auto"/>
            <w:noWrap/>
            <w:vAlign w:val="bottom"/>
            <w:hideMark/>
          </w:tcPr>
          <w:p w:rsidR="00EC5363" w:rsidRPr="0092537D" w:rsidRDefault="00EC5363" w:rsidP="00AA7EB6">
            <w:pPr>
              <w:pStyle w:val="Tabletext"/>
              <w:rPr>
                <w:lang w:val="en-GB"/>
              </w:rPr>
            </w:pPr>
            <w:r w:rsidRPr="0092537D">
              <w:rPr>
                <w:lang w:val="en-GB"/>
              </w:rPr>
              <w:t>Interference criteria (Rec. ITU-R SA.1163, Table 1)</w:t>
            </w:r>
          </w:p>
        </w:tc>
        <w:tc>
          <w:tcPr>
            <w:tcW w:w="130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−191.5</w:t>
            </w:r>
          </w:p>
        </w:tc>
        <w:tc>
          <w:tcPr>
            <w:tcW w:w="228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dB(W/100 Hz)</w:t>
            </w:r>
          </w:p>
        </w:tc>
      </w:tr>
      <w:tr w:rsidR="00EC5363" w:rsidRPr="0092537D" w:rsidTr="00AA1A90">
        <w:tc>
          <w:tcPr>
            <w:tcW w:w="6000" w:type="dxa"/>
            <w:shd w:val="clear" w:color="auto" w:fill="auto"/>
            <w:noWrap/>
            <w:vAlign w:val="bottom"/>
            <w:hideMark/>
          </w:tcPr>
          <w:p w:rsidR="00EC5363" w:rsidRPr="0092537D" w:rsidRDefault="00EC5363" w:rsidP="00AA7EB6">
            <w:pPr>
              <w:pStyle w:val="Tabletext"/>
              <w:rPr>
                <w:lang w:val="en-GB"/>
              </w:rPr>
            </w:pPr>
            <w:r w:rsidRPr="0092537D">
              <w:rPr>
                <w:lang w:val="en-GB"/>
              </w:rPr>
              <w:t>Apportionment to space-to-Earth interference path</w:t>
            </w:r>
          </w:p>
        </w:tc>
        <w:tc>
          <w:tcPr>
            <w:tcW w:w="130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90</w:t>
            </w:r>
          </w:p>
        </w:tc>
        <w:tc>
          <w:tcPr>
            <w:tcW w:w="228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w:t>
            </w:r>
          </w:p>
        </w:tc>
      </w:tr>
      <w:tr w:rsidR="00EC5363" w:rsidRPr="0092537D" w:rsidTr="00AA1A90">
        <w:tc>
          <w:tcPr>
            <w:tcW w:w="6000" w:type="dxa"/>
            <w:shd w:val="clear" w:color="auto" w:fill="auto"/>
            <w:noWrap/>
            <w:vAlign w:val="bottom"/>
            <w:hideMark/>
          </w:tcPr>
          <w:p w:rsidR="00EC5363" w:rsidRPr="0092537D" w:rsidRDefault="00EC5363" w:rsidP="00AA7EB6">
            <w:pPr>
              <w:pStyle w:val="Tabletext"/>
              <w:rPr>
                <w:lang w:val="en-GB"/>
              </w:rPr>
            </w:pPr>
            <w:r w:rsidRPr="0092537D">
              <w:rPr>
                <w:lang w:val="en-GB"/>
              </w:rPr>
              <w:t>Interference criteria, space-to-Earth path component</w:t>
            </w:r>
          </w:p>
        </w:tc>
        <w:tc>
          <w:tcPr>
            <w:tcW w:w="130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−192.0</w:t>
            </w:r>
          </w:p>
        </w:tc>
        <w:tc>
          <w:tcPr>
            <w:tcW w:w="228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dB(W/100 Hz)</w:t>
            </w:r>
          </w:p>
        </w:tc>
      </w:tr>
      <w:tr w:rsidR="00EC5363" w:rsidRPr="0092537D" w:rsidTr="00AA1A90">
        <w:tc>
          <w:tcPr>
            <w:tcW w:w="6000" w:type="dxa"/>
            <w:shd w:val="clear" w:color="auto" w:fill="auto"/>
            <w:noWrap/>
            <w:vAlign w:val="bottom"/>
            <w:hideMark/>
          </w:tcPr>
          <w:p w:rsidR="00EC5363" w:rsidRPr="0092537D" w:rsidRDefault="00EC5363" w:rsidP="00AA7EB6">
            <w:pPr>
              <w:pStyle w:val="Tabletext"/>
              <w:rPr>
                <w:lang w:val="en-GB"/>
              </w:rPr>
            </w:pPr>
            <w:r w:rsidRPr="0092537D">
              <w:rPr>
                <w:lang w:val="en-GB"/>
              </w:rPr>
              <w:t>Equivalent number of long-term interferers</w:t>
            </w:r>
          </w:p>
        </w:tc>
        <w:tc>
          <w:tcPr>
            <w:tcW w:w="130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9</w:t>
            </w:r>
          </w:p>
        </w:tc>
        <w:tc>
          <w:tcPr>
            <w:tcW w:w="2280" w:type="dxa"/>
            <w:shd w:val="clear" w:color="auto" w:fill="auto"/>
            <w:noWrap/>
            <w:vAlign w:val="bottom"/>
            <w:hideMark/>
          </w:tcPr>
          <w:p w:rsidR="00EC5363" w:rsidRPr="0092537D" w:rsidRDefault="00DF4011" w:rsidP="00AA7EB6">
            <w:pPr>
              <w:pStyle w:val="Tabletext"/>
              <w:jc w:val="center"/>
              <w:rPr>
                <w:lang w:val="en-GB"/>
              </w:rPr>
            </w:pPr>
            <w:r w:rsidRPr="0092537D">
              <w:rPr>
                <w:lang w:val="en-GB"/>
              </w:rPr>
              <w:t>–</w:t>
            </w:r>
          </w:p>
        </w:tc>
      </w:tr>
      <w:tr w:rsidR="00EC5363" w:rsidRPr="0092537D" w:rsidTr="00AA1A90">
        <w:tc>
          <w:tcPr>
            <w:tcW w:w="6000" w:type="dxa"/>
            <w:shd w:val="clear" w:color="auto" w:fill="auto"/>
            <w:noWrap/>
            <w:vAlign w:val="bottom"/>
            <w:hideMark/>
          </w:tcPr>
          <w:p w:rsidR="00EC5363" w:rsidRPr="0092537D" w:rsidRDefault="00EC5363" w:rsidP="00AA7EB6">
            <w:pPr>
              <w:pStyle w:val="Tabletext"/>
              <w:rPr>
                <w:lang w:val="en-GB"/>
              </w:rPr>
            </w:pPr>
            <w:r w:rsidRPr="0092537D">
              <w:rPr>
                <w:lang w:val="en-GB"/>
              </w:rPr>
              <w:t>Sharing criteria (single entry)</w:t>
            </w:r>
          </w:p>
        </w:tc>
        <w:tc>
          <w:tcPr>
            <w:tcW w:w="130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−201.5</w:t>
            </w:r>
          </w:p>
        </w:tc>
        <w:tc>
          <w:tcPr>
            <w:tcW w:w="2280" w:type="dxa"/>
            <w:shd w:val="clear" w:color="auto" w:fill="auto"/>
            <w:noWrap/>
            <w:vAlign w:val="bottom"/>
            <w:hideMark/>
          </w:tcPr>
          <w:p w:rsidR="00EC5363" w:rsidRPr="0092537D" w:rsidRDefault="00EC5363" w:rsidP="00AA7EB6">
            <w:pPr>
              <w:pStyle w:val="Tabletext"/>
              <w:jc w:val="center"/>
              <w:rPr>
                <w:lang w:val="en-GB"/>
              </w:rPr>
            </w:pPr>
            <w:r w:rsidRPr="0092537D">
              <w:rPr>
                <w:lang w:val="en-GB"/>
              </w:rPr>
              <w:t>dB(W/100 Hz)</w:t>
            </w:r>
          </w:p>
        </w:tc>
      </w:tr>
      <w:tr w:rsidR="00EC5363" w:rsidRPr="0092537D" w:rsidTr="00AA1A90">
        <w:tc>
          <w:tcPr>
            <w:tcW w:w="6000" w:type="dxa"/>
            <w:shd w:val="clear" w:color="auto" w:fill="auto"/>
            <w:noWrap/>
            <w:vAlign w:val="center"/>
            <w:hideMark/>
          </w:tcPr>
          <w:p w:rsidR="00EC5363" w:rsidRPr="0092537D" w:rsidRDefault="00EC5363" w:rsidP="00AA7EB6">
            <w:pPr>
              <w:pStyle w:val="Tabletext"/>
              <w:rPr>
                <w:lang w:val="en-GB"/>
              </w:rPr>
            </w:pPr>
            <w:r w:rsidRPr="0092537D">
              <w:rPr>
                <w:lang w:val="en-GB"/>
              </w:rPr>
              <w:t xml:space="preserve">DCPR spacecraft receive antenna gain </w:t>
            </w:r>
            <w:r w:rsidRPr="0092537D">
              <w:rPr>
                <w:vertAlign w:val="superscript"/>
                <w:lang w:val="en-GB"/>
              </w:rPr>
              <w:t>(1)</w:t>
            </w:r>
          </w:p>
        </w:tc>
        <w:tc>
          <w:tcPr>
            <w:tcW w:w="1300" w:type="dxa"/>
            <w:shd w:val="clear" w:color="auto" w:fill="auto"/>
            <w:noWrap/>
            <w:vAlign w:val="center"/>
            <w:hideMark/>
          </w:tcPr>
          <w:p w:rsidR="00EC5363" w:rsidRPr="0092537D" w:rsidRDefault="00EC5363" w:rsidP="00AA7EB6">
            <w:pPr>
              <w:pStyle w:val="Tabletext"/>
              <w:jc w:val="center"/>
              <w:rPr>
                <w:lang w:val="en-GB"/>
              </w:rPr>
            </w:pPr>
            <w:r w:rsidRPr="0092537D">
              <w:rPr>
                <w:lang w:val="en-GB"/>
              </w:rPr>
              <w:t>13.8</w:t>
            </w:r>
          </w:p>
        </w:tc>
        <w:tc>
          <w:tcPr>
            <w:tcW w:w="2280" w:type="dxa"/>
            <w:shd w:val="clear" w:color="auto" w:fill="auto"/>
            <w:noWrap/>
            <w:vAlign w:val="center"/>
            <w:hideMark/>
          </w:tcPr>
          <w:p w:rsidR="00EC5363" w:rsidRPr="0092537D" w:rsidRDefault="00EC5363" w:rsidP="00AA7EB6">
            <w:pPr>
              <w:pStyle w:val="Tabletext"/>
              <w:jc w:val="center"/>
              <w:rPr>
                <w:lang w:val="en-GB"/>
              </w:rPr>
            </w:pPr>
            <w:proofErr w:type="spellStart"/>
            <w:r w:rsidRPr="0092537D">
              <w:rPr>
                <w:lang w:val="en-GB"/>
              </w:rPr>
              <w:t>dBi</w:t>
            </w:r>
            <w:proofErr w:type="spellEnd"/>
          </w:p>
        </w:tc>
      </w:tr>
      <w:tr w:rsidR="00EC5363" w:rsidRPr="0092537D" w:rsidTr="00AA1A90">
        <w:tc>
          <w:tcPr>
            <w:tcW w:w="6000" w:type="dxa"/>
            <w:shd w:val="clear" w:color="auto" w:fill="auto"/>
            <w:noWrap/>
            <w:vAlign w:val="center"/>
            <w:hideMark/>
          </w:tcPr>
          <w:p w:rsidR="00EC5363" w:rsidRPr="0092537D" w:rsidRDefault="00EC5363" w:rsidP="00AA7EB6">
            <w:pPr>
              <w:pStyle w:val="Tabletext"/>
              <w:rPr>
                <w:lang w:val="en-GB"/>
              </w:rPr>
            </w:pPr>
            <w:r w:rsidRPr="0092537D">
              <w:rPr>
                <w:lang w:val="en-GB"/>
              </w:rPr>
              <w:t>Receive isotropic area</w:t>
            </w:r>
          </w:p>
        </w:tc>
        <w:tc>
          <w:tcPr>
            <w:tcW w:w="1300" w:type="dxa"/>
            <w:shd w:val="clear" w:color="auto" w:fill="auto"/>
            <w:noWrap/>
            <w:vAlign w:val="center"/>
            <w:hideMark/>
          </w:tcPr>
          <w:p w:rsidR="00EC5363" w:rsidRPr="0092537D" w:rsidRDefault="00EC5363" w:rsidP="00AA7EB6">
            <w:pPr>
              <w:pStyle w:val="Tabletext"/>
              <w:jc w:val="center"/>
              <w:rPr>
                <w:lang w:val="en-GB"/>
              </w:rPr>
            </w:pPr>
            <w:r w:rsidRPr="0092537D">
              <w:rPr>
                <w:lang w:val="en-GB"/>
              </w:rPr>
              <w:t>−13.5</w:t>
            </w:r>
          </w:p>
        </w:tc>
        <w:tc>
          <w:tcPr>
            <w:tcW w:w="2280" w:type="dxa"/>
            <w:shd w:val="clear" w:color="auto" w:fill="auto"/>
            <w:noWrap/>
            <w:vAlign w:val="center"/>
            <w:hideMark/>
          </w:tcPr>
          <w:p w:rsidR="00EC5363" w:rsidRPr="0092537D" w:rsidRDefault="00EC5363" w:rsidP="00AA7EB6">
            <w:pPr>
              <w:pStyle w:val="Tabletext"/>
              <w:jc w:val="center"/>
              <w:rPr>
                <w:lang w:val="en-GB"/>
              </w:rPr>
            </w:pPr>
            <w:r w:rsidRPr="0092537D">
              <w:rPr>
                <w:lang w:val="en-GB"/>
              </w:rPr>
              <w:t>dB(m</w:t>
            </w:r>
            <w:r w:rsidRPr="0092537D">
              <w:rPr>
                <w:vertAlign w:val="superscript"/>
                <w:lang w:val="en-GB"/>
              </w:rPr>
              <w:t>2</w:t>
            </w:r>
            <w:r w:rsidRPr="0092537D">
              <w:rPr>
                <w:lang w:val="en-GB"/>
              </w:rPr>
              <w:t>)</w:t>
            </w:r>
          </w:p>
        </w:tc>
      </w:tr>
      <w:tr w:rsidR="00EC5363" w:rsidRPr="0092537D" w:rsidTr="00AA1A90">
        <w:tc>
          <w:tcPr>
            <w:tcW w:w="6000" w:type="dxa"/>
            <w:tcBorders>
              <w:bottom w:val="single" w:sz="4" w:space="0" w:color="auto"/>
            </w:tcBorders>
            <w:shd w:val="clear" w:color="auto" w:fill="auto"/>
            <w:noWrap/>
            <w:vAlign w:val="center"/>
          </w:tcPr>
          <w:p w:rsidR="00EC5363" w:rsidRPr="0092537D" w:rsidRDefault="00EC5363" w:rsidP="00AA7EB6">
            <w:pPr>
              <w:pStyle w:val="Tabletext"/>
              <w:rPr>
                <w:lang w:val="en-GB"/>
              </w:rPr>
            </w:pPr>
            <w:proofErr w:type="spellStart"/>
            <w:r w:rsidRPr="0092537D">
              <w:rPr>
                <w:lang w:val="en-GB"/>
              </w:rPr>
              <w:t>Pfd</w:t>
            </w:r>
            <w:proofErr w:type="spellEnd"/>
            <w:r w:rsidRPr="0092537D">
              <w:rPr>
                <w:lang w:val="en-GB"/>
              </w:rPr>
              <w:t xml:space="preserve"> (single entry) in reference bandwidth</w:t>
            </w:r>
          </w:p>
        </w:tc>
        <w:tc>
          <w:tcPr>
            <w:tcW w:w="1300" w:type="dxa"/>
            <w:tcBorders>
              <w:bottom w:val="single" w:sz="4" w:space="0" w:color="auto"/>
            </w:tcBorders>
            <w:shd w:val="clear" w:color="auto" w:fill="auto"/>
            <w:noWrap/>
            <w:vAlign w:val="center"/>
          </w:tcPr>
          <w:p w:rsidR="00EC5363" w:rsidRPr="0092537D" w:rsidRDefault="00EC5363" w:rsidP="00AA7EB6">
            <w:pPr>
              <w:pStyle w:val="Tabletext"/>
              <w:jc w:val="center"/>
              <w:rPr>
                <w:lang w:val="en-GB"/>
              </w:rPr>
            </w:pPr>
            <w:r w:rsidRPr="0092537D">
              <w:rPr>
                <w:lang w:val="en-GB"/>
              </w:rPr>
              <w:t>−201.8</w:t>
            </w:r>
          </w:p>
        </w:tc>
        <w:tc>
          <w:tcPr>
            <w:tcW w:w="2280" w:type="dxa"/>
            <w:tcBorders>
              <w:bottom w:val="single" w:sz="4" w:space="0" w:color="auto"/>
            </w:tcBorders>
            <w:shd w:val="clear" w:color="auto" w:fill="auto"/>
            <w:noWrap/>
            <w:vAlign w:val="center"/>
          </w:tcPr>
          <w:p w:rsidR="00EC5363" w:rsidRPr="0092537D" w:rsidRDefault="00EC5363" w:rsidP="00AA7EB6">
            <w:pPr>
              <w:pStyle w:val="Tabletext"/>
              <w:jc w:val="center"/>
              <w:rPr>
                <w:lang w:val="en-GB"/>
              </w:rPr>
            </w:pPr>
            <w:r w:rsidRPr="0092537D">
              <w:rPr>
                <w:lang w:val="en-GB"/>
              </w:rPr>
              <w:t>dB(W/m</w:t>
            </w:r>
            <w:r w:rsidRPr="0092537D">
              <w:rPr>
                <w:vertAlign w:val="superscript"/>
                <w:lang w:val="en-GB"/>
              </w:rPr>
              <w:t>2</w:t>
            </w:r>
            <w:r w:rsidRPr="0092537D">
              <w:rPr>
                <w:lang w:val="en-GB"/>
              </w:rPr>
              <w:t>/100 Hz)</w:t>
            </w:r>
          </w:p>
        </w:tc>
      </w:tr>
      <w:tr w:rsidR="00EC5363" w:rsidRPr="0092537D" w:rsidTr="00AA1A90">
        <w:tc>
          <w:tcPr>
            <w:tcW w:w="9580" w:type="dxa"/>
            <w:gridSpan w:val="3"/>
            <w:tcBorders>
              <w:top w:val="single" w:sz="4" w:space="0" w:color="auto"/>
              <w:left w:val="nil"/>
              <w:bottom w:val="nil"/>
              <w:right w:val="nil"/>
            </w:tcBorders>
            <w:shd w:val="clear" w:color="auto" w:fill="auto"/>
            <w:noWrap/>
            <w:vAlign w:val="center"/>
          </w:tcPr>
          <w:p w:rsidR="00EC5363" w:rsidRPr="0092537D" w:rsidRDefault="00EC5363" w:rsidP="00AA7EB6">
            <w:pPr>
              <w:pStyle w:val="Tabletext"/>
              <w:rPr>
                <w:lang w:val="en-GB"/>
              </w:rPr>
            </w:pPr>
            <w:r w:rsidRPr="0092537D">
              <w:rPr>
                <w:vertAlign w:val="superscript"/>
                <w:lang w:val="en-GB"/>
              </w:rPr>
              <w:t>(1)</w:t>
            </w:r>
            <w:r w:rsidRPr="0092537D">
              <w:rPr>
                <w:lang w:val="en-GB"/>
              </w:rPr>
              <w:tab/>
              <w:t>DCPR spacecraft receive antenna gain is taken from Rec. ITU-R SA.1163, Table 1.</w:t>
            </w:r>
          </w:p>
        </w:tc>
      </w:tr>
    </w:tbl>
    <w:p w:rsidR="00EC5363" w:rsidRPr="0092537D" w:rsidRDefault="00EC5363" w:rsidP="00EC5363">
      <w:pPr>
        <w:pStyle w:val="Tablefin"/>
      </w:pPr>
    </w:p>
    <w:p w:rsidR="00EC5363" w:rsidRPr="0092537D" w:rsidRDefault="00EC5363" w:rsidP="00EC5363">
      <w:pPr>
        <w:rPr>
          <w:lang w:val="en-GB"/>
        </w:rPr>
      </w:pPr>
      <w:r w:rsidRPr="0092537D">
        <w:rPr>
          <w:lang w:val="en-GB"/>
        </w:rPr>
        <w:t xml:space="preserve">The equivalent sharing criteria, stated as a single entry </w:t>
      </w:r>
      <w:proofErr w:type="spellStart"/>
      <w:r w:rsidRPr="0092537D">
        <w:rPr>
          <w:lang w:val="en-GB"/>
        </w:rPr>
        <w:t>pfd</w:t>
      </w:r>
      <w:proofErr w:type="spellEnd"/>
      <w:r w:rsidRPr="0092537D">
        <w:rPr>
          <w:lang w:val="en-GB"/>
        </w:rPr>
        <w:t xml:space="preserve"> at geostationary orbit, is then −201.8 dB(W/m</w:t>
      </w:r>
      <w:r w:rsidRPr="0092537D">
        <w:rPr>
          <w:vertAlign w:val="superscript"/>
          <w:lang w:val="en-GB"/>
        </w:rPr>
        <w:t>2</w:t>
      </w:r>
      <w:r w:rsidRPr="0092537D">
        <w:rPr>
          <w:lang w:val="en-GB"/>
        </w:rPr>
        <w:t xml:space="preserve">/100 Hz). This is the single-entry limit to be met by any satellite in the space operations service that is operating in the band 401 to 403 </w:t>
      </w:r>
      <w:proofErr w:type="spellStart"/>
      <w:r w:rsidRPr="0092537D">
        <w:rPr>
          <w:lang w:val="en-GB"/>
        </w:rPr>
        <w:t>MHz.</w:t>
      </w:r>
      <w:proofErr w:type="spellEnd"/>
    </w:p>
    <w:p w:rsidR="00FF5220" w:rsidRPr="0092537D" w:rsidRDefault="00FF5220" w:rsidP="00557C83">
      <w:pPr>
        <w:pStyle w:val="Line"/>
      </w:pPr>
      <w:bookmarkStart w:id="3" w:name="_GoBack"/>
      <w:bookmarkEnd w:id="3"/>
    </w:p>
    <w:sectPr w:rsidR="00FF5220" w:rsidRPr="0092537D" w:rsidSect="00557C83">
      <w:headerReference w:type="default" r:id="rId19"/>
      <w:footerReference w:type="default" r:id="rId20"/>
      <w:footerReference w:type="first" r:id="rId21"/>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FF5220" w:rsidRDefault="00557C83" w:rsidP="00FF52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FF5220" w:rsidRDefault="00557C83" w:rsidP="00FF5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0D1" w:rsidRDefault="007270D1">
      <w:r>
        <w:separator/>
      </w:r>
    </w:p>
  </w:footnote>
  <w:footnote w:type="continuationSeparator" w:id="0">
    <w:p w:rsidR="007270D1" w:rsidRDefault="007270D1">
      <w:r>
        <w:continuationSeparator/>
      </w:r>
    </w:p>
  </w:footnote>
  <w:footnote w:id="1">
    <w:p w:rsidR="00EC5363" w:rsidRPr="00E62EE3" w:rsidRDefault="00EC5363" w:rsidP="00EC5363">
      <w:pPr>
        <w:pStyle w:val="FootnoteText"/>
        <w:spacing w:before="80"/>
        <w:rPr>
          <w:lang w:val="en-US"/>
        </w:rPr>
      </w:pPr>
      <w:r>
        <w:rPr>
          <w:rStyle w:val="FootnoteReference"/>
        </w:rPr>
        <w:footnoteRef/>
      </w:r>
      <w:r w:rsidRPr="00557C83">
        <w:rPr>
          <w:lang w:val="en-US"/>
        </w:rPr>
        <w:tab/>
      </w:r>
      <w:r>
        <w:rPr>
          <w:lang w:val="en-US"/>
        </w:rPr>
        <w:t>See Report ITU-R SA.2312-0 – Characteristics, definitions and spectrum requirements of nanosatellites and picosatellites, as well as systems composed of such satellites.</w:t>
      </w:r>
    </w:p>
  </w:footnote>
  <w:footnote w:id="2">
    <w:p w:rsidR="00EC5363" w:rsidRPr="00E62EE3" w:rsidRDefault="00EC5363" w:rsidP="00EC5363">
      <w:pPr>
        <w:pStyle w:val="FootnoteText"/>
        <w:spacing w:before="80"/>
        <w:rPr>
          <w:lang w:val="en-US"/>
        </w:rPr>
      </w:pPr>
      <w:r>
        <w:rPr>
          <w:rStyle w:val="FootnoteReference"/>
        </w:rPr>
        <w:footnoteRef/>
      </w:r>
      <w:r w:rsidRPr="00557C83">
        <w:rPr>
          <w:lang w:val="en-US"/>
        </w:rPr>
        <w:tab/>
      </w:r>
      <w:r>
        <w:rPr>
          <w:lang w:val="en-US"/>
        </w:rPr>
        <w:t>Table 2 of Report ITU-R SA.2312-0 describes the antenna directionality of typical nanosatellite and picosatellite systems as “Typically only 1 or 2 active antennas per band, often omnidirectional (for example due to lack of attitude control and/or antenna pointing mechanisms)”.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9C5417" w:rsidP="00B033C8">
    <w:pPr>
      <w:pStyle w:val="Header"/>
      <w:ind w:right="360" w:firstLine="360"/>
    </w:pPr>
    <w:r>
      <w:rPr>
        <w:noProof/>
        <w:lang w:val="en-US" w:eastAsia="zh-CN"/>
      </w:rPr>
      <w:drawing>
        <wp:anchor distT="0" distB="0" distL="114300" distR="114300" simplePos="0" relativeHeight="251656704" behindDoc="1" locked="0" layoutInCell="1" allowOverlap="1" wp14:anchorId="14512C5E" wp14:editId="091FDF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363" w:rsidRDefault="00EC5363" w:rsidP="00EC536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7C83">
      <w:rPr>
        <w:b/>
        <w:bCs/>
        <w:noProof/>
      </w:rPr>
      <w:t>ITU-R  SA.1164-4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7C83">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Pr="00C95C69" w:rsidRDefault="00E727E8">
    <w:pPr>
      <w:pStyle w:val="Header"/>
      <w:jc w:val="left"/>
      <w:rPr>
        <w:lang w:val="fr-CH"/>
      </w:rPr>
    </w:pPr>
    <w:r>
      <w:rPr>
        <w:rStyle w:val="PageNumber"/>
        <w:b/>
        <w:bCs/>
      </w:rPr>
      <w:fldChar w:fldCharType="begin"/>
    </w:r>
    <w:r w:rsidR="001B164E" w:rsidRPr="00C95C69">
      <w:rPr>
        <w:rStyle w:val="PageNumber"/>
        <w:b/>
        <w:bCs/>
        <w:lang w:val="fr-CH"/>
      </w:rPr>
      <w:instrText xml:space="preserve"> PAGE </w:instrText>
    </w:r>
    <w:r>
      <w:rPr>
        <w:rStyle w:val="PageNumber"/>
        <w:b/>
        <w:bCs/>
      </w:rPr>
      <w:fldChar w:fldCharType="separate"/>
    </w:r>
    <w:r w:rsidR="00557C83">
      <w:rPr>
        <w:rStyle w:val="PageNumber"/>
        <w:b/>
        <w:bCs/>
        <w:noProof/>
        <w:lang w:val="fr-CH"/>
      </w:rPr>
      <w:t>6</w:t>
    </w:r>
    <w:r>
      <w:rPr>
        <w:rStyle w:val="PageNumber"/>
        <w:b/>
        <w:bCs/>
      </w:rPr>
      <w:fldChar w:fldCharType="end"/>
    </w:r>
    <w:r w:rsidR="001B164E" w:rsidRPr="00C95C69">
      <w:rPr>
        <w:lang w:val="fr-CH"/>
      </w:rPr>
      <w:tab/>
    </w:r>
    <w:r w:rsidR="00557C83">
      <w:rPr>
        <w:b/>
        <w:bCs/>
        <w:lang w:val="fr-CH"/>
      </w:rPr>
      <w:fldChar w:fldCharType="begin"/>
    </w:r>
    <w:r w:rsidR="00557C83">
      <w:rPr>
        <w:b/>
        <w:bCs/>
        <w:lang w:val="fr-CH"/>
      </w:rPr>
      <w:instrText xml:space="preserve"> DOCPROPERTY "Header" \* MERGEFORMAT </w:instrText>
    </w:r>
    <w:r w:rsidR="00557C83">
      <w:rPr>
        <w:b/>
        <w:bCs/>
        <w:lang w:val="fr-CH"/>
      </w:rPr>
      <w:fldChar w:fldCharType="separate"/>
    </w:r>
    <w:r w:rsidR="00A4173A" w:rsidRPr="00C95C69">
      <w:rPr>
        <w:b/>
        <w:bCs/>
        <w:lang w:val="fr-CH"/>
      </w:rPr>
      <w:t xml:space="preserve">Rec. </w:t>
    </w:r>
    <w:r w:rsidR="00557C83">
      <w:rPr>
        <w:b/>
        <w:bCs/>
        <w:lang w:val="fr-CH"/>
      </w:rPr>
      <w:fldChar w:fldCharType="end"/>
    </w:r>
    <w:r w:rsidR="001B164E">
      <w:rPr>
        <w:b/>
        <w:bCs/>
      </w:rPr>
      <w:t xml:space="preserve"> </w:t>
    </w:r>
    <w:r>
      <w:rPr>
        <w:b/>
        <w:bCs/>
      </w:rPr>
      <w:fldChar w:fldCharType="begin"/>
    </w:r>
    <w:r w:rsidR="001B164E" w:rsidRPr="00C95C69">
      <w:rPr>
        <w:b/>
        <w:bCs/>
        <w:lang w:val="fr-CH"/>
      </w:rPr>
      <w:instrText>styleref href</w:instrText>
    </w:r>
    <w:r>
      <w:rPr>
        <w:b/>
        <w:bCs/>
      </w:rPr>
      <w:fldChar w:fldCharType="separate"/>
    </w:r>
    <w:r w:rsidR="00557C83">
      <w:rPr>
        <w:b/>
        <w:bCs/>
        <w:noProof/>
      </w:rPr>
      <w:t>ITU-R  SA.1164-4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pPr>
    <w:r>
      <w:tab/>
    </w:r>
    <w:r w:rsidR="00557C83">
      <w:rPr>
        <w:b/>
        <w:bCs/>
      </w:rPr>
      <w:fldChar w:fldCharType="begin"/>
    </w:r>
    <w:r w:rsidR="00557C83">
      <w:rPr>
        <w:b/>
        <w:bCs/>
      </w:rPr>
      <w:instrText xml:space="preserve"> DOCPROPERTY "Header" \* MERGEFORMAT </w:instrText>
    </w:r>
    <w:r w:rsidR="00557C83">
      <w:rPr>
        <w:b/>
        <w:bCs/>
      </w:rPr>
      <w:fldChar w:fldCharType="separate"/>
    </w:r>
    <w:r w:rsidR="00A4173A">
      <w:rPr>
        <w:b/>
        <w:bCs/>
      </w:rPr>
      <w:t xml:space="preserve">Rec. </w:t>
    </w:r>
    <w:r w:rsidR="00557C83">
      <w:rPr>
        <w:b/>
        <w:bCs/>
      </w:rPr>
      <w:fldChar w:fldCharType="end"/>
    </w:r>
    <w:r>
      <w:rPr>
        <w:b/>
        <w:bCs/>
      </w:rPr>
      <w:t xml:space="preserve"> </w:t>
    </w:r>
    <w:r w:rsidR="00E727E8">
      <w:rPr>
        <w:b/>
        <w:bCs/>
      </w:rPr>
      <w:fldChar w:fldCharType="begin"/>
    </w:r>
    <w:r>
      <w:rPr>
        <w:b/>
        <w:bCs/>
      </w:rPr>
      <w:instrText>styleref href</w:instrText>
    </w:r>
    <w:r w:rsidR="00E727E8">
      <w:rPr>
        <w:b/>
        <w:bCs/>
      </w:rPr>
      <w:fldChar w:fldCharType="separate"/>
    </w:r>
    <w:r w:rsidR="00EC5363">
      <w:rPr>
        <w:b/>
        <w:bCs/>
        <w:noProof/>
      </w:rPr>
      <w:t>ITU-R  SA.1164-4</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EC5363">
      <w:rPr>
        <w:rStyle w:val="PageNumber"/>
        <w:b/>
        <w:bCs/>
        <w:noProof/>
      </w:rPr>
      <w:t>1</w:t>
    </w:r>
    <w:r w:rsidR="00E727E8">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67718B" w:rsidRDefault="0067718B" w:rsidP="0067718B">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7C83">
      <w:rPr>
        <w:b/>
        <w:bCs/>
        <w:noProof/>
      </w:rPr>
      <w:t>ITU-R  SA.1164-4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7C8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0F4C6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3889A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11883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A48C1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36892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B5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BE66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338F7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08E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788A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5530"/>
    <w:rsid w:val="00096612"/>
    <w:rsid w:val="000B7683"/>
    <w:rsid w:val="000D0677"/>
    <w:rsid w:val="000E6A6E"/>
    <w:rsid w:val="00102934"/>
    <w:rsid w:val="00122293"/>
    <w:rsid w:val="00123273"/>
    <w:rsid w:val="00132326"/>
    <w:rsid w:val="00147110"/>
    <w:rsid w:val="001511A6"/>
    <w:rsid w:val="0018315C"/>
    <w:rsid w:val="001B164E"/>
    <w:rsid w:val="001B7886"/>
    <w:rsid w:val="001C2F9B"/>
    <w:rsid w:val="001F38BB"/>
    <w:rsid w:val="002058CE"/>
    <w:rsid w:val="002165F1"/>
    <w:rsid w:val="00261B47"/>
    <w:rsid w:val="00276D21"/>
    <w:rsid w:val="00296D7F"/>
    <w:rsid w:val="002B3CF6"/>
    <w:rsid w:val="002C768A"/>
    <w:rsid w:val="002D76C4"/>
    <w:rsid w:val="002E6D89"/>
    <w:rsid w:val="002F5199"/>
    <w:rsid w:val="003521FD"/>
    <w:rsid w:val="00356B5D"/>
    <w:rsid w:val="00390ED1"/>
    <w:rsid w:val="00391D74"/>
    <w:rsid w:val="003E3C5A"/>
    <w:rsid w:val="003E5917"/>
    <w:rsid w:val="00410023"/>
    <w:rsid w:val="00420DFD"/>
    <w:rsid w:val="00431058"/>
    <w:rsid w:val="00437151"/>
    <w:rsid w:val="00437A76"/>
    <w:rsid w:val="00470E28"/>
    <w:rsid w:val="00474F01"/>
    <w:rsid w:val="004934C5"/>
    <w:rsid w:val="00556548"/>
    <w:rsid w:val="00557C83"/>
    <w:rsid w:val="00586EF8"/>
    <w:rsid w:val="005B49AB"/>
    <w:rsid w:val="005B50E7"/>
    <w:rsid w:val="005D2A0B"/>
    <w:rsid w:val="005E3D4D"/>
    <w:rsid w:val="005E7B4F"/>
    <w:rsid w:val="005F7CD0"/>
    <w:rsid w:val="00601882"/>
    <w:rsid w:val="00607D68"/>
    <w:rsid w:val="00613212"/>
    <w:rsid w:val="00613E44"/>
    <w:rsid w:val="006149B1"/>
    <w:rsid w:val="006732E5"/>
    <w:rsid w:val="0067718B"/>
    <w:rsid w:val="00680D2B"/>
    <w:rsid w:val="00681B32"/>
    <w:rsid w:val="006A6315"/>
    <w:rsid w:val="006B0C51"/>
    <w:rsid w:val="006B1D2B"/>
    <w:rsid w:val="006E1131"/>
    <w:rsid w:val="006E2037"/>
    <w:rsid w:val="006E6199"/>
    <w:rsid w:val="00712870"/>
    <w:rsid w:val="007227AD"/>
    <w:rsid w:val="007270D1"/>
    <w:rsid w:val="00743D85"/>
    <w:rsid w:val="00750FB8"/>
    <w:rsid w:val="00753CF4"/>
    <w:rsid w:val="007565CC"/>
    <w:rsid w:val="00763B9A"/>
    <w:rsid w:val="00770B44"/>
    <w:rsid w:val="007933BD"/>
    <w:rsid w:val="007A6AA8"/>
    <w:rsid w:val="007B1357"/>
    <w:rsid w:val="007C1867"/>
    <w:rsid w:val="007E0E26"/>
    <w:rsid w:val="0081070A"/>
    <w:rsid w:val="008138C7"/>
    <w:rsid w:val="008310C9"/>
    <w:rsid w:val="00853CC5"/>
    <w:rsid w:val="00884BF3"/>
    <w:rsid w:val="008937AA"/>
    <w:rsid w:val="008A6C46"/>
    <w:rsid w:val="008B0949"/>
    <w:rsid w:val="008B1727"/>
    <w:rsid w:val="008C7848"/>
    <w:rsid w:val="008F1EC0"/>
    <w:rsid w:val="008F306F"/>
    <w:rsid w:val="0090253D"/>
    <w:rsid w:val="00905B1A"/>
    <w:rsid w:val="00906589"/>
    <w:rsid w:val="00906AD6"/>
    <w:rsid w:val="009106DC"/>
    <w:rsid w:val="00917AF2"/>
    <w:rsid w:val="0092418A"/>
    <w:rsid w:val="0092537D"/>
    <w:rsid w:val="00933456"/>
    <w:rsid w:val="00934ED7"/>
    <w:rsid w:val="0095421D"/>
    <w:rsid w:val="009543C3"/>
    <w:rsid w:val="009644FE"/>
    <w:rsid w:val="00966E1B"/>
    <w:rsid w:val="00986575"/>
    <w:rsid w:val="009947C0"/>
    <w:rsid w:val="009C0792"/>
    <w:rsid w:val="009C45DD"/>
    <w:rsid w:val="009C5417"/>
    <w:rsid w:val="009E2DE6"/>
    <w:rsid w:val="009F1E59"/>
    <w:rsid w:val="009F2D2C"/>
    <w:rsid w:val="00A31928"/>
    <w:rsid w:val="00A4173A"/>
    <w:rsid w:val="00A42CF4"/>
    <w:rsid w:val="00A50BE3"/>
    <w:rsid w:val="00A62A14"/>
    <w:rsid w:val="00A6617B"/>
    <w:rsid w:val="00A71FE5"/>
    <w:rsid w:val="00A90A34"/>
    <w:rsid w:val="00A96EAE"/>
    <w:rsid w:val="00A971A1"/>
    <w:rsid w:val="00AA1A90"/>
    <w:rsid w:val="00AA3AD8"/>
    <w:rsid w:val="00AA63E1"/>
    <w:rsid w:val="00AB0DC8"/>
    <w:rsid w:val="00AD58DF"/>
    <w:rsid w:val="00B033C8"/>
    <w:rsid w:val="00B33425"/>
    <w:rsid w:val="00B44E24"/>
    <w:rsid w:val="00B54ECC"/>
    <w:rsid w:val="00B60AC0"/>
    <w:rsid w:val="00B714F3"/>
    <w:rsid w:val="00B87B6B"/>
    <w:rsid w:val="00B9650F"/>
    <w:rsid w:val="00BB0379"/>
    <w:rsid w:val="00BC5D77"/>
    <w:rsid w:val="00BF487A"/>
    <w:rsid w:val="00C252C4"/>
    <w:rsid w:val="00C46BD9"/>
    <w:rsid w:val="00C55258"/>
    <w:rsid w:val="00C73560"/>
    <w:rsid w:val="00C775B1"/>
    <w:rsid w:val="00C87530"/>
    <w:rsid w:val="00C95C69"/>
    <w:rsid w:val="00CB0F14"/>
    <w:rsid w:val="00CD659B"/>
    <w:rsid w:val="00CE0A43"/>
    <w:rsid w:val="00CF0807"/>
    <w:rsid w:val="00D55931"/>
    <w:rsid w:val="00D61962"/>
    <w:rsid w:val="00D83556"/>
    <w:rsid w:val="00DA4508"/>
    <w:rsid w:val="00DD000E"/>
    <w:rsid w:val="00DE4D13"/>
    <w:rsid w:val="00DF4011"/>
    <w:rsid w:val="00DF4176"/>
    <w:rsid w:val="00E17240"/>
    <w:rsid w:val="00E727E8"/>
    <w:rsid w:val="00E74595"/>
    <w:rsid w:val="00E80CBB"/>
    <w:rsid w:val="00EB7C57"/>
    <w:rsid w:val="00EC5363"/>
    <w:rsid w:val="00ED2695"/>
    <w:rsid w:val="00EE04BA"/>
    <w:rsid w:val="00F1136E"/>
    <w:rsid w:val="00F30C9B"/>
    <w:rsid w:val="00F354B1"/>
    <w:rsid w:val="00F52627"/>
    <w:rsid w:val="00F92A40"/>
    <w:rsid w:val="00FA2880"/>
    <w:rsid w:val="00FB0E4E"/>
    <w:rsid w:val="00FB15D4"/>
    <w:rsid w:val="00FB7704"/>
    <w:rsid w:val="00FE796F"/>
    <w:rsid w:val="00FE79FE"/>
    <w:rsid w:val="00FF52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d62a47"/>
      <o:colormenu v:ext="edit" strokecolor="#d62a47"/>
    </o:shapedefaults>
    <o:shapelayout v:ext="edit">
      <o:idmap v:ext="edit" data="1"/>
    </o:shapelayout>
  </w:shapeDefaults>
  <w:decimalSymbol w:val="."/>
  <w:listSeparator w:val=","/>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C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link w:val="HeadingbChar"/>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557C8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557C83"/>
    <w:pPr>
      <w:spacing w:before="240"/>
    </w:pPr>
    <w:rPr>
      <w:szCs w:val="22"/>
      <w:lang w:val="en-GB"/>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link w:val="TabletextChar"/>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91D74"/>
    <w:pPr>
      <w:keepNext/>
      <w:keepLines/>
      <w:spacing w:before="480" w:after="80"/>
      <w:jc w:val="center"/>
    </w:pPr>
    <w:rPr>
      <w:caps/>
      <w:sz w:val="18"/>
    </w:rPr>
  </w:style>
  <w:style w:type="paragraph" w:customStyle="1" w:styleId="Figuretitle">
    <w:name w:val="Figure_title"/>
    <w:basedOn w:val="Normal"/>
    <w:next w:val="Figure"/>
    <w:link w:val="FiguretitleChar"/>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391D74"/>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CF0807"/>
    <w:pPr>
      <w:spacing w:after="480"/>
    </w:pPr>
    <w:rPr>
      <w:szCs w:val="24"/>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rsid w:val="00C95C6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AnnexNo">
    <w:name w:val="Annex_No"/>
    <w:basedOn w:val="Normal"/>
    <w:next w:val="Normal"/>
    <w:rsid w:val="00C95C6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95C6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Reasons">
    <w:name w:val="Reasons"/>
    <w:basedOn w:val="Normal"/>
    <w:qFormat/>
    <w:rsid w:val="00EC5363"/>
    <w:pPr>
      <w:tabs>
        <w:tab w:val="clear" w:pos="794"/>
        <w:tab w:val="clear" w:pos="1191"/>
        <w:tab w:val="left" w:pos="1134"/>
      </w:tabs>
      <w:jc w:val="left"/>
    </w:pPr>
    <w:rPr>
      <w:lang w:val="en-GB"/>
    </w:rPr>
  </w:style>
  <w:style w:type="character" w:customStyle="1" w:styleId="FooterChar">
    <w:name w:val="Footer Char"/>
    <w:basedOn w:val="DefaultParagraphFont"/>
    <w:link w:val="Footer"/>
    <w:rsid w:val="00EC5363"/>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EC5363"/>
    <w:rPr>
      <w:sz w:val="22"/>
      <w:lang w:val="fr-FR" w:eastAsia="en-US"/>
    </w:rPr>
  </w:style>
  <w:style w:type="character" w:customStyle="1" w:styleId="HeaderChar">
    <w:name w:val="Header Char"/>
    <w:basedOn w:val="DefaultParagraphFont"/>
    <w:link w:val="Header"/>
    <w:rsid w:val="00EC5363"/>
    <w:rPr>
      <w:sz w:val="24"/>
      <w:lang w:val="fr-FR" w:eastAsia="en-US"/>
    </w:rPr>
  </w:style>
  <w:style w:type="character" w:customStyle="1" w:styleId="CallChar">
    <w:name w:val="Call Char"/>
    <w:link w:val="Call"/>
    <w:locked/>
    <w:rsid w:val="00EC5363"/>
    <w:rPr>
      <w:i/>
      <w:sz w:val="24"/>
      <w:lang w:val="fr-FR" w:eastAsia="en-US"/>
    </w:rPr>
  </w:style>
  <w:style w:type="character" w:customStyle="1" w:styleId="NormalaftertitleChar">
    <w:name w:val="Normal_after_title Char"/>
    <w:link w:val="Normalaftertitle"/>
    <w:locked/>
    <w:rsid w:val="00EC5363"/>
    <w:rPr>
      <w:sz w:val="24"/>
      <w:lang w:val="fr-FR" w:eastAsia="en-US"/>
    </w:rPr>
  </w:style>
  <w:style w:type="character" w:customStyle="1" w:styleId="TabletextChar">
    <w:name w:val="Table_text Char"/>
    <w:basedOn w:val="DefaultParagraphFont"/>
    <w:link w:val="Tabletext"/>
    <w:locked/>
    <w:rsid w:val="00EC5363"/>
    <w:rPr>
      <w:sz w:val="22"/>
      <w:lang w:val="fr-FR" w:eastAsia="en-US"/>
    </w:rPr>
  </w:style>
  <w:style w:type="character" w:customStyle="1" w:styleId="HeadingbChar">
    <w:name w:val="Heading_b Char"/>
    <w:link w:val="Headingb"/>
    <w:locked/>
    <w:rsid w:val="00EC5363"/>
    <w:rPr>
      <w:b/>
      <w:sz w:val="24"/>
      <w:lang w:val="fr-FR" w:eastAsia="en-US"/>
    </w:rPr>
  </w:style>
  <w:style w:type="table" w:styleId="TableGrid">
    <w:name w:val="Table Grid"/>
    <w:basedOn w:val="TableNormal"/>
    <w:rsid w:val="00EC5363"/>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locked/>
    <w:rsid w:val="00EC5363"/>
    <w:rPr>
      <w:rFonts w:ascii="Times New Roman Bold" w:hAnsi="Times New Roman Bold"/>
      <w:b/>
      <w:sz w:val="18"/>
      <w:lang w:val="fr-FR" w:eastAsia="en-US"/>
    </w:rPr>
  </w:style>
  <w:style w:type="character" w:customStyle="1" w:styleId="FigureNoChar">
    <w:name w:val="Figure_No Char"/>
    <w:basedOn w:val="DefaultParagraphFont"/>
    <w:link w:val="FigureNo"/>
    <w:locked/>
    <w:rsid w:val="00EC5363"/>
    <w:rPr>
      <w:caps/>
      <w:sz w:val="18"/>
      <w:lang w:val="fr-FR" w:eastAsia="en-US"/>
    </w:rPr>
  </w:style>
  <w:style w:type="paragraph" w:styleId="Revision">
    <w:name w:val="Revision"/>
    <w:hidden/>
    <w:uiPriority w:val="99"/>
    <w:semiHidden/>
    <w:rsid w:val="007227A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21425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3F283-EED8-4284-92F9-59FF4121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9</Pages>
  <Words>2665</Words>
  <Characters>15465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18094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SA.1164-4 - Sharing and coordination criteria for service links in data collection systems using GSO satellites in the Earth exploration-satellite and  meteorological-satellite services</dc:title>
  <dc:subject>SA Series = Space applications</dc:subject>
  <dc:creator>ITU Radiocommunication Bureau (BR)</dc:creator>
  <cp:keywords>SA,1164-4</cp:keywords>
  <dc:description>Saez, 8/5/2019, ITU51013874</dc:description>
  <cp:lastModifiedBy>Gachet, Christelle</cp:lastModifiedBy>
  <cp:revision>59</cp:revision>
  <cp:lastPrinted>2009-07-08T06:55:00Z</cp:lastPrinted>
  <dcterms:created xsi:type="dcterms:W3CDTF">2019-08-05T12:03:00Z</dcterms:created>
  <dcterms:modified xsi:type="dcterms:W3CDTF">2019-08-06T05:47:00Z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Monday, August 5, 2019</vt:lpwstr>
  </property>
</Properties>
</file>