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F76AC0"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F76AC0">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DE71F7">
              <w:rPr>
                <w:rFonts w:ascii="Tahoma" w:hAnsi="Tahoma" w:cs="Tahoma"/>
                <w:b/>
                <w:bCs/>
                <w:iCs/>
                <w:color w:val="243285"/>
                <w:sz w:val="36"/>
                <w:szCs w:val="36"/>
                <w:lang w:val="es-ES_tradnl"/>
              </w:rPr>
              <w:t>S</w:t>
            </w:r>
            <w:r w:rsidR="00025336">
              <w:rPr>
                <w:rFonts w:ascii="Tahoma" w:hAnsi="Tahoma" w:cs="Tahoma"/>
                <w:b/>
                <w:bCs/>
                <w:iCs/>
                <w:color w:val="243285"/>
                <w:sz w:val="36"/>
                <w:szCs w:val="36"/>
                <w:lang w:val="es-ES_tradnl"/>
              </w:rPr>
              <w:t>A</w:t>
            </w:r>
            <w:r w:rsidRPr="0010336F">
              <w:rPr>
                <w:rFonts w:ascii="Tahoma" w:hAnsi="Tahoma" w:cs="Tahoma"/>
                <w:b/>
                <w:bCs/>
                <w:iCs/>
                <w:color w:val="243285"/>
                <w:sz w:val="36"/>
                <w:szCs w:val="36"/>
                <w:lang w:val="es-ES_tradnl"/>
              </w:rPr>
              <w:t>.</w:t>
            </w:r>
            <w:r w:rsidR="00F76AC0">
              <w:rPr>
                <w:rFonts w:ascii="Tahoma" w:hAnsi="Tahoma" w:cs="Tahoma"/>
                <w:b/>
                <w:bCs/>
                <w:iCs/>
                <w:color w:val="243285"/>
                <w:sz w:val="36"/>
                <w:szCs w:val="36"/>
                <w:lang w:val="es-ES_tradnl"/>
              </w:rPr>
              <w:t>1161-2</w:t>
            </w:r>
          </w:p>
          <w:p w:rsidR="00B1717A" w:rsidRPr="0010336F" w:rsidRDefault="00F76AC0" w:rsidP="00F76AC0">
            <w:pPr>
              <w:spacing w:before="80" w:line="280" w:lineRule="exact"/>
              <w:jc w:val="right"/>
              <w:rPr>
                <w:rFonts w:ascii="Tahoma" w:hAnsi="Tahoma" w:cs="Tahoma"/>
                <w:b/>
                <w:bCs/>
                <w:iCs/>
                <w:color w:val="243285"/>
                <w:szCs w:val="24"/>
                <w:lang w:val="es-ES_tradnl"/>
              </w:rPr>
            </w:pPr>
            <w:r>
              <w:rPr>
                <w:rFonts w:ascii="Tahoma" w:hAnsi="Tahoma" w:cs="Tahoma"/>
                <w:b/>
                <w:bCs/>
                <w:iCs/>
                <w:color w:val="243285"/>
                <w:szCs w:val="24"/>
                <w:lang w:val="es-ES_tradnl"/>
              </w:rPr>
              <w:t>(09</w:t>
            </w:r>
            <w:r w:rsidR="00B1717A" w:rsidRPr="0010336F">
              <w:rPr>
                <w:rFonts w:ascii="Tahoma" w:hAnsi="Tahoma" w:cs="Tahoma"/>
                <w:b/>
                <w:bCs/>
                <w:iCs/>
                <w:color w:val="243285"/>
                <w:szCs w:val="24"/>
                <w:lang w:val="es-ES_tradnl"/>
              </w:rPr>
              <w:t>/</w:t>
            </w:r>
            <w:r>
              <w:rPr>
                <w:rFonts w:ascii="Tahoma" w:hAnsi="Tahoma" w:cs="Tahoma"/>
                <w:b/>
                <w:bCs/>
                <w:iCs/>
                <w:color w:val="243285"/>
                <w:szCs w:val="24"/>
                <w:lang w:val="es-ES_tradnl"/>
              </w:rPr>
              <w:t>2017</w:t>
            </w:r>
            <w:r w:rsidR="00B1717A" w:rsidRPr="0010336F">
              <w:rPr>
                <w:rFonts w:ascii="Tahoma" w:hAnsi="Tahoma" w:cs="Tahoma"/>
                <w:b/>
                <w:bCs/>
                <w:iCs/>
                <w:color w:val="243285"/>
                <w:szCs w:val="24"/>
                <w:lang w:val="es-ES_tradnl"/>
              </w:rPr>
              <w:t>)</w:t>
            </w:r>
          </w:p>
        </w:tc>
      </w:tr>
      <w:tr w:rsidR="00B1717A" w:rsidRPr="00F76AC0"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F76AC0" w:rsidP="00F76AC0">
            <w:pPr>
              <w:spacing w:before="80" w:line="500" w:lineRule="exact"/>
              <w:jc w:val="right"/>
              <w:rPr>
                <w:rFonts w:ascii="Tahoma" w:hAnsi="Tahoma" w:cs="Tahoma"/>
                <w:b/>
                <w:bCs/>
                <w:color w:val="243285"/>
                <w:sz w:val="44"/>
                <w:szCs w:val="44"/>
                <w:lang w:val="es-ES_tradnl"/>
              </w:rPr>
            </w:pPr>
            <w:r w:rsidRPr="00F76AC0">
              <w:rPr>
                <w:rFonts w:ascii="Tahoma" w:hAnsi="Tahoma" w:cs="Tahoma"/>
                <w:b/>
                <w:bCs/>
                <w:color w:val="243285"/>
                <w:sz w:val="44"/>
                <w:szCs w:val="44"/>
                <w:lang w:val="es-ES_tradnl"/>
              </w:rPr>
              <w:t xml:space="preserve">Criterios de compartición y coordinación para sistemas de transmisión de datos que funcionan en los servicios de exploración </w:t>
            </w:r>
            <w:r>
              <w:rPr>
                <w:rFonts w:ascii="Tahoma" w:hAnsi="Tahoma" w:cs="Tahoma"/>
                <w:b/>
                <w:bCs/>
                <w:color w:val="243285"/>
                <w:sz w:val="44"/>
                <w:szCs w:val="44"/>
                <w:lang w:val="es-ES_tradnl"/>
              </w:rPr>
              <w:br/>
            </w:r>
            <w:r w:rsidRPr="00F76AC0">
              <w:rPr>
                <w:rFonts w:ascii="Tahoma" w:hAnsi="Tahoma" w:cs="Tahoma"/>
                <w:b/>
                <w:bCs/>
                <w:color w:val="243285"/>
                <w:sz w:val="44"/>
                <w:szCs w:val="44"/>
                <w:lang w:val="es-ES_tradnl"/>
              </w:rPr>
              <w:t xml:space="preserve">de la Tierra por satélite y de meteorología por satélite y que utilizan satélites </w:t>
            </w:r>
            <w:r>
              <w:rPr>
                <w:rFonts w:ascii="Tahoma" w:hAnsi="Tahoma" w:cs="Tahoma"/>
                <w:b/>
                <w:bCs/>
                <w:color w:val="243285"/>
                <w:sz w:val="44"/>
                <w:szCs w:val="44"/>
                <w:lang w:val="es-ES_tradnl"/>
              </w:rPr>
              <w:br/>
            </w:r>
            <w:r w:rsidRPr="00F76AC0">
              <w:rPr>
                <w:rFonts w:ascii="Tahoma" w:hAnsi="Tahoma" w:cs="Tahoma"/>
                <w:b/>
                <w:bCs/>
                <w:color w:val="243285"/>
                <w:sz w:val="44"/>
                <w:szCs w:val="44"/>
                <w:lang w:val="es-ES_tradnl"/>
              </w:rPr>
              <w:t>de órbita geoestacionaria</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F76AC0"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D12388">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DE71F7">
              <w:rPr>
                <w:rFonts w:ascii="Tahoma" w:hAnsi="Tahoma" w:cs="Tahoma"/>
                <w:b/>
                <w:bCs/>
                <w:iCs/>
                <w:color w:val="243285"/>
                <w:sz w:val="36"/>
                <w:szCs w:val="36"/>
                <w:lang w:val="es-ES_tradnl"/>
              </w:rPr>
              <w:t>S</w:t>
            </w:r>
            <w:r w:rsidR="00025336">
              <w:rPr>
                <w:rFonts w:ascii="Tahoma" w:hAnsi="Tahoma" w:cs="Tahoma"/>
                <w:b/>
                <w:bCs/>
                <w:iCs/>
                <w:color w:val="243285"/>
                <w:sz w:val="36"/>
                <w:szCs w:val="36"/>
                <w:lang w:val="es-ES_tradnl"/>
              </w:rPr>
              <w:t>A</w:t>
            </w:r>
          </w:p>
          <w:p w:rsidR="00B1717A" w:rsidRPr="0010336F" w:rsidRDefault="00025336"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Aplicaciones espaciales y meteorología</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6"/>
          <w:headerReference w:type="default" r:id="rId7"/>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w:t>
      </w:r>
      <w:bookmarkStart w:id="2" w:name="_GoBack"/>
      <w:bookmarkEnd w:id="2"/>
      <w:r>
        <w:rPr>
          <w:sz w:val="20"/>
          <w:lang w:val="es-ES_tradnl"/>
        </w:rPr>
        <w:t>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F76AC0"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F76AC0"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2814F2"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F76AC0" w:rsidTr="00F95576">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F76AC0" w:rsidTr="00DE71F7">
        <w:tc>
          <w:tcPr>
            <w:tcW w:w="1140" w:type="dxa"/>
            <w:tcBorders>
              <w:top w:val="nil"/>
              <w:bottom w:val="nil"/>
            </w:tcBorders>
            <w:shd w:val="clear" w:color="auto" w:fill="auto"/>
          </w:tcPr>
          <w:p w:rsidR="00B1717A" w:rsidRPr="00F95576" w:rsidRDefault="00B1717A" w:rsidP="00D62884">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B1717A" w:rsidRPr="00F95576" w:rsidRDefault="00B1717A" w:rsidP="00D62884">
            <w:pPr>
              <w:spacing w:before="30" w:after="30"/>
              <w:jc w:val="left"/>
              <w:rPr>
                <w:sz w:val="20"/>
                <w:lang w:val="es-ES_tradnl"/>
              </w:rPr>
            </w:pPr>
            <w:r w:rsidRPr="00F95576">
              <w:rPr>
                <w:sz w:val="20"/>
                <w:lang w:val="es-ES_tradnl"/>
              </w:rPr>
              <w:t>Propagación de las ondas radioeléctricas</w:t>
            </w:r>
          </w:p>
        </w:tc>
      </w:tr>
      <w:tr w:rsidR="00B1717A" w:rsidRPr="00DE71F7" w:rsidTr="00D12388">
        <w:tc>
          <w:tcPr>
            <w:tcW w:w="1140" w:type="dxa"/>
            <w:tcBorders>
              <w:top w:val="nil"/>
              <w:bottom w:val="nil"/>
            </w:tcBorders>
            <w:shd w:val="clear" w:color="auto" w:fill="auto"/>
          </w:tcPr>
          <w:p w:rsidR="00B1717A" w:rsidRPr="00DE71F7" w:rsidRDefault="00B1717A" w:rsidP="00D62884">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B1717A" w:rsidRPr="00DE71F7" w:rsidRDefault="00B1717A" w:rsidP="00A225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Radioastronomía</w:t>
            </w:r>
          </w:p>
        </w:tc>
      </w:tr>
      <w:tr w:rsidR="00B1717A" w:rsidRPr="00F76AC0" w:rsidTr="00025336">
        <w:tc>
          <w:tcPr>
            <w:tcW w:w="1140" w:type="dxa"/>
            <w:tcBorders>
              <w:top w:val="nil"/>
              <w:bottom w:val="nil"/>
            </w:tcBorders>
            <w:shd w:val="clear" w:color="auto" w:fill="auto"/>
          </w:tcPr>
          <w:p w:rsidR="00B1717A" w:rsidRPr="00D12388" w:rsidRDefault="00B1717A" w:rsidP="00D62884">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B1717A" w:rsidRPr="00D12388"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B1717A" w:rsidRPr="00025336" w:rsidTr="00025336">
        <w:tc>
          <w:tcPr>
            <w:tcW w:w="1140" w:type="dxa"/>
            <w:tcBorders>
              <w:top w:val="nil"/>
              <w:bottom w:val="nil"/>
            </w:tcBorders>
            <w:shd w:val="clear" w:color="auto" w:fill="auto"/>
          </w:tcPr>
          <w:p w:rsidR="00B1717A" w:rsidRPr="00025336" w:rsidRDefault="00B1717A" w:rsidP="00D62884">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B1717A" w:rsidRPr="00025336" w:rsidRDefault="00B1717A" w:rsidP="00D62884">
            <w:pPr>
              <w:spacing w:before="30" w:after="30"/>
              <w:jc w:val="left"/>
              <w:rPr>
                <w:sz w:val="20"/>
                <w:lang w:val="en-US"/>
              </w:rPr>
            </w:pPr>
            <w:r w:rsidRPr="00025336">
              <w:rPr>
                <w:sz w:val="20"/>
              </w:rPr>
              <w:t>Servicio fijo por satélite</w:t>
            </w:r>
          </w:p>
        </w:tc>
      </w:tr>
      <w:tr w:rsidR="00B1717A" w:rsidRPr="00025336" w:rsidTr="00025336">
        <w:tc>
          <w:tcPr>
            <w:tcW w:w="1140" w:type="dxa"/>
            <w:tcBorders>
              <w:top w:val="nil"/>
              <w:bottom w:val="nil"/>
            </w:tcBorders>
            <w:shd w:val="clear" w:color="auto" w:fill="F3F3F3"/>
          </w:tcPr>
          <w:p w:rsidR="00B1717A" w:rsidRPr="00025336" w:rsidRDefault="00B1717A" w:rsidP="00D62884">
            <w:pPr>
              <w:spacing w:before="30" w:after="30"/>
              <w:ind w:left="57"/>
              <w:jc w:val="left"/>
              <w:rPr>
                <w:b/>
                <w:bCs/>
                <w:color w:val="000080"/>
                <w:sz w:val="20"/>
                <w:lang w:val="en-US"/>
              </w:rPr>
            </w:pPr>
            <w:r w:rsidRPr="00025336">
              <w:rPr>
                <w:b/>
                <w:bCs/>
                <w:color w:val="000080"/>
                <w:sz w:val="20"/>
                <w:lang w:val="en-US"/>
              </w:rPr>
              <w:t>SA</w:t>
            </w:r>
          </w:p>
        </w:tc>
        <w:tc>
          <w:tcPr>
            <w:tcW w:w="8220" w:type="dxa"/>
            <w:tcBorders>
              <w:top w:val="nil"/>
              <w:bottom w:val="nil"/>
            </w:tcBorders>
            <w:shd w:val="clear" w:color="auto" w:fill="F3F3F3"/>
          </w:tcPr>
          <w:p w:rsidR="00B1717A" w:rsidRPr="00025336" w:rsidRDefault="00B1717A" w:rsidP="00D62884">
            <w:pPr>
              <w:spacing w:before="30" w:after="30"/>
              <w:jc w:val="left"/>
              <w:rPr>
                <w:b/>
                <w:bCs/>
                <w:color w:val="000080"/>
                <w:sz w:val="20"/>
                <w:lang w:val="en-US"/>
              </w:rPr>
            </w:pPr>
            <w:r w:rsidRPr="00025336">
              <w:rPr>
                <w:b/>
                <w:bCs/>
                <w:color w:val="000080"/>
                <w:sz w:val="20"/>
              </w:rPr>
              <w:t>Aplicaciones espaciales y meteorología</w:t>
            </w:r>
          </w:p>
        </w:tc>
      </w:tr>
      <w:tr w:rsidR="00B1717A" w:rsidRPr="00F76AC0" w:rsidTr="00025336">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Borders>
              <w:top w:val="nil"/>
            </w:tcBorders>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F76AC0"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F76AC0" w:rsidTr="00D62884">
        <w:tc>
          <w:tcPr>
            <w:tcW w:w="9360" w:type="dxa"/>
          </w:tcPr>
          <w:p w:rsidR="00B1717A" w:rsidRPr="00763D08" w:rsidRDefault="00B1717A" w:rsidP="00AD7E7A">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951E54">
      <w:pPr>
        <w:spacing w:before="0" w:after="40"/>
        <w:jc w:val="right"/>
        <w:rPr>
          <w:sz w:val="20"/>
          <w:lang w:val="es-ES_tradnl"/>
        </w:rPr>
      </w:pPr>
      <w:r w:rsidRPr="00763D08">
        <w:rPr>
          <w:sz w:val="20"/>
          <w:lang w:val="es-ES_tradnl"/>
        </w:rPr>
        <w:t>Ginebra, 20</w:t>
      </w:r>
      <w:r w:rsidR="00EB1589">
        <w:rPr>
          <w:sz w:val="20"/>
          <w:lang w:val="es-ES_tradnl"/>
        </w:rPr>
        <w:t>1</w:t>
      </w:r>
      <w:r w:rsidR="005806E0">
        <w:rPr>
          <w:sz w:val="20"/>
          <w:lang w:val="es-ES_tradnl"/>
        </w:rPr>
        <w:t>8</w:t>
      </w:r>
    </w:p>
    <w:p w:rsidR="00B1717A" w:rsidRPr="00763D08" w:rsidRDefault="00B1717A" w:rsidP="00B1717A">
      <w:pPr>
        <w:spacing w:before="0"/>
        <w:jc w:val="center"/>
        <w:rPr>
          <w:sz w:val="22"/>
          <w:lang w:val="es-ES_tradnl"/>
        </w:rPr>
      </w:pPr>
    </w:p>
    <w:p w:rsidR="00B1717A" w:rsidRPr="00763D08" w:rsidRDefault="00B1717A" w:rsidP="00063999">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sidR="00EB1589">
        <w:rPr>
          <w:sz w:val="20"/>
          <w:lang w:val="es-ES_tradnl"/>
        </w:rPr>
        <w:t>1</w:t>
      </w:r>
      <w:r w:rsidR="005806E0">
        <w:rPr>
          <w:sz w:val="20"/>
          <w:lang w:val="es-ES_tradnl"/>
        </w:rPr>
        <w:t>8</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rsidR="00F76AC0" w:rsidRDefault="00F76AC0" w:rsidP="00023501">
      <w:pPr>
        <w:pStyle w:val="RecNo"/>
        <w:spacing w:before="0"/>
        <w:rPr>
          <w:lang w:val="es-ES_tradnl"/>
        </w:rPr>
      </w:pPr>
      <w:bookmarkStart w:id="4" w:name="irecnoe"/>
      <w:bookmarkEnd w:id="4"/>
      <w:r w:rsidRPr="00763D08">
        <w:rPr>
          <w:lang w:val="es-ES_tradnl"/>
        </w:rPr>
        <w:lastRenderedPageBreak/>
        <w:t xml:space="preserve">RECOMENDACIÓN  </w:t>
      </w:r>
      <w:r w:rsidRPr="0010336F">
        <w:rPr>
          <w:rStyle w:val="href"/>
          <w:lang w:val="es-ES_tradnl"/>
        </w:rPr>
        <w:t xml:space="preserve">UIT-R  </w:t>
      </w:r>
      <w:r>
        <w:rPr>
          <w:rStyle w:val="href"/>
          <w:lang w:val="es-ES_tradnl"/>
        </w:rPr>
        <w:t>SA</w:t>
      </w:r>
      <w:r w:rsidRPr="0010336F">
        <w:rPr>
          <w:rStyle w:val="href"/>
          <w:lang w:val="es-ES_tradnl"/>
        </w:rPr>
        <w:t>.1</w:t>
      </w:r>
      <w:r w:rsidR="00023501">
        <w:rPr>
          <w:rStyle w:val="href"/>
          <w:lang w:val="es-ES_tradnl"/>
        </w:rPr>
        <w:t>161-2</w:t>
      </w:r>
    </w:p>
    <w:p w:rsidR="00F76AC0" w:rsidRDefault="00F76AC0" w:rsidP="00F76AC0">
      <w:pPr>
        <w:pStyle w:val="Rectitle"/>
        <w:rPr>
          <w:lang w:val="es-ES_tradnl"/>
        </w:rPr>
      </w:pPr>
      <w:r w:rsidRPr="007B7E00">
        <w:rPr>
          <w:lang w:val="es-ES_tradnl"/>
        </w:rPr>
        <w:t>Criterios de compartición y coordinación para sistemas de transmisión de datos que funcionan en los servicios de exploración de la Tierra por satélite y de meteorología por satélite y que utilizan satélites de órbita geoestacionaria</w:t>
      </w:r>
    </w:p>
    <w:p w:rsidR="00F76AC0" w:rsidRDefault="00F76AC0" w:rsidP="00F76AC0">
      <w:pPr>
        <w:pStyle w:val="Recdate"/>
        <w:rPr>
          <w:lang w:val="es-ES_tradnl"/>
        </w:rPr>
      </w:pPr>
      <w:r>
        <w:rPr>
          <w:lang w:val="es-ES_tradnl"/>
        </w:rPr>
        <w:t>(</w:t>
      </w:r>
      <w:r w:rsidRPr="007B7E00">
        <w:rPr>
          <w:lang w:val="es-ES_tradnl"/>
        </w:rPr>
        <w:t>1995-1999-2017</w:t>
      </w:r>
      <w:r>
        <w:rPr>
          <w:lang w:val="es-ES_tradnl"/>
        </w:rPr>
        <w:t>)</w:t>
      </w:r>
    </w:p>
    <w:p w:rsidR="00F76AC0" w:rsidRPr="005708C4" w:rsidRDefault="00F76AC0" w:rsidP="00F76AC0">
      <w:pPr>
        <w:pStyle w:val="HeadingSum"/>
      </w:pPr>
      <w:r>
        <w:t>Cometido</w:t>
      </w:r>
    </w:p>
    <w:p w:rsidR="00F76AC0" w:rsidRPr="005708C4" w:rsidRDefault="00F76AC0" w:rsidP="00F76AC0">
      <w:pPr>
        <w:pStyle w:val="Summary"/>
      </w:pPr>
      <w:r w:rsidRPr="007B7E00">
        <w:rPr>
          <w:lang w:val="es-ES"/>
        </w:rPr>
        <w:t>El objeto de esta Recomendación es proporcionar criterios de compartición y coordinación para los enlaces de transmisión de datos de satélites de órbita geoestacionaria que funcionan en los servicios de exploración de la tierra por satélite y de meteorología por satélite.</w:t>
      </w:r>
    </w:p>
    <w:p w:rsidR="00F76AC0" w:rsidRPr="007B7E00" w:rsidRDefault="00F76AC0" w:rsidP="00F76AC0">
      <w:pPr>
        <w:pStyle w:val="Headingb"/>
        <w:rPr>
          <w:lang w:val="es-ES_tradnl"/>
        </w:rPr>
      </w:pPr>
      <w:r w:rsidRPr="007B7E00">
        <w:rPr>
          <w:lang w:val="es-ES_tradnl"/>
        </w:rPr>
        <w:t>Palabras clave</w:t>
      </w:r>
    </w:p>
    <w:p w:rsidR="00F76AC0" w:rsidRPr="007B7E00" w:rsidRDefault="00F76AC0" w:rsidP="00F76AC0">
      <w:pPr>
        <w:rPr>
          <w:lang w:val="es-ES_tradnl"/>
        </w:rPr>
      </w:pPr>
      <w:r w:rsidRPr="007B7E00">
        <w:rPr>
          <w:lang w:val="es-ES_tradnl"/>
        </w:rPr>
        <w:t>SETS, MetSat, satélites OSG, transmisión de datos, criterios de compartición</w:t>
      </w:r>
    </w:p>
    <w:p w:rsidR="00F76AC0" w:rsidRPr="007B7E00" w:rsidRDefault="00F76AC0" w:rsidP="00F76AC0">
      <w:pPr>
        <w:pStyle w:val="Headingb"/>
        <w:rPr>
          <w:lang w:val="es-ES_tradnl"/>
        </w:rPr>
      </w:pPr>
      <w:r w:rsidRPr="007B7E00">
        <w:rPr>
          <w:lang w:val="es-ES_tradnl"/>
        </w:rPr>
        <w:t>Recomendaciones e Informes relacionados</w:t>
      </w:r>
    </w:p>
    <w:p w:rsidR="00F76AC0" w:rsidRPr="00F76AC0" w:rsidRDefault="00F76AC0" w:rsidP="00F76AC0">
      <w:pPr>
        <w:rPr>
          <w:lang w:val="es-ES_tradnl"/>
        </w:rPr>
      </w:pPr>
      <w:r w:rsidRPr="00F76AC0">
        <w:rPr>
          <w:lang w:val="es-ES_tradnl"/>
        </w:rPr>
        <w:t>Recomendaciones UIT-R SA.1160, UIT-R SA.1023.</w:t>
      </w:r>
    </w:p>
    <w:p w:rsidR="00F76AC0" w:rsidRDefault="00F76AC0" w:rsidP="00F76AC0">
      <w:pPr>
        <w:pStyle w:val="Normalaftertitle"/>
        <w:rPr>
          <w:lang w:val="es-ES_tradnl"/>
        </w:rPr>
      </w:pPr>
      <w:r w:rsidRPr="007B7E00">
        <w:rPr>
          <w:lang w:val="es-ES_tradnl"/>
        </w:rPr>
        <w:t>La Asamblea de Radiocomunicaciones de la UIT,</w:t>
      </w:r>
    </w:p>
    <w:p w:rsidR="00F76AC0" w:rsidRDefault="00F76AC0" w:rsidP="00F76AC0">
      <w:pPr>
        <w:pStyle w:val="Call"/>
        <w:rPr>
          <w:lang w:val="es-ES_tradnl"/>
        </w:rPr>
      </w:pPr>
      <w:proofErr w:type="gramStart"/>
      <w:r>
        <w:rPr>
          <w:lang w:val="es-ES_tradnl"/>
        </w:rPr>
        <w:t>considerando</w:t>
      </w:r>
      <w:proofErr w:type="gramEnd"/>
    </w:p>
    <w:p w:rsidR="00F76AC0" w:rsidRPr="00325172" w:rsidRDefault="00F76AC0" w:rsidP="00F76AC0">
      <w:pPr>
        <w:rPr>
          <w:lang w:val="es-ES_tradnl"/>
        </w:rPr>
      </w:pPr>
      <w:r w:rsidRPr="00445A0A">
        <w:rPr>
          <w:i/>
          <w:iCs/>
          <w:lang w:val="es-ES_tradnl"/>
        </w:rPr>
        <w:t>a)</w:t>
      </w:r>
      <w:r w:rsidRPr="00325172">
        <w:rPr>
          <w:lang w:val="es-ES_tradnl"/>
        </w:rPr>
        <w:tab/>
        <w:t xml:space="preserve">que las bandas de frecuencias atribuidas </w:t>
      </w:r>
      <w:r>
        <w:rPr>
          <w:lang w:val="es-ES_tradnl"/>
        </w:rPr>
        <w:t>al servicio</w:t>
      </w:r>
      <w:r w:rsidRPr="00325172">
        <w:rPr>
          <w:lang w:val="es-ES_tradnl"/>
        </w:rPr>
        <w:t xml:space="preserve"> de exploración de la Tierra por satélite (SETS) y </w:t>
      </w:r>
      <w:r>
        <w:rPr>
          <w:lang w:val="es-ES_tradnl"/>
        </w:rPr>
        <w:t xml:space="preserve">al servicio </w:t>
      </w:r>
      <w:r w:rsidRPr="00325172">
        <w:rPr>
          <w:lang w:val="es-ES_tradnl"/>
        </w:rPr>
        <w:t>de meteorología por satélite (MetSat) pueden ser compartidas por varios sistemas, incluyendo sistemas que funcionan en otros servicios;</w:t>
      </w:r>
    </w:p>
    <w:p w:rsidR="00F76AC0" w:rsidRPr="00325172" w:rsidRDefault="00F76AC0" w:rsidP="00F76AC0">
      <w:pPr>
        <w:rPr>
          <w:lang w:val="es-ES_tradnl"/>
        </w:rPr>
      </w:pPr>
      <w:r w:rsidRPr="00445A0A">
        <w:rPr>
          <w:i/>
          <w:iCs/>
          <w:lang w:val="es-ES_tradnl"/>
        </w:rPr>
        <w:t>b)</w:t>
      </w:r>
      <w:r w:rsidRPr="00325172">
        <w:rPr>
          <w:lang w:val="es-ES_tradnl"/>
        </w:rPr>
        <w:tab/>
        <w:t>que en la Recomendación UIT-R SA.1160, se especifican los criterios de interferencia combinada necesarios para determinar los criterios de compartición;</w:t>
      </w:r>
    </w:p>
    <w:p w:rsidR="00F76AC0" w:rsidRPr="00325172" w:rsidRDefault="00F76AC0" w:rsidP="00F76AC0">
      <w:pPr>
        <w:rPr>
          <w:lang w:val="es-ES_tradnl"/>
        </w:rPr>
      </w:pPr>
      <w:r w:rsidRPr="00445A0A">
        <w:rPr>
          <w:i/>
          <w:iCs/>
          <w:lang w:val="es-ES_tradnl"/>
        </w:rPr>
        <w:t>c)</w:t>
      </w:r>
      <w:r w:rsidRPr="00325172">
        <w:rPr>
          <w:lang w:val="es-ES_tradnl"/>
        </w:rPr>
        <w:tab/>
        <w:t>que los criterios de compartición pueden determinarse utilizando la metodología descrita en la Recomendación UIT-R SA.1023</w:t>
      </w:r>
      <w:r>
        <w:rPr>
          <w:lang w:val="es-ES_tradnl"/>
        </w:rPr>
        <w:t>;</w:t>
      </w:r>
    </w:p>
    <w:p w:rsidR="00F76AC0" w:rsidRPr="00325172" w:rsidRDefault="00F76AC0" w:rsidP="00F76AC0">
      <w:pPr>
        <w:rPr>
          <w:lang w:val="es-ES_tradnl"/>
        </w:rPr>
      </w:pPr>
      <w:r w:rsidRPr="00445A0A">
        <w:rPr>
          <w:i/>
          <w:iCs/>
          <w:lang w:val="es-ES_tradnl"/>
        </w:rPr>
        <w:t>d)</w:t>
      </w:r>
      <w:r w:rsidRPr="00325172">
        <w:rPr>
          <w:lang w:val="es-ES_tradnl"/>
        </w:rPr>
        <w:tab/>
        <w:t>que la distribución típica de las estaciones interferentes puede variar en el transcurso de los años como resultado del aumento del número de sistemas y de las revisiones de las atribuciones de bandas de frecuencias adoptadas por las conferencias mundiales de radiocomunicaciones;</w:t>
      </w:r>
    </w:p>
    <w:p w:rsidR="00F76AC0" w:rsidRPr="00325172" w:rsidRDefault="00F76AC0" w:rsidP="00F76AC0">
      <w:pPr>
        <w:rPr>
          <w:lang w:val="es-ES_tradnl"/>
        </w:rPr>
      </w:pPr>
      <w:r w:rsidRPr="00445A0A">
        <w:rPr>
          <w:i/>
          <w:iCs/>
          <w:lang w:val="es-ES_tradnl"/>
        </w:rPr>
        <w:t>e)</w:t>
      </w:r>
      <w:r w:rsidRPr="00325172">
        <w:rPr>
          <w:lang w:val="es-ES_tradnl"/>
        </w:rPr>
        <w:tab/>
        <w:t>que controlando la utilización del espectro de radiofrecuencias en su propio territorio y mediante la coordinación internacional de las asignaciones de frecuencia, las administraciones pueden ejercer un cierto grado de control sobre el número de sistemas que pueden causar interferencia a niveles significativos;</w:t>
      </w:r>
    </w:p>
    <w:p w:rsidR="00F76AC0" w:rsidRPr="00325172" w:rsidRDefault="00F76AC0" w:rsidP="00F76AC0">
      <w:pPr>
        <w:rPr>
          <w:lang w:val="es-ES_tradnl"/>
        </w:rPr>
      </w:pPr>
      <w:r w:rsidRPr="00445A0A">
        <w:rPr>
          <w:i/>
          <w:iCs/>
          <w:lang w:val="es-ES_tradnl"/>
        </w:rPr>
        <w:t>f)</w:t>
      </w:r>
      <w:r w:rsidRPr="00325172">
        <w:rPr>
          <w:lang w:val="es-ES_tradnl"/>
        </w:rPr>
        <w:tab/>
        <w:t>que no es probable que el entorno de interferencia de las estaciones terrenas operando a bordo de buques en el servicio MetSat sea más desfavorable que el entorno de las estaciones terrenas operando en tierra</w:t>
      </w:r>
      <w:r>
        <w:rPr>
          <w:lang w:val="es-ES_tradnl"/>
        </w:rPr>
        <w:t>,</w:t>
      </w:r>
    </w:p>
    <w:p w:rsidR="00F76AC0" w:rsidRDefault="00F76AC0" w:rsidP="00F76AC0">
      <w:pPr>
        <w:pStyle w:val="Call"/>
        <w:rPr>
          <w:lang w:val="es-ES_tradnl"/>
        </w:rPr>
      </w:pPr>
      <w:proofErr w:type="gramStart"/>
      <w:r>
        <w:rPr>
          <w:lang w:val="es-ES_tradnl"/>
        </w:rPr>
        <w:t>recomienda</w:t>
      </w:r>
      <w:proofErr w:type="gramEnd"/>
    </w:p>
    <w:p w:rsidR="00F76AC0" w:rsidRPr="00325172" w:rsidRDefault="00F76AC0" w:rsidP="00F76AC0">
      <w:pPr>
        <w:rPr>
          <w:lang w:val="es-ES_tradnl"/>
        </w:rPr>
      </w:pPr>
      <w:r w:rsidRPr="00325172">
        <w:rPr>
          <w:b/>
          <w:lang w:val="es-ES_tradnl"/>
        </w:rPr>
        <w:t>1</w:t>
      </w:r>
      <w:r w:rsidRPr="00325172">
        <w:rPr>
          <w:lang w:val="es-ES_tradnl"/>
        </w:rPr>
        <w:tab/>
        <w:t xml:space="preserve">que se utilicen los niveles de interferencia procedentes de una sola fuente </w:t>
      </w:r>
      <w:proofErr w:type="gramStart"/>
      <w:r w:rsidRPr="00325172">
        <w:rPr>
          <w:lang w:val="es-ES_tradnl"/>
        </w:rPr>
        <w:t>indicados</w:t>
      </w:r>
      <w:proofErr w:type="gramEnd"/>
      <w:r w:rsidRPr="00325172">
        <w:rPr>
          <w:lang w:val="es-ES_tradnl"/>
        </w:rPr>
        <w:t xml:space="preserve"> en el Cuadro 1 como criterios de compartición con miras a proteger las estaciones que funcionan en el SETS y en el servicio MetSat;</w:t>
      </w:r>
    </w:p>
    <w:p w:rsidR="00F76AC0" w:rsidRPr="00325172" w:rsidRDefault="00F76AC0" w:rsidP="00F76AC0">
      <w:pPr>
        <w:rPr>
          <w:lang w:val="es-ES_tradnl"/>
        </w:rPr>
      </w:pPr>
      <w:r w:rsidRPr="00325172">
        <w:rPr>
          <w:b/>
          <w:lang w:val="es-ES_tradnl"/>
        </w:rPr>
        <w:t>2</w:t>
      </w:r>
      <w:r w:rsidRPr="00325172">
        <w:rPr>
          <w:lang w:val="es-ES_tradnl"/>
        </w:rPr>
        <w:tab/>
        <w:t>que se utilicen los criterios especificados en el § 1 como base para establecer los umbrales de coordinación de las estaciones terrenas de recepción que funcionan en el SETS y en el servicio MetSat en bandas compartidas con servicios terrenales;</w:t>
      </w:r>
    </w:p>
    <w:p w:rsidR="00F76AC0" w:rsidRPr="00325172" w:rsidRDefault="00F76AC0" w:rsidP="00F76AC0">
      <w:pPr>
        <w:rPr>
          <w:lang w:val="es-ES_tradnl"/>
        </w:rPr>
      </w:pPr>
      <w:r w:rsidRPr="00325172">
        <w:rPr>
          <w:b/>
          <w:lang w:val="es-ES_tradnl"/>
        </w:rPr>
        <w:lastRenderedPageBreak/>
        <w:t>3</w:t>
      </w:r>
      <w:r w:rsidRPr="00325172">
        <w:rPr>
          <w:lang w:val="es-ES_tradnl"/>
        </w:rPr>
        <w:tab/>
        <w:t>que se utilice, como valor umbral para la coordinación entre las estaciones espaciales de transmisión y las estaciones terrenas de recepción que funcionan en el SETS y en el servicio MetSat, el 6% de incremento de la temperatura de ruido equivalente del enlace;</w:t>
      </w:r>
    </w:p>
    <w:p w:rsidR="00F76AC0" w:rsidRPr="00325172" w:rsidRDefault="00F76AC0" w:rsidP="00F76AC0">
      <w:pPr>
        <w:rPr>
          <w:lang w:val="es-ES_tradnl"/>
        </w:rPr>
      </w:pPr>
      <w:r w:rsidRPr="00325172">
        <w:rPr>
          <w:b/>
          <w:lang w:val="es-ES_tradnl"/>
        </w:rPr>
        <w:t>4</w:t>
      </w:r>
      <w:r w:rsidRPr="00325172">
        <w:rPr>
          <w:lang w:val="es-ES_tradnl"/>
        </w:rPr>
        <w:tab/>
        <w:t>que se examine periódicamente la distribución de las fuentes interferentes especificada en el Anexo para determinar si debe revisarse el entorno de interferencia típico y los consiguientes criterios de compartición.</w:t>
      </w:r>
    </w:p>
    <w:p w:rsidR="00F76AC0" w:rsidRPr="00325172" w:rsidRDefault="00F76AC0" w:rsidP="003B2B4F">
      <w:pPr>
        <w:rPr>
          <w:lang w:val="es-ES_tradnl"/>
        </w:rPr>
      </w:pPr>
      <w:r w:rsidRPr="00325172">
        <w:rPr>
          <w:lang w:val="es-ES_tradnl"/>
        </w:rPr>
        <w:t>NOTA 1 – Los criterios de compartición señalados en el Cuadro 1 (incluyendo las Notas) deben aplicarse en los análisis de compartición de frecuencias y en la coordinación de asignaciones de frecuencias (es decir, como umbrales de interferencia para las estaciones terrenas correspondientes). En el proceso de coordinación, el entorno de interferencia real de la estación terrena de recepción debe compararse con el que se supone en el Anexo 1 para ayudar a determinar si puede aceptarse una potencia de señal interferente superior al nivel de interferencia admisible de una sola fuente. Por lo general, esta consideración puede llevar a aceptar niveles de interferencia de una fuente tan altos como los especificados en los criterios de interferencia aplicables (Recomendación UIT</w:t>
      </w:r>
      <w:r w:rsidRPr="00325172">
        <w:rPr>
          <w:lang w:val="es-ES_tradnl"/>
        </w:rPr>
        <w:noBreakHyphen/>
        <w:t>R SA.1160).</w:t>
      </w:r>
    </w:p>
    <w:p w:rsidR="00F76AC0" w:rsidRPr="00325172" w:rsidRDefault="00F76AC0" w:rsidP="00F76AC0">
      <w:pPr>
        <w:pStyle w:val="Note"/>
        <w:rPr>
          <w:lang w:val="es-ES_tradnl"/>
        </w:rPr>
      </w:pPr>
      <w:r w:rsidRPr="00325172">
        <w:rPr>
          <w:lang w:val="es-ES_tradnl"/>
        </w:rPr>
        <w:t>NOTA 2 – El umbral de coordinación especificado en el § 3 es lo suficientemente conservador como para asegurar que la interferencia se mantendrá por debajo de los niveles admisibles cuando no se activa la coordinación. Para aplicar dicho criterio cuando se determina si la interferencia causada por un vehículo espacial transmisor pue</w:t>
      </w:r>
      <w:r w:rsidRPr="003B2B4F">
        <w:t>d</w:t>
      </w:r>
      <w:r w:rsidRPr="00325172">
        <w:rPr>
          <w:lang w:val="es-ES_tradnl"/>
        </w:rPr>
        <w:t xml:space="preserve">e alcanzar niveles inaceptables, puede adaptarse y aplicarse a las estaciones correspondientes el método descrito en el Apéndice S8 </w:t>
      </w:r>
      <w:r>
        <w:rPr>
          <w:lang w:val="es-ES_tradnl"/>
        </w:rPr>
        <w:t>de</w:t>
      </w:r>
      <w:r w:rsidRPr="00325172">
        <w:rPr>
          <w:lang w:val="es-ES_tradnl"/>
        </w:rPr>
        <w:t>l Reglamento de Radiocomunicaciones. Con objeto de evitar un proceso de coordinación innecesario, las administraciones pueden suponer que la estación terrena de recepción cuenta con una antena que puede lograr un cierto nivel de discriminación (por ejemplo, un nivel de discriminación disponible durante el 99,9% del tiempo).</w:t>
      </w:r>
    </w:p>
    <w:p w:rsidR="00F76AC0" w:rsidRPr="00325172" w:rsidRDefault="00F76AC0" w:rsidP="003B2B4F">
      <w:pPr>
        <w:rPr>
          <w:lang w:val="es-ES_tradnl"/>
        </w:rPr>
      </w:pPr>
      <w:r w:rsidRPr="00325172">
        <w:rPr>
          <w:lang w:val="es-ES_tradnl"/>
        </w:rPr>
        <w:t>NOTA 3</w:t>
      </w:r>
      <w:bookmarkStart w:id="5" w:name="dsgno"/>
      <w:bookmarkEnd w:id="5"/>
      <w:r w:rsidRPr="00325172">
        <w:rPr>
          <w:lang w:val="es-ES_tradnl"/>
        </w:rPr>
        <w:t> – Los criterios del Cuadro 1 se basan en el entorno de interferencia dado en el Anexo (véase también el § 4).</w:t>
      </w:r>
    </w:p>
    <w:p w:rsidR="00F76AC0" w:rsidRPr="00325172" w:rsidRDefault="00F76AC0" w:rsidP="00F76AC0">
      <w:pPr>
        <w:pStyle w:val="TableNo"/>
        <w:rPr>
          <w:lang w:val="es-ES_tradnl"/>
        </w:rPr>
      </w:pPr>
      <w:r w:rsidRPr="00325172">
        <w:rPr>
          <w:lang w:val="es-ES_tradnl"/>
        </w:rPr>
        <w:t>CUADRO 1</w:t>
      </w:r>
    </w:p>
    <w:p w:rsidR="00F76AC0" w:rsidRPr="00325172" w:rsidRDefault="00F76AC0" w:rsidP="00F76AC0">
      <w:pPr>
        <w:pStyle w:val="Tabletitle"/>
        <w:rPr>
          <w:lang w:val="es-ES_tradnl"/>
        </w:rPr>
      </w:pPr>
      <w:r w:rsidRPr="00325172">
        <w:rPr>
          <w:lang w:val="es-ES_tradnl"/>
        </w:rPr>
        <w:t>Criterios de compartición para las estaciones que funcionan en el SETS y el servicio MetSat</w:t>
      </w:r>
      <w:r w:rsidRPr="00325172">
        <w:rPr>
          <w:lang w:val="es-ES_tradnl"/>
        </w:rPr>
        <w:br/>
        <w:t>que utilizan vehículos espaciales en órbita geoestacionaria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1926"/>
        <w:gridCol w:w="1926"/>
        <w:gridCol w:w="1926"/>
        <w:gridCol w:w="1926"/>
      </w:tblGrid>
      <w:tr w:rsidR="00F76AC0" w:rsidRPr="00F76AC0" w:rsidTr="000002C9">
        <w:tc>
          <w:tcPr>
            <w:tcW w:w="1925" w:type="dxa"/>
            <w:vMerge w:val="restart"/>
            <w:shd w:val="clear" w:color="auto" w:fill="auto"/>
            <w:vAlign w:val="center"/>
          </w:tcPr>
          <w:p w:rsidR="00F76AC0" w:rsidRPr="00325172" w:rsidRDefault="00F76AC0" w:rsidP="000002C9">
            <w:pPr>
              <w:pStyle w:val="Tablehead"/>
              <w:rPr>
                <w:lang w:val="es-ES_tradnl" w:eastAsia="zh-CN"/>
              </w:rPr>
            </w:pPr>
            <w:r>
              <w:rPr>
                <w:lang w:val="es-ES_tradnl" w:eastAsia="zh-CN"/>
              </w:rPr>
              <w:t>Banda de frecuencias</w:t>
            </w:r>
          </w:p>
        </w:tc>
        <w:tc>
          <w:tcPr>
            <w:tcW w:w="3852" w:type="dxa"/>
            <w:gridSpan w:val="2"/>
            <w:shd w:val="clear" w:color="auto" w:fill="auto"/>
          </w:tcPr>
          <w:p w:rsidR="00F76AC0" w:rsidRPr="00325172" w:rsidRDefault="00F76AC0" w:rsidP="000002C9">
            <w:pPr>
              <w:pStyle w:val="Tablehead"/>
              <w:rPr>
                <w:lang w:val="es-ES_tradnl" w:eastAsia="zh-CN"/>
              </w:rPr>
            </w:pPr>
            <w:r w:rsidRPr="00325172">
              <w:rPr>
                <w:lang w:val="es-ES_tradnl" w:eastAsia="zh-CN"/>
              </w:rPr>
              <w:t>Potencia de la señal de interferencia (dBW) en la anchura de banda de referencia que no debe rebasarse</w:t>
            </w:r>
            <w:r w:rsidRPr="00325172">
              <w:rPr>
                <w:lang w:val="es-ES_tradnl" w:eastAsia="zh-CN"/>
              </w:rPr>
              <w:br/>
              <w:t>más del 20% del tiempo</w:t>
            </w:r>
          </w:p>
        </w:tc>
        <w:tc>
          <w:tcPr>
            <w:tcW w:w="3852" w:type="dxa"/>
            <w:gridSpan w:val="2"/>
            <w:shd w:val="clear" w:color="auto" w:fill="auto"/>
          </w:tcPr>
          <w:p w:rsidR="00F76AC0" w:rsidRPr="00325172" w:rsidRDefault="00F76AC0" w:rsidP="000002C9">
            <w:pPr>
              <w:pStyle w:val="Tablehead"/>
              <w:rPr>
                <w:lang w:val="es-ES_tradnl" w:eastAsia="zh-CN"/>
              </w:rPr>
            </w:pPr>
            <w:r w:rsidRPr="00325172">
              <w:rPr>
                <w:lang w:val="es-ES_tradnl" w:eastAsia="zh-CN"/>
              </w:rPr>
              <w:t>Potencia de la señal interferente (dBW) en la anchura de banda de referencia</w:t>
            </w:r>
            <w:r>
              <w:rPr>
                <w:lang w:val="es-ES_tradnl" w:eastAsia="zh-CN"/>
              </w:rPr>
              <w:t xml:space="preserve"> </w:t>
            </w:r>
            <w:r w:rsidRPr="00325172">
              <w:rPr>
                <w:lang w:val="es-ES_tradnl" w:eastAsia="zh-CN"/>
              </w:rPr>
              <w:t xml:space="preserve">que no debe rebasarse durante más del </w:t>
            </w:r>
            <w:r w:rsidRPr="00325172">
              <w:rPr>
                <w:i/>
                <w:lang w:val="es-ES_tradnl" w:eastAsia="zh-CN"/>
              </w:rPr>
              <w:t>p</w:t>
            </w:r>
            <w:r w:rsidRPr="00325172">
              <w:rPr>
                <w:lang w:val="es-ES_tradnl" w:eastAsia="zh-CN"/>
              </w:rPr>
              <w:t>% del tiempo</w:t>
            </w:r>
          </w:p>
        </w:tc>
      </w:tr>
      <w:tr w:rsidR="00F76AC0" w:rsidRPr="00325172" w:rsidTr="000002C9">
        <w:tc>
          <w:tcPr>
            <w:tcW w:w="1925" w:type="dxa"/>
            <w:vMerge/>
            <w:shd w:val="clear" w:color="auto" w:fill="auto"/>
          </w:tcPr>
          <w:p w:rsidR="00F76AC0" w:rsidRPr="00325172" w:rsidRDefault="00F76AC0" w:rsidP="000002C9">
            <w:pPr>
              <w:pStyle w:val="Tablehead"/>
              <w:rPr>
                <w:lang w:val="es-ES_tradnl" w:eastAsia="zh-CN"/>
              </w:rPr>
            </w:pPr>
          </w:p>
        </w:tc>
        <w:tc>
          <w:tcPr>
            <w:tcW w:w="1926" w:type="dxa"/>
            <w:tcBorders>
              <w:top w:val="single" w:sz="6" w:space="0" w:color="auto"/>
              <w:left w:val="single" w:sz="6" w:space="0" w:color="auto"/>
              <w:bottom w:val="single" w:sz="6" w:space="0" w:color="auto"/>
              <w:right w:val="single" w:sz="6" w:space="0" w:color="auto"/>
            </w:tcBorders>
            <w:shd w:val="clear" w:color="auto" w:fill="auto"/>
          </w:tcPr>
          <w:p w:rsidR="00F76AC0" w:rsidRPr="007B7E00" w:rsidRDefault="00F76AC0" w:rsidP="000002C9">
            <w:pPr>
              <w:pStyle w:val="Tablehead"/>
              <w:rPr>
                <w:lang w:val="es-ES_tradnl" w:eastAsia="zh-CN"/>
              </w:rPr>
            </w:pPr>
            <w:r w:rsidRPr="00325172">
              <w:rPr>
                <w:lang w:val="es-ES_tradnl" w:eastAsia="zh-CN"/>
              </w:rPr>
              <w:t>Espacio</w:t>
            </w:r>
          </w:p>
        </w:tc>
        <w:tc>
          <w:tcPr>
            <w:tcW w:w="1926" w:type="dxa"/>
            <w:tcBorders>
              <w:top w:val="single" w:sz="6" w:space="0" w:color="auto"/>
              <w:left w:val="single" w:sz="6" w:space="0" w:color="auto"/>
              <w:bottom w:val="single" w:sz="6" w:space="0" w:color="auto"/>
              <w:right w:val="single" w:sz="6" w:space="0" w:color="auto"/>
            </w:tcBorders>
            <w:shd w:val="clear" w:color="auto" w:fill="auto"/>
          </w:tcPr>
          <w:p w:rsidR="00F76AC0" w:rsidRPr="007B7E00" w:rsidRDefault="00F76AC0" w:rsidP="000002C9">
            <w:pPr>
              <w:pStyle w:val="Tablehead"/>
              <w:rPr>
                <w:lang w:val="es-ES_tradnl" w:eastAsia="zh-CN"/>
              </w:rPr>
            </w:pPr>
            <w:r w:rsidRPr="00325172">
              <w:rPr>
                <w:lang w:val="es-ES_tradnl" w:eastAsia="zh-CN"/>
              </w:rPr>
              <w:t>Terrenal</w:t>
            </w:r>
          </w:p>
        </w:tc>
        <w:tc>
          <w:tcPr>
            <w:tcW w:w="1926" w:type="dxa"/>
            <w:tcBorders>
              <w:top w:val="single" w:sz="6" w:space="0" w:color="auto"/>
              <w:left w:val="single" w:sz="6" w:space="0" w:color="auto"/>
              <w:bottom w:val="single" w:sz="6" w:space="0" w:color="auto"/>
              <w:right w:val="single" w:sz="6" w:space="0" w:color="auto"/>
            </w:tcBorders>
            <w:shd w:val="clear" w:color="auto" w:fill="auto"/>
          </w:tcPr>
          <w:p w:rsidR="00F76AC0" w:rsidRPr="007B7E00" w:rsidRDefault="00F76AC0" w:rsidP="000002C9">
            <w:pPr>
              <w:pStyle w:val="Tablehead"/>
              <w:rPr>
                <w:lang w:val="es-ES_tradnl" w:eastAsia="zh-CN"/>
              </w:rPr>
            </w:pPr>
            <w:r w:rsidRPr="00325172">
              <w:rPr>
                <w:lang w:val="es-ES_tradnl" w:eastAsia="zh-CN"/>
              </w:rPr>
              <w:t>Espacio</w:t>
            </w:r>
          </w:p>
        </w:tc>
        <w:tc>
          <w:tcPr>
            <w:tcW w:w="1926" w:type="dxa"/>
            <w:tcBorders>
              <w:top w:val="single" w:sz="6" w:space="0" w:color="auto"/>
              <w:left w:val="single" w:sz="6" w:space="0" w:color="auto"/>
              <w:bottom w:val="single" w:sz="6" w:space="0" w:color="auto"/>
              <w:right w:val="single" w:sz="6" w:space="0" w:color="auto"/>
            </w:tcBorders>
            <w:shd w:val="clear" w:color="auto" w:fill="auto"/>
          </w:tcPr>
          <w:p w:rsidR="00F76AC0" w:rsidRPr="007B7E00" w:rsidRDefault="00F76AC0" w:rsidP="000002C9">
            <w:pPr>
              <w:pStyle w:val="Tablehead"/>
              <w:rPr>
                <w:lang w:val="es-ES_tradnl" w:eastAsia="zh-CN"/>
              </w:rPr>
            </w:pPr>
            <w:r w:rsidRPr="00325172">
              <w:rPr>
                <w:lang w:val="es-ES_tradnl" w:eastAsia="zh-CN"/>
              </w:rPr>
              <w:t>Terrenal</w:t>
            </w:r>
          </w:p>
        </w:tc>
      </w:tr>
      <w:tr w:rsidR="00F76AC0" w:rsidRPr="00325172" w:rsidTr="000002C9">
        <w:tc>
          <w:tcPr>
            <w:tcW w:w="1925" w:type="dxa"/>
            <w:shd w:val="clear" w:color="auto" w:fill="auto"/>
          </w:tcPr>
          <w:p w:rsidR="00F76AC0" w:rsidRPr="00325172" w:rsidRDefault="00F76AC0" w:rsidP="000002C9">
            <w:pPr>
              <w:pStyle w:val="Tabletext"/>
              <w:rPr>
                <w:lang w:val="es-ES_tradnl" w:eastAsia="zh-CN"/>
              </w:rPr>
            </w:pPr>
            <w:r w:rsidRPr="00325172">
              <w:rPr>
                <w:lang w:val="es-ES_tradnl" w:eastAsia="zh-CN"/>
              </w:rPr>
              <w:t>1</w:t>
            </w:r>
            <w:r w:rsidRPr="00325172">
              <w:rPr>
                <w:rFonts w:ascii="Tms Rmn" w:hAnsi="Tms Rmn"/>
                <w:sz w:val="12"/>
                <w:lang w:val="es-ES_tradnl" w:eastAsia="zh-CN"/>
              </w:rPr>
              <w:t> </w:t>
            </w:r>
            <w:r w:rsidRPr="00325172">
              <w:rPr>
                <w:lang w:val="es-ES_tradnl" w:eastAsia="zh-CN"/>
              </w:rPr>
              <w:t>670-1</w:t>
            </w:r>
            <w:r w:rsidRPr="00325172">
              <w:rPr>
                <w:rFonts w:ascii="Tms Rmn" w:hAnsi="Tms Rmn"/>
                <w:sz w:val="12"/>
                <w:lang w:val="es-ES_tradnl" w:eastAsia="zh-CN"/>
              </w:rPr>
              <w:t> </w:t>
            </w:r>
            <w:r w:rsidRPr="00325172">
              <w:rPr>
                <w:lang w:val="es-ES_tradnl" w:eastAsia="zh-CN"/>
              </w:rPr>
              <w:t>710 MHz</w:t>
            </w:r>
          </w:p>
        </w:tc>
        <w:tc>
          <w:tcPr>
            <w:tcW w:w="1926" w:type="dxa"/>
            <w:shd w:val="clear" w:color="auto" w:fill="auto"/>
          </w:tcPr>
          <w:p w:rsidR="00F76AC0" w:rsidRPr="00325172" w:rsidRDefault="00F76AC0" w:rsidP="000002C9">
            <w:pPr>
              <w:pStyle w:val="Tabletext"/>
              <w:jc w:val="center"/>
              <w:rPr>
                <w:lang w:val="es-ES_tradnl" w:eastAsia="zh-CN"/>
              </w:rPr>
            </w:pPr>
            <w:r w:rsidRPr="00325172">
              <w:rPr>
                <w:lang w:val="es-ES_tradnl" w:eastAsia="zh-CN"/>
              </w:rPr>
              <w:t>−173,9 dBW</w:t>
            </w:r>
            <w:r w:rsidRPr="00325172">
              <w:rPr>
                <w:lang w:val="es-ES_tradnl" w:eastAsia="zh-CN"/>
              </w:rPr>
              <w:br/>
              <w:t>por 1 MHz</w:t>
            </w:r>
            <w:r w:rsidRPr="00325172">
              <w:rPr>
                <w:position w:val="6"/>
                <w:sz w:val="14"/>
                <w:lang w:val="es-ES_tradnl" w:eastAsia="zh-CN"/>
              </w:rPr>
              <w:t>(1)</w:t>
            </w:r>
          </w:p>
        </w:tc>
        <w:tc>
          <w:tcPr>
            <w:tcW w:w="1926" w:type="dxa"/>
            <w:shd w:val="clear" w:color="auto" w:fill="auto"/>
          </w:tcPr>
          <w:p w:rsidR="00F76AC0" w:rsidRPr="00325172" w:rsidRDefault="00F76AC0" w:rsidP="000002C9">
            <w:pPr>
              <w:pStyle w:val="Tabletext"/>
              <w:jc w:val="center"/>
              <w:rPr>
                <w:lang w:val="es-ES_tradnl" w:eastAsia="zh-CN"/>
              </w:rPr>
            </w:pPr>
            <w:r w:rsidRPr="00325172">
              <w:rPr>
                <w:lang w:val="es-ES_tradnl" w:eastAsia="zh-CN"/>
              </w:rPr>
              <w:t>−153,9 dBW</w:t>
            </w:r>
            <w:r w:rsidRPr="00325172">
              <w:rPr>
                <w:lang w:val="es-ES_tradnl" w:eastAsia="zh-CN"/>
              </w:rPr>
              <w:br/>
              <w:t>por 1 MHz</w:t>
            </w:r>
            <w:r w:rsidRPr="00325172">
              <w:rPr>
                <w:position w:val="6"/>
                <w:sz w:val="14"/>
                <w:lang w:val="es-ES_tradnl" w:eastAsia="zh-CN"/>
              </w:rPr>
              <w:t>(1)</w:t>
            </w:r>
          </w:p>
        </w:tc>
        <w:tc>
          <w:tcPr>
            <w:tcW w:w="1926" w:type="dxa"/>
            <w:shd w:val="clear" w:color="auto" w:fill="auto"/>
          </w:tcPr>
          <w:p w:rsidR="00F76AC0" w:rsidRPr="00325172" w:rsidRDefault="00F76AC0" w:rsidP="000002C9">
            <w:pPr>
              <w:pStyle w:val="Tabletext"/>
              <w:jc w:val="center"/>
              <w:rPr>
                <w:lang w:val="es-ES_tradnl" w:eastAsia="zh-CN"/>
              </w:rPr>
            </w:pPr>
            <w:r w:rsidRPr="00325172">
              <w:rPr>
                <w:lang w:val="es-ES_tradnl" w:eastAsia="zh-CN"/>
              </w:rPr>
              <w:t>−150,3 dBW</w:t>
            </w:r>
            <w:r w:rsidRPr="00325172">
              <w:rPr>
                <w:lang w:val="es-ES_tradnl" w:eastAsia="zh-CN"/>
              </w:rPr>
              <w:br/>
              <w:t>por 1 MHz</w:t>
            </w:r>
            <w:r w:rsidRPr="00325172">
              <w:rPr>
                <w:position w:val="6"/>
                <w:sz w:val="14"/>
                <w:lang w:val="es-ES_tradnl" w:eastAsia="zh-CN"/>
              </w:rPr>
              <w:t>(1)</w:t>
            </w:r>
            <w:r w:rsidRPr="00325172">
              <w:rPr>
                <w:lang w:val="es-ES_tradnl" w:eastAsia="zh-CN"/>
              </w:rPr>
              <w:br/>
            </w:r>
            <w:r w:rsidRPr="00325172">
              <w:rPr>
                <w:i/>
                <w:lang w:val="es-ES_tradnl" w:eastAsia="zh-CN"/>
              </w:rPr>
              <w:t>p</w:t>
            </w:r>
            <w:r w:rsidRPr="00325172">
              <w:rPr>
                <w:lang w:val="es-ES_tradnl" w:eastAsia="zh-CN"/>
              </w:rPr>
              <w:t xml:space="preserve"> </w:t>
            </w:r>
            <w:r>
              <w:rPr>
                <w:rFonts w:ascii="Symbol" w:hAnsi="Symbol"/>
                <w:lang w:val="es-ES_tradnl" w:eastAsia="zh-CN"/>
              </w:rPr>
              <w:t></w:t>
            </w:r>
            <w:r w:rsidRPr="00325172">
              <w:rPr>
                <w:lang w:val="es-ES_tradnl" w:eastAsia="zh-CN"/>
              </w:rPr>
              <w:t xml:space="preserve"> 0,0025</w:t>
            </w:r>
          </w:p>
        </w:tc>
        <w:tc>
          <w:tcPr>
            <w:tcW w:w="1926" w:type="dxa"/>
            <w:shd w:val="clear" w:color="auto" w:fill="auto"/>
          </w:tcPr>
          <w:p w:rsidR="00F76AC0" w:rsidRPr="00325172" w:rsidRDefault="00F76AC0" w:rsidP="000002C9">
            <w:pPr>
              <w:pStyle w:val="Tabletext"/>
              <w:jc w:val="center"/>
              <w:rPr>
                <w:lang w:val="es-ES_tradnl" w:eastAsia="zh-CN"/>
              </w:rPr>
            </w:pPr>
            <w:r w:rsidRPr="00325172">
              <w:rPr>
                <w:lang w:val="es-ES_tradnl" w:eastAsia="zh-CN"/>
              </w:rPr>
              <w:t>−148,7 dBW</w:t>
            </w:r>
            <w:r w:rsidRPr="00325172">
              <w:rPr>
                <w:lang w:val="es-ES_tradnl" w:eastAsia="zh-CN"/>
              </w:rPr>
              <w:br/>
              <w:t>por 1 MHz</w:t>
            </w:r>
            <w:r w:rsidRPr="00325172">
              <w:rPr>
                <w:position w:val="6"/>
                <w:sz w:val="14"/>
                <w:lang w:val="es-ES_tradnl" w:eastAsia="zh-CN"/>
              </w:rPr>
              <w:t>(1)</w:t>
            </w:r>
            <w:r w:rsidRPr="00325172">
              <w:rPr>
                <w:position w:val="6"/>
                <w:lang w:val="es-ES_tradnl" w:eastAsia="zh-CN"/>
              </w:rPr>
              <w:br/>
            </w:r>
            <w:r w:rsidRPr="00325172">
              <w:rPr>
                <w:i/>
                <w:lang w:val="es-ES_tradnl" w:eastAsia="zh-CN"/>
              </w:rPr>
              <w:t>p</w:t>
            </w:r>
            <w:r w:rsidRPr="00325172">
              <w:rPr>
                <w:lang w:val="es-ES_tradnl" w:eastAsia="zh-CN"/>
              </w:rPr>
              <w:t xml:space="preserve"> </w:t>
            </w:r>
            <w:r>
              <w:rPr>
                <w:rFonts w:ascii="Symbol" w:hAnsi="Symbol"/>
                <w:lang w:val="es-ES_tradnl" w:eastAsia="zh-CN"/>
              </w:rPr>
              <w:t></w:t>
            </w:r>
            <w:r w:rsidRPr="00325172">
              <w:rPr>
                <w:lang w:val="es-ES_tradnl" w:eastAsia="zh-CN"/>
              </w:rPr>
              <w:t xml:space="preserve"> 0,011</w:t>
            </w:r>
          </w:p>
        </w:tc>
      </w:tr>
      <w:tr w:rsidR="00F76AC0" w:rsidRPr="00325172" w:rsidTr="000002C9">
        <w:tc>
          <w:tcPr>
            <w:tcW w:w="1925" w:type="dxa"/>
            <w:tcBorders>
              <w:bottom w:val="single" w:sz="4" w:space="0" w:color="auto"/>
            </w:tcBorders>
            <w:shd w:val="clear" w:color="auto" w:fill="auto"/>
          </w:tcPr>
          <w:p w:rsidR="00F76AC0" w:rsidRPr="00325172" w:rsidRDefault="00F76AC0" w:rsidP="000002C9">
            <w:pPr>
              <w:pStyle w:val="Tabletext"/>
              <w:rPr>
                <w:lang w:val="es-ES_tradnl" w:eastAsia="zh-CN"/>
              </w:rPr>
            </w:pPr>
            <w:r w:rsidRPr="00325172">
              <w:rPr>
                <w:lang w:val="es-ES_tradnl" w:eastAsia="zh-CN"/>
              </w:rPr>
              <w:t>25</w:t>
            </w:r>
            <w:r w:rsidRPr="00325172">
              <w:rPr>
                <w:rFonts w:ascii="Tms Rmn" w:hAnsi="Tms Rmn"/>
                <w:sz w:val="12"/>
                <w:lang w:val="es-ES_tradnl" w:eastAsia="zh-CN"/>
              </w:rPr>
              <w:t>,</w:t>
            </w:r>
            <w:r w:rsidRPr="00325172">
              <w:rPr>
                <w:lang w:val="es-ES_tradnl" w:eastAsia="zh-CN"/>
              </w:rPr>
              <w:t>5-27 GHz</w:t>
            </w:r>
          </w:p>
        </w:tc>
        <w:tc>
          <w:tcPr>
            <w:tcW w:w="1926" w:type="dxa"/>
            <w:tcBorders>
              <w:bottom w:val="single" w:sz="4" w:space="0" w:color="auto"/>
            </w:tcBorders>
            <w:shd w:val="clear" w:color="auto" w:fill="auto"/>
          </w:tcPr>
          <w:p w:rsidR="00F76AC0" w:rsidRPr="00325172" w:rsidRDefault="00F76AC0" w:rsidP="000002C9">
            <w:pPr>
              <w:pStyle w:val="Tabletext"/>
              <w:jc w:val="center"/>
              <w:rPr>
                <w:lang w:val="es-ES_tradnl" w:eastAsia="zh-CN"/>
              </w:rPr>
            </w:pPr>
            <w:r w:rsidRPr="00325172">
              <w:rPr>
                <w:lang w:val="es-ES_tradnl" w:eastAsia="zh-CN"/>
              </w:rPr>
              <w:t>−164,6 dBW</w:t>
            </w:r>
            <w:r w:rsidRPr="00325172">
              <w:rPr>
                <w:lang w:val="es-ES_tradnl" w:eastAsia="zh-CN"/>
              </w:rPr>
              <w:br/>
              <w:t>por 10 MHz</w:t>
            </w:r>
            <w:r w:rsidRPr="00325172">
              <w:rPr>
                <w:position w:val="6"/>
                <w:sz w:val="14"/>
                <w:lang w:val="es-ES_tradnl" w:eastAsia="zh-CN"/>
              </w:rPr>
              <w:t>(2)</w:t>
            </w:r>
          </w:p>
        </w:tc>
        <w:tc>
          <w:tcPr>
            <w:tcW w:w="1926" w:type="dxa"/>
            <w:tcBorders>
              <w:bottom w:val="single" w:sz="4" w:space="0" w:color="auto"/>
            </w:tcBorders>
            <w:shd w:val="clear" w:color="auto" w:fill="auto"/>
          </w:tcPr>
          <w:p w:rsidR="00F76AC0" w:rsidRPr="00325172" w:rsidRDefault="00F76AC0" w:rsidP="000002C9">
            <w:pPr>
              <w:pStyle w:val="Tabletext"/>
              <w:jc w:val="center"/>
              <w:rPr>
                <w:lang w:val="es-ES_tradnl" w:eastAsia="zh-CN"/>
              </w:rPr>
            </w:pPr>
            <w:r w:rsidRPr="00325172">
              <w:rPr>
                <w:lang w:val="es-ES_tradnl" w:eastAsia="zh-CN"/>
              </w:rPr>
              <w:t>−147,7 dBW</w:t>
            </w:r>
            <w:r w:rsidRPr="00325172">
              <w:rPr>
                <w:lang w:val="es-ES_tradnl" w:eastAsia="zh-CN"/>
              </w:rPr>
              <w:br/>
              <w:t>por 10 MHz</w:t>
            </w:r>
            <w:r w:rsidRPr="00325172">
              <w:rPr>
                <w:position w:val="6"/>
                <w:sz w:val="14"/>
                <w:lang w:val="es-ES_tradnl" w:eastAsia="zh-CN"/>
              </w:rPr>
              <w:t>(2)</w:t>
            </w:r>
          </w:p>
        </w:tc>
        <w:tc>
          <w:tcPr>
            <w:tcW w:w="1926" w:type="dxa"/>
            <w:tcBorders>
              <w:bottom w:val="single" w:sz="4" w:space="0" w:color="auto"/>
            </w:tcBorders>
            <w:shd w:val="clear" w:color="auto" w:fill="auto"/>
          </w:tcPr>
          <w:p w:rsidR="00F76AC0" w:rsidRPr="00325172" w:rsidRDefault="00F76AC0" w:rsidP="000002C9">
            <w:pPr>
              <w:pStyle w:val="Tabletext"/>
              <w:jc w:val="center"/>
              <w:rPr>
                <w:lang w:val="es-ES_tradnl" w:eastAsia="zh-CN"/>
              </w:rPr>
            </w:pPr>
            <w:r w:rsidRPr="00325172">
              <w:rPr>
                <w:lang w:val="es-ES_tradnl" w:eastAsia="zh-CN"/>
              </w:rPr>
              <w:t>−133,3 dBW</w:t>
            </w:r>
            <w:r w:rsidRPr="00325172">
              <w:rPr>
                <w:lang w:val="es-ES_tradnl" w:eastAsia="zh-CN"/>
              </w:rPr>
              <w:br/>
              <w:t>por 10 MHz</w:t>
            </w:r>
            <w:r w:rsidRPr="00325172">
              <w:rPr>
                <w:position w:val="6"/>
                <w:sz w:val="14"/>
                <w:lang w:val="es-ES_tradnl" w:eastAsia="zh-CN"/>
              </w:rPr>
              <w:t>(2)</w:t>
            </w:r>
            <w:r w:rsidRPr="00325172">
              <w:rPr>
                <w:vertAlign w:val="superscript"/>
                <w:lang w:val="es-ES_tradnl" w:eastAsia="zh-CN"/>
              </w:rPr>
              <w:br/>
            </w:r>
            <w:r w:rsidRPr="00325172">
              <w:rPr>
                <w:i/>
                <w:iCs/>
                <w:lang w:val="es-ES_tradnl" w:eastAsia="zh-CN"/>
              </w:rPr>
              <w:t>p</w:t>
            </w:r>
            <w:r w:rsidRPr="00325172">
              <w:rPr>
                <w:lang w:val="es-ES_tradnl" w:eastAsia="zh-CN"/>
              </w:rPr>
              <w:t xml:space="preserve"> </w:t>
            </w:r>
            <w:r>
              <w:rPr>
                <w:rFonts w:ascii="Symbol" w:hAnsi="Symbol"/>
                <w:lang w:val="es-ES_tradnl" w:eastAsia="zh-CN"/>
              </w:rPr>
              <w:t></w:t>
            </w:r>
            <w:r w:rsidRPr="00325172">
              <w:rPr>
                <w:lang w:val="es-ES_tradnl" w:eastAsia="zh-CN"/>
              </w:rPr>
              <w:t xml:space="preserve"> 0,05</w:t>
            </w:r>
          </w:p>
        </w:tc>
        <w:tc>
          <w:tcPr>
            <w:tcW w:w="1926" w:type="dxa"/>
            <w:tcBorders>
              <w:bottom w:val="single" w:sz="4" w:space="0" w:color="auto"/>
            </w:tcBorders>
            <w:shd w:val="clear" w:color="auto" w:fill="auto"/>
          </w:tcPr>
          <w:p w:rsidR="00F76AC0" w:rsidRPr="00325172" w:rsidRDefault="00F76AC0" w:rsidP="000002C9">
            <w:pPr>
              <w:pStyle w:val="Tabletext"/>
              <w:jc w:val="center"/>
              <w:rPr>
                <w:lang w:val="es-ES_tradnl" w:eastAsia="zh-CN"/>
              </w:rPr>
            </w:pPr>
            <w:r w:rsidRPr="00325172">
              <w:rPr>
                <w:lang w:val="es-ES_tradnl" w:eastAsia="zh-CN"/>
              </w:rPr>
              <w:t>−133,0 dBW</w:t>
            </w:r>
            <w:r w:rsidRPr="00325172">
              <w:rPr>
                <w:lang w:val="es-ES_tradnl" w:eastAsia="zh-CN"/>
              </w:rPr>
              <w:br/>
              <w:t>por 10 MHz</w:t>
            </w:r>
            <w:r w:rsidRPr="00325172">
              <w:rPr>
                <w:position w:val="6"/>
                <w:sz w:val="14"/>
                <w:lang w:val="es-ES_tradnl" w:eastAsia="zh-CN"/>
              </w:rPr>
              <w:t>(2)</w:t>
            </w:r>
            <w:r w:rsidRPr="00325172">
              <w:rPr>
                <w:lang w:val="es-ES_tradnl" w:eastAsia="zh-CN"/>
              </w:rPr>
              <w:br/>
            </w:r>
            <w:r w:rsidRPr="00325172">
              <w:rPr>
                <w:i/>
                <w:iCs/>
                <w:lang w:val="es-ES_tradnl" w:eastAsia="zh-CN"/>
              </w:rPr>
              <w:t>p</w:t>
            </w:r>
            <w:r w:rsidRPr="00325172">
              <w:rPr>
                <w:lang w:val="es-ES_tradnl" w:eastAsia="zh-CN"/>
              </w:rPr>
              <w:t xml:space="preserve"> </w:t>
            </w:r>
            <w:r>
              <w:rPr>
                <w:rFonts w:ascii="Symbol" w:hAnsi="Symbol"/>
                <w:lang w:val="es-ES_tradnl" w:eastAsia="zh-CN"/>
              </w:rPr>
              <w:t></w:t>
            </w:r>
            <w:r w:rsidRPr="00325172">
              <w:rPr>
                <w:lang w:val="es-ES_tradnl" w:eastAsia="zh-CN"/>
              </w:rPr>
              <w:t xml:space="preserve"> 0,1</w:t>
            </w:r>
          </w:p>
        </w:tc>
      </w:tr>
      <w:tr w:rsidR="00F76AC0" w:rsidRPr="00F76AC0" w:rsidTr="000002C9">
        <w:tc>
          <w:tcPr>
            <w:tcW w:w="9629" w:type="dxa"/>
            <w:gridSpan w:val="5"/>
            <w:tcBorders>
              <w:left w:val="nil"/>
              <w:bottom w:val="nil"/>
              <w:right w:val="nil"/>
            </w:tcBorders>
            <w:shd w:val="clear" w:color="auto" w:fill="auto"/>
            <w:tcMar>
              <w:top w:w="113" w:type="dxa"/>
              <w:bottom w:w="113" w:type="dxa"/>
            </w:tcMar>
            <w:vAlign w:val="center"/>
          </w:tcPr>
          <w:p w:rsidR="00F76AC0" w:rsidRPr="00325172" w:rsidRDefault="00F76AC0" w:rsidP="000002C9">
            <w:pPr>
              <w:pStyle w:val="Tablelegend"/>
              <w:rPr>
                <w:lang w:val="es-ES_tradnl" w:eastAsia="zh-CN"/>
              </w:rPr>
            </w:pPr>
            <w:r w:rsidRPr="007B7E00">
              <w:rPr>
                <w:position w:val="6"/>
                <w:sz w:val="14"/>
                <w:lang w:val="es-ES_tradnl" w:eastAsia="zh-CN"/>
              </w:rPr>
              <w:t>(1)</w:t>
            </w:r>
            <w:r w:rsidRPr="00325172">
              <w:rPr>
                <w:lang w:val="es-ES_tradnl" w:eastAsia="zh-CN"/>
              </w:rPr>
              <w:tab/>
              <w:t>La potencia de la señal interferente (dBW) en la anchura de banda de referencia se da para una recepción con ángulos de elevación </w:t>
            </w:r>
            <w:r w:rsidRPr="00325172">
              <w:rPr>
                <w:rFonts w:ascii="Symbol" w:hAnsi="Symbol"/>
                <w:lang w:val="es-ES_tradnl" w:eastAsia="zh-CN"/>
              </w:rPr>
              <w:t></w:t>
            </w:r>
            <w:r w:rsidRPr="00325172">
              <w:rPr>
                <w:lang w:val="es-ES_tradnl" w:eastAsia="zh-CN"/>
              </w:rPr>
              <w:t> 3°.</w:t>
            </w:r>
          </w:p>
          <w:p w:rsidR="00F76AC0" w:rsidRPr="00325172" w:rsidRDefault="00F76AC0" w:rsidP="000002C9">
            <w:pPr>
              <w:pStyle w:val="Tablelegend"/>
              <w:rPr>
                <w:lang w:val="es-ES_tradnl" w:eastAsia="zh-CN"/>
              </w:rPr>
            </w:pPr>
            <w:r w:rsidRPr="007B7E00">
              <w:rPr>
                <w:position w:val="6"/>
                <w:sz w:val="14"/>
                <w:lang w:val="es-ES_tradnl" w:eastAsia="zh-CN"/>
              </w:rPr>
              <w:t>(2)</w:t>
            </w:r>
            <w:r w:rsidRPr="00325172">
              <w:rPr>
                <w:lang w:val="es-ES_tradnl" w:eastAsia="zh-CN"/>
              </w:rPr>
              <w:tab/>
              <w:t>La potencia de la señal interferente (dBW) en la anchura de banda de referencia se da para una recepción con ángulos de elevación </w:t>
            </w:r>
            <w:r w:rsidRPr="00325172">
              <w:rPr>
                <w:rFonts w:ascii="Symbol" w:hAnsi="Symbol"/>
                <w:lang w:val="es-ES_tradnl" w:eastAsia="zh-CN"/>
              </w:rPr>
              <w:t></w:t>
            </w:r>
            <w:r w:rsidRPr="00325172">
              <w:rPr>
                <w:lang w:val="es-ES_tradnl" w:eastAsia="zh-CN"/>
              </w:rPr>
              <w:t> 5°.</w:t>
            </w:r>
          </w:p>
        </w:tc>
      </w:tr>
    </w:tbl>
    <w:p w:rsidR="00F76AC0" w:rsidRPr="00F76AC0" w:rsidRDefault="00F76AC0" w:rsidP="00F76AC0">
      <w:pPr>
        <w:pStyle w:val="Tablefin"/>
        <w:rPr>
          <w:lang w:val="es-ES_tradnl"/>
        </w:rPr>
      </w:pPr>
    </w:p>
    <w:p w:rsidR="00F76AC0" w:rsidRDefault="00F76AC0" w:rsidP="00F76AC0">
      <w:pPr>
        <w:rPr>
          <w:lang w:val="es-ES"/>
        </w:rPr>
      </w:pPr>
      <w:r>
        <w:rPr>
          <w:lang w:val="es-ES"/>
        </w:rPr>
        <w:br w:type="page"/>
      </w:r>
    </w:p>
    <w:p w:rsidR="00F76AC0" w:rsidRPr="007B7E00" w:rsidRDefault="00F76AC0" w:rsidP="00F76AC0">
      <w:pPr>
        <w:pStyle w:val="Note"/>
        <w:rPr>
          <w:i/>
          <w:iCs/>
          <w:lang w:val="es-ES_tradnl"/>
        </w:rPr>
      </w:pPr>
      <w:r w:rsidRPr="007B7E00">
        <w:rPr>
          <w:i/>
          <w:iCs/>
          <w:lang w:val="es-ES_tradnl"/>
        </w:rPr>
        <w:lastRenderedPageBreak/>
        <w:t>Notas del Cuadro 1:</w:t>
      </w:r>
    </w:p>
    <w:p w:rsidR="00F76AC0" w:rsidRPr="00325172" w:rsidRDefault="00F76AC0" w:rsidP="00F76AC0">
      <w:pPr>
        <w:pStyle w:val="Note"/>
        <w:rPr>
          <w:lang w:val="es-ES_tradnl"/>
        </w:rPr>
      </w:pPr>
      <w:r w:rsidRPr="00325172">
        <w:rPr>
          <w:lang w:val="es-ES_tradnl"/>
        </w:rPr>
        <w:t>NOTA 1 – Los umbrales de potencia de señal interferente de una sola fuente en el Cuadro 1 son los niveles admisibles de potencia de señal interferente que caen dentro de la anchura de banda de referencia especificada. En consecuencia, la potencia total de las señales interferentes cuya anchura de banda es menor que la anchura de banda de referencia debe considerarse en los análisis de compartición de frecuencias. Cuando la anchura de banda de la señal interferente es mayor que la anchura de banda de referencia o no cubre totalmente la banda de paso del receptor específico sometido a estudio, debe aplicarse el rechazo dependiente de la frecuencia disponible junto con los niveles de interferencia admisibles especificados. En las Recomendaciones UIT-R pertinentes de la Serie SM figuran orientaciones sobre este tema.</w:t>
      </w:r>
    </w:p>
    <w:p w:rsidR="00F76AC0" w:rsidRPr="00325172" w:rsidRDefault="00F76AC0" w:rsidP="00F76AC0">
      <w:pPr>
        <w:pStyle w:val="Note"/>
        <w:rPr>
          <w:lang w:val="es-ES_tradnl"/>
        </w:rPr>
      </w:pPr>
      <w:r w:rsidRPr="00325172">
        <w:rPr>
          <w:lang w:val="es-ES_tradnl"/>
        </w:rPr>
        <w:t>NOTA 2 – Los criterios de compartición indicados en el Cuadro 1 se basan en estaciones terrenas representativas que tienen los valores de ganancia de antena especificados.</w:t>
      </w:r>
    </w:p>
    <w:p w:rsidR="00F76AC0" w:rsidRPr="00325172" w:rsidRDefault="00F76AC0" w:rsidP="00F76AC0">
      <w:pPr>
        <w:pStyle w:val="Note"/>
        <w:rPr>
          <w:lang w:val="es-ES_tradnl"/>
        </w:rPr>
      </w:pPr>
      <w:r w:rsidRPr="00325172">
        <w:rPr>
          <w:lang w:val="es-ES_tradnl"/>
        </w:rPr>
        <w:t>NOTA 3 – Para obtener los criterios de compartición anteriores a partir de los niveles admisibles de potencia total de la señal interferente no se ha tenido en cuenta la interferencia producida por emisiones no esenciales.</w:t>
      </w:r>
    </w:p>
    <w:p w:rsidR="00F76AC0" w:rsidRPr="00325172" w:rsidRDefault="00F76AC0" w:rsidP="00F76AC0">
      <w:pPr>
        <w:pStyle w:val="Note"/>
        <w:rPr>
          <w:lang w:val="es-ES_tradnl"/>
        </w:rPr>
      </w:pPr>
      <w:r w:rsidRPr="00325172">
        <w:rPr>
          <w:lang w:val="es-ES_tradnl"/>
        </w:rPr>
        <w:t>NOTA 4 – El nivel especificado de potencia de señal interferente de una sola fuente puede convertirse en valores equivalentes de la densidad de flujo de potencia y aplicarse como tales únicamente para las estaciones terrenas que utilicen antena de baja ganancia sin seguimiento.</w:t>
      </w:r>
    </w:p>
    <w:p w:rsidR="00F76AC0" w:rsidRPr="00325172" w:rsidRDefault="00F76AC0" w:rsidP="00F76AC0">
      <w:pPr>
        <w:pStyle w:val="Note"/>
        <w:rPr>
          <w:lang w:val="es-ES_tradnl"/>
        </w:rPr>
      </w:pPr>
      <w:r w:rsidRPr="00325172">
        <w:rPr>
          <w:lang w:val="es-ES_tradnl"/>
        </w:rPr>
        <w:t>NOTA 5 – Para que la interferencia tenga un nivel igual o inferior al admisible deben cumplirse los criterios de compartición a largo plazo (20% del tiempo) y a corto plazo (</w:t>
      </w:r>
      <w:r w:rsidRPr="00325172">
        <w:rPr>
          <w:i/>
          <w:lang w:val="es-ES_tradnl"/>
        </w:rPr>
        <w:t>p</w:t>
      </w:r>
      <w:r w:rsidRPr="00325172">
        <w:rPr>
          <w:lang w:val="es-ES_tradnl"/>
        </w:rPr>
        <w:t>% del tiempo).</w:t>
      </w:r>
    </w:p>
    <w:p w:rsidR="00F76AC0" w:rsidRPr="00325172" w:rsidRDefault="00F76AC0" w:rsidP="00F76AC0">
      <w:pPr>
        <w:pStyle w:val="Note"/>
        <w:rPr>
          <w:lang w:val="es-ES_tradnl"/>
        </w:rPr>
      </w:pPr>
      <w:r w:rsidRPr="00325172">
        <w:rPr>
          <w:lang w:val="es-ES_tradnl"/>
        </w:rPr>
        <w:t>NOTA 6 – Los criterios de compartición especificados para los trayectos de señales terrenales son aplicables a estaciones transmisoras de servicios terrenales y a estaciones terrenas de transmisión</w:t>
      </w:r>
      <w:r>
        <w:rPr>
          <w:lang w:val="es-ES_tradnl"/>
        </w:rPr>
        <w:t>.</w:t>
      </w:r>
    </w:p>
    <w:p w:rsidR="00F76AC0" w:rsidRDefault="00F76AC0" w:rsidP="00F76AC0">
      <w:pPr>
        <w:pStyle w:val="Tabletext"/>
        <w:rPr>
          <w:lang w:val="es-ES_tradnl"/>
        </w:rPr>
      </w:pPr>
    </w:p>
    <w:p w:rsidR="00F76AC0" w:rsidRPr="00325172" w:rsidRDefault="00F76AC0" w:rsidP="00F76AC0">
      <w:pPr>
        <w:pStyle w:val="AnnexNoTitle"/>
        <w:rPr>
          <w:lang w:val="es-ES_tradnl"/>
        </w:rPr>
      </w:pPr>
      <w:r w:rsidRPr="00325172">
        <w:rPr>
          <w:lang w:val="es-ES_tradnl"/>
        </w:rPr>
        <w:t xml:space="preserve">Anexo </w:t>
      </w:r>
      <w:r w:rsidRPr="00325172">
        <w:rPr>
          <w:lang w:val="es-ES_tradnl"/>
        </w:rPr>
        <w:br/>
      </w:r>
      <w:r w:rsidRPr="00325172">
        <w:rPr>
          <w:lang w:val="es-ES_tradnl"/>
        </w:rPr>
        <w:br/>
        <w:t>Bases para la determinación de los criterios de compartición</w:t>
      </w:r>
    </w:p>
    <w:p w:rsidR="00F76AC0" w:rsidRPr="00325172" w:rsidRDefault="00F76AC0" w:rsidP="00F76AC0">
      <w:pPr>
        <w:pStyle w:val="Heading1"/>
        <w:rPr>
          <w:lang w:val="es-ES_tradnl"/>
        </w:rPr>
      </w:pPr>
      <w:r w:rsidRPr="00325172">
        <w:rPr>
          <w:lang w:val="es-ES_tradnl"/>
        </w:rPr>
        <w:t>1</w:t>
      </w:r>
      <w:r w:rsidRPr="00325172">
        <w:rPr>
          <w:lang w:val="es-ES_tradnl"/>
        </w:rPr>
        <w:tab/>
        <w:t>Introducción</w:t>
      </w:r>
    </w:p>
    <w:p w:rsidR="00F76AC0" w:rsidRPr="00325172" w:rsidRDefault="00F76AC0" w:rsidP="00F76AC0">
      <w:pPr>
        <w:rPr>
          <w:lang w:val="es-ES_tradnl"/>
        </w:rPr>
      </w:pPr>
      <w:r w:rsidRPr="00325172">
        <w:rPr>
          <w:lang w:val="es-ES_tradnl"/>
        </w:rPr>
        <w:t>En este Anexo se presenta la aplicación de la Recomendación UIT-R SA.1023 utilizando los criterios de interferencia de la Recomendación UIT</w:t>
      </w:r>
      <w:r w:rsidRPr="00325172">
        <w:rPr>
          <w:lang w:val="es-ES_tradnl"/>
        </w:rPr>
        <w:noBreakHyphen/>
        <w:t>R SA.1160. Los niveles de interferencia admisible se dividen conforme a la Recomendación UIT</w:t>
      </w:r>
      <w:r w:rsidRPr="00325172">
        <w:rPr>
          <w:lang w:val="es-ES_tradnl"/>
        </w:rPr>
        <w:noBreakHyphen/>
        <w:t>R SA.1023 en categorías espaciales y terrenales y a su vez según el número de interferentes previstos en cada categoría. La base para esta adjudicación se indica en el Cuadro 2 y a continuación figura un análisis del entorno de interferencia en cada banda.</w:t>
      </w:r>
    </w:p>
    <w:p w:rsidR="00F76AC0" w:rsidRPr="00325172" w:rsidRDefault="00F76AC0" w:rsidP="00F76AC0">
      <w:pPr>
        <w:pStyle w:val="TableNo"/>
        <w:rPr>
          <w:lang w:val="es-ES_tradnl"/>
        </w:rPr>
      </w:pPr>
      <w:r w:rsidRPr="00325172">
        <w:rPr>
          <w:lang w:val="es-ES_tradnl"/>
        </w:rPr>
        <w:t>CUADRO 2</w:t>
      </w:r>
    </w:p>
    <w:p w:rsidR="00F76AC0" w:rsidRPr="00325172" w:rsidRDefault="00F76AC0" w:rsidP="00F76AC0">
      <w:pPr>
        <w:pStyle w:val="Tabletitle"/>
        <w:rPr>
          <w:lang w:val="es-ES_tradnl"/>
        </w:rPr>
      </w:pPr>
      <w:r w:rsidRPr="00325172">
        <w:rPr>
          <w:lang w:val="es-ES_tradnl"/>
        </w:rPr>
        <w:t>Parámetros utilizados para obtener los criterios de compartición</w:t>
      </w:r>
      <w:r w:rsidRPr="00325172">
        <w:rPr>
          <w:lang w:val="es-ES_tradnl"/>
        </w:rPr>
        <w:br/>
        <w:t>(utilizando la metodología de la Recomendación UIT-R SA.1023)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7"/>
        <w:gridCol w:w="950"/>
        <w:gridCol w:w="1148"/>
        <w:gridCol w:w="950"/>
        <w:gridCol w:w="1148"/>
        <w:gridCol w:w="950"/>
        <w:gridCol w:w="1148"/>
        <w:gridCol w:w="950"/>
        <w:gridCol w:w="1148"/>
      </w:tblGrid>
      <w:tr w:rsidR="00F76AC0" w:rsidRPr="00F76AC0" w:rsidTr="000002C9">
        <w:trPr>
          <w:jc w:val="center"/>
        </w:trPr>
        <w:tc>
          <w:tcPr>
            <w:tcW w:w="1265" w:type="dxa"/>
            <w:vMerge w:val="restart"/>
            <w:shd w:val="clear" w:color="auto" w:fill="auto"/>
            <w:vAlign w:val="center"/>
          </w:tcPr>
          <w:p w:rsidR="00F76AC0" w:rsidRPr="00325172" w:rsidRDefault="00F76AC0" w:rsidP="000002C9">
            <w:pPr>
              <w:pStyle w:val="Tablehead"/>
              <w:rPr>
                <w:sz w:val="20"/>
                <w:lang w:val="es-ES_tradnl" w:eastAsia="zh-CN"/>
              </w:rPr>
            </w:pPr>
            <w:r w:rsidRPr="00325172">
              <w:rPr>
                <w:sz w:val="20"/>
                <w:lang w:val="es-ES_tradnl" w:eastAsia="zh-CN"/>
              </w:rPr>
              <w:t>Banda de</w:t>
            </w:r>
            <w:r w:rsidRPr="00325172">
              <w:rPr>
                <w:sz w:val="20"/>
                <w:lang w:val="es-ES_tradnl" w:eastAsia="zh-CN"/>
              </w:rPr>
              <w:br/>
              <w:t>frecuencias</w:t>
            </w:r>
          </w:p>
        </w:tc>
        <w:tc>
          <w:tcPr>
            <w:tcW w:w="2091" w:type="dxa"/>
            <w:gridSpan w:val="2"/>
            <w:shd w:val="clear" w:color="auto" w:fill="auto"/>
            <w:vAlign w:val="center"/>
          </w:tcPr>
          <w:p w:rsidR="00F76AC0" w:rsidRPr="00325172" w:rsidRDefault="00F76AC0" w:rsidP="000002C9">
            <w:pPr>
              <w:pStyle w:val="Tablehead"/>
              <w:rPr>
                <w:sz w:val="20"/>
                <w:lang w:val="es-ES_tradnl" w:eastAsia="zh-CN"/>
              </w:rPr>
            </w:pPr>
            <w:r w:rsidRPr="00325172">
              <w:rPr>
                <w:sz w:val="20"/>
                <w:lang w:val="es-ES_tradnl" w:eastAsia="zh-CN"/>
              </w:rPr>
              <w:t>Distribución a largo plazo entre categorías de interferentes</w:t>
            </w:r>
          </w:p>
        </w:tc>
        <w:tc>
          <w:tcPr>
            <w:tcW w:w="2091" w:type="dxa"/>
            <w:gridSpan w:val="2"/>
            <w:shd w:val="clear" w:color="auto" w:fill="auto"/>
            <w:vAlign w:val="center"/>
          </w:tcPr>
          <w:p w:rsidR="00F76AC0" w:rsidRPr="00325172" w:rsidRDefault="00F76AC0" w:rsidP="000002C9">
            <w:pPr>
              <w:pStyle w:val="Tablehead"/>
              <w:rPr>
                <w:sz w:val="20"/>
                <w:lang w:val="es-ES_tradnl" w:eastAsia="zh-CN"/>
              </w:rPr>
            </w:pPr>
            <w:r w:rsidRPr="00325172">
              <w:rPr>
                <w:sz w:val="20"/>
                <w:lang w:val="es-ES_tradnl" w:eastAsia="zh-CN"/>
              </w:rPr>
              <w:t>Distribución a corto plazo entre categorías de interferentes</w:t>
            </w:r>
          </w:p>
        </w:tc>
        <w:tc>
          <w:tcPr>
            <w:tcW w:w="2091" w:type="dxa"/>
            <w:gridSpan w:val="2"/>
            <w:shd w:val="clear" w:color="auto" w:fill="auto"/>
          </w:tcPr>
          <w:p w:rsidR="00F76AC0" w:rsidRPr="00325172" w:rsidRDefault="00F76AC0" w:rsidP="000002C9">
            <w:pPr>
              <w:keepNext/>
              <w:spacing w:before="100" w:after="100" w:line="190" w:lineRule="exact"/>
              <w:jc w:val="center"/>
              <w:rPr>
                <w:b/>
                <w:sz w:val="20"/>
                <w:lang w:val="es-ES_tradnl"/>
              </w:rPr>
            </w:pPr>
            <w:r w:rsidRPr="00325172">
              <w:rPr>
                <w:b/>
                <w:sz w:val="20"/>
                <w:lang w:val="es-ES_tradnl"/>
              </w:rPr>
              <w:t>Número equivalente de interferentes a largo plazo</w:t>
            </w:r>
          </w:p>
        </w:tc>
        <w:tc>
          <w:tcPr>
            <w:tcW w:w="2091" w:type="dxa"/>
            <w:gridSpan w:val="2"/>
            <w:shd w:val="clear" w:color="auto" w:fill="auto"/>
          </w:tcPr>
          <w:p w:rsidR="00F76AC0" w:rsidRPr="00325172" w:rsidRDefault="00F76AC0" w:rsidP="000002C9">
            <w:pPr>
              <w:keepNext/>
              <w:spacing w:before="100" w:after="100" w:line="190" w:lineRule="exact"/>
              <w:jc w:val="center"/>
              <w:rPr>
                <w:b/>
                <w:sz w:val="20"/>
                <w:lang w:val="es-ES_tradnl"/>
              </w:rPr>
            </w:pPr>
            <w:r w:rsidRPr="00325172">
              <w:rPr>
                <w:b/>
                <w:sz w:val="20"/>
                <w:lang w:val="es-ES_tradnl"/>
              </w:rPr>
              <w:t>Número equivalente de interferentes a corto plazo</w:t>
            </w:r>
          </w:p>
        </w:tc>
      </w:tr>
      <w:tr w:rsidR="00F76AC0" w:rsidRPr="00F76AC0" w:rsidTr="000002C9">
        <w:trPr>
          <w:jc w:val="center"/>
        </w:trPr>
        <w:tc>
          <w:tcPr>
            <w:tcW w:w="1265" w:type="dxa"/>
            <w:vMerge/>
            <w:shd w:val="clear" w:color="auto" w:fill="auto"/>
          </w:tcPr>
          <w:p w:rsidR="00F76AC0" w:rsidRPr="00325172" w:rsidRDefault="00F76AC0" w:rsidP="000002C9">
            <w:pPr>
              <w:pStyle w:val="Tablehead"/>
              <w:rPr>
                <w:sz w:val="20"/>
                <w:lang w:val="es-ES_tradnl" w:eastAsia="zh-CN"/>
              </w:rPr>
            </w:pPr>
          </w:p>
        </w:tc>
        <w:tc>
          <w:tcPr>
            <w:tcW w:w="2091" w:type="dxa"/>
            <w:gridSpan w:val="2"/>
            <w:tcBorders>
              <w:bottom w:val="nil"/>
            </w:tcBorders>
            <w:shd w:val="clear" w:color="auto" w:fill="auto"/>
          </w:tcPr>
          <w:p w:rsidR="00F76AC0" w:rsidRPr="00E075FE" w:rsidRDefault="00F76AC0" w:rsidP="000002C9">
            <w:pPr>
              <w:pStyle w:val="Tablehead"/>
              <w:rPr>
                <w:sz w:val="20"/>
                <w:lang w:val="es-ES_tradnl" w:eastAsia="zh-CN"/>
              </w:rPr>
            </w:pPr>
            <w:r w:rsidRPr="00325172">
              <w:rPr>
                <w:sz w:val="20"/>
                <w:lang w:val="es-ES_tradnl" w:eastAsia="zh-CN"/>
              </w:rPr>
              <w:t xml:space="preserve">Trayecto de la </w:t>
            </w:r>
            <w:r w:rsidRPr="00325172">
              <w:rPr>
                <w:sz w:val="20"/>
                <w:lang w:val="es-ES_tradnl" w:eastAsia="zh-CN"/>
              </w:rPr>
              <w:br/>
              <w:t>señal interferente</w:t>
            </w:r>
          </w:p>
        </w:tc>
        <w:tc>
          <w:tcPr>
            <w:tcW w:w="2091" w:type="dxa"/>
            <w:gridSpan w:val="2"/>
            <w:shd w:val="clear" w:color="auto" w:fill="auto"/>
          </w:tcPr>
          <w:p w:rsidR="00F76AC0" w:rsidRPr="00E075FE" w:rsidRDefault="00F76AC0" w:rsidP="000002C9">
            <w:pPr>
              <w:pStyle w:val="Tablehead"/>
              <w:rPr>
                <w:sz w:val="20"/>
                <w:lang w:val="es-ES_tradnl" w:eastAsia="zh-CN"/>
              </w:rPr>
            </w:pPr>
            <w:r w:rsidRPr="00325172">
              <w:rPr>
                <w:sz w:val="20"/>
                <w:lang w:val="es-ES_tradnl" w:eastAsia="zh-CN"/>
              </w:rPr>
              <w:t xml:space="preserve">Trayecto de la </w:t>
            </w:r>
            <w:r w:rsidRPr="00325172">
              <w:rPr>
                <w:sz w:val="20"/>
                <w:lang w:val="es-ES_tradnl" w:eastAsia="zh-CN"/>
              </w:rPr>
              <w:br/>
              <w:t>señal interferente</w:t>
            </w:r>
          </w:p>
        </w:tc>
        <w:tc>
          <w:tcPr>
            <w:tcW w:w="2091" w:type="dxa"/>
            <w:gridSpan w:val="2"/>
            <w:shd w:val="clear" w:color="auto" w:fill="auto"/>
          </w:tcPr>
          <w:p w:rsidR="00F76AC0" w:rsidRPr="00E075FE" w:rsidRDefault="00F76AC0" w:rsidP="000002C9">
            <w:pPr>
              <w:pStyle w:val="Tablehead"/>
              <w:rPr>
                <w:sz w:val="20"/>
                <w:lang w:val="es-ES_tradnl" w:eastAsia="zh-CN"/>
              </w:rPr>
            </w:pPr>
            <w:r w:rsidRPr="00325172">
              <w:rPr>
                <w:sz w:val="20"/>
                <w:lang w:val="es-ES_tradnl" w:eastAsia="zh-CN"/>
              </w:rPr>
              <w:t xml:space="preserve">Trayecto de la </w:t>
            </w:r>
            <w:r w:rsidRPr="00325172">
              <w:rPr>
                <w:sz w:val="20"/>
                <w:lang w:val="es-ES_tradnl" w:eastAsia="zh-CN"/>
              </w:rPr>
              <w:br/>
              <w:t>señal interferente</w:t>
            </w:r>
          </w:p>
        </w:tc>
        <w:tc>
          <w:tcPr>
            <w:tcW w:w="2091" w:type="dxa"/>
            <w:gridSpan w:val="2"/>
            <w:shd w:val="clear" w:color="auto" w:fill="auto"/>
          </w:tcPr>
          <w:p w:rsidR="00F76AC0" w:rsidRPr="00E075FE" w:rsidRDefault="00F76AC0" w:rsidP="000002C9">
            <w:pPr>
              <w:pStyle w:val="Tablehead"/>
              <w:rPr>
                <w:sz w:val="20"/>
                <w:lang w:val="es-ES_tradnl" w:eastAsia="zh-CN"/>
              </w:rPr>
            </w:pPr>
            <w:r w:rsidRPr="00325172">
              <w:rPr>
                <w:sz w:val="20"/>
                <w:lang w:val="es-ES_tradnl" w:eastAsia="zh-CN"/>
              </w:rPr>
              <w:t xml:space="preserve">Trayecto de la </w:t>
            </w:r>
            <w:r w:rsidRPr="00325172">
              <w:rPr>
                <w:sz w:val="20"/>
                <w:lang w:val="es-ES_tradnl" w:eastAsia="zh-CN"/>
              </w:rPr>
              <w:br/>
              <w:t>señal interferente</w:t>
            </w:r>
          </w:p>
        </w:tc>
      </w:tr>
      <w:tr w:rsidR="00F76AC0" w:rsidRPr="00325172" w:rsidTr="000002C9">
        <w:trPr>
          <w:jc w:val="center"/>
        </w:trPr>
        <w:tc>
          <w:tcPr>
            <w:tcW w:w="1265" w:type="dxa"/>
            <w:vMerge/>
            <w:shd w:val="clear" w:color="auto" w:fill="auto"/>
          </w:tcPr>
          <w:p w:rsidR="00F76AC0" w:rsidRPr="00325172" w:rsidRDefault="00F76AC0" w:rsidP="000002C9">
            <w:pPr>
              <w:pStyle w:val="Tablehead"/>
              <w:rPr>
                <w:sz w:val="20"/>
                <w:lang w:val="es-ES_tradnl" w:eastAsia="zh-CN"/>
              </w:rPr>
            </w:pPr>
          </w:p>
        </w:tc>
        <w:tc>
          <w:tcPr>
            <w:tcW w:w="848" w:type="dxa"/>
            <w:tcBorders>
              <w:bottom w:val="nil"/>
            </w:tcBorders>
            <w:shd w:val="clear" w:color="auto" w:fill="auto"/>
          </w:tcPr>
          <w:p w:rsidR="00F76AC0" w:rsidRPr="00E075FE" w:rsidRDefault="00F76AC0" w:rsidP="000002C9">
            <w:pPr>
              <w:pStyle w:val="Tablehead"/>
              <w:rPr>
                <w:sz w:val="20"/>
                <w:lang w:val="es-ES_tradnl" w:eastAsia="zh-CN"/>
              </w:rPr>
            </w:pPr>
            <w:r w:rsidRPr="00325172">
              <w:rPr>
                <w:sz w:val="20"/>
                <w:lang w:val="es-ES_tradnl" w:eastAsia="zh-CN"/>
              </w:rPr>
              <w:t>Espacio-Tierra</w:t>
            </w:r>
          </w:p>
        </w:tc>
        <w:tc>
          <w:tcPr>
            <w:tcW w:w="1243" w:type="dxa"/>
            <w:tcBorders>
              <w:bottom w:val="nil"/>
            </w:tcBorders>
            <w:shd w:val="clear" w:color="auto" w:fill="auto"/>
          </w:tcPr>
          <w:p w:rsidR="00F76AC0" w:rsidRPr="00E075FE" w:rsidRDefault="00F76AC0" w:rsidP="000002C9">
            <w:pPr>
              <w:pStyle w:val="Tablehead"/>
              <w:rPr>
                <w:sz w:val="20"/>
                <w:lang w:val="es-ES_tradnl" w:eastAsia="zh-CN"/>
              </w:rPr>
            </w:pPr>
            <w:r w:rsidRPr="00325172">
              <w:rPr>
                <w:sz w:val="20"/>
                <w:lang w:val="es-ES_tradnl" w:eastAsia="zh-CN"/>
              </w:rPr>
              <w:t>Terrenal</w:t>
            </w:r>
          </w:p>
        </w:tc>
        <w:tc>
          <w:tcPr>
            <w:tcW w:w="848" w:type="dxa"/>
            <w:tcBorders>
              <w:bottom w:val="nil"/>
            </w:tcBorders>
            <w:shd w:val="clear" w:color="auto" w:fill="auto"/>
          </w:tcPr>
          <w:p w:rsidR="00F76AC0" w:rsidRPr="00E075FE" w:rsidRDefault="00F76AC0" w:rsidP="000002C9">
            <w:pPr>
              <w:pStyle w:val="Tablehead"/>
              <w:rPr>
                <w:sz w:val="20"/>
                <w:lang w:val="es-ES_tradnl" w:eastAsia="zh-CN"/>
              </w:rPr>
            </w:pPr>
            <w:r w:rsidRPr="00325172">
              <w:rPr>
                <w:sz w:val="20"/>
                <w:lang w:val="es-ES_tradnl" w:eastAsia="zh-CN"/>
              </w:rPr>
              <w:t>Espacio-Tierra</w:t>
            </w:r>
          </w:p>
        </w:tc>
        <w:tc>
          <w:tcPr>
            <w:tcW w:w="1243" w:type="dxa"/>
            <w:tcBorders>
              <w:bottom w:val="nil"/>
            </w:tcBorders>
            <w:shd w:val="clear" w:color="auto" w:fill="auto"/>
          </w:tcPr>
          <w:p w:rsidR="00F76AC0" w:rsidRPr="00E075FE" w:rsidRDefault="00F76AC0" w:rsidP="000002C9">
            <w:pPr>
              <w:pStyle w:val="Tablehead"/>
              <w:rPr>
                <w:sz w:val="20"/>
                <w:lang w:val="es-ES_tradnl" w:eastAsia="zh-CN"/>
              </w:rPr>
            </w:pPr>
            <w:r w:rsidRPr="00325172">
              <w:rPr>
                <w:sz w:val="20"/>
                <w:lang w:val="es-ES_tradnl" w:eastAsia="zh-CN"/>
              </w:rPr>
              <w:t>Terrenal</w:t>
            </w:r>
          </w:p>
        </w:tc>
        <w:tc>
          <w:tcPr>
            <w:tcW w:w="848" w:type="dxa"/>
            <w:tcBorders>
              <w:bottom w:val="nil"/>
            </w:tcBorders>
            <w:shd w:val="clear" w:color="auto" w:fill="auto"/>
          </w:tcPr>
          <w:p w:rsidR="00F76AC0" w:rsidRPr="00E075FE" w:rsidRDefault="00F76AC0" w:rsidP="000002C9">
            <w:pPr>
              <w:pStyle w:val="Tablehead"/>
              <w:rPr>
                <w:sz w:val="20"/>
                <w:lang w:val="es-ES_tradnl" w:eastAsia="zh-CN"/>
              </w:rPr>
            </w:pPr>
            <w:r w:rsidRPr="00325172">
              <w:rPr>
                <w:sz w:val="20"/>
                <w:lang w:val="es-ES_tradnl" w:eastAsia="zh-CN"/>
              </w:rPr>
              <w:t>Espacio-Tierra</w:t>
            </w:r>
          </w:p>
        </w:tc>
        <w:tc>
          <w:tcPr>
            <w:tcW w:w="1243" w:type="dxa"/>
            <w:tcBorders>
              <w:bottom w:val="nil"/>
            </w:tcBorders>
            <w:shd w:val="clear" w:color="auto" w:fill="auto"/>
          </w:tcPr>
          <w:p w:rsidR="00F76AC0" w:rsidRPr="00E075FE" w:rsidRDefault="00F76AC0" w:rsidP="000002C9">
            <w:pPr>
              <w:pStyle w:val="Tablehead"/>
              <w:rPr>
                <w:sz w:val="20"/>
                <w:lang w:val="es-ES_tradnl" w:eastAsia="zh-CN"/>
              </w:rPr>
            </w:pPr>
            <w:r w:rsidRPr="00325172">
              <w:rPr>
                <w:sz w:val="20"/>
                <w:lang w:val="es-ES_tradnl" w:eastAsia="zh-CN"/>
              </w:rPr>
              <w:t>Terrenal</w:t>
            </w:r>
          </w:p>
        </w:tc>
        <w:tc>
          <w:tcPr>
            <w:tcW w:w="848" w:type="dxa"/>
            <w:tcBorders>
              <w:bottom w:val="nil"/>
            </w:tcBorders>
            <w:shd w:val="clear" w:color="auto" w:fill="auto"/>
          </w:tcPr>
          <w:p w:rsidR="00F76AC0" w:rsidRPr="00E075FE" w:rsidRDefault="00F76AC0" w:rsidP="000002C9">
            <w:pPr>
              <w:pStyle w:val="Tablehead"/>
              <w:rPr>
                <w:sz w:val="20"/>
                <w:lang w:val="es-ES_tradnl" w:eastAsia="zh-CN"/>
              </w:rPr>
            </w:pPr>
            <w:r w:rsidRPr="00325172">
              <w:rPr>
                <w:sz w:val="20"/>
                <w:lang w:val="es-ES_tradnl" w:eastAsia="zh-CN"/>
              </w:rPr>
              <w:t>Espacio-Tierra</w:t>
            </w:r>
          </w:p>
        </w:tc>
        <w:tc>
          <w:tcPr>
            <w:tcW w:w="1243" w:type="dxa"/>
            <w:tcBorders>
              <w:bottom w:val="nil"/>
            </w:tcBorders>
            <w:shd w:val="clear" w:color="auto" w:fill="auto"/>
          </w:tcPr>
          <w:p w:rsidR="00F76AC0" w:rsidRPr="00E075FE" w:rsidRDefault="00F76AC0" w:rsidP="000002C9">
            <w:pPr>
              <w:pStyle w:val="Tablehead"/>
              <w:rPr>
                <w:sz w:val="20"/>
                <w:lang w:val="es-ES_tradnl" w:eastAsia="zh-CN"/>
              </w:rPr>
            </w:pPr>
            <w:r w:rsidRPr="00325172">
              <w:rPr>
                <w:sz w:val="20"/>
                <w:lang w:val="es-ES_tradnl" w:eastAsia="zh-CN"/>
              </w:rPr>
              <w:t>Terrenal</w:t>
            </w:r>
          </w:p>
        </w:tc>
      </w:tr>
      <w:tr w:rsidR="00F76AC0" w:rsidRPr="00325172" w:rsidTr="000002C9">
        <w:trPr>
          <w:jc w:val="center"/>
        </w:trPr>
        <w:tc>
          <w:tcPr>
            <w:tcW w:w="1265" w:type="dxa"/>
            <w:shd w:val="clear" w:color="auto" w:fill="auto"/>
          </w:tcPr>
          <w:p w:rsidR="00F76AC0" w:rsidRPr="00325172" w:rsidRDefault="00F76AC0" w:rsidP="000002C9">
            <w:pPr>
              <w:pStyle w:val="Tabletext"/>
              <w:jc w:val="center"/>
              <w:rPr>
                <w:sz w:val="20"/>
                <w:lang w:val="es-ES_tradnl" w:eastAsia="zh-CN"/>
              </w:rPr>
            </w:pPr>
            <w:r w:rsidRPr="00325172">
              <w:rPr>
                <w:sz w:val="20"/>
                <w:lang w:val="es-ES_tradnl" w:eastAsia="zh-CN"/>
              </w:rPr>
              <w:t>1 670-1 710 MHz</w:t>
            </w:r>
          </w:p>
        </w:tc>
        <w:tc>
          <w:tcPr>
            <w:tcW w:w="848" w:type="dxa"/>
            <w:shd w:val="clear" w:color="auto" w:fill="auto"/>
          </w:tcPr>
          <w:p w:rsidR="00F76AC0" w:rsidRPr="00325172" w:rsidRDefault="00F76AC0" w:rsidP="000002C9">
            <w:pPr>
              <w:pStyle w:val="Tabletext"/>
              <w:jc w:val="center"/>
              <w:rPr>
                <w:sz w:val="20"/>
                <w:lang w:val="es-ES_tradnl" w:eastAsia="zh-CN"/>
              </w:rPr>
            </w:pPr>
            <w:r w:rsidRPr="00325172">
              <w:rPr>
                <w:sz w:val="20"/>
                <w:lang w:val="es-ES_tradnl" w:eastAsia="zh-CN"/>
              </w:rPr>
              <w:t>1%</w:t>
            </w:r>
          </w:p>
        </w:tc>
        <w:tc>
          <w:tcPr>
            <w:tcW w:w="1243" w:type="dxa"/>
            <w:shd w:val="clear" w:color="auto" w:fill="auto"/>
          </w:tcPr>
          <w:p w:rsidR="00F76AC0" w:rsidRPr="00325172" w:rsidRDefault="00F76AC0" w:rsidP="000002C9">
            <w:pPr>
              <w:pStyle w:val="Tabletext"/>
              <w:jc w:val="center"/>
              <w:rPr>
                <w:sz w:val="20"/>
                <w:lang w:val="es-ES_tradnl" w:eastAsia="zh-CN"/>
              </w:rPr>
            </w:pPr>
            <w:r w:rsidRPr="00325172">
              <w:rPr>
                <w:sz w:val="20"/>
                <w:lang w:val="es-ES_tradnl" w:eastAsia="zh-CN"/>
              </w:rPr>
              <w:t>99%</w:t>
            </w:r>
          </w:p>
        </w:tc>
        <w:tc>
          <w:tcPr>
            <w:tcW w:w="848" w:type="dxa"/>
            <w:shd w:val="clear" w:color="auto" w:fill="auto"/>
          </w:tcPr>
          <w:p w:rsidR="00F76AC0" w:rsidRPr="00325172" w:rsidRDefault="00F76AC0" w:rsidP="000002C9">
            <w:pPr>
              <w:pStyle w:val="Tabletext"/>
              <w:jc w:val="center"/>
              <w:rPr>
                <w:sz w:val="20"/>
                <w:lang w:val="es-ES_tradnl" w:eastAsia="zh-CN"/>
              </w:rPr>
            </w:pPr>
            <w:r w:rsidRPr="00325172">
              <w:rPr>
                <w:sz w:val="20"/>
                <w:lang w:val="es-ES_tradnl" w:eastAsia="zh-CN"/>
              </w:rPr>
              <w:t>10%</w:t>
            </w:r>
          </w:p>
        </w:tc>
        <w:tc>
          <w:tcPr>
            <w:tcW w:w="1243" w:type="dxa"/>
            <w:shd w:val="clear" w:color="auto" w:fill="auto"/>
          </w:tcPr>
          <w:p w:rsidR="00F76AC0" w:rsidRPr="00325172" w:rsidRDefault="00F76AC0" w:rsidP="000002C9">
            <w:pPr>
              <w:pStyle w:val="Tabletext"/>
              <w:jc w:val="center"/>
              <w:rPr>
                <w:sz w:val="20"/>
                <w:lang w:val="es-ES_tradnl" w:eastAsia="zh-CN"/>
              </w:rPr>
            </w:pPr>
            <w:r w:rsidRPr="00325172">
              <w:rPr>
                <w:sz w:val="20"/>
                <w:lang w:val="es-ES_tradnl" w:eastAsia="zh-CN"/>
              </w:rPr>
              <w:t>90%</w:t>
            </w:r>
          </w:p>
        </w:tc>
        <w:tc>
          <w:tcPr>
            <w:tcW w:w="848" w:type="dxa"/>
            <w:shd w:val="clear" w:color="auto" w:fill="auto"/>
          </w:tcPr>
          <w:p w:rsidR="00F76AC0" w:rsidRPr="00325172" w:rsidRDefault="00F76AC0" w:rsidP="000002C9">
            <w:pPr>
              <w:pStyle w:val="Tabletext"/>
              <w:jc w:val="center"/>
              <w:rPr>
                <w:sz w:val="20"/>
                <w:lang w:val="es-ES_tradnl" w:eastAsia="zh-CN"/>
              </w:rPr>
            </w:pPr>
            <w:r w:rsidRPr="00325172">
              <w:rPr>
                <w:sz w:val="20"/>
                <w:lang w:val="es-ES_tradnl" w:eastAsia="zh-CN"/>
              </w:rPr>
              <w:t>1</w:t>
            </w:r>
          </w:p>
        </w:tc>
        <w:tc>
          <w:tcPr>
            <w:tcW w:w="1243" w:type="dxa"/>
            <w:shd w:val="clear" w:color="auto" w:fill="auto"/>
          </w:tcPr>
          <w:p w:rsidR="00F76AC0" w:rsidRPr="00325172" w:rsidRDefault="00F76AC0" w:rsidP="000002C9">
            <w:pPr>
              <w:pStyle w:val="Tabletext"/>
              <w:jc w:val="center"/>
              <w:rPr>
                <w:sz w:val="20"/>
                <w:lang w:val="es-ES_tradnl" w:eastAsia="zh-CN"/>
              </w:rPr>
            </w:pPr>
            <w:r w:rsidRPr="00325172">
              <w:rPr>
                <w:sz w:val="20"/>
                <w:lang w:val="es-ES_tradnl" w:eastAsia="zh-CN"/>
              </w:rPr>
              <w:t>1</w:t>
            </w:r>
          </w:p>
        </w:tc>
        <w:tc>
          <w:tcPr>
            <w:tcW w:w="848" w:type="dxa"/>
            <w:shd w:val="clear" w:color="auto" w:fill="auto"/>
          </w:tcPr>
          <w:p w:rsidR="00F76AC0" w:rsidRPr="00325172" w:rsidRDefault="00F76AC0" w:rsidP="000002C9">
            <w:pPr>
              <w:pStyle w:val="Tabletext"/>
              <w:jc w:val="center"/>
              <w:rPr>
                <w:sz w:val="20"/>
                <w:lang w:val="es-ES_tradnl" w:eastAsia="zh-CN"/>
              </w:rPr>
            </w:pPr>
            <w:r w:rsidRPr="00325172">
              <w:rPr>
                <w:sz w:val="20"/>
                <w:lang w:val="es-ES_tradnl" w:eastAsia="zh-CN"/>
              </w:rPr>
              <w:t>1</w:t>
            </w:r>
          </w:p>
        </w:tc>
        <w:tc>
          <w:tcPr>
            <w:tcW w:w="1243" w:type="dxa"/>
            <w:shd w:val="clear" w:color="auto" w:fill="auto"/>
          </w:tcPr>
          <w:p w:rsidR="00F76AC0" w:rsidRPr="00325172" w:rsidRDefault="00F76AC0" w:rsidP="000002C9">
            <w:pPr>
              <w:pStyle w:val="Tabletext"/>
              <w:jc w:val="center"/>
              <w:rPr>
                <w:sz w:val="20"/>
                <w:lang w:val="es-ES_tradnl" w:eastAsia="zh-CN"/>
              </w:rPr>
            </w:pPr>
            <w:r w:rsidRPr="00325172">
              <w:rPr>
                <w:sz w:val="20"/>
                <w:lang w:val="es-ES_tradnl" w:eastAsia="zh-CN"/>
              </w:rPr>
              <w:t>2</w:t>
            </w:r>
          </w:p>
        </w:tc>
      </w:tr>
      <w:tr w:rsidR="00F76AC0" w:rsidRPr="00325172" w:rsidTr="000002C9">
        <w:trPr>
          <w:jc w:val="center"/>
        </w:trPr>
        <w:tc>
          <w:tcPr>
            <w:tcW w:w="1265" w:type="dxa"/>
            <w:shd w:val="clear" w:color="auto" w:fill="auto"/>
          </w:tcPr>
          <w:p w:rsidR="00F76AC0" w:rsidRPr="00325172" w:rsidRDefault="00F76AC0" w:rsidP="000002C9">
            <w:pPr>
              <w:pStyle w:val="Tabletext"/>
              <w:jc w:val="center"/>
              <w:rPr>
                <w:sz w:val="20"/>
                <w:lang w:val="es-ES_tradnl" w:eastAsia="zh-CN"/>
              </w:rPr>
            </w:pPr>
            <w:r>
              <w:rPr>
                <w:sz w:val="20"/>
                <w:lang w:val="es-ES_tradnl" w:eastAsia="zh-CN"/>
              </w:rPr>
              <w:t>25,5-27,</w:t>
            </w:r>
            <w:r w:rsidRPr="00325172">
              <w:rPr>
                <w:sz w:val="20"/>
                <w:lang w:val="es-ES_tradnl" w:eastAsia="zh-CN"/>
              </w:rPr>
              <w:t>0 GHz</w:t>
            </w:r>
          </w:p>
        </w:tc>
        <w:tc>
          <w:tcPr>
            <w:tcW w:w="848" w:type="dxa"/>
            <w:shd w:val="clear" w:color="auto" w:fill="auto"/>
          </w:tcPr>
          <w:p w:rsidR="00F76AC0" w:rsidRPr="00325172" w:rsidRDefault="00F76AC0" w:rsidP="000002C9">
            <w:pPr>
              <w:pStyle w:val="Tabletext"/>
              <w:jc w:val="center"/>
              <w:rPr>
                <w:sz w:val="20"/>
                <w:lang w:val="es-ES_tradnl" w:eastAsia="zh-CN"/>
              </w:rPr>
            </w:pPr>
            <w:r w:rsidRPr="00325172">
              <w:rPr>
                <w:sz w:val="20"/>
                <w:lang w:val="es-ES_tradnl" w:eastAsia="zh-CN"/>
              </w:rPr>
              <w:t>1%</w:t>
            </w:r>
          </w:p>
        </w:tc>
        <w:tc>
          <w:tcPr>
            <w:tcW w:w="1243" w:type="dxa"/>
            <w:shd w:val="clear" w:color="auto" w:fill="auto"/>
          </w:tcPr>
          <w:p w:rsidR="00F76AC0" w:rsidRPr="00325172" w:rsidRDefault="00F76AC0" w:rsidP="000002C9">
            <w:pPr>
              <w:pStyle w:val="Tabletext"/>
              <w:jc w:val="center"/>
              <w:rPr>
                <w:sz w:val="20"/>
                <w:lang w:val="es-ES_tradnl" w:eastAsia="zh-CN"/>
              </w:rPr>
            </w:pPr>
            <w:r w:rsidRPr="00325172">
              <w:rPr>
                <w:sz w:val="20"/>
                <w:lang w:val="es-ES_tradnl" w:eastAsia="zh-CN"/>
              </w:rPr>
              <w:t>99%</w:t>
            </w:r>
          </w:p>
        </w:tc>
        <w:tc>
          <w:tcPr>
            <w:tcW w:w="848" w:type="dxa"/>
            <w:shd w:val="clear" w:color="auto" w:fill="auto"/>
          </w:tcPr>
          <w:p w:rsidR="00F76AC0" w:rsidRPr="00325172" w:rsidRDefault="00F76AC0" w:rsidP="000002C9">
            <w:pPr>
              <w:pStyle w:val="Tabletext"/>
              <w:jc w:val="center"/>
              <w:rPr>
                <w:sz w:val="20"/>
                <w:lang w:val="es-ES_tradnl" w:eastAsia="zh-CN"/>
              </w:rPr>
            </w:pPr>
            <w:r w:rsidRPr="00325172">
              <w:rPr>
                <w:sz w:val="20"/>
                <w:lang w:val="es-ES_tradnl" w:eastAsia="zh-CN"/>
              </w:rPr>
              <w:t>20%</w:t>
            </w:r>
          </w:p>
        </w:tc>
        <w:tc>
          <w:tcPr>
            <w:tcW w:w="1243" w:type="dxa"/>
            <w:shd w:val="clear" w:color="auto" w:fill="auto"/>
          </w:tcPr>
          <w:p w:rsidR="00F76AC0" w:rsidRPr="00325172" w:rsidRDefault="00F76AC0" w:rsidP="000002C9">
            <w:pPr>
              <w:pStyle w:val="Tabletext"/>
              <w:jc w:val="center"/>
              <w:rPr>
                <w:sz w:val="20"/>
                <w:lang w:val="es-ES_tradnl" w:eastAsia="zh-CN"/>
              </w:rPr>
            </w:pPr>
            <w:r w:rsidRPr="00325172">
              <w:rPr>
                <w:sz w:val="20"/>
                <w:lang w:val="es-ES_tradnl" w:eastAsia="zh-CN"/>
              </w:rPr>
              <w:t>80%</w:t>
            </w:r>
          </w:p>
        </w:tc>
        <w:tc>
          <w:tcPr>
            <w:tcW w:w="848" w:type="dxa"/>
            <w:shd w:val="clear" w:color="auto" w:fill="auto"/>
          </w:tcPr>
          <w:p w:rsidR="00F76AC0" w:rsidRPr="00325172" w:rsidRDefault="00F76AC0" w:rsidP="000002C9">
            <w:pPr>
              <w:pStyle w:val="Tabletext"/>
              <w:jc w:val="center"/>
              <w:rPr>
                <w:sz w:val="20"/>
                <w:lang w:val="es-ES_tradnl" w:eastAsia="zh-CN"/>
              </w:rPr>
            </w:pPr>
            <w:r w:rsidRPr="00325172">
              <w:rPr>
                <w:sz w:val="20"/>
                <w:lang w:val="es-ES_tradnl" w:eastAsia="zh-CN"/>
              </w:rPr>
              <w:t>1</w:t>
            </w:r>
          </w:p>
        </w:tc>
        <w:tc>
          <w:tcPr>
            <w:tcW w:w="1243" w:type="dxa"/>
            <w:shd w:val="clear" w:color="auto" w:fill="auto"/>
          </w:tcPr>
          <w:p w:rsidR="00F76AC0" w:rsidRPr="00325172" w:rsidRDefault="00F76AC0" w:rsidP="000002C9">
            <w:pPr>
              <w:pStyle w:val="Tabletext"/>
              <w:jc w:val="center"/>
              <w:rPr>
                <w:sz w:val="20"/>
                <w:lang w:val="es-ES_tradnl" w:eastAsia="zh-CN"/>
              </w:rPr>
            </w:pPr>
            <w:r w:rsidRPr="00325172">
              <w:rPr>
                <w:sz w:val="20"/>
                <w:lang w:val="es-ES_tradnl" w:eastAsia="zh-CN"/>
              </w:rPr>
              <w:t>2</w:t>
            </w:r>
          </w:p>
        </w:tc>
        <w:tc>
          <w:tcPr>
            <w:tcW w:w="848" w:type="dxa"/>
            <w:shd w:val="clear" w:color="auto" w:fill="auto"/>
          </w:tcPr>
          <w:p w:rsidR="00F76AC0" w:rsidRPr="00325172" w:rsidRDefault="00F76AC0" w:rsidP="000002C9">
            <w:pPr>
              <w:pStyle w:val="Tabletext"/>
              <w:jc w:val="center"/>
              <w:rPr>
                <w:sz w:val="20"/>
                <w:lang w:val="es-ES_tradnl" w:eastAsia="zh-CN"/>
              </w:rPr>
            </w:pPr>
            <w:r w:rsidRPr="00325172">
              <w:rPr>
                <w:sz w:val="20"/>
                <w:lang w:val="es-ES_tradnl" w:eastAsia="zh-CN"/>
              </w:rPr>
              <w:t>1</w:t>
            </w:r>
          </w:p>
        </w:tc>
        <w:tc>
          <w:tcPr>
            <w:tcW w:w="1243" w:type="dxa"/>
            <w:shd w:val="clear" w:color="auto" w:fill="auto"/>
          </w:tcPr>
          <w:p w:rsidR="00F76AC0" w:rsidRPr="00325172" w:rsidRDefault="00F76AC0" w:rsidP="000002C9">
            <w:pPr>
              <w:pStyle w:val="Tabletext"/>
              <w:jc w:val="center"/>
              <w:rPr>
                <w:sz w:val="20"/>
                <w:lang w:val="es-ES_tradnl" w:eastAsia="zh-CN"/>
              </w:rPr>
            </w:pPr>
            <w:r w:rsidRPr="00325172">
              <w:rPr>
                <w:sz w:val="20"/>
                <w:lang w:val="es-ES_tradnl" w:eastAsia="zh-CN"/>
              </w:rPr>
              <w:t>2</w:t>
            </w:r>
          </w:p>
        </w:tc>
      </w:tr>
    </w:tbl>
    <w:p w:rsidR="00F76AC0" w:rsidRPr="003B2B4F" w:rsidRDefault="00F76AC0" w:rsidP="00F76AC0">
      <w:pPr>
        <w:pStyle w:val="Tablefin"/>
        <w:rPr>
          <w:sz w:val="6"/>
          <w:szCs w:val="6"/>
        </w:rPr>
      </w:pPr>
    </w:p>
    <w:p w:rsidR="00F76AC0" w:rsidRPr="00325172" w:rsidRDefault="00F76AC0" w:rsidP="00F76AC0">
      <w:pPr>
        <w:pStyle w:val="Heading1"/>
        <w:rPr>
          <w:lang w:val="es-ES_tradnl"/>
        </w:rPr>
      </w:pPr>
      <w:r w:rsidRPr="00325172">
        <w:rPr>
          <w:lang w:val="es-ES_tradnl"/>
        </w:rPr>
        <w:lastRenderedPageBreak/>
        <w:t>2</w:t>
      </w:r>
      <w:r w:rsidRPr="00325172">
        <w:rPr>
          <w:lang w:val="es-ES_tradnl"/>
        </w:rPr>
        <w:tab/>
        <w:t>Consideraciones para la banda 1 670-1 710 MHz</w:t>
      </w:r>
    </w:p>
    <w:p w:rsidR="00F76AC0" w:rsidRPr="00325172" w:rsidRDefault="00F76AC0" w:rsidP="003B2B4F">
      <w:pPr>
        <w:rPr>
          <w:lang w:val="es-ES_tradnl"/>
        </w:rPr>
      </w:pPr>
      <w:r w:rsidRPr="00325172">
        <w:rPr>
          <w:lang w:val="es-ES_tradnl"/>
        </w:rPr>
        <w:t>La banda 1 670-1 690 MHz está atribuida a título primario a los servicios MetSat (espacio Tierra), de ayudas a la meteorología y fijo. Además, la banda 1 670-1 675 MHz está atribuida a título primario a los servicios móvil y móvil por satélite (Tierra-espacio)</w:t>
      </w:r>
      <w:r>
        <w:rPr>
          <w:lang w:val="es-ES_tradnl"/>
        </w:rPr>
        <w:t>,</w:t>
      </w:r>
      <w:r w:rsidRPr="00325172">
        <w:rPr>
          <w:lang w:val="es-ES_tradnl"/>
        </w:rPr>
        <w:t xml:space="preserve"> mientras que la banda 1 675-1 690 MHz está atribuida a título primario al servicio móvil (excepto </w:t>
      </w:r>
      <w:r>
        <w:rPr>
          <w:lang w:val="es-ES_tradnl"/>
        </w:rPr>
        <w:t>el servicio aeronáutico móvil).</w:t>
      </w:r>
    </w:p>
    <w:p w:rsidR="00F76AC0" w:rsidRPr="00325172" w:rsidRDefault="00F76AC0" w:rsidP="00F76AC0">
      <w:pPr>
        <w:rPr>
          <w:lang w:val="es-ES_tradnl"/>
        </w:rPr>
      </w:pPr>
      <w:r w:rsidRPr="00325172">
        <w:rPr>
          <w:lang w:val="es-ES_tradnl"/>
        </w:rPr>
        <w:t>La banda 1 690-1 700 MHz está atribuida a título primario al servicio de ayudas a la meteorología y al servicio MetSat (espacio-Tierra). Se permite el SETS, siempre que sus operaciones no interfieran con las atribuciones primarias. En cinco países de la</w:t>
      </w:r>
      <w:r>
        <w:rPr>
          <w:lang w:val="es-ES_tradnl"/>
        </w:rPr>
        <w:t>s</w:t>
      </w:r>
      <w:r w:rsidRPr="00325172">
        <w:rPr>
          <w:lang w:val="es-ES_tradnl"/>
        </w:rPr>
        <w:t xml:space="preserve"> Regi</w:t>
      </w:r>
      <w:r>
        <w:rPr>
          <w:lang w:val="es-ES_tradnl"/>
        </w:rPr>
        <w:t>ones</w:t>
      </w:r>
      <w:r w:rsidRPr="00325172">
        <w:rPr>
          <w:lang w:val="es-ES_tradnl"/>
        </w:rPr>
        <w:t xml:space="preserve"> 2 y 3 hay una atribución primaria a los servicios fijo y móvil (excepto el servicio móvil aeronáutico). En la Región 1, la banda está atribuida a los servicios fijo y móvil (excepto el móvil aeronáutico) a título secundario, pero, para varios países, estas atribuciones son a título primario.</w:t>
      </w:r>
    </w:p>
    <w:p w:rsidR="00F76AC0" w:rsidRPr="00325172" w:rsidRDefault="00F76AC0" w:rsidP="00F76AC0">
      <w:pPr>
        <w:rPr>
          <w:lang w:val="es-ES_tradnl"/>
        </w:rPr>
      </w:pPr>
      <w:r w:rsidRPr="00325172">
        <w:rPr>
          <w:lang w:val="es-ES_tradnl"/>
        </w:rPr>
        <w:t>La banda 1 700-1 710 MHz está atribuida a título primario a los servicios fijo, móvil (excepto el móvil aeronáutico) y MetSat (espacio-Tierra). Se permite el servicio SETS, siempre que sus operaciones no interfieran con las atribuciones primarias. En la Región 3, la investigación espacial (espacio-Tierra) tiene una atribución primaria en tres países.</w:t>
      </w:r>
    </w:p>
    <w:p w:rsidR="00F76AC0" w:rsidRPr="00325172" w:rsidRDefault="00F76AC0" w:rsidP="00F76AC0">
      <w:pPr>
        <w:rPr>
          <w:lang w:val="es-ES_tradnl"/>
        </w:rPr>
      </w:pPr>
      <w:r w:rsidRPr="00325172">
        <w:rPr>
          <w:lang w:val="es-ES_tradnl"/>
        </w:rPr>
        <w:t>Puede ser necesario limitar las emisiones de los sistemas espacio-Tierra en la banda 1 670-1 675 MHz para proteger al servicio de radioastronomía que funciona en la banda adyacente, de tal forma que son las estaciones terrenales las que provocan la mayor parte de la interferencia. Por encima de 1</w:t>
      </w:r>
      <w:r>
        <w:rPr>
          <w:lang w:val="es-ES_tradnl"/>
        </w:rPr>
        <w:t> </w:t>
      </w:r>
      <w:r w:rsidRPr="00325172">
        <w:rPr>
          <w:lang w:val="es-ES_tradnl"/>
        </w:rPr>
        <w:t>675</w:t>
      </w:r>
      <w:r>
        <w:rPr>
          <w:lang w:val="es-ES_tradnl"/>
        </w:rPr>
        <w:t> </w:t>
      </w:r>
      <w:r w:rsidRPr="00325172">
        <w:rPr>
          <w:lang w:val="es-ES_tradnl"/>
        </w:rPr>
        <w:t>MHz cabe esperar que funcione un número más elevado de estaciones espaciales y produzcan a largo plazo, aproximadamente los mismos niveles de interferencia, que los sistemas terrenales y, a corto plazo, niveles de interferencia relativamente superiores (como resultado de las variaciones temporales de ganancia de antena de las estaciones terrenas del servicio MetSat hacia los satélites interferentes). El hecho de que las estaciones terrenas móviles puedan contribuir en gran medida a la interferencia procedente de trayectos terrenales no justifica que se hagan asignaciones de interferencia diferentes para los trayectos interferentes terrenales en la Región 2, puesto que no es probable que las estaciones terrenales y las estaciones terrenas móviles utilicen las mismas frecuencias en la misma área. La Recomendación UIT-R SA.1158 ofrece más información.</w:t>
      </w:r>
    </w:p>
    <w:p w:rsidR="00F76AC0" w:rsidRPr="00325172" w:rsidRDefault="00F76AC0" w:rsidP="00F76AC0">
      <w:pPr>
        <w:pStyle w:val="Heading1"/>
        <w:rPr>
          <w:lang w:val="es-ES_tradnl"/>
        </w:rPr>
      </w:pPr>
      <w:r w:rsidRPr="00325172">
        <w:rPr>
          <w:lang w:val="es-ES_tradnl"/>
        </w:rPr>
        <w:t>3</w:t>
      </w:r>
      <w:r w:rsidRPr="00325172">
        <w:rPr>
          <w:lang w:val="es-ES_tradnl"/>
        </w:rPr>
        <w:tab/>
        <w:t>Consideraciones para la banda 25,</w:t>
      </w:r>
      <w:r>
        <w:rPr>
          <w:lang w:val="es-ES_tradnl"/>
        </w:rPr>
        <w:t>5-27 GHz</w:t>
      </w:r>
    </w:p>
    <w:p w:rsidR="00F76AC0" w:rsidRPr="00325172" w:rsidRDefault="00F76AC0" w:rsidP="00F76AC0">
      <w:pPr>
        <w:rPr>
          <w:lang w:val="es-ES_tradnl"/>
        </w:rPr>
      </w:pPr>
      <w:r w:rsidRPr="00325172">
        <w:rPr>
          <w:lang w:val="es-ES_tradnl"/>
        </w:rPr>
        <w:t>La banda 25,5-27,0 GHz está atribuida a título primario a los servicios de exploración de la Tierra por satélite, investigación espacial (espacio-Tierra), fijo, móvil y entre satélites. Unas posibles fuentes de interferencia en los trayectos espacio-Tierra del servicio de exploración de la Tierra por satélite son satélites de otros sistemas de este mismo servicio, los satélites del servicio entre satélites y los sistemas fijos y móviles terrenales. Se supone que no se va a producir interferencia de larga duración en el trayecto espacio-Tierra del servicio de exploración de la Tierra por satélite debida a las emisiones de satélites del servicio de exploración de la Tierra por satélite y del servicio entre satélites</w:t>
      </w:r>
      <w:r>
        <w:rPr>
          <w:lang w:val="es-ES_tradnl"/>
        </w:rPr>
        <w:t>,</w:t>
      </w:r>
      <w:r w:rsidRPr="00325172">
        <w:rPr>
          <w:lang w:val="es-ES_tradnl"/>
        </w:rPr>
        <w:t xml:space="preserve"> debido tanto al movimiento constante de los satélites no OSG, como al hecho de que los satélites OSG funcionan de manera coordinada. Se prevé que la mayor parte de la interferencia de larga duración sobre los satélites OSG del SETS se produzca desde el trayecto terrenal.</w:t>
      </w:r>
    </w:p>
    <w:p w:rsidR="00F76AC0" w:rsidRPr="00325172" w:rsidRDefault="00F76AC0" w:rsidP="00F76AC0">
      <w:pPr>
        <w:rPr>
          <w:lang w:val="es-ES_tradnl"/>
        </w:rPr>
      </w:pPr>
      <w:r w:rsidRPr="00325172">
        <w:rPr>
          <w:lang w:val="es-ES_tradnl"/>
        </w:rPr>
        <w:t>A corto plazo</w:t>
      </w:r>
      <w:r>
        <w:rPr>
          <w:lang w:val="es-ES_tradnl"/>
        </w:rPr>
        <w:t>,</w:t>
      </w:r>
      <w:r w:rsidRPr="00325172">
        <w:rPr>
          <w:lang w:val="es-ES_tradnl"/>
        </w:rPr>
        <w:t xml:space="preserve"> puede aparecer interferencia entre sistemas de satélites del servicio de exploración de la Tierra por satélite y el servicio entre satélites</w:t>
      </w:r>
      <w:r>
        <w:rPr>
          <w:lang w:val="es-ES_tradnl"/>
        </w:rPr>
        <w:t>,</w:t>
      </w:r>
      <w:r w:rsidRPr="00325172">
        <w:rPr>
          <w:lang w:val="es-ES_tradnl"/>
        </w:rPr>
        <w:t xml:space="preserve"> en los trayectos espacio-Tierra, pese a que predominará la interferencia en los trayectos de señales terrenales.</w:t>
      </w:r>
    </w:p>
    <w:p w:rsidR="00F76AC0" w:rsidRPr="00F76AC0" w:rsidRDefault="00F76AC0" w:rsidP="00F76AC0">
      <w:pPr>
        <w:pStyle w:val="Reasons"/>
        <w:rPr>
          <w:lang w:val="es-ES_tradnl"/>
        </w:rPr>
      </w:pPr>
    </w:p>
    <w:p w:rsidR="00F76AC0" w:rsidRDefault="00F76AC0" w:rsidP="00F76AC0">
      <w:pPr>
        <w:jc w:val="center"/>
      </w:pPr>
      <w:r>
        <w:t>______________</w:t>
      </w:r>
    </w:p>
    <w:p w:rsidR="00B1717A" w:rsidRPr="0010336F" w:rsidRDefault="00B1717A" w:rsidP="00DE71F7">
      <w:pPr>
        <w:pStyle w:val="RecNo"/>
        <w:spacing w:before="0"/>
        <w:rPr>
          <w:lang w:val="es-ES_tradnl"/>
        </w:rPr>
      </w:pPr>
    </w:p>
    <w:sectPr w:rsidR="00B1717A" w:rsidRPr="0010336F" w:rsidSect="00B1717A">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63A6" w:rsidRDefault="00F263A6">
      <w:r>
        <w:separator/>
      </w:r>
    </w:p>
  </w:endnote>
  <w:endnote w:type="continuationSeparator" w:id="0">
    <w:p w:rsidR="00F263A6" w:rsidRDefault="00F26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63A6" w:rsidRDefault="00F263A6">
      <w:r>
        <w:separator/>
      </w:r>
    </w:p>
  </w:footnote>
  <w:footnote w:type="continuationSeparator" w:id="0">
    <w:p w:rsidR="00F263A6" w:rsidRDefault="00F263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336" w:rsidRDefault="0002533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336" w:rsidRDefault="00087C9D" w:rsidP="00D62884">
    <w:pPr>
      <w:pStyle w:val="Header"/>
      <w:ind w:right="360" w:firstLine="360"/>
    </w:pPr>
    <w:r>
      <w:rPr>
        <w:noProof/>
        <w:lang w:val="en-GB" w:eastAsia="zh-CN"/>
      </w:rPr>
      <w:drawing>
        <wp:anchor distT="0" distB="0" distL="114300" distR="114300" simplePos="0" relativeHeight="251656704" behindDoc="1" locked="0" layoutInCell="1" allowOverlap="1" wp14:anchorId="3AB3F651" wp14:editId="24FD4803">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336" w:rsidRDefault="00D12AD9" w:rsidP="00B1717A">
    <w:pPr>
      <w:pStyle w:val="Header"/>
      <w:jc w:val="left"/>
    </w:pPr>
    <w:r>
      <w:rPr>
        <w:rStyle w:val="PageNumber"/>
        <w:b/>
        <w:bCs/>
      </w:rPr>
      <w:fldChar w:fldCharType="begin"/>
    </w:r>
    <w:r w:rsidR="00025336">
      <w:rPr>
        <w:rStyle w:val="PageNumber"/>
        <w:b/>
        <w:bCs/>
      </w:rPr>
      <w:instrText xml:space="preserve"> PAGE </w:instrText>
    </w:r>
    <w:r>
      <w:rPr>
        <w:rStyle w:val="PageNumber"/>
        <w:b/>
        <w:bCs/>
      </w:rPr>
      <w:fldChar w:fldCharType="separate"/>
    </w:r>
    <w:r w:rsidR="002744C9">
      <w:rPr>
        <w:rStyle w:val="PageNumber"/>
        <w:b/>
        <w:bCs/>
        <w:noProof/>
      </w:rPr>
      <w:t>ii</w:t>
    </w:r>
    <w:r>
      <w:rPr>
        <w:rStyle w:val="PageNumber"/>
        <w:b/>
        <w:bCs/>
      </w:rPr>
      <w:fldChar w:fldCharType="end"/>
    </w:r>
    <w:r w:rsidR="00025336">
      <w:tab/>
    </w:r>
    <w:fldSimple w:instr=" DOCPROPERTY &quot;Header&quot; \* MERGEFORMAT ">
      <w:r w:rsidR="002744C9" w:rsidRPr="002744C9">
        <w:rPr>
          <w:b/>
          <w:bCs/>
          <w:lang w:val="en-US"/>
        </w:rPr>
        <w:t xml:space="preserve">Rec. </w:t>
      </w:r>
    </w:fldSimple>
    <w:r w:rsidR="00025336">
      <w:rPr>
        <w:b/>
        <w:bCs/>
      </w:rPr>
      <w:t xml:space="preserve"> </w:t>
    </w:r>
    <w:r>
      <w:rPr>
        <w:b/>
        <w:bCs/>
      </w:rPr>
      <w:fldChar w:fldCharType="begin"/>
    </w:r>
    <w:r w:rsidR="00025336">
      <w:rPr>
        <w:b/>
        <w:bCs/>
      </w:rPr>
      <w:instrText>styleref href</w:instrText>
    </w:r>
    <w:r>
      <w:rPr>
        <w:b/>
        <w:bCs/>
      </w:rPr>
      <w:fldChar w:fldCharType="separate"/>
    </w:r>
    <w:r w:rsidR="002744C9">
      <w:rPr>
        <w:b/>
        <w:bCs/>
        <w:noProof/>
      </w:rPr>
      <w:t>UIT-R  SA.1161-2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336" w:rsidRDefault="00025336">
    <w:pPr>
      <w:pStyle w:val="Header"/>
    </w:pPr>
    <w:r>
      <w:tab/>
    </w:r>
    <w:fldSimple w:instr=" DOCPROPERTY &quot;Header&quot; \* MERGEFORMAT ">
      <w:r w:rsidR="002744C9" w:rsidRPr="002744C9">
        <w:rPr>
          <w:lang w:val="en-US"/>
        </w:rPr>
        <w:t xml:space="preserve">Rec. </w:t>
      </w:r>
    </w:fldSimple>
    <w:r>
      <w:rPr>
        <w:b/>
        <w:bCs/>
      </w:rPr>
      <w:t xml:space="preserve">  </w:t>
    </w:r>
    <w:r w:rsidR="00D12AD9">
      <w:rPr>
        <w:b/>
        <w:bCs/>
      </w:rPr>
      <w:fldChar w:fldCharType="begin"/>
    </w:r>
    <w:r>
      <w:rPr>
        <w:b/>
        <w:bCs/>
      </w:rPr>
      <w:instrText>styleref href</w:instrText>
    </w:r>
    <w:r w:rsidR="00D12AD9">
      <w:rPr>
        <w:b/>
        <w:bCs/>
      </w:rPr>
      <w:fldChar w:fldCharType="separate"/>
    </w:r>
    <w:r w:rsidR="002744C9">
      <w:rPr>
        <w:b/>
        <w:bCs/>
        <w:noProof/>
      </w:rPr>
      <w:t>UIT-R  SA.1161-2</w:t>
    </w:r>
    <w:r w:rsidR="00D12AD9">
      <w:rPr>
        <w:b/>
        <w:bCs/>
      </w:rPr>
      <w:fldChar w:fldCharType="end"/>
    </w:r>
    <w:r>
      <w:tab/>
    </w:r>
    <w:r w:rsidR="00D12AD9">
      <w:rPr>
        <w:rStyle w:val="PageNumber"/>
        <w:b/>
        <w:bCs/>
      </w:rPr>
      <w:fldChar w:fldCharType="begin"/>
    </w:r>
    <w:r>
      <w:rPr>
        <w:rStyle w:val="PageNumber"/>
        <w:b/>
        <w:bCs/>
      </w:rPr>
      <w:instrText xml:space="preserve"> PAGE </w:instrText>
    </w:r>
    <w:r w:rsidR="00D12AD9">
      <w:rPr>
        <w:rStyle w:val="PageNumber"/>
        <w:b/>
        <w:bCs/>
      </w:rPr>
      <w:fldChar w:fldCharType="separate"/>
    </w:r>
    <w:r>
      <w:rPr>
        <w:rStyle w:val="PageNumber"/>
        <w:b/>
        <w:bCs/>
        <w:noProof/>
      </w:rPr>
      <w:t>1</w:t>
    </w:r>
    <w:r w:rsidR="00D12AD9">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336" w:rsidRDefault="00D12AD9">
    <w:pPr>
      <w:pStyle w:val="Header"/>
      <w:jc w:val="left"/>
      <w:rPr>
        <w:lang w:val="en-US"/>
      </w:rPr>
    </w:pPr>
    <w:r>
      <w:rPr>
        <w:rStyle w:val="PageNumber"/>
        <w:b/>
        <w:bCs/>
      </w:rPr>
      <w:fldChar w:fldCharType="begin"/>
    </w:r>
    <w:r w:rsidR="00025336">
      <w:rPr>
        <w:rStyle w:val="PageNumber"/>
        <w:b/>
        <w:bCs/>
        <w:lang w:val="en-US"/>
      </w:rPr>
      <w:instrText xml:space="preserve"> PAGE </w:instrText>
    </w:r>
    <w:r>
      <w:rPr>
        <w:rStyle w:val="PageNumber"/>
        <w:b/>
        <w:bCs/>
      </w:rPr>
      <w:fldChar w:fldCharType="separate"/>
    </w:r>
    <w:r w:rsidR="002744C9">
      <w:rPr>
        <w:rStyle w:val="PageNumber"/>
        <w:b/>
        <w:bCs/>
        <w:noProof/>
        <w:lang w:val="en-US"/>
      </w:rPr>
      <w:t>4</w:t>
    </w:r>
    <w:r>
      <w:rPr>
        <w:rStyle w:val="PageNumber"/>
        <w:b/>
        <w:bCs/>
      </w:rPr>
      <w:fldChar w:fldCharType="end"/>
    </w:r>
    <w:r w:rsidR="00025336">
      <w:rPr>
        <w:lang w:val="en-US"/>
      </w:rPr>
      <w:tab/>
    </w:r>
    <w:fldSimple w:instr=" DOCPROPERTY &quot;Header&quot; \* MERGEFORMAT ">
      <w:r w:rsidR="002744C9" w:rsidRPr="002744C9">
        <w:rPr>
          <w:b/>
          <w:bCs/>
          <w:lang w:val="en-US"/>
        </w:rPr>
        <w:t xml:space="preserve">Rec. </w:t>
      </w:r>
    </w:fldSimple>
    <w:r w:rsidR="00025336">
      <w:rPr>
        <w:b/>
        <w:bCs/>
      </w:rPr>
      <w:t xml:space="preserve"> </w:t>
    </w:r>
    <w:r>
      <w:rPr>
        <w:b/>
        <w:bCs/>
      </w:rPr>
      <w:fldChar w:fldCharType="begin"/>
    </w:r>
    <w:r w:rsidR="00025336">
      <w:rPr>
        <w:b/>
        <w:bCs/>
        <w:lang w:val="en-US"/>
      </w:rPr>
      <w:instrText>styleref href</w:instrText>
    </w:r>
    <w:r>
      <w:rPr>
        <w:b/>
        <w:bCs/>
      </w:rPr>
      <w:fldChar w:fldCharType="separate"/>
    </w:r>
    <w:r w:rsidR="002744C9">
      <w:rPr>
        <w:b/>
        <w:bCs/>
        <w:noProof/>
      </w:rPr>
      <w:t>UIT-R  SA.1161-2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336" w:rsidRDefault="00025336">
    <w:pPr>
      <w:pStyle w:val="Header"/>
    </w:pPr>
    <w:r>
      <w:tab/>
    </w:r>
    <w:fldSimple w:instr=" DOCPROPERTY &quot;Header&quot; \* MERGEFORMAT ">
      <w:r w:rsidR="002744C9" w:rsidRPr="002744C9">
        <w:rPr>
          <w:b/>
          <w:bCs/>
        </w:rPr>
        <w:t xml:space="preserve">Rec. </w:t>
      </w:r>
    </w:fldSimple>
    <w:r>
      <w:rPr>
        <w:b/>
        <w:bCs/>
      </w:rPr>
      <w:t xml:space="preserve"> </w:t>
    </w:r>
    <w:r w:rsidR="00D12AD9">
      <w:rPr>
        <w:b/>
        <w:bCs/>
      </w:rPr>
      <w:fldChar w:fldCharType="begin"/>
    </w:r>
    <w:r>
      <w:rPr>
        <w:b/>
        <w:bCs/>
      </w:rPr>
      <w:instrText>styleref href</w:instrText>
    </w:r>
    <w:r w:rsidR="00D12AD9">
      <w:rPr>
        <w:b/>
        <w:bCs/>
      </w:rPr>
      <w:fldChar w:fldCharType="separate"/>
    </w:r>
    <w:r w:rsidR="002744C9">
      <w:rPr>
        <w:b/>
        <w:bCs/>
        <w:noProof/>
      </w:rPr>
      <w:t>UIT-R  SA.1161-2</w:t>
    </w:r>
    <w:r w:rsidR="00D12AD9">
      <w:rPr>
        <w:b/>
        <w:bCs/>
      </w:rPr>
      <w:fldChar w:fldCharType="end"/>
    </w:r>
    <w:r>
      <w:tab/>
    </w:r>
    <w:r w:rsidR="00D12AD9">
      <w:rPr>
        <w:rStyle w:val="PageNumber"/>
        <w:b/>
        <w:bCs/>
      </w:rPr>
      <w:fldChar w:fldCharType="begin"/>
    </w:r>
    <w:r>
      <w:rPr>
        <w:rStyle w:val="PageNumber"/>
        <w:b/>
        <w:bCs/>
      </w:rPr>
      <w:instrText xml:space="preserve"> PAGE </w:instrText>
    </w:r>
    <w:r w:rsidR="00D12AD9">
      <w:rPr>
        <w:rStyle w:val="PageNumber"/>
        <w:b/>
        <w:bCs/>
      </w:rPr>
      <w:fldChar w:fldCharType="separate"/>
    </w:r>
    <w:r w:rsidR="002744C9">
      <w:rPr>
        <w:rStyle w:val="PageNumber"/>
        <w:b/>
        <w:bCs/>
        <w:noProof/>
      </w:rPr>
      <w:t>3</w:t>
    </w:r>
    <w:r w:rsidR="00D12AD9">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fr-FR"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s-E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23501"/>
    <w:rsid w:val="00025336"/>
    <w:rsid w:val="00063999"/>
    <w:rsid w:val="00087C9D"/>
    <w:rsid w:val="000C7358"/>
    <w:rsid w:val="00236E9D"/>
    <w:rsid w:val="00265C56"/>
    <w:rsid w:val="00266EDC"/>
    <w:rsid w:val="002744C9"/>
    <w:rsid w:val="002814F2"/>
    <w:rsid w:val="002D76C4"/>
    <w:rsid w:val="003223EB"/>
    <w:rsid w:val="00363835"/>
    <w:rsid w:val="00366CEE"/>
    <w:rsid w:val="003B2B4F"/>
    <w:rsid w:val="004532F7"/>
    <w:rsid w:val="005806E0"/>
    <w:rsid w:val="005A6102"/>
    <w:rsid w:val="00607D68"/>
    <w:rsid w:val="006B22C3"/>
    <w:rsid w:val="0071435A"/>
    <w:rsid w:val="00847DD5"/>
    <w:rsid w:val="00880680"/>
    <w:rsid w:val="00951E54"/>
    <w:rsid w:val="009F421B"/>
    <w:rsid w:val="00A2250E"/>
    <w:rsid w:val="00A6617B"/>
    <w:rsid w:val="00AB0DC8"/>
    <w:rsid w:val="00AD7E7A"/>
    <w:rsid w:val="00B1717A"/>
    <w:rsid w:val="00B44E24"/>
    <w:rsid w:val="00B87252"/>
    <w:rsid w:val="00BB77E9"/>
    <w:rsid w:val="00BF7841"/>
    <w:rsid w:val="00C55575"/>
    <w:rsid w:val="00CB7FC8"/>
    <w:rsid w:val="00D12388"/>
    <w:rsid w:val="00D12AD9"/>
    <w:rsid w:val="00D62884"/>
    <w:rsid w:val="00DE71F7"/>
    <w:rsid w:val="00DF4176"/>
    <w:rsid w:val="00E574A3"/>
    <w:rsid w:val="00EB1589"/>
    <w:rsid w:val="00F263A6"/>
    <w:rsid w:val="00F76AC0"/>
    <w:rsid w:val="00F95576"/>
    <w:rsid w:val="00FB56BF"/>
    <w:rsid w:val="00FD00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BB814983-3256-4EEF-9323-2B28A584E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350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23501"/>
    <w:pPr>
      <w:keepNext/>
      <w:keepLines/>
      <w:spacing w:before="480"/>
      <w:ind w:left="794" w:hanging="794"/>
      <w:outlineLvl w:val="0"/>
    </w:pPr>
    <w:rPr>
      <w:b/>
    </w:rPr>
  </w:style>
  <w:style w:type="paragraph" w:styleId="Heading2">
    <w:name w:val="heading 2"/>
    <w:basedOn w:val="Heading1"/>
    <w:next w:val="Normal"/>
    <w:qFormat/>
    <w:rsid w:val="00023501"/>
    <w:pPr>
      <w:spacing w:before="320"/>
      <w:outlineLvl w:val="1"/>
    </w:pPr>
  </w:style>
  <w:style w:type="paragraph" w:styleId="Heading3">
    <w:name w:val="heading 3"/>
    <w:basedOn w:val="Heading1"/>
    <w:next w:val="Normal"/>
    <w:qFormat/>
    <w:rsid w:val="00023501"/>
    <w:pPr>
      <w:spacing w:before="200"/>
      <w:outlineLvl w:val="2"/>
    </w:pPr>
  </w:style>
  <w:style w:type="paragraph" w:styleId="Heading4">
    <w:name w:val="heading 4"/>
    <w:basedOn w:val="Heading3"/>
    <w:next w:val="Normal"/>
    <w:qFormat/>
    <w:rsid w:val="00023501"/>
    <w:pPr>
      <w:tabs>
        <w:tab w:val="clear" w:pos="794"/>
        <w:tab w:val="left" w:pos="992"/>
      </w:tabs>
      <w:ind w:left="992" w:hanging="992"/>
      <w:outlineLvl w:val="3"/>
    </w:pPr>
  </w:style>
  <w:style w:type="paragraph" w:styleId="Heading5">
    <w:name w:val="heading 5"/>
    <w:basedOn w:val="Heading4"/>
    <w:next w:val="Normal"/>
    <w:qFormat/>
    <w:rsid w:val="00023501"/>
    <w:pPr>
      <w:outlineLvl w:val="4"/>
    </w:pPr>
  </w:style>
  <w:style w:type="paragraph" w:styleId="Heading6">
    <w:name w:val="heading 6"/>
    <w:basedOn w:val="Heading4"/>
    <w:next w:val="Normal"/>
    <w:qFormat/>
    <w:rsid w:val="00023501"/>
    <w:pPr>
      <w:tabs>
        <w:tab w:val="clear" w:pos="992"/>
        <w:tab w:val="clear" w:pos="1191"/>
      </w:tabs>
      <w:ind w:left="1588" w:hanging="1588"/>
      <w:outlineLvl w:val="5"/>
    </w:pPr>
  </w:style>
  <w:style w:type="paragraph" w:styleId="Heading7">
    <w:name w:val="heading 7"/>
    <w:basedOn w:val="Heading6"/>
    <w:next w:val="Normal"/>
    <w:qFormat/>
    <w:rsid w:val="00023501"/>
    <w:pPr>
      <w:outlineLvl w:val="6"/>
    </w:pPr>
  </w:style>
  <w:style w:type="paragraph" w:styleId="Heading8">
    <w:name w:val="heading 8"/>
    <w:basedOn w:val="Heading6"/>
    <w:next w:val="Normal"/>
    <w:qFormat/>
    <w:rsid w:val="00023501"/>
    <w:pPr>
      <w:outlineLvl w:val="7"/>
    </w:pPr>
  </w:style>
  <w:style w:type="paragraph" w:styleId="Heading9">
    <w:name w:val="heading 9"/>
    <w:basedOn w:val="Heading6"/>
    <w:next w:val="Normal"/>
    <w:qFormat/>
    <w:rsid w:val="00023501"/>
    <w:pPr>
      <w:jc w:val="left"/>
      <w:outlineLvl w:val="8"/>
    </w:pPr>
  </w:style>
  <w:style w:type="character" w:default="1" w:styleId="DefaultParagraphFont">
    <w:name w:val="Default Paragraph Font"/>
    <w:uiPriority w:val="1"/>
    <w:unhideWhenUsed/>
    <w:rsid w:val="0002350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23501"/>
  </w:style>
  <w:style w:type="paragraph" w:styleId="Header">
    <w:name w:val="header"/>
    <w:basedOn w:val="Normal"/>
    <w:rsid w:val="0002350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2350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23501"/>
  </w:style>
  <w:style w:type="paragraph" w:customStyle="1" w:styleId="Headingb">
    <w:name w:val="Heading_b"/>
    <w:basedOn w:val="Heading3"/>
    <w:next w:val="Normal"/>
    <w:rsid w:val="00023501"/>
    <w:pPr>
      <w:spacing w:before="160"/>
      <w:ind w:left="0" w:firstLine="0"/>
      <w:outlineLvl w:val="9"/>
    </w:pPr>
  </w:style>
  <w:style w:type="paragraph" w:customStyle="1" w:styleId="Headingi">
    <w:name w:val="Heading_i"/>
    <w:basedOn w:val="Heading3"/>
    <w:next w:val="Normal"/>
    <w:rsid w:val="00023501"/>
    <w:pPr>
      <w:spacing w:before="160"/>
      <w:ind w:left="0" w:firstLine="0"/>
    </w:pPr>
    <w:rPr>
      <w:b w:val="0"/>
      <w:i/>
    </w:rPr>
  </w:style>
  <w:style w:type="character" w:customStyle="1" w:styleId="href">
    <w:name w:val="href"/>
    <w:basedOn w:val="DefaultParagraphFont"/>
    <w:rsid w:val="00023501"/>
  </w:style>
  <w:style w:type="paragraph" w:customStyle="1" w:styleId="enumlev1">
    <w:name w:val="enumlev1"/>
    <w:basedOn w:val="Normal"/>
    <w:rsid w:val="00023501"/>
    <w:pPr>
      <w:spacing w:before="80"/>
      <w:ind w:left="794" w:hanging="794"/>
    </w:pPr>
  </w:style>
  <w:style w:type="paragraph" w:customStyle="1" w:styleId="enumlev2">
    <w:name w:val="enumlev2"/>
    <w:basedOn w:val="enumlev1"/>
    <w:rsid w:val="00023501"/>
    <w:pPr>
      <w:ind w:left="1191" w:hanging="397"/>
    </w:pPr>
  </w:style>
  <w:style w:type="paragraph" w:customStyle="1" w:styleId="enumlev3">
    <w:name w:val="enumlev3"/>
    <w:basedOn w:val="enumlev2"/>
    <w:rsid w:val="00023501"/>
    <w:pPr>
      <w:ind w:left="1588"/>
    </w:pPr>
  </w:style>
  <w:style w:type="paragraph" w:customStyle="1" w:styleId="Normalaftertitle">
    <w:name w:val="Normal_after_title"/>
    <w:basedOn w:val="Normal"/>
    <w:next w:val="Normal"/>
    <w:rsid w:val="00023501"/>
    <w:pPr>
      <w:spacing w:before="320"/>
    </w:pPr>
  </w:style>
  <w:style w:type="paragraph" w:customStyle="1" w:styleId="Note">
    <w:name w:val="Note"/>
    <w:basedOn w:val="Normal"/>
    <w:rsid w:val="0002350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2350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023501"/>
    <w:pPr>
      <w:spacing w:before="240"/>
    </w:pPr>
    <w:rPr>
      <w:sz w:val="22"/>
      <w:lang w:val="es-ES_tradnl"/>
    </w:rPr>
  </w:style>
  <w:style w:type="paragraph" w:customStyle="1" w:styleId="Recref">
    <w:name w:val="Rec_ref"/>
    <w:basedOn w:val="Normal"/>
    <w:next w:val="Recdate"/>
    <w:rsid w:val="00023501"/>
    <w:pPr>
      <w:jc w:val="center"/>
    </w:pPr>
  </w:style>
  <w:style w:type="paragraph" w:customStyle="1" w:styleId="Recdate">
    <w:name w:val="Rec_date"/>
    <w:basedOn w:val="Recref"/>
    <w:next w:val="Normalaftertitle"/>
    <w:rsid w:val="00023501"/>
    <w:pPr>
      <w:jc w:val="right"/>
    </w:pPr>
  </w:style>
  <w:style w:type="paragraph" w:customStyle="1" w:styleId="AnnexNoTitle">
    <w:name w:val="Annex_NoTitle"/>
    <w:basedOn w:val="Normal"/>
    <w:next w:val="Normalaftertitle"/>
    <w:rsid w:val="00023501"/>
    <w:pPr>
      <w:keepNext/>
      <w:keepLines/>
      <w:spacing w:before="480" w:after="80"/>
      <w:jc w:val="center"/>
    </w:pPr>
    <w:rPr>
      <w:b/>
      <w:sz w:val="28"/>
    </w:rPr>
  </w:style>
  <w:style w:type="paragraph" w:customStyle="1" w:styleId="AppendixNoTitle">
    <w:name w:val="Appendix_NoTitle"/>
    <w:basedOn w:val="AnnexNoTitle"/>
    <w:next w:val="Normal"/>
    <w:rsid w:val="00023501"/>
  </w:style>
  <w:style w:type="paragraph" w:customStyle="1" w:styleId="Tablefin">
    <w:name w:val="Table_fin"/>
    <w:basedOn w:val="Normal"/>
    <w:next w:val="Normal"/>
    <w:rsid w:val="00023501"/>
    <w:pPr>
      <w:spacing w:before="0"/>
    </w:pPr>
    <w:rPr>
      <w:sz w:val="20"/>
      <w:lang w:val="en-GB"/>
    </w:rPr>
  </w:style>
  <w:style w:type="paragraph" w:customStyle="1" w:styleId="Tablehead">
    <w:name w:val="Table_head"/>
    <w:basedOn w:val="Normal"/>
    <w:next w:val="Normal"/>
    <w:rsid w:val="0002350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2350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23501"/>
    <w:pPr>
      <w:keepNext/>
      <w:spacing w:before="360" w:after="120"/>
      <w:jc w:val="center"/>
    </w:pPr>
  </w:style>
  <w:style w:type="paragraph" w:customStyle="1" w:styleId="Tabletext">
    <w:name w:val="Table_text"/>
    <w:basedOn w:val="Normal"/>
    <w:rsid w:val="0002350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23501"/>
    <w:pPr>
      <w:tabs>
        <w:tab w:val="clear" w:pos="1191"/>
        <w:tab w:val="clear" w:pos="1588"/>
        <w:tab w:val="clear" w:pos="1985"/>
        <w:tab w:val="center" w:pos="4820"/>
        <w:tab w:val="right" w:pos="9639"/>
      </w:tabs>
    </w:pPr>
  </w:style>
  <w:style w:type="paragraph" w:customStyle="1" w:styleId="Equationlegend">
    <w:name w:val="Equation_legend"/>
    <w:basedOn w:val="NormalIndent"/>
    <w:rsid w:val="0002350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23501"/>
    <w:pPr>
      <w:ind w:left="794"/>
    </w:pPr>
  </w:style>
  <w:style w:type="paragraph" w:customStyle="1" w:styleId="Figurelegend">
    <w:name w:val="Figure_legend"/>
    <w:basedOn w:val="Normal"/>
    <w:rsid w:val="0002350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23501"/>
    <w:pPr>
      <w:keepNext/>
      <w:keepLines/>
      <w:spacing w:before="480" w:after="80"/>
      <w:jc w:val="center"/>
    </w:pPr>
    <w:rPr>
      <w:caps/>
      <w:sz w:val="18"/>
    </w:rPr>
  </w:style>
  <w:style w:type="paragraph" w:customStyle="1" w:styleId="tocpart">
    <w:name w:val="tocpart"/>
    <w:basedOn w:val="Normal"/>
    <w:rsid w:val="0002350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23501"/>
    <w:pPr>
      <w:keepNext/>
      <w:keepLines/>
      <w:spacing w:before="480"/>
      <w:jc w:val="center"/>
    </w:pPr>
    <w:rPr>
      <w:sz w:val="28"/>
    </w:rPr>
  </w:style>
  <w:style w:type="paragraph" w:customStyle="1" w:styleId="Arttitle">
    <w:name w:val="Art_title"/>
    <w:basedOn w:val="Normal"/>
    <w:next w:val="Normalaftertitle"/>
    <w:rsid w:val="00023501"/>
    <w:pPr>
      <w:keepNext/>
      <w:keepLines/>
      <w:spacing w:before="240"/>
      <w:jc w:val="center"/>
    </w:pPr>
    <w:rPr>
      <w:b/>
      <w:sz w:val="28"/>
    </w:rPr>
  </w:style>
  <w:style w:type="paragraph" w:customStyle="1" w:styleId="Blanc">
    <w:name w:val="Blanc"/>
    <w:basedOn w:val="Normal"/>
    <w:next w:val="Tabletext"/>
    <w:rsid w:val="0002350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2350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23501"/>
    <w:pPr>
      <w:keepNext/>
      <w:keepLines/>
      <w:spacing w:before="160"/>
      <w:ind w:left="794"/>
    </w:pPr>
    <w:rPr>
      <w:i/>
    </w:rPr>
  </w:style>
  <w:style w:type="paragraph" w:customStyle="1" w:styleId="ChapNo">
    <w:name w:val="Chap_No"/>
    <w:basedOn w:val="ArtNo"/>
    <w:next w:val="Chaptitle"/>
    <w:rsid w:val="00023501"/>
    <w:rPr>
      <w:b/>
    </w:rPr>
  </w:style>
  <w:style w:type="paragraph" w:customStyle="1" w:styleId="Chaptitle">
    <w:name w:val="Chap_title"/>
    <w:basedOn w:val="Arttitle"/>
    <w:next w:val="Normalaftertitle"/>
    <w:rsid w:val="00023501"/>
  </w:style>
  <w:style w:type="character" w:styleId="FootnoteReference">
    <w:name w:val="footnote reference"/>
    <w:basedOn w:val="DefaultParagraphFont"/>
    <w:semiHidden/>
    <w:rsid w:val="00023501"/>
    <w:rPr>
      <w:position w:val="6"/>
      <w:sz w:val="18"/>
    </w:rPr>
  </w:style>
  <w:style w:type="paragraph" w:styleId="FootnoteText">
    <w:name w:val="footnote text"/>
    <w:basedOn w:val="Normal"/>
    <w:semiHidden/>
    <w:rsid w:val="00023501"/>
    <w:pPr>
      <w:keepLines/>
      <w:tabs>
        <w:tab w:val="left" w:pos="255"/>
      </w:tabs>
      <w:ind w:left="255" w:hanging="255"/>
    </w:pPr>
    <w:rPr>
      <w:sz w:val="22"/>
    </w:rPr>
  </w:style>
  <w:style w:type="paragraph" w:styleId="Index1">
    <w:name w:val="index 1"/>
    <w:basedOn w:val="Normal"/>
    <w:next w:val="Normal"/>
    <w:semiHidden/>
    <w:rsid w:val="00023501"/>
  </w:style>
  <w:style w:type="paragraph" w:styleId="Index2">
    <w:name w:val="index 2"/>
    <w:basedOn w:val="Normal"/>
    <w:next w:val="Normal"/>
    <w:semiHidden/>
    <w:rsid w:val="00023501"/>
    <w:pPr>
      <w:ind w:left="283"/>
    </w:pPr>
  </w:style>
  <w:style w:type="paragraph" w:styleId="Index3">
    <w:name w:val="index 3"/>
    <w:basedOn w:val="Normal"/>
    <w:next w:val="Normal"/>
    <w:semiHidden/>
    <w:rsid w:val="00023501"/>
    <w:pPr>
      <w:ind w:left="566"/>
    </w:pPr>
  </w:style>
  <w:style w:type="paragraph" w:styleId="IndexHeading">
    <w:name w:val="index heading"/>
    <w:basedOn w:val="Normal"/>
    <w:next w:val="Index1"/>
    <w:semiHidden/>
    <w:rsid w:val="00023501"/>
  </w:style>
  <w:style w:type="paragraph" w:customStyle="1" w:styleId="Line">
    <w:name w:val="Line"/>
    <w:basedOn w:val="Normal"/>
    <w:next w:val="Normal"/>
    <w:rsid w:val="0002350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2350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23501"/>
  </w:style>
  <w:style w:type="paragraph" w:customStyle="1" w:styleId="Partref">
    <w:name w:val="Part_ref"/>
    <w:basedOn w:val="Normal"/>
    <w:next w:val="Normal"/>
    <w:rsid w:val="00023501"/>
    <w:pPr>
      <w:keepNext/>
      <w:keepLines/>
      <w:spacing w:after="280"/>
      <w:jc w:val="center"/>
    </w:pPr>
  </w:style>
  <w:style w:type="paragraph" w:customStyle="1" w:styleId="Parttitle">
    <w:name w:val="Part_title"/>
    <w:basedOn w:val="Normal"/>
    <w:next w:val="Normalaftertitle"/>
    <w:rsid w:val="0002350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23501"/>
  </w:style>
  <w:style w:type="paragraph" w:customStyle="1" w:styleId="QuestionNo">
    <w:name w:val="Question_No"/>
    <w:basedOn w:val="RecNo"/>
    <w:next w:val="Normal"/>
    <w:rsid w:val="00023501"/>
  </w:style>
  <w:style w:type="paragraph" w:customStyle="1" w:styleId="Questionref">
    <w:name w:val="Question_ref"/>
    <w:basedOn w:val="Recref"/>
    <w:next w:val="Questiondate"/>
    <w:rsid w:val="00023501"/>
  </w:style>
  <w:style w:type="paragraph" w:customStyle="1" w:styleId="Questiontitle">
    <w:name w:val="Question_title"/>
    <w:basedOn w:val="Normal"/>
    <w:next w:val="Questionref"/>
    <w:rsid w:val="00023501"/>
  </w:style>
  <w:style w:type="paragraph" w:customStyle="1" w:styleId="Reftext">
    <w:name w:val="Ref_text"/>
    <w:basedOn w:val="Normal"/>
    <w:rsid w:val="00023501"/>
    <w:pPr>
      <w:ind w:left="794" w:hanging="794"/>
    </w:pPr>
    <w:rPr>
      <w:sz w:val="22"/>
    </w:rPr>
  </w:style>
  <w:style w:type="paragraph" w:customStyle="1" w:styleId="Reftitle">
    <w:name w:val="Ref_title"/>
    <w:basedOn w:val="Normal"/>
    <w:next w:val="Reftext"/>
    <w:rsid w:val="0002350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23501"/>
  </w:style>
  <w:style w:type="paragraph" w:customStyle="1" w:styleId="RepNo">
    <w:name w:val="Rep_No"/>
    <w:basedOn w:val="RecNo"/>
    <w:next w:val="Reptitle"/>
    <w:rsid w:val="00023501"/>
  </w:style>
  <w:style w:type="paragraph" w:customStyle="1" w:styleId="Repref">
    <w:name w:val="Rep_ref"/>
    <w:basedOn w:val="Recref"/>
    <w:next w:val="Repdate"/>
    <w:rsid w:val="00023501"/>
  </w:style>
  <w:style w:type="paragraph" w:customStyle="1" w:styleId="Reptitle">
    <w:name w:val="Rep_title"/>
    <w:basedOn w:val="Rectitle"/>
    <w:next w:val="Repref"/>
    <w:rsid w:val="00023501"/>
  </w:style>
  <w:style w:type="paragraph" w:customStyle="1" w:styleId="Resdate">
    <w:name w:val="Res_date"/>
    <w:basedOn w:val="Recdate"/>
    <w:next w:val="Normalaftertitle"/>
    <w:rsid w:val="00023501"/>
  </w:style>
  <w:style w:type="paragraph" w:customStyle="1" w:styleId="ResNo">
    <w:name w:val="Res_No"/>
    <w:basedOn w:val="RecNo"/>
    <w:next w:val="Restitle"/>
    <w:rsid w:val="00023501"/>
  </w:style>
  <w:style w:type="paragraph" w:customStyle="1" w:styleId="Resref">
    <w:name w:val="Res_ref"/>
    <w:basedOn w:val="Recref"/>
    <w:next w:val="Resdate"/>
    <w:rsid w:val="00023501"/>
  </w:style>
  <w:style w:type="paragraph" w:customStyle="1" w:styleId="Restitle">
    <w:name w:val="Res_title"/>
    <w:basedOn w:val="Normal"/>
    <w:next w:val="Resref"/>
    <w:rsid w:val="00023501"/>
    <w:pPr>
      <w:spacing w:before="240"/>
      <w:jc w:val="center"/>
    </w:pPr>
    <w:rPr>
      <w:b/>
      <w:sz w:val="28"/>
    </w:rPr>
  </w:style>
  <w:style w:type="paragraph" w:customStyle="1" w:styleId="SectionNo">
    <w:name w:val="Section_No"/>
    <w:basedOn w:val="Normal"/>
    <w:next w:val="Normal"/>
    <w:rsid w:val="00023501"/>
  </w:style>
  <w:style w:type="paragraph" w:customStyle="1" w:styleId="Sectiontitle">
    <w:name w:val="Section_title"/>
    <w:basedOn w:val="Normal"/>
    <w:next w:val="Normalaftertitle"/>
    <w:rsid w:val="0002350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23501"/>
    <w:pPr>
      <w:tabs>
        <w:tab w:val="clear" w:pos="794"/>
        <w:tab w:val="clear" w:pos="1191"/>
        <w:tab w:val="clear" w:pos="1588"/>
        <w:tab w:val="clear" w:pos="1985"/>
        <w:tab w:val="right" w:pos="9611"/>
      </w:tabs>
    </w:pPr>
    <w:rPr>
      <w:i/>
    </w:rPr>
  </w:style>
  <w:style w:type="paragraph" w:styleId="TOC1">
    <w:name w:val="toc 1"/>
    <w:basedOn w:val="Normal"/>
    <w:semiHidden/>
    <w:rsid w:val="0002350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23501"/>
    <w:pPr>
      <w:tabs>
        <w:tab w:val="clear" w:pos="567"/>
        <w:tab w:val="left" w:pos="1276"/>
      </w:tabs>
      <w:spacing w:before="160"/>
      <w:ind w:left="1276" w:hanging="709"/>
    </w:pPr>
  </w:style>
  <w:style w:type="paragraph" w:styleId="TOC3">
    <w:name w:val="toc 3"/>
    <w:basedOn w:val="TOC2"/>
    <w:semiHidden/>
    <w:rsid w:val="00023501"/>
    <w:pPr>
      <w:tabs>
        <w:tab w:val="clear" w:pos="1276"/>
        <w:tab w:val="left" w:pos="2155"/>
      </w:tabs>
      <w:ind w:left="2155" w:hanging="879"/>
    </w:pPr>
  </w:style>
  <w:style w:type="paragraph" w:styleId="TOC4">
    <w:name w:val="toc 4"/>
    <w:basedOn w:val="TOC3"/>
    <w:semiHidden/>
    <w:rsid w:val="00023501"/>
    <w:pPr>
      <w:tabs>
        <w:tab w:val="left" w:pos="3261"/>
      </w:tabs>
      <w:spacing w:before="80"/>
      <w:ind w:left="3261" w:hanging="993"/>
    </w:pPr>
  </w:style>
  <w:style w:type="paragraph" w:styleId="TOC5">
    <w:name w:val="toc 5"/>
    <w:basedOn w:val="TOC4"/>
    <w:semiHidden/>
    <w:rsid w:val="00023501"/>
  </w:style>
  <w:style w:type="paragraph" w:styleId="TOC6">
    <w:name w:val="toc 6"/>
    <w:basedOn w:val="TOC4"/>
    <w:semiHidden/>
    <w:rsid w:val="00023501"/>
  </w:style>
  <w:style w:type="paragraph" w:styleId="TOC7">
    <w:name w:val="toc 7"/>
    <w:basedOn w:val="TOC4"/>
    <w:semiHidden/>
    <w:rsid w:val="00023501"/>
  </w:style>
  <w:style w:type="paragraph" w:styleId="TOC8">
    <w:name w:val="toc 8"/>
    <w:basedOn w:val="TOC4"/>
    <w:semiHidden/>
    <w:rsid w:val="00023501"/>
  </w:style>
  <w:style w:type="paragraph" w:customStyle="1" w:styleId="Rectitle">
    <w:name w:val="Rec_title"/>
    <w:basedOn w:val="Normal"/>
    <w:next w:val="Recref"/>
    <w:rsid w:val="00023501"/>
    <w:pPr>
      <w:keepNext/>
      <w:keepLines/>
      <w:spacing w:before="240"/>
      <w:jc w:val="center"/>
    </w:pPr>
    <w:rPr>
      <w:b/>
      <w:sz w:val="28"/>
    </w:rPr>
  </w:style>
  <w:style w:type="paragraph" w:customStyle="1" w:styleId="Annexref">
    <w:name w:val="Annex_ref"/>
    <w:basedOn w:val="Normal"/>
    <w:next w:val="Normalaftertitle"/>
    <w:rsid w:val="00023501"/>
    <w:pPr>
      <w:keepNext/>
      <w:keepLines/>
      <w:spacing w:after="280"/>
      <w:jc w:val="center"/>
    </w:pPr>
  </w:style>
  <w:style w:type="paragraph" w:customStyle="1" w:styleId="Appendixref">
    <w:name w:val="Appendix_ref"/>
    <w:basedOn w:val="Annexref"/>
    <w:next w:val="Normalaftertitle"/>
    <w:rsid w:val="00023501"/>
  </w:style>
  <w:style w:type="paragraph" w:customStyle="1" w:styleId="Figuretitle">
    <w:name w:val="Figure_title"/>
    <w:basedOn w:val="Normal"/>
    <w:next w:val="Figure"/>
    <w:rsid w:val="00023501"/>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023501"/>
    <w:pPr>
      <w:keepNext/>
      <w:spacing w:before="0" w:after="120"/>
      <w:jc w:val="center"/>
    </w:pPr>
    <w:rPr>
      <w:b/>
    </w:rPr>
  </w:style>
  <w:style w:type="paragraph" w:customStyle="1" w:styleId="Summary">
    <w:name w:val="Summary"/>
    <w:basedOn w:val="Normal"/>
    <w:next w:val="Normalaftertitle"/>
    <w:autoRedefine/>
    <w:rsid w:val="00023501"/>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023501"/>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023501"/>
    <w:pPr>
      <w:ind w:left="-85" w:firstLine="0"/>
    </w:pPr>
    <w:rPr>
      <w:lang w:val="en-US"/>
    </w:rPr>
  </w:style>
  <w:style w:type="character" w:customStyle="1" w:styleId="Heading1Char">
    <w:name w:val="Heading 1 Char"/>
    <w:basedOn w:val="DefaultParagraphFont"/>
    <w:link w:val="Heading1"/>
    <w:rsid w:val="00F76AC0"/>
    <w:rPr>
      <w:b/>
      <w:sz w:val="24"/>
      <w:lang w:val="fr-FR" w:eastAsia="en-US"/>
    </w:rPr>
  </w:style>
  <w:style w:type="paragraph" w:customStyle="1" w:styleId="Reasons">
    <w:name w:val="Reasons"/>
    <w:basedOn w:val="Normal"/>
    <w:qFormat/>
    <w:rsid w:val="00F76AC0"/>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22</TotalTime>
  <Pages>6</Pages>
  <Words>2387</Words>
  <Characters>13402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15758</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8</cp:revision>
  <cp:lastPrinted>2018-05-08T14:08:00Z</cp:lastPrinted>
  <dcterms:created xsi:type="dcterms:W3CDTF">2018-05-08T13:56:00Z</dcterms:created>
  <dcterms:modified xsi:type="dcterms:W3CDTF">2018-05-08T14:17:00Z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