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1E" w:rsidRPr="00705577" w:rsidRDefault="0059671E" w:rsidP="0059671E">
      <w:bookmarkStart w:id="0" w:name="_GoBack"/>
      <w:bookmarkEnd w:id="0"/>
    </w:p>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p w:rsidR="0059671E" w:rsidRPr="00705577" w:rsidRDefault="0059671E" w:rsidP="0059671E"/>
    <w:tbl>
      <w:tblPr>
        <w:tblW w:w="10089" w:type="dxa"/>
        <w:tblLook w:val="01E0" w:firstRow="1" w:lastRow="1" w:firstColumn="1" w:lastColumn="1" w:noHBand="0" w:noVBand="0"/>
      </w:tblPr>
      <w:tblGrid>
        <w:gridCol w:w="10089"/>
      </w:tblGrid>
      <w:tr w:rsidR="0059671E" w:rsidRPr="00705577" w:rsidTr="001626F1">
        <w:tc>
          <w:tcPr>
            <w:tcW w:w="10089" w:type="dxa"/>
          </w:tcPr>
          <w:p w:rsidR="0059671E" w:rsidRPr="00705577" w:rsidRDefault="0059671E" w:rsidP="001626F1">
            <w:pPr>
              <w:spacing w:before="380" w:line="280" w:lineRule="exact"/>
              <w:jc w:val="right"/>
              <w:rPr>
                <w:rFonts w:ascii="Tahoma" w:hAnsi="Tahoma" w:cs="Tahoma"/>
                <w:b/>
                <w:bCs/>
                <w:iCs/>
                <w:color w:val="243285"/>
                <w:sz w:val="32"/>
                <w:szCs w:val="32"/>
              </w:rPr>
            </w:pPr>
          </w:p>
          <w:p w:rsidR="0059671E" w:rsidRPr="00705577" w:rsidRDefault="0059671E" w:rsidP="001626F1">
            <w:pPr>
              <w:spacing w:before="380" w:line="280" w:lineRule="exact"/>
              <w:jc w:val="right"/>
              <w:rPr>
                <w:rFonts w:ascii="Tahoma" w:hAnsi="Tahoma" w:cs="Tahoma"/>
                <w:b/>
                <w:bCs/>
                <w:iCs/>
                <w:color w:val="243285"/>
                <w:sz w:val="36"/>
                <w:szCs w:val="36"/>
              </w:rPr>
            </w:pPr>
            <w:r w:rsidRPr="00705577">
              <w:rPr>
                <w:rFonts w:ascii="Tahoma" w:hAnsi="Tahoma" w:cs="Tahoma"/>
                <w:b/>
                <w:bCs/>
                <w:iCs/>
                <w:color w:val="243285"/>
                <w:sz w:val="36"/>
                <w:szCs w:val="36"/>
              </w:rPr>
              <w:t>Recommandation  UIT-R  SA.</w:t>
            </w:r>
            <w:r w:rsidR="001626F1" w:rsidRPr="00705577">
              <w:rPr>
                <w:rFonts w:ascii="Tahoma" w:hAnsi="Tahoma" w:cs="Tahoma"/>
                <w:b/>
                <w:bCs/>
                <w:iCs/>
                <w:color w:val="243285"/>
                <w:sz w:val="36"/>
                <w:szCs w:val="36"/>
              </w:rPr>
              <w:t>1161-2</w:t>
            </w:r>
          </w:p>
          <w:p w:rsidR="0059671E" w:rsidRPr="00705577" w:rsidRDefault="0059671E" w:rsidP="001626F1">
            <w:pPr>
              <w:spacing w:before="80" w:line="280" w:lineRule="exact"/>
              <w:jc w:val="right"/>
              <w:rPr>
                <w:rFonts w:ascii="Tahoma" w:hAnsi="Tahoma" w:cs="Tahoma"/>
                <w:b/>
                <w:bCs/>
                <w:iCs/>
                <w:color w:val="243285"/>
                <w:szCs w:val="24"/>
              </w:rPr>
            </w:pPr>
            <w:r w:rsidRPr="00705577">
              <w:rPr>
                <w:rFonts w:ascii="Tahoma" w:hAnsi="Tahoma" w:cs="Tahoma"/>
                <w:b/>
                <w:bCs/>
                <w:iCs/>
                <w:color w:val="243285"/>
                <w:szCs w:val="24"/>
              </w:rPr>
              <w:t>(</w:t>
            </w:r>
            <w:r w:rsidR="001626F1" w:rsidRPr="00705577">
              <w:rPr>
                <w:rFonts w:ascii="Tahoma" w:hAnsi="Tahoma" w:cs="Tahoma"/>
                <w:b/>
                <w:bCs/>
                <w:iCs/>
                <w:color w:val="243285"/>
                <w:szCs w:val="24"/>
              </w:rPr>
              <w:t>09</w:t>
            </w:r>
            <w:r w:rsidRPr="00705577">
              <w:rPr>
                <w:rFonts w:ascii="Tahoma" w:hAnsi="Tahoma" w:cs="Tahoma"/>
                <w:b/>
                <w:bCs/>
                <w:iCs/>
                <w:color w:val="243285"/>
                <w:szCs w:val="24"/>
              </w:rPr>
              <w:t>/201</w:t>
            </w:r>
            <w:r w:rsidR="001626F1" w:rsidRPr="00705577">
              <w:rPr>
                <w:rFonts w:ascii="Tahoma" w:hAnsi="Tahoma" w:cs="Tahoma"/>
                <w:b/>
                <w:bCs/>
                <w:iCs/>
                <w:color w:val="243285"/>
                <w:szCs w:val="24"/>
              </w:rPr>
              <w:t>7</w:t>
            </w:r>
            <w:r w:rsidRPr="00705577">
              <w:rPr>
                <w:rFonts w:ascii="Tahoma" w:hAnsi="Tahoma" w:cs="Tahoma"/>
                <w:b/>
                <w:bCs/>
                <w:iCs/>
                <w:color w:val="243285"/>
                <w:szCs w:val="24"/>
              </w:rPr>
              <w:t>)</w:t>
            </w:r>
          </w:p>
        </w:tc>
      </w:tr>
      <w:tr w:rsidR="0059671E" w:rsidRPr="00705577" w:rsidTr="001626F1">
        <w:tc>
          <w:tcPr>
            <w:tcW w:w="10089" w:type="dxa"/>
          </w:tcPr>
          <w:p w:rsidR="0059671E" w:rsidRPr="00705577" w:rsidRDefault="0059671E" w:rsidP="001626F1">
            <w:pPr>
              <w:spacing w:before="80" w:line="500" w:lineRule="exact"/>
              <w:jc w:val="right"/>
              <w:rPr>
                <w:rFonts w:ascii="Tahoma" w:hAnsi="Tahoma" w:cs="Tahoma"/>
                <w:b/>
                <w:bCs/>
                <w:iCs/>
                <w:color w:val="243285"/>
                <w:sz w:val="44"/>
                <w:szCs w:val="44"/>
              </w:rPr>
            </w:pPr>
          </w:p>
          <w:p w:rsidR="0059671E" w:rsidRPr="00705577" w:rsidRDefault="001626F1" w:rsidP="001626F1">
            <w:pPr>
              <w:spacing w:before="80" w:line="500" w:lineRule="exact"/>
              <w:jc w:val="right"/>
              <w:rPr>
                <w:rFonts w:ascii="Tahoma" w:hAnsi="Tahoma" w:cs="Tahoma"/>
                <w:b/>
                <w:bCs/>
                <w:iCs/>
                <w:color w:val="243285"/>
                <w:sz w:val="44"/>
                <w:szCs w:val="44"/>
              </w:rPr>
            </w:pPr>
            <w:r w:rsidRPr="00705577">
              <w:rPr>
                <w:rFonts w:ascii="Tahoma" w:hAnsi="Tahoma" w:cs="Tahoma"/>
                <w:b/>
                <w:bCs/>
                <w:iCs/>
                <w:color w:val="243285"/>
                <w:sz w:val="44"/>
                <w:szCs w:val="44"/>
              </w:rPr>
              <w:t>Critères de partage et de coordination pour les systèmes de transmission de données des services d'exploration de la Terre par satellite et de météorologie par satellite utilisant des satellites géostationnaires</w:t>
            </w:r>
          </w:p>
          <w:p w:rsidR="0059671E" w:rsidRPr="00705577" w:rsidRDefault="0059671E" w:rsidP="001626F1">
            <w:pPr>
              <w:spacing w:before="80" w:line="500" w:lineRule="exact"/>
              <w:jc w:val="right"/>
              <w:rPr>
                <w:rFonts w:ascii="Tahoma" w:hAnsi="Tahoma" w:cs="Tahoma"/>
                <w:b/>
                <w:bCs/>
                <w:iCs/>
                <w:color w:val="243285"/>
                <w:sz w:val="44"/>
                <w:szCs w:val="44"/>
              </w:rPr>
            </w:pPr>
          </w:p>
        </w:tc>
      </w:tr>
      <w:tr w:rsidR="0059671E" w:rsidRPr="00705577" w:rsidTr="001626F1">
        <w:tc>
          <w:tcPr>
            <w:tcW w:w="10089" w:type="dxa"/>
          </w:tcPr>
          <w:p w:rsidR="0059671E" w:rsidRPr="00705577" w:rsidRDefault="0059671E" w:rsidP="001626F1">
            <w:pPr>
              <w:spacing w:before="80" w:line="280" w:lineRule="exact"/>
              <w:ind w:right="640"/>
              <w:rPr>
                <w:rFonts w:ascii="Tahoma" w:hAnsi="Tahoma" w:cs="Tahoma"/>
                <w:b/>
                <w:bCs/>
                <w:iCs/>
                <w:color w:val="243285"/>
                <w:sz w:val="32"/>
                <w:szCs w:val="32"/>
              </w:rPr>
            </w:pPr>
          </w:p>
          <w:p w:rsidR="0059671E" w:rsidRPr="00705577" w:rsidRDefault="0059671E" w:rsidP="001626F1">
            <w:pPr>
              <w:spacing w:before="80" w:line="280" w:lineRule="exact"/>
              <w:ind w:right="640"/>
              <w:rPr>
                <w:rFonts w:ascii="Tahoma" w:hAnsi="Tahoma" w:cs="Tahoma"/>
                <w:b/>
                <w:bCs/>
                <w:iCs/>
                <w:color w:val="243285"/>
                <w:sz w:val="32"/>
                <w:szCs w:val="32"/>
              </w:rPr>
            </w:pPr>
          </w:p>
          <w:p w:rsidR="0059671E" w:rsidRPr="00705577" w:rsidRDefault="0059671E" w:rsidP="001626F1">
            <w:pPr>
              <w:spacing w:before="80" w:after="180" w:line="360" w:lineRule="exact"/>
              <w:ind w:right="720"/>
              <w:rPr>
                <w:rFonts w:ascii="Tahoma" w:hAnsi="Tahoma" w:cs="Tahoma"/>
                <w:b/>
                <w:bCs/>
                <w:iCs/>
                <w:color w:val="243285"/>
                <w:sz w:val="36"/>
                <w:szCs w:val="36"/>
              </w:rPr>
            </w:pPr>
          </w:p>
          <w:p w:rsidR="0059671E" w:rsidRPr="00705577" w:rsidRDefault="0059671E" w:rsidP="001626F1">
            <w:pPr>
              <w:spacing w:before="80" w:after="180" w:line="360" w:lineRule="exact"/>
              <w:jc w:val="right"/>
              <w:rPr>
                <w:rFonts w:ascii="Tahoma" w:hAnsi="Tahoma" w:cs="Tahoma"/>
                <w:b/>
                <w:bCs/>
                <w:iCs/>
                <w:color w:val="243285"/>
                <w:sz w:val="36"/>
                <w:szCs w:val="36"/>
              </w:rPr>
            </w:pPr>
            <w:r w:rsidRPr="00705577">
              <w:rPr>
                <w:rFonts w:ascii="Tahoma" w:hAnsi="Tahoma" w:cs="Tahoma"/>
                <w:b/>
                <w:bCs/>
                <w:iCs/>
                <w:color w:val="243285"/>
                <w:sz w:val="36"/>
                <w:szCs w:val="36"/>
              </w:rPr>
              <w:t>Série SA</w:t>
            </w:r>
          </w:p>
          <w:p w:rsidR="0059671E" w:rsidRPr="00705577" w:rsidRDefault="0059671E" w:rsidP="001626F1">
            <w:pPr>
              <w:spacing w:before="80" w:line="420" w:lineRule="exact"/>
              <w:jc w:val="right"/>
              <w:rPr>
                <w:rFonts w:ascii="Tahoma" w:hAnsi="Tahoma" w:cs="Tahoma"/>
                <w:b/>
                <w:bCs/>
                <w:iCs/>
                <w:color w:val="243285"/>
                <w:sz w:val="36"/>
                <w:szCs w:val="36"/>
              </w:rPr>
            </w:pPr>
            <w:r w:rsidRPr="00705577">
              <w:rPr>
                <w:rFonts w:ascii="Tahoma" w:hAnsi="Tahoma" w:cs="Tahoma"/>
                <w:b/>
                <w:bCs/>
                <w:iCs/>
                <w:color w:val="243285"/>
                <w:sz w:val="36"/>
                <w:szCs w:val="36"/>
              </w:rPr>
              <w:t>Applications spatiales et météorologie</w:t>
            </w:r>
          </w:p>
        </w:tc>
      </w:tr>
    </w:tbl>
    <w:p w:rsidR="0059671E" w:rsidRPr="00705577" w:rsidRDefault="0059671E" w:rsidP="0059671E">
      <w:pPr>
        <w:spacing w:before="80"/>
        <w:rPr>
          <w:i/>
          <w:sz w:val="22"/>
        </w:rPr>
      </w:pPr>
    </w:p>
    <w:p w:rsidR="0059671E" w:rsidRPr="00705577" w:rsidRDefault="0059671E" w:rsidP="0059671E">
      <w:pPr>
        <w:spacing w:before="80"/>
        <w:rPr>
          <w:i/>
          <w:sz w:val="22"/>
        </w:rPr>
      </w:pPr>
    </w:p>
    <w:p w:rsidR="0059671E" w:rsidRPr="00705577" w:rsidRDefault="0059671E" w:rsidP="0059671E">
      <w:pPr>
        <w:spacing w:before="80"/>
        <w:rPr>
          <w:i/>
          <w:sz w:val="22"/>
        </w:rPr>
      </w:pPr>
    </w:p>
    <w:p w:rsidR="0059671E" w:rsidRPr="00705577" w:rsidRDefault="0059671E" w:rsidP="0059671E">
      <w:pPr>
        <w:spacing w:before="80"/>
        <w:rPr>
          <w:i/>
          <w:sz w:val="22"/>
        </w:rPr>
      </w:pPr>
    </w:p>
    <w:p w:rsidR="0059671E" w:rsidRPr="00705577" w:rsidRDefault="0059671E" w:rsidP="0059671E">
      <w:pPr>
        <w:spacing w:before="80"/>
        <w:rPr>
          <w:i/>
          <w:sz w:val="22"/>
        </w:rPr>
      </w:pPr>
    </w:p>
    <w:p w:rsidR="0059671E" w:rsidRPr="00705577" w:rsidRDefault="0059671E" w:rsidP="0059671E">
      <w:pPr>
        <w:spacing w:before="80"/>
        <w:rPr>
          <w:i/>
          <w:sz w:val="22"/>
        </w:rPr>
      </w:pPr>
    </w:p>
    <w:p w:rsidR="0059671E" w:rsidRPr="00705577" w:rsidRDefault="0059671E" w:rsidP="0059671E">
      <w:pPr>
        <w:pStyle w:val="Equation"/>
        <w:tabs>
          <w:tab w:val="clear" w:pos="4820"/>
          <w:tab w:val="clear" w:pos="9639"/>
          <w:tab w:val="left" w:pos="1191"/>
          <w:tab w:val="left" w:pos="1588"/>
          <w:tab w:val="left" w:pos="1985"/>
        </w:tabs>
        <w:rPr>
          <w:rFonts w:ascii="Palatino Linotype" w:hAnsi="Palatino Linotype"/>
        </w:rPr>
        <w:sectPr w:rsidR="0059671E" w:rsidRPr="00705577">
          <w:headerReference w:type="even" r:id="rId7"/>
          <w:headerReference w:type="default" r:id="rId8"/>
          <w:pgSz w:w="11907" w:h="16840" w:code="9"/>
          <w:pgMar w:top="1089" w:right="1089" w:bottom="284" w:left="1089" w:header="567" w:footer="284" w:gutter="0"/>
          <w:pgNumType w:start="1"/>
          <w:cols w:space="720"/>
        </w:sectPr>
      </w:pPr>
    </w:p>
    <w:p w:rsidR="0059671E" w:rsidRPr="00705577" w:rsidRDefault="0059671E" w:rsidP="005967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05577">
        <w:rPr>
          <w:bCs/>
          <w:sz w:val="24"/>
          <w:szCs w:val="24"/>
        </w:rPr>
        <w:lastRenderedPageBreak/>
        <w:t>Avant-propos</w:t>
      </w:r>
    </w:p>
    <w:p w:rsidR="0059671E" w:rsidRPr="00705577" w:rsidRDefault="0059671E" w:rsidP="0059671E">
      <w:pPr>
        <w:spacing w:before="240"/>
        <w:rPr>
          <w:sz w:val="20"/>
        </w:rPr>
      </w:pPr>
      <w:r w:rsidRPr="00705577">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9671E" w:rsidRPr="00705577" w:rsidRDefault="0059671E" w:rsidP="0059671E">
      <w:pPr>
        <w:rPr>
          <w:sz w:val="20"/>
        </w:rPr>
      </w:pPr>
      <w:r w:rsidRPr="00705577">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59671E" w:rsidRPr="00705577" w:rsidRDefault="0059671E" w:rsidP="0059671E">
      <w:pPr>
        <w:pStyle w:val="Heading1"/>
        <w:spacing w:before="360"/>
        <w:jc w:val="center"/>
        <w:rPr>
          <w:szCs w:val="24"/>
        </w:rPr>
      </w:pPr>
      <w:r w:rsidRPr="00705577">
        <w:rPr>
          <w:szCs w:val="24"/>
        </w:rPr>
        <w:t>Politique en matière de droits de propriété intellectuelle (IPR)</w:t>
      </w:r>
    </w:p>
    <w:p w:rsidR="0059671E" w:rsidRPr="00705577" w:rsidRDefault="0059671E" w:rsidP="0059671E">
      <w:pPr>
        <w:spacing w:before="240"/>
        <w:rPr>
          <w:sz w:val="20"/>
        </w:rPr>
      </w:pPr>
      <w:r w:rsidRPr="00705577">
        <w:rPr>
          <w:sz w:val="20"/>
        </w:rPr>
        <w:t>La politique de l'UIT</w:t>
      </w:r>
      <w:r w:rsidRPr="00705577">
        <w:rPr>
          <w:sz w:val="20"/>
        </w:rPr>
        <w:noBreakHyphen/>
        <w:t>R en matière de droits de propriété intellectuelle est décrite dans la «Politique commune de l'UIT</w:t>
      </w:r>
      <w:r w:rsidRPr="00705577">
        <w:rPr>
          <w:sz w:val="20"/>
        </w:rPr>
        <w:noBreakHyphen/>
        <w:t>T, l'UIT</w:t>
      </w:r>
      <w:r w:rsidRPr="00705577">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705577">
          <w:rPr>
            <w:rStyle w:val="Hyperlink"/>
            <w:sz w:val="20"/>
          </w:rPr>
          <w:t>http://www.itu.int/ITU-R/go/patents/fr</w:t>
        </w:r>
      </w:hyperlink>
      <w:r w:rsidRPr="00705577">
        <w:rPr>
          <w:sz w:val="20"/>
        </w:rPr>
        <w:t>, où l'on trouvera également les Lignes directrices pour la mise en oeuvre de la politique commune en matière de brevets de l'UIT</w:t>
      </w:r>
      <w:r w:rsidRPr="00705577">
        <w:rPr>
          <w:sz w:val="20"/>
        </w:rPr>
        <w:noBreakHyphen/>
        <w:t>T, l'UIT</w:t>
      </w:r>
      <w:r w:rsidRPr="00705577">
        <w:rPr>
          <w:sz w:val="20"/>
        </w:rPr>
        <w:noBreakHyphen/>
        <w:t>R, l'ISO et la CEI</w:t>
      </w:r>
      <w:r w:rsidRPr="00705577" w:rsidDel="0061025C">
        <w:rPr>
          <w:sz w:val="20"/>
        </w:rPr>
        <w:t xml:space="preserve"> </w:t>
      </w:r>
      <w:r w:rsidRPr="00705577">
        <w:rPr>
          <w:sz w:val="20"/>
        </w:rPr>
        <w:t>et la base de données en matière de brevets de l'UIT-R.</w:t>
      </w:r>
    </w:p>
    <w:p w:rsidR="0059671E" w:rsidRPr="00705577" w:rsidRDefault="0059671E" w:rsidP="0059671E">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9671E" w:rsidRPr="00705577" w:rsidTr="001626F1">
        <w:tc>
          <w:tcPr>
            <w:tcW w:w="9360" w:type="dxa"/>
            <w:gridSpan w:val="2"/>
          </w:tcPr>
          <w:p w:rsidR="0059671E" w:rsidRPr="00705577" w:rsidRDefault="0059671E" w:rsidP="001626F1">
            <w:pPr>
              <w:pStyle w:val="Chaptitle"/>
              <w:keepLines w:val="0"/>
              <w:tabs>
                <w:tab w:val="clear" w:pos="794"/>
                <w:tab w:val="clear" w:pos="1191"/>
                <w:tab w:val="clear" w:pos="1588"/>
                <w:tab w:val="clear" w:pos="1985"/>
              </w:tabs>
              <w:overflowPunct/>
              <w:spacing w:before="140"/>
              <w:textAlignment w:val="auto"/>
              <w:rPr>
                <w:sz w:val="22"/>
                <w:szCs w:val="22"/>
              </w:rPr>
            </w:pPr>
            <w:r w:rsidRPr="00705577">
              <w:rPr>
                <w:sz w:val="22"/>
                <w:szCs w:val="22"/>
              </w:rPr>
              <w:t xml:space="preserve">Séries des Recommandations UIT-R </w:t>
            </w:r>
          </w:p>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05577">
              <w:rPr>
                <w:b w:val="0"/>
                <w:sz w:val="18"/>
                <w:szCs w:val="18"/>
              </w:rPr>
              <w:t xml:space="preserve">(Egalement disponible en ligne: </w:t>
            </w:r>
            <w:hyperlink r:id="rId10" w:history="1">
              <w:r w:rsidRPr="00705577">
                <w:rPr>
                  <w:rStyle w:val="Hyperlink"/>
                  <w:b w:val="0"/>
                  <w:bCs/>
                  <w:sz w:val="18"/>
                  <w:szCs w:val="18"/>
                </w:rPr>
                <w:t>http://www.itu.int/publ/R-REC/fr</w:t>
              </w:r>
            </w:hyperlink>
            <w:r w:rsidRPr="00705577">
              <w:rPr>
                <w:b w:val="0"/>
                <w:bCs/>
                <w:sz w:val="18"/>
                <w:szCs w:val="18"/>
              </w:rPr>
              <w:t>)</w:t>
            </w:r>
          </w:p>
        </w:tc>
      </w:tr>
      <w:tr w:rsidR="0059671E" w:rsidRPr="00705577" w:rsidTr="001626F1">
        <w:tc>
          <w:tcPr>
            <w:tcW w:w="1140" w:type="dxa"/>
            <w:tcBorders>
              <w:bottom w:val="nil"/>
            </w:tcBorders>
          </w:tcPr>
          <w:p w:rsidR="0059671E" w:rsidRPr="00705577" w:rsidRDefault="0059671E" w:rsidP="001626F1">
            <w:pPr>
              <w:spacing w:before="90" w:after="100"/>
              <w:ind w:left="57"/>
              <w:rPr>
                <w:b/>
                <w:bCs/>
                <w:sz w:val="20"/>
              </w:rPr>
            </w:pPr>
            <w:r w:rsidRPr="00705577">
              <w:rPr>
                <w:b/>
                <w:bCs/>
                <w:sz w:val="20"/>
              </w:rPr>
              <w:t>Séries</w:t>
            </w:r>
          </w:p>
        </w:tc>
        <w:tc>
          <w:tcPr>
            <w:tcW w:w="8220" w:type="dxa"/>
            <w:tcBorders>
              <w:bottom w:val="nil"/>
            </w:tcBorders>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05577">
              <w:rPr>
                <w:bCs/>
                <w:sz w:val="20"/>
              </w:rPr>
              <w:t>Titre</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BO</w:t>
            </w:r>
          </w:p>
        </w:tc>
        <w:tc>
          <w:tcPr>
            <w:tcW w:w="8220" w:type="dxa"/>
            <w:tcBorders>
              <w:top w:val="nil"/>
              <w:bottom w:val="nil"/>
            </w:tcBorders>
            <w:shd w:val="clear" w:color="auto" w:fill="auto"/>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5577">
              <w:rPr>
                <w:b w:val="0"/>
                <w:sz w:val="20"/>
              </w:rPr>
              <w:t>Diffusion par satellite</w:t>
            </w:r>
          </w:p>
        </w:tc>
      </w:tr>
      <w:tr w:rsidR="0059671E" w:rsidRPr="00705577" w:rsidTr="001626F1">
        <w:tc>
          <w:tcPr>
            <w:tcW w:w="1140" w:type="dxa"/>
            <w:tcBorders>
              <w:top w:val="nil"/>
              <w:bottom w:val="nil"/>
            </w:tcBorders>
          </w:tcPr>
          <w:p w:rsidR="0059671E" w:rsidRPr="00705577" w:rsidRDefault="0059671E" w:rsidP="001626F1">
            <w:pPr>
              <w:spacing w:before="30" w:after="30"/>
              <w:ind w:left="57"/>
              <w:jc w:val="left"/>
              <w:rPr>
                <w:b/>
                <w:bCs/>
                <w:sz w:val="20"/>
              </w:rPr>
            </w:pPr>
            <w:r w:rsidRPr="00705577">
              <w:rPr>
                <w:b/>
                <w:bCs/>
                <w:sz w:val="20"/>
              </w:rPr>
              <w:t>BR</w:t>
            </w:r>
          </w:p>
        </w:tc>
        <w:tc>
          <w:tcPr>
            <w:tcW w:w="8220" w:type="dxa"/>
            <w:tcBorders>
              <w:top w:val="nil"/>
              <w:bottom w:val="nil"/>
            </w:tcBorders>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05577">
              <w:rPr>
                <w:b w:val="0"/>
                <w:bCs/>
                <w:sz w:val="20"/>
              </w:rPr>
              <w:t>Enregistrement pour la production, l'archivage et la diffusion; films pour la télévision</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BS</w:t>
            </w:r>
          </w:p>
        </w:tc>
        <w:tc>
          <w:tcPr>
            <w:tcW w:w="8220" w:type="dxa"/>
            <w:tcBorders>
              <w:top w:val="nil"/>
              <w:bottom w:val="nil"/>
            </w:tcBorders>
            <w:shd w:val="clear" w:color="auto" w:fill="auto"/>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5577">
              <w:rPr>
                <w:b w:val="0"/>
                <w:sz w:val="20"/>
              </w:rPr>
              <w:t>Service de radiodiffusion sonore</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BT</w:t>
            </w:r>
          </w:p>
        </w:tc>
        <w:tc>
          <w:tcPr>
            <w:tcW w:w="8220" w:type="dxa"/>
            <w:tcBorders>
              <w:top w:val="nil"/>
              <w:bottom w:val="nil"/>
            </w:tcBorders>
            <w:shd w:val="clear" w:color="auto" w:fill="auto"/>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05577">
              <w:rPr>
                <w:b w:val="0"/>
                <w:bCs/>
                <w:sz w:val="20"/>
              </w:rPr>
              <w:t>Service de radiodiffusion télévisuelle</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F</w:t>
            </w:r>
          </w:p>
        </w:tc>
        <w:tc>
          <w:tcPr>
            <w:tcW w:w="8220" w:type="dxa"/>
            <w:tcBorders>
              <w:top w:val="nil"/>
              <w:bottom w:val="nil"/>
            </w:tcBorders>
            <w:shd w:val="clear" w:color="auto" w:fill="auto"/>
          </w:tcPr>
          <w:p w:rsidR="0059671E" w:rsidRPr="00705577" w:rsidRDefault="0059671E" w:rsidP="001626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5577">
              <w:rPr>
                <w:sz w:val="20"/>
              </w:rPr>
              <w:t>Service fixe</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M</w:t>
            </w:r>
          </w:p>
        </w:tc>
        <w:tc>
          <w:tcPr>
            <w:tcW w:w="8220" w:type="dxa"/>
            <w:tcBorders>
              <w:top w:val="nil"/>
              <w:bottom w:val="nil"/>
            </w:tcBorders>
            <w:shd w:val="clear" w:color="auto" w:fill="auto"/>
          </w:tcPr>
          <w:p w:rsidR="0059671E" w:rsidRPr="00705577" w:rsidRDefault="0059671E" w:rsidP="001626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5577">
              <w:rPr>
                <w:b w:val="0"/>
                <w:sz w:val="20"/>
              </w:rPr>
              <w:t>Services mobile, de radiorepérage et d'amateur y compris les services par satellite associés</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P</w:t>
            </w:r>
          </w:p>
        </w:tc>
        <w:tc>
          <w:tcPr>
            <w:tcW w:w="8220" w:type="dxa"/>
            <w:tcBorders>
              <w:top w:val="nil"/>
              <w:bottom w:val="nil"/>
            </w:tcBorders>
            <w:shd w:val="clear" w:color="auto" w:fill="auto"/>
          </w:tcPr>
          <w:p w:rsidR="0059671E" w:rsidRPr="00705577" w:rsidRDefault="0059671E" w:rsidP="001626F1">
            <w:pPr>
              <w:spacing w:before="30" w:after="30"/>
              <w:jc w:val="left"/>
              <w:rPr>
                <w:sz w:val="20"/>
              </w:rPr>
            </w:pPr>
            <w:r w:rsidRPr="00705577">
              <w:rPr>
                <w:sz w:val="20"/>
              </w:rPr>
              <w:t>Propagation des ondes radioélectriques</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RA</w:t>
            </w:r>
          </w:p>
        </w:tc>
        <w:tc>
          <w:tcPr>
            <w:tcW w:w="8220" w:type="dxa"/>
            <w:tcBorders>
              <w:top w:val="nil"/>
              <w:bottom w:val="nil"/>
            </w:tcBorders>
            <w:shd w:val="clear" w:color="auto" w:fill="auto"/>
          </w:tcPr>
          <w:p w:rsidR="0059671E" w:rsidRPr="00705577" w:rsidRDefault="0059671E" w:rsidP="001626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5577">
              <w:rPr>
                <w:sz w:val="20"/>
              </w:rPr>
              <w:t>Radio astronomie</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RS</w:t>
            </w:r>
          </w:p>
        </w:tc>
        <w:tc>
          <w:tcPr>
            <w:tcW w:w="8220" w:type="dxa"/>
            <w:tcBorders>
              <w:top w:val="nil"/>
              <w:bottom w:val="nil"/>
            </w:tcBorders>
            <w:shd w:val="clear" w:color="auto" w:fill="auto"/>
          </w:tcPr>
          <w:p w:rsidR="0059671E" w:rsidRPr="00705577" w:rsidRDefault="0059671E" w:rsidP="001626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5577">
              <w:rPr>
                <w:sz w:val="20"/>
              </w:rPr>
              <w:t>Systèmes de télédétection</w:t>
            </w:r>
          </w:p>
        </w:tc>
      </w:tr>
      <w:tr w:rsidR="0059671E" w:rsidRPr="00705577" w:rsidTr="001626F1">
        <w:tc>
          <w:tcPr>
            <w:tcW w:w="1140" w:type="dxa"/>
            <w:tcBorders>
              <w:top w:val="nil"/>
              <w:bottom w:val="nil"/>
            </w:tcBorders>
            <w:shd w:val="clear" w:color="auto" w:fill="auto"/>
          </w:tcPr>
          <w:p w:rsidR="0059671E" w:rsidRPr="00705577" w:rsidRDefault="0059671E" w:rsidP="001626F1">
            <w:pPr>
              <w:spacing w:before="30" w:after="30"/>
              <w:ind w:left="57"/>
              <w:jc w:val="left"/>
              <w:rPr>
                <w:b/>
                <w:bCs/>
                <w:sz w:val="20"/>
              </w:rPr>
            </w:pPr>
            <w:r w:rsidRPr="00705577">
              <w:rPr>
                <w:b/>
                <w:bCs/>
                <w:sz w:val="20"/>
              </w:rPr>
              <w:t>S</w:t>
            </w:r>
          </w:p>
        </w:tc>
        <w:tc>
          <w:tcPr>
            <w:tcW w:w="8220" w:type="dxa"/>
            <w:tcBorders>
              <w:top w:val="nil"/>
              <w:bottom w:val="nil"/>
            </w:tcBorders>
            <w:shd w:val="clear" w:color="auto" w:fill="auto"/>
          </w:tcPr>
          <w:p w:rsidR="0059671E" w:rsidRPr="00705577" w:rsidRDefault="0059671E" w:rsidP="001626F1">
            <w:pPr>
              <w:spacing w:before="30" w:after="30"/>
              <w:jc w:val="left"/>
              <w:rPr>
                <w:sz w:val="20"/>
              </w:rPr>
            </w:pPr>
            <w:r w:rsidRPr="00705577">
              <w:rPr>
                <w:sz w:val="20"/>
              </w:rPr>
              <w:t>Service fixe par satellite</w:t>
            </w:r>
          </w:p>
        </w:tc>
      </w:tr>
      <w:tr w:rsidR="0059671E" w:rsidRPr="00705577" w:rsidTr="001626F1">
        <w:tc>
          <w:tcPr>
            <w:tcW w:w="1140" w:type="dxa"/>
            <w:tcBorders>
              <w:top w:val="nil"/>
              <w:bottom w:val="nil"/>
            </w:tcBorders>
            <w:shd w:val="clear" w:color="auto" w:fill="F3F3F3"/>
          </w:tcPr>
          <w:p w:rsidR="0059671E" w:rsidRPr="00705577" w:rsidRDefault="0059671E" w:rsidP="001626F1">
            <w:pPr>
              <w:spacing w:before="30" w:after="30"/>
              <w:ind w:left="57"/>
              <w:jc w:val="left"/>
              <w:rPr>
                <w:b/>
                <w:bCs/>
                <w:color w:val="000080"/>
                <w:sz w:val="20"/>
              </w:rPr>
            </w:pPr>
            <w:r w:rsidRPr="00705577">
              <w:rPr>
                <w:b/>
                <w:bCs/>
                <w:color w:val="000080"/>
                <w:sz w:val="20"/>
              </w:rPr>
              <w:t>SA</w:t>
            </w:r>
          </w:p>
        </w:tc>
        <w:tc>
          <w:tcPr>
            <w:tcW w:w="8220" w:type="dxa"/>
            <w:tcBorders>
              <w:top w:val="nil"/>
              <w:bottom w:val="nil"/>
            </w:tcBorders>
            <w:shd w:val="clear" w:color="auto" w:fill="F3F3F3"/>
          </w:tcPr>
          <w:p w:rsidR="0059671E" w:rsidRPr="00705577" w:rsidRDefault="0059671E" w:rsidP="001626F1">
            <w:pPr>
              <w:spacing w:before="30" w:after="30"/>
              <w:jc w:val="left"/>
              <w:rPr>
                <w:b/>
                <w:bCs/>
                <w:color w:val="000080"/>
                <w:sz w:val="20"/>
              </w:rPr>
            </w:pPr>
            <w:r w:rsidRPr="00705577">
              <w:rPr>
                <w:b/>
                <w:bCs/>
                <w:color w:val="000080"/>
                <w:sz w:val="20"/>
              </w:rPr>
              <w:t>Applications spatiales et météorologie</w:t>
            </w:r>
          </w:p>
        </w:tc>
      </w:tr>
      <w:tr w:rsidR="0059671E" w:rsidRPr="00705577" w:rsidTr="001626F1">
        <w:tc>
          <w:tcPr>
            <w:tcW w:w="1140" w:type="dxa"/>
            <w:tcBorders>
              <w:top w:val="nil"/>
            </w:tcBorders>
          </w:tcPr>
          <w:p w:rsidR="0059671E" w:rsidRPr="00705577" w:rsidRDefault="0059671E" w:rsidP="001626F1">
            <w:pPr>
              <w:spacing w:before="30" w:after="30"/>
              <w:ind w:left="57"/>
              <w:jc w:val="left"/>
              <w:rPr>
                <w:b/>
                <w:bCs/>
                <w:sz w:val="20"/>
              </w:rPr>
            </w:pPr>
            <w:r w:rsidRPr="00705577">
              <w:rPr>
                <w:b/>
                <w:bCs/>
                <w:sz w:val="20"/>
              </w:rPr>
              <w:t>SF</w:t>
            </w:r>
          </w:p>
        </w:tc>
        <w:tc>
          <w:tcPr>
            <w:tcW w:w="8220" w:type="dxa"/>
            <w:tcBorders>
              <w:top w:val="nil"/>
            </w:tcBorders>
          </w:tcPr>
          <w:p w:rsidR="0059671E" w:rsidRPr="00705577" w:rsidRDefault="0059671E" w:rsidP="001626F1">
            <w:pPr>
              <w:spacing w:before="30" w:after="30"/>
              <w:jc w:val="left"/>
              <w:rPr>
                <w:sz w:val="20"/>
              </w:rPr>
            </w:pPr>
            <w:r w:rsidRPr="00705577">
              <w:rPr>
                <w:sz w:val="20"/>
              </w:rPr>
              <w:t>Partage des fréquences et coordination entre les systèmes du service fixe par satellite et du service fixe</w:t>
            </w:r>
          </w:p>
        </w:tc>
      </w:tr>
      <w:tr w:rsidR="0059671E" w:rsidRPr="00705577" w:rsidTr="001626F1">
        <w:tc>
          <w:tcPr>
            <w:tcW w:w="1140" w:type="dxa"/>
            <w:shd w:val="clear" w:color="auto" w:fill="auto"/>
          </w:tcPr>
          <w:p w:rsidR="0059671E" w:rsidRPr="00705577" w:rsidRDefault="0059671E" w:rsidP="001626F1">
            <w:pPr>
              <w:spacing w:before="30" w:after="30"/>
              <w:ind w:left="57"/>
              <w:jc w:val="left"/>
              <w:rPr>
                <w:b/>
                <w:bCs/>
                <w:sz w:val="20"/>
              </w:rPr>
            </w:pPr>
            <w:r w:rsidRPr="00705577">
              <w:rPr>
                <w:b/>
                <w:bCs/>
                <w:sz w:val="20"/>
              </w:rPr>
              <w:t>SM</w:t>
            </w:r>
          </w:p>
        </w:tc>
        <w:tc>
          <w:tcPr>
            <w:tcW w:w="8220" w:type="dxa"/>
            <w:shd w:val="clear" w:color="auto" w:fill="auto"/>
          </w:tcPr>
          <w:p w:rsidR="0059671E" w:rsidRPr="00705577" w:rsidRDefault="0059671E" w:rsidP="001626F1">
            <w:pPr>
              <w:spacing w:before="30" w:after="30"/>
              <w:jc w:val="left"/>
              <w:rPr>
                <w:sz w:val="20"/>
              </w:rPr>
            </w:pPr>
            <w:r w:rsidRPr="00705577">
              <w:rPr>
                <w:sz w:val="20"/>
              </w:rPr>
              <w:t>Gestion du spectre</w:t>
            </w:r>
          </w:p>
        </w:tc>
      </w:tr>
      <w:tr w:rsidR="0059671E" w:rsidRPr="00705577" w:rsidTr="001626F1">
        <w:tc>
          <w:tcPr>
            <w:tcW w:w="1140" w:type="dxa"/>
          </w:tcPr>
          <w:p w:rsidR="0059671E" w:rsidRPr="00705577" w:rsidRDefault="0059671E" w:rsidP="001626F1">
            <w:pPr>
              <w:spacing w:before="30" w:after="30"/>
              <w:ind w:left="57"/>
              <w:jc w:val="left"/>
              <w:rPr>
                <w:b/>
                <w:bCs/>
                <w:sz w:val="20"/>
              </w:rPr>
            </w:pPr>
            <w:r w:rsidRPr="00705577">
              <w:rPr>
                <w:b/>
                <w:bCs/>
                <w:sz w:val="20"/>
              </w:rPr>
              <w:t>SNG</w:t>
            </w:r>
          </w:p>
        </w:tc>
        <w:tc>
          <w:tcPr>
            <w:tcW w:w="8220" w:type="dxa"/>
          </w:tcPr>
          <w:p w:rsidR="0059671E" w:rsidRPr="00705577" w:rsidRDefault="0059671E" w:rsidP="001626F1">
            <w:pPr>
              <w:spacing w:before="30" w:after="30"/>
              <w:jc w:val="left"/>
              <w:rPr>
                <w:sz w:val="20"/>
              </w:rPr>
            </w:pPr>
            <w:r w:rsidRPr="00705577">
              <w:rPr>
                <w:sz w:val="20"/>
              </w:rPr>
              <w:t>Reportage d'actualités par satellite</w:t>
            </w:r>
          </w:p>
        </w:tc>
      </w:tr>
      <w:tr w:rsidR="0059671E" w:rsidRPr="00705577" w:rsidTr="001626F1">
        <w:tc>
          <w:tcPr>
            <w:tcW w:w="1140" w:type="dxa"/>
          </w:tcPr>
          <w:p w:rsidR="0059671E" w:rsidRPr="00705577" w:rsidRDefault="0059671E" w:rsidP="001626F1">
            <w:pPr>
              <w:spacing w:before="30" w:after="30"/>
              <w:ind w:left="57"/>
              <w:jc w:val="left"/>
              <w:rPr>
                <w:b/>
                <w:bCs/>
                <w:sz w:val="20"/>
              </w:rPr>
            </w:pPr>
            <w:r w:rsidRPr="00705577">
              <w:rPr>
                <w:b/>
                <w:bCs/>
                <w:sz w:val="20"/>
              </w:rPr>
              <w:t>TF</w:t>
            </w:r>
          </w:p>
        </w:tc>
        <w:tc>
          <w:tcPr>
            <w:tcW w:w="8220" w:type="dxa"/>
          </w:tcPr>
          <w:p w:rsidR="0059671E" w:rsidRPr="00705577" w:rsidRDefault="0059671E" w:rsidP="001626F1">
            <w:pPr>
              <w:spacing w:before="30" w:after="30"/>
              <w:jc w:val="left"/>
              <w:rPr>
                <w:sz w:val="20"/>
              </w:rPr>
            </w:pPr>
            <w:r w:rsidRPr="00705577">
              <w:rPr>
                <w:sz w:val="20"/>
              </w:rPr>
              <w:t>Emissions de fréquences étalon et de signaux horaires</w:t>
            </w:r>
          </w:p>
        </w:tc>
      </w:tr>
      <w:tr w:rsidR="0059671E" w:rsidRPr="00705577" w:rsidTr="001626F1">
        <w:tc>
          <w:tcPr>
            <w:tcW w:w="1140" w:type="dxa"/>
          </w:tcPr>
          <w:p w:rsidR="0059671E" w:rsidRPr="00705577" w:rsidRDefault="0059671E" w:rsidP="001626F1">
            <w:pPr>
              <w:spacing w:before="30" w:after="30"/>
              <w:ind w:left="57"/>
              <w:jc w:val="left"/>
              <w:rPr>
                <w:b/>
                <w:bCs/>
                <w:sz w:val="20"/>
              </w:rPr>
            </w:pPr>
            <w:r w:rsidRPr="00705577">
              <w:rPr>
                <w:b/>
                <w:bCs/>
                <w:sz w:val="20"/>
              </w:rPr>
              <w:t>V</w:t>
            </w:r>
          </w:p>
        </w:tc>
        <w:tc>
          <w:tcPr>
            <w:tcW w:w="8220" w:type="dxa"/>
          </w:tcPr>
          <w:p w:rsidR="0059671E" w:rsidRPr="00705577" w:rsidRDefault="0059671E" w:rsidP="001626F1">
            <w:pPr>
              <w:spacing w:before="30" w:after="140"/>
              <w:jc w:val="left"/>
              <w:rPr>
                <w:sz w:val="20"/>
              </w:rPr>
            </w:pPr>
            <w:r w:rsidRPr="00705577">
              <w:rPr>
                <w:sz w:val="20"/>
              </w:rPr>
              <w:t>Vocabulaire et sujets associés</w:t>
            </w:r>
          </w:p>
        </w:tc>
      </w:tr>
    </w:tbl>
    <w:p w:rsidR="0059671E" w:rsidRPr="00705577" w:rsidRDefault="0059671E" w:rsidP="0059671E">
      <w:pPr>
        <w:spacing w:before="0"/>
        <w:jc w:val="center"/>
        <w:rPr>
          <w:sz w:val="20"/>
        </w:rPr>
      </w:pPr>
    </w:p>
    <w:p w:rsidR="0059671E" w:rsidRPr="00705577" w:rsidRDefault="0059671E" w:rsidP="0059671E">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9671E" w:rsidRPr="00705577" w:rsidTr="001626F1">
        <w:tc>
          <w:tcPr>
            <w:tcW w:w="9360" w:type="dxa"/>
          </w:tcPr>
          <w:p w:rsidR="0059671E" w:rsidRPr="00705577" w:rsidRDefault="0059671E" w:rsidP="001626F1">
            <w:pPr>
              <w:spacing w:before="80" w:after="80"/>
              <w:jc w:val="left"/>
              <w:rPr>
                <w:i/>
                <w:iCs/>
                <w:sz w:val="20"/>
              </w:rPr>
            </w:pPr>
            <w:r w:rsidRPr="00705577">
              <w:rPr>
                <w:b/>
                <w:bCs/>
                <w:i/>
                <w:iCs/>
                <w:sz w:val="20"/>
              </w:rPr>
              <w:t>Note</w:t>
            </w:r>
            <w:r w:rsidRPr="00705577">
              <w:rPr>
                <w:i/>
                <w:iCs/>
                <w:sz w:val="20"/>
              </w:rPr>
              <w:t>: Cette Recommandation UIT-R a été approuvée en anglais aux termes de la procédure détaillée dans la</w:t>
            </w:r>
            <w:r w:rsidRPr="00705577">
              <w:rPr>
                <w:i/>
                <w:iCs/>
                <w:sz w:val="20"/>
              </w:rPr>
              <w:br/>
              <w:t xml:space="preserve">Résolution UIT-R 1. </w:t>
            </w:r>
          </w:p>
        </w:tc>
      </w:tr>
    </w:tbl>
    <w:p w:rsidR="0059671E" w:rsidRPr="00705577" w:rsidRDefault="0059671E" w:rsidP="0059671E">
      <w:pPr>
        <w:spacing w:before="0"/>
        <w:jc w:val="center"/>
        <w:rPr>
          <w:sz w:val="22"/>
        </w:rPr>
      </w:pPr>
    </w:p>
    <w:p w:rsidR="0059671E" w:rsidRPr="00705577" w:rsidRDefault="0059671E" w:rsidP="0059671E">
      <w:pPr>
        <w:spacing w:before="100"/>
        <w:jc w:val="right"/>
        <w:rPr>
          <w:i/>
          <w:iCs/>
          <w:sz w:val="20"/>
        </w:rPr>
      </w:pPr>
      <w:r w:rsidRPr="00705577">
        <w:rPr>
          <w:i/>
          <w:iCs/>
          <w:sz w:val="20"/>
        </w:rPr>
        <w:t>Publication électronique</w:t>
      </w:r>
    </w:p>
    <w:p w:rsidR="0059671E" w:rsidRPr="00705577" w:rsidRDefault="0059671E" w:rsidP="0059671E">
      <w:pPr>
        <w:spacing w:before="0"/>
        <w:jc w:val="right"/>
        <w:rPr>
          <w:sz w:val="20"/>
        </w:rPr>
      </w:pPr>
      <w:r w:rsidRPr="00705577">
        <w:rPr>
          <w:sz w:val="20"/>
        </w:rPr>
        <w:t>Genève, 20</w:t>
      </w:r>
      <w:r w:rsidR="00EE5923">
        <w:rPr>
          <w:sz w:val="20"/>
        </w:rPr>
        <w:t>18</w:t>
      </w:r>
    </w:p>
    <w:p w:rsidR="0059671E" w:rsidRPr="00705577" w:rsidRDefault="0059671E" w:rsidP="0059671E">
      <w:pPr>
        <w:spacing w:before="200"/>
        <w:jc w:val="center"/>
        <w:rPr>
          <w:sz w:val="20"/>
        </w:rPr>
      </w:pPr>
      <w:r w:rsidRPr="00705577">
        <w:rPr>
          <w:sz w:val="20"/>
        </w:rPr>
        <w:sym w:font="Symbol" w:char="F0E3"/>
      </w:r>
      <w:r w:rsidRPr="00705577">
        <w:rPr>
          <w:sz w:val="20"/>
        </w:rPr>
        <w:t xml:space="preserve"> UIT </w:t>
      </w:r>
      <w:bookmarkStart w:id="2" w:name="iiannee"/>
      <w:bookmarkEnd w:id="2"/>
      <w:r w:rsidRPr="00705577">
        <w:rPr>
          <w:sz w:val="20"/>
        </w:rPr>
        <w:t>20</w:t>
      </w:r>
      <w:r w:rsidR="00EE5923">
        <w:rPr>
          <w:sz w:val="20"/>
        </w:rPr>
        <w:t>18</w:t>
      </w:r>
    </w:p>
    <w:p w:rsidR="0059671E" w:rsidRPr="00705577" w:rsidRDefault="0059671E" w:rsidP="0059671E">
      <w:pPr>
        <w:rPr>
          <w:sz w:val="18"/>
          <w:szCs w:val="18"/>
        </w:rPr>
      </w:pPr>
      <w:r w:rsidRPr="00705577">
        <w:rPr>
          <w:sz w:val="18"/>
          <w:szCs w:val="18"/>
        </w:rPr>
        <w:t>Tous droits réservés. Aucune partie de cette publication ne peut être reproduite, par quelque procédé que ce soit, sans l’accord écrit préalable de l’UIT.</w:t>
      </w:r>
    </w:p>
    <w:p w:rsidR="0059671E" w:rsidRPr="00705577" w:rsidRDefault="0059671E" w:rsidP="0059671E">
      <w:pPr>
        <w:spacing w:before="160"/>
        <w:rPr>
          <w:i/>
          <w:sz w:val="20"/>
          <w:highlight w:val="yellow"/>
        </w:rPr>
        <w:sectPr w:rsidR="0059671E" w:rsidRPr="00705577" w:rsidSect="004824DD">
          <w:headerReference w:type="even" r:id="rId11"/>
          <w:headerReference w:type="default" r:id="rId12"/>
          <w:pgSz w:w="11907" w:h="16834" w:code="9"/>
          <w:pgMar w:top="1418" w:right="1134" w:bottom="1134" w:left="1134" w:header="720" w:footer="482" w:gutter="0"/>
          <w:pgNumType w:fmt="lowerRoman" w:start="2"/>
          <w:cols w:space="720"/>
          <w:titlePg/>
          <w:docGrid w:linePitch="326"/>
        </w:sectPr>
      </w:pPr>
    </w:p>
    <w:p w:rsidR="0059671E" w:rsidRPr="00705577" w:rsidRDefault="0059671E" w:rsidP="001626F1">
      <w:pPr>
        <w:pStyle w:val="RecNo"/>
        <w:spacing w:before="0"/>
      </w:pPr>
      <w:bookmarkStart w:id="3" w:name="irecnoe"/>
      <w:bookmarkEnd w:id="3"/>
      <w:r w:rsidRPr="00705577">
        <w:lastRenderedPageBreak/>
        <w:t xml:space="preserve">RECOMMANDATION  </w:t>
      </w:r>
      <w:r w:rsidRPr="00705577">
        <w:rPr>
          <w:rStyle w:val="href"/>
        </w:rPr>
        <w:t>UIT-R  SA.</w:t>
      </w:r>
      <w:r w:rsidR="001626F1" w:rsidRPr="00705577">
        <w:rPr>
          <w:rStyle w:val="href"/>
        </w:rPr>
        <w:t>1161-2</w:t>
      </w:r>
    </w:p>
    <w:p w:rsidR="0059671E" w:rsidRPr="00705577" w:rsidRDefault="001626F1" w:rsidP="003E65DF">
      <w:pPr>
        <w:pStyle w:val="Rectitle"/>
      </w:pPr>
      <w:r w:rsidRPr="00705577">
        <w:t xml:space="preserve">Critères de partage et de coordination pour les systèmes de transmission </w:t>
      </w:r>
      <w:r w:rsidRPr="00705577">
        <w:br/>
        <w:t xml:space="preserve">de données des services d'exploration de la Terre par satellite </w:t>
      </w:r>
      <w:r w:rsidRPr="00705577">
        <w:br/>
        <w:t xml:space="preserve">et de météorologie par satellite utilisant </w:t>
      </w:r>
      <w:r w:rsidRPr="00705577">
        <w:br/>
        <w:t>des satellites géostationnaires</w:t>
      </w:r>
    </w:p>
    <w:p w:rsidR="0059671E" w:rsidRPr="00705577" w:rsidRDefault="0059671E" w:rsidP="003E65DF">
      <w:pPr>
        <w:pStyle w:val="Recdate"/>
        <w:rPr>
          <w:i/>
          <w:iCs/>
        </w:rPr>
      </w:pPr>
      <w:r w:rsidRPr="00705577">
        <w:rPr>
          <w:iCs/>
        </w:rPr>
        <w:t>(</w:t>
      </w:r>
      <w:r w:rsidR="001626F1" w:rsidRPr="00705577">
        <w:rPr>
          <w:iCs/>
        </w:rPr>
        <w:t>1995-1999-2017</w:t>
      </w:r>
      <w:r w:rsidRPr="00705577">
        <w:rPr>
          <w:iCs/>
        </w:rPr>
        <w:t>)</w:t>
      </w:r>
    </w:p>
    <w:p w:rsidR="001626F1" w:rsidRPr="00705577" w:rsidRDefault="001626F1" w:rsidP="003E65DF">
      <w:pPr>
        <w:pStyle w:val="HeadingSum"/>
        <w:rPr>
          <w:lang w:val="fr-FR"/>
        </w:rPr>
      </w:pPr>
      <w:r w:rsidRPr="003E65DF">
        <w:rPr>
          <w:lang w:val="fr-FR"/>
        </w:rPr>
        <w:t>Champ d'application</w:t>
      </w:r>
    </w:p>
    <w:p w:rsidR="0059671E" w:rsidRPr="00705577" w:rsidRDefault="001626F1" w:rsidP="003E65DF">
      <w:pPr>
        <w:pStyle w:val="Summary"/>
        <w:spacing w:line="240" w:lineRule="auto"/>
        <w:rPr>
          <w:lang w:val="fr-FR"/>
        </w:rPr>
      </w:pPr>
      <w:r w:rsidRPr="00705577">
        <w:rPr>
          <w:lang w:val="fr-FR"/>
        </w:rPr>
        <w:t xml:space="preserve">La présente Recommandation vise à fournir des critères de </w:t>
      </w:r>
      <w:r w:rsidR="00A862DA" w:rsidRPr="00705577">
        <w:rPr>
          <w:lang w:val="fr-FR"/>
        </w:rPr>
        <w:t xml:space="preserve">partage et de coordination </w:t>
      </w:r>
      <w:r w:rsidRPr="00705577">
        <w:rPr>
          <w:lang w:val="fr-FR"/>
        </w:rPr>
        <w:t xml:space="preserve">applicables aux </w:t>
      </w:r>
      <w:r w:rsidR="00A862DA" w:rsidRPr="00705577">
        <w:rPr>
          <w:lang w:val="fr-FR"/>
        </w:rPr>
        <w:t xml:space="preserve">liaisons de </w:t>
      </w:r>
      <w:r w:rsidRPr="00705577">
        <w:rPr>
          <w:lang w:val="fr-FR"/>
        </w:rPr>
        <w:t xml:space="preserve">transmission </w:t>
      </w:r>
      <w:r w:rsidR="00A862DA" w:rsidRPr="00705577">
        <w:rPr>
          <w:lang w:val="fr-FR"/>
        </w:rPr>
        <w:t xml:space="preserve">de données </w:t>
      </w:r>
      <w:r w:rsidRPr="00705577">
        <w:rPr>
          <w:lang w:val="fr-FR"/>
        </w:rPr>
        <w:t>des services d'exploration de la Terre par satellite et de météorologie par satellite</w:t>
      </w:r>
      <w:r w:rsidR="00B60D72" w:rsidRPr="00705577">
        <w:rPr>
          <w:lang w:val="fr-FR"/>
        </w:rPr>
        <w:t xml:space="preserve"> utilisant des satellites géostationnaires</w:t>
      </w:r>
      <w:r w:rsidRPr="00705577">
        <w:rPr>
          <w:lang w:val="fr-FR"/>
        </w:rPr>
        <w:t>.</w:t>
      </w:r>
    </w:p>
    <w:p w:rsidR="001626F1" w:rsidRPr="00705577" w:rsidRDefault="004523A5" w:rsidP="003E65DF">
      <w:pPr>
        <w:pStyle w:val="Headingb"/>
      </w:pPr>
      <w:r w:rsidRPr="00705577">
        <w:t>Mots clés</w:t>
      </w:r>
    </w:p>
    <w:p w:rsidR="001626F1" w:rsidRPr="00705577" w:rsidRDefault="004523A5" w:rsidP="003E65DF">
      <w:r w:rsidRPr="00705577">
        <w:t>SETS</w:t>
      </w:r>
      <w:r w:rsidR="001626F1" w:rsidRPr="00705577">
        <w:t>, MetSat, satellites</w:t>
      </w:r>
      <w:r w:rsidRPr="00705577">
        <w:t xml:space="preserve"> géostationnaires</w:t>
      </w:r>
      <w:r w:rsidR="001626F1" w:rsidRPr="00705577">
        <w:t>, transmission</w:t>
      </w:r>
      <w:r w:rsidRPr="00705577">
        <w:t xml:space="preserve"> de données</w:t>
      </w:r>
      <w:r w:rsidR="001626F1" w:rsidRPr="00705577">
        <w:t xml:space="preserve">, </w:t>
      </w:r>
      <w:r w:rsidRPr="00705577">
        <w:t>critères de partage</w:t>
      </w:r>
    </w:p>
    <w:p w:rsidR="001626F1" w:rsidRPr="00705577" w:rsidRDefault="001626F1" w:rsidP="00506ECA">
      <w:pPr>
        <w:pStyle w:val="Headingb"/>
        <w:rPr>
          <w:lang w:eastAsia="zh-CN"/>
        </w:rPr>
      </w:pPr>
      <w:r w:rsidRPr="00705577">
        <w:rPr>
          <w:lang w:eastAsia="zh-CN"/>
        </w:rPr>
        <w:t>Recomm</w:t>
      </w:r>
      <w:r w:rsidR="004523A5" w:rsidRPr="00705577">
        <w:rPr>
          <w:lang w:eastAsia="zh-CN"/>
        </w:rPr>
        <w:t>a</w:t>
      </w:r>
      <w:r w:rsidRPr="00705577">
        <w:rPr>
          <w:lang w:eastAsia="zh-CN"/>
        </w:rPr>
        <w:t xml:space="preserve">ndations </w:t>
      </w:r>
      <w:r w:rsidR="004523A5" w:rsidRPr="00705577">
        <w:rPr>
          <w:lang w:eastAsia="zh-CN"/>
        </w:rPr>
        <w:t xml:space="preserve">et </w:t>
      </w:r>
      <w:r w:rsidRPr="00506ECA">
        <w:t>R</w:t>
      </w:r>
      <w:r w:rsidR="004523A5" w:rsidRPr="00506ECA">
        <w:t>ap</w:t>
      </w:r>
      <w:r w:rsidRPr="00506ECA">
        <w:t>ports</w:t>
      </w:r>
      <w:r w:rsidR="004523A5" w:rsidRPr="00705577">
        <w:rPr>
          <w:lang w:eastAsia="zh-CN"/>
        </w:rPr>
        <w:t xml:space="preserve"> connexes</w:t>
      </w:r>
    </w:p>
    <w:p w:rsidR="001626F1" w:rsidRPr="003E65DF" w:rsidRDefault="001626F1" w:rsidP="00FF734E">
      <w:r w:rsidRPr="003E65DF">
        <w:rPr>
          <w:lang w:eastAsia="zh-CN"/>
        </w:rPr>
        <w:t>Recomm</w:t>
      </w:r>
      <w:r w:rsidR="004523A5" w:rsidRPr="00705577">
        <w:rPr>
          <w:lang w:eastAsia="zh-CN"/>
        </w:rPr>
        <w:t>a</w:t>
      </w:r>
      <w:r w:rsidRPr="003E65DF">
        <w:rPr>
          <w:lang w:eastAsia="zh-CN"/>
        </w:rPr>
        <w:t>ndations</w:t>
      </w:r>
      <w:r w:rsidRPr="003E65DF">
        <w:t xml:space="preserve"> </w:t>
      </w:r>
      <w:r w:rsidR="004523A5" w:rsidRPr="00705577">
        <w:t>UIT</w:t>
      </w:r>
      <w:r w:rsidRPr="003E65DF">
        <w:t>-R SA.</w:t>
      </w:r>
      <w:r w:rsidRPr="003E65DF">
        <w:rPr>
          <w:lang w:eastAsia="zh-CN"/>
        </w:rPr>
        <w:t xml:space="preserve">1160, </w:t>
      </w:r>
      <w:r w:rsidR="004523A5" w:rsidRPr="00705577">
        <w:rPr>
          <w:lang w:eastAsia="zh-CN"/>
        </w:rPr>
        <w:t>UIT</w:t>
      </w:r>
      <w:r w:rsidRPr="003E65DF">
        <w:rPr>
          <w:lang w:eastAsia="zh-CN"/>
        </w:rPr>
        <w:t>-R SA.1023.</w:t>
      </w:r>
    </w:p>
    <w:p w:rsidR="0059671E" w:rsidRPr="00705577" w:rsidRDefault="0059671E" w:rsidP="003E65DF">
      <w:pPr>
        <w:pStyle w:val="Normalaftertitle"/>
      </w:pPr>
      <w:r w:rsidRPr="00705577">
        <w:t>L'Assemblée des radiocommunications de l'UIT,</w:t>
      </w:r>
    </w:p>
    <w:p w:rsidR="0059671E" w:rsidRPr="00705577" w:rsidRDefault="0059671E" w:rsidP="003E65DF">
      <w:pPr>
        <w:pStyle w:val="Call"/>
      </w:pPr>
      <w:r w:rsidRPr="00705577">
        <w:t>considérant</w:t>
      </w:r>
    </w:p>
    <w:p w:rsidR="001626F1" w:rsidRPr="00705577" w:rsidRDefault="001626F1" w:rsidP="003E65DF">
      <w:r w:rsidRPr="00FF734E">
        <w:rPr>
          <w:i/>
          <w:iCs/>
        </w:rPr>
        <w:t>a)</w:t>
      </w:r>
      <w:r w:rsidRPr="00705577">
        <w:tab/>
        <w:t>que les bandes de fréquences attribuées aux services d'exploration de la Terre par satellite (SETS) et de météorologie par satellite (MetSat) peuvent être utilisées en partage par plusieurs systèmes, y compris ceux qui fonctionnent dans d'autres services;</w:t>
      </w:r>
    </w:p>
    <w:p w:rsidR="001626F1" w:rsidRPr="00705577" w:rsidRDefault="001626F1" w:rsidP="003E65DF">
      <w:r w:rsidRPr="00FF734E">
        <w:rPr>
          <w:i/>
          <w:iCs/>
        </w:rPr>
        <w:t>b)</w:t>
      </w:r>
      <w:r w:rsidRPr="00705577">
        <w:tab/>
        <w:t>que la Recommandation UIT</w:t>
      </w:r>
      <w:r w:rsidRPr="00705577">
        <w:noBreakHyphen/>
        <w:t xml:space="preserve">R SA.1160 spécifie les critères de brouillage </w:t>
      </w:r>
      <w:r w:rsidR="000D0FD0" w:rsidRPr="00705577">
        <w:t xml:space="preserve">cumulatif </w:t>
      </w:r>
      <w:r w:rsidRPr="00705577">
        <w:t>nécessaires à la détermination des critères de partage;</w:t>
      </w:r>
    </w:p>
    <w:p w:rsidR="001626F1" w:rsidRPr="00705577" w:rsidRDefault="001626F1" w:rsidP="003E65DF">
      <w:r w:rsidRPr="00FF734E">
        <w:rPr>
          <w:i/>
          <w:iCs/>
        </w:rPr>
        <w:t>c)</w:t>
      </w:r>
      <w:r w:rsidRPr="00705577">
        <w:tab/>
        <w:t>que les critères de partage peuvent être déterminés à l'aide de la méthodologie décrite dans la Recommandation UIT</w:t>
      </w:r>
      <w:r w:rsidRPr="00705577">
        <w:noBreakHyphen/>
        <w:t>R SA.1023;</w:t>
      </w:r>
    </w:p>
    <w:p w:rsidR="001626F1" w:rsidRPr="00705577" w:rsidRDefault="001626F1" w:rsidP="003E65DF">
      <w:r w:rsidRPr="00FF734E">
        <w:rPr>
          <w:i/>
          <w:iCs/>
        </w:rPr>
        <w:t>d)</w:t>
      </w:r>
      <w:r w:rsidRPr="00705577">
        <w:tab/>
        <w:t>que le déploiement type des stations brouilleuses peut évoluer en quelques années en raison de la multiplication des systèmes et de révisions apportées aux attributions de bandes de fréquences, dans le cadre des conférences mondiales des radiocommunications;</w:t>
      </w:r>
    </w:p>
    <w:p w:rsidR="001626F1" w:rsidRPr="00705577" w:rsidRDefault="001626F1" w:rsidP="003E65DF">
      <w:r w:rsidRPr="00FF734E">
        <w:rPr>
          <w:i/>
          <w:iCs/>
        </w:rPr>
        <w:t>e)</w:t>
      </w:r>
      <w:r w:rsidRPr="00705577">
        <w:tab/>
        <w:t>que les administrations peuvent, en réglementant l'utilisation du spectre radioélectrique sur leur territoire et en coordonnant les assignations de fréquence au niveau international, exercer un certain contrôle quant au nombre de systèmes susceptibles de provoquer des brouillages à des niveaux significatifs;</w:t>
      </w:r>
    </w:p>
    <w:p w:rsidR="001626F1" w:rsidRPr="00705577" w:rsidRDefault="001626F1" w:rsidP="003E65DF">
      <w:r w:rsidRPr="00FF734E">
        <w:rPr>
          <w:i/>
          <w:iCs/>
        </w:rPr>
        <w:t>f)</w:t>
      </w:r>
      <w:r w:rsidRPr="00705577">
        <w:tab/>
        <w:t xml:space="preserve">que l'environnement de brouillage rencontré par les stations terriennes du service MetSat embarquées sur des navires n'est sans doute pas plus mauvais que celui qui est rencontré par les stations </w:t>
      </w:r>
      <w:r w:rsidR="000D0FD0" w:rsidRPr="00705577">
        <w:t>terriennes fonctionnant à terre,</w:t>
      </w:r>
    </w:p>
    <w:p w:rsidR="001626F1" w:rsidRPr="00506ECA" w:rsidRDefault="001626F1" w:rsidP="00506ECA">
      <w:pPr>
        <w:pStyle w:val="Call"/>
      </w:pPr>
      <w:r w:rsidRPr="00506ECA">
        <w:t>recommande</w:t>
      </w:r>
    </w:p>
    <w:p w:rsidR="001626F1" w:rsidRPr="00705577" w:rsidRDefault="001626F1" w:rsidP="003E65DF">
      <w:r w:rsidRPr="0015778A">
        <w:rPr>
          <w:b/>
        </w:rPr>
        <w:t>1</w:t>
      </w:r>
      <w:r w:rsidRPr="00705577">
        <w:tab/>
        <w:t xml:space="preserve">que les niveaux de brouillage par source unique présentés dans le Tableau 1 soient utilisés comme critères de partage pour la protection de stations fonctionnant dans le SETS et le service MetSat; </w:t>
      </w:r>
    </w:p>
    <w:p w:rsidR="001626F1" w:rsidRPr="00705577" w:rsidRDefault="001626F1" w:rsidP="003E65DF">
      <w:r w:rsidRPr="0015778A">
        <w:rPr>
          <w:b/>
        </w:rPr>
        <w:lastRenderedPageBreak/>
        <w:t>2</w:t>
      </w:r>
      <w:r w:rsidRPr="00705577">
        <w:tab/>
        <w:t>que les critères spécifiés dans le § 1 soient utilisés comme base de détermination des seuils de coordination pour les stations terriennes de réception fonctionnant dans le SETS et le service MetSat utilisant certaines bandes en partage avec des services de Terre;</w:t>
      </w:r>
    </w:p>
    <w:p w:rsidR="001626F1" w:rsidRPr="00705577" w:rsidRDefault="001626F1" w:rsidP="003E65DF">
      <w:r w:rsidRPr="0015778A">
        <w:rPr>
          <w:b/>
        </w:rPr>
        <w:t>3</w:t>
      </w:r>
      <w:r w:rsidRPr="00705577">
        <w:tab/>
        <w:t>qu'on utilise une augmentation de 6% de la température de bruit équivalente sur la liaison comme seuil de coordination entre stations spatiales d'émission et stations terriennes de réception fonctionnant dans le SETS et le service MetSat;</w:t>
      </w:r>
    </w:p>
    <w:p w:rsidR="001626F1" w:rsidRPr="00705577" w:rsidRDefault="001626F1" w:rsidP="003E65DF">
      <w:r w:rsidRPr="0015778A">
        <w:rPr>
          <w:b/>
        </w:rPr>
        <w:t>4</w:t>
      </w:r>
      <w:r w:rsidRPr="00705577">
        <w:tab/>
        <w:t>que le déploiement des brouilleurs spécifiés dans l'Annexe soit périodiquement passé en revue afin de déterminer s'il y a lieu de réviser la définition type de l'environnement comportant des brouillages et donc les critères de brouillage correspondants.</w:t>
      </w:r>
    </w:p>
    <w:p w:rsidR="001626F1" w:rsidRPr="00705577" w:rsidRDefault="001626F1" w:rsidP="003E65DF">
      <w:r w:rsidRPr="00705577">
        <w:t>NOTE 1 – Les critères de partage figurant dans le Tableau 1 (avec ses Notes) sont destinés à être appliqués lors des analyses de partage de fréquences et lors de la coordination des assignations de fréquences (c'est-à-dire sous forme de seuils de brouillage pour les stations terriennes considérées). Dans le processus de coordination, il y a lieu de comparer l'environnement brouilleur réel, tel qu'il est perçu par la station terrienne de réception, avec celui qui est pris comme hypothèse dans l'Annexe 1, afin de déterminer plus facilement s'il est possible d'accepter une puissance de signal brouilleur supérieure au niveau admissible de brouillage par source unique. En général, ce procédé permet d'accepter des niveaux de brouillage par source unique éventuellement aussi élevés que ceux qui sont spécifiés dans les critères de brouillage applicables (Recommandation UIT-R SA.1160).</w:t>
      </w:r>
    </w:p>
    <w:p w:rsidR="001626F1" w:rsidRPr="00705577" w:rsidRDefault="001626F1" w:rsidP="003E65DF">
      <w:r w:rsidRPr="00705577">
        <w:t>NOTE 2 – Le seuil de coordination spécifié au § 3 est suffisamment prudent pour garantir que le brouillage sera au-dessous des niveaux admissibles si la coordination n'est pas mise en œuvre. Pour appliquer ce critère lorsque l'on recherche si le brouillage issu d'un engin spatial émetteur atteint des niveaux non acceptables, on peut adapter la méthode figurant dans l'Appendice S8 du Règlement des radiocommunications et l'appliquer aux stations en question. Afin d'éviter une coordination inutile, les administrations souhaiteront peut-être partir du principe que la station terrienne de réception procure un certain niveau de discrimination d'antenne (par exemple un niveau de discrimination disponible pendant 99,9% du temps).</w:t>
      </w:r>
    </w:p>
    <w:p w:rsidR="001626F1" w:rsidRPr="00705577" w:rsidRDefault="001626F1" w:rsidP="003E65DF">
      <w:r w:rsidRPr="00705577">
        <w:t>NOTE 3</w:t>
      </w:r>
      <w:bookmarkStart w:id="4" w:name="dsgno"/>
      <w:bookmarkEnd w:id="4"/>
      <w:r w:rsidRPr="00705577">
        <w:t> – Les critères du Tableau 1 sont basés sur l'environnement de brouillage donné dans l'Annexe (voir également le § 4).</w:t>
      </w:r>
    </w:p>
    <w:p w:rsidR="001626F1" w:rsidRPr="00705577" w:rsidRDefault="001626F1" w:rsidP="003E65DF"/>
    <w:p w:rsidR="001626F1" w:rsidRPr="00705577" w:rsidRDefault="001626F1" w:rsidP="00506ECA">
      <w:pPr>
        <w:pStyle w:val="TableNo"/>
      </w:pPr>
      <w:r w:rsidRPr="00705577">
        <w:lastRenderedPageBreak/>
        <w:t>TABLEAU  1</w:t>
      </w:r>
    </w:p>
    <w:p w:rsidR="001626F1" w:rsidRPr="00506ECA" w:rsidRDefault="001626F1" w:rsidP="00506ECA">
      <w:pPr>
        <w:pStyle w:val="Tabletitle"/>
        <w:rPr>
          <w:lang w:val="fr-CH"/>
        </w:rPr>
      </w:pPr>
      <w:r w:rsidRPr="00506ECA">
        <w:rPr>
          <w:lang w:val="fr-CH"/>
        </w:rPr>
        <w:t>Critères de partage applicables aux stations du SETS et du service MetSat</w:t>
      </w:r>
      <w:r w:rsidRPr="00506ECA">
        <w:rPr>
          <w:lang w:val="fr-CH"/>
        </w:rPr>
        <w:br/>
        <w:t>utilisant des engins spatiaux en orbite géostationnaire</w:t>
      </w:r>
    </w:p>
    <w:tbl>
      <w:tblPr>
        <w:tblW w:w="9631" w:type="dxa"/>
        <w:tblLayout w:type="fixed"/>
        <w:tblLook w:val="0000" w:firstRow="0" w:lastRow="0" w:firstColumn="0" w:lastColumn="0" w:noHBand="0" w:noVBand="0"/>
      </w:tblPr>
      <w:tblGrid>
        <w:gridCol w:w="1977"/>
        <w:gridCol w:w="1701"/>
        <w:gridCol w:w="1984"/>
        <w:gridCol w:w="2127"/>
        <w:gridCol w:w="1842"/>
      </w:tblGrid>
      <w:tr w:rsidR="008F60A1" w:rsidRPr="00705577" w:rsidTr="00914A4B">
        <w:trPr>
          <w:cantSplit/>
        </w:trPr>
        <w:tc>
          <w:tcPr>
            <w:tcW w:w="1977" w:type="dxa"/>
            <w:vMerge w:val="restart"/>
            <w:tcBorders>
              <w:top w:val="single" w:sz="6" w:space="0" w:color="auto"/>
              <w:left w:val="single" w:sz="6" w:space="0" w:color="auto"/>
              <w:right w:val="single" w:sz="6" w:space="0" w:color="auto"/>
            </w:tcBorders>
            <w:vAlign w:val="center"/>
          </w:tcPr>
          <w:p w:rsidR="008F60A1" w:rsidRPr="00705577" w:rsidRDefault="008F60A1" w:rsidP="008F60A1">
            <w:pPr>
              <w:pStyle w:val="Tablehead"/>
            </w:pPr>
            <w:r w:rsidRPr="00705577">
              <w:t>Bande de</w:t>
            </w:r>
            <w:r w:rsidRPr="00705577">
              <w:br/>
              <w:t>fréquences</w:t>
            </w:r>
            <w:r w:rsidRPr="00705577">
              <w:br/>
            </w:r>
          </w:p>
        </w:tc>
        <w:tc>
          <w:tcPr>
            <w:tcW w:w="3685" w:type="dxa"/>
            <w:gridSpan w:val="2"/>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Puissance du signal brouilleur (dBW) qui ne doit pas être dépassée</w:t>
            </w:r>
            <w:r w:rsidRPr="00705577">
              <w:br/>
              <w:t>pendant plus de 20% du temps dans</w:t>
            </w:r>
            <w:r w:rsidRPr="00705577">
              <w:br/>
              <w:t>la largeur de bande de référence</w:t>
            </w:r>
          </w:p>
        </w:tc>
        <w:tc>
          <w:tcPr>
            <w:tcW w:w="3969" w:type="dxa"/>
            <w:gridSpan w:val="2"/>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Puissance du signal brouilleur (dBW)</w:t>
            </w:r>
            <w:r w:rsidRPr="00705577">
              <w:br/>
              <w:t>qui ne doit pas être dépassée</w:t>
            </w:r>
            <w:r w:rsidRPr="00705577">
              <w:br/>
              <w:t xml:space="preserve">pendant  plus de </w:t>
            </w:r>
            <w:r w:rsidRPr="00705577">
              <w:rPr>
                <w:i/>
              </w:rPr>
              <w:t>p</w:t>
            </w:r>
            <w:r w:rsidRPr="00705577">
              <w:t>% du temps dans</w:t>
            </w:r>
            <w:r w:rsidRPr="00705577">
              <w:br/>
              <w:t>la largeur de bande de référence</w:t>
            </w:r>
          </w:p>
        </w:tc>
      </w:tr>
      <w:tr w:rsidR="008F60A1" w:rsidRPr="00705577" w:rsidTr="00914A4B">
        <w:trPr>
          <w:cantSplit/>
        </w:trPr>
        <w:tc>
          <w:tcPr>
            <w:tcW w:w="1977" w:type="dxa"/>
            <w:vMerge/>
            <w:tcBorders>
              <w:left w:val="single" w:sz="6" w:space="0" w:color="auto"/>
              <w:bottom w:val="single" w:sz="4" w:space="0" w:color="auto"/>
              <w:right w:val="single" w:sz="6" w:space="0" w:color="auto"/>
            </w:tcBorders>
          </w:tcPr>
          <w:p w:rsidR="008F60A1" w:rsidRPr="00705577" w:rsidRDefault="008F60A1" w:rsidP="008F60A1">
            <w:pPr>
              <w:pStyle w:val="Tablehead"/>
            </w:pPr>
          </w:p>
        </w:tc>
        <w:tc>
          <w:tcPr>
            <w:tcW w:w="1701" w:type="dxa"/>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Espace</w:t>
            </w:r>
          </w:p>
        </w:tc>
        <w:tc>
          <w:tcPr>
            <w:tcW w:w="1984" w:type="dxa"/>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De Terre</w:t>
            </w:r>
          </w:p>
        </w:tc>
        <w:tc>
          <w:tcPr>
            <w:tcW w:w="2127" w:type="dxa"/>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Espace</w:t>
            </w:r>
          </w:p>
        </w:tc>
        <w:tc>
          <w:tcPr>
            <w:tcW w:w="1842" w:type="dxa"/>
            <w:tcBorders>
              <w:top w:val="single" w:sz="6" w:space="0" w:color="auto"/>
              <w:left w:val="single" w:sz="6" w:space="0" w:color="auto"/>
              <w:bottom w:val="single" w:sz="6" w:space="0" w:color="auto"/>
              <w:right w:val="single" w:sz="6" w:space="0" w:color="auto"/>
            </w:tcBorders>
          </w:tcPr>
          <w:p w:rsidR="008F60A1" w:rsidRPr="00705577" w:rsidRDefault="008F60A1" w:rsidP="008F60A1">
            <w:pPr>
              <w:pStyle w:val="Tablehead"/>
            </w:pPr>
            <w:r w:rsidRPr="00705577">
              <w:t>De Terre</w:t>
            </w:r>
          </w:p>
        </w:tc>
      </w:tr>
      <w:tr w:rsidR="008F60A1" w:rsidRPr="00914A4B" w:rsidTr="00914A4B">
        <w:trPr>
          <w:cantSplit/>
        </w:trPr>
        <w:tc>
          <w:tcPr>
            <w:tcW w:w="1977" w:type="dxa"/>
            <w:tcBorders>
              <w:top w:val="single" w:sz="4" w:space="0" w:color="auto"/>
              <w:left w:val="single" w:sz="4" w:space="0" w:color="auto"/>
              <w:bottom w:val="single" w:sz="4" w:space="0" w:color="auto"/>
              <w:right w:val="single" w:sz="4" w:space="0" w:color="auto"/>
            </w:tcBorders>
          </w:tcPr>
          <w:p w:rsidR="008F60A1" w:rsidRPr="00914A4B" w:rsidRDefault="008F60A1" w:rsidP="005339D5">
            <w:pPr>
              <w:pStyle w:val="TableText0"/>
              <w:spacing w:line="240" w:lineRule="auto"/>
              <w:jc w:val="left"/>
              <w:rPr>
                <w:rFonts w:asciiTheme="majorBidi" w:hAnsiTheme="majorBidi" w:cstheme="majorBidi"/>
                <w:sz w:val="22"/>
                <w:szCs w:val="22"/>
              </w:rPr>
            </w:pPr>
            <w:r w:rsidRPr="00914A4B">
              <w:rPr>
                <w:rFonts w:asciiTheme="majorBidi" w:hAnsiTheme="majorBidi" w:cstheme="majorBidi"/>
                <w:sz w:val="22"/>
                <w:szCs w:val="22"/>
              </w:rPr>
              <w:t>1 670-1 710</w:t>
            </w:r>
            <w:r w:rsidR="005339D5">
              <w:rPr>
                <w:rFonts w:asciiTheme="majorBidi" w:hAnsiTheme="majorBidi" w:cstheme="majorBidi"/>
                <w:sz w:val="22"/>
                <w:szCs w:val="22"/>
              </w:rPr>
              <w:t xml:space="preserve"> </w:t>
            </w:r>
            <w:r w:rsidRPr="00914A4B">
              <w:rPr>
                <w:rFonts w:asciiTheme="majorBidi" w:hAnsiTheme="majorBidi" w:cstheme="majorBidi"/>
                <w:sz w:val="22"/>
                <w:szCs w:val="22"/>
              </w:rPr>
              <w:t>MHz</w:t>
            </w:r>
          </w:p>
        </w:tc>
        <w:tc>
          <w:tcPr>
            <w:tcW w:w="1701" w:type="dxa"/>
            <w:tcBorders>
              <w:top w:val="single" w:sz="6" w:space="0" w:color="auto"/>
              <w:left w:val="single" w:sz="6" w:space="0" w:color="auto"/>
              <w:bottom w:val="single" w:sz="6"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rPr>
              <w:t>–173,9 dBW</w:t>
            </w:r>
            <w:r w:rsidRPr="00914A4B">
              <w:rPr>
                <w:rFonts w:asciiTheme="majorBidi" w:hAnsiTheme="majorBidi" w:cstheme="majorBidi"/>
                <w:sz w:val="22"/>
                <w:szCs w:val="22"/>
              </w:rPr>
              <w:br/>
              <w:t>par 1 MHz</w:t>
            </w:r>
            <w:r w:rsidRPr="00914A4B">
              <w:rPr>
                <w:rFonts w:asciiTheme="majorBidi" w:hAnsiTheme="majorBidi" w:cstheme="majorBidi"/>
                <w:sz w:val="22"/>
                <w:szCs w:val="22"/>
                <w:vertAlign w:val="superscript"/>
              </w:rPr>
              <w:t>(1)</w:t>
            </w:r>
          </w:p>
        </w:tc>
        <w:tc>
          <w:tcPr>
            <w:tcW w:w="1984" w:type="dxa"/>
            <w:tcBorders>
              <w:top w:val="single" w:sz="6" w:space="0" w:color="auto"/>
              <w:left w:val="single" w:sz="6" w:space="0" w:color="auto"/>
              <w:bottom w:val="single" w:sz="6"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rPr>
              <w:t>–153,9 dBW</w:t>
            </w:r>
            <w:r w:rsidRPr="00914A4B">
              <w:rPr>
                <w:rFonts w:asciiTheme="majorBidi" w:hAnsiTheme="majorBidi" w:cstheme="majorBidi"/>
                <w:sz w:val="22"/>
                <w:szCs w:val="22"/>
              </w:rPr>
              <w:br/>
              <w:t>par 1 MHz</w:t>
            </w:r>
            <w:r w:rsidRPr="00914A4B">
              <w:rPr>
                <w:rFonts w:asciiTheme="majorBidi" w:hAnsiTheme="majorBidi" w:cstheme="majorBidi"/>
                <w:sz w:val="22"/>
                <w:szCs w:val="22"/>
                <w:vertAlign w:val="superscript"/>
              </w:rPr>
              <w:t>(1)</w:t>
            </w:r>
          </w:p>
        </w:tc>
        <w:tc>
          <w:tcPr>
            <w:tcW w:w="2127" w:type="dxa"/>
            <w:tcBorders>
              <w:top w:val="single" w:sz="6" w:space="0" w:color="auto"/>
              <w:left w:val="single" w:sz="6" w:space="0" w:color="auto"/>
              <w:bottom w:val="single" w:sz="6" w:space="0" w:color="auto"/>
              <w:right w:val="single" w:sz="6" w:space="0" w:color="auto"/>
            </w:tcBorders>
          </w:tcPr>
          <w:p w:rsidR="008F60A1" w:rsidRPr="00914A4B" w:rsidRDefault="008F60A1" w:rsidP="005339D5">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–150,3 dBW</w:t>
            </w:r>
            <w:r w:rsidRPr="00914A4B">
              <w:rPr>
                <w:rFonts w:asciiTheme="majorBidi" w:hAnsiTheme="majorBidi" w:cstheme="majorBidi"/>
                <w:sz w:val="22"/>
                <w:szCs w:val="22"/>
                <w:lang w:val="fr-FR"/>
              </w:rPr>
              <w:br/>
              <w:t>par 1 MHz</w:t>
            </w:r>
            <w:r w:rsidR="0015778A" w:rsidRPr="00914A4B">
              <w:rPr>
                <w:rFonts w:asciiTheme="majorBidi" w:hAnsiTheme="majorBidi" w:cstheme="majorBidi"/>
                <w:sz w:val="22"/>
                <w:szCs w:val="22"/>
                <w:vertAlign w:val="superscript"/>
                <w:lang w:val="fr-FR"/>
              </w:rPr>
              <w:t>(1)</w:t>
            </w:r>
            <w:r w:rsidRPr="00914A4B">
              <w:rPr>
                <w:rFonts w:asciiTheme="majorBidi" w:hAnsiTheme="majorBidi" w:cstheme="majorBidi"/>
                <w:sz w:val="22"/>
                <w:szCs w:val="22"/>
                <w:lang w:val="fr-FR"/>
              </w:rPr>
              <w:br/>
            </w:r>
            <w:r w:rsidRPr="00914A4B">
              <w:rPr>
                <w:rFonts w:asciiTheme="majorBidi" w:hAnsiTheme="majorBidi" w:cstheme="majorBidi"/>
                <w:i/>
                <w:sz w:val="22"/>
                <w:szCs w:val="22"/>
                <w:lang w:val="fr-FR"/>
              </w:rPr>
              <w:t>p</w:t>
            </w:r>
            <w:r w:rsidRPr="00914A4B">
              <w:rPr>
                <w:rFonts w:asciiTheme="majorBidi" w:hAnsiTheme="majorBidi" w:cstheme="majorBidi"/>
                <w:sz w:val="22"/>
                <w:szCs w:val="22"/>
                <w:lang w:val="fr-FR"/>
              </w:rPr>
              <w:t xml:space="preserve"> </w:t>
            </w:r>
            <w:r w:rsidR="005339D5">
              <w:rPr>
                <w:rFonts w:asciiTheme="majorBidi" w:hAnsiTheme="majorBidi" w:cstheme="majorBidi"/>
                <w:sz w:val="22"/>
                <w:szCs w:val="22"/>
                <w:lang w:val="fr-FR"/>
              </w:rPr>
              <w:t>=</w:t>
            </w:r>
            <w:r w:rsidRPr="00914A4B">
              <w:rPr>
                <w:rFonts w:asciiTheme="majorBidi" w:hAnsiTheme="majorBidi" w:cstheme="majorBidi"/>
                <w:sz w:val="22"/>
                <w:szCs w:val="22"/>
                <w:lang w:val="fr-FR"/>
              </w:rPr>
              <w:t xml:space="preserve"> 0,0025</w:t>
            </w:r>
          </w:p>
        </w:tc>
        <w:tc>
          <w:tcPr>
            <w:tcW w:w="1842" w:type="dxa"/>
            <w:tcBorders>
              <w:top w:val="single" w:sz="6" w:space="0" w:color="auto"/>
              <w:left w:val="single" w:sz="6" w:space="0" w:color="auto"/>
              <w:bottom w:val="single" w:sz="6"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–148,7 dBW</w:t>
            </w:r>
            <w:r w:rsidRPr="00914A4B">
              <w:rPr>
                <w:rFonts w:asciiTheme="majorBidi" w:hAnsiTheme="majorBidi" w:cstheme="majorBidi"/>
                <w:sz w:val="22"/>
                <w:szCs w:val="22"/>
                <w:lang w:val="fr-FR"/>
              </w:rPr>
              <w:br/>
              <w:t>par 1 MHz</w:t>
            </w:r>
            <w:r w:rsidRPr="00914A4B">
              <w:rPr>
                <w:rFonts w:asciiTheme="majorBidi" w:hAnsiTheme="majorBidi" w:cstheme="majorBidi"/>
                <w:sz w:val="22"/>
                <w:szCs w:val="22"/>
                <w:vertAlign w:val="superscript"/>
                <w:lang w:val="fr-FR"/>
              </w:rPr>
              <w:t>(1)</w:t>
            </w:r>
            <w:r w:rsidRPr="00914A4B">
              <w:rPr>
                <w:rFonts w:asciiTheme="majorBidi" w:hAnsiTheme="majorBidi" w:cstheme="majorBidi"/>
                <w:position w:val="6"/>
                <w:sz w:val="22"/>
                <w:szCs w:val="22"/>
                <w:lang w:val="fr-FR"/>
              </w:rPr>
              <w:br/>
            </w:r>
            <w:r w:rsidRPr="00914A4B">
              <w:rPr>
                <w:rFonts w:asciiTheme="majorBidi" w:hAnsiTheme="majorBidi" w:cstheme="majorBidi"/>
                <w:i/>
                <w:sz w:val="22"/>
                <w:szCs w:val="22"/>
                <w:lang w:val="fr-FR"/>
              </w:rPr>
              <w:t>p</w:t>
            </w:r>
            <w:r w:rsidRPr="00914A4B">
              <w:rPr>
                <w:rFonts w:asciiTheme="majorBidi" w:hAnsiTheme="majorBidi" w:cstheme="majorBidi"/>
                <w:sz w:val="22"/>
                <w:szCs w:val="22"/>
                <w:lang w:val="fr-FR"/>
              </w:rPr>
              <w:t xml:space="preserve"> </w:t>
            </w:r>
            <w:r w:rsidR="005339D5">
              <w:rPr>
                <w:rFonts w:asciiTheme="majorBidi" w:hAnsiTheme="majorBidi" w:cstheme="majorBidi"/>
                <w:sz w:val="22"/>
                <w:szCs w:val="22"/>
                <w:lang w:val="fr-FR"/>
              </w:rPr>
              <w:t>=</w:t>
            </w:r>
            <w:r w:rsidRPr="00914A4B">
              <w:rPr>
                <w:rFonts w:asciiTheme="majorBidi" w:hAnsiTheme="majorBidi" w:cstheme="majorBidi"/>
                <w:sz w:val="22"/>
                <w:szCs w:val="22"/>
                <w:lang w:val="fr-FR"/>
              </w:rPr>
              <w:t xml:space="preserve"> 0,011</w:t>
            </w:r>
          </w:p>
        </w:tc>
      </w:tr>
      <w:tr w:rsidR="008F60A1" w:rsidRPr="00914A4B" w:rsidTr="005339D5">
        <w:trPr>
          <w:cantSplit/>
        </w:trPr>
        <w:tc>
          <w:tcPr>
            <w:tcW w:w="1977" w:type="dxa"/>
            <w:tcBorders>
              <w:top w:val="single" w:sz="4" w:space="0" w:color="auto"/>
              <w:left w:val="single" w:sz="6" w:space="0" w:color="auto"/>
              <w:bottom w:val="single" w:sz="4" w:space="0" w:color="auto"/>
              <w:right w:val="single" w:sz="6" w:space="0" w:color="auto"/>
            </w:tcBorders>
          </w:tcPr>
          <w:p w:rsidR="008F60A1" w:rsidRPr="00914A4B" w:rsidRDefault="008F60A1" w:rsidP="005339D5">
            <w:pPr>
              <w:pStyle w:val="TableText0"/>
              <w:spacing w:line="240" w:lineRule="auto"/>
              <w:jc w:val="left"/>
              <w:rPr>
                <w:rFonts w:asciiTheme="majorBidi" w:hAnsiTheme="majorBidi" w:cstheme="majorBidi"/>
                <w:sz w:val="22"/>
                <w:szCs w:val="22"/>
              </w:rPr>
            </w:pPr>
            <w:r w:rsidRPr="00914A4B">
              <w:rPr>
                <w:rFonts w:asciiTheme="majorBidi" w:hAnsiTheme="majorBidi" w:cstheme="majorBidi"/>
                <w:sz w:val="22"/>
                <w:szCs w:val="22"/>
              </w:rPr>
              <w:t>25,5-27 GHz</w:t>
            </w:r>
          </w:p>
        </w:tc>
        <w:tc>
          <w:tcPr>
            <w:tcW w:w="1701" w:type="dxa"/>
            <w:tcBorders>
              <w:top w:val="single" w:sz="6" w:space="0" w:color="auto"/>
              <w:left w:val="single" w:sz="6" w:space="0" w:color="auto"/>
              <w:bottom w:val="single" w:sz="4"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–164,6 dBW</w:t>
            </w:r>
            <w:r w:rsidRPr="00914A4B">
              <w:rPr>
                <w:rFonts w:asciiTheme="majorBidi" w:hAnsiTheme="majorBidi" w:cstheme="majorBidi"/>
                <w:sz w:val="22"/>
                <w:szCs w:val="22"/>
                <w:lang w:val="fr-FR"/>
              </w:rPr>
              <w:br/>
              <w:t>par 10 MHz</w:t>
            </w:r>
            <w:r w:rsidRPr="00914A4B">
              <w:rPr>
                <w:rFonts w:asciiTheme="majorBidi" w:hAnsiTheme="majorBidi" w:cstheme="majorBidi"/>
                <w:sz w:val="22"/>
                <w:szCs w:val="22"/>
                <w:vertAlign w:val="superscript"/>
                <w:lang w:val="fr-FR"/>
              </w:rPr>
              <w:t>(2)</w:t>
            </w:r>
          </w:p>
        </w:tc>
        <w:tc>
          <w:tcPr>
            <w:tcW w:w="1984" w:type="dxa"/>
            <w:tcBorders>
              <w:top w:val="single" w:sz="6" w:space="0" w:color="auto"/>
              <w:left w:val="single" w:sz="6" w:space="0" w:color="auto"/>
              <w:bottom w:val="single" w:sz="4"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–147,7 dBW</w:t>
            </w:r>
            <w:r w:rsidRPr="00914A4B">
              <w:rPr>
                <w:rFonts w:asciiTheme="majorBidi" w:hAnsiTheme="majorBidi" w:cstheme="majorBidi"/>
                <w:sz w:val="22"/>
                <w:szCs w:val="22"/>
                <w:lang w:val="fr-FR"/>
              </w:rPr>
              <w:br/>
              <w:t>par 10 MHz</w:t>
            </w:r>
            <w:r w:rsidRPr="00914A4B">
              <w:rPr>
                <w:rFonts w:asciiTheme="majorBidi" w:hAnsiTheme="majorBidi" w:cstheme="majorBidi"/>
                <w:sz w:val="22"/>
                <w:szCs w:val="22"/>
                <w:vertAlign w:val="superscript"/>
                <w:lang w:val="fr-FR"/>
              </w:rPr>
              <w:t>(2)</w:t>
            </w:r>
          </w:p>
        </w:tc>
        <w:tc>
          <w:tcPr>
            <w:tcW w:w="2127" w:type="dxa"/>
            <w:tcBorders>
              <w:top w:val="single" w:sz="6" w:space="0" w:color="auto"/>
              <w:left w:val="single" w:sz="6" w:space="0" w:color="auto"/>
              <w:bottom w:val="single" w:sz="4"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–133,3 dBW</w:t>
            </w:r>
            <w:r w:rsidRPr="00914A4B">
              <w:rPr>
                <w:rFonts w:asciiTheme="majorBidi" w:hAnsiTheme="majorBidi" w:cstheme="majorBidi"/>
                <w:sz w:val="22"/>
                <w:szCs w:val="22"/>
                <w:lang w:val="fr-FR"/>
              </w:rPr>
              <w:br/>
              <w:t>par 10 MHz</w:t>
            </w:r>
            <w:r w:rsidRPr="00914A4B">
              <w:rPr>
                <w:rFonts w:asciiTheme="majorBidi" w:hAnsiTheme="majorBidi" w:cstheme="majorBidi"/>
                <w:sz w:val="22"/>
                <w:szCs w:val="22"/>
                <w:vertAlign w:val="superscript"/>
                <w:lang w:val="fr-FR"/>
              </w:rPr>
              <w:t>(2)</w:t>
            </w:r>
            <w:r w:rsidRPr="00914A4B">
              <w:rPr>
                <w:rFonts w:asciiTheme="majorBidi" w:hAnsiTheme="majorBidi" w:cstheme="majorBidi"/>
                <w:sz w:val="22"/>
                <w:szCs w:val="22"/>
                <w:vertAlign w:val="superscript"/>
                <w:lang w:val="fr-FR"/>
              </w:rPr>
              <w:br/>
            </w:r>
            <w:r w:rsidRPr="00914A4B">
              <w:rPr>
                <w:rFonts w:asciiTheme="majorBidi" w:hAnsiTheme="majorBidi" w:cstheme="majorBidi"/>
                <w:i/>
                <w:iCs/>
                <w:sz w:val="22"/>
                <w:szCs w:val="22"/>
                <w:lang w:val="fr-FR"/>
              </w:rPr>
              <w:t>p</w:t>
            </w:r>
            <w:r w:rsidRPr="00914A4B">
              <w:rPr>
                <w:rFonts w:asciiTheme="majorBidi" w:hAnsiTheme="majorBidi" w:cstheme="majorBidi"/>
                <w:sz w:val="22"/>
                <w:szCs w:val="22"/>
                <w:lang w:val="fr-FR"/>
              </w:rPr>
              <w:t xml:space="preserve"> </w:t>
            </w:r>
            <w:r w:rsidR="005339D5">
              <w:rPr>
                <w:rFonts w:asciiTheme="majorBidi" w:hAnsiTheme="majorBidi" w:cstheme="majorBidi"/>
                <w:sz w:val="22"/>
                <w:szCs w:val="22"/>
                <w:lang w:val="fr-FR"/>
              </w:rPr>
              <w:t>=</w:t>
            </w:r>
            <w:r w:rsidRPr="00914A4B">
              <w:rPr>
                <w:rFonts w:asciiTheme="majorBidi" w:hAnsiTheme="majorBidi" w:cstheme="majorBidi"/>
                <w:sz w:val="22"/>
                <w:szCs w:val="22"/>
                <w:lang w:val="fr-FR"/>
              </w:rPr>
              <w:t xml:space="preserve"> 0,05</w:t>
            </w:r>
          </w:p>
        </w:tc>
        <w:tc>
          <w:tcPr>
            <w:tcW w:w="1842" w:type="dxa"/>
            <w:tcBorders>
              <w:top w:val="single" w:sz="6" w:space="0" w:color="auto"/>
              <w:left w:val="single" w:sz="6" w:space="0" w:color="auto"/>
              <w:bottom w:val="single" w:sz="4" w:space="0" w:color="auto"/>
              <w:right w:val="single" w:sz="6" w:space="0" w:color="auto"/>
            </w:tcBorders>
          </w:tcPr>
          <w:p w:rsidR="008F60A1" w:rsidRPr="00914A4B" w:rsidRDefault="008F60A1" w:rsidP="00914A4B">
            <w:pPr>
              <w:pStyle w:val="TableText0"/>
              <w:spacing w:line="240" w:lineRule="auto"/>
              <w:jc w:val="center"/>
              <w:rPr>
                <w:rFonts w:asciiTheme="majorBidi" w:hAnsiTheme="majorBidi" w:cstheme="majorBidi"/>
                <w:sz w:val="22"/>
                <w:szCs w:val="22"/>
              </w:rPr>
            </w:pPr>
            <w:r w:rsidRPr="00914A4B">
              <w:rPr>
                <w:rFonts w:asciiTheme="majorBidi" w:hAnsiTheme="majorBidi" w:cstheme="majorBidi"/>
                <w:sz w:val="22"/>
                <w:szCs w:val="22"/>
                <w:lang w:val="fr-FR"/>
              </w:rPr>
              <w:t>–133,0 dBW</w:t>
            </w:r>
            <w:r w:rsidRPr="00914A4B">
              <w:rPr>
                <w:rFonts w:asciiTheme="majorBidi" w:hAnsiTheme="majorBidi" w:cstheme="majorBidi"/>
                <w:sz w:val="22"/>
                <w:szCs w:val="22"/>
                <w:lang w:val="fr-FR"/>
              </w:rPr>
              <w:br/>
              <w:t>par 10 MHz</w:t>
            </w:r>
            <w:r w:rsidRPr="00914A4B">
              <w:rPr>
                <w:rFonts w:asciiTheme="majorBidi" w:hAnsiTheme="majorBidi" w:cstheme="majorBidi"/>
                <w:sz w:val="22"/>
                <w:szCs w:val="22"/>
                <w:vertAlign w:val="superscript"/>
                <w:lang w:val="fr-FR"/>
              </w:rPr>
              <w:t>(2)</w:t>
            </w:r>
            <w:r w:rsidRPr="00914A4B">
              <w:rPr>
                <w:rFonts w:asciiTheme="majorBidi" w:hAnsiTheme="majorBidi" w:cstheme="majorBidi"/>
                <w:sz w:val="22"/>
                <w:szCs w:val="22"/>
                <w:lang w:val="fr-FR"/>
              </w:rPr>
              <w:br/>
            </w:r>
            <w:r w:rsidRPr="00914A4B">
              <w:rPr>
                <w:rFonts w:asciiTheme="majorBidi" w:hAnsiTheme="majorBidi" w:cstheme="majorBidi"/>
                <w:i/>
                <w:iCs/>
                <w:sz w:val="22"/>
                <w:szCs w:val="22"/>
                <w:lang w:val="fr-FR"/>
              </w:rPr>
              <w:t>p</w:t>
            </w:r>
            <w:r w:rsidRPr="00914A4B">
              <w:rPr>
                <w:rFonts w:asciiTheme="majorBidi" w:hAnsiTheme="majorBidi" w:cstheme="majorBidi"/>
                <w:sz w:val="22"/>
                <w:szCs w:val="22"/>
                <w:lang w:val="fr-FR"/>
              </w:rPr>
              <w:t xml:space="preserve"> </w:t>
            </w:r>
            <w:r w:rsidR="005339D5">
              <w:rPr>
                <w:rFonts w:asciiTheme="majorBidi" w:hAnsiTheme="majorBidi" w:cstheme="majorBidi"/>
                <w:sz w:val="22"/>
                <w:szCs w:val="22"/>
                <w:lang w:val="fr-FR"/>
              </w:rPr>
              <w:t>=</w:t>
            </w:r>
            <w:r w:rsidRPr="00914A4B">
              <w:rPr>
                <w:rFonts w:asciiTheme="majorBidi" w:hAnsiTheme="majorBidi" w:cstheme="majorBidi"/>
                <w:sz w:val="22"/>
                <w:szCs w:val="22"/>
                <w:lang w:val="fr-FR"/>
              </w:rPr>
              <w:t xml:space="preserve"> 0,1</w:t>
            </w:r>
          </w:p>
        </w:tc>
      </w:tr>
      <w:tr w:rsidR="008F60A1" w:rsidRPr="008F60A1" w:rsidTr="005339D5">
        <w:trPr>
          <w:cantSplit/>
        </w:trPr>
        <w:tc>
          <w:tcPr>
            <w:tcW w:w="9631" w:type="dxa"/>
            <w:gridSpan w:val="5"/>
            <w:tcBorders>
              <w:top w:val="single" w:sz="4" w:space="0" w:color="auto"/>
            </w:tcBorders>
          </w:tcPr>
          <w:p w:rsidR="008F60A1" w:rsidRPr="001B05EE" w:rsidRDefault="008F60A1" w:rsidP="00736C42">
            <w:pPr>
              <w:pStyle w:val="TableLegend0"/>
              <w:tabs>
                <w:tab w:val="clear" w:pos="794"/>
                <w:tab w:val="clear" w:pos="1191"/>
                <w:tab w:val="clear" w:pos="1588"/>
                <w:tab w:val="clear" w:pos="1985"/>
                <w:tab w:val="left" w:pos="284"/>
              </w:tabs>
              <w:spacing w:before="120" w:line="240" w:lineRule="auto"/>
              <w:ind w:left="199" w:hanging="284"/>
              <w:rPr>
                <w:sz w:val="22"/>
                <w:szCs w:val="22"/>
                <w:lang w:val="fr-FR"/>
              </w:rPr>
            </w:pPr>
            <w:r w:rsidRPr="001B05EE">
              <w:rPr>
                <w:position w:val="6"/>
                <w:szCs w:val="18"/>
                <w:lang w:val="fr-FR"/>
              </w:rPr>
              <w:t>(1)</w:t>
            </w:r>
            <w:r w:rsidRPr="001B05EE">
              <w:rPr>
                <w:sz w:val="22"/>
                <w:szCs w:val="22"/>
                <w:lang w:val="fr-FR"/>
              </w:rPr>
              <w:tab/>
              <w:t>La puissance du signal brouilleur (dBW) dans la largeur de bande de référence est donnée pour une réception à des angles d'élévation supérieurs ou égaux à 3°.</w:t>
            </w:r>
          </w:p>
          <w:p w:rsidR="008F60A1" w:rsidRPr="001B05EE" w:rsidRDefault="008F60A1" w:rsidP="00736C42">
            <w:pPr>
              <w:pStyle w:val="TableLegend0"/>
              <w:tabs>
                <w:tab w:val="clear" w:pos="794"/>
                <w:tab w:val="clear" w:pos="1191"/>
                <w:tab w:val="clear" w:pos="1588"/>
                <w:tab w:val="clear" w:pos="1985"/>
                <w:tab w:val="left" w:pos="284"/>
              </w:tabs>
              <w:spacing w:before="120" w:line="240" w:lineRule="auto"/>
              <w:ind w:left="199" w:hanging="284"/>
              <w:rPr>
                <w:sz w:val="22"/>
                <w:szCs w:val="22"/>
                <w:lang w:val="fr-FR"/>
              </w:rPr>
            </w:pPr>
            <w:r w:rsidRPr="001B05EE">
              <w:rPr>
                <w:position w:val="6"/>
                <w:szCs w:val="18"/>
                <w:lang w:val="fr-FR"/>
              </w:rPr>
              <w:t>(2)</w:t>
            </w:r>
            <w:r w:rsidRPr="001B05EE">
              <w:rPr>
                <w:sz w:val="22"/>
                <w:szCs w:val="22"/>
                <w:lang w:val="fr-FR"/>
              </w:rPr>
              <w:tab/>
              <w:t>La puissance du signal brouilleur (dBW) dans la largeur de bande de référence est donnée pour une réception à des angles d'élévation supérieurs ou égaux à 5°.</w:t>
            </w:r>
          </w:p>
        </w:tc>
      </w:tr>
    </w:tbl>
    <w:p w:rsidR="008F60A1" w:rsidRPr="00306D21" w:rsidRDefault="008F60A1" w:rsidP="00736C42">
      <w:pPr>
        <w:pStyle w:val="TableLegend0"/>
        <w:spacing w:line="240" w:lineRule="auto"/>
        <w:ind w:left="0"/>
        <w:rPr>
          <w:sz w:val="22"/>
          <w:szCs w:val="22"/>
          <w:lang w:val="fr-FR"/>
        </w:rPr>
      </w:pPr>
      <w:r w:rsidRPr="00306D21">
        <w:rPr>
          <w:sz w:val="22"/>
          <w:szCs w:val="22"/>
          <w:lang w:val="fr-FR"/>
        </w:rPr>
        <w:t>NOTE 1 – Les seuils de puissance du signal brouilleur par source unique figurant dans le Tableau 1 sont les niveaux admissibles de puissance de signal brouilleur qui s'inscrivent à l'intérieur de la largeur de bande de référence spécifiée. En conséquence, il y a lieu de tenir compte, dans les analyses de partage de fréquences,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y a lieu d'appliquer le taux de réjection en fonction de la fréquence dont on dispose, tout en tenant compte des niveaux admissibles de brouillage spécifiés. Il conviendra de consulter les directives indiquées à ce sujet dans les Recommandations UIT-R applicables de la série SM.</w:t>
      </w:r>
    </w:p>
    <w:p w:rsidR="008F60A1" w:rsidRPr="00306D21" w:rsidRDefault="008F60A1" w:rsidP="00736C42">
      <w:pPr>
        <w:pStyle w:val="TableLegend0"/>
        <w:spacing w:line="240" w:lineRule="auto"/>
        <w:ind w:left="0"/>
        <w:rPr>
          <w:sz w:val="22"/>
          <w:szCs w:val="22"/>
          <w:lang w:val="fr-FR"/>
        </w:rPr>
      </w:pPr>
      <w:r w:rsidRPr="00306D21">
        <w:rPr>
          <w:sz w:val="22"/>
          <w:szCs w:val="22"/>
          <w:lang w:val="fr-FR"/>
        </w:rPr>
        <w:t>NOTE 2 – Les critères de partage présentés dans le Tableau 1 sont fondés sur des stations terriennes représentatives, ayant les valeurs de gain d'antenne spécifiées.</w:t>
      </w:r>
    </w:p>
    <w:p w:rsidR="008F60A1" w:rsidRPr="00306D21" w:rsidRDefault="008F60A1" w:rsidP="00736C42">
      <w:pPr>
        <w:pStyle w:val="TableLegend0"/>
        <w:spacing w:line="240" w:lineRule="auto"/>
        <w:ind w:left="0"/>
        <w:rPr>
          <w:sz w:val="22"/>
          <w:szCs w:val="22"/>
          <w:lang w:val="fr-FR"/>
        </w:rPr>
      </w:pPr>
      <w:r w:rsidRPr="00306D21">
        <w:rPr>
          <w:sz w:val="22"/>
          <w:szCs w:val="22"/>
          <w:lang w:val="fr-FR"/>
        </w:rPr>
        <w:t>NOTE 3 – Pour déduire les critères de partage ci-dessus à partir des niveaux admissibles de puissance totale du signal brouilleur, on n'a tenu aucun compte du brouillage dû à des rayonnements non essentiels.</w:t>
      </w:r>
    </w:p>
    <w:p w:rsidR="008F60A1" w:rsidRPr="00306D21" w:rsidRDefault="008F60A1" w:rsidP="00736C42">
      <w:pPr>
        <w:pStyle w:val="TableLegend0"/>
        <w:spacing w:line="240" w:lineRule="auto"/>
        <w:ind w:left="0"/>
        <w:rPr>
          <w:sz w:val="22"/>
          <w:szCs w:val="22"/>
          <w:lang w:val="fr-FR"/>
        </w:rPr>
      </w:pPr>
      <w:r w:rsidRPr="00306D21">
        <w:rPr>
          <w:sz w:val="22"/>
          <w:szCs w:val="22"/>
          <w:lang w:val="fr-FR"/>
        </w:rPr>
        <w:t>NOTE 4 – Le niveau spécifié de puissance d'une source unique de brouillage ne peut être directement converti en valeur équivalente de puissance surfacique et utilisé comme tel que dans le cas de stations terriennes à antennes sans poursuite de faible gain.</w:t>
      </w:r>
    </w:p>
    <w:p w:rsidR="008F60A1" w:rsidRPr="00306D21" w:rsidRDefault="008F60A1" w:rsidP="00736C42">
      <w:pPr>
        <w:pStyle w:val="TableText0"/>
        <w:rPr>
          <w:sz w:val="22"/>
          <w:szCs w:val="22"/>
          <w:lang w:val="fr-FR"/>
        </w:rPr>
      </w:pPr>
      <w:r w:rsidRPr="00306D21">
        <w:rPr>
          <w:sz w:val="22"/>
          <w:szCs w:val="22"/>
          <w:lang w:val="fr-FR"/>
        </w:rPr>
        <w:t>NOTE 5 – Les critères de partage à long terme (20% du temps) et à court terme (</w:t>
      </w:r>
      <w:r w:rsidRPr="00306D21">
        <w:rPr>
          <w:i/>
          <w:iCs/>
          <w:sz w:val="22"/>
          <w:szCs w:val="22"/>
          <w:lang w:val="fr-FR"/>
        </w:rPr>
        <w:t>p</w:t>
      </w:r>
      <w:r w:rsidRPr="00306D21">
        <w:rPr>
          <w:sz w:val="22"/>
          <w:szCs w:val="22"/>
          <w:lang w:val="fr-FR"/>
        </w:rPr>
        <w:t>% du temps) doivent être respectés tous les deux, de manière que les brouillages ne dépassent pas les niveaux admissibles.</w:t>
      </w:r>
    </w:p>
    <w:p w:rsidR="008F60A1" w:rsidRPr="00306D21" w:rsidRDefault="008F60A1" w:rsidP="00736C42">
      <w:pPr>
        <w:pStyle w:val="TableLegend0"/>
        <w:spacing w:line="240" w:lineRule="auto"/>
        <w:ind w:left="0"/>
        <w:rPr>
          <w:sz w:val="22"/>
          <w:szCs w:val="22"/>
          <w:lang w:val="fr-FR"/>
        </w:rPr>
      </w:pPr>
      <w:r w:rsidRPr="00306D21">
        <w:rPr>
          <w:sz w:val="22"/>
          <w:szCs w:val="22"/>
          <w:lang w:val="fr-FR"/>
        </w:rPr>
        <w:t>NOTE 6 – Les critères de brouillage spécifiés pour les trajets de signaux de Terre sont applicables aux stations d'émission des services de Terre et aux stations terriennes d'émission.</w:t>
      </w:r>
    </w:p>
    <w:p w:rsidR="008F60A1" w:rsidRPr="00306D21" w:rsidRDefault="008F60A1" w:rsidP="008F60A1">
      <w:pPr>
        <w:rPr>
          <w:sz w:val="22"/>
          <w:szCs w:val="22"/>
        </w:rPr>
      </w:pPr>
    </w:p>
    <w:p w:rsidR="00736C42" w:rsidRDefault="00736C42">
      <w:pPr>
        <w:tabs>
          <w:tab w:val="clear" w:pos="794"/>
          <w:tab w:val="clear" w:pos="1191"/>
          <w:tab w:val="clear" w:pos="1588"/>
          <w:tab w:val="clear" w:pos="1985"/>
        </w:tabs>
        <w:overflowPunct/>
        <w:autoSpaceDE/>
        <w:autoSpaceDN/>
        <w:adjustRightInd/>
        <w:spacing w:before="0"/>
        <w:jc w:val="left"/>
        <w:textAlignment w:val="auto"/>
        <w:rPr>
          <w:b/>
        </w:rPr>
      </w:pPr>
      <w:r>
        <w:br w:type="page"/>
      </w:r>
    </w:p>
    <w:p w:rsidR="001626F1" w:rsidRPr="00736C42" w:rsidRDefault="001626F1" w:rsidP="00736C42">
      <w:pPr>
        <w:pStyle w:val="AnnexNoTitle"/>
      </w:pPr>
      <w:r w:rsidRPr="00736C42">
        <w:lastRenderedPageBreak/>
        <w:t>A</w:t>
      </w:r>
      <w:r w:rsidR="00736C42" w:rsidRPr="00736C42">
        <w:t>nnexe</w:t>
      </w:r>
      <w:r w:rsidR="00A10030">
        <w:br/>
      </w:r>
      <w:r w:rsidR="00A10030">
        <w:br/>
      </w:r>
      <w:r w:rsidR="00A10030" w:rsidRPr="00705577">
        <w:t>Base pour la détermination des critères de partage</w:t>
      </w:r>
    </w:p>
    <w:p w:rsidR="001626F1" w:rsidRPr="00CE1FBA" w:rsidRDefault="001626F1" w:rsidP="00CE1FBA">
      <w:pPr>
        <w:pStyle w:val="Heading1"/>
      </w:pPr>
      <w:r w:rsidRPr="00CE1FBA">
        <w:t>1</w:t>
      </w:r>
      <w:r w:rsidRPr="00CE1FBA">
        <w:tab/>
        <w:t>Introduction</w:t>
      </w:r>
    </w:p>
    <w:p w:rsidR="001626F1" w:rsidRPr="00705577" w:rsidRDefault="001626F1" w:rsidP="003E65DF">
      <w:r w:rsidRPr="00705577">
        <w:t xml:space="preserve">La présente Annexe traite de l'application de la Recommandation UIT-R SA.1023 avec les critères de brouillage </w:t>
      </w:r>
      <w:r w:rsidR="000D0FD0" w:rsidRPr="00705577">
        <w:t xml:space="preserve">donnés dans </w:t>
      </w:r>
      <w:r w:rsidRPr="00705577">
        <w:t>la Recommandation UIT-R SA.1160. Les niveaux admissibles de brouillage sont subdivisés selon la Recommandation UIT-R SA.1023 en deux catégories, à savoir trajets spatiaux et trajets de Terre, et répartis ensuite selon les brouilleurs prévus dans chaque catégorie. Les critères de répartition sont précisés dans le Tableau 2, tandis que les lignes qui suivent reprennent quelques considérations relatives aux conditions de brouillage.</w:t>
      </w:r>
    </w:p>
    <w:p w:rsidR="001626F1" w:rsidRPr="00705577" w:rsidRDefault="001626F1" w:rsidP="00CE1FBA">
      <w:pPr>
        <w:pStyle w:val="TableNo"/>
      </w:pPr>
      <w:r w:rsidRPr="00705577">
        <w:t>TABLEAU  2</w:t>
      </w:r>
    </w:p>
    <w:p w:rsidR="00DB298C" w:rsidRPr="00705577" w:rsidRDefault="001626F1" w:rsidP="00CE1FBA">
      <w:pPr>
        <w:pStyle w:val="Tabletitle"/>
      </w:pPr>
      <w:r w:rsidRPr="00705577">
        <w:t xml:space="preserve">Paramètres utilisés pour </w:t>
      </w:r>
      <w:r w:rsidR="000D0FD0" w:rsidRPr="00705577">
        <w:t>déterminer l</w:t>
      </w:r>
      <w:r w:rsidRPr="00705577">
        <w:t>es critères de partage</w:t>
      </w:r>
      <w:r w:rsidR="00CE1FBA">
        <w:br/>
      </w:r>
      <w:r w:rsidR="00DB298C" w:rsidRPr="00705577">
        <w:t>(</w:t>
      </w:r>
      <w:r w:rsidR="00EE3770" w:rsidRPr="00705577">
        <w:t xml:space="preserve">sur la base de la méthode </w:t>
      </w:r>
      <w:r w:rsidR="00B60D72" w:rsidRPr="00705577">
        <w:t xml:space="preserve">décrite </w:t>
      </w:r>
      <w:r w:rsidR="00EE3770" w:rsidRPr="00705577">
        <w:t xml:space="preserve">dans la </w:t>
      </w:r>
      <w:r w:rsidR="00DB298C" w:rsidRPr="00705577">
        <w:t>Recomm</w:t>
      </w:r>
      <w:r w:rsidR="00EE3770" w:rsidRPr="00705577">
        <w:t>a</w:t>
      </w:r>
      <w:r w:rsidR="00DB298C" w:rsidRPr="00705577">
        <w:t xml:space="preserve">ndation </w:t>
      </w:r>
      <w:r w:rsidR="00EE3770" w:rsidRPr="00705577">
        <w:t>UIT</w:t>
      </w:r>
      <w:r w:rsidR="00DB298C" w:rsidRPr="00705577">
        <w:t>-R SA.1023)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26"/>
        <w:gridCol w:w="1123"/>
        <w:gridCol w:w="991"/>
        <w:gridCol w:w="1082"/>
        <w:gridCol w:w="990"/>
        <w:gridCol w:w="1106"/>
        <w:gridCol w:w="963"/>
        <w:gridCol w:w="1096"/>
        <w:gridCol w:w="962"/>
      </w:tblGrid>
      <w:tr w:rsidR="00817EF8" w:rsidRPr="00164AE2" w:rsidTr="00164AE2">
        <w:trPr>
          <w:cantSplit/>
          <w:jc w:val="center"/>
        </w:trPr>
        <w:tc>
          <w:tcPr>
            <w:tcW w:w="1326" w:type="dxa"/>
            <w:vMerge w:val="restart"/>
            <w:vAlign w:val="center"/>
          </w:tcPr>
          <w:p w:rsidR="00CE1FBA" w:rsidRPr="00164AE2" w:rsidRDefault="00CE1FBA" w:rsidP="00CE1FBA">
            <w:pPr>
              <w:pStyle w:val="Tablehead"/>
              <w:rPr>
                <w:sz w:val="20"/>
              </w:rPr>
            </w:pPr>
            <w:r w:rsidRPr="00164AE2">
              <w:rPr>
                <w:sz w:val="20"/>
              </w:rPr>
              <w:t>Bande de fréquences</w:t>
            </w:r>
            <w:r w:rsidRPr="00164AE2">
              <w:rPr>
                <w:sz w:val="20"/>
              </w:rPr>
              <w:br/>
              <w:t>(MHz)</w:t>
            </w:r>
          </w:p>
        </w:tc>
        <w:tc>
          <w:tcPr>
            <w:tcW w:w="2114" w:type="dxa"/>
            <w:gridSpan w:val="2"/>
          </w:tcPr>
          <w:p w:rsidR="00CE1FBA" w:rsidRPr="00164AE2" w:rsidRDefault="00CE1FBA" w:rsidP="00CE1FBA">
            <w:pPr>
              <w:pStyle w:val="Tablehead"/>
              <w:rPr>
                <w:sz w:val="20"/>
              </w:rPr>
            </w:pPr>
            <w:r w:rsidRPr="00164AE2">
              <w:rPr>
                <w:sz w:val="20"/>
              </w:rPr>
              <w:t>Répartition à long terme entre catégories de brouilleurs</w:t>
            </w:r>
          </w:p>
        </w:tc>
        <w:tc>
          <w:tcPr>
            <w:tcW w:w="2072" w:type="dxa"/>
            <w:gridSpan w:val="2"/>
          </w:tcPr>
          <w:p w:rsidR="00CE1FBA" w:rsidRPr="00164AE2" w:rsidRDefault="00CE1FBA" w:rsidP="00CE1FBA">
            <w:pPr>
              <w:pStyle w:val="Tablehead"/>
              <w:rPr>
                <w:sz w:val="20"/>
              </w:rPr>
            </w:pPr>
            <w:r w:rsidRPr="00164AE2">
              <w:rPr>
                <w:sz w:val="20"/>
              </w:rPr>
              <w:t>Répartition à court terme entre catégories de brouilleurs</w:t>
            </w:r>
          </w:p>
        </w:tc>
        <w:tc>
          <w:tcPr>
            <w:tcW w:w="2069" w:type="dxa"/>
            <w:gridSpan w:val="2"/>
          </w:tcPr>
          <w:p w:rsidR="00CE1FBA" w:rsidRPr="00164AE2" w:rsidRDefault="00CE1FBA" w:rsidP="00817EF8">
            <w:pPr>
              <w:pStyle w:val="Tablehead"/>
              <w:rPr>
                <w:sz w:val="20"/>
              </w:rPr>
            </w:pPr>
            <w:r w:rsidRPr="00164AE2">
              <w:rPr>
                <w:sz w:val="20"/>
              </w:rPr>
              <w:t>Nombre</w:t>
            </w:r>
            <w:r w:rsidR="00817EF8" w:rsidRPr="00164AE2">
              <w:rPr>
                <w:sz w:val="20"/>
              </w:rPr>
              <w:t xml:space="preserve"> </w:t>
            </w:r>
            <w:r w:rsidRPr="00164AE2">
              <w:rPr>
                <w:sz w:val="20"/>
              </w:rPr>
              <w:t>équivalent de brouilleurs à</w:t>
            </w:r>
            <w:r w:rsidR="00817EF8" w:rsidRPr="00164AE2">
              <w:rPr>
                <w:sz w:val="20"/>
              </w:rPr>
              <w:t xml:space="preserve"> </w:t>
            </w:r>
            <w:r w:rsidRPr="00164AE2">
              <w:rPr>
                <w:sz w:val="20"/>
              </w:rPr>
              <w:t>long terme</w:t>
            </w:r>
          </w:p>
        </w:tc>
        <w:tc>
          <w:tcPr>
            <w:tcW w:w="2058" w:type="dxa"/>
            <w:gridSpan w:val="2"/>
          </w:tcPr>
          <w:p w:rsidR="00CE1FBA" w:rsidRPr="00164AE2" w:rsidRDefault="00CE1FBA" w:rsidP="00817EF8">
            <w:pPr>
              <w:pStyle w:val="Tablehead"/>
              <w:rPr>
                <w:sz w:val="20"/>
              </w:rPr>
            </w:pPr>
            <w:r w:rsidRPr="00164AE2">
              <w:rPr>
                <w:sz w:val="20"/>
              </w:rPr>
              <w:t>Nombre</w:t>
            </w:r>
            <w:r w:rsidR="00817EF8" w:rsidRPr="00164AE2">
              <w:rPr>
                <w:sz w:val="20"/>
              </w:rPr>
              <w:t xml:space="preserve"> </w:t>
            </w:r>
            <w:r w:rsidRPr="00164AE2">
              <w:rPr>
                <w:sz w:val="20"/>
              </w:rPr>
              <w:t>équivalent de brouilleurs à</w:t>
            </w:r>
            <w:r w:rsidR="00817EF8" w:rsidRPr="00164AE2">
              <w:rPr>
                <w:sz w:val="20"/>
              </w:rPr>
              <w:t xml:space="preserve"> </w:t>
            </w:r>
            <w:r w:rsidRPr="00164AE2">
              <w:rPr>
                <w:sz w:val="20"/>
              </w:rPr>
              <w:t>court terme</w:t>
            </w:r>
          </w:p>
        </w:tc>
      </w:tr>
      <w:tr w:rsidR="00817EF8" w:rsidRPr="00164AE2" w:rsidTr="00164AE2">
        <w:trPr>
          <w:cantSplit/>
          <w:trHeight w:val="285"/>
          <w:jc w:val="center"/>
        </w:trPr>
        <w:tc>
          <w:tcPr>
            <w:tcW w:w="1326" w:type="dxa"/>
            <w:vMerge/>
          </w:tcPr>
          <w:p w:rsidR="00CE1FBA" w:rsidRPr="00164AE2" w:rsidRDefault="00CE1FBA" w:rsidP="00CE1FBA">
            <w:pPr>
              <w:pStyle w:val="Tablehead"/>
              <w:rPr>
                <w:sz w:val="20"/>
              </w:rPr>
            </w:pPr>
          </w:p>
        </w:tc>
        <w:tc>
          <w:tcPr>
            <w:tcW w:w="2114" w:type="dxa"/>
            <w:gridSpan w:val="2"/>
            <w:tcBorders>
              <w:bottom w:val="nil"/>
            </w:tcBorders>
          </w:tcPr>
          <w:p w:rsidR="00CE1FBA" w:rsidRPr="00164AE2" w:rsidRDefault="00CE1FBA" w:rsidP="00CE1FBA">
            <w:pPr>
              <w:pStyle w:val="Tablehead"/>
              <w:rPr>
                <w:sz w:val="20"/>
              </w:rPr>
            </w:pPr>
            <w:r w:rsidRPr="00164AE2">
              <w:rPr>
                <w:sz w:val="20"/>
              </w:rPr>
              <w:t>Trajet du signal brouilleur</w:t>
            </w:r>
          </w:p>
        </w:tc>
        <w:tc>
          <w:tcPr>
            <w:tcW w:w="2072" w:type="dxa"/>
            <w:gridSpan w:val="2"/>
          </w:tcPr>
          <w:p w:rsidR="00CE1FBA" w:rsidRPr="00164AE2" w:rsidRDefault="00CE1FBA" w:rsidP="00CE1FBA">
            <w:pPr>
              <w:pStyle w:val="Tablehead"/>
              <w:rPr>
                <w:sz w:val="20"/>
              </w:rPr>
            </w:pPr>
            <w:r w:rsidRPr="00164AE2">
              <w:rPr>
                <w:sz w:val="20"/>
              </w:rPr>
              <w:t>Trajet du signal brouilleur</w:t>
            </w:r>
          </w:p>
        </w:tc>
        <w:tc>
          <w:tcPr>
            <w:tcW w:w="2069" w:type="dxa"/>
            <w:gridSpan w:val="2"/>
          </w:tcPr>
          <w:p w:rsidR="00CE1FBA" w:rsidRPr="00164AE2" w:rsidRDefault="00CE1FBA" w:rsidP="00CE1FBA">
            <w:pPr>
              <w:pStyle w:val="Tablehead"/>
              <w:rPr>
                <w:sz w:val="20"/>
              </w:rPr>
            </w:pPr>
            <w:r w:rsidRPr="00164AE2">
              <w:rPr>
                <w:sz w:val="20"/>
              </w:rPr>
              <w:t>Trajet du signal brouilleur</w:t>
            </w:r>
          </w:p>
        </w:tc>
        <w:tc>
          <w:tcPr>
            <w:tcW w:w="2058" w:type="dxa"/>
            <w:gridSpan w:val="2"/>
          </w:tcPr>
          <w:p w:rsidR="00CE1FBA" w:rsidRPr="00164AE2" w:rsidRDefault="00CE1FBA" w:rsidP="00CE1FBA">
            <w:pPr>
              <w:pStyle w:val="Tablehead"/>
              <w:rPr>
                <w:sz w:val="20"/>
              </w:rPr>
            </w:pPr>
            <w:r w:rsidRPr="00164AE2">
              <w:rPr>
                <w:sz w:val="20"/>
              </w:rPr>
              <w:t>Trajet du signal brouilleur</w:t>
            </w:r>
          </w:p>
        </w:tc>
      </w:tr>
      <w:tr w:rsidR="00817EF8" w:rsidRPr="00164AE2" w:rsidTr="00164AE2">
        <w:trPr>
          <w:cantSplit/>
          <w:trHeight w:val="285"/>
          <w:jc w:val="center"/>
        </w:trPr>
        <w:tc>
          <w:tcPr>
            <w:tcW w:w="1326" w:type="dxa"/>
            <w:vMerge/>
            <w:tcBorders>
              <w:bottom w:val="nil"/>
            </w:tcBorders>
          </w:tcPr>
          <w:p w:rsidR="00CE1FBA" w:rsidRPr="00164AE2" w:rsidRDefault="00CE1FBA" w:rsidP="00CE1FBA">
            <w:pPr>
              <w:pStyle w:val="Tablehead"/>
              <w:rPr>
                <w:sz w:val="20"/>
              </w:rPr>
            </w:pPr>
          </w:p>
        </w:tc>
        <w:tc>
          <w:tcPr>
            <w:tcW w:w="1123" w:type="dxa"/>
            <w:tcBorders>
              <w:bottom w:val="nil"/>
            </w:tcBorders>
          </w:tcPr>
          <w:p w:rsidR="00CE1FBA" w:rsidRPr="00164AE2" w:rsidRDefault="00CE1FBA" w:rsidP="00CE1FBA">
            <w:pPr>
              <w:pStyle w:val="Tablehead"/>
              <w:rPr>
                <w:sz w:val="20"/>
              </w:rPr>
            </w:pPr>
            <w:r w:rsidRPr="00164AE2">
              <w:rPr>
                <w:sz w:val="20"/>
              </w:rPr>
              <w:t>Espace vers Terre</w:t>
            </w:r>
          </w:p>
        </w:tc>
        <w:tc>
          <w:tcPr>
            <w:tcW w:w="991" w:type="dxa"/>
            <w:tcBorders>
              <w:bottom w:val="nil"/>
            </w:tcBorders>
          </w:tcPr>
          <w:p w:rsidR="00CE1FBA" w:rsidRPr="00164AE2" w:rsidRDefault="00CE1FBA" w:rsidP="00CE1FBA">
            <w:pPr>
              <w:pStyle w:val="Tablehead"/>
              <w:rPr>
                <w:sz w:val="20"/>
              </w:rPr>
            </w:pPr>
            <w:r w:rsidRPr="00164AE2">
              <w:rPr>
                <w:sz w:val="20"/>
              </w:rPr>
              <w:t>De Terre</w:t>
            </w:r>
          </w:p>
        </w:tc>
        <w:tc>
          <w:tcPr>
            <w:tcW w:w="1082" w:type="dxa"/>
            <w:tcBorders>
              <w:bottom w:val="nil"/>
            </w:tcBorders>
          </w:tcPr>
          <w:p w:rsidR="00CE1FBA" w:rsidRPr="00164AE2" w:rsidRDefault="00CE1FBA" w:rsidP="00CE1FBA">
            <w:pPr>
              <w:pStyle w:val="Tablehead"/>
              <w:rPr>
                <w:sz w:val="20"/>
              </w:rPr>
            </w:pPr>
            <w:r w:rsidRPr="00164AE2">
              <w:rPr>
                <w:sz w:val="20"/>
              </w:rPr>
              <w:t>Espace vers Terre</w:t>
            </w:r>
          </w:p>
        </w:tc>
        <w:tc>
          <w:tcPr>
            <w:tcW w:w="990" w:type="dxa"/>
            <w:tcBorders>
              <w:bottom w:val="nil"/>
            </w:tcBorders>
          </w:tcPr>
          <w:p w:rsidR="00CE1FBA" w:rsidRPr="00164AE2" w:rsidRDefault="00CE1FBA" w:rsidP="00CE1FBA">
            <w:pPr>
              <w:pStyle w:val="Tablehead"/>
              <w:rPr>
                <w:sz w:val="20"/>
              </w:rPr>
            </w:pPr>
            <w:r w:rsidRPr="00164AE2">
              <w:rPr>
                <w:sz w:val="20"/>
              </w:rPr>
              <w:t>De Terre</w:t>
            </w:r>
          </w:p>
        </w:tc>
        <w:tc>
          <w:tcPr>
            <w:tcW w:w="1106" w:type="dxa"/>
            <w:tcBorders>
              <w:bottom w:val="nil"/>
            </w:tcBorders>
          </w:tcPr>
          <w:p w:rsidR="00CE1FBA" w:rsidRPr="00164AE2" w:rsidRDefault="00CE1FBA" w:rsidP="00CE1FBA">
            <w:pPr>
              <w:pStyle w:val="Tablehead"/>
              <w:rPr>
                <w:sz w:val="20"/>
              </w:rPr>
            </w:pPr>
            <w:r w:rsidRPr="00164AE2">
              <w:rPr>
                <w:sz w:val="20"/>
              </w:rPr>
              <w:t>Espace vers Terre</w:t>
            </w:r>
          </w:p>
        </w:tc>
        <w:tc>
          <w:tcPr>
            <w:tcW w:w="963" w:type="dxa"/>
            <w:tcBorders>
              <w:bottom w:val="nil"/>
            </w:tcBorders>
          </w:tcPr>
          <w:p w:rsidR="00CE1FBA" w:rsidRPr="00164AE2" w:rsidRDefault="00CE1FBA" w:rsidP="00CE1FBA">
            <w:pPr>
              <w:pStyle w:val="Tablehead"/>
              <w:rPr>
                <w:sz w:val="20"/>
              </w:rPr>
            </w:pPr>
            <w:r w:rsidRPr="00164AE2">
              <w:rPr>
                <w:sz w:val="20"/>
              </w:rPr>
              <w:t>De Terre</w:t>
            </w:r>
          </w:p>
        </w:tc>
        <w:tc>
          <w:tcPr>
            <w:tcW w:w="1096" w:type="dxa"/>
            <w:tcBorders>
              <w:bottom w:val="nil"/>
            </w:tcBorders>
          </w:tcPr>
          <w:p w:rsidR="00CE1FBA" w:rsidRPr="00164AE2" w:rsidRDefault="00CE1FBA" w:rsidP="00CE1FBA">
            <w:pPr>
              <w:pStyle w:val="Tablehead"/>
              <w:rPr>
                <w:sz w:val="20"/>
              </w:rPr>
            </w:pPr>
            <w:r w:rsidRPr="00164AE2">
              <w:rPr>
                <w:sz w:val="20"/>
              </w:rPr>
              <w:t>Espace vers Terre</w:t>
            </w:r>
          </w:p>
        </w:tc>
        <w:tc>
          <w:tcPr>
            <w:tcW w:w="962" w:type="dxa"/>
            <w:tcBorders>
              <w:bottom w:val="nil"/>
            </w:tcBorders>
          </w:tcPr>
          <w:p w:rsidR="00CE1FBA" w:rsidRPr="00164AE2" w:rsidRDefault="00CE1FBA" w:rsidP="00CE1FBA">
            <w:pPr>
              <w:pStyle w:val="Tablehead"/>
              <w:rPr>
                <w:sz w:val="20"/>
              </w:rPr>
            </w:pPr>
            <w:r w:rsidRPr="00164AE2">
              <w:rPr>
                <w:sz w:val="20"/>
              </w:rPr>
              <w:t>De Terre</w:t>
            </w:r>
          </w:p>
        </w:tc>
      </w:tr>
      <w:tr w:rsidR="00817EF8" w:rsidRPr="00164AE2" w:rsidTr="00164AE2">
        <w:trPr>
          <w:cantSplit/>
          <w:jc w:val="center"/>
        </w:trPr>
        <w:tc>
          <w:tcPr>
            <w:tcW w:w="1326" w:type="dxa"/>
            <w:vAlign w:val="center"/>
          </w:tcPr>
          <w:p w:rsidR="00CE1FBA" w:rsidRPr="00164AE2" w:rsidRDefault="00CE1FBA" w:rsidP="00CE1FBA">
            <w:pPr>
              <w:pStyle w:val="Tabletext"/>
              <w:jc w:val="center"/>
              <w:rPr>
                <w:sz w:val="20"/>
              </w:rPr>
            </w:pPr>
            <w:r w:rsidRPr="00164AE2">
              <w:rPr>
                <w:sz w:val="20"/>
              </w:rPr>
              <w:t>1</w:t>
            </w:r>
            <w:r w:rsidR="00817EF8" w:rsidRPr="00164AE2">
              <w:rPr>
                <w:rFonts w:ascii="Tms Rmn" w:hAnsi="Tms Rmn"/>
                <w:sz w:val="20"/>
              </w:rPr>
              <w:t xml:space="preserve"> </w:t>
            </w:r>
            <w:r w:rsidRPr="00164AE2">
              <w:rPr>
                <w:sz w:val="20"/>
              </w:rPr>
              <w:t>670-1</w:t>
            </w:r>
            <w:r w:rsidR="00817EF8" w:rsidRPr="00164AE2">
              <w:rPr>
                <w:rFonts w:ascii="Tms Rmn" w:hAnsi="Tms Rmn"/>
                <w:sz w:val="20"/>
              </w:rPr>
              <w:t xml:space="preserve"> </w:t>
            </w:r>
            <w:r w:rsidRPr="00164AE2">
              <w:rPr>
                <w:sz w:val="20"/>
              </w:rPr>
              <w:t>710 MHz</w:t>
            </w:r>
          </w:p>
        </w:tc>
        <w:tc>
          <w:tcPr>
            <w:tcW w:w="1123" w:type="dxa"/>
            <w:tcBorders>
              <w:bottom w:val="single" w:sz="6" w:space="0" w:color="auto"/>
            </w:tcBorders>
          </w:tcPr>
          <w:p w:rsidR="00CE1FBA" w:rsidRPr="00164AE2" w:rsidRDefault="00CE1FBA" w:rsidP="00CE1FBA">
            <w:pPr>
              <w:pStyle w:val="Tabletext"/>
              <w:jc w:val="center"/>
              <w:rPr>
                <w:sz w:val="20"/>
              </w:rPr>
            </w:pPr>
            <w:r w:rsidRPr="00164AE2">
              <w:rPr>
                <w:sz w:val="20"/>
              </w:rPr>
              <w:t>1%</w:t>
            </w:r>
          </w:p>
        </w:tc>
        <w:tc>
          <w:tcPr>
            <w:tcW w:w="991" w:type="dxa"/>
            <w:tcBorders>
              <w:bottom w:val="single" w:sz="6" w:space="0" w:color="auto"/>
            </w:tcBorders>
          </w:tcPr>
          <w:p w:rsidR="00CE1FBA" w:rsidRPr="00164AE2" w:rsidRDefault="00CE1FBA" w:rsidP="00CE1FBA">
            <w:pPr>
              <w:pStyle w:val="Tabletext"/>
              <w:jc w:val="center"/>
              <w:rPr>
                <w:sz w:val="20"/>
              </w:rPr>
            </w:pPr>
            <w:r w:rsidRPr="00164AE2">
              <w:rPr>
                <w:sz w:val="20"/>
              </w:rPr>
              <w:t>99%</w:t>
            </w:r>
          </w:p>
        </w:tc>
        <w:tc>
          <w:tcPr>
            <w:tcW w:w="1082" w:type="dxa"/>
            <w:tcBorders>
              <w:bottom w:val="single" w:sz="6" w:space="0" w:color="auto"/>
            </w:tcBorders>
          </w:tcPr>
          <w:p w:rsidR="00CE1FBA" w:rsidRPr="00164AE2" w:rsidRDefault="00CE1FBA" w:rsidP="00CE1FBA">
            <w:pPr>
              <w:pStyle w:val="Tabletext"/>
              <w:jc w:val="center"/>
              <w:rPr>
                <w:sz w:val="20"/>
              </w:rPr>
            </w:pPr>
            <w:r w:rsidRPr="00164AE2">
              <w:rPr>
                <w:sz w:val="20"/>
              </w:rPr>
              <w:t>10%</w:t>
            </w:r>
          </w:p>
        </w:tc>
        <w:tc>
          <w:tcPr>
            <w:tcW w:w="990" w:type="dxa"/>
            <w:tcBorders>
              <w:bottom w:val="single" w:sz="6" w:space="0" w:color="auto"/>
            </w:tcBorders>
          </w:tcPr>
          <w:p w:rsidR="00CE1FBA" w:rsidRPr="00164AE2" w:rsidRDefault="00CE1FBA" w:rsidP="00CE1FBA">
            <w:pPr>
              <w:pStyle w:val="Tabletext"/>
              <w:jc w:val="center"/>
              <w:rPr>
                <w:sz w:val="20"/>
              </w:rPr>
            </w:pPr>
            <w:r w:rsidRPr="00164AE2">
              <w:rPr>
                <w:sz w:val="20"/>
              </w:rPr>
              <w:t>90%</w:t>
            </w:r>
          </w:p>
        </w:tc>
        <w:tc>
          <w:tcPr>
            <w:tcW w:w="1106" w:type="dxa"/>
            <w:tcBorders>
              <w:bottom w:val="single" w:sz="6" w:space="0" w:color="auto"/>
            </w:tcBorders>
          </w:tcPr>
          <w:p w:rsidR="00CE1FBA" w:rsidRPr="00164AE2" w:rsidRDefault="00CE1FBA" w:rsidP="00CE1FBA">
            <w:pPr>
              <w:pStyle w:val="Tabletext"/>
              <w:jc w:val="center"/>
              <w:rPr>
                <w:sz w:val="20"/>
              </w:rPr>
            </w:pPr>
            <w:r w:rsidRPr="00164AE2">
              <w:rPr>
                <w:sz w:val="20"/>
              </w:rPr>
              <w:t>1</w:t>
            </w:r>
          </w:p>
        </w:tc>
        <w:tc>
          <w:tcPr>
            <w:tcW w:w="963" w:type="dxa"/>
            <w:tcBorders>
              <w:bottom w:val="single" w:sz="6" w:space="0" w:color="auto"/>
            </w:tcBorders>
          </w:tcPr>
          <w:p w:rsidR="00CE1FBA" w:rsidRPr="00164AE2" w:rsidRDefault="00CE1FBA" w:rsidP="00CE1FBA">
            <w:pPr>
              <w:pStyle w:val="Tabletext"/>
              <w:jc w:val="center"/>
              <w:rPr>
                <w:sz w:val="20"/>
              </w:rPr>
            </w:pPr>
            <w:r w:rsidRPr="00164AE2">
              <w:rPr>
                <w:sz w:val="20"/>
              </w:rPr>
              <w:t>1</w:t>
            </w:r>
          </w:p>
        </w:tc>
        <w:tc>
          <w:tcPr>
            <w:tcW w:w="1096" w:type="dxa"/>
            <w:tcBorders>
              <w:bottom w:val="single" w:sz="6" w:space="0" w:color="auto"/>
            </w:tcBorders>
          </w:tcPr>
          <w:p w:rsidR="00CE1FBA" w:rsidRPr="00164AE2" w:rsidRDefault="00CE1FBA" w:rsidP="00CE1FBA">
            <w:pPr>
              <w:pStyle w:val="Tabletext"/>
              <w:jc w:val="center"/>
              <w:rPr>
                <w:sz w:val="20"/>
              </w:rPr>
            </w:pPr>
            <w:r w:rsidRPr="00164AE2">
              <w:rPr>
                <w:sz w:val="20"/>
              </w:rPr>
              <w:t>1</w:t>
            </w:r>
          </w:p>
        </w:tc>
        <w:tc>
          <w:tcPr>
            <w:tcW w:w="962" w:type="dxa"/>
            <w:tcBorders>
              <w:bottom w:val="single" w:sz="6" w:space="0" w:color="auto"/>
            </w:tcBorders>
          </w:tcPr>
          <w:p w:rsidR="00CE1FBA" w:rsidRPr="00164AE2" w:rsidRDefault="00CE1FBA" w:rsidP="00CE1FBA">
            <w:pPr>
              <w:pStyle w:val="Tabletext"/>
              <w:jc w:val="center"/>
              <w:rPr>
                <w:sz w:val="20"/>
              </w:rPr>
            </w:pPr>
            <w:r w:rsidRPr="00164AE2">
              <w:rPr>
                <w:sz w:val="20"/>
              </w:rPr>
              <w:t>2</w:t>
            </w:r>
          </w:p>
        </w:tc>
      </w:tr>
      <w:tr w:rsidR="00817EF8" w:rsidRPr="00164AE2" w:rsidTr="00164AE2">
        <w:trPr>
          <w:cantSplit/>
          <w:jc w:val="center"/>
        </w:trPr>
        <w:tc>
          <w:tcPr>
            <w:tcW w:w="1326" w:type="dxa"/>
          </w:tcPr>
          <w:p w:rsidR="00CE1FBA" w:rsidRPr="00164AE2" w:rsidRDefault="00817EF8" w:rsidP="00CE1FBA">
            <w:pPr>
              <w:pStyle w:val="Tabletext"/>
              <w:jc w:val="center"/>
              <w:rPr>
                <w:sz w:val="20"/>
              </w:rPr>
            </w:pPr>
            <w:r w:rsidRPr="00164AE2">
              <w:rPr>
                <w:sz w:val="20"/>
              </w:rPr>
              <w:t>25,</w:t>
            </w:r>
            <w:r w:rsidR="00CE1FBA" w:rsidRPr="00164AE2">
              <w:rPr>
                <w:sz w:val="20"/>
              </w:rPr>
              <w:t>5-27 GHz</w:t>
            </w:r>
          </w:p>
        </w:tc>
        <w:tc>
          <w:tcPr>
            <w:tcW w:w="1123"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1%</w:t>
            </w:r>
          </w:p>
        </w:tc>
        <w:tc>
          <w:tcPr>
            <w:tcW w:w="991"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99%</w:t>
            </w:r>
          </w:p>
        </w:tc>
        <w:tc>
          <w:tcPr>
            <w:tcW w:w="1082"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20%</w:t>
            </w:r>
          </w:p>
        </w:tc>
        <w:tc>
          <w:tcPr>
            <w:tcW w:w="990"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80%</w:t>
            </w:r>
          </w:p>
        </w:tc>
        <w:tc>
          <w:tcPr>
            <w:tcW w:w="1106"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1</w:t>
            </w:r>
          </w:p>
        </w:tc>
        <w:tc>
          <w:tcPr>
            <w:tcW w:w="963"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2</w:t>
            </w:r>
          </w:p>
        </w:tc>
        <w:tc>
          <w:tcPr>
            <w:tcW w:w="1096"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1</w:t>
            </w:r>
          </w:p>
        </w:tc>
        <w:tc>
          <w:tcPr>
            <w:tcW w:w="962" w:type="dxa"/>
            <w:tcBorders>
              <w:top w:val="single" w:sz="6" w:space="0" w:color="auto"/>
              <w:left w:val="single" w:sz="6" w:space="0" w:color="auto"/>
              <w:bottom w:val="single" w:sz="6" w:space="0" w:color="auto"/>
              <w:right w:val="single" w:sz="6" w:space="0" w:color="auto"/>
            </w:tcBorders>
          </w:tcPr>
          <w:p w:rsidR="00CE1FBA" w:rsidRPr="00164AE2" w:rsidRDefault="00CE1FBA" w:rsidP="00CE1FBA">
            <w:pPr>
              <w:pStyle w:val="Tabletext"/>
              <w:jc w:val="center"/>
              <w:rPr>
                <w:sz w:val="20"/>
              </w:rPr>
            </w:pPr>
            <w:r w:rsidRPr="00164AE2">
              <w:rPr>
                <w:sz w:val="20"/>
              </w:rPr>
              <w:t>2</w:t>
            </w:r>
          </w:p>
        </w:tc>
      </w:tr>
    </w:tbl>
    <w:p w:rsidR="001626F1" w:rsidRPr="00705577" w:rsidRDefault="001626F1" w:rsidP="000F436C">
      <w:pPr>
        <w:pStyle w:val="Heading1"/>
      </w:pPr>
      <w:r w:rsidRPr="00705577">
        <w:t>2</w:t>
      </w:r>
      <w:r w:rsidRPr="00705577">
        <w:tab/>
        <w:t xml:space="preserve">Bande </w:t>
      </w:r>
      <w:r w:rsidRPr="00A66C31">
        <w:rPr>
          <w:szCs w:val="24"/>
        </w:rPr>
        <w:t>1</w:t>
      </w:r>
      <w:r w:rsidR="000F436C" w:rsidRPr="00A66C31">
        <w:rPr>
          <w:rFonts w:ascii="Tms Rmn" w:hAnsi="Tms Rmn"/>
          <w:szCs w:val="24"/>
        </w:rPr>
        <w:t xml:space="preserve"> </w:t>
      </w:r>
      <w:r w:rsidRPr="00A66C31">
        <w:rPr>
          <w:szCs w:val="24"/>
        </w:rPr>
        <w:t>670-1</w:t>
      </w:r>
      <w:r w:rsidRPr="00A66C31">
        <w:rPr>
          <w:rFonts w:ascii="Tms Rmn" w:hAnsi="Tms Rmn"/>
          <w:szCs w:val="24"/>
        </w:rPr>
        <w:t> </w:t>
      </w:r>
      <w:r w:rsidRPr="00A66C31">
        <w:rPr>
          <w:szCs w:val="24"/>
        </w:rPr>
        <w:t>710</w:t>
      </w:r>
      <w:r w:rsidRPr="00705577">
        <w:t xml:space="preserve"> MHz</w:t>
      </w:r>
    </w:p>
    <w:p w:rsidR="001626F1" w:rsidRPr="00705577" w:rsidRDefault="001626F1" w:rsidP="004D4BB6">
      <w:r w:rsidRPr="00705577">
        <w:t xml:space="preserve">La bande </w:t>
      </w:r>
      <w:r w:rsidRPr="000F436C">
        <w:rPr>
          <w:szCs w:val="24"/>
        </w:rPr>
        <w:t>1</w:t>
      </w:r>
      <w:r w:rsidRPr="000F436C">
        <w:rPr>
          <w:rFonts w:ascii="Tms Rmn" w:hAnsi="Tms Rmn"/>
          <w:szCs w:val="24"/>
        </w:rPr>
        <w:t> </w:t>
      </w:r>
      <w:r w:rsidRPr="000F436C">
        <w:rPr>
          <w:szCs w:val="24"/>
        </w:rPr>
        <w:t>670-1</w:t>
      </w:r>
      <w:r w:rsidRPr="000F436C">
        <w:rPr>
          <w:rFonts w:ascii="Tms Rmn" w:hAnsi="Tms Rmn"/>
          <w:szCs w:val="24"/>
        </w:rPr>
        <w:t> </w:t>
      </w:r>
      <w:r w:rsidRPr="000F436C">
        <w:rPr>
          <w:szCs w:val="24"/>
        </w:rPr>
        <w:t xml:space="preserve">690 </w:t>
      </w:r>
      <w:r w:rsidRPr="00705577">
        <w:t>MHz est attribuée à titre primaire au service MetSat (espace</w:t>
      </w:r>
      <w:r w:rsidR="00EE3770" w:rsidRPr="00705577">
        <w:t xml:space="preserve"> vers </w:t>
      </w:r>
      <w:r w:rsidRPr="00705577">
        <w:t>Terre), au service des auxiliaires de la météorologie</w:t>
      </w:r>
      <w:r w:rsidR="00EE3770" w:rsidRPr="00705577">
        <w:t xml:space="preserve"> et au service fixe. En outre, la bande 1</w:t>
      </w:r>
      <w:r w:rsidR="004D4BB6">
        <w:t> </w:t>
      </w:r>
      <w:r w:rsidR="00EE3770" w:rsidRPr="00705577">
        <w:t>670</w:t>
      </w:r>
      <w:r w:rsidR="004D4BB6">
        <w:noBreakHyphen/>
      </w:r>
      <w:r w:rsidR="00EE3770" w:rsidRPr="00705577">
        <w:t>1</w:t>
      </w:r>
      <w:r w:rsidR="004D4BB6">
        <w:t> </w:t>
      </w:r>
      <w:r w:rsidR="00EE3770" w:rsidRPr="00705577">
        <w:t>675</w:t>
      </w:r>
      <w:r w:rsidR="004D4BB6">
        <w:t> </w:t>
      </w:r>
      <w:r w:rsidR="00EE3770" w:rsidRPr="00705577">
        <w:t xml:space="preserve">MHz est attribuée à titre primaire au service mobile et au service mobile par satellite (Terre vers </w:t>
      </w:r>
      <w:r w:rsidR="00705577" w:rsidRPr="00705577">
        <w:t>espace</w:t>
      </w:r>
      <w:r w:rsidR="00EE3770" w:rsidRPr="00705577">
        <w:t>), tandis que l</w:t>
      </w:r>
      <w:r w:rsidRPr="00705577">
        <w:t xml:space="preserve">a bande </w:t>
      </w:r>
      <w:r w:rsidRPr="000F436C">
        <w:rPr>
          <w:szCs w:val="24"/>
        </w:rPr>
        <w:t>1 675</w:t>
      </w:r>
      <w:r w:rsidRPr="000F436C">
        <w:rPr>
          <w:szCs w:val="24"/>
        </w:rPr>
        <w:noBreakHyphen/>
        <w:t>1 690</w:t>
      </w:r>
      <w:r w:rsidRPr="00705577">
        <w:t xml:space="preserve"> MHz est attribuée à titre primaire au service mobile </w:t>
      </w:r>
      <w:r w:rsidR="00EE3770" w:rsidRPr="00705577">
        <w:t>(sauf mobile aéronautique)</w:t>
      </w:r>
      <w:r w:rsidRPr="00705577">
        <w:t>.</w:t>
      </w:r>
    </w:p>
    <w:p w:rsidR="001626F1" w:rsidRPr="00705577" w:rsidRDefault="001626F1" w:rsidP="003E65DF">
      <w:r w:rsidRPr="00705577">
        <w:t xml:space="preserve">La bande </w:t>
      </w:r>
      <w:r w:rsidRPr="000F436C">
        <w:rPr>
          <w:szCs w:val="24"/>
        </w:rPr>
        <w:t>1 690-1 700 MHz est attribuée à titre primaire au service des auxiliaires de la météorologie et au service MetSat (espace</w:t>
      </w:r>
      <w:r w:rsidR="00EE3770" w:rsidRPr="000F436C">
        <w:rPr>
          <w:szCs w:val="24"/>
        </w:rPr>
        <w:t xml:space="preserve"> vers </w:t>
      </w:r>
      <w:r w:rsidRPr="000F436C">
        <w:rPr>
          <w:szCs w:val="24"/>
        </w:rPr>
        <w:t xml:space="preserve">Terre). Le SETS est autorisé dans la mesure où il ne brouille pas les attributions primaires. Dans </w:t>
      </w:r>
      <w:r w:rsidR="00EE3770" w:rsidRPr="000F436C">
        <w:rPr>
          <w:szCs w:val="24"/>
        </w:rPr>
        <w:t xml:space="preserve">cinq </w:t>
      </w:r>
      <w:r w:rsidRPr="000F436C">
        <w:rPr>
          <w:szCs w:val="24"/>
        </w:rPr>
        <w:t>pays</w:t>
      </w:r>
      <w:r w:rsidR="00EE3770" w:rsidRPr="000F436C">
        <w:rPr>
          <w:szCs w:val="24"/>
        </w:rPr>
        <w:t xml:space="preserve"> des Régions 2 et 3</w:t>
      </w:r>
      <w:r w:rsidRPr="000F436C">
        <w:rPr>
          <w:szCs w:val="24"/>
        </w:rPr>
        <w:t xml:space="preserve">, </w:t>
      </w:r>
      <w:r w:rsidR="00EE3770" w:rsidRPr="000F436C">
        <w:rPr>
          <w:szCs w:val="24"/>
        </w:rPr>
        <w:t>le service</w:t>
      </w:r>
      <w:r w:rsidRPr="000F436C">
        <w:rPr>
          <w:szCs w:val="24"/>
        </w:rPr>
        <w:t xml:space="preserve"> fixe et </w:t>
      </w:r>
      <w:r w:rsidR="00EE3770" w:rsidRPr="000F436C">
        <w:rPr>
          <w:szCs w:val="24"/>
        </w:rPr>
        <w:t xml:space="preserve">le service </w:t>
      </w:r>
      <w:r w:rsidRPr="000F436C">
        <w:rPr>
          <w:szCs w:val="24"/>
        </w:rPr>
        <w:t>mobile (</w:t>
      </w:r>
      <w:r w:rsidR="00EE3770" w:rsidRPr="000F436C">
        <w:rPr>
          <w:szCs w:val="24"/>
        </w:rPr>
        <w:t>sauf mobile aéronautique</w:t>
      </w:r>
      <w:r w:rsidRPr="000F436C">
        <w:rPr>
          <w:szCs w:val="24"/>
        </w:rPr>
        <w:t>)</w:t>
      </w:r>
      <w:r w:rsidR="00EE3770" w:rsidRPr="000F436C">
        <w:rPr>
          <w:szCs w:val="24"/>
        </w:rPr>
        <w:t xml:space="preserve"> bénéficient d'une attribution à titre primaire</w:t>
      </w:r>
      <w:r w:rsidRPr="000F436C">
        <w:rPr>
          <w:szCs w:val="24"/>
        </w:rPr>
        <w:t xml:space="preserve">. Dans </w:t>
      </w:r>
      <w:r w:rsidR="007724D9" w:rsidRPr="000F436C">
        <w:rPr>
          <w:szCs w:val="24"/>
        </w:rPr>
        <w:t>la Région 1</w:t>
      </w:r>
      <w:r w:rsidRPr="000F436C">
        <w:rPr>
          <w:szCs w:val="24"/>
        </w:rPr>
        <w:t xml:space="preserve">, </w:t>
      </w:r>
      <w:r w:rsidR="007724D9" w:rsidRPr="000F436C">
        <w:rPr>
          <w:szCs w:val="24"/>
        </w:rPr>
        <w:t>la bande est attribuée au service</w:t>
      </w:r>
      <w:r w:rsidRPr="000F436C">
        <w:rPr>
          <w:szCs w:val="24"/>
        </w:rPr>
        <w:t xml:space="preserve"> fixe et </w:t>
      </w:r>
      <w:r w:rsidR="007724D9" w:rsidRPr="000F436C">
        <w:rPr>
          <w:szCs w:val="24"/>
        </w:rPr>
        <w:t xml:space="preserve">au service </w:t>
      </w:r>
      <w:r w:rsidRPr="000F436C">
        <w:rPr>
          <w:szCs w:val="24"/>
        </w:rPr>
        <w:t>mobile (</w:t>
      </w:r>
      <w:r w:rsidR="007724D9" w:rsidRPr="000F436C">
        <w:rPr>
          <w:szCs w:val="24"/>
        </w:rPr>
        <w:t xml:space="preserve">sauf </w:t>
      </w:r>
      <w:r w:rsidRPr="000F436C">
        <w:rPr>
          <w:szCs w:val="24"/>
        </w:rPr>
        <w:t>mobile</w:t>
      </w:r>
      <w:r w:rsidRPr="00705577">
        <w:t xml:space="preserve"> aéronautique) </w:t>
      </w:r>
      <w:r w:rsidR="007724D9" w:rsidRPr="00705577">
        <w:t xml:space="preserve">à titre </w:t>
      </w:r>
      <w:r w:rsidRPr="00705577">
        <w:t>secondaire</w:t>
      </w:r>
      <w:r w:rsidR="00CA7881" w:rsidRPr="00705577">
        <w:t>,</w:t>
      </w:r>
      <w:r w:rsidR="007724D9" w:rsidRPr="00705577">
        <w:t xml:space="preserve"> mais, dans plusieurs pays, ces attributions sont faites à titre primaire</w:t>
      </w:r>
      <w:r w:rsidRPr="00705577">
        <w:t xml:space="preserve">. </w:t>
      </w:r>
    </w:p>
    <w:p w:rsidR="001626F1" w:rsidRPr="00705577" w:rsidRDefault="001626F1" w:rsidP="003E65DF">
      <w:r w:rsidRPr="000F436C">
        <w:rPr>
          <w:szCs w:val="24"/>
        </w:rPr>
        <w:t>La bande 1 700-1 710 MHz est attribuée</w:t>
      </w:r>
      <w:r w:rsidRPr="00705577">
        <w:t xml:space="preserve"> à titre primaire au service fixe, au service mobile </w:t>
      </w:r>
      <w:r w:rsidR="007724D9" w:rsidRPr="00705577">
        <w:t xml:space="preserve">(sauf mobile aéronautique) </w:t>
      </w:r>
      <w:r w:rsidRPr="00705577">
        <w:t>et au service MetSat (</w:t>
      </w:r>
      <w:r w:rsidR="007724D9" w:rsidRPr="00705577">
        <w:t>espace vers Terre</w:t>
      </w:r>
      <w:r w:rsidRPr="00705577">
        <w:t>). Le SETS est autorisé dans la mesure où il ne brouille pas les attributions primaires. Dans la Région 3, le service de recherche spatiale (espace</w:t>
      </w:r>
      <w:r w:rsidR="007724D9" w:rsidRPr="00705577">
        <w:t xml:space="preserve"> vers </w:t>
      </w:r>
      <w:r w:rsidRPr="00705577">
        <w:t xml:space="preserve">Terre) bénéficie d'une attribution à titre primaire dans </w:t>
      </w:r>
      <w:r w:rsidR="007724D9" w:rsidRPr="00705577">
        <w:t xml:space="preserve">trois </w:t>
      </w:r>
      <w:r w:rsidRPr="00705577">
        <w:t xml:space="preserve">pays. </w:t>
      </w:r>
    </w:p>
    <w:p w:rsidR="001626F1" w:rsidRPr="00705577" w:rsidRDefault="001626F1" w:rsidP="003E65DF">
      <w:r w:rsidRPr="00705577">
        <w:lastRenderedPageBreak/>
        <w:t>Les systèmes espace</w:t>
      </w:r>
      <w:r w:rsidR="007724D9" w:rsidRPr="00705577">
        <w:t xml:space="preserve"> vers </w:t>
      </w:r>
      <w:r w:rsidRPr="00705577">
        <w:t xml:space="preserve">Terre utilisés dans la bande </w:t>
      </w:r>
      <w:r w:rsidRPr="000F436C">
        <w:rPr>
          <w:szCs w:val="24"/>
        </w:rPr>
        <w:t>1 670-1 675</w:t>
      </w:r>
      <w:r w:rsidRPr="00705577">
        <w:t xml:space="preserve"> MHz pourront être appelés à limiter leurs émissions afin d'assurer la protection du service de radioastronomie exploité dans la bande adjacente; ainsi, les stations de Terre seraient à l'origine de l'essentiel du brouillage. Au-dessus de </w:t>
      </w:r>
      <w:r w:rsidRPr="00D47018">
        <w:rPr>
          <w:szCs w:val="24"/>
        </w:rPr>
        <w:t>1</w:t>
      </w:r>
      <w:r w:rsidRPr="00D47018">
        <w:rPr>
          <w:rFonts w:ascii="Tms Rmn" w:hAnsi="Tms Rmn"/>
          <w:szCs w:val="24"/>
        </w:rPr>
        <w:t> </w:t>
      </w:r>
      <w:r w:rsidRPr="00D47018">
        <w:rPr>
          <w:szCs w:val="24"/>
        </w:rPr>
        <w:t>675</w:t>
      </w:r>
      <w:r w:rsidRPr="00705577">
        <w:t xml:space="preserve"> MHz, on s'attend qu'un plus grand nombre de stations spatiales seront exploitées, qui seront à l'origine de niveaux de brouillage à long terme analogues à ceux qui sont imputables aux systèmes de Terre, et de niveaux de brouillage supérieurs à court terme (en raison des variations temporelles du gain d'antenne de la station terrienne du service MetSat en direction des satellites brouilleurs). On s'attend à ce que les stations terriennes mobiles contribuent pour une part substantielle aux brouillages acheminés par les trajets de Terre, mais une différenciation de la répartition des signaux brouilleurs acheminés par des trajets de Terre dans la Région 2 n'est pas justifiée pour autant, puisqu'il est peu probable que les stations de Terre et les stations terriennes mobiles utilisent les mêmes fréquences dans la même région. La Recommandation UIT-R SA.1158 fournit des informations plus détaillées sur ce point.</w:t>
      </w:r>
    </w:p>
    <w:p w:rsidR="001626F1" w:rsidRPr="001B05EE" w:rsidRDefault="00DE7D9C" w:rsidP="001B05EE">
      <w:pPr>
        <w:pStyle w:val="Heading1"/>
      </w:pPr>
      <w:r w:rsidRPr="001B05EE">
        <w:t>3</w:t>
      </w:r>
      <w:r w:rsidRPr="001B05EE">
        <w:tab/>
      </w:r>
      <w:r w:rsidR="007724D9" w:rsidRPr="001B05EE">
        <w:t xml:space="preserve">Bande </w:t>
      </w:r>
      <w:r w:rsidRPr="001B05EE">
        <w:t>25</w:t>
      </w:r>
      <w:r w:rsidR="007724D9" w:rsidRPr="001B05EE">
        <w:t>,</w:t>
      </w:r>
      <w:r w:rsidRPr="001B05EE">
        <w:t xml:space="preserve">5-27 GHz </w:t>
      </w:r>
    </w:p>
    <w:p w:rsidR="00DE7D9C" w:rsidRPr="00705577" w:rsidRDefault="00DE7D9C" w:rsidP="003E65DF">
      <w:r w:rsidRPr="00705577">
        <w:t>La bande 25,5-27,0 GHz est attribuée aux services d'exploration de la Terre par satellite</w:t>
      </w:r>
      <w:r w:rsidR="007724D9" w:rsidRPr="00705577">
        <w:t xml:space="preserve"> et</w:t>
      </w:r>
      <w:r w:rsidRPr="00705577">
        <w:t xml:space="preserve"> de recherche spatiale (espace vers Terre)</w:t>
      </w:r>
      <w:r w:rsidR="007724D9" w:rsidRPr="00705577">
        <w:t>,</w:t>
      </w:r>
      <w:r w:rsidRPr="00705577">
        <w:t xml:space="preserve"> fixe, mobile et intersatellites</w:t>
      </w:r>
      <w:r w:rsidR="007724D9" w:rsidRPr="00705577">
        <w:t xml:space="preserve"> à titre primaire</w:t>
      </w:r>
      <w:r w:rsidRPr="00705577">
        <w:t xml:space="preserve">. Les sources potentielles de brouillage sur les trajets </w:t>
      </w:r>
      <w:r w:rsidR="007724D9" w:rsidRPr="00705577">
        <w:t>espace vers Terre</w:t>
      </w:r>
      <w:r w:rsidRPr="00705577">
        <w:t xml:space="preserve"> du service d'exploration de la Terre par satellite sont d'autres satellites de systèmes du service d'exploration de la Terre par satellite, des satellites du service intersatellites et des systèmes mobiles et fixes de Terre. </w:t>
      </w:r>
      <w:r w:rsidR="00325172" w:rsidRPr="00705577">
        <w:t xml:space="preserve">On suppose que, en raison du déplacement constant des satellites non géostationnaires </w:t>
      </w:r>
      <w:r w:rsidR="00DC0466" w:rsidRPr="00705577">
        <w:t xml:space="preserve">ou </w:t>
      </w:r>
      <w:r w:rsidR="00325172" w:rsidRPr="00705577">
        <w:t xml:space="preserve">du fait que les satellites géostationnaires sont exploités sur la base d'une coordination, les signaux émis par les satellites du service d'exploration de la Terre par satellite et du service intersatellites ne causeront aucun brouillage à long terme sur les trajets espace vers Terre du service d'exploration de la Terre par satellite. </w:t>
      </w:r>
      <w:r w:rsidR="00DC0466" w:rsidRPr="00705577">
        <w:t>Les brouillages à long terme causés aux s</w:t>
      </w:r>
      <w:r w:rsidR="00CA7881" w:rsidRPr="00705577">
        <w:t>a</w:t>
      </w:r>
      <w:r w:rsidR="00DC0466" w:rsidRPr="00705577">
        <w:t>tellites géostationnaires du SETS devraient provenir essentiellement des trajets de Terre</w:t>
      </w:r>
      <w:r w:rsidRPr="00705577">
        <w:t>.</w:t>
      </w:r>
    </w:p>
    <w:p w:rsidR="00DE7D9C" w:rsidRPr="00705577" w:rsidRDefault="00DE7D9C" w:rsidP="003E65DF">
      <w:r w:rsidRPr="00705577">
        <w:t xml:space="preserve">A court terme, il peut y avoir des brouillages sur les trajets </w:t>
      </w:r>
      <w:r w:rsidR="007724D9" w:rsidRPr="00705577">
        <w:t>espace vers Terre</w:t>
      </w:r>
      <w:r w:rsidRPr="00705577">
        <w:t xml:space="preserve"> entre systèmes à satellites du service d'exploration de la Terre par satellite et du service intersatellites, même si les brouillages sur les trajets des signaux de Terre s</w:t>
      </w:r>
      <w:r w:rsidR="00CA7881" w:rsidRPr="00705577">
        <w:t>er</w:t>
      </w:r>
      <w:r w:rsidRPr="00705577">
        <w:t>ont prédominants.</w:t>
      </w:r>
    </w:p>
    <w:p w:rsidR="00DE7D9C" w:rsidRDefault="00DE7D9C" w:rsidP="00164AE2"/>
    <w:p w:rsidR="00164AE2" w:rsidRPr="00705577" w:rsidRDefault="00164AE2" w:rsidP="00164AE2">
      <w:pPr>
        <w:pStyle w:val="Line"/>
      </w:pPr>
    </w:p>
    <w:sectPr w:rsidR="00164AE2" w:rsidRPr="00705577" w:rsidSect="00943D5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98C" w:rsidRDefault="00DB298C">
      <w:r>
        <w:separator/>
      </w:r>
    </w:p>
  </w:endnote>
  <w:endnote w:type="continuationSeparator" w:id="0">
    <w:p w:rsidR="00DB298C" w:rsidRDefault="00DB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98C" w:rsidRDefault="00DB298C">
      <w:r>
        <w:separator/>
      </w:r>
    </w:p>
  </w:footnote>
  <w:footnote w:type="continuationSeparator" w:id="0">
    <w:p w:rsidR="00DB298C" w:rsidRDefault="00DB2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Default="00DB29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Default="00DB298C" w:rsidP="001626F1">
    <w:pPr>
      <w:pStyle w:val="Header"/>
      <w:ind w:right="360" w:firstLine="360"/>
    </w:pPr>
    <w:r>
      <w:rPr>
        <w:noProof/>
        <w:lang w:val="en-US" w:eastAsia="zh-CN"/>
      </w:rPr>
      <w:drawing>
        <wp:anchor distT="0" distB="0" distL="114300" distR="114300" simplePos="0" relativeHeight="251659264" behindDoc="1" locked="0" layoutInCell="1" allowOverlap="1" wp14:anchorId="6F687076" wp14:editId="14AF46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Pr="00837CB5" w:rsidRDefault="00DB29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824DD">
      <w:rPr>
        <w:rStyle w:val="PageNumber"/>
        <w:b/>
        <w:bCs/>
        <w:noProof/>
      </w:rPr>
      <w:t>ii</w:t>
    </w:r>
    <w:r>
      <w:rPr>
        <w:rStyle w:val="PageNumber"/>
        <w:b/>
        <w:bCs/>
      </w:rPr>
      <w:fldChar w:fldCharType="end"/>
    </w:r>
    <w:r w:rsidRPr="00837CB5">
      <w:tab/>
    </w:r>
    <w:r w:rsidR="00B0718A">
      <w:fldChar w:fldCharType="begin"/>
    </w:r>
    <w:r w:rsidR="00B0718A">
      <w:instrText xml:space="preserve"> DOCPROPERTY "Header" \* MERGEFORMAT </w:instrText>
    </w:r>
    <w:r w:rsidR="00B0718A">
      <w:fldChar w:fldCharType="separate"/>
    </w:r>
    <w:r w:rsidR="00B0718A" w:rsidRPr="00B0718A">
      <w:rPr>
        <w:b/>
        <w:bCs/>
      </w:rPr>
      <w:t xml:space="preserve">Rec. </w:t>
    </w:r>
    <w:r w:rsidR="00B0718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0718A">
      <w:rPr>
        <w:b/>
        <w:bCs/>
        <w:noProof/>
      </w:rPr>
      <w:t>UIT-R  SA.1161-2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Default="00DB298C">
    <w:pPr>
      <w:pStyle w:val="Header"/>
    </w:pPr>
    <w:r>
      <w:tab/>
    </w:r>
    <w:r w:rsidR="00B0718A">
      <w:fldChar w:fldCharType="begin"/>
    </w:r>
    <w:r w:rsidR="00B0718A">
      <w:instrText xml:space="preserve"> DOCPROPERTY "Header" \* MERGEFORMAT </w:instrText>
    </w:r>
    <w:r w:rsidR="00B0718A">
      <w:fldChar w:fldCharType="separate"/>
    </w:r>
    <w:r w:rsidR="00B0718A" w:rsidRPr="00B0718A">
      <w:rPr>
        <w:b/>
        <w:bCs/>
      </w:rPr>
      <w:t xml:space="preserve">Rec. </w:t>
    </w:r>
    <w:r w:rsidR="00B0718A">
      <w:rPr>
        <w:b/>
        <w:bCs/>
      </w:rPr>
      <w:fldChar w:fldCharType="end"/>
    </w:r>
    <w:r>
      <w:rPr>
        <w:b/>
        <w:bCs/>
      </w:rPr>
      <w:t xml:space="preserve"> </w:t>
    </w:r>
    <w:r>
      <w:rPr>
        <w:b/>
        <w:bCs/>
      </w:rPr>
      <w:fldChar w:fldCharType="begin"/>
    </w:r>
    <w:r>
      <w:rPr>
        <w:b/>
        <w:bCs/>
      </w:rPr>
      <w:instrText>styleref href</w:instrText>
    </w:r>
    <w:r>
      <w:rPr>
        <w:b/>
        <w:bCs/>
      </w:rPr>
      <w:fldChar w:fldCharType="separate"/>
    </w:r>
    <w:r w:rsidR="00B0718A">
      <w:rPr>
        <w:b/>
        <w:bCs/>
        <w:noProof/>
      </w:rPr>
      <w:t>UIT-R  SA.1161-2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Default="00DB29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718A">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0718A" w:rsidRPr="00B0718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718A">
      <w:rPr>
        <w:b/>
        <w:bCs/>
        <w:noProof/>
      </w:rPr>
      <w:t>UIT-R  SA.1161-2</w:t>
    </w:r>
    <w:r>
      <w:rPr>
        <w:b/>
        <w:bCs/>
      </w:rPr>
      <w:fldChar w:fldCharType="end"/>
    </w:r>
  </w:p>
  <w:p w:rsidR="00DB298C" w:rsidRDefault="00DB29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98C" w:rsidRDefault="00DB298C">
    <w:pPr>
      <w:pStyle w:val="Header"/>
    </w:pPr>
    <w:r>
      <w:tab/>
    </w:r>
    <w:r>
      <w:fldChar w:fldCharType="begin"/>
    </w:r>
    <w:r w:rsidRPr="0059671E">
      <w:rPr>
        <w:lang w:val="en-US"/>
      </w:rPr>
      <w:instrText xml:space="preserve"> DOCPROPERTY "Header" \* MERGEFORMAT </w:instrText>
    </w:r>
    <w:r>
      <w:fldChar w:fldCharType="separate"/>
    </w:r>
    <w:r w:rsidR="00B0718A" w:rsidRPr="00B0718A">
      <w:rPr>
        <w:b/>
        <w:bCs/>
        <w:lang w:val="en-US"/>
      </w:rPr>
      <w:t xml:space="preserve">Rec. </w:t>
    </w:r>
    <w:r>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B0718A">
      <w:rPr>
        <w:b/>
        <w:bCs/>
        <w:noProof/>
      </w:rPr>
      <w:t>UIT-R  SA.1161-2</w:t>
    </w:r>
    <w:r>
      <w:rPr>
        <w:b/>
        <w:bCs/>
      </w:rPr>
      <w:fldChar w:fldCharType="end"/>
    </w:r>
    <w:r w:rsidRPr="0059671E">
      <w:rPr>
        <w:lang w:val="en-US"/>
      </w:rPr>
      <w:tab/>
    </w:r>
    <w:r>
      <w:rPr>
        <w:rStyle w:val="PageNumber"/>
        <w:b/>
        <w:bCs/>
      </w:rPr>
      <w:fldChar w:fldCharType="begin"/>
    </w:r>
    <w:r w:rsidRPr="0059671E">
      <w:rPr>
        <w:rStyle w:val="PageNumber"/>
        <w:b/>
        <w:bCs/>
        <w:lang w:val="en-US"/>
      </w:rPr>
      <w:instrText xml:space="preserve"> PAGE </w:instrText>
    </w:r>
    <w:r>
      <w:rPr>
        <w:rStyle w:val="PageNumber"/>
        <w:b/>
        <w:bCs/>
      </w:rPr>
      <w:fldChar w:fldCharType="separate"/>
    </w:r>
    <w:r w:rsidR="00B0718A">
      <w:rPr>
        <w:rStyle w:val="PageNumber"/>
        <w:b/>
        <w:bCs/>
        <w:noProof/>
        <w:lang w:val="en-US"/>
      </w:rPr>
      <w:t>5</w:t>
    </w:r>
    <w:r>
      <w:rPr>
        <w:rStyle w:val="PageNumber"/>
        <w:b/>
        <w:bCs/>
      </w:rPr>
      <w:fldChar w:fldCharType="end"/>
    </w:r>
  </w:p>
  <w:p w:rsidR="00DB298C" w:rsidRDefault="00DB298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4A"/>
    <w:rsid w:val="00012DC9"/>
    <w:rsid w:val="000D0FD0"/>
    <w:rsid w:val="000F436C"/>
    <w:rsid w:val="00133A41"/>
    <w:rsid w:val="0015778A"/>
    <w:rsid w:val="001626F1"/>
    <w:rsid w:val="00164AE2"/>
    <w:rsid w:val="001B05EE"/>
    <w:rsid w:val="001C28B2"/>
    <w:rsid w:val="00217EBF"/>
    <w:rsid w:val="00242AEE"/>
    <w:rsid w:val="002574D4"/>
    <w:rsid w:val="002D76C4"/>
    <w:rsid w:val="00306D21"/>
    <w:rsid w:val="00325172"/>
    <w:rsid w:val="0034314A"/>
    <w:rsid w:val="003E65DF"/>
    <w:rsid w:val="003F0B93"/>
    <w:rsid w:val="004523A5"/>
    <w:rsid w:val="004824DD"/>
    <w:rsid w:val="004D4BB6"/>
    <w:rsid w:val="004D7844"/>
    <w:rsid w:val="00506ECA"/>
    <w:rsid w:val="0052529D"/>
    <w:rsid w:val="005339D5"/>
    <w:rsid w:val="00591689"/>
    <w:rsid w:val="0059671E"/>
    <w:rsid w:val="00607D68"/>
    <w:rsid w:val="00627620"/>
    <w:rsid w:val="00705577"/>
    <w:rsid w:val="00736C42"/>
    <w:rsid w:val="007468DA"/>
    <w:rsid w:val="007724D9"/>
    <w:rsid w:val="00817EF8"/>
    <w:rsid w:val="008F60A1"/>
    <w:rsid w:val="00914A4B"/>
    <w:rsid w:val="00943D54"/>
    <w:rsid w:val="009E00A8"/>
    <w:rsid w:val="00A10030"/>
    <w:rsid w:val="00A6617B"/>
    <w:rsid w:val="00A66C31"/>
    <w:rsid w:val="00A862DA"/>
    <w:rsid w:val="00AA6706"/>
    <w:rsid w:val="00AB0DC8"/>
    <w:rsid w:val="00B03141"/>
    <w:rsid w:val="00B0718A"/>
    <w:rsid w:val="00B44E24"/>
    <w:rsid w:val="00B60D72"/>
    <w:rsid w:val="00C03908"/>
    <w:rsid w:val="00C05BE3"/>
    <w:rsid w:val="00CA7881"/>
    <w:rsid w:val="00CE1FBA"/>
    <w:rsid w:val="00D03501"/>
    <w:rsid w:val="00D47018"/>
    <w:rsid w:val="00DB298C"/>
    <w:rsid w:val="00DB5FA1"/>
    <w:rsid w:val="00DC0466"/>
    <w:rsid w:val="00DE7D9C"/>
    <w:rsid w:val="00DF4176"/>
    <w:rsid w:val="00EE3770"/>
    <w:rsid w:val="00EE5923"/>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EDB917-D65C-4E82-BF02-11D10F5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A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64AE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626F1"/>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671E"/>
    <w:rPr>
      <w:color w:val="0000FF"/>
      <w:u w:val="single"/>
    </w:rPr>
  </w:style>
  <w:style w:type="character" w:customStyle="1" w:styleId="FootnoteTextChar">
    <w:name w:val="Footnote Text Char"/>
    <w:basedOn w:val="DefaultParagraphFont"/>
    <w:link w:val="FootnoteText"/>
    <w:rsid w:val="0059671E"/>
    <w:rPr>
      <w:sz w:val="22"/>
      <w:lang w:val="fr-FR" w:eastAsia="en-US"/>
    </w:rPr>
  </w:style>
  <w:style w:type="paragraph" w:customStyle="1" w:styleId="TableLegend0">
    <w:name w:val="Table_Legend"/>
    <w:basedOn w:val="Normal"/>
    <w:next w:val="Normal"/>
    <w:rsid w:val="001626F1"/>
    <w:pPr>
      <w:keepNext/>
      <w:spacing w:before="86" w:line="199" w:lineRule="exact"/>
      <w:ind w:left="-85" w:right="-85"/>
    </w:pPr>
    <w:rPr>
      <w:sz w:val="18"/>
      <w:lang w:val="en-GB"/>
    </w:rPr>
  </w:style>
  <w:style w:type="paragraph" w:customStyle="1" w:styleId="TableTitle0">
    <w:name w:val="Table_Title"/>
    <w:basedOn w:val="Table"/>
    <w:next w:val="Blanc"/>
    <w:rsid w:val="001626F1"/>
    <w:pPr>
      <w:spacing w:before="0"/>
    </w:pPr>
    <w:rPr>
      <w:b/>
    </w:rPr>
  </w:style>
  <w:style w:type="paragraph" w:customStyle="1" w:styleId="Table">
    <w:name w:val="Table_#"/>
    <w:basedOn w:val="Normal"/>
    <w:next w:val="TableTitle0"/>
    <w:rsid w:val="001626F1"/>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1626F1"/>
    <w:pPr>
      <w:spacing w:before="100" w:after="100" w:line="190" w:lineRule="exact"/>
      <w:ind w:left="0" w:right="0"/>
    </w:pPr>
  </w:style>
  <w:style w:type="paragraph" w:customStyle="1" w:styleId="Annex">
    <w:name w:val="Annex_#"/>
    <w:basedOn w:val="Normal"/>
    <w:next w:val="Annexref"/>
    <w:rsid w:val="001626F1"/>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1626F1"/>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call0">
    <w:name w:val="call"/>
    <w:basedOn w:val="Normal"/>
    <w:next w:val="Normal"/>
    <w:rsid w:val="001626F1"/>
    <w:pPr>
      <w:keepNext/>
      <w:keepLines/>
      <w:tabs>
        <w:tab w:val="clear" w:pos="1191"/>
        <w:tab w:val="clear" w:pos="1588"/>
        <w:tab w:val="clear" w:pos="1985"/>
      </w:tabs>
      <w:spacing w:before="227"/>
      <w:ind w:left="794"/>
      <w:jc w:val="left"/>
    </w:pPr>
    <w:rPr>
      <w:i/>
      <w:sz w:val="20"/>
      <w:lang w:val="en-GB"/>
    </w:rPr>
  </w:style>
  <w:style w:type="paragraph" w:customStyle="1" w:styleId="Reasons">
    <w:name w:val="Reasons"/>
    <w:basedOn w:val="Normal"/>
    <w:qFormat/>
    <w:rsid w:val="00DE7D9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CBFB1-60CF-4BA1-8F1E-B881A392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1</Pages>
  <Words>2447</Words>
  <Characters>13620</Characters>
  <Application>Microsoft Office Word</Application>
  <DocSecurity>0</DocSecurity>
  <Lines>756</Lines>
  <Paragraphs>189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27</cp:revision>
  <cp:lastPrinted>2018-04-23T08:18:00Z</cp:lastPrinted>
  <dcterms:created xsi:type="dcterms:W3CDTF">2018-04-20T16:48:00Z</dcterms:created>
  <dcterms:modified xsi:type="dcterms:W3CDTF">2018-04-23T08:20:00Z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