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7C1" w:rsidRDefault="001F67C1" w:rsidP="001F67C1">
      <w:bookmarkStart w:id="0" w:name="_GoBack"/>
      <w:bookmarkEnd w:id="0"/>
    </w:p>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p w:rsidR="001F67C1" w:rsidRDefault="001F67C1" w:rsidP="001F67C1"/>
    <w:tbl>
      <w:tblPr>
        <w:tblW w:w="10089" w:type="dxa"/>
        <w:tblLook w:val="01E0" w:firstRow="1" w:lastRow="1" w:firstColumn="1" w:lastColumn="1" w:noHBand="0" w:noVBand="0"/>
      </w:tblPr>
      <w:tblGrid>
        <w:gridCol w:w="10089"/>
      </w:tblGrid>
      <w:tr w:rsidR="001F67C1" w:rsidTr="008E3C29">
        <w:tc>
          <w:tcPr>
            <w:tcW w:w="10089" w:type="dxa"/>
          </w:tcPr>
          <w:p w:rsidR="001F67C1" w:rsidRPr="001511A6" w:rsidRDefault="001F67C1" w:rsidP="008E3C29">
            <w:pPr>
              <w:spacing w:before="380" w:line="280" w:lineRule="exact"/>
              <w:jc w:val="right"/>
              <w:rPr>
                <w:rFonts w:ascii="Tahoma" w:hAnsi="Tahoma" w:cs="Tahoma"/>
                <w:b/>
                <w:bCs/>
                <w:iCs/>
                <w:color w:val="243285"/>
                <w:sz w:val="32"/>
                <w:szCs w:val="32"/>
                <w:lang w:val="en-US"/>
              </w:rPr>
            </w:pPr>
          </w:p>
          <w:p w:rsidR="001F67C1" w:rsidRPr="0081070A" w:rsidRDefault="001F67C1" w:rsidP="001F67C1">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1161-2</w:t>
            </w:r>
          </w:p>
          <w:p w:rsidR="001F67C1" w:rsidRPr="0081070A" w:rsidRDefault="001F67C1" w:rsidP="0058029E">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0</w:t>
            </w:r>
            <w:r w:rsidR="0058029E">
              <w:rPr>
                <w:rFonts w:ascii="Tahoma" w:hAnsi="Tahoma" w:cs="Tahoma"/>
                <w:b/>
                <w:bCs/>
                <w:iCs/>
                <w:color w:val="243285"/>
                <w:szCs w:val="24"/>
                <w:lang w:val="fr-CH"/>
              </w:rPr>
              <w:t>9</w:t>
            </w:r>
            <w:r w:rsidRPr="00FB15D4">
              <w:rPr>
                <w:rFonts w:ascii="Tahoma" w:hAnsi="Tahoma" w:cs="Tahoma"/>
                <w:b/>
                <w:bCs/>
                <w:iCs/>
                <w:color w:val="243285"/>
                <w:szCs w:val="24"/>
                <w:lang w:val="fr-CH"/>
              </w:rPr>
              <w:t>/</w:t>
            </w:r>
            <w:r>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1F67C1" w:rsidRPr="0058029E" w:rsidTr="008E3C29">
        <w:tc>
          <w:tcPr>
            <w:tcW w:w="10089" w:type="dxa"/>
          </w:tcPr>
          <w:p w:rsidR="001F67C1" w:rsidRPr="001351D5" w:rsidRDefault="001351D5" w:rsidP="001351D5">
            <w:pPr>
              <w:spacing w:before="80" w:line="500" w:lineRule="exact"/>
              <w:jc w:val="right"/>
              <w:rPr>
                <w:rFonts w:ascii="Tahoma" w:hAnsi="Tahoma" w:cs="Tahoma"/>
                <w:b/>
                <w:bCs/>
                <w:iCs/>
                <w:color w:val="243285"/>
                <w:sz w:val="44"/>
                <w:szCs w:val="44"/>
                <w:lang w:val="en-GB"/>
              </w:rPr>
            </w:pPr>
            <w:r w:rsidRPr="001351D5">
              <w:rPr>
                <w:rFonts w:ascii="Tahoma" w:hAnsi="Tahoma" w:cs="Tahoma"/>
                <w:b/>
                <w:bCs/>
                <w:iCs/>
                <w:color w:val="243285"/>
                <w:sz w:val="44"/>
                <w:szCs w:val="44"/>
                <w:lang w:val="en-GB"/>
              </w:rPr>
              <w:t>Sharing and coordination criteria for data transmission systems in the Earth exploration-satellite and meteorological-satellite services using satellites in geostationary orbit</w:t>
            </w:r>
          </w:p>
          <w:p w:rsidR="001F67C1" w:rsidRPr="001351D5" w:rsidRDefault="001F67C1" w:rsidP="008E3C29">
            <w:pPr>
              <w:spacing w:before="80" w:line="500" w:lineRule="exact"/>
              <w:jc w:val="right"/>
              <w:rPr>
                <w:rFonts w:ascii="Tahoma" w:hAnsi="Tahoma" w:cs="Tahoma"/>
                <w:b/>
                <w:bCs/>
                <w:iCs/>
                <w:color w:val="243285"/>
                <w:sz w:val="40"/>
                <w:szCs w:val="40"/>
                <w:lang w:val="en-GB"/>
              </w:rPr>
            </w:pPr>
          </w:p>
        </w:tc>
      </w:tr>
      <w:tr w:rsidR="001F67C1" w:rsidTr="008E3C29">
        <w:tc>
          <w:tcPr>
            <w:tcW w:w="10089" w:type="dxa"/>
          </w:tcPr>
          <w:p w:rsidR="001F67C1" w:rsidRPr="001351D5" w:rsidRDefault="001F67C1" w:rsidP="008E3C29">
            <w:pPr>
              <w:spacing w:before="80" w:line="280" w:lineRule="exact"/>
              <w:ind w:right="640"/>
              <w:rPr>
                <w:rFonts w:ascii="Tahoma" w:hAnsi="Tahoma" w:cs="Tahoma"/>
                <w:b/>
                <w:bCs/>
                <w:iCs/>
                <w:color w:val="243285"/>
                <w:sz w:val="32"/>
                <w:szCs w:val="32"/>
                <w:lang w:val="en-GB"/>
              </w:rPr>
            </w:pPr>
          </w:p>
          <w:p w:rsidR="001F67C1" w:rsidRPr="001351D5" w:rsidRDefault="001F67C1" w:rsidP="008E3C29">
            <w:pPr>
              <w:spacing w:before="80" w:line="280" w:lineRule="exact"/>
              <w:ind w:right="640"/>
              <w:rPr>
                <w:rFonts w:ascii="Tahoma" w:hAnsi="Tahoma" w:cs="Tahoma"/>
                <w:b/>
                <w:bCs/>
                <w:iCs/>
                <w:color w:val="243285"/>
                <w:sz w:val="32"/>
                <w:szCs w:val="32"/>
                <w:lang w:val="en-GB"/>
              </w:rPr>
            </w:pPr>
          </w:p>
          <w:p w:rsidR="001F67C1" w:rsidRPr="001351D5" w:rsidRDefault="001F67C1" w:rsidP="008E3C29">
            <w:pPr>
              <w:spacing w:before="80" w:after="180" w:line="360" w:lineRule="exact"/>
              <w:ind w:right="720"/>
              <w:rPr>
                <w:rFonts w:ascii="Tahoma" w:hAnsi="Tahoma" w:cs="Tahoma"/>
                <w:b/>
                <w:bCs/>
                <w:iCs/>
                <w:color w:val="243285"/>
                <w:sz w:val="36"/>
                <w:szCs w:val="36"/>
                <w:lang w:val="en-GB"/>
              </w:rPr>
            </w:pPr>
          </w:p>
          <w:p w:rsidR="001F67C1" w:rsidRPr="001511A6" w:rsidRDefault="001F67C1"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1F67C1" w:rsidRPr="001511A6" w:rsidRDefault="001F67C1"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1F67C1" w:rsidRPr="001511A6" w:rsidRDefault="001F67C1" w:rsidP="008E3C29">
            <w:pPr>
              <w:spacing w:before="80" w:line="360" w:lineRule="exact"/>
              <w:jc w:val="right"/>
              <w:rPr>
                <w:rFonts w:ascii="Tahoma" w:hAnsi="Tahoma" w:cs="Tahoma"/>
                <w:b/>
                <w:bCs/>
                <w:iCs/>
                <w:color w:val="243285"/>
                <w:sz w:val="32"/>
                <w:szCs w:val="32"/>
                <w:lang w:val="en-US"/>
              </w:rPr>
            </w:pPr>
          </w:p>
        </w:tc>
      </w:tr>
    </w:tbl>
    <w:p w:rsidR="001F67C1" w:rsidRDefault="001F67C1" w:rsidP="001F67C1">
      <w:pPr>
        <w:spacing w:before="80"/>
        <w:rPr>
          <w:i/>
          <w:sz w:val="22"/>
          <w:lang w:val="en-US"/>
        </w:rPr>
      </w:pPr>
    </w:p>
    <w:p w:rsidR="001F67C1" w:rsidRDefault="001F67C1" w:rsidP="001F67C1">
      <w:pPr>
        <w:spacing w:before="80"/>
        <w:rPr>
          <w:i/>
          <w:sz w:val="22"/>
          <w:lang w:val="en-US"/>
        </w:rPr>
      </w:pPr>
    </w:p>
    <w:p w:rsidR="001F67C1" w:rsidRDefault="001F67C1" w:rsidP="001F67C1">
      <w:pPr>
        <w:spacing w:before="80"/>
        <w:rPr>
          <w:i/>
          <w:sz w:val="22"/>
          <w:lang w:val="en-US"/>
        </w:rPr>
      </w:pPr>
    </w:p>
    <w:p w:rsidR="001F67C1" w:rsidRDefault="001F67C1" w:rsidP="001F67C1">
      <w:pPr>
        <w:spacing w:before="80"/>
        <w:rPr>
          <w:i/>
          <w:sz w:val="22"/>
          <w:lang w:val="en-US"/>
        </w:rPr>
      </w:pPr>
    </w:p>
    <w:p w:rsidR="001F67C1" w:rsidRDefault="001F67C1" w:rsidP="001F67C1">
      <w:pPr>
        <w:spacing w:before="80"/>
        <w:rPr>
          <w:i/>
          <w:sz w:val="22"/>
          <w:lang w:val="en-US"/>
        </w:rPr>
      </w:pPr>
    </w:p>
    <w:p w:rsidR="001F67C1" w:rsidRDefault="001F67C1" w:rsidP="001F67C1">
      <w:pPr>
        <w:spacing w:before="80"/>
        <w:rPr>
          <w:i/>
          <w:sz w:val="22"/>
          <w:lang w:val="en-US"/>
        </w:rPr>
      </w:pPr>
    </w:p>
    <w:p w:rsidR="001F67C1" w:rsidRDefault="001F67C1" w:rsidP="001F67C1">
      <w:pPr>
        <w:pStyle w:val="Equation"/>
        <w:tabs>
          <w:tab w:val="clear" w:pos="4820"/>
          <w:tab w:val="clear" w:pos="9639"/>
          <w:tab w:val="left" w:pos="1191"/>
          <w:tab w:val="left" w:pos="1588"/>
          <w:tab w:val="left" w:pos="1985"/>
        </w:tabs>
        <w:rPr>
          <w:rFonts w:ascii="Palatino Linotype" w:hAnsi="Palatino Linotype"/>
          <w:lang w:val="en-US"/>
        </w:rPr>
        <w:sectPr w:rsidR="001F67C1">
          <w:headerReference w:type="even" r:id="rId6"/>
          <w:headerReference w:type="default" r:id="rId7"/>
          <w:pgSz w:w="11907" w:h="16840" w:code="9"/>
          <w:pgMar w:top="1089" w:right="1089" w:bottom="284" w:left="1089" w:header="567" w:footer="284" w:gutter="0"/>
          <w:pgNumType w:start="1"/>
          <w:cols w:space="720"/>
        </w:sectPr>
      </w:pPr>
    </w:p>
    <w:p w:rsidR="001F67C1" w:rsidRPr="00586EF8" w:rsidRDefault="001F67C1" w:rsidP="001F67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F67C1" w:rsidRDefault="001F67C1" w:rsidP="001F67C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F67C1" w:rsidRDefault="001F67C1" w:rsidP="001F67C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F67C1" w:rsidRPr="00B714F3" w:rsidRDefault="001F67C1" w:rsidP="001F67C1">
      <w:pPr>
        <w:pStyle w:val="Heading1"/>
        <w:spacing w:before="680"/>
        <w:jc w:val="center"/>
        <w:rPr>
          <w:szCs w:val="24"/>
          <w:lang w:val="en-US"/>
        </w:rPr>
      </w:pPr>
      <w:r w:rsidRPr="00B714F3">
        <w:rPr>
          <w:szCs w:val="24"/>
          <w:lang w:val="en-US"/>
        </w:rPr>
        <w:t>Policy on Intellectual Property Right (IPR)</w:t>
      </w:r>
    </w:p>
    <w:p w:rsidR="001F67C1" w:rsidRPr="00B714F3" w:rsidRDefault="001F67C1" w:rsidP="001F67C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F67C1" w:rsidRDefault="001F67C1" w:rsidP="001F67C1">
      <w:pPr>
        <w:jc w:val="center"/>
        <w:rPr>
          <w:sz w:val="22"/>
          <w:lang w:val="en-US"/>
        </w:rPr>
      </w:pPr>
    </w:p>
    <w:p w:rsidR="001F67C1" w:rsidRDefault="001F67C1" w:rsidP="001F67C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F67C1" w:rsidRPr="0058029E" w:rsidTr="008E3C29">
        <w:tc>
          <w:tcPr>
            <w:tcW w:w="9360" w:type="dxa"/>
            <w:gridSpan w:val="2"/>
          </w:tcPr>
          <w:p w:rsidR="001F67C1" w:rsidRPr="00036EE3" w:rsidRDefault="001F67C1"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F67C1" w:rsidRPr="00036EE3"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1F67C1" w:rsidRPr="00036EE3" w:rsidTr="008E3C29">
        <w:tc>
          <w:tcPr>
            <w:tcW w:w="1140" w:type="dxa"/>
            <w:tcBorders>
              <w:bottom w:val="nil"/>
            </w:tcBorders>
          </w:tcPr>
          <w:p w:rsidR="001F67C1" w:rsidRPr="00036EE3" w:rsidRDefault="001F67C1"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1F67C1" w:rsidRPr="00036EE3"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F67C1" w:rsidRPr="00A4173A" w:rsidTr="008E3C29">
        <w:tc>
          <w:tcPr>
            <w:tcW w:w="1140" w:type="dxa"/>
            <w:tcBorders>
              <w:top w:val="nil"/>
              <w:bottom w:val="nil"/>
            </w:tcBorders>
            <w:shd w:val="clear" w:color="auto" w:fill="auto"/>
          </w:tcPr>
          <w:p w:rsidR="001F67C1" w:rsidRPr="00A4173A" w:rsidRDefault="001F67C1"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1F67C1" w:rsidRPr="00A4173A"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1F67C1" w:rsidRPr="0058029E" w:rsidTr="008E3C29">
        <w:tc>
          <w:tcPr>
            <w:tcW w:w="1140" w:type="dxa"/>
            <w:tcBorders>
              <w:top w:val="nil"/>
            </w:tcBorders>
          </w:tcPr>
          <w:p w:rsidR="001F67C1" w:rsidRPr="00036EE3" w:rsidRDefault="001F67C1"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1F67C1" w:rsidRPr="00036EE3"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F67C1" w:rsidRPr="00036EE3" w:rsidTr="008E3C29">
        <w:tc>
          <w:tcPr>
            <w:tcW w:w="1140" w:type="dxa"/>
          </w:tcPr>
          <w:p w:rsidR="001F67C1" w:rsidRPr="00036EE3" w:rsidRDefault="001F67C1" w:rsidP="008E3C29">
            <w:pPr>
              <w:spacing w:before="30" w:after="30"/>
              <w:ind w:left="57"/>
              <w:jc w:val="left"/>
              <w:rPr>
                <w:b/>
                <w:bCs/>
                <w:sz w:val="20"/>
                <w:lang w:val="en-US"/>
              </w:rPr>
            </w:pPr>
            <w:r w:rsidRPr="00036EE3">
              <w:rPr>
                <w:b/>
                <w:bCs/>
                <w:sz w:val="20"/>
                <w:lang w:val="en-US"/>
              </w:rPr>
              <w:t>BS</w:t>
            </w:r>
          </w:p>
        </w:tc>
        <w:tc>
          <w:tcPr>
            <w:tcW w:w="8220" w:type="dxa"/>
          </w:tcPr>
          <w:p w:rsidR="001F67C1" w:rsidRPr="00036EE3"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F67C1" w:rsidRPr="00ED2695" w:rsidTr="008E3C29">
        <w:tc>
          <w:tcPr>
            <w:tcW w:w="1140" w:type="dxa"/>
            <w:shd w:val="clear" w:color="auto" w:fill="auto"/>
          </w:tcPr>
          <w:p w:rsidR="001F67C1" w:rsidRPr="00ED2695" w:rsidRDefault="001F67C1"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1F67C1" w:rsidRPr="00ED2695"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F67C1" w:rsidRPr="00036EE3" w:rsidTr="008E3C29">
        <w:tc>
          <w:tcPr>
            <w:tcW w:w="1140" w:type="dxa"/>
            <w:shd w:val="clear" w:color="auto" w:fill="auto"/>
          </w:tcPr>
          <w:p w:rsidR="001F67C1" w:rsidRPr="00036EE3" w:rsidRDefault="001F67C1"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1F67C1" w:rsidRPr="00036EE3" w:rsidRDefault="001F67C1"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F67C1" w:rsidRPr="00036EE3" w:rsidTr="008E3C29">
        <w:tc>
          <w:tcPr>
            <w:tcW w:w="1140" w:type="dxa"/>
            <w:shd w:val="clear" w:color="auto" w:fill="auto"/>
          </w:tcPr>
          <w:p w:rsidR="001F67C1" w:rsidRPr="00906589" w:rsidRDefault="001F67C1"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1F67C1" w:rsidRPr="00906589" w:rsidRDefault="001F67C1"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F67C1" w:rsidRPr="00036EE3" w:rsidTr="008E3C29">
        <w:tc>
          <w:tcPr>
            <w:tcW w:w="1140" w:type="dxa"/>
          </w:tcPr>
          <w:p w:rsidR="001F67C1" w:rsidRPr="00036EE3" w:rsidRDefault="001F67C1" w:rsidP="008E3C29">
            <w:pPr>
              <w:spacing w:before="30" w:after="30"/>
              <w:ind w:left="57"/>
              <w:jc w:val="left"/>
              <w:rPr>
                <w:b/>
                <w:bCs/>
                <w:sz w:val="20"/>
                <w:lang w:val="fr-CH"/>
              </w:rPr>
            </w:pPr>
            <w:r w:rsidRPr="00036EE3">
              <w:rPr>
                <w:b/>
                <w:bCs/>
                <w:sz w:val="20"/>
                <w:lang w:val="fr-CH"/>
              </w:rPr>
              <w:t>P</w:t>
            </w:r>
          </w:p>
        </w:tc>
        <w:tc>
          <w:tcPr>
            <w:tcW w:w="8220" w:type="dxa"/>
          </w:tcPr>
          <w:p w:rsidR="001F67C1" w:rsidRPr="00036EE3" w:rsidRDefault="001F67C1" w:rsidP="008E3C29">
            <w:pPr>
              <w:spacing w:before="30" w:after="30"/>
              <w:jc w:val="left"/>
              <w:rPr>
                <w:sz w:val="20"/>
                <w:lang w:val="fr-CH"/>
              </w:rPr>
            </w:pPr>
            <w:r w:rsidRPr="00036EE3">
              <w:rPr>
                <w:sz w:val="20"/>
                <w:lang w:val="fr-CH"/>
              </w:rPr>
              <w:t>Radiowave propagation</w:t>
            </w:r>
          </w:p>
        </w:tc>
      </w:tr>
      <w:tr w:rsidR="001F67C1" w:rsidRPr="00036EE3" w:rsidTr="008E3C29">
        <w:tc>
          <w:tcPr>
            <w:tcW w:w="1140" w:type="dxa"/>
          </w:tcPr>
          <w:p w:rsidR="001F67C1" w:rsidRPr="00036EE3" w:rsidRDefault="001F67C1" w:rsidP="008E3C29">
            <w:pPr>
              <w:spacing w:before="30" w:after="30"/>
              <w:ind w:left="57"/>
              <w:jc w:val="left"/>
              <w:rPr>
                <w:b/>
                <w:bCs/>
                <w:sz w:val="20"/>
                <w:lang w:val="en-US"/>
              </w:rPr>
            </w:pPr>
            <w:r w:rsidRPr="00036EE3">
              <w:rPr>
                <w:b/>
                <w:bCs/>
                <w:sz w:val="20"/>
                <w:lang w:val="en-US"/>
              </w:rPr>
              <w:t>RA</w:t>
            </w:r>
          </w:p>
        </w:tc>
        <w:tc>
          <w:tcPr>
            <w:tcW w:w="8220" w:type="dxa"/>
          </w:tcPr>
          <w:p w:rsidR="001F67C1" w:rsidRPr="00036EE3" w:rsidRDefault="001F67C1"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F67C1" w:rsidRPr="00036EE3" w:rsidTr="008E3C29">
        <w:tc>
          <w:tcPr>
            <w:tcW w:w="1140" w:type="dxa"/>
          </w:tcPr>
          <w:p w:rsidR="001F67C1" w:rsidRPr="00036EE3" w:rsidRDefault="001F67C1" w:rsidP="008E3C29">
            <w:pPr>
              <w:spacing w:before="30" w:after="30"/>
              <w:ind w:left="57"/>
              <w:jc w:val="left"/>
              <w:rPr>
                <w:b/>
                <w:bCs/>
                <w:sz w:val="20"/>
                <w:lang w:val="en-US"/>
              </w:rPr>
            </w:pPr>
            <w:r w:rsidRPr="00036EE3">
              <w:rPr>
                <w:b/>
                <w:bCs/>
                <w:sz w:val="20"/>
                <w:lang w:val="en-US"/>
              </w:rPr>
              <w:t>RS</w:t>
            </w:r>
          </w:p>
        </w:tc>
        <w:tc>
          <w:tcPr>
            <w:tcW w:w="8220" w:type="dxa"/>
          </w:tcPr>
          <w:p w:rsidR="001F67C1" w:rsidRPr="00036EE3" w:rsidRDefault="001F67C1"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F67C1" w:rsidRPr="00036EE3" w:rsidTr="008E3C29">
        <w:tc>
          <w:tcPr>
            <w:tcW w:w="1140" w:type="dxa"/>
            <w:tcBorders>
              <w:bottom w:val="nil"/>
            </w:tcBorders>
          </w:tcPr>
          <w:p w:rsidR="001F67C1" w:rsidRPr="00036EE3" w:rsidRDefault="001F67C1"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1F67C1" w:rsidRPr="00036EE3" w:rsidRDefault="001F67C1" w:rsidP="008E3C29">
            <w:pPr>
              <w:spacing w:before="30" w:after="30"/>
              <w:jc w:val="left"/>
              <w:rPr>
                <w:sz w:val="20"/>
                <w:lang w:val="en-US"/>
              </w:rPr>
            </w:pPr>
            <w:r w:rsidRPr="00036EE3">
              <w:rPr>
                <w:sz w:val="20"/>
                <w:lang w:val="en-US"/>
              </w:rPr>
              <w:t>Fixed-satellite service</w:t>
            </w:r>
          </w:p>
        </w:tc>
      </w:tr>
      <w:tr w:rsidR="001F67C1" w:rsidRPr="00A4173A" w:rsidTr="008E3C29">
        <w:tc>
          <w:tcPr>
            <w:tcW w:w="1140" w:type="dxa"/>
            <w:tcBorders>
              <w:top w:val="nil"/>
              <w:bottom w:val="nil"/>
            </w:tcBorders>
            <w:shd w:val="clear" w:color="auto" w:fill="F3F3F3"/>
          </w:tcPr>
          <w:p w:rsidR="001F67C1" w:rsidRPr="00A4173A" w:rsidRDefault="001F67C1"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1F67C1" w:rsidRPr="00A4173A" w:rsidRDefault="001F67C1" w:rsidP="008E3C29">
            <w:pPr>
              <w:spacing w:before="30" w:after="30"/>
              <w:jc w:val="left"/>
              <w:rPr>
                <w:b/>
                <w:bCs/>
                <w:color w:val="000080"/>
                <w:sz w:val="20"/>
                <w:lang w:val="en-US"/>
              </w:rPr>
            </w:pPr>
            <w:r w:rsidRPr="00A4173A">
              <w:rPr>
                <w:b/>
                <w:bCs/>
                <w:color w:val="000080"/>
                <w:sz w:val="20"/>
                <w:lang w:val="en-US"/>
              </w:rPr>
              <w:t>Space applications and meteorology</w:t>
            </w:r>
          </w:p>
        </w:tc>
      </w:tr>
      <w:tr w:rsidR="001F67C1" w:rsidRPr="0058029E" w:rsidTr="008E3C29">
        <w:tc>
          <w:tcPr>
            <w:tcW w:w="1140" w:type="dxa"/>
            <w:tcBorders>
              <w:top w:val="nil"/>
              <w:bottom w:val="nil"/>
            </w:tcBorders>
          </w:tcPr>
          <w:p w:rsidR="001F67C1" w:rsidRPr="00036EE3" w:rsidRDefault="001F67C1"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1F67C1" w:rsidRPr="00036EE3" w:rsidRDefault="001F67C1" w:rsidP="008E3C29">
            <w:pPr>
              <w:spacing w:before="30" w:after="30"/>
              <w:jc w:val="left"/>
              <w:rPr>
                <w:sz w:val="20"/>
                <w:lang w:val="en-US"/>
              </w:rPr>
            </w:pPr>
            <w:r w:rsidRPr="00036EE3">
              <w:rPr>
                <w:sz w:val="20"/>
                <w:lang w:val="en-US"/>
              </w:rPr>
              <w:t>Frequency sharing and coordination between fixed-satellite and fixed service systems</w:t>
            </w:r>
          </w:p>
        </w:tc>
      </w:tr>
      <w:tr w:rsidR="001F67C1" w:rsidRPr="00036EE3" w:rsidTr="008E3C29">
        <w:tc>
          <w:tcPr>
            <w:tcW w:w="1140" w:type="dxa"/>
            <w:tcBorders>
              <w:top w:val="nil"/>
              <w:bottom w:val="nil"/>
            </w:tcBorders>
            <w:shd w:val="clear" w:color="auto" w:fill="auto"/>
          </w:tcPr>
          <w:p w:rsidR="001F67C1" w:rsidRPr="001B164E" w:rsidRDefault="001F67C1"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1F67C1" w:rsidRPr="001B164E" w:rsidRDefault="001F67C1" w:rsidP="008E3C29">
            <w:pPr>
              <w:spacing w:before="30" w:after="30"/>
              <w:jc w:val="left"/>
              <w:rPr>
                <w:rFonts w:hAnsi="Times New Roman Bold"/>
                <w:sz w:val="20"/>
                <w:lang w:val="en-US"/>
              </w:rPr>
            </w:pPr>
            <w:r w:rsidRPr="001B164E">
              <w:rPr>
                <w:rFonts w:hAnsi="Times New Roman Bold"/>
                <w:sz w:val="20"/>
                <w:lang w:val="en-US"/>
              </w:rPr>
              <w:t>Spectrum management</w:t>
            </w:r>
          </w:p>
        </w:tc>
      </w:tr>
      <w:tr w:rsidR="001F67C1" w:rsidRPr="00036EE3" w:rsidTr="008E3C29">
        <w:tc>
          <w:tcPr>
            <w:tcW w:w="1140" w:type="dxa"/>
            <w:tcBorders>
              <w:top w:val="nil"/>
            </w:tcBorders>
          </w:tcPr>
          <w:p w:rsidR="001F67C1" w:rsidRPr="00036EE3" w:rsidRDefault="001F67C1"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1F67C1" w:rsidRPr="00036EE3" w:rsidRDefault="001F67C1" w:rsidP="008E3C29">
            <w:pPr>
              <w:spacing w:before="30" w:after="30"/>
              <w:jc w:val="left"/>
              <w:rPr>
                <w:sz w:val="20"/>
                <w:lang w:val="en-US"/>
              </w:rPr>
            </w:pPr>
            <w:r w:rsidRPr="00036EE3">
              <w:rPr>
                <w:sz w:val="20"/>
                <w:lang w:val="en-US"/>
              </w:rPr>
              <w:t>Satellite news gathering</w:t>
            </w:r>
          </w:p>
        </w:tc>
      </w:tr>
      <w:tr w:rsidR="001F67C1" w:rsidRPr="0058029E" w:rsidTr="008E3C29">
        <w:tc>
          <w:tcPr>
            <w:tcW w:w="1140" w:type="dxa"/>
          </w:tcPr>
          <w:p w:rsidR="001F67C1" w:rsidRPr="00036EE3" w:rsidRDefault="001F67C1" w:rsidP="008E3C29">
            <w:pPr>
              <w:spacing w:before="30" w:after="30"/>
              <w:ind w:left="57"/>
              <w:jc w:val="left"/>
              <w:rPr>
                <w:b/>
                <w:bCs/>
                <w:sz w:val="20"/>
                <w:lang w:val="en-US"/>
              </w:rPr>
            </w:pPr>
            <w:r w:rsidRPr="00036EE3">
              <w:rPr>
                <w:b/>
                <w:bCs/>
                <w:sz w:val="20"/>
                <w:lang w:val="en-US"/>
              </w:rPr>
              <w:t>TF</w:t>
            </w:r>
          </w:p>
        </w:tc>
        <w:tc>
          <w:tcPr>
            <w:tcW w:w="8220" w:type="dxa"/>
          </w:tcPr>
          <w:p w:rsidR="001F67C1" w:rsidRPr="00036EE3" w:rsidRDefault="001F67C1" w:rsidP="008E3C29">
            <w:pPr>
              <w:spacing w:before="30" w:after="30"/>
              <w:jc w:val="left"/>
              <w:rPr>
                <w:sz w:val="20"/>
                <w:lang w:val="en-US"/>
              </w:rPr>
            </w:pPr>
            <w:r w:rsidRPr="00036EE3">
              <w:rPr>
                <w:sz w:val="20"/>
                <w:lang w:val="en-US"/>
              </w:rPr>
              <w:t>Time signals and frequency standards emissions</w:t>
            </w:r>
          </w:p>
        </w:tc>
      </w:tr>
      <w:tr w:rsidR="001F67C1" w:rsidRPr="00036EE3" w:rsidTr="008E3C29">
        <w:tc>
          <w:tcPr>
            <w:tcW w:w="1140" w:type="dxa"/>
          </w:tcPr>
          <w:p w:rsidR="001F67C1" w:rsidRPr="00036EE3" w:rsidRDefault="001F67C1" w:rsidP="008E3C29">
            <w:pPr>
              <w:spacing w:before="30" w:after="30"/>
              <w:ind w:left="57"/>
              <w:jc w:val="left"/>
              <w:rPr>
                <w:b/>
                <w:bCs/>
                <w:sz w:val="20"/>
                <w:lang w:val="en-US"/>
              </w:rPr>
            </w:pPr>
            <w:r w:rsidRPr="00036EE3">
              <w:rPr>
                <w:b/>
                <w:bCs/>
                <w:sz w:val="20"/>
                <w:lang w:val="en-US"/>
              </w:rPr>
              <w:t>V</w:t>
            </w:r>
          </w:p>
        </w:tc>
        <w:tc>
          <w:tcPr>
            <w:tcW w:w="8220" w:type="dxa"/>
          </w:tcPr>
          <w:p w:rsidR="001F67C1" w:rsidRPr="00036EE3" w:rsidRDefault="001F67C1" w:rsidP="008E3C29">
            <w:pPr>
              <w:spacing w:before="30" w:after="180"/>
              <w:jc w:val="left"/>
              <w:rPr>
                <w:sz w:val="20"/>
                <w:lang w:val="en-US"/>
              </w:rPr>
            </w:pPr>
            <w:r w:rsidRPr="00036EE3">
              <w:rPr>
                <w:sz w:val="20"/>
                <w:lang w:val="en-US"/>
              </w:rPr>
              <w:t>Vocabulary and related subjects</w:t>
            </w:r>
          </w:p>
        </w:tc>
      </w:tr>
    </w:tbl>
    <w:p w:rsidR="001F67C1" w:rsidRPr="00036EE3" w:rsidRDefault="001F67C1" w:rsidP="001F67C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F67C1" w:rsidTr="008E3C29">
        <w:tc>
          <w:tcPr>
            <w:tcW w:w="720" w:type="dxa"/>
          </w:tcPr>
          <w:p w:rsidR="001F67C1" w:rsidRDefault="001F67C1" w:rsidP="008E3C29">
            <w:pPr>
              <w:jc w:val="center"/>
              <w:rPr>
                <w:sz w:val="22"/>
                <w:lang w:val="en-US"/>
              </w:rPr>
            </w:pPr>
          </w:p>
        </w:tc>
      </w:tr>
    </w:tbl>
    <w:p w:rsidR="001F67C1" w:rsidRPr="00036EE3" w:rsidRDefault="001F67C1" w:rsidP="001F67C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F67C1" w:rsidRPr="0058029E" w:rsidTr="008E3C29">
        <w:tc>
          <w:tcPr>
            <w:tcW w:w="9360" w:type="dxa"/>
          </w:tcPr>
          <w:p w:rsidR="001F67C1" w:rsidRPr="002F5199" w:rsidRDefault="001F67C1"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F67C1" w:rsidRDefault="001F67C1" w:rsidP="001F67C1">
      <w:pPr>
        <w:spacing w:before="0"/>
        <w:jc w:val="center"/>
        <w:rPr>
          <w:sz w:val="22"/>
          <w:lang w:val="en-US"/>
        </w:rPr>
      </w:pPr>
    </w:p>
    <w:p w:rsidR="001F67C1" w:rsidRDefault="001F67C1" w:rsidP="001F67C1">
      <w:pPr>
        <w:spacing w:before="0"/>
        <w:jc w:val="center"/>
        <w:rPr>
          <w:sz w:val="22"/>
          <w:lang w:val="en-US"/>
        </w:rPr>
      </w:pPr>
    </w:p>
    <w:p w:rsidR="001F67C1" w:rsidRPr="002F5199" w:rsidRDefault="001F67C1" w:rsidP="001F67C1">
      <w:pPr>
        <w:spacing w:before="0"/>
        <w:jc w:val="right"/>
        <w:rPr>
          <w:i/>
          <w:iCs/>
          <w:sz w:val="20"/>
          <w:lang w:val="en-US"/>
        </w:rPr>
      </w:pPr>
      <w:r w:rsidRPr="002F5199">
        <w:rPr>
          <w:i/>
          <w:iCs/>
          <w:sz w:val="20"/>
          <w:lang w:val="en-US"/>
        </w:rPr>
        <w:t>Electronic Publication</w:t>
      </w:r>
    </w:p>
    <w:p w:rsidR="001F67C1" w:rsidRPr="002F5199" w:rsidRDefault="001F67C1" w:rsidP="001F67C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1F67C1" w:rsidRDefault="001F67C1" w:rsidP="001F67C1">
      <w:pPr>
        <w:jc w:val="center"/>
        <w:rPr>
          <w:sz w:val="22"/>
          <w:lang w:val="en-US"/>
        </w:rPr>
      </w:pPr>
    </w:p>
    <w:p w:rsidR="001F67C1" w:rsidRPr="00470E28" w:rsidRDefault="001F67C1" w:rsidP="001F67C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1F67C1" w:rsidRPr="00470E28" w:rsidRDefault="001F67C1" w:rsidP="001F67C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F67C1" w:rsidRDefault="001F67C1" w:rsidP="001F67C1">
      <w:pPr>
        <w:spacing w:before="160"/>
        <w:rPr>
          <w:i/>
          <w:sz w:val="20"/>
          <w:lang w:val="en-US"/>
        </w:rPr>
        <w:sectPr w:rsidR="001F67C1" w:rsidSect="00BC03D6">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1F67C1" w:rsidRPr="00C95C69" w:rsidRDefault="001F67C1" w:rsidP="00BC03D6">
      <w:pPr>
        <w:pStyle w:val="RecNo"/>
        <w:rPr>
          <w:rFonts w:asciiTheme="majorBidi" w:hAnsiTheme="majorBidi" w:cstheme="majorBidi"/>
          <w:b/>
          <w:lang w:val="en-GB"/>
        </w:rPr>
      </w:pPr>
      <w:bookmarkStart w:id="3" w:name="irecnoe"/>
      <w:bookmarkEnd w:id="3"/>
      <w:r w:rsidRPr="001F67C1">
        <w:rPr>
          <w:lang w:val="en-GB"/>
        </w:rPr>
        <w:lastRenderedPageBreak/>
        <w:t xml:space="preserve">RECOMMENDATION  </w:t>
      </w:r>
      <w:r w:rsidRPr="001F67C1">
        <w:rPr>
          <w:rStyle w:val="href"/>
          <w:lang w:val="en-GB"/>
        </w:rPr>
        <w:t>ITU-R  SA.</w:t>
      </w:r>
      <w:r w:rsidR="00BC03D6">
        <w:rPr>
          <w:rStyle w:val="href"/>
          <w:lang w:val="en-GB"/>
        </w:rPr>
        <w:t>1161-2</w:t>
      </w:r>
    </w:p>
    <w:p w:rsidR="001F67C1" w:rsidRPr="001F67C1" w:rsidRDefault="001F67C1" w:rsidP="001F67C1">
      <w:pPr>
        <w:pStyle w:val="Rectitle"/>
        <w:rPr>
          <w:lang w:val="en-GB"/>
        </w:rPr>
      </w:pPr>
      <w:r w:rsidRPr="001F67C1">
        <w:rPr>
          <w:lang w:val="en-GB"/>
        </w:rPr>
        <w:t>Sharing and coordination criteria for data transmission systems in the Earth exploration-satellite and meteorological-satellite services using satellites in geostationary orbit</w:t>
      </w:r>
    </w:p>
    <w:p w:rsidR="001F67C1" w:rsidRPr="001F67C1" w:rsidRDefault="001F67C1" w:rsidP="001F67C1">
      <w:pPr>
        <w:pStyle w:val="Recdate"/>
        <w:rPr>
          <w:lang w:val="en-GB"/>
        </w:rPr>
      </w:pPr>
      <w:r w:rsidRPr="001F67C1">
        <w:rPr>
          <w:lang w:val="en-GB"/>
        </w:rPr>
        <w:t>(1995-1999-2017)</w:t>
      </w:r>
    </w:p>
    <w:p w:rsidR="001F67C1" w:rsidRPr="0058029E" w:rsidRDefault="001F67C1" w:rsidP="001351D5">
      <w:pPr>
        <w:pStyle w:val="HeadingSum"/>
        <w:rPr>
          <w:lang w:val="en-GB"/>
        </w:rPr>
      </w:pPr>
      <w:r w:rsidRPr="0058029E">
        <w:rPr>
          <w:lang w:val="en-GB"/>
        </w:rPr>
        <w:t>Scope</w:t>
      </w:r>
    </w:p>
    <w:p w:rsidR="001F67C1" w:rsidRPr="001351D5" w:rsidRDefault="001F67C1" w:rsidP="001351D5">
      <w:pPr>
        <w:pStyle w:val="Summary"/>
        <w:rPr>
          <w:lang w:val="en-GB"/>
        </w:rPr>
      </w:pPr>
      <w:r w:rsidRPr="001351D5">
        <w:rPr>
          <w:lang w:val="en-GB"/>
        </w:rPr>
        <w:t>The purpose of this Recommendation is to provide sharing and coordination criteria for data transmission links for GSO satellites in the Earth exploration-satellite and meteorological</w:t>
      </w:r>
      <w:r w:rsidRPr="001351D5">
        <w:rPr>
          <w:lang w:val="en-GB"/>
        </w:rPr>
        <w:noBreakHyphen/>
        <w:t>satellite services.</w:t>
      </w:r>
    </w:p>
    <w:p w:rsidR="001F67C1" w:rsidRPr="00F03195" w:rsidRDefault="001F67C1" w:rsidP="001F67C1">
      <w:pPr>
        <w:pStyle w:val="Headingb"/>
        <w:rPr>
          <w:lang w:val="en-US"/>
        </w:rPr>
      </w:pPr>
      <w:r w:rsidRPr="00F03195">
        <w:rPr>
          <w:lang w:val="en-US"/>
        </w:rPr>
        <w:t>Keywords</w:t>
      </w:r>
    </w:p>
    <w:p w:rsidR="001F67C1" w:rsidRPr="001F67C1" w:rsidRDefault="001F67C1" w:rsidP="001F67C1">
      <w:pPr>
        <w:rPr>
          <w:lang w:val="en-GB"/>
        </w:rPr>
      </w:pPr>
      <w:r w:rsidRPr="001F67C1">
        <w:rPr>
          <w:lang w:val="en-GB"/>
        </w:rPr>
        <w:t>EESS, MetSat, GSO satellites, data transmission, sharing criteria</w:t>
      </w:r>
    </w:p>
    <w:p w:rsidR="001F67C1" w:rsidRPr="00F03195" w:rsidRDefault="001F67C1" w:rsidP="001F67C1">
      <w:pPr>
        <w:pStyle w:val="Headingb"/>
        <w:rPr>
          <w:szCs w:val="24"/>
          <w:lang w:val="en-GB" w:eastAsia="zh-CN"/>
        </w:rPr>
      </w:pPr>
      <w:r w:rsidRPr="00F03195">
        <w:rPr>
          <w:szCs w:val="24"/>
          <w:lang w:val="en-GB" w:eastAsia="zh-CN"/>
        </w:rPr>
        <w:t>Related Recommendations and Reports</w:t>
      </w:r>
    </w:p>
    <w:p w:rsidR="001F67C1" w:rsidRPr="001F67C1" w:rsidRDefault="001F67C1" w:rsidP="001F67C1">
      <w:pPr>
        <w:rPr>
          <w:lang w:val="en-GB" w:eastAsia="zh-CN"/>
        </w:rPr>
      </w:pPr>
      <w:r w:rsidRPr="001F67C1">
        <w:rPr>
          <w:lang w:val="en-GB" w:eastAsia="zh-CN"/>
        </w:rPr>
        <w:t>Recommendations ITU-R SA.1160, ITU-R SA.1023.</w:t>
      </w:r>
    </w:p>
    <w:p w:rsidR="001F67C1" w:rsidRPr="0058029E" w:rsidRDefault="001F67C1" w:rsidP="001351D5">
      <w:pPr>
        <w:pStyle w:val="Normalaftertitle"/>
        <w:rPr>
          <w:lang w:val="en-GB"/>
        </w:rPr>
      </w:pPr>
      <w:r w:rsidRPr="0058029E">
        <w:rPr>
          <w:lang w:val="en-GB"/>
        </w:rPr>
        <w:t>The ITU Radiocommunication Assembly,</w:t>
      </w:r>
    </w:p>
    <w:p w:rsidR="001F67C1" w:rsidRPr="001F67C1" w:rsidRDefault="001F67C1" w:rsidP="001F67C1">
      <w:pPr>
        <w:pStyle w:val="Call"/>
        <w:rPr>
          <w:lang w:val="en-GB"/>
        </w:rPr>
      </w:pPr>
      <w:r w:rsidRPr="001F67C1">
        <w:rPr>
          <w:lang w:val="en-GB"/>
        </w:rPr>
        <w:t>considering</w:t>
      </w:r>
    </w:p>
    <w:p w:rsidR="001F67C1" w:rsidRPr="001F67C1" w:rsidRDefault="001F67C1" w:rsidP="001F67C1">
      <w:pPr>
        <w:rPr>
          <w:lang w:val="en-GB"/>
        </w:rPr>
      </w:pPr>
      <w:r w:rsidRPr="001F67C1">
        <w:rPr>
          <w:i/>
          <w:iCs/>
          <w:lang w:val="en-GB"/>
        </w:rPr>
        <w:t>a)</w:t>
      </w:r>
      <w:r w:rsidRPr="001F67C1">
        <w:rPr>
          <w:lang w:val="en-GB"/>
        </w:rPr>
        <w:tab/>
        <w:t>that the frequency bands allocated to the Earth exploration-satellite service (EESS) and the meteorological-satellite (MetSat) service may be shared by several systems, including those operating in other services;</w:t>
      </w:r>
    </w:p>
    <w:p w:rsidR="001F67C1" w:rsidRPr="001F67C1" w:rsidRDefault="001F67C1" w:rsidP="001F67C1">
      <w:pPr>
        <w:rPr>
          <w:lang w:val="en-GB"/>
        </w:rPr>
      </w:pPr>
      <w:r w:rsidRPr="001F67C1">
        <w:rPr>
          <w:i/>
          <w:iCs/>
          <w:lang w:val="en-GB"/>
        </w:rPr>
        <w:t>b)</w:t>
      </w:r>
      <w:r w:rsidRPr="001F67C1">
        <w:rPr>
          <w:lang w:val="en-GB"/>
        </w:rPr>
        <w:tab/>
        <w:t>that Recommendation ITU-R SA.1160 specifies the aggregate interference criteria needed to determine the sharing criteria;</w:t>
      </w:r>
    </w:p>
    <w:p w:rsidR="001F67C1" w:rsidRPr="001F67C1" w:rsidRDefault="001F67C1" w:rsidP="00AD51D4">
      <w:pPr>
        <w:rPr>
          <w:lang w:val="en-GB"/>
        </w:rPr>
      </w:pPr>
      <w:r w:rsidRPr="001F67C1">
        <w:rPr>
          <w:i/>
          <w:iCs/>
          <w:lang w:val="en-GB"/>
        </w:rPr>
        <w:t>c)</w:t>
      </w:r>
      <w:r w:rsidRPr="001F67C1">
        <w:rPr>
          <w:lang w:val="en-GB"/>
        </w:rPr>
        <w:tab/>
        <w:t>that the sharing criteria may be determined using the methodology described in Recommendation ITU</w:t>
      </w:r>
      <w:r w:rsidRPr="001F67C1">
        <w:rPr>
          <w:lang w:val="en-GB"/>
        </w:rPr>
        <w:noBreakHyphen/>
        <w:t>R SA.1023;</w:t>
      </w:r>
    </w:p>
    <w:p w:rsidR="001F67C1" w:rsidRPr="001F67C1" w:rsidRDefault="001F67C1" w:rsidP="00AD51D4">
      <w:pPr>
        <w:rPr>
          <w:lang w:val="en-GB"/>
        </w:rPr>
      </w:pPr>
      <w:r w:rsidRPr="001F67C1">
        <w:rPr>
          <w:i/>
          <w:iCs/>
          <w:lang w:val="en-GB"/>
        </w:rPr>
        <w:t>d)</w:t>
      </w:r>
      <w:r w:rsidRPr="001F67C1">
        <w:rPr>
          <w:lang w:val="en-GB"/>
        </w:rPr>
        <w:tab/>
        <w:t>that the typical deployment of interfering stations may change over a period of years as a result of growth in the number of systems and revisions to frequency band allocations that are adopted by world radiocommunication conferences;</w:t>
      </w:r>
    </w:p>
    <w:p w:rsidR="001F67C1" w:rsidRPr="001F67C1" w:rsidRDefault="001F67C1" w:rsidP="001F67C1">
      <w:pPr>
        <w:rPr>
          <w:lang w:val="en-GB"/>
        </w:rPr>
      </w:pPr>
      <w:r w:rsidRPr="001F67C1">
        <w:rPr>
          <w:i/>
          <w:iCs/>
          <w:lang w:val="en-GB"/>
        </w:rPr>
        <w:t>e)</w:t>
      </w:r>
      <w:r w:rsidRPr="001F67C1">
        <w:rPr>
          <w:lang w:val="en-GB"/>
        </w:rPr>
        <w:tab/>
        <w:t>that by governing the use of the radio-frequency spectrum in their territory and through international coordination of frequency assignments, administrations may exercise a degree of control over the number of systems that may generate interference at significant levels;</w:t>
      </w:r>
    </w:p>
    <w:p w:rsidR="001F67C1" w:rsidRPr="001F67C1" w:rsidRDefault="001F67C1" w:rsidP="001F67C1">
      <w:pPr>
        <w:rPr>
          <w:lang w:val="en-GB"/>
        </w:rPr>
      </w:pPr>
      <w:r w:rsidRPr="001F67C1">
        <w:rPr>
          <w:i/>
          <w:iCs/>
          <w:lang w:val="en-GB"/>
        </w:rPr>
        <w:t>f)</w:t>
      </w:r>
      <w:r w:rsidRPr="001F67C1">
        <w:rPr>
          <w:lang w:val="en-GB"/>
        </w:rPr>
        <w:tab/>
        <w:t>that the interference level encountered by ship-borne earth stations in the MetSat service is unlikely to be worse than that encountered by earth stations operating on land,</w:t>
      </w:r>
    </w:p>
    <w:p w:rsidR="001F67C1" w:rsidRPr="001F67C1" w:rsidRDefault="001F67C1" w:rsidP="001F67C1">
      <w:pPr>
        <w:pStyle w:val="Call"/>
        <w:rPr>
          <w:lang w:val="en-GB"/>
        </w:rPr>
      </w:pPr>
      <w:r w:rsidRPr="001F67C1">
        <w:rPr>
          <w:lang w:val="en-GB"/>
        </w:rPr>
        <w:t>recommends</w:t>
      </w:r>
    </w:p>
    <w:p w:rsidR="001F67C1" w:rsidRPr="001F67C1" w:rsidRDefault="001F67C1" w:rsidP="001F67C1">
      <w:pPr>
        <w:rPr>
          <w:lang w:val="en-GB"/>
        </w:rPr>
      </w:pPr>
      <w:r w:rsidRPr="00AD51D4">
        <w:rPr>
          <w:b/>
          <w:lang w:val="en-GB"/>
        </w:rPr>
        <w:t>1</w:t>
      </w:r>
      <w:r w:rsidRPr="001F67C1">
        <w:rPr>
          <w:lang w:val="en-GB"/>
        </w:rPr>
        <w:tab/>
        <w:t>that the single-entry interference levels presented in Table 1 should be used as sharing criteria for the protection of stations operating in the EESS and MetSat service;</w:t>
      </w:r>
    </w:p>
    <w:p w:rsidR="001F67C1" w:rsidRPr="001F67C1" w:rsidRDefault="001F67C1" w:rsidP="001F67C1">
      <w:pPr>
        <w:rPr>
          <w:lang w:val="en-GB"/>
        </w:rPr>
      </w:pPr>
      <w:r w:rsidRPr="00AD51D4">
        <w:rPr>
          <w:b/>
          <w:lang w:val="en-GB"/>
        </w:rPr>
        <w:t>2</w:t>
      </w:r>
      <w:r w:rsidRPr="001F67C1">
        <w:rPr>
          <w:lang w:val="en-GB"/>
        </w:rPr>
        <w:tab/>
        <w:t>that the criteria specified in § 1 should be used as the basis for coordination thresholds for receiving stations operating in the EESS and MetSat service in bands shared with terrestrial services;</w:t>
      </w:r>
    </w:p>
    <w:p w:rsidR="001F67C1" w:rsidRPr="001F67C1" w:rsidRDefault="001F67C1" w:rsidP="001F67C1">
      <w:pPr>
        <w:rPr>
          <w:lang w:val="en-GB"/>
        </w:rPr>
      </w:pPr>
      <w:r w:rsidRPr="00AD51D4">
        <w:rPr>
          <w:b/>
          <w:lang w:val="en-GB"/>
        </w:rPr>
        <w:t>3</w:t>
      </w:r>
      <w:r w:rsidRPr="001F67C1">
        <w:rPr>
          <w:lang w:val="en-GB"/>
        </w:rPr>
        <w:tab/>
        <w:t>that a 6% increase in equivalent link noise temperature should be used as the threshold for coordination between transmitting space stations and receiving earth stations operating in the EESS and MetSat service;</w:t>
      </w:r>
    </w:p>
    <w:p w:rsidR="001F67C1" w:rsidRPr="001F67C1" w:rsidRDefault="001F67C1" w:rsidP="001F67C1">
      <w:pPr>
        <w:rPr>
          <w:lang w:val="en-GB"/>
        </w:rPr>
      </w:pPr>
      <w:r w:rsidRPr="00AD51D4">
        <w:rPr>
          <w:b/>
          <w:lang w:val="en-GB"/>
        </w:rPr>
        <w:lastRenderedPageBreak/>
        <w:t>4</w:t>
      </w:r>
      <w:r w:rsidRPr="001F67C1">
        <w:rPr>
          <w:lang w:val="en-GB"/>
        </w:rPr>
        <w:tab/>
        <w:t>that the deployment of interferers specified in the Annex be reviewed periodically in order to determine whether the typical interference environment and consequential sharing criteria should be revised.</w:t>
      </w:r>
    </w:p>
    <w:p w:rsidR="001F67C1" w:rsidRPr="001F67C1" w:rsidRDefault="001F67C1" w:rsidP="00AD51D4">
      <w:pPr>
        <w:rPr>
          <w:lang w:val="en-GB"/>
        </w:rPr>
      </w:pPr>
      <w:r w:rsidRPr="001F67C1">
        <w:rPr>
          <w:lang w:val="en-GB"/>
        </w:rPr>
        <w:t>NOTE 1 – The sharing criteria of Table 1 (including the Notes thereto) are intended to be applied in frequency sharing analyses and the coordination of frequency assignments (i.e. as the minimum levels of accepted interference for applicable earth stations). In coordination applications, the actual interference seen by the receiving earth station should be compared with that assumed in Annex 1 in order to help determine whether an interfering signal power greater than the permissible single entry level can be accepted. Generally, this consideration may enable acceptance of interference levels that may be as high as those specified in the applicable interference criteria in Recommendation ITU</w:t>
      </w:r>
      <w:r w:rsidRPr="001F67C1">
        <w:rPr>
          <w:lang w:val="en-GB"/>
        </w:rPr>
        <w:noBreakHyphen/>
        <w:t>R SA.1160.</w:t>
      </w:r>
    </w:p>
    <w:p w:rsidR="001F67C1" w:rsidRPr="001F67C1" w:rsidRDefault="001F67C1" w:rsidP="00AD51D4">
      <w:pPr>
        <w:rPr>
          <w:lang w:val="en-GB"/>
        </w:rPr>
      </w:pPr>
      <w:r w:rsidRPr="001F67C1">
        <w:rPr>
          <w:lang w:val="en-GB"/>
        </w:rPr>
        <w:t>NOTE 2 – The coordination threshold specified in § 3 is sufficiently conservative to assure that interference will be below permissible levels in cases where coordination is not triggered. In order to apply that criterion when determining whether interference from transmitting spacecraft might be unacceptable, the methodology of Appendix S8 to the Radio Regulations may be adapted and applied to the stations concerned. In order to avoid unnecessary coordination, administrations may wish to assume that a certain amount of antenna discrimination is available from the receiving station (e.g. a level of discrimination that is available for 99.9% of the time).</w:t>
      </w:r>
    </w:p>
    <w:p w:rsidR="001F67C1" w:rsidRPr="001F67C1" w:rsidRDefault="001F67C1" w:rsidP="00AD51D4">
      <w:pPr>
        <w:rPr>
          <w:lang w:val="en-GB"/>
        </w:rPr>
      </w:pPr>
      <w:r w:rsidRPr="001F67C1">
        <w:rPr>
          <w:lang w:val="en-GB"/>
        </w:rPr>
        <w:t xml:space="preserve">NOTE 3 – The criteria in Table 1 are based on the interference environment given in the Annex </w:t>
      </w:r>
      <w:r w:rsidRPr="001F67C1">
        <w:rPr>
          <w:lang w:val="en-GB"/>
        </w:rPr>
        <w:br/>
        <w:t>(also see § 4).</w:t>
      </w:r>
    </w:p>
    <w:p w:rsidR="001F67C1" w:rsidRPr="001F67C1" w:rsidRDefault="001F67C1" w:rsidP="001F67C1">
      <w:pPr>
        <w:pStyle w:val="TableNo"/>
        <w:rPr>
          <w:lang w:val="en-GB"/>
        </w:rPr>
      </w:pPr>
      <w:r w:rsidRPr="001F67C1">
        <w:rPr>
          <w:lang w:val="en-GB"/>
        </w:rPr>
        <w:t>TABLE 1</w:t>
      </w:r>
    </w:p>
    <w:p w:rsidR="001F67C1" w:rsidRPr="001F67C1" w:rsidRDefault="001F67C1" w:rsidP="001F67C1">
      <w:pPr>
        <w:pStyle w:val="Tabletitle"/>
        <w:rPr>
          <w:lang w:val="en-GB"/>
        </w:rPr>
      </w:pPr>
      <w:r w:rsidRPr="001F67C1">
        <w:rPr>
          <w:lang w:val="en-GB"/>
        </w:rPr>
        <w:t xml:space="preserve">Sharing criteria for stations in the EES and MetSat services using </w:t>
      </w:r>
      <w:r w:rsidR="00AD51D4">
        <w:rPr>
          <w:lang w:val="en-GB"/>
        </w:rPr>
        <w:br/>
      </w:r>
      <w:r w:rsidRPr="001F67C1">
        <w:rPr>
          <w:lang w:val="en-GB"/>
        </w:rPr>
        <w:t>spacecraft in geostationary orbit</w:t>
      </w:r>
    </w:p>
    <w:tbl>
      <w:tblPr>
        <w:tblStyle w:val="TableGrid"/>
        <w:tblW w:w="0" w:type="auto"/>
        <w:tblLook w:val="04A0" w:firstRow="1" w:lastRow="0" w:firstColumn="1" w:lastColumn="0" w:noHBand="0" w:noVBand="1"/>
      </w:tblPr>
      <w:tblGrid>
        <w:gridCol w:w="1925"/>
        <w:gridCol w:w="1926"/>
        <w:gridCol w:w="1926"/>
        <w:gridCol w:w="1926"/>
        <w:gridCol w:w="1926"/>
      </w:tblGrid>
      <w:tr w:rsidR="001F67C1" w:rsidRPr="0058029E" w:rsidTr="008E3C29">
        <w:tc>
          <w:tcPr>
            <w:tcW w:w="1925" w:type="dxa"/>
            <w:vMerge w:val="restart"/>
            <w:vAlign w:val="center"/>
          </w:tcPr>
          <w:p w:rsidR="001F67C1" w:rsidRDefault="001F67C1" w:rsidP="00AD51D4">
            <w:pPr>
              <w:pStyle w:val="Tablehead"/>
            </w:pPr>
            <w:r>
              <w:t>Frequency band</w:t>
            </w:r>
          </w:p>
        </w:tc>
        <w:tc>
          <w:tcPr>
            <w:tcW w:w="3852" w:type="dxa"/>
            <w:gridSpan w:val="2"/>
          </w:tcPr>
          <w:p w:rsidR="001F67C1" w:rsidRPr="0058029E" w:rsidRDefault="001F67C1" w:rsidP="00AD51D4">
            <w:pPr>
              <w:pStyle w:val="Tablehead"/>
              <w:rPr>
                <w:lang w:val="en-GB"/>
              </w:rPr>
            </w:pPr>
            <w:r w:rsidRPr="0058029E">
              <w:rPr>
                <w:lang w:val="en-GB"/>
              </w:rPr>
              <w:t>Interfering signal power (dBW)</w:t>
            </w:r>
            <w:r w:rsidRPr="0058029E">
              <w:rPr>
                <w:lang w:val="en-GB"/>
              </w:rPr>
              <w:br/>
              <w:t>in the reference bandwidth</w:t>
            </w:r>
            <w:r w:rsidRPr="0058029E">
              <w:rPr>
                <w:lang w:val="en-GB"/>
              </w:rPr>
              <w:br/>
              <w:t>to be exceeded for no more</w:t>
            </w:r>
            <w:r w:rsidRPr="0058029E">
              <w:rPr>
                <w:lang w:val="en-GB"/>
              </w:rPr>
              <w:br/>
              <w:t>than 20% of the time</w:t>
            </w:r>
          </w:p>
        </w:tc>
        <w:tc>
          <w:tcPr>
            <w:tcW w:w="3852" w:type="dxa"/>
            <w:gridSpan w:val="2"/>
          </w:tcPr>
          <w:p w:rsidR="001F67C1" w:rsidRPr="001F67C1" w:rsidRDefault="001F67C1" w:rsidP="00AD51D4">
            <w:pPr>
              <w:pStyle w:val="Tablehead"/>
              <w:rPr>
                <w:lang w:val="en-GB"/>
              </w:rPr>
            </w:pPr>
            <w:r w:rsidRPr="001F67C1">
              <w:rPr>
                <w:lang w:val="en-GB"/>
              </w:rPr>
              <w:t>Interfering signal power (dBW)</w:t>
            </w:r>
            <w:r w:rsidRPr="001F67C1">
              <w:rPr>
                <w:lang w:val="en-GB"/>
              </w:rPr>
              <w:br/>
              <w:t>in the reference bandwidth</w:t>
            </w:r>
            <w:r w:rsidRPr="001F67C1">
              <w:rPr>
                <w:lang w:val="en-GB"/>
              </w:rPr>
              <w:br/>
              <w:t>to be exceeded for no more</w:t>
            </w:r>
            <w:r w:rsidRPr="001F67C1">
              <w:rPr>
                <w:lang w:val="en-GB"/>
              </w:rPr>
              <w:br/>
              <w:t xml:space="preserve">than </w:t>
            </w:r>
            <w:r w:rsidRPr="001F67C1">
              <w:rPr>
                <w:i/>
                <w:lang w:val="en-GB"/>
              </w:rPr>
              <w:t>p</w:t>
            </w:r>
            <w:r w:rsidRPr="001F67C1">
              <w:rPr>
                <w:lang w:val="en-GB"/>
              </w:rPr>
              <w:t>% of the time</w:t>
            </w:r>
          </w:p>
        </w:tc>
      </w:tr>
      <w:tr w:rsidR="001F67C1" w:rsidTr="008E3C29">
        <w:tc>
          <w:tcPr>
            <w:tcW w:w="1925" w:type="dxa"/>
            <w:vMerge/>
          </w:tcPr>
          <w:p w:rsidR="001F67C1" w:rsidRPr="001F67C1" w:rsidRDefault="001F67C1" w:rsidP="00AD51D4">
            <w:pPr>
              <w:pStyle w:val="Tablehead"/>
              <w:rPr>
                <w:lang w:val="en-GB"/>
              </w:rPr>
            </w:pPr>
          </w:p>
        </w:tc>
        <w:tc>
          <w:tcPr>
            <w:tcW w:w="1926" w:type="dxa"/>
          </w:tcPr>
          <w:p w:rsidR="001F67C1" w:rsidRDefault="001F67C1" w:rsidP="00AD51D4">
            <w:pPr>
              <w:pStyle w:val="Tablehead"/>
            </w:pPr>
            <w:r>
              <w:t>Space</w:t>
            </w:r>
          </w:p>
        </w:tc>
        <w:tc>
          <w:tcPr>
            <w:tcW w:w="1926" w:type="dxa"/>
          </w:tcPr>
          <w:p w:rsidR="001F67C1" w:rsidRDefault="001F67C1" w:rsidP="00AD51D4">
            <w:pPr>
              <w:pStyle w:val="Tablehead"/>
            </w:pPr>
            <w:r>
              <w:t>Terrestrial</w:t>
            </w:r>
          </w:p>
        </w:tc>
        <w:tc>
          <w:tcPr>
            <w:tcW w:w="1926" w:type="dxa"/>
          </w:tcPr>
          <w:p w:rsidR="001F67C1" w:rsidRDefault="001F67C1" w:rsidP="00AD51D4">
            <w:pPr>
              <w:pStyle w:val="Tablehead"/>
            </w:pPr>
            <w:r>
              <w:t>Space</w:t>
            </w:r>
          </w:p>
        </w:tc>
        <w:tc>
          <w:tcPr>
            <w:tcW w:w="1926" w:type="dxa"/>
          </w:tcPr>
          <w:p w:rsidR="001F67C1" w:rsidRDefault="001F67C1" w:rsidP="00AD51D4">
            <w:pPr>
              <w:pStyle w:val="Tablehead"/>
            </w:pPr>
            <w:r>
              <w:t>Terrestrial</w:t>
            </w:r>
          </w:p>
        </w:tc>
      </w:tr>
      <w:tr w:rsidR="001F67C1" w:rsidTr="008E3C29">
        <w:tc>
          <w:tcPr>
            <w:tcW w:w="1925" w:type="dxa"/>
          </w:tcPr>
          <w:p w:rsidR="001F67C1" w:rsidRDefault="001F67C1" w:rsidP="00AD51D4">
            <w:pPr>
              <w:pStyle w:val="Tabletext"/>
            </w:pPr>
            <w:r>
              <w:t>1</w:t>
            </w:r>
            <w:r>
              <w:rPr>
                <w:rFonts w:ascii="Tms Rmn" w:hAnsi="Tms Rmn"/>
                <w:sz w:val="12"/>
              </w:rPr>
              <w:t> </w:t>
            </w:r>
            <w:r>
              <w:t>670-1</w:t>
            </w:r>
            <w:r>
              <w:rPr>
                <w:rFonts w:ascii="Tms Rmn" w:hAnsi="Tms Rmn"/>
                <w:sz w:val="12"/>
              </w:rPr>
              <w:t> </w:t>
            </w:r>
            <w:r>
              <w:t>710 MHz</w:t>
            </w:r>
          </w:p>
        </w:tc>
        <w:tc>
          <w:tcPr>
            <w:tcW w:w="1926" w:type="dxa"/>
          </w:tcPr>
          <w:p w:rsidR="001F67C1" w:rsidRDefault="00AD51D4" w:rsidP="00AD51D4">
            <w:pPr>
              <w:pStyle w:val="Tabletext"/>
              <w:jc w:val="center"/>
            </w:pPr>
            <w:r>
              <w:rPr>
                <w:rFonts w:ascii="Times New Roman" w:hAnsi="Times New Roman"/>
              </w:rPr>
              <w:t>−</w:t>
            </w:r>
            <w:r>
              <w:t>173.9 dBW</w:t>
            </w:r>
            <w:r>
              <w:br/>
              <w:t>per 1</w:t>
            </w:r>
            <w:r w:rsidR="001F67C1">
              <w:t xml:space="preserve"> MHz</w:t>
            </w:r>
            <w:r w:rsidR="001F67C1">
              <w:rPr>
                <w:position w:val="6"/>
                <w:sz w:val="14"/>
              </w:rPr>
              <w:t>(1)</w:t>
            </w:r>
          </w:p>
        </w:tc>
        <w:tc>
          <w:tcPr>
            <w:tcW w:w="1926" w:type="dxa"/>
          </w:tcPr>
          <w:p w:rsidR="001F67C1" w:rsidRDefault="00AD51D4" w:rsidP="00AD51D4">
            <w:pPr>
              <w:pStyle w:val="Tabletext"/>
              <w:jc w:val="center"/>
            </w:pPr>
            <w:r>
              <w:rPr>
                <w:rFonts w:ascii="Times New Roman" w:hAnsi="Times New Roman"/>
              </w:rPr>
              <w:t>−</w:t>
            </w:r>
            <w:r w:rsidR="001F67C1">
              <w:t>153.9</w:t>
            </w:r>
            <w:r>
              <w:t xml:space="preserve"> dBW</w:t>
            </w:r>
            <w:r>
              <w:br/>
              <w:t xml:space="preserve">per 1 </w:t>
            </w:r>
            <w:r w:rsidR="001F67C1">
              <w:t>MHz</w:t>
            </w:r>
            <w:r w:rsidR="001F67C1">
              <w:rPr>
                <w:position w:val="6"/>
                <w:sz w:val="14"/>
              </w:rPr>
              <w:t>(1)</w:t>
            </w:r>
          </w:p>
        </w:tc>
        <w:tc>
          <w:tcPr>
            <w:tcW w:w="1926" w:type="dxa"/>
          </w:tcPr>
          <w:p w:rsidR="001F67C1" w:rsidRDefault="00AD51D4" w:rsidP="00AD51D4">
            <w:pPr>
              <w:pStyle w:val="Tabletext"/>
              <w:jc w:val="center"/>
            </w:pPr>
            <w:r>
              <w:rPr>
                <w:rFonts w:ascii="Times New Roman" w:hAnsi="Times New Roman"/>
              </w:rPr>
              <w:t>−</w:t>
            </w:r>
            <w:r w:rsidR="001F67C1">
              <w:t xml:space="preserve">150.3 </w:t>
            </w:r>
            <w:r>
              <w:t>dBW</w:t>
            </w:r>
            <w:r>
              <w:br/>
              <w:t>per 1</w:t>
            </w:r>
            <w:r w:rsidR="001F67C1">
              <w:t xml:space="preserve"> MHz</w:t>
            </w:r>
            <w:r w:rsidR="001F67C1">
              <w:rPr>
                <w:position w:val="6"/>
                <w:sz w:val="14"/>
              </w:rPr>
              <w:t>(1)</w:t>
            </w:r>
            <w:r w:rsidR="001F67C1">
              <w:br/>
            </w:r>
            <w:r w:rsidR="001F67C1">
              <w:rPr>
                <w:i/>
              </w:rPr>
              <w:t>p</w:t>
            </w:r>
            <w:r w:rsidR="001F67C1">
              <w:t xml:space="preserve"> </w:t>
            </w:r>
            <w:r w:rsidR="001F67C1">
              <w:rPr>
                <w:rFonts w:ascii="Symbol" w:hAnsi="Symbol"/>
              </w:rPr>
              <w:t></w:t>
            </w:r>
            <w:r w:rsidR="001F67C1">
              <w:t xml:space="preserve"> 0.0025</w:t>
            </w:r>
          </w:p>
        </w:tc>
        <w:tc>
          <w:tcPr>
            <w:tcW w:w="1926" w:type="dxa"/>
          </w:tcPr>
          <w:p w:rsidR="001F67C1" w:rsidRDefault="00AD51D4" w:rsidP="00AD51D4">
            <w:pPr>
              <w:pStyle w:val="Tabletext"/>
              <w:jc w:val="center"/>
            </w:pPr>
            <w:r>
              <w:rPr>
                <w:rFonts w:ascii="Times New Roman" w:hAnsi="Times New Roman"/>
              </w:rPr>
              <w:t>−</w:t>
            </w:r>
            <w:r w:rsidR="001F67C1">
              <w:t xml:space="preserve">148.7 </w:t>
            </w:r>
            <w:r>
              <w:t>dBW</w:t>
            </w:r>
            <w:r>
              <w:br/>
              <w:t xml:space="preserve">per 1 </w:t>
            </w:r>
            <w:r w:rsidR="001F67C1">
              <w:t>MHz</w:t>
            </w:r>
            <w:r w:rsidR="001F67C1">
              <w:rPr>
                <w:position w:val="6"/>
                <w:sz w:val="14"/>
              </w:rPr>
              <w:t>(1)</w:t>
            </w:r>
            <w:r w:rsidR="001F67C1">
              <w:rPr>
                <w:position w:val="6"/>
              </w:rPr>
              <w:br/>
            </w:r>
            <w:r w:rsidR="001F67C1">
              <w:rPr>
                <w:i/>
              </w:rPr>
              <w:t>p</w:t>
            </w:r>
            <w:r w:rsidR="001F67C1">
              <w:t xml:space="preserve"> </w:t>
            </w:r>
            <w:r w:rsidR="001F67C1">
              <w:rPr>
                <w:rFonts w:ascii="Symbol" w:hAnsi="Symbol"/>
              </w:rPr>
              <w:t></w:t>
            </w:r>
            <w:r w:rsidR="001F67C1">
              <w:t xml:space="preserve"> 0.011</w:t>
            </w:r>
          </w:p>
        </w:tc>
      </w:tr>
      <w:tr w:rsidR="001F67C1" w:rsidTr="00C21366">
        <w:tc>
          <w:tcPr>
            <w:tcW w:w="1925" w:type="dxa"/>
            <w:tcBorders>
              <w:bottom w:val="single" w:sz="4" w:space="0" w:color="auto"/>
            </w:tcBorders>
          </w:tcPr>
          <w:p w:rsidR="001F67C1" w:rsidRDefault="001F67C1" w:rsidP="00AD51D4">
            <w:pPr>
              <w:pStyle w:val="Tabletext"/>
            </w:pPr>
            <w:r>
              <w:t>25</w:t>
            </w:r>
            <w:r>
              <w:rPr>
                <w:rFonts w:ascii="Tms Rmn" w:hAnsi="Tms Rmn"/>
                <w:sz w:val="12"/>
              </w:rPr>
              <w:t>.</w:t>
            </w:r>
            <w:r>
              <w:t>5-27 GHz</w:t>
            </w:r>
          </w:p>
        </w:tc>
        <w:tc>
          <w:tcPr>
            <w:tcW w:w="1926" w:type="dxa"/>
            <w:tcBorders>
              <w:bottom w:val="single" w:sz="4" w:space="0" w:color="auto"/>
            </w:tcBorders>
          </w:tcPr>
          <w:p w:rsidR="001F67C1" w:rsidRDefault="00AD51D4" w:rsidP="00AD51D4">
            <w:pPr>
              <w:pStyle w:val="Tabletext"/>
              <w:jc w:val="center"/>
            </w:pPr>
            <w:r>
              <w:rPr>
                <w:rFonts w:ascii="Times New Roman" w:hAnsi="Times New Roman"/>
              </w:rPr>
              <w:t>−</w:t>
            </w:r>
            <w:r w:rsidR="001F67C1">
              <w:t>164.6 dBW</w:t>
            </w:r>
            <w:r w:rsidR="001F67C1">
              <w:br/>
              <w:t>per 10 MHz</w:t>
            </w:r>
            <w:r w:rsidR="001F67C1">
              <w:rPr>
                <w:position w:val="6"/>
                <w:sz w:val="14"/>
              </w:rPr>
              <w:t>(2)</w:t>
            </w:r>
          </w:p>
        </w:tc>
        <w:tc>
          <w:tcPr>
            <w:tcW w:w="1926" w:type="dxa"/>
            <w:tcBorders>
              <w:bottom w:val="single" w:sz="4" w:space="0" w:color="auto"/>
            </w:tcBorders>
          </w:tcPr>
          <w:p w:rsidR="001F67C1" w:rsidRDefault="00AD51D4" w:rsidP="00AD51D4">
            <w:pPr>
              <w:pStyle w:val="Tabletext"/>
              <w:jc w:val="center"/>
            </w:pPr>
            <w:r>
              <w:rPr>
                <w:rFonts w:ascii="Times New Roman" w:hAnsi="Times New Roman"/>
              </w:rPr>
              <w:t>−</w:t>
            </w:r>
            <w:r w:rsidR="001F67C1">
              <w:t>147.7 dBW</w:t>
            </w:r>
            <w:r w:rsidR="001F67C1">
              <w:br/>
              <w:t>per 10 MHz</w:t>
            </w:r>
            <w:r w:rsidR="001F67C1">
              <w:rPr>
                <w:position w:val="6"/>
                <w:sz w:val="14"/>
              </w:rPr>
              <w:t>(2)</w:t>
            </w:r>
          </w:p>
        </w:tc>
        <w:tc>
          <w:tcPr>
            <w:tcW w:w="1926" w:type="dxa"/>
            <w:tcBorders>
              <w:bottom w:val="single" w:sz="4" w:space="0" w:color="auto"/>
            </w:tcBorders>
          </w:tcPr>
          <w:p w:rsidR="001F67C1" w:rsidRDefault="00AD51D4" w:rsidP="00AD51D4">
            <w:pPr>
              <w:pStyle w:val="Tabletext"/>
              <w:jc w:val="center"/>
            </w:pPr>
            <w:r>
              <w:rPr>
                <w:rFonts w:ascii="Times New Roman" w:hAnsi="Times New Roman"/>
              </w:rPr>
              <w:t>−</w:t>
            </w:r>
            <w:r w:rsidR="001F67C1">
              <w:t>133.3 dBW</w:t>
            </w:r>
            <w:r w:rsidR="001F67C1">
              <w:br/>
              <w:t>per 10 MHz</w:t>
            </w:r>
            <w:r w:rsidR="001F67C1">
              <w:rPr>
                <w:position w:val="6"/>
                <w:sz w:val="14"/>
              </w:rPr>
              <w:t>(2)</w:t>
            </w:r>
            <w:r w:rsidR="001F67C1">
              <w:rPr>
                <w:vertAlign w:val="superscript"/>
              </w:rPr>
              <w:br/>
            </w:r>
            <w:r w:rsidR="001F67C1">
              <w:rPr>
                <w:i/>
                <w:iCs/>
              </w:rPr>
              <w:t>p</w:t>
            </w:r>
            <w:r w:rsidR="001F67C1">
              <w:t xml:space="preserve"> </w:t>
            </w:r>
            <w:r w:rsidR="001F67C1">
              <w:rPr>
                <w:rFonts w:ascii="Symbol" w:hAnsi="Symbol"/>
              </w:rPr>
              <w:t></w:t>
            </w:r>
            <w:r w:rsidR="001F67C1">
              <w:t xml:space="preserve"> 0.05</w:t>
            </w:r>
          </w:p>
        </w:tc>
        <w:tc>
          <w:tcPr>
            <w:tcW w:w="1926" w:type="dxa"/>
            <w:tcBorders>
              <w:bottom w:val="single" w:sz="4" w:space="0" w:color="auto"/>
            </w:tcBorders>
          </w:tcPr>
          <w:p w:rsidR="001F67C1" w:rsidRDefault="00AD51D4" w:rsidP="00AD51D4">
            <w:pPr>
              <w:pStyle w:val="Tabletext"/>
              <w:jc w:val="center"/>
            </w:pPr>
            <w:r>
              <w:rPr>
                <w:rFonts w:ascii="Times New Roman" w:hAnsi="Times New Roman"/>
              </w:rPr>
              <w:t>−</w:t>
            </w:r>
            <w:r w:rsidR="001F67C1">
              <w:t>133.0 dBW</w:t>
            </w:r>
            <w:r w:rsidR="001F67C1">
              <w:br/>
              <w:t>per 10 MHz</w:t>
            </w:r>
            <w:r w:rsidR="001F67C1">
              <w:rPr>
                <w:position w:val="6"/>
                <w:sz w:val="14"/>
              </w:rPr>
              <w:t>(2)</w:t>
            </w:r>
            <w:r w:rsidR="001F67C1">
              <w:br/>
            </w:r>
            <w:r w:rsidR="001F67C1">
              <w:rPr>
                <w:i/>
                <w:iCs/>
              </w:rPr>
              <w:t>p</w:t>
            </w:r>
            <w:r w:rsidR="001F67C1">
              <w:t xml:space="preserve"> </w:t>
            </w:r>
            <w:r w:rsidR="001F67C1">
              <w:rPr>
                <w:rFonts w:ascii="Symbol" w:hAnsi="Symbol"/>
              </w:rPr>
              <w:t></w:t>
            </w:r>
            <w:r w:rsidR="001F67C1">
              <w:t xml:space="preserve"> 0.1</w:t>
            </w:r>
          </w:p>
        </w:tc>
      </w:tr>
      <w:tr w:rsidR="001F67C1" w:rsidRPr="0058029E" w:rsidTr="00C21366">
        <w:tc>
          <w:tcPr>
            <w:tcW w:w="9629" w:type="dxa"/>
            <w:gridSpan w:val="5"/>
            <w:tcBorders>
              <w:left w:val="nil"/>
              <w:bottom w:val="nil"/>
              <w:right w:val="nil"/>
            </w:tcBorders>
            <w:tcMar>
              <w:top w:w="113" w:type="dxa"/>
              <w:bottom w:w="113" w:type="dxa"/>
            </w:tcMar>
            <w:vAlign w:val="center"/>
          </w:tcPr>
          <w:p w:rsidR="001F67C1" w:rsidRPr="00C21366" w:rsidRDefault="001F67C1" w:rsidP="00AD51D4">
            <w:pPr>
              <w:pStyle w:val="Tabletext"/>
              <w:ind w:left="284" w:hanging="284"/>
              <w:rPr>
                <w:lang w:val="en-GB"/>
              </w:rPr>
            </w:pPr>
            <w:r w:rsidRPr="00C21366">
              <w:rPr>
                <w:position w:val="6"/>
                <w:sz w:val="14"/>
                <w:lang w:val="en-GB"/>
              </w:rPr>
              <w:t>(1)</w:t>
            </w:r>
            <w:r w:rsidRPr="00C21366">
              <w:rPr>
                <w:lang w:val="en-GB"/>
              </w:rPr>
              <w:tab/>
              <w:t xml:space="preserve">The interfering signal powers (dBW) in the reference bandwidths are specified for reception at elevation angles </w:t>
            </w:r>
            <w:r>
              <w:rPr>
                <w:rFonts w:ascii="Symbol" w:hAnsi="Symbol"/>
              </w:rPr>
              <w:t></w:t>
            </w:r>
            <w:r w:rsidRPr="00C21366">
              <w:rPr>
                <w:lang w:val="en-GB"/>
              </w:rPr>
              <w:t> 3</w:t>
            </w:r>
            <w:r>
              <w:rPr>
                <w:rFonts w:ascii="Symbol" w:hAnsi="Symbol"/>
              </w:rPr>
              <w:t></w:t>
            </w:r>
            <w:r w:rsidRPr="00C21366">
              <w:rPr>
                <w:lang w:val="en-GB"/>
              </w:rPr>
              <w:t>.</w:t>
            </w:r>
          </w:p>
          <w:p w:rsidR="00C21366" w:rsidRPr="0058029E" w:rsidRDefault="001F67C1" w:rsidP="00C21366">
            <w:pPr>
              <w:pStyle w:val="Tabletext"/>
              <w:ind w:left="284" w:hanging="284"/>
              <w:rPr>
                <w:lang w:val="en-GB"/>
              </w:rPr>
            </w:pPr>
            <w:r w:rsidRPr="0058029E">
              <w:rPr>
                <w:position w:val="6"/>
                <w:sz w:val="14"/>
                <w:lang w:val="en-GB"/>
              </w:rPr>
              <w:t>(2)</w:t>
            </w:r>
            <w:r w:rsidRPr="0058029E">
              <w:rPr>
                <w:lang w:val="en-GB"/>
              </w:rPr>
              <w:tab/>
              <w:t xml:space="preserve">The interfering signal powers (dBW) in the reference bandwidths are specified for reception at elevation angles </w:t>
            </w:r>
            <w:r>
              <w:rPr>
                <w:rFonts w:ascii="Symbol" w:hAnsi="Symbol"/>
              </w:rPr>
              <w:t></w:t>
            </w:r>
            <w:r w:rsidRPr="0058029E">
              <w:rPr>
                <w:lang w:val="en-GB"/>
              </w:rPr>
              <w:t> 5</w:t>
            </w:r>
            <w:r>
              <w:rPr>
                <w:rFonts w:ascii="Symbol" w:hAnsi="Symbol"/>
              </w:rPr>
              <w:t></w:t>
            </w:r>
            <w:r w:rsidRPr="0058029E">
              <w:rPr>
                <w:lang w:val="en-GB"/>
              </w:rPr>
              <w:t>.</w:t>
            </w:r>
          </w:p>
        </w:tc>
      </w:tr>
      <w:tr w:rsidR="00C21366" w:rsidRPr="0058029E" w:rsidTr="00C21366">
        <w:tc>
          <w:tcPr>
            <w:tcW w:w="9629" w:type="dxa"/>
            <w:gridSpan w:val="5"/>
            <w:tcBorders>
              <w:top w:val="nil"/>
              <w:left w:val="nil"/>
              <w:bottom w:val="nil"/>
              <w:right w:val="nil"/>
            </w:tcBorders>
            <w:tcMar>
              <w:top w:w="113" w:type="dxa"/>
              <w:bottom w:w="113" w:type="dxa"/>
            </w:tcMar>
            <w:vAlign w:val="center"/>
          </w:tcPr>
          <w:p w:rsidR="00C21366" w:rsidRPr="0058029E" w:rsidRDefault="00C21366" w:rsidP="008E3C29">
            <w:pPr>
              <w:pStyle w:val="Tabletext"/>
              <w:ind w:left="284" w:hanging="284"/>
              <w:rPr>
                <w:position w:val="6"/>
                <w:sz w:val="14"/>
                <w:lang w:val="en-GB"/>
              </w:rPr>
            </w:pPr>
          </w:p>
        </w:tc>
      </w:tr>
    </w:tbl>
    <w:p w:rsidR="00C21366" w:rsidRDefault="00C21366" w:rsidP="00C21366">
      <w:pPr>
        <w:pStyle w:val="TableLegend0"/>
        <w:rPr>
          <w:i/>
        </w:rPr>
      </w:pPr>
      <w:r>
        <w:rPr>
          <w:i/>
        </w:rPr>
        <w:br w:type="page"/>
      </w:r>
    </w:p>
    <w:p w:rsidR="00C21366" w:rsidRPr="0058029E" w:rsidRDefault="00C21366" w:rsidP="00C21366">
      <w:pPr>
        <w:pStyle w:val="Tabletext"/>
        <w:rPr>
          <w:i/>
          <w:iCs/>
          <w:lang w:val="en-GB"/>
        </w:rPr>
      </w:pPr>
      <w:r w:rsidRPr="0058029E">
        <w:rPr>
          <w:i/>
          <w:iCs/>
          <w:lang w:val="en-GB"/>
        </w:rPr>
        <w:lastRenderedPageBreak/>
        <w:t>Notes to Table 1:</w:t>
      </w:r>
    </w:p>
    <w:p w:rsidR="00C21366" w:rsidRPr="0058029E" w:rsidRDefault="00C21366" w:rsidP="00C21366">
      <w:pPr>
        <w:pStyle w:val="Tabletext"/>
        <w:rPr>
          <w:lang w:val="en-GB"/>
        </w:rPr>
      </w:pPr>
      <w:r w:rsidRPr="0058029E">
        <w:rPr>
          <w:lang w:val="en-GB"/>
        </w:rPr>
        <w:t>NOTE 1 – The single-entry interfering signal power thresholds in Table 1 is the permissible level of interfering signal power that falls within the specified reference bandwidth. Accordingly, the total power in interfering signals that are narrower than the reference bandwidth should be considered in frequency sharing analyses. In cases where the interfering bandwidth exceeds the reference bandwidth or does not fully overlap the passband of a specific receiver under study, the available frequency dependent rejection should be applied in conjunction with the specified permissible interference levels. The pertinent ITU-R SM Series Recommendations should be consulted for guidance on this matter.</w:t>
      </w:r>
    </w:p>
    <w:p w:rsidR="00C21366" w:rsidRPr="0058029E" w:rsidRDefault="00C21366" w:rsidP="00C21366">
      <w:pPr>
        <w:pStyle w:val="Tabletext"/>
        <w:rPr>
          <w:lang w:val="en-GB"/>
        </w:rPr>
      </w:pPr>
      <w:r w:rsidRPr="0058029E">
        <w:rPr>
          <w:lang w:val="en-GB"/>
        </w:rPr>
        <w:t>NOTE 2 – The sharing criteria presented in Table 1 are based on representative stations having the specified antenna gain values.</w:t>
      </w:r>
    </w:p>
    <w:p w:rsidR="00C21366" w:rsidRPr="0058029E" w:rsidRDefault="00C21366" w:rsidP="00C21366">
      <w:pPr>
        <w:pStyle w:val="Tabletext"/>
        <w:rPr>
          <w:lang w:val="en-GB"/>
        </w:rPr>
      </w:pPr>
      <w:r w:rsidRPr="0058029E">
        <w:rPr>
          <w:lang w:val="en-GB"/>
        </w:rPr>
        <w:t>NOTE 3 – In deriving the above sharing criteria from permissible total levels of interfering signal power, no allowance has been made for interference from spurious emissions.</w:t>
      </w:r>
    </w:p>
    <w:p w:rsidR="00C21366" w:rsidRPr="0058029E" w:rsidRDefault="00C21366" w:rsidP="00C21366">
      <w:pPr>
        <w:pStyle w:val="Tabletext"/>
        <w:rPr>
          <w:lang w:val="en-GB"/>
        </w:rPr>
      </w:pPr>
      <w:r w:rsidRPr="0058029E">
        <w:rPr>
          <w:lang w:val="en-GB"/>
        </w:rPr>
        <w:t>NOTE 4 – The specified level of single-entry interfering signal power may be directly converted to, and applied as, equivalent values of power flux-density only for earth stations that use low-gain, non-tracking antenna.</w:t>
      </w:r>
    </w:p>
    <w:p w:rsidR="00C21366" w:rsidRPr="0058029E" w:rsidRDefault="00C21366" w:rsidP="00C21366">
      <w:pPr>
        <w:pStyle w:val="Tabletext"/>
        <w:rPr>
          <w:lang w:val="en-GB"/>
        </w:rPr>
      </w:pPr>
      <w:r w:rsidRPr="0058029E">
        <w:rPr>
          <w:lang w:val="en-GB"/>
        </w:rPr>
        <w:t>NOTE 5 – Both the long-term (20% of the time) and short-term (</w:t>
      </w:r>
      <w:r w:rsidRPr="0058029E">
        <w:rPr>
          <w:i/>
          <w:iCs/>
          <w:lang w:val="en-GB"/>
        </w:rPr>
        <w:t>p</w:t>
      </w:r>
      <w:r w:rsidRPr="0058029E">
        <w:rPr>
          <w:lang w:val="en-GB"/>
        </w:rPr>
        <w:t>% of the time) sharing criteria are to be met in order for interference to be at or below permissible levels.</w:t>
      </w:r>
    </w:p>
    <w:p w:rsidR="00C21366" w:rsidRPr="001F67C1" w:rsidRDefault="00C21366" w:rsidP="00C21366">
      <w:pPr>
        <w:pStyle w:val="Tabletext"/>
        <w:rPr>
          <w:lang w:val="en-GB"/>
        </w:rPr>
      </w:pPr>
      <w:r w:rsidRPr="001F67C1">
        <w:rPr>
          <w:lang w:val="en-GB"/>
        </w:rPr>
        <w:t>NOTE 6 – Sharing criteria specified for terrestrial signal paths are applicable to transmitting stations in terrestrial services and transmitting earth stations.</w:t>
      </w:r>
    </w:p>
    <w:p w:rsidR="001F67C1" w:rsidRDefault="001F67C1" w:rsidP="001F67C1">
      <w:pPr>
        <w:rPr>
          <w:lang w:val="en-GB"/>
        </w:rPr>
      </w:pPr>
    </w:p>
    <w:p w:rsidR="00690F1F" w:rsidRPr="001F67C1" w:rsidRDefault="00690F1F" w:rsidP="001F67C1">
      <w:pPr>
        <w:rPr>
          <w:lang w:val="en-GB"/>
        </w:rPr>
      </w:pPr>
    </w:p>
    <w:p w:rsidR="001F67C1" w:rsidRPr="00690F1F" w:rsidRDefault="001F67C1" w:rsidP="00690F1F">
      <w:pPr>
        <w:pStyle w:val="AnnexNoTitle"/>
        <w:rPr>
          <w:lang w:val="en-GB"/>
        </w:rPr>
      </w:pPr>
      <w:r w:rsidRPr="00690F1F">
        <w:rPr>
          <w:lang w:val="en-GB"/>
        </w:rPr>
        <w:t>A</w:t>
      </w:r>
      <w:r w:rsidR="00690F1F" w:rsidRPr="00690F1F">
        <w:rPr>
          <w:lang w:val="en-GB"/>
        </w:rPr>
        <w:t xml:space="preserve">nnex </w:t>
      </w:r>
      <w:r w:rsidR="00690F1F" w:rsidRPr="00690F1F">
        <w:rPr>
          <w:lang w:val="en-GB"/>
        </w:rPr>
        <w:br/>
      </w:r>
      <w:r w:rsidR="00690F1F" w:rsidRPr="00690F1F">
        <w:rPr>
          <w:lang w:val="en-GB"/>
        </w:rPr>
        <w:br/>
      </w:r>
      <w:r w:rsidRPr="00690F1F">
        <w:rPr>
          <w:lang w:val="en-GB"/>
        </w:rPr>
        <w:t>Basis for determination of the sharing criteria</w:t>
      </w:r>
    </w:p>
    <w:p w:rsidR="001F67C1" w:rsidRPr="001F67C1" w:rsidRDefault="001F67C1" w:rsidP="001F67C1">
      <w:pPr>
        <w:pStyle w:val="Heading1"/>
        <w:rPr>
          <w:lang w:val="en-GB"/>
        </w:rPr>
      </w:pPr>
      <w:r w:rsidRPr="001F67C1">
        <w:rPr>
          <w:lang w:val="en-GB"/>
        </w:rPr>
        <w:t>1</w:t>
      </w:r>
      <w:r w:rsidRPr="001F67C1">
        <w:rPr>
          <w:lang w:val="en-GB"/>
        </w:rPr>
        <w:tab/>
        <w:t>Introduction</w:t>
      </w:r>
    </w:p>
    <w:p w:rsidR="001F67C1" w:rsidRPr="001F67C1" w:rsidRDefault="001F67C1" w:rsidP="001F67C1">
      <w:pPr>
        <w:rPr>
          <w:lang w:val="en-GB"/>
        </w:rPr>
      </w:pPr>
      <w:r w:rsidRPr="001F67C1">
        <w:rPr>
          <w:lang w:val="en-GB"/>
        </w:rPr>
        <w:t>This Annex presents the implementation of Recommendation ITU-R SA.1023 using the interference criteria given in Recommendation ITU</w:t>
      </w:r>
      <w:r w:rsidRPr="001F67C1">
        <w:rPr>
          <w:lang w:val="en-GB"/>
        </w:rPr>
        <w:noBreakHyphen/>
        <w:t>R SA.1160. The permissible interference levels are s</w:t>
      </w:r>
      <w:r w:rsidR="00690F1F">
        <w:rPr>
          <w:lang w:val="en-GB"/>
        </w:rPr>
        <w:t>ubdivided according to Recommen</w:t>
      </w:r>
      <w:r w:rsidRPr="001F67C1">
        <w:rPr>
          <w:lang w:val="en-GB"/>
        </w:rPr>
        <w:t>dation ITU-R SA.1023 into space and terrestrial categories and then into the number of anticipated interferers in each category. The basis for these allotments is shown in Table 2 and a discussion of the interference environment in each band is presented below.</w:t>
      </w:r>
    </w:p>
    <w:p w:rsidR="00690F1F" w:rsidRDefault="00690F1F" w:rsidP="001F67C1">
      <w:pPr>
        <w:pStyle w:val="TableNo"/>
        <w:rPr>
          <w:lang w:val="en-GB"/>
        </w:rPr>
      </w:pPr>
      <w:r>
        <w:rPr>
          <w:lang w:val="en-GB"/>
        </w:rPr>
        <w:br w:type="page"/>
      </w:r>
    </w:p>
    <w:p w:rsidR="001F67C1" w:rsidRPr="001F67C1" w:rsidRDefault="001F67C1" w:rsidP="001F67C1">
      <w:pPr>
        <w:pStyle w:val="TableNo"/>
        <w:rPr>
          <w:lang w:val="en-GB"/>
        </w:rPr>
      </w:pPr>
      <w:r w:rsidRPr="001F67C1">
        <w:rPr>
          <w:lang w:val="en-GB"/>
        </w:rPr>
        <w:lastRenderedPageBreak/>
        <w:t>TABLE 2</w:t>
      </w:r>
    </w:p>
    <w:p w:rsidR="001F67C1" w:rsidRPr="001F67C1" w:rsidRDefault="001F67C1" w:rsidP="001F67C1">
      <w:pPr>
        <w:pStyle w:val="Tabletitle"/>
        <w:rPr>
          <w:lang w:val="en-GB"/>
        </w:rPr>
      </w:pPr>
      <w:r w:rsidRPr="001F67C1">
        <w:rPr>
          <w:lang w:val="en-GB"/>
        </w:rPr>
        <w:t>Parameters used to derive sharing criteria</w:t>
      </w:r>
      <w:r w:rsidRPr="001F67C1">
        <w:rPr>
          <w:lang w:val="en-GB"/>
        </w:rPr>
        <w:br/>
        <w:t>(using methodology in Recommendation ITU-R SA.1023)</w:t>
      </w:r>
    </w:p>
    <w:tbl>
      <w:tblPr>
        <w:tblStyle w:val="TableGrid"/>
        <w:tblW w:w="0" w:type="auto"/>
        <w:jc w:val="center"/>
        <w:tblLook w:val="04A0" w:firstRow="1" w:lastRow="0" w:firstColumn="1" w:lastColumn="0" w:noHBand="0" w:noVBand="1"/>
      </w:tblPr>
      <w:tblGrid>
        <w:gridCol w:w="1265"/>
        <w:gridCol w:w="848"/>
        <w:gridCol w:w="1243"/>
        <w:gridCol w:w="848"/>
        <w:gridCol w:w="1243"/>
        <w:gridCol w:w="848"/>
        <w:gridCol w:w="1243"/>
        <w:gridCol w:w="848"/>
        <w:gridCol w:w="1243"/>
      </w:tblGrid>
      <w:tr w:rsidR="001F67C1" w:rsidRPr="0058029E" w:rsidTr="00690F1F">
        <w:trPr>
          <w:jc w:val="center"/>
        </w:trPr>
        <w:tc>
          <w:tcPr>
            <w:tcW w:w="1265" w:type="dxa"/>
            <w:vMerge w:val="restart"/>
            <w:vAlign w:val="center"/>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Frequency band</w:t>
            </w:r>
          </w:p>
        </w:tc>
        <w:tc>
          <w:tcPr>
            <w:tcW w:w="2091" w:type="dxa"/>
            <w:gridSpan w:val="2"/>
            <w:vAlign w:val="center"/>
          </w:tcPr>
          <w:p w:rsidR="001F67C1" w:rsidRPr="0058029E" w:rsidRDefault="001F67C1" w:rsidP="00690F1F">
            <w:pPr>
              <w:pStyle w:val="Tablehead"/>
              <w:rPr>
                <w:rFonts w:asciiTheme="majorBidi" w:hAnsiTheme="majorBidi" w:cstheme="majorBidi"/>
                <w:sz w:val="20"/>
                <w:lang w:val="en-GB"/>
              </w:rPr>
            </w:pPr>
            <w:r w:rsidRPr="0058029E">
              <w:rPr>
                <w:rFonts w:asciiTheme="majorBidi" w:hAnsiTheme="majorBidi" w:cstheme="majorBidi"/>
                <w:sz w:val="20"/>
                <w:lang w:val="en-GB"/>
              </w:rPr>
              <w:t>Long-term apportionment between categories of interferers</w:t>
            </w:r>
          </w:p>
        </w:tc>
        <w:tc>
          <w:tcPr>
            <w:tcW w:w="2091" w:type="dxa"/>
            <w:gridSpan w:val="2"/>
            <w:vAlign w:val="center"/>
          </w:tcPr>
          <w:p w:rsidR="001F67C1" w:rsidRPr="0058029E" w:rsidRDefault="001F67C1" w:rsidP="00690F1F">
            <w:pPr>
              <w:pStyle w:val="Tablehead"/>
              <w:rPr>
                <w:rFonts w:asciiTheme="majorBidi" w:hAnsiTheme="majorBidi" w:cstheme="majorBidi"/>
                <w:sz w:val="20"/>
                <w:lang w:val="en-GB"/>
              </w:rPr>
            </w:pPr>
            <w:r w:rsidRPr="0058029E">
              <w:rPr>
                <w:rFonts w:asciiTheme="majorBidi" w:hAnsiTheme="majorBidi" w:cstheme="majorBidi"/>
                <w:sz w:val="20"/>
                <w:lang w:val="en-GB"/>
              </w:rPr>
              <w:t>Short-term apportionment between categories of interferers</w:t>
            </w:r>
          </w:p>
        </w:tc>
        <w:tc>
          <w:tcPr>
            <w:tcW w:w="2091" w:type="dxa"/>
            <w:gridSpan w:val="2"/>
            <w:vAlign w:val="center"/>
          </w:tcPr>
          <w:p w:rsidR="001F67C1" w:rsidRPr="0058029E" w:rsidRDefault="001F67C1" w:rsidP="00690F1F">
            <w:pPr>
              <w:pStyle w:val="Tablehead"/>
              <w:rPr>
                <w:rFonts w:asciiTheme="majorBidi" w:hAnsiTheme="majorBidi" w:cstheme="majorBidi"/>
                <w:sz w:val="20"/>
                <w:lang w:val="en-GB"/>
              </w:rPr>
            </w:pPr>
            <w:r w:rsidRPr="0058029E">
              <w:rPr>
                <w:rFonts w:asciiTheme="majorBidi" w:hAnsiTheme="majorBidi" w:cstheme="majorBidi"/>
                <w:sz w:val="20"/>
                <w:lang w:val="en-GB"/>
              </w:rPr>
              <w:t xml:space="preserve">Equivalent number </w:t>
            </w:r>
            <w:r w:rsidRPr="0058029E">
              <w:rPr>
                <w:rFonts w:asciiTheme="majorBidi" w:hAnsiTheme="majorBidi" w:cstheme="majorBidi"/>
                <w:sz w:val="20"/>
                <w:lang w:val="en-GB"/>
              </w:rPr>
              <w:br/>
              <w:t>of long-term</w:t>
            </w:r>
            <w:r w:rsidRPr="0058029E">
              <w:rPr>
                <w:rFonts w:asciiTheme="majorBidi" w:hAnsiTheme="majorBidi" w:cstheme="majorBidi"/>
                <w:sz w:val="20"/>
                <w:lang w:val="en-GB"/>
              </w:rPr>
              <w:br/>
              <w:t>interferers</w:t>
            </w:r>
          </w:p>
        </w:tc>
        <w:tc>
          <w:tcPr>
            <w:tcW w:w="2091" w:type="dxa"/>
            <w:gridSpan w:val="2"/>
            <w:vAlign w:val="center"/>
          </w:tcPr>
          <w:p w:rsidR="001F67C1" w:rsidRPr="0058029E" w:rsidRDefault="001F67C1" w:rsidP="00690F1F">
            <w:pPr>
              <w:pStyle w:val="Tablehead"/>
              <w:rPr>
                <w:rFonts w:asciiTheme="majorBidi" w:hAnsiTheme="majorBidi" w:cstheme="majorBidi"/>
                <w:sz w:val="20"/>
                <w:lang w:val="en-GB"/>
              </w:rPr>
            </w:pPr>
            <w:r w:rsidRPr="0058029E">
              <w:rPr>
                <w:rFonts w:asciiTheme="majorBidi" w:hAnsiTheme="majorBidi" w:cstheme="majorBidi"/>
                <w:sz w:val="20"/>
                <w:lang w:val="en-GB"/>
              </w:rPr>
              <w:t xml:space="preserve">Equivalent number </w:t>
            </w:r>
            <w:r w:rsidRPr="0058029E">
              <w:rPr>
                <w:rFonts w:asciiTheme="majorBidi" w:hAnsiTheme="majorBidi" w:cstheme="majorBidi"/>
                <w:sz w:val="20"/>
                <w:lang w:val="en-GB"/>
              </w:rPr>
              <w:br/>
              <w:t>of short-term</w:t>
            </w:r>
            <w:r w:rsidRPr="0058029E">
              <w:rPr>
                <w:rFonts w:asciiTheme="majorBidi" w:hAnsiTheme="majorBidi" w:cstheme="majorBidi"/>
                <w:sz w:val="20"/>
                <w:lang w:val="en-GB"/>
              </w:rPr>
              <w:br/>
              <w:t>interferers</w:t>
            </w:r>
          </w:p>
        </w:tc>
      </w:tr>
      <w:tr w:rsidR="001F67C1" w:rsidRPr="00690F1F" w:rsidTr="00690F1F">
        <w:trPr>
          <w:jc w:val="center"/>
        </w:trPr>
        <w:tc>
          <w:tcPr>
            <w:tcW w:w="1265" w:type="dxa"/>
            <w:vMerge/>
          </w:tcPr>
          <w:p w:rsidR="001F67C1" w:rsidRPr="00690F1F" w:rsidRDefault="001F67C1" w:rsidP="00690F1F">
            <w:pPr>
              <w:pStyle w:val="Tablehead"/>
              <w:rPr>
                <w:rFonts w:asciiTheme="majorBidi" w:hAnsiTheme="majorBidi" w:cstheme="majorBidi"/>
                <w:sz w:val="20"/>
                <w:lang w:val="en-GB"/>
              </w:rPr>
            </w:pPr>
          </w:p>
        </w:tc>
        <w:tc>
          <w:tcPr>
            <w:tcW w:w="2091" w:type="dxa"/>
            <w:gridSpan w:val="2"/>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Interfering</w:t>
            </w:r>
            <w:r w:rsidRPr="00690F1F">
              <w:rPr>
                <w:rFonts w:asciiTheme="majorBidi" w:hAnsiTheme="majorBidi" w:cstheme="majorBidi"/>
                <w:sz w:val="20"/>
              </w:rPr>
              <w:br/>
              <w:t>signal path</w:t>
            </w:r>
          </w:p>
        </w:tc>
        <w:tc>
          <w:tcPr>
            <w:tcW w:w="2091" w:type="dxa"/>
            <w:gridSpan w:val="2"/>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Interfering</w:t>
            </w:r>
            <w:r w:rsidRPr="00690F1F">
              <w:rPr>
                <w:rFonts w:asciiTheme="majorBidi" w:hAnsiTheme="majorBidi" w:cstheme="majorBidi"/>
                <w:sz w:val="20"/>
              </w:rPr>
              <w:br/>
              <w:t>signal path</w:t>
            </w:r>
          </w:p>
        </w:tc>
        <w:tc>
          <w:tcPr>
            <w:tcW w:w="2091" w:type="dxa"/>
            <w:gridSpan w:val="2"/>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Interfering</w:t>
            </w:r>
            <w:r w:rsidRPr="00690F1F">
              <w:rPr>
                <w:rFonts w:asciiTheme="majorBidi" w:hAnsiTheme="majorBidi" w:cstheme="majorBidi"/>
                <w:sz w:val="20"/>
              </w:rPr>
              <w:br/>
              <w:t>signal path</w:t>
            </w:r>
          </w:p>
        </w:tc>
        <w:tc>
          <w:tcPr>
            <w:tcW w:w="2091" w:type="dxa"/>
            <w:gridSpan w:val="2"/>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Interfering</w:t>
            </w:r>
            <w:r w:rsidRPr="00690F1F">
              <w:rPr>
                <w:rFonts w:asciiTheme="majorBidi" w:hAnsiTheme="majorBidi" w:cstheme="majorBidi"/>
                <w:sz w:val="20"/>
              </w:rPr>
              <w:br/>
              <w:t>signal path</w:t>
            </w:r>
          </w:p>
        </w:tc>
      </w:tr>
      <w:tr w:rsidR="001F67C1" w:rsidRPr="00690F1F" w:rsidTr="00690F1F">
        <w:trPr>
          <w:jc w:val="center"/>
        </w:trPr>
        <w:tc>
          <w:tcPr>
            <w:tcW w:w="1265" w:type="dxa"/>
            <w:vMerge/>
          </w:tcPr>
          <w:p w:rsidR="001F67C1" w:rsidRPr="00690F1F" w:rsidRDefault="001F67C1" w:rsidP="00690F1F">
            <w:pPr>
              <w:pStyle w:val="Tablehead"/>
              <w:rPr>
                <w:rFonts w:asciiTheme="majorBidi" w:hAnsiTheme="majorBidi" w:cstheme="majorBidi"/>
                <w:sz w:val="20"/>
              </w:rPr>
            </w:pPr>
          </w:p>
        </w:tc>
        <w:tc>
          <w:tcPr>
            <w:tcW w:w="848"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Space-Earth</w:t>
            </w:r>
          </w:p>
        </w:tc>
        <w:tc>
          <w:tcPr>
            <w:tcW w:w="1243"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Terrestrial</w:t>
            </w:r>
          </w:p>
        </w:tc>
        <w:tc>
          <w:tcPr>
            <w:tcW w:w="848"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Space-Earth</w:t>
            </w:r>
          </w:p>
        </w:tc>
        <w:tc>
          <w:tcPr>
            <w:tcW w:w="1243"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Terrestrial</w:t>
            </w:r>
          </w:p>
        </w:tc>
        <w:tc>
          <w:tcPr>
            <w:tcW w:w="848"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Space-Earth</w:t>
            </w:r>
          </w:p>
        </w:tc>
        <w:tc>
          <w:tcPr>
            <w:tcW w:w="1243"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Terrestrial</w:t>
            </w:r>
          </w:p>
        </w:tc>
        <w:tc>
          <w:tcPr>
            <w:tcW w:w="848"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Space-Earth</w:t>
            </w:r>
          </w:p>
        </w:tc>
        <w:tc>
          <w:tcPr>
            <w:tcW w:w="1243" w:type="dxa"/>
          </w:tcPr>
          <w:p w:rsidR="001F67C1" w:rsidRPr="00690F1F" w:rsidRDefault="001F67C1" w:rsidP="00690F1F">
            <w:pPr>
              <w:pStyle w:val="Tablehead"/>
              <w:rPr>
                <w:rFonts w:asciiTheme="majorBidi" w:hAnsiTheme="majorBidi" w:cstheme="majorBidi"/>
                <w:sz w:val="20"/>
              </w:rPr>
            </w:pPr>
            <w:r w:rsidRPr="00690F1F">
              <w:rPr>
                <w:rFonts w:asciiTheme="majorBidi" w:hAnsiTheme="majorBidi" w:cstheme="majorBidi"/>
                <w:sz w:val="20"/>
              </w:rPr>
              <w:t>Terrestrial</w:t>
            </w:r>
          </w:p>
        </w:tc>
      </w:tr>
      <w:tr w:rsidR="001F67C1" w:rsidRPr="00690F1F" w:rsidTr="00690F1F">
        <w:trPr>
          <w:jc w:val="center"/>
        </w:trPr>
        <w:tc>
          <w:tcPr>
            <w:tcW w:w="1265"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1 670-1 710 MHz</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99%</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10%</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90%</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2</w:t>
            </w:r>
          </w:p>
        </w:tc>
      </w:tr>
      <w:tr w:rsidR="001F67C1" w:rsidRPr="00690F1F" w:rsidTr="00690F1F">
        <w:trPr>
          <w:jc w:val="center"/>
        </w:trPr>
        <w:tc>
          <w:tcPr>
            <w:tcW w:w="1265"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25.5-27.0 GHz</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99%</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20%</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80%</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2</w:t>
            </w:r>
          </w:p>
        </w:tc>
        <w:tc>
          <w:tcPr>
            <w:tcW w:w="848"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1</w:t>
            </w:r>
          </w:p>
        </w:tc>
        <w:tc>
          <w:tcPr>
            <w:tcW w:w="1243" w:type="dxa"/>
          </w:tcPr>
          <w:p w:rsidR="001F67C1" w:rsidRPr="00690F1F" w:rsidRDefault="001F67C1" w:rsidP="00690F1F">
            <w:pPr>
              <w:pStyle w:val="Tabletext"/>
              <w:jc w:val="center"/>
              <w:rPr>
                <w:rFonts w:asciiTheme="majorBidi" w:hAnsiTheme="majorBidi" w:cstheme="majorBidi"/>
                <w:sz w:val="20"/>
              </w:rPr>
            </w:pPr>
            <w:r w:rsidRPr="00690F1F">
              <w:rPr>
                <w:rFonts w:asciiTheme="majorBidi" w:hAnsiTheme="majorBidi" w:cstheme="majorBidi"/>
                <w:sz w:val="20"/>
              </w:rPr>
              <w:t>2</w:t>
            </w:r>
          </w:p>
        </w:tc>
      </w:tr>
    </w:tbl>
    <w:p w:rsidR="001F67C1" w:rsidRDefault="001F67C1" w:rsidP="00690F1F">
      <w:pPr>
        <w:pStyle w:val="Tablefin"/>
      </w:pPr>
    </w:p>
    <w:p w:rsidR="001F67C1" w:rsidRDefault="001F67C1" w:rsidP="001F67C1">
      <w:pPr>
        <w:pStyle w:val="Heading1"/>
      </w:pPr>
      <w:r>
        <w:t>2</w:t>
      </w:r>
      <w:r>
        <w:tab/>
        <w:t>Considerations for the 1</w:t>
      </w:r>
      <w:r>
        <w:rPr>
          <w:rFonts w:ascii="Tms Rmn" w:hAnsi="Tms Rmn"/>
          <w:sz w:val="12"/>
        </w:rPr>
        <w:t> </w:t>
      </w:r>
      <w:r>
        <w:t>670-1</w:t>
      </w:r>
      <w:r>
        <w:rPr>
          <w:rFonts w:ascii="Tms Rmn" w:hAnsi="Tms Rmn"/>
          <w:sz w:val="12"/>
        </w:rPr>
        <w:t> </w:t>
      </w:r>
      <w:r>
        <w:t>710 MHz band</w:t>
      </w:r>
    </w:p>
    <w:p w:rsidR="001F67C1" w:rsidRPr="001F67C1" w:rsidRDefault="001F67C1" w:rsidP="001F67C1">
      <w:pPr>
        <w:rPr>
          <w:lang w:val="en-GB"/>
        </w:rPr>
      </w:pPr>
      <w:r w:rsidRPr="001F67C1">
        <w:rPr>
          <w:lang w:val="en-GB"/>
        </w:rPr>
        <w:t>The 1</w:t>
      </w:r>
      <w:r w:rsidRPr="001F67C1">
        <w:rPr>
          <w:sz w:val="12"/>
          <w:lang w:val="en-GB"/>
        </w:rPr>
        <w:t> </w:t>
      </w:r>
      <w:r w:rsidRPr="001F67C1">
        <w:rPr>
          <w:lang w:val="en-GB"/>
        </w:rPr>
        <w:t>670-1</w:t>
      </w:r>
      <w:r w:rsidRPr="001F67C1">
        <w:rPr>
          <w:sz w:val="12"/>
          <w:lang w:val="en-GB"/>
        </w:rPr>
        <w:t> </w:t>
      </w:r>
      <w:r w:rsidRPr="001F67C1">
        <w:rPr>
          <w:lang w:val="en-GB"/>
        </w:rPr>
        <w:t>690 MHz band is allocated on a primary basis to the MetSat (space-to-Earth), meteorological-aids and fixed services. In addition, the 1</w:t>
      </w:r>
      <w:r w:rsidRPr="001F67C1">
        <w:rPr>
          <w:sz w:val="12"/>
          <w:lang w:val="en-GB"/>
        </w:rPr>
        <w:t> </w:t>
      </w:r>
      <w:r w:rsidRPr="001F67C1">
        <w:rPr>
          <w:lang w:val="en-GB"/>
        </w:rPr>
        <w:t>670-1 675MHz band is allocated on a primary basis to the mobile and mobile-satellite (Earth-to-space) services whereas the 1 675</w:t>
      </w:r>
      <w:r w:rsidRPr="001F67C1">
        <w:rPr>
          <w:lang w:val="en-GB"/>
        </w:rPr>
        <w:noBreakHyphen/>
        <w:t xml:space="preserve">1 690 MHz band is allocated on a primary basis to the mobile (except aeronautical mobile) service. </w:t>
      </w:r>
    </w:p>
    <w:p w:rsidR="001F67C1" w:rsidRPr="001F67C1" w:rsidRDefault="001F67C1" w:rsidP="001F67C1">
      <w:pPr>
        <w:rPr>
          <w:lang w:val="en-GB"/>
        </w:rPr>
      </w:pPr>
      <w:r w:rsidRPr="001F67C1">
        <w:rPr>
          <w:lang w:val="en-GB"/>
        </w:rPr>
        <w:t>The 1</w:t>
      </w:r>
      <w:r w:rsidRPr="001F67C1">
        <w:rPr>
          <w:sz w:val="12"/>
          <w:lang w:val="en-GB"/>
        </w:rPr>
        <w:t> </w:t>
      </w:r>
      <w:r w:rsidRPr="001F67C1">
        <w:rPr>
          <w:lang w:val="en-GB"/>
        </w:rPr>
        <w:t>690-1</w:t>
      </w:r>
      <w:r w:rsidRPr="001F67C1">
        <w:rPr>
          <w:sz w:val="12"/>
          <w:lang w:val="en-GB"/>
        </w:rPr>
        <w:t> </w:t>
      </w:r>
      <w:r w:rsidRPr="001F67C1">
        <w:rPr>
          <w:lang w:val="en-GB"/>
        </w:rPr>
        <w:t>700 MHz band is allocated on a primary basis to the meteorological-aids and MetSat (space-to-Earth) services. The EESS is permitted provided such operations do not interfere with primary allocations. In five countries in Regions 2 and 3 a primary allocation exists for the fixed and mobile (except aeronautical mobile) services. In Region 1, the band is allocated to the fixed and mobile (except aeronautical mobile) services on a secondary allocation but, for a number of countries, these allocations are made on a primary basis.</w:t>
      </w:r>
    </w:p>
    <w:p w:rsidR="001F67C1" w:rsidRPr="001F67C1" w:rsidRDefault="001F67C1" w:rsidP="001F67C1">
      <w:pPr>
        <w:rPr>
          <w:lang w:val="en-GB"/>
        </w:rPr>
      </w:pPr>
      <w:r w:rsidRPr="001F67C1">
        <w:rPr>
          <w:lang w:val="en-GB"/>
        </w:rPr>
        <w:t>The 1</w:t>
      </w:r>
      <w:r w:rsidRPr="001F67C1">
        <w:rPr>
          <w:sz w:val="12"/>
          <w:lang w:val="en-GB"/>
        </w:rPr>
        <w:t> </w:t>
      </w:r>
      <w:r w:rsidRPr="001F67C1">
        <w:rPr>
          <w:lang w:val="en-GB"/>
        </w:rPr>
        <w:t>700-1</w:t>
      </w:r>
      <w:r w:rsidRPr="001F67C1">
        <w:rPr>
          <w:sz w:val="12"/>
          <w:lang w:val="en-GB"/>
        </w:rPr>
        <w:t> </w:t>
      </w:r>
      <w:r w:rsidRPr="001F67C1">
        <w:rPr>
          <w:lang w:val="en-GB"/>
        </w:rPr>
        <w:t>710 MHz band is allocated on a primary basis to the fixed, mobile (except aeronautical mobile), and MetSat (space</w:t>
      </w:r>
      <w:r w:rsidRPr="001F67C1">
        <w:rPr>
          <w:lang w:val="en-GB"/>
        </w:rPr>
        <w:noBreakHyphen/>
        <w:t>to-Earth) services. The EESS is permitted provided such operations do not interfere with primary allocations. In Region 3 space research (space-to-Earth) is allocated on a primary basis in three countries.</w:t>
      </w:r>
    </w:p>
    <w:p w:rsidR="001F67C1" w:rsidRPr="001F67C1" w:rsidRDefault="001F67C1" w:rsidP="001F67C1">
      <w:pPr>
        <w:rPr>
          <w:lang w:val="en-GB"/>
        </w:rPr>
      </w:pPr>
      <w:r w:rsidRPr="001F67C1">
        <w:rPr>
          <w:lang w:val="en-GB"/>
        </w:rPr>
        <w:t>Space-to-Earth systems in the 1</w:t>
      </w:r>
      <w:r w:rsidRPr="001F67C1">
        <w:rPr>
          <w:sz w:val="12"/>
          <w:lang w:val="en-GB"/>
        </w:rPr>
        <w:t> </w:t>
      </w:r>
      <w:r w:rsidRPr="001F67C1">
        <w:rPr>
          <w:lang w:val="en-GB"/>
        </w:rPr>
        <w:t>670-1</w:t>
      </w:r>
      <w:r w:rsidRPr="001F67C1">
        <w:rPr>
          <w:sz w:val="12"/>
          <w:lang w:val="en-GB"/>
        </w:rPr>
        <w:t> </w:t>
      </w:r>
      <w:r w:rsidRPr="001F67C1">
        <w:rPr>
          <w:lang w:val="en-GB"/>
        </w:rPr>
        <w:t>675 MHz band may need to limit their emissions in order to protect the radioastronomy service operating in the adjacent band, such that terrestrial stations produce most of the interference. Above 1</w:t>
      </w:r>
      <w:r w:rsidRPr="001F67C1">
        <w:rPr>
          <w:sz w:val="12"/>
          <w:lang w:val="en-GB"/>
        </w:rPr>
        <w:t> </w:t>
      </w:r>
      <w:r w:rsidRPr="001F67C1">
        <w:rPr>
          <w:lang w:val="en-GB"/>
        </w:rPr>
        <w:t>675 MHz, it is expected that a greater number of space stations will operate and produce about the same long</w:t>
      </w:r>
      <w:r w:rsidRPr="001F67C1">
        <w:rPr>
          <w:lang w:val="en-GB"/>
        </w:rPr>
        <w:noBreakHyphen/>
        <w:t>term interference levels as terrestrial systems and relatively greater interference levels in the short term (i.e. as a result of temporal variations in MetSat earth station antenna gain towards the interfering satellites). The expectation that mobile earth stations could contribute substantially to interference arriving via terrestrial paths does not warrant different interference allocations for interfering terrestrial paths in Region 2, since terrestrial stations and mobile earth stations are unlikely to use the same frequencies in the same area. Further information is provided in Recommendation ITU</w:t>
      </w:r>
      <w:r w:rsidRPr="001F67C1">
        <w:rPr>
          <w:lang w:val="en-GB"/>
        </w:rPr>
        <w:noBreakHyphen/>
        <w:t>R SA.1158.</w:t>
      </w:r>
    </w:p>
    <w:p w:rsidR="001F67C1" w:rsidRPr="001F67C1" w:rsidRDefault="001F67C1" w:rsidP="001F67C1">
      <w:pPr>
        <w:pStyle w:val="Heading1"/>
        <w:rPr>
          <w:lang w:val="en-GB"/>
        </w:rPr>
      </w:pPr>
      <w:r w:rsidRPr="001F67C1">
        <w:rPr>
          <w:lang w:val="en-GB"/>
        </w:rPr>
        <w:lastRenderedPageBreak/>
        <w:t>3</w:t>
      </w:r>
      <w:r w:rsidRPr="001F67C1">
        <w:rPr>
          <w:lang w:val="en-GB"/>
        </w:rPr>
        <w:tab/>
        <w:t>Considerations for the 25.5-27 GHz band</w:t>
      </w:r>
    </w:p>
    <w:p w:rsidR="001F67C1" w:rsidRDefault="001F67C1" w:rsidP="001F67C1">
      <w:pPr>
        <w:rPr>
          <w:lang w:val="en-US"/>
        </w:rPr>
      </w:pPr>
      <w:r w:rsidRPr="004221B2">
        <w:rPr>
          <w:lang w:val="en-US"/>
        </w:rPr>
        <w:t>The 25.5-27.0 GHz band is allocated to the Earth exploration-satellite and space research (space</w:t>
      </w:r>
      <w:r>
        <w:rPr>
          <w:lang w:val="en-US"/>
        </w:rPr>
        <w:noBreakHyphen/>
      </w:r>
      <w:r w:rsidRPr="004221B2">
        <w:rPr>
          <w:lang w:val="en-US"/>
        </w:rPr>
        <w:t>to</w:t>
      </w:r>
      <w:r>
        <w:rPr>
          <w:lang w:val="en-US"/>
        </w:rPr>
        <w:noBreakHyphen/>
      </w:r>
      <w:r w:rsidRPr="004221B2">
        <w:rPr>
          <w:lang w:val="en-US"/>
        </w:rPr>
        <w:t xml:space="preserve">Earth), fixed, mobile, </w:t>
      </w:r>
      <w:r w:rsidRPr="00631E55">
        <w:rPr>
          <w:lang w:val="en-US"/>
        </w:rPr>
        <w:t xml:space="preserve">and inter-satellite services </w:t>
      </w:r>
      <w:r w:rsidRPr="00F03195">
        <w:rPr>
          <w:lang w:val="en-US"/>
        </w:rPr>
        <w:t>on a primary basis</w:t>
      </w:r>
      <w:r w:rsidRPr="00631E55">
        <w:rPr>
          <w:lang w:val="en-US"/>
        </w:rPr>
        <w:t>. Potential sources of interference on Earth exploration-satellite space-to-</w:t>
      </w:r>
      <w:r w:rsidRPr="004221B2">
        <w:rPr>
          <w:lang w:val="en-US"/>
        </w:rPr>
        <w:t>Earth paths are other Earth exploration-satellite system satellites, inter</w:t>
      </w:r>
      <w:r w:rsidRPr="004221B2">
        <w:rPr>
          <w:lang w:val="en-US"/>
        </w:rPr>
        <w:noBreakHyphen/>
        <w:t>satellite service satellites and terrestrial fixed and mobile systems. No long</w:t>
      </w:r>
      <w:r>
        <w:rPr>
          <w:lang w:val="en-US"/>
        </w:rPr>
        <w:noBreakHyphen/>
      </w:r>
      <w:r w:rsidRPr="004221B2">
        <w:rPr>
          <w:lang w:val="en-US"/>
        </w:rPr>
        <w:t>term interference is assumed to occur on the Earth exploration-satellite space-to-Earth path due to Earth exploration-satellite and inter-satellite service sat</w:t>
      </w:r>
      <w:r>
        <w:rPr>
          <w:lang w:val="en-US"/>
        </w:rPr>
        <w:t xml:space="preserve">ellite emissions because of either the </w:t>
      </w:r>
      <w:r w:rsidRPr="004221B2">
        <w:rPr>
          <w:lang w:val="en-US"/>
        </w:rPr>
        <w:t xml:space="preserve">constant movement of the </w:t>
      </w:r>
      <w:r>
        <w:rPr>
          <w:lang w:val="en-US"/>
        </w:rPr>
        <w:t xml:space="preserve">non-GSO </w:t>
      </w:r>
      <w:r w:rsidRPr="004221B2">
        <w:rPr>
          <w:lang w:val="en-US"/>
        </w:rPr>
        <w:t xml:space="preserve">satellites </w:t>
      </w:r>
      <w:r>
        <w:rPr>
          <w:lang w:val="en-US"/>
        </w:rPr>
        <w:t>or the fact that GSO satellites operates on a coordinated basis. Most of the long-term interference to GSO EESS satellites is expected from terrestrial path.</w:t>
      </w:r>
    </w:p>
    <w:p w:rsidR="001F67C1" w:rsidRDefault="001F67C1" w:rsidP="001F67C1">
      <w:pPr>
        <w:rPr>
          <w:lang w:val="en-US"/>
        </w:rPr>
      </w:pPr>
      <w:r w:rsidRPr="004221B2">
        <w:rPr>
          <w:lang w:val="en-US"/>
        </w:rPr>
        <w:t>In the short term, interference may occur between Earth exploration</w:t>
      </w:r>
      <w:r w:rsidRPr="004221B2">
        <w:rPr>
          <w:lang w:val="en-US"/>
        </w:rPr>
        <w:noBreakHyphen/>
        <w:t>satellite and inter-satellite service satellite systems on space-to-Earth paths, although interference on terrestrial signal paths will predominate.</w:t>
      </w:r>
    </w:p>
    <w:p w:rsidR="001F67C1" w:rsidRDefault="001F67C1" w:rsidP="00C83E4D">
      <w:pPr>
        <w:pStyle w:val="Line"/>
      </w:pPr>
    </w:p>
    <w:sectPr w:rsidR="001F67C1" w:rsidSect="00BC03D6">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7C1" w:rsidRDefault="001F67C1">
      <w:r>
        <w:separator/>
      </w:r>
    </w:p>
  </w:endnote>
  <w:endnote w:type="continuationSeparator" w:id="0">
    <w:p w:rsidR="001F67C1" w:rsidRDefault="001F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7C1" w:rsidRDefault="001F67C1">
      <w:r>
        <w:separator/>
      </w:r>
    </w:p>
  </w:footnote>
  <w:footnote w:type="continuationSeparator" w:id="0">
    <w:p w:rsidR="001F67C1" w:rsidRDefault="001F6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7C1" w:rsidRDefault="001F67C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7C1" w:rsidRDefault="001F67C1" w:rsidP="00B033C8">
    <w:pPr>
      <w:pStyle w:val="Header"/>
      <w:ind w:right="360" w:firstLine="360"/>
    </w:pPr>
    <w:r>
      <w:rPr>
        <w:noProof/>
        <w:lang w:val="en-GB" w:eastAsia="en-GB"/>
      </w:rPr>
      <w:drawing>
        <wp:anchor distT="0" distB="0" distL="114300" distR="114300" simplePos="0" relativeHeight="251659264" behindDoc="1" locked="0" layoutInCell="1" allowOverlap="1" wp14:anchorId="30BEB7C8" wp14:editId="1F9D421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7C1" w:rsidRPr="00C95C69" w:rsidRDefault="001F67C1">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136C95">
      <w:rPr>
        <w:rStyle w:val="PageNumber"/>
        <w:b/>
        <w:bCs/>
        <w:noProof/>
        <w:lang w:val="fr-CH"/>
      </w:rPr>
      <w:t>ii</w:t>
    </w:r>
    <w:r>
      <w:rPr>
        <w:rStyle w:val="PageNumber"/>
        <w:b/>
        <w:bCs/>
      </w:rPr>
      <w:fldChar w:fldCharType="end"/>
    </w:r>
    <w:r w:rsidRPr="00C95C69">
      <w:rPr>
        <w:lang w:val="fr-CH"/>
      </w:rPr>
      <w:tab/>
    </w:r>
    <w:r w:rsidR="00136C95">
      <w:fldChar w:fldCharType="begin"/>
    </w:r>
    <w:r w:rsidR="00136C95">
      <w:instrText xml:space="preserve"> DOCPROPERTY "Header" \* MERGEFORMAT </w:instrText>
    </w:r>
    <w:r w:rsidR="00136C95">
      <w:fldChar w:fldCharType="separate"/>
    </w:r>
    <w:r w:rsidR="00136C95" w:rsidRPr="00136C95">
      <w:rPr>
        <w:b/>
        <w:bCs/>
        <w:lang w:val="fr-CH"/>
      </w:rPr>
      <w:t xml:space="preserve">Rec. </w:t>
    </w:r>
    <w:r w:rsidR="00136C95">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136C95">
      <w:rPr>
        <w:b/>
        <w:bCs/>
        <w:noProof/>
      </w:rPr>
      <w:t>ITU-R  SA.1161-2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7C1" w:rsidRDefault="001F67C1">
    <w:pPr>
      <w:pStyle w:val="Header"/>
    </w:pPr>
    <w:r>
      <w:tab/>
    </w:r>
    <w:r w:rsidR="00136C95">
      <w:fldChar w:fldCharType="begin"/>
    </w:r>
    <w:r w:rsidR="00136C95">
      <w:instrText xml:space="preserve"> DOCPROPERTY "Header" \* MERGEFORMAT </w:instrText>
    </w:r>
    <w:r w:rsidR="00136C95">
      <w:fldChar w:fldCharType="separate"/>
    </w:r>
    <w:r w:rsidR="00136C95" w:rsidRPr="00136C95">
      <w:rPr>
        <w:b/>
        <w:bCs/>
      </w:rPr>
      <w:t xml:space="preserve">Rec. </w:t>
    </w:r>
    <w:r w:rsidR="00136C95">
      <w:rPr>
        <w:b/>
        <w:bCs/>
      </w:rPr>
      <w:fldChar w:fldCharType="end"/>
    </w:r>
    <w:r>
      <w:rPr>
        <w:b/>
        <w:bCs/>
      </w:rPr>
      <w:t xml:space="preserve"> </w:t>
    </w:r>
    <w:r>
      <w:rPr>
        <w:b/>
        <w:bCs/>
      </w:rPr>
      <w:fldChar w:fldCharType="begin"/>
    </w:r>
    <w:r>
      <w:rPr>
        <w:b/>
        <w:bCs/>
      </w:rPr>
      <w:instrText>styleref href</w:instrText>
    </w:r>
    <w:r>
      <w:rPr>
        <w:b/>
        <w:bCs/>
      </w:rPr>
      <w:fldChar w:fldCharType="separate"/>
    </w:r>
    <w:r w:rsidR="00136C95">
      <w:rPr>
        <w:b/>
        <w:bCs/>
        <w:noProof/>
      </w:rPr>
      <w:t>ITU-R  SA.1161-2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03D6">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6C9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36C95" w:rsidRPr="00136C9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6C95">
      <w:rPr>
        <w:b/>
        <w:bCs/>
        <w:noProof/>
      </w:rPr>
      <w:t>ITU-R  SA.1161-2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136C95">
      <w:fldChar w:fldCharType="begin"/>
    </w:r>
    <w:r w:rsidR="00136C95">
      <w:instrText xml:space="preserve"> DOCPROPERTY "Header" \* MERGEFORMAT </w:instrText>
    </w:r>
    <w:r w:rsidR="00136C95">
      <w:fldChar w:fldCharType="separate"/>
    </w:r>
    <w:r w:rsidR="00136C95" w:rsidRPr="00136C95">
      <w:rPr>
        <w:b/>
        <w:bCs/>
      </w:rPr>
      <w:t xml:space="preserve">Rec. </w:t>
    </w:r>
    <w:r w:rsidR="00136C95">
      <w:rPr>
        <w:b/>
        <w:bCs/>
      </w:rPr>
      <w:fldChar w:fldCharType="end"/>
    </w:r>
    <w:r>
      <w:rPr>
        <w:b/>
        <w:bCs/>
      </w:rPr>
      <w:t xml:space="preserve"> </w:t>
    </w:r>
    <w:r>
      <w:rPr>
        <w:b/>
        <w:bCs/>
      </w:rPr>
      <w:fldChar w:fldCharType="begin"/>
    </w:r>
    <w:r>
      <w:rPr>
        <w:b/>
        <w:bCs/>
      </w:rPr>
      <w:instrText>styleref href</w:instrText>
    </w:r>
    <w:r>
      <w:rPr>
        <w:b/>
        <w:bCs/>
      </w:rPr>
      <w:fldChar w:fldCharType="separate"/>
    </w:r>
    <w:r w:rsidR="00136C95">
      <w:rPr>
        <w:b/>
        <w:bCs/>
        <w:noProof/>
      </w:rPr>
      <w:t>ITU-R  SA.1161-2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6C9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C1"/>
    <w:rsid w:val="001351D5"/>
    <w:rsid w:val="00136C95"/>
    <w:rsid w:val="001F67C1"/>
    <w:rsid w:val="00217EBF"/>
    <w:rsid w:val="00242AEE"/>
    <w:rsid w:val="002D76C4"/>
    <w:rsid w:val="0052529D"/>
    <w:rsid w:val="0058029E"/>
    <w:rsid w:val="00607D68"/>
    <w:rsid w:val="00690F1F"/>
    <w:rsid w:val="007468DA"/>
    <w:rsid w:val="009E00A8"/>
    <w:rsid w:val="00A6617B"/>
    <w:rsid w:val="00AB0DC8"/>
    <w:rsid w:val="00AD51D4"/>
    <w:rsid w:val="00B44E24"/>
    <w:rsid w:val="00BC03D6"/>
    <w:rsid w:val="00C04563"/>
    <w:rsid w:val="00C21366"/>
    <w:rsid w:val="00C83E4D"/>
    <w:rsid w:val="00D0764C"/>
    <w:rsid w:val="00DF4176"/>
    <w:rsid w:val="00EA63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DE05AD7B-5656-4E21-AD38-03C55ECF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7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67C1"/>
    <w:rPr>
      <w:color w:val="0000FF"/>
      <w:u w:val="single"/>
    </w:rPr>
  </w:style>
  <w:style w:type="paragraph" w:customStyle="1" w:styleId="AnnexNo">
    <w:name w:val="Annex_No"/>
    <w:basedOn w:val="Normal"/>
    <w:next w:val="Normal"/>
    <w:rsid w:val="001F67C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F67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1F67C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1F67C1"/>
    <w:pPr>
      <w:tabs>
        <w:tab w:val="clear" w:pos="794"/>
        <w:tab w:val="clear" w:pos="1191"/>
        <w:tab w:val="left" w:pos="1134"/>
      </w:tabs>
      <w:jc w:val="left"/>
    </w:pPr>
    <w:rPr>
      <w:lang w:val="en-GB"/>
    </w:rPr>
  </w:style>
  <w:style w:type="paragraph" w:customStyle="1" w:styleId="TableLegend0">
    <w:name w:val="Table_Legend"/>
    <w:basedOn w:val="Normal"/>
    <w:next w:val="Normal"/>
    <w:rsid w:val="001F67C1"/>
    <w:pPr>
      <w:keepNext/>
      <w:spacing w:before="86" w:line="199" w:lineRule="exact"/>
      <w:ind w:left="-85" w:right="-85"/>
    </w:pPr>
    <w:rPr>
      <w:sz w:val="18"/>
      <w:lang w:val="en-GB"/>
    </w:rPr>
  </w:style>
  <w:style w:type="paragraph" w:customStyle="1" w:styleId="TableText0">
    <w:name w:val="Table_Text"/>
    <w:basedOn w:val="TableLegend0"/>
    <w:rsid w:val="001F67C1"/>
    <w:pPr>
      <w:spacing w:before="100" w:after="100" w:line="190" w:lineRule="exact"/>
      <w:ind w:left="0" w:right="0"/>
    </w:pPr>
  </w:style>
  <w:style w:type="table" w:styleId="TableGrid">
    <w:name w:val="Table Grid"/>
    <w:basedOn w:val="TableNormal"/>
    <w:rsid w:val="001F67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Pages>
  <Words>1929</Words>
  <Characters>11521</Characters>
  <Application>Microsoft Office Word</Application>
  <DocSecurity>0</DocSecurity>
  <Lines>720</Lines>
  <Paragraphs>203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2017-11-07T08:06:00Z</cp:lastPrinted>
  <dcterms:created xsi:type="dcterms:W3CDTF">2017-06-16T05:36:00Z</dcterms:created>
  <dcterms:modified xsi:type="dcterms:W3CDTF">2017-11-07T08:08:00Z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