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013002" w:rsidRPr="003B74E6" w:rsidRDefault="00013002">
      <w:pPr>
        <w:rPr>
          <w:lang w:val="ru-RU"/>
        </w:rPr>
      </w:pPr>
    </w:p>
    <w:p w:rsidR="00013002" w:rsidRPr="003B74E6" w:rsidRDefault="00013002">
      <w:pPr>
        <w:rPr>
          <w:lang w:val="ru-RU"/>
        </w:rPr>
      </w:pPr>
    </w:p>
    <w:p w:rsidR="00013002" w:rsidRPr="003B74E6" w:rsidRDefault="00013002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p w:rsidR="00FE79FE" w:rsidRPr="003B74E6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B74E6">
        <w:tc>
          <w:tcPr>
            <w:tcW w:w="10089" w:type="dxa"/>
          </w:tcPr>
          <w:p w:rsidR="00276D21" w:rsidRPr="003B74E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B74E6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A62A14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F2040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1155</w:t>
            </w:r>
            <w:proofErr w:type="spellEnd"/>
            <w:r w:rsidR="004F2040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3B74E6" w:rsidRDefault="00FE79FE" w:rsidP="004F204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F2040"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4F2040"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B74E6">
        <w:tc>
          <w:tcPr>
            <w:tcW w:w="10089" w:type="dxa"/>
          </w:tcPr>
          <w:p w:rsidR="00013002" w:rsidRPr="003B74E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3B74E6" w:rsidRDefault="004F2040" w:rsidP="004F204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Защитные критерии, относящиеся к эксплуатации спутниковых систем ретрансляции данных </w:t>
            </w:r>
          </w:p>
          <w:p w:rsidR="00A62A14" w:rsidRPr="003B74E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B74E6">
        <w:tc>
          <w:tcPr>
            <w:tcW w:w="10089" w:type="dxa"/>
          </w:tcPr>
          <w:p w:rsidR="009E3058" w:rsidRPr="003B74E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3B74E6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3B74E6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B74E6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B74E6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A62A14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proofErr w:type="spellEnd"/>
          </w:p>
          <w:p w:rsidR="00FE79FE" w:rsidRPr="003B74E6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B74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3B74E6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B74E6" w:rsidRDefault="00A71FE5" w:rsidP="00CD659B">
      <w:pPr>
        <w:spacing w:before="80"/>
        <w:rPr>
          <w:i/>
          <w:lang w:val="ru-RU"/>
        </w:rPr>
      </w:pPr>
    </w:p>
    <w:p w:rsidR="00FE79FE" w:rsidRPr="003B74E6" w:rsidRDefault="00FE79FE" w:rsidP="00CD659B">
      <w:pPr>
        <w:spacing w:before="80"/>
        <w:rPr>
          <w:i/>
          <w:lang w:val="ru-RU"/>
        </w:rPr>
      </w:pPr>
    </w:p>
    <w:p w:rsidR="00FE79FE" w:rsidRPr="003B74E6" w:rsidRDefault="00FE79FE" w:rsidP="00CD659B">
      <w:pPr>
        <w:spacing w:before="80"/>
        <w:rPr>
          <w:i/>
          <w:lang w:val="ru-RU"/>
        </w:rPr>
      </w:pPr>
    </w:p>
    <w:p w:rsidR="00FE79FE" w:rsidRPr="003B74E6" w:rsidRDefault="00FE79FE" w:rsidP="00CD659B">
      <w:pPr>
        <w:spacing w:before="80"/>
        <w:rPr>
          <w:i/>
          <w:lang w:val="ru-RU"/>
        </w:rPr>
      </w:pPr>
    </w:p>
    <w:p w:rsidR="00FE79FE" w:rsidRPr="003B74E6" w:rsidRDefault="00FE79FE" w:rsidP="00CD659B">
      <w:pPr>
        <w:spacing w:before="80"/>
        <w:rPr>
          <w:i/>
          <w:lang w:val="ru-RU"/>
        </w:rPr>
      </w:pPr>
    </w:p>
    <w:p w:rsidR="00A71FE5" w:rsidRPr="003B74E6" w:rsidRDefault="00A71FE5" w:rsidP="00CD659B">
      <w:pPr>
        <w:spacing w:before="80"/>
        <w:rPr>
          <w:i/>
          <w:lang w:val="ru-RU"/>
        </w:rPr>
      </w:pPr>
    </w:p>
    <w:p w:rsidR="00CD659B" w:rsidRPr="003B74E6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B74E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3B74E6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B74E6">
        <w:rPr>
          <w:b/>
          <w:bCs/>
          <w:szCs w:val="22"/>
          <w:lang w:val="ru-RU"/>
        </w:rPr>
        <w:lastRenderedPageBreak/>
        <w:t>Предисловие</w:t>
      </w:r>
    </w:p>
    <w:p w:rsidR="00F05137" w:rsidRPr="003B74E6" w:rsidRDefault="00F05137" w:rsidP="00F05137">
      <w:pPr>
        <w:rPr>
          <w:sz w:val="20"/>
          <w:lang w:val="ru-RU"/>
        </w:rPr>
      </w:pPr>
      <w:r w:rsidRPr="003B74E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3B74E6" w:rsidRDefault="00F05137" w:rsidP="00F05137">
      <w:pPr>
        <w:rPr>
          <w:sz w:val="20"/>
          <w:lang w:val="ru-RU"/>
        </w:rPr>
      </w:pPr>
      <w:r w:rsidRPr="003B74E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B74E6">
        <w:rPr>
          <w:sz w:val="20"/>
          <w:lang w:val="ru-RU"/>
        </w:rPr>
        <w:t>регламентарную</w:t>
      </w:r>
      <w:proofErr w:type="spellEnd"/>
      <w:r w:rsidRPr="003B74E6">
        <w:rPr>
          <w:sz w:val="20"/>
          <w:lang w:val="ru-RU"/>
        </w:rPr>
        <w:t xml:space="preserve"> и политическую функции Сектора радиосвязи. </w:t>
      </w:r>
    </w:p>
    <w:p w:rsidR="00F05137" w:rsidRPr="003B74E6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r w:rsidRPr="003B74E6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B74E6">
        <w:rPr>
          <w:b/>
          <w:bCs/>
          <w:szCs w:val="22"/>
          <w:lang w:val="ru-RU"/>
        </w:rPr>
        <w:t>ПИС</w:t>
      </w:r>
      <w:proofErr w:type="spellEnd"/>
      <w:r w:rsidRPr="003B74E6">
        <w:rPr>
          <w:b/>
          <w:bCs/>
          <w:szCs w:val="22"/>
          <w:lang w:val="ru-RU"/>
        </w:rPr>
        <w:t>)</w:t>
      </w:r>
    </w:p>
    <w:p w:rsidR="00F05137" w:rsidRPr="003B74E6" w:rsidRDefault="00F05137" w:rsidP="0094477C">
      <w:pPr>
        <w:rPr>
          <w:sz w:val="20"/>
          <w:lang w:val="ru-RU"/>
        </w:rPr>
      </w:pPr>
      <w:r w:rsidRPr="003B74E6">
        <w:rPr>
          <w:sz w:val="20"/>
          <w:lang w:val="ru-RU"/>
        </w:rPr>
        <w:t xml:space="preserve">Политика МСЭ-R в области </w:t>
      </w:r>
      <w:proofErr w:type="spellStart"/>
      <w:r w:rsidRPr="003B74E6">
        <w:rPr>
          <w:sz w:val="20"/>
          <w:lang w:val="ru-RU"/>
        </w:rPr>
        <w:t>ПИС</w:t>
      </w:r>
      <w:proofErr w:type="spellEnd"/>
      <w:r w:rsidRPr="003B74E6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3B74E6">
        <w:rPr>
          <w:sz w:val="20"/>
          <w:lang w:val="ru-RU"/>
        </w:rPr>
        <w:t>МЭК</w:t>
      </w:r>
      <w:proofErr w:type="spellEnd"/>
      <w:r w:rsidRPr="003B74E6">
        <w:rPr>
          <w:sz w:val="20"/>
          <w:lang w:val="ru-RU"/>
        </w:rPr>
        <w:t>, упоминаемой в Приложении 1 к Резолюции МСЭ-R</w:t>
      </w:r>
      <w:r w:rsidR="0094477C" w:rsidRPr="003B74E6">
        <w:rPr>
          <w:sz w:val="20"/>
          <w:lang w:val="ru-RU"/>
        </w:rPr>
        <w:t xml:space="preserve"> 1</w:t>
      </w:r>
      <w:r w:rsidRPr="003B74E6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3B74E6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3B74E6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3B74E6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3B74E6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3B74E6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3B74E6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B74E6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3B74E6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B74E6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3B74E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3B74E6">
        <w:rPr>
          <w:sz w:val="20"/>
          <w:lang w:val="ru-RU"/>
        </w:rPr>
        <w:t>МЭК</w:t>
      </w:r>
      <w:proofErr w:type="spellEnd"/>
      <w:r w:rsidRPr="003B74E6">
        <w:rPr>
          <w:sz w:val="20"/>
          <w:lang w:val="ru-RU"/>
        </w:rPr>
        <w:t xml:space="preserve"> и база данных патентной информации МСЭ-R.</w:t>
      </w:r>
    </w:p>
    <w:p w:rsidR="00F05137" w:rsidRPr="003B74E6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3B74E6" w:rsidTr="00D40BEE">
        <w:trPr>
          <w:jc w:val="center"/>
        </w:trPr>
        <w:tc>
          <w:tcPr>
            <w:tcW w:w="8856" w:type="dxa"/>
            <w:gridSpan w:val="2"/>
          </w:tcPr>
          <w:p w:rsidR="00F05137" w:rsidRPr="003B74E6" w:rsidRDefault="00F05137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B74E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3B74E6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B74E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3B74E6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3B74E6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3B74E6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3B74E6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3B74E6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3B74E6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3B74E6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3B74E6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3B74E6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3B74E6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3B74E6" w:rsidRDefault="00F0513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3B74E6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3B74E6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3B74E6" w:rsidRDefault="00B031B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3B74E6">
              <w:rPr>
                <w:sz w:val="20"/>
                <w:lang w:val="ru-RU"/>
              </w:rPr>
              <w:t>радиоопределения</w:t>
            </w:r>
            <w:proofErr w:type="spellEnd"/>
            <w:r w:rsidRPr="003B74E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color w:val="000080"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3B74E6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B74E6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3B74E6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B74E6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3B74E6" w:rsidTr="00D40BEE">
        <w:trPr>
          <w:jc w:val="center"/>
        </w:trPr>
        <w:tc>
          <w:tcPr>
            <w:tcW w:w="1188" w:type="dxa"/>
          </w:tcPr>
          <w:p w:rsidR="00F05137" w:rsidRPr="003B74E6" w:rsidRDefault="00F0513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B74E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3B74E6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B74E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3B74E6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3B74E6" w:rsidTr="00D40BEE">
        <w:trPr>
          <w:jc w:val="center"/>
        </w:trPr>
        <w:tc>
          <w:tcPr>
            <w:tcW w:w="8856" w:type="dxa"/>
          </w:tcPr>
          <w:p w:rsidR="00F05137" w:rsidRPr="003B74E6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B74E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B74E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3B74E6">
              <w:rPr>
                <w:i/>
                <w:iCs/>
                <w:sz w:val="20"/>
                <w:lang w:val="ru-RU"/>
              </w:rPr>
              <w:t> </w:t>
            </w:r>
            <w:r w:rsidRPr="003B74E6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3B74E6">
              <w:rPr>
                <w:i/>
                <w:iCs/>
                <w:sz w:val="20"/>
                <w:lang w:val="ru-RU"/>
              </w:rPr>
              <w:t xml:space="preserve"> 1</w:t>
            </w:r>
            <w:r w:rsidRPr="003B74E6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3B74E6" w:rsidRDefault="00F05137" w:rsidP="009271DF">
      <w:pPr>
        <w:spacing w:before="360"/>
        <w:jc w:val="right"/>
        <w:rPr>
          <w:sz w:val="20"/>
          <w:lang w:val="ru-RU"/>
        </w:rPr>
      </w:pPr>
      <w:r w:rsidRPr="003B74E6">
        <w:rPr>
          <w:i/>
          <w:iCs/>
          <w:sz w:val="20"/>
          <w:lang w:val="ru-RU"/>
        </w:rPr>
        <w:t>Электронная публикация</w:t>
      </w:r>
      <w:r w:rsidRPr="003B74E6">
        <w:rPr>
          <w:i/>
          <w:iCs/>
          <w:sz w:val="20"/>
          <w:lang w:val="ru-RU"/>
        </w:rPr>
        <w:br/>
      </w:r>
      <w:r w:rsidRPr="003B74E6">
        <w:rPr>
          <w:sz w:val="20"/>
          <w:lang w:val="ru-RU"/>
        </w:rPr>
        <w:t>Женева, 201</w:t>
      </w:r>
      <w:r w:rsidR="009271DF" w:rsidRPr="003B74E6">
        <w:rPr>
          <w:sz w:val="20"/>
          <w:lang w:val="ru-RU"/>
        </w:rPr>
        <w:t>5</w:t>
      </w:r>
      <w:r w:rsidRPr="003B74E6">
        <w:rPr>
          <w:sz w:val="20"/>
          <w:lang w:val="ru-RU"/>
        </w:rPr>
        <w:t xml:space="preserve"> г.</w:t>
      </w:r>
    </w:p>
    <w:p w:rsidR="00F05137" w:rsidRPr="003B74E6" w:rsidRDefault="00E60DAA" w:rsidP="009271D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B74E6">
        <w:rPr>
          <w:sz w:val="20"/>
          <w:lang w:val="ru-RU"/>
        </w:rPr>
        <w:sym w:font="Symbol" w:char="F0E3"/>
      </w:r>
      <w:r w:rsidRPr="003B74E6">
        <w:rPr>
          <w:sz w:val="20"/>
          <w:lang w:val="ru-RU"/>
        </w:rPr>
        <w:t xml:space="preserve"> ITU </w:t>
      </w:r>
      <w:bookmarkStart w:id="1" w:name="iiannee"/>
      <w:bookmarkEnd w:id="1"/>
      <w:r w:rsidRPr="003B74E6">
        <w:rPr>
          <w:sz w:val="20"/>
          <w:lang w:val="ru-RU"/>
        </w:rPr>
        <w:t>201</w:t>
      </w:r>
      <w:r w:rsidR="009271DF" w:rsidRPr="003B74E6">
        <w:rPr>
          <w:sz w:val="20"/>
          <w:lang w:val="ru-RU"/>
        </w:rPr>
        <w:t>5</w:t>
      </w:r>
    </w:p>
    <w:p w:rsidR="00E60DAA" w:rsidRPr="003B74E6" w:rsidRDefault="00F05137" w:rsidP="00E60DAA">
      <w:pPr>
        <w:rPr>
          <w:sz w:val="18"/>
          <w:szCs w:val="18"/>
          <w:lang w:val="ru-RU"/>
        </w:rPr>
      </w:pPr>
      <w:r w:rsidRPr="003B74E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3B74E6" w:rsidRDefault="00E60DAA" w:rsidP="00E60DAA">
      <w:pPr>
        <w:spacing w:before="160"/>
        <w:rPr>
          <w:i/>
          <w:sz w:val="20"/>
          <w:lang w:val="ru-RU"/>
        </w:rPr>
        <w:sectPr w:rsidR="00E60DAA" w:rsidRPr="003B74E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05915" w:rsidRPr="003B74E6" w:rsidRDefault="00FC4C8B" w:rsidP="00C05915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3B74E6">
        <w:rPr>
          <w:lang w:val="ru-RU"/>
        </w:rPr>
        <w:lastRenderedPageBreak/>
        <w:t xml:space="preserve">РЕКОМЕНДАЦИЯ  </w:t>
      </w:r>
      <w:r w:rsidRPr="003B74E6">
        <w:rPr>
          <w:rStyle w:val="href"/>
          <w:lang w:val="ru-RU"/>
        </w:rPr>
        <w:t>МСЭ</w:t>
      </w:r>
      <w:proofErr w:type="gramEnd"/>
      <w:r w:rsidRPr="003B74E6">
        <w:rPr>
          <w:rStyle w:val="href"/>
          <w:lang w:val="ru-RU"/>
        </w:rPr>
        <w:t xml:space="preserve">-R  </w:t>
      </w:r>
      <w:proofErr w:type="spellStart"/>
      <w:r w:rsidRPr="003B74E6">
        <w:rPr>
          <w:rStyle w:val="href"/>
          <w:lang w:val="ru-RU"/>
        </w:rPr>
        <w:t>SA.</w:t>
      </w:r>
      <w:r w:rsidR="00C05915" w:rsidRPr="003B74E6">
        <w:rPr>
          <w:rStyle w:val="href"/>
          <w:lang w:val="ru-RU"/>
        </w:rPr>
        <w:t>1155</w:t>
      </w:r>
      <w:proofErr w:type="spellEnd"/>
      <w:r w:rsidR="00C05915" w:rsidRPr="003B74E6">
        <w:rPr>
          <w:rStyle w:val="href"/>
          <w:lang w:val="ru-RU"/>
        </w:rPr>
        <w:t>-1</w:t>
      </w:r>
      <w:r w:rsidR="00C05915" w:rsidRPr="003B74E6">
        <w:rPr>
          <w:rStyle w:val="FootnoteReference"/>
          <w:szCs w:val="16"/>
          <w:lang w:val="ru-RU"/>
        </w:rPr>
        <w:footnoteReference w:customMarkFollows="1" w:id="1"/>
        <w:t>*</w:t>
      </w:r>
    </w:p>
    <w:p w:rsidR="00C05915" w:rsidRPr="003B74E6" w:rsidRDefault="00C05915" w:rsidP="00C05915">
      <w:pPr>
        <w:pStyle w:val="Rectitle"/>
        <w:rPr>
          <w:lang w:val="ru-RU"/>
        </w:rPr>
      </w:pPr>
      <w:r w:rsidRPr="003B74E6">
        <w:rPr>
          <w:lang w:val="ru-RU"/>
        </w:rPr>
        <w:t xml:space="preserve">Защитные критерии, относящиеся к эксплуатации спутниковых </w:t>
      </w:r>
      <w:r w:rsidRPr="003B74E6">
        <w:rPr>
          <w:lang w:val="ru-RU"/>
        </w:rPr>
        <w:br/>
        <w:t>систем ретрансляции данных</w:t>
      </w:r>
    </w:p>
    <w:p w:rsidR="00C05915" w:rsidRPr="003B74E6" w:rsidRDefault="00C05915" w:rsidP="00C05915">
      <w:pPr>
        <w:pStyle w:val="Recdate"/>
        <w:rPr>
          <w:sz w:val="28"/>
          <w:szCs w:val="28"/>
          <w:lang w:val="ru-RU"/>
        </w:rPr>
      </w:pPr>
      <w:r w:rsidRPr="003B74E6">
        <w:rPr>
          <w:lang w:val="ru-RU"/>
        </w:rPr>
        <w:t>(1995-2013)</w:t>
      </w:r>
    </w:p>
    <w:p w:rsidR="00C05915" w:rsidRPr="003B74E6" w:rsidRDefault="00C05915" w:rsidP="00C05915">
      <w:pPr>
        <w:pStyle w:val="HeadingSum"/>
        <w:rPr>
          <w:lang w:val="ru-RU"/>
        </w:rPr>
      </w:pPr>
      <w:r w:rsidRPr="003B74E6">
        <w:rPr>
          <w:lang w:val="ru-RU"/>
        </w:rPr>
        <w:t>Сфера применения</w:t>
      </w:r>
    </w:p>
    <w:p w:rsidR="00C05915" w:rsidRPr="003B74E6" w:rsidRDefault="00C05915" w:rsidP="00C05915">
      <w:pPr>
        <w:pStyle w:val="Summary"/>
        <w:rPr>
          <w:lang w:val="ru-RU"/>
        </w:rPr>
      </w:pPr>
      <w:r w:rsidRPr="003B74E6">
        <w:rPr>
          <w:lang w:val="ru-RU"/>
        </w:rPr>
        <w:t xml:space="preserve">В настоящей Рекомендации указаны защитные критерии для спутниковых систем ретрансляции данных, которые представлены в виде значений </w:t>
      </w:r>
      <w:r w:rsidRPr="003B74E6">
        <w:rPr>
          <w:i/>
          <w:iCs/>
          <w:lang w:val="ru-RU"/>
        </w:rPr>
        <w:t>I</w:t>
      </w:r>
      <w:r w:rsidRPr="003B74E6">
        <w:rPr>
          <w:lang w:val="ru-RU"/>
        </w:rPr>
        <w:t>/</w:t>
      </w:r>
      <w:r w:rsidRPr="003B74E6">
        <w:rPr>
          <w:i/>
          <w:iCs/>
          <w:lang w:val="ru-RU"/>
        </w:rPr>
        <w:t>N</w:t>
      </w:r>
      <w:r w:rsidRPr="003B74E6">
        <w:rPr>
          <w:lang w:val="ru-RU"/>
        </w:rPr>
        <w:t>, а также приводится вспомогательный анализ и текст, согласованные с критериями защиты и соответствующие им.</w:t>
      </w:r>
    </w:p>
    <w:p w:rsidR="00C05915" w:rsidRPr="003B74E6" w:rsidRDefault="00C05915" w:rsidP="002465C3">
      <w:pPr>
        <w:pStyle w:val="Normalaftertitle"/>
        <w:rPr>
          <w:lang w:val="ru-RU"/>
        </w:rPr>
      </w:pPr>
      <w:r w:rsidRPr="003B74E6">
        <w:rPr>
          <w:lang w:val="ru-RU"/>
        </w:rPr>
        <w:t>Ассамблея радиосвязи МСЭ,</w:t>
      </w:r>
    </w:p>
    <w:p w:rsidR="00C05915" w:rsidRPr="003B74E6" w:rsidRDefault="00C05915" w:rsidP="00C05915">
      <w:pPr>
        <w:pStyle w:val="Call"/>
        <w:rPr>
          <w:lang w:val="ru-RU"/>
        </w:rPr>
      </w:pPr>
      <w:r w:rsidRPr="003B74E6">
        <w:rPr>
          <w:lang w:val="ru-RU"/>
        </w:rPr>
        <w:t>учитывая</w:t>
      </w:r>
      <w:r w:rsidRPr="003B74E6">
        <w:rPr>
          <w:i w:val="0"/>
          <w:iCs/>
          <w:lang w:val="ru-RU"/>
        </w:rPr>
        <w:t>,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a)</w:t>
      </w:r>
      <w:r w:rsidRPr="003B74E6">
        <w:rPr>
          <w:lang w:val="ru-RU"/>
        </w:rPr>
        <w:tab/>
        <w:t xml:space="preserve">что спутниковые системы ретрансляции данных работают или планируются в соответствии с гипотетической эталонной системой, описанной в Рекомендации МСЭ-R </w:t>
      </w:r>
      <w:proofErr w:type="spellStart"/>
      <w:r w:rsidRPr="003B74E6">
        <w:rPr>
          <w:lang w:val="ru-RU"/>
        </w:rPr>
        <w:t>SA.1018</w:t>
      </w:r>
      <w:proofErr w:type="spellEnd"/>
      <w:r w:rsidRPr="003B74E6">
        <w:rPr>
          <w:lang w:val="ru-RU"/>
        </w:rPr>
        <w:t>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b)</w:t>
      </w:r>
      <w:r w:rsidRPr="003B74E6">
        <w:rPr>
          <w:lang w:val="ru-RU"/>
        </w:rPr>
        <w:tab/>
        <w:t>что эти спутниковые системы ретрансляции данных поддерживают линии с сильно различающимися характеристиками, как это описано в Приложении 1;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c)</w:t>
      </w:r>
      <w:r w:rsidRPr="003B74E6">
        <w:rPr>
          <w:lang w:val="ru-RU"/>
        </w:rPr>
        <w:tab/>
        <w:t>что предпочтительные полосы частот для спутниковых систем ретрансляции данных были определены в Рекомендации МСЭ</w:t>
      </w:r>
      <w:r w:rsidRPr="003B74E6">
        <w:rPr>
          <w:lang w:val="ru-RU"/>
        </w:rPr>
        <w:noBreakHyphen/>
        <w:t xml:space="preserve">R </w:t>
      </w:r>
      <w:proofErr w:type="spellStart"/>
      <w:r w:rsidRPr="003B74E6">
        <w:rPr>
          <w:lang w:val="ru-RU"/>
        </w:rPr>
        <w:t>SA.1019</w:t>
      </w:r>
      <w:proofErr w:type="spellEnd"/>
      <w:r w:rsidRPr="003B74E6">
        <w:rPr>
          <w:lang w:val="ru-RU"/>
        </w:rPr>
        <w:t>;</w:t>
      </w:r>
    </w:p>
    <w:p w:rsidR="00C05915" w:rsidRPr="003B74E6" w:rsidRDefault="00C05915" w:rsidP="00C05915">
      <w:pPr>
        <w:rPr>
          <w:sz w:val="24"/>
          <w:lang w:val="ru-RU"/>
        </w:rPr>
      </w:pPr>
      <w:r w:rsidRPr="003B74E6">
        <w:rPr>
          <w:i/>
          <w:iCs/>
          <w:lang w:val="ru-RU"/>
        </w:rPr>
        <w:t>d)</w:t>
      </w:r>
      <w:r w:rsidRPr="003B74E6">
        <w:rPr>
          <w:lang w:val="ru-RU"/>
        </w:rPr>
        <w:tab/>
        <w:t>что совместное использование частот спутниковыми системами ретрансляции данных и другими космическими и наземными системами радиосвязи требуется во всех предпочтительных полосах частот, определенных в Рекомендации МСЭ-R </w:t>
      </w:r>
      <w:proofErr w:type="spellStart"/>
      <w:r w:rsidRPr="003B74E6">
        <w:rPr>
          <w:lang w:val="ru-RU"/>
        </w:rPr>
        <w:t>SA.1019</w:t>
      </w:r>
      <w:proofErr w:type="spellEnd"/>
      <w:r w:rsidRPr="003B74E6">
        <w:rPr>
          <w:lang w:val="ru-RU"/>
        </w:rPr>
        <w:t>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e)</w:t>
      </w:r>
      <w:r w:rsidRPr="003B74E6">
        <w:rPr>
          <w:lang w:val="ru-RU"/>
        </w:rPr>
        <w:tab/>
        <w:t>что количество космических и наземных систем радиосвязи, совместно использующих полосы частот со спутниковыми системами ретрансляции данных, будет увеличиваться в будущем, тем самым увеличивая вероятность возникновения помех;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f)</w:t>
      </w:r>
      <w:r w:rsidRPr="003B74E6">
        <w:rPr>
          <w:lang w:val="ru-RU"/>
        </w:rPr>
        <w:tab/>
        <w:t>что запас линий для прямого и обратного каналов спутниковой ретрансляции данных обычно составляет от 2 до 4 дБ, но в некоторых случаях может составлять порядка 1 дБ;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g)</w:t>
      </w:r>
      <w:r w:rsidRPr="003B74E6">
        <w:rPr>
          <w:lang w:val="ru-RU"/>
        </w:rPr>
        <w:tab/>
        <w:t>что зачастую ограничивающим фактором является расчетный запас линии для канала космос-космос;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h)</w:t>
      </w:r>
      <w:r w:rsidRPr="003B74E6">
        <w:rPr>
          <w:lang w:val="ru-RU"/>
        </w:rPr>
        <w:tab/>
        <w:t>что спутниковая система ретрансляции данных будет передавать и принимать сигналы космических операций, космических исследований, спутниковой службы исследования Земли (</w:t>
      </w:r>
      <w:proofErr w:type="spellStart"/>
      <w:r w:rsidRPr="003B74E6">
        <w:rPr>
          <w:lang w:val="ru-RU"/>
        </w:rPr>
        <w:t>ССИЗ</w:t>
      </w:r>
      <w:proofErr w:type="spellEnd"/>
      <w:r w:rsidRPr="003B74E6">
        <w:rPr>
          <w:lang w:val="ru-RU"/>
        </w:rPr>
        <w:t>) и фиксированной спутниковой службы (</w:t>
      </w:r>
      <w:proofErr w:type="spellStart"/>
      <w:r w:rsidRPr="003B74E6">
        <w:rPr>
          <w:lang w:val="ru-RU"/>
        </w:rPr>
        <w:t>ФСС</w:t>
      </w:r>
      <w:proofErr w:type="spellEnd"/>
      <w:r w:rsidRPr="003B74E6">
        <w:rPr>
          <w:lang w:val="ru-RU"/>
        </w:rPr>
        <w:t>);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i/>
          <w:iCs/>
          <w:lang w:val="ru-RU"/>
        </w:rPr>
        <w:t>j)</w:t>
      </w:r>
      <w:r w:rsidRPr="003B74E6">
        <w:rPr>
          <w:lang w:val="ru-RU"/>
        </w:rPr>
        <w:tab/>
        <w:t>что подробная техническая информация относительно защитных критериев содержится в Приложении 1,</w:t>
      </w:r>
    </w:p>
    <w:p w:rsidR="00C05915" w:rsidRPr="003B74E6" w:rsidRDefault="00C05915" w:rsidP="00C05915">
      <w:pPr>
        <w:pStyle w:val="Call"/>
        <w:rPr>
          <w:lang w:val="ru-RU"/>
        </w:rPr>
      </w:pPr>
      <w:r w:rsidRPr="003B74E6">
        <w:rPr>
          <w:lang w:val="ru-RU"/>
        </w:rPr>
        <w:t>рекомендует</w:t>
      </w:r>
      <w:r w:rsidRPr="003B74E6">
        <w:rPr>
          <w:i w:val="0"/>
          <w:iCs/>
          <w:lang w:val="ru-RU"/>
        </w:rPr>
        <w:t>,</w:t>
      </w:r>
    </w:p>
    <w:p w:rsidR="00C05915" w:rsidRPr="003B74E6" w:rsidRDefault="00C05915" w:rsidP="00C05915">
      <w:pPr>
        <w:rPr>
          <w:sz w:val="24"/>
          <w:lang w:val="ru-RU"/>
        </w:rPr>
      </w:pPr>
      <w:r w:rsidRPr="003B74E6">
        <w:rPr>
          <w:b/>
          <w:lang w:val="ru-RU"/>
        </w:rPr>
        <w:t>1</w:t>
      </w:r>
      <w:r w:rsidRPr="003B74E6">
        <w:rPr>
          <w:lang w:val="ru-RU"/>
        </w:rPr>
        <w:tab/>
        <w:t>чтобы защитные критерии, указанные в соотношении максимальных агрегированных уровней спектральной мощности к плотности мощности системного шума от всех источников, не превышались более чем на 0,1% времени для различных линий спутниковых систем ретрансляции данных, как показано в таблице 1;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b/>
          <w:lang w:val="ru-RU"/>
        </w:rPr>
        <w:t>2</w:t>
      </w:r>
      <w:r w:rsidRPr="003B74E6">
        <w:rPr>
          <w:b/>
          <w:lang w:val="ru-RU"/>
        </w:rPr>
        <w:tab/>
      </w:r>
      <w:r w:rsidRPr="003B74E6">
        <w:rPr>
          <w:bCs/>
          <w:lang w:val="ru-RU"/>
        </w:rPr>
        <w:t>чтобы защитные критерии</w:t>
      </w:r>
      <w:r w:rsidRPr="003B74E6">
        <w:rPr>
          <w:b/>
          <w:lang w:val="ru-RU"/>
        </w:rPr>
        <w:t xml:space="preserve"> </w:t>
      </w:r>
      <w:r w:rsidRPr="003B74E6">
        <w:rPr>
          <w:lang w:val="ru-RU"/>
        </w:rPr>
        <w:t>в таблице 1 использовались как основание для разработки критериев совместного использования в исследованиях с другими космическими и наземными системами.</w:t>
      </w:r>
    </w:p>
    <w:p w:rsidR="00C05915" w:rsidRPr="003B74E6" w:rsidRDefault="00C05915" w:rsidP="00C05915">
      <w:pPr>
        <w:pStyle w:val="TableNo"/>
        <w:rPr>
          <w:sz w:val="24"/>
          <w:lang w:val="ru-RU"/>
        </w:rPr>
      </w:pPr>
      <w:r w:rsidRPr="003B74E6">
        <w:rPr>
          <w:lang w:val="ru-RU"/>
        </w:rPr>
        <w:lastRenderedPageBreak/>
        <w:t>ТАБЛИЦА 1</w:t>
      </w:r>
    </w:p>
    <w:p w:rsidR="00C05915" w:rsidRPr="003B74E6" w:rsidRDefault="00C05915" w:rsidP="00C05915">
      <w:pPr>
        <w:pStyle w:val="Tabletitle"/>
        <w:rPr>
          <w:lang w:val="ru-RU"/>
        </w:rPr>
      </w:pPr>
      <w:r w:rsidRPr="003B74E6">
        <w:rPr>
          <w:lang w:val="ru-RU"/>
        </w:rPr>
        <w:t>Защитные критерии</w:t>
      </w:r>
    </w:p>
    <w:tbl>
      <w:tblPr>
        <w:tblW w:w="8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5"/>
        <w:gridCol w:w="2815"/>
        <w:gridCol w:w="2696"/>
      </w:tblGrid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 xml:space="preserve">Спутниковая линия </w:t>
            </w:r>
            <w:r w:rsidRPr="003B74E6">
              <w:rPr>
                <w:lang w:val="ru-RU"/>
              </w:rPr>
              <w:br/>
              <w:t>ретрансляции данных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Местонахождение приемника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proofErr w:type="spellStart"/>
            <w:r w:rsidRPr="003B74E6">
              <w:rPr>
                <w:i/>
                <w:iCs/>
                <w:lang w:val="ru-RU"/>
              </w:rPr>
              <w:t>I</w:t>
            </w:r>
            <w:r w:rsidRPr="003B74E6">
              <w:rPr>
                <w:rFonts w:ascii="Times New Roman Bold" w:hAnsi="Times New Roman Bold" w:cs="Times New Roman Bold"/>
                <w:vertAlign w:val="subscript"/>
                <w:lang w:val="ru-RU"/>
              </w:rPr>
              <w:t>0</w:t>
            </w:r>
            <w:proofErr w:type="spellEnd"/>
            <w:r w:rsidRPr="003B74E6">
              <w:rPr>
                <w:lang w:val="ru-RU"/>
              </w:rPr>
              <w:t>/</w:t>
            </w:r>
            <w:proofErr w:type="spellStart"/>
            <w:r w:rsidRPr="003B74E6">
              <w:rPr>
                <w:i/>
                <w:iCs/>
                <w:lang w:val="ru-RU"/>
              </w:rPr>
              <w:t>N</w:t>
            </w:r>
            <w:r w:rsidRPr="003B74E6">
              <w:rPr>
                <w:rFonts w:ascii="Times New Roman Bold" w:hAnsi="Times New Roman Bold" w:cs="Times New Roman Bold"/>
                <w:vertAlign w:val="subscript"/>
                <w:lang w:val="ru-RU"/>
              </w:rPr>
              <w:t>0</w:t>
            </w:r>
            <w:proofErr w:type="spellEnd"/>
            <w:r w:rsidRPr="003B74E6">
              <w:rPr>
                <w:lang w:val="ru-RU"/>
              </w:rPr>
              <w:t xml:space="preserve"> </w:t>
            </w:r>
            <w:r w:rsidRPr="003B74E6">
              <w:rPr>
                <w:lang w:val="ru-RU"/>
              </w:rPr>
              <w:br/>
              <w:t>(дБ)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Прямая межорбитальная линия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  <w:r w:rsidRPr="003B74E6">
              <w:rPr>
                <w:lang w:val="ru-RU"/>
              </w:rPr>
              <w:t>Пользовательский космический аппарат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2 025–2 110 МГц</w:t>
            </w:r>
            <w:r w:rsidRPr="003B74E6">
              <w:rPr>
                <w:lang w:val="ru-RU"/>
              </w:rPr>
              <w:br/>
              <w:t>13,4–14,3 ГГц</w:t>
            </w:r>
            <w:r w:rsidRPr="003B74E6">
              <w:rPr>
                <w:lang w:val="ru-RU"/>
              </w:rPr>
              <w:br/>
              <w:t>22,55–23,55 ГГц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3B74E6">
              <w:rPr>
                <w:lang w:val="ru-RU"/>
              </w:rPr>
              <w:t>–10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Обратная межорбитальная линия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  <w:r w:rsidRPr="003B74E6">
              <w:rPr>
                <w:lang w:val="ru-RU"/>
              </w:rPr>
              <w:t>Спутник передачи данных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2 200–2 290 МГц</w:t>
            </w:r>
            <w:r w:rsidRPr="003B74E6">
              <w:rPr>
                <w:lang w:val="ru-RU"/>
              </w:rPr>
              <w:br/>
              <w:t>14,5–15,35 ГГц</w:t>
            </w:r>
            <w:r w:rsidRPr="003B74E6">
              <w:rPr>
                <w:lang w:val="ru-RU"/>
              </w:rPr>
              <w:br/>
              <w:t>25,25–27,5 ГГц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3B74E6">
              <w:rPr>
                <w:lang w:val="ru-RU"/>
              </w:rPr>
              <w:t>–10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Прямая фидерная линия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  <w:r w:rsidRPr="003B74E6">
              <w:rPr>
                <w:lang w:val="ru-RU"/>
              </w:rPr>
              <w:t>Спутник передачи данных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14,5–15,35 ГГц</w:t>
            </w:r>
            <w:r w:rsidRPr="003B74E6">
              <w:rPr>
                <w:lang w:val="ru-RU"/>
              </w:rPr>
              <w:br/>
              <w:t>27,5–31,0 ГГц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3B74E6">
              <w:rPr>
                <w:lang w:val="ru-RU"/>
              </w:rPr>
              <w:t>–6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Обратная фидерная линия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  <w:r w:rsidRPr="003B74E6">
              <w:rPr>
                <w:lang w:val="ru-RU"/>
              </w:rPr>
              <w:t>Земная станция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3B74E6" w:rsidTr="006567E1">
        <w:trPr>
          <w:cantSplit/>
          <w:jc w:val="center"/>
        </w:trPr>
        <w:tc>
          <w:tcPr>
            <w:tcW w:w="3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13,4–14,05 ГГц</w:t>
            </w:r>
            <w:r w:rsidRPr="003B74E6">
              <w:rPr>
                <w:lang w:val="ru-RU"/>
              </w:rPr>
              <w:br/>
              <w:t>10,7–10,95 ГГц</w:t>
            </w:r>
            <w:r w:rsidRPr="003B74E6">
              <w:rPr>
                <w:lang w:val="ru-RU"/>
              </w:rPr>
              <w:br/>
              <w:t>17,7–21,2 ГГц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3B74E6">
              <w:rPr>
                <w:lang w:val="ru-RU"/>
              </w:rPr>
              <w:t>–6</w:t>
            </w:r>
          </w:p>
        </w:tc>
      </w:tr>
    </w:tbl>
    <w:p w:rsidR="002465C3" w:rsidRPr="003B74E6" w:rsidRDefault="002465C3" w:rsidP="002465C3">
      <w:pPr>
        <w:pStyle w:val="Tablefin"/>
        <w:rPr>
          <w:lang w:val="ru-RU"/>
        </w:rPr>
      </w:pPr>
    </w:p>
    <w:p w:rsidR="00C05915" w:rsidRPr="003B74E6" w:rsidRDefault="00C05915" w:rsidP="002465C3">
      <w:pPr>
        <w:pStyle w:val="AnnexNoTitle"/>
        <w:rPr>
          <w:lang w:val="ru-RU"/>
        </w:rPr>
      </w:pPr>
      <w:r w:rsidRPr="003B74E6">
        <w:rPr>
          <w:lang w:val="ru-RU"/>
        </w:rPr>
        <w:t>Приложение 1</w:t>
      </w:r>
      <w:r w:rsidRPr="003B74E6">
        <w:rPr>
          <w:lang w:val="ru-RU"/>
        </w:rPr>
        <w:br/>
      </w:r>
      <w:r w:rsidRPr="003B74E6">
        <w:rPr>
          <w:lang w:val="ru-RU"/>
        </w:rPr>
        <w:br/>
        <w:t xml:space="preserve">Анализ чувствительности к помехам спутниковых линий </w:t>
      </w:r>
      <w:r w:rsidRPr="003B74E6">
        <w:rPr>
          <w:lang w:val="ru-RU"/>
        </w:rPr>
        <w:br/>
        <w:t>ретрансляции данных</w:t>
      </w:r>
    </w:p>
    <w:p w:rsidR="00C05915" w:rsidRPr="003B74E6" w:rsidRDefault="00C05915" w:rsidP="00C05915">
      <w:pPr>
        <w:pStyle w:val="Heading1"/>
        <w:rPr>
          <w:lang w:val="ru-RU"/>
        </w:rPr>
      </w:pPr>
      <w:r w:rsidRPr="003B74E6">
        <w:rPr>
          <w:lang w:val="ru-RU"/>
        </w:rPr>
        <w:t>1</w:t>
      </w:r>
      <w:r w:rsidRPr="003B74E6">
        <w:rPr>
          <w:lang w:val="ru-RU"/>
        </w:rPr>
        <w:tab/>
        <w:t>Введение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 xml:space="preserve">Значительная часть спектра, подходящего для космических исследований, также распределена одной или нескольким другим службам, и, следовательно, требуется совместное использование частот между службами. В настоящей Рекомендации обсуждаются факторы, которые влияют на чувствительность к помехам линий к геостационарным космическим станциям, работающим как спутники ретрансляции данных, от низкоорбитального космического аппарата в службах космических исследований, космической эксплуатации и </w:t>
      </w:r>
      <w:proofErr w:type="spellStart"/>
      <w:r w:rsidRPr="003B74E6">
        <w:rPr>
          <w:lang w:val="ru-RU"/>
        </w:rPr>
        <w:t>ССИЗ</w:t>
      </w:r>
      <w:proofErr w:type="spellEnd"/>
      <w:r w:rsidRPr="003B74E6">
        <w:rPr>
          <w:lang w:val="ru-RU"/>
        </w:rPr>
        <w:t xml:space="preserve">, а также от земных станций, работающих как в этих же службах, так и в </w:t>
      </w:r>
      <w:proofErr w:type="spellStart"/>
      <w:r w:rsidRPr="003B74E6">
        <w:rPr>
          <w:lang w:val="ru-RU"/>
        </w:rPr>
        <w:t>ФСС</w:t>
      </w:r>
      <w:proofErr w:type="spellEnd"/>
      <w:r w:rsidRPr="003B74E6">
        <w:rPr>
          <w:lang w:val="ru-RU"/>
        </w:rPr>
        <w:t>. В ней указываются надлежащие защитные критерии для этих служб в полосах частот от 2 до 30 ГГц. Защитные критерии предназначаются для использования в целях анализа координации и помех при отсутствии фактических данных систем.</w:t>
      </w:r>
    </w:p>
    <w:p w:rsidR="00C05915" w:rsidRPr="003B74E6" w:rsidRDefault="00C05915" w:rsidP="00C05915">
      <w:pPr>
        <w:pStyle w:val="Heading1"/>
        <w:rPr>
          <w:lang w:val="ru-RU"/>
        </w:rPr>
      </w:pPr>
      <w:r w:rsidRPr="003B74E6">
        <w:rPr>
          <w:lang w:val="ru-RU"/>
        </w:rPr>
        <w:t>2</w:t>
      </w:r>
      <w:r w:rsidRPr="003B74E6">
        <w:rPr>
          <w:lang w:val="ru-RU"/>
        </w:rPr>
        <w:tab/>
        <w:t>Общие соображения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Системы космических исследований, космической эксплуатации и исследования Земли в околоземной области всегда полагались на регулярные, помехоустойчивые двусторонние каналы связи между космическим аппаратом и центрами управления, а также другими установками на Земле. Развитие и распространение этих видов деятельности стало зависеть от спутников ретрансляции данных, которые описываются в Рекомендации МСЭ</w:t>
      </w:r>
      <w:r w:rsidRPr="003B74E6">
        <w:rPr>
          <w:lang w:val="ru-RU"/>
        </w:rPr>
        <w:noBreakHyphen/>
        <w:t xml:space="preserve">R </w:t>
      </w:r>
      <w:proofErr w:type="spellStart"/>
      <w:r w:rsidRPr="003B74E6">
        <w:rPr>
          <w:lang w:val="ru-RU"/>
        </w:rPr>
        <w:t>SA.1414</w:t>
      </w:r>
      <w:proofErr w:type="spellEnd"/>
      <w:r w:rsidRPr="003B74E6">
        <w:rPr>
          <w:lang w:val="ru-RU"/>
        </w:rPr>
        <w:t>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Эти операции зависят от линий космос-космос, которые сложнее проектировать и развертывать, чем линии космос-Земля, поскольку как передающая, так и приемная системы ограничены по массе и мощности, а в большинстве случаев также налагаются ограничения в отношении дистанционного управления и возможности обслуживания находящихся в космосе систем.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lastRenderedPageBreak/>
        <w:t>Тенденция заключается в том, что системы этих типов используют эффективные по ширине полосы схемы модуляции, такие как 2</w:t>
      </w:r>
      <w:r w:rsidRPr="003B74E6">
        <w:rPr>
          <w:lang w:val="ru-RU"/>
        </w:rPr>
        <w:noBreakHyphen/>
      </w:r>
      <w:proofErr w:type="spellStart"/>
      <w:r w:rsidRPr="003B74E6">
        <w:rPr>
          <w:lang w:val="ru-RU"/>
        </w:rPr>
        <w:t>PSK</w:t>
      </w:r>
      <w:proofErr w:type="spellEnd"/>
      <w:r w:rsidRPr="003B74E6">
        <w:rPr>
          <w:lang w:val="ru-RU"/>
        </w:rPr>
        <w:t xml:space="preserve"> и 4-</w:t>
      </w:r>
      <w:proofErr w:type="spellStart"/>
      <w:r w:rsidRPr="003B74E6">
        <w:rPr>
          <w:lang w:val="ru-RU"/>
        </w:rPr>
        <w:t>PSK</w:t>
      </w:r>
      <w:proofErr w:type="spellEnd"/>
      <w:r w:rsidRPr="003B74E6">
        <w:rPr>
          <w:lang w:val="ru-RU"/>
        </w:rPr>
        <w:t xml:space="preserve">, дополняемые методами кодирования с упреждающей коррекцией ошибок, такими как </w:t>
      </w:r>
      <w:proofErr w:type="spellStart"/>
      <w:r w:rsidRPr="003B74E6">
        <w:rPr>
          <w:lang w:val="ru-RU"/>
        </w:rPr>
        <w:t>сверточное</w:t>
      </w:r>
      <w:proofErr w:type="spellEnd"/>
      <w:r w:rsidRPr="003B74E6">
        <w:rPr>
          <w:lang w:val="ru-RU"/>
        </w:rPr>
        <w:t xml:space="preserve"> кодирование и блочное кодирование, оба из которых повышают качество сигнала и уменьшают необходимую мощность сигнала. В некоторых системах применяются методы модуляции с расширением спектра для уменьшения плотности мощности сигнала, а методы псевдослучайной модуляции последовательности (аналогичные или идентичные методам модуляции с расширением спектра) используются для измерений дальности, с тем чтобы определить местонахождение космического аппарата. Цепь фазовой синхронизации также используется при последовательностях поиска, захвата и отслеживания.</w:t>
      </w:r>
    </w:p>
    <w:p w:rsidR="00C05915" w:rsidRPr="003B74E6" w:rsidRDefault="00C05915" w:rsidP="00C05915">
      <w:pPr>
        <w:pStyle w:val="Heading1"/>
        <w:rPr>
          <w:lang w:val="ru-RU"/>
        </w:rPr>
      </w:pPr>
      <w:r w:rsidRPr="003B74E6">
        <w:rPr>
          <w:lang w:val="ru-RU"/>
        </w:rPr>
        <w:t>3</w:t>
      </w:r>
      <w:r w:rsidRPr="003B74E6">
        <w:rPr>
          <w:lang w:val="ru-RU"/>
        </w:rPr>
        <w:tab/>
        <w:t>Защитные критерии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Для линий космос-Земля и Земля-космос существует стимул свести к минимуму запас линий для экономии массы и мощности, снижения помех, а также в целях экономии. Для линий космос-космос этот стимул удваивается, поскольку оба конечных пункта линии расположены в космосе. Типовые полные запасы линий, которые рассматриваются в случае линии космос-космос спутников ретрансляции данных в тандеме с линией космос-Земля или Земля-космос (иногда называемой фидерной линией), обычно составляют около 2–4 дБ, но в ряде случаев могут быть порядка 1 дБ после допуска на необходимые запасы для компенсации воздействия погоды на фидерную линию. Расчетный запас линии для линии космос-космос зачастую является ограничительным фактором ввиду экстремальных ограничений при запуске как передающих, так и приемных систем в космос, в отличие от возможности увеличения антенны земной приемной станции.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При таких низких расчетных запасах уровни помех, вызывающие уменьшение запаса линии всего на 0,2 дБ, могут пагубно сказываться на линиях космос-космос.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Вместе с тем в большинстве случаев, в особенности на более высоких частотах, на этих линиях не будет постоянно сказываться единичный источник помех с Земли, поскольку геометрия линии постоянно меняется ввиду движения низкоорбитального космического аппарата. С другой стороны, схемы помех, которые повторяются при возникновении конкретной геометрии линии, будут создавать систематические проблемы при наблюдении поверхности Земли в режиме реального времени ниже низкоорбитального космического аппарата.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Уровни, вызывающие вредные помехи линиям Земля-космос, будут зависеть от распределения запасов в тандеме линий Земля-космос и космос-космос. Геометрия линии Земля-космос по отношению к спутнику ретрансляции данных не изменяется со временем.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В приведенном ниже анализе было принято эталонное значение снижения запаса линии 0,4 дБ в связи с единичной помехой, которое применялось в других аналогичных случаях. Это соответствует требуемому отношению мощности помехи и мощности шума системы (</w:t>
      </w:r>
      <w:r w:rsidRPr="003B74E6">
        <w:rPr>
          <w:i/>
          <w:iCs/>
          <w:lang w:val="ru-RU"/>
        </w:rPr>
        <w:t>I</w:t>
      </w:r>
      <w:r w:rsidRPr="003B74E6">
        <w:rPr>
          <w:lang w:val="ru-RU"/>
        </w:rPr>
        <w:t>/</w:t>
      </w:r>
      <w:r w:rsidRPr="003B74E6">
        <w:rPr>
          <w:i/>
          <w:iCs/>
          <w:lang w:val="ru-RU"/>
        </w:rPr>
        <w:t>N</w:t>
      </w:r>
      <w:r w:rsidRPr="003B74E6">
        <w:rPr>
          <w:lang w:val="ru-RU"/>
        </w:rPr>
        <w:t>) в пределах эталонной ширины полосы максимум –10 дБ.</w:t>
      </w:r>
    </w:p>
    <w:p w:rsidR="00C05915" w:rsidRPr="003B74E6" w:rsidRDefault="00C05915" w:rsidP="00C05915">
      <w:pPr>
        <w:pStyle w:val="Heading2"/>
        <w:rPr>
          <w:lang w:val="ru-RU"/>
        </w:rPr>
      </w:pPr>
      <w:r w:rsidRPr="003B74E6">
        <w:rPr>
          <w:lang w:val="ru-RU"/>
        </w:rPr>
        <w:t>3.1</w:t>
      </w:r>
      <w:r w:rsidRPr="003B74E6">
        <w:rPr>
          <w:lang w:val="ru-RU"/>
        </w:rPr>
        <w:tab/>
        <w:t>Эталонная ширина полосы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Системы используют схемы прямой модуляции, поэтому эталонная ширина полосы, в которой должен указываться коэффициент защиты, зависит от наименьшей скорости передачи данных и ширины полосы используемого приемника. Для линий космос-космос, работающих на частотах в диапазоне 2 ГГц, минимальная скорость передачи данных, вероятно, будет составлять не менее 1 кбит/с, тогда как для более высоких полос частот она, вероятно, будет составлять не менее 1 Мбит/с. Таким образом, рекомендуемое значение для эталонной ширины полосы в диапазоне 2 ГГц составляет 1 кГц, а в более высоких диапазонах – 1 МГц.</w:t>
      </w:r>
    </w:p>
    <w:p w:rsidR="00A93745" w:rsidRPr="003B74E6" w:rsidRDefault="00A937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3B74E6">
        <w:rPr>
          <w:lang w:val="ru-RU"/>
        </w:rPr>
        <w:br w:type="page"/>
      </w:r>
    </w:p>
    <w:p w:rsidR="00C05915" w:rsidRPr="003B74E6" w:rsidRDefault="00C05915" w:rsidP="00C05915">
      <w:pPr>
        <w:pStyle w:val="Heading2"/>
        <w:rPr>
          <w:lang w:val="ru-RU"/>
        </w:rPr>
      </w:pPr>
      <w:r w:rsidRPr="003B74E6">
        <w:rPr>
          <w:lang w:val="ru-RU"/>
        </w:rPr>
        <w:lastRenderedPageBreak/>
        <w:t>3.2</w:t>
      </w:r>
      <w:r w:rsidRPr="003B74E6">
        <w:rPr>
          <w:lang w:val="ru-RU"/>
        </w:rPr>
        <w:tab/>
        <w:t>Эталонный процент времени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Для пилотируемых экспедиций потеря связи более чем на 5 минут на критических этапах, таких как встреча или стыковка либо операции вне корабля, может оказать на экспедицию серьезное отрицательное воздействие.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Для пилотируемых и беспилотных экспедиций эталонное значение составляет 0,1% времени. Для линии космос-космос процент времени должен относиться к периоду, в котором пользовательский спутник находится в пределах видимости соответствующего спутника ретрансляции данных (</w:t>
      </w:r>
      <w:proofErr w:type="spellStart"/>
      <w:r w:rsidRPr="003B74E6">
        <w:rPr>
          <w:lang w:val="ru-RU"/>
        </w:rPr>
        <w:t>СРД</w:t>
      </w:r>
      <w:proofErr w:type="spellEnd"/>
      <w:r w:rsidRPr="003B74E6">
        <w:rPr>
          <w:lang w:val="ru-RU"/>
        </w:rPr>
        <w:t>), поскольку он соответствует времени осуществления связи, а помехи, причиняемые, когда связь не осуществляется, не имеют значения.</w:t>
      </w:r>
    </w:p>
    <w:p w:rsidR="00C05915" w:rsidRPr="003B74E6" w:rsidRDefault="00C05915" w:rsidP="00C05915">
      <w:pPr>
        <w:pStyle w:val="Heading2"/>
        <w:rPr>
          <w:lang w:val="ru-RU"/>
        </w:rPr>
      </w:pPr>
      <w:r w:rsidRPr="003B74E6">
        <w:rPr>
          <w:lang w:val="ru-RU"/>
        </w:rPr>
        <w:t>3.3</w:t>
      </w:r>
      <w:r w:rsidRPr="003B74E6">
        <w:rPr>
          <w:lang w:val="ru-RU"/>
        </w:rPr>
        <w:tab/>
        <w:t>Требуемые защитные уровни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При связи через спутник ретрансляции данных используются две линии – "прямая", являющаяся "фидерной" линией Земля-космос, в тандеме с "межорбитальной" линией космос-космос, или "обратная", являющаяся "фидерной" линией космос-Земля.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Для определения защитных уровней требуется рассмотрение как фидерной линии, так и межорбитальной линии.</w:t>
      </w:r>
    </w:p>
    <w:p w:rsidR="00C05915" w:rsidRPr="003B74E6" w:rsidRDefault="00C05915" w:rsidP="00C05915">
      <w:pPr>
        <w:pStyle w:val="Heading3"/>
        <w:rPr>
          <w:lang w:val="ru-RU"/>
        </w:rPr>
      </w:pPr>
      <w:r w:rsidRPr="003B74E6">
        <w:rPr>
          <w:lang w:val="ru-RU"/>
        </w:rPr>
        <w:t>3.3.1</w:t>
      </w:r>
      <w:r w:rsidRPr="003B74E6">
        <w:rPr>
          <w:lang w:val="ru-RU"/>
        </w:rPr>
        <w:tab/>
        <w:t>Линии космос-космос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 xml:space="preserve">Полная шумовая температура типового приемника космической станции обычно составляет 600 K на 2 ГГц, увеличиваясь до 1200 K на 20 ГГц, когда антенна космического аппарата направлена на Землю (290 K). Эти значения шума следует использовать, когда отсутствуют фактические значения, для определения соблюдения требования </w:t>
      </w:r>
      <w:r w:rsidRPr="003B74E6">
        <w:rPr>
          <w:i/>
          <w:lang w:val="ru-RU"/>
        </w:rPr>
        <w:t>I</w:t>
      </w:r>
      <w:r w:rsidRPr="003B74E6">
        <w:rPr>
          <w:iCs/>
          <w:lang w:val="ru-RU"/>
        </w:rPr>
        <w:t>/</w:t>
      </w:r>
      <w:r w:rsidRPr="003B74E6">
        <w:rPr>
          <w:i/>
          <w:lang w:val="ru-RU"/>
        </w:rPr>
        <w:t>N</w:t>
      </w:r>
      <w:r w:rsidRPr="003B74E6">
        <w:rPr>
          <w:lang w:val="ru-RU"/>
        </w:rPr>
        <w:t xml:space="preserve"> = –10 дБ.</w:t>
      </w:r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>Вклад шума прямой фидерной линии невелик в связи с отрицательным усилением передачи спутников ретрансляции данных и в связи с этим не рассматривается.</w:t>
      </w:r>
    </w:p>
    <w:p w:rsidR="00C05915" w:rsidRPr="003B74E6" w:rsidRDefault="00C05915" w:rsidP="00C05915">
      <w:pPr>
        <w:pStyle w:val="Heading3"/>
        <w:rPr>
          <w:lang w:val="ru-RU"/>
        </w:rPr>
      </w:pPr>
      <w:r w:rsidRPr="003B74E6">
        <w:rPr>
          <w:lang w:val="ru-RU"/>
        </w:rPr>
        <w:t>3.3.2</w:t>
      </w:r>
      <w:r w:rsidRPr="003B74E6">
        <w:rPr>
          <w:lang w:val="ru-RU"/>
        </w:rPr>
        <w:tab/>
        <w:t xml:space="preserve">Линии </w:t>
      </w:r>
      <w:proofErr w:type="spellStart"/>
      <w:r w:rsidRPr="003B74E6">
        <w:rPr>
          <w:lang w:val="ru-RU"/>
        </w:rPr>
        <w:t>СРД</w:t>
      </w:r>
      <w:proofErr w:type="spellEnd"/>
      <w:r w:rsidRPr="003B74E6">
        <w:rPr>
          <w:lang w:val="ru-RU"/>
        </w:rPr>
        <w:t>-Земля и Земля-</w:t>
      </w:r>
      <w:proofErr w:type="spellStart"/>
      <w:r w:rsidRPr="003B74E6">
        <w:rPr>
          <w:lang w:val="ru-RU"/>
        </w:rPr>
        <w:t>СРД</w:t>
      </w:r>
      <w:proofErr w:type="spellEnd"/>
    </w:p>
    <w:p w:rsidR="00C05915" w:rsidRPr="003B74E6" w:rsidRDefault="00C05915" w:rsidP="00C05915">
      <w:pPr>
        <w:rPr>
          <w:lang w:val="ru-RU"/>
        </w:rPr>
      </w:pPr>
      <w:r w:rsidRPr="003B74E6">
        <w:rPr>
          <w:lang w:val="ru-RU"/>
        </w:rPr>
        <w:t xml:space="preserve">В таблице 2 показано взаимодействие между двумя частями полной сквозной линии, как для обратных линий, так и для прямых линий, для нескольких полос частот. Запасы линий являются типовыми значениями линий системы США. Поскольку линии обычно представляют собой "прямую дыру", т. е. на </w:t>
      </w:r>
      <w:proofErr w:type="spellStart"/>
      <w:r w:rsidRPr="003B74E6">
        <w:rPr>
          <w:lang w:val="ru-RU"/>
        </w:rPr>
        <w:t>СРД</w:t>
      </w:r>
      <w:proofErr w:type="spellEnd"/>
      <w:r w:rsidRPr="003B74E6">
        <w:rPr>
          <w:lang w:val="ru-RU"/>
        </w:rPr>
        <w:t xml:space="preserve"> не производится бортовой обработки, шум является аддитивным, и общий запас линии определяется каскадным сочетанием отдельных запасов линий. В некоторых случаях две линии имеют аналогичные запасы (например, обратная 15 ГГц/13 ГГц), и поэтому обе линии одинаково чувствительны к шуму. В других случаях у линии космос-космос запас значительно меньше, чем у фидерной линии (например, обратная 2 ГГц/13 ГГц, прямая 15 ГГц/13 ГГц), поэтому первая значительно чувствительнее к шуму. Это означает, что на фидерных линиях допускаются более существенные помехи, поэтому для этих линий критерий </w:t>
      </w:r>
      <w:r w:rsidRPr="003B74E6">
        <w:rPr>
          <w:i/>
          <w:iCs/>
          <w:lang w:val="ru-RU"/>
        </w:rPr>
        <w:t>I</w:t>
      </w:r>
      <w:r w:rsidRPr="003B74E6">
        <w:rPr>
          <w:lang w:val="ru-RU"/>
        </w:rPr>
        <w:t>/</w:t>
      </w:r>
      <w:r w:rsidRPr="003B74E6">
        <w:rPr>
          <w:i/>
          <w:iCs/>
          <w:lang w:val="ru-RU"/>
        </w:rPr>
        <w:t>N</w:t>
      </w:r>
      <w:r w:rsidRPr="003B74E6">
        <w:rPr>
          <w:lang w:val="ru-RU"/>
        </w:rPr>
        <w:t xml:space="preserve"> ослабляется до –6 дБ.</w:t>
      </w:r>
    </w:p>
    <w:p w:rsidR="00C05915" w:rsidRPr="003B74E6" w:rsidRDefault="00C05915" w:rsidP="00C059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B74E6">
        <w:rPr>
          <w:lang w:val="ru-RU"/>
        </w:rPr>
        <w:br w:type="page"/>
      </w:r>
    </w:p>
    <w:p w:rsidR="00C05915" w:rsidRPr="003B74E6" w:rsidRDefault="00C05915" w:rsidP="00C05915">
      <w:pPr>
        <w:pStyle w:val="TableNo"/>
        <w:rPr>
          <w:lang w:val="ru-RU"/>
        </w:rPr>
      </w:pPr>
      <w:bookmarkStart w:id="3" w:name="_GoBack"/>
      <w:bookmarkEnd w:id="3"/>
      <w:r w:rsidRPr="003B74E6">
        <w:rPr>
          <w:lang w:val="ru-RU"/>
        </w:rPr>
        <w:lastRenderedPageBreak/>
        <w:t>ТАБЛИЦА 2</w:t>
      </w:r>
    </w:p>
    <w:p w:rsidR="00C05915" w:rsidRPr="003B74E6" w:rsidRDefault="00C05915" w:rsidP="00C05915">
      <w:pPr>
        <w:pStyle w:val="Tabletitle"/>
        <w:rPr>
          <w:lang w:val="ru-RU"/>
        </w:rPr>
      </w:pPr>
      <w:r w:rsidRPr="003B74E6">
        <w:rPr>
          <w:lang w:val="ru-RU"/>
        </w:rPr>
        <w:t>Помехи спутнику ретрансляции данных</w:t>
      </w:r>
    </w:p>
    <w:tbl>
      <w:tblPr>
        <w:tblW w:w="9645" w:type="dxa"/>
        <w:jc w:val="center"/>
        <w:tblLayout w:type="fixed"/>
        <w:tblLook w:val="04A0" w:firstRow="1" w:lastRow="0" w:firstColumn="1" w:lastColumn="0" w:noHBand="0" w:noVBand="1"/>
      </w:tblPr>
      <w:tblGrid>
        <w:gridCol w:w="1986"/>
        <w:gridCol w:w="2269"/>
        <w:gridCol w:w="1347"/>
        <w:gridCol w:w="1348"/>
        <w:gridCol w:w="1347"/>
        <w:gridCol w:w="1348"/>
      </w:tblGrid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Обратная линия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Полоса →</w:t>
            </w:r>
          </w:p>
        </w:tc>
        <w:tc>
          <w:tcPr>
            <w:tcW w:w="2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2/13</w:t>
            </w:r>
          </w:p>
        </w:tc>
        <w:tc>
          <w:tcPr>
            <w:tcW w:w="2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15/13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Линия пользователь-</w:t>
            </w:r>
            <w:proofErr w:type="spellStart"/>
            <w:r w:rsidRPr="003B74E6">
              <w:rPr>
                <w:lang w:val="ru-RU"/>
              </w:rPr>
              <w:t>СРД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Запас на </w:t>
            </w:r>
            <w:proofErr w:type="spellStart"/>
            <w:r w:rsidRPr="003B74E6">
              <w:rPr>
                <w:lang w:val="ru-RU"/>
              </w:rPr>
              <w:t>TDRS</w:t>
            </w:r>
            <w:proofErr w:type="spellEnd"/>
            <w:r w:rsidRPr="003B74E6">
              <w:rPr>
                <w:lang w:val="ru-RU"/>
              </w:rPr>
              <w:t xml:space="preserve">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3,31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3,31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Запас на </w:t>
            </w:r>
            <w:proofErr w:type="spellStart"/>
            <w:r w:rsidRPr="003B74E6">
              <w:rPr>
                <w:lang w:val="ru-RU"/>
              </w:rPr>
              <w:t>TDRS</w:t>
            </w:r>
            <w:proofErr w:type="spellEnd"/>
            <w:r w:rsidRPr="003B74E6">
              <w:rPr>
                <w:lang w:val="ru-RU"/>
              </w:rPr>
              <w:t xml:space="preserve">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3,61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2,91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3,31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Линия </w:t>
            </w:r>
            <w:proofErr w:type="spellStart"/>
            <w:r w:rsidRPr="003B74E6">
              <w:rPr>
                <w:lang w:val="ru-RU"/>
              </w:rPr>
              <w:t>СРД</w:t>
            </w:r>
            <w:proofErr w:type="spellEnd"/>
            <w:r w:rsidRPr="003B74E6">
              <w:rPr>
                <w:lang w:val="ru-RU"/>
              </w:rPr>
              <w:t>-Земля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на Земле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50,30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50,30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4,45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4,45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1,00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1,00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на Земле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50,30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49,30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4,45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3,45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Сквозная линия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– полный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0,83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0,83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0,23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0,46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полный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3,61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4,01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0,60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0,37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Прямая линия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Полоса →</w:t>
            </w:r>
          </w:p>
        </w:tc>
        <w:tc>
          <w:tcPr>
            <w:tcW w:w="2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15/2</w:t>
            </w:r>
          </w:p>
        </w:tc>
        <w:tc>
          <w:tcPr>
            <w:tcW w:w="2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head"/>
              <w:rPr>
                <w:lang w:val="ru-RU"/>
              </w:rPr>
            </w:pPr>
            <w:r w:rsidRPr="003B74E6">
              <w:rPr>
                <w:lang w:val="ru-RU"/>
              </w:rPr>
              <w:t>15/13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rPr>
                <w:lang w:val="ru-RU"/>
              </w:rPr>
            </w:pPr>
            <w:r w:rsidRPr="003B74E6">
              <w:rPr>
                <w:lang w:val="ru-RU"/>
              </w:rPr>
              <w:t>Линия Земля-</w:t>
            </w:r>
            <w:proofErr w:type="spellStart"/>
            <w:r w:rsidRPr="003B74E6">
              <w:rPr>
                <w:lang w:val="ru-RU"/>
              </w:rPr>
              <w:t>СРД</w:t>
            </w:r>
            <w:proofErr w:type="spellEnd"/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Запас на </w:t>
            </w:r>
            <w:proofErr w:type="spellStart"/>
            <w:r w:rsidRPr="003B74E6">
              <w:rPr>
                <w:lang w:val="ru-RU"/>
              </w:rPr>
              <w:t>TDRS</w:t>
            </w:r>
            <w:proofErr w:type="spellEnd"/>
            <w:r w:rsidRPr="003B74E6">
              <w:rPr>
                <w:lang w:val="ru-RU"/>
              </w:rPr>
              <w:t xml:space="preserve">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35,04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35,04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23,63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23,63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1,00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1,00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3B74E6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Запас на </w:t>
            </w:r>
            <w:proofErr w:type="spellStart"/>
            <w:r w:rsidRPr="003B74E6">
              <w:rPr>
                <w:lang w:val="ru-RU"/>
              </w:rPr>
              <w:t>TDRS</w:t>
            </w:r>
            <w:proofErr w:type="spellEnd"/>
            <w:r w:rsidRPr="003B74E6">
              <w:rPr>
                <w:lang w:val="ru-RU"/>
              </w:rPr>
              <w:t xml:space="preserve">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35,04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34,04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23,63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22,63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 xml:space="preserve">Линия </w:t>
            </w:r>
            <w:proofErr w:type="spellStart"/>
            <w:r w:rsidRPr="003B74E6">
              <w:rPr>
                <w:lang w:val="ru-RU"/>
              </w:rPr>
              <w:t>СРД</w:t>
            </w:r>
            <w:proofErr w:type="spellEnd"/>
            <w:r w:rsidRPr="003B74E6">
              <w:rPr>
                <w:lang w:val="ru-RU"/>
              </w:rPr>
              <w:t>-пользователь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пользователя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3,50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пользователя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3,10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3,50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Сквозная линия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полный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3,46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3,46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Ухудшение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0,01</w:t>
            </w:r>
          </w:p>
        </w:tc>
      </w:tr>
      <w:tr w:rsidR="00C05915" w:rsidRPr="003B74E6" w:rsidTr="006567E1">
        <w:trPr>
          <w:cantSplit/>
          <w:jc w:val="center"/>
        </w:trPr>
        <w:tc>
          <w:tcPr>
            <w:tcW w:w="1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3B74E6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3B74E6">
              <w:rPr>
                <w:lang w:val="ru-RU"/>
              </w:rPr>
              <w:t>Запас полный – ухудшенный (дБ)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3,90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3,06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3B74E6" w:rsidRDefault="00C05915" w:rsidP="006567E1">
            <w:pPr>
              <w:pStyle w:val="Tabletext"/>
              <w:jc w:val="right"/>
              <w:rPr>
                <w:lang w:val="ru-RU"/>
              </w:rPr>
            </w:pPr>
            <w:r w:rsidRPr="003B74E6">
              <w:rPr>
                <w:lang w:val="ru-RU"/>
              </w:rPr>
              <w:t>3,45</w:t>
            </w:r>
          </w:p>
        </w:tc>
      </w:tr>
    </w:tbl>
    <w:p w:rsidR="00F922EE" w:rsidRPr="003B74E6" w:rsidRDefault="00F922EE" w:rsidP="00F922EE">
      <w:pPr>
        <w:pStyle w:val="Tablefin"/>
        <w:rPr>
          <w:lang w:val="ru-RU"/>
        </w:rPr>
      </w:pPr>
    </w:p>
    <w:p w:rsidR="00934ED7" w:rsidRPr="003B74E6" w:rsidRDefault="00C05915" w:rsidP="00C05915">
      <w:pPr>
        <w:spacing w:before="720"/>
        <w:jc w:val="center"/>
        <w:rPr>
          <w:lang w:val="ru-RU"/>
        </w:rPr>
      </w:pPr>
      <w:r w:rsidRPr="003B74E6">
        <w:rPr>
          <w:lang w:val="ru-RU"/>
        </w:rPr>
        <w:t>______________</w:t>
      </w:r>
    </w:p>
    <w:sectPr w:rsidR="00934ED7" w:rsidRPr="003B74E6" w:rsidSect="00FC4C8B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C05915" w:rsidRPr="00B466BF" w:rsidRDefault="00C05915" w:rsidP="00C05915">
      <w:pPr>
        <w:pStyle w:val="FootnoteText"/>
        <w:rPr>
          <w:lang w:val="ru-RU"/>
        </w:rPr>
      </w:pPr>
      <w:r w:rsidRPr="00F97F06">
        <w:rPr>
          <w:rStyle w:val="FootnoteReference"/>
          <w:szCs w:val="16"/>
          <w:lang w:val="ru-RU"/>
        </w:rPr>
        <w:t>*</w:t>
      </w:r>
      <w:r w:rsidRPr="00F97F06">
        <w:rPr>
          <w:lang w:val="ru-RU"/>
        </w:rPr>
        <w:tab/>
      </w:r>
      <w:r w:rsidRPr="00B466BF">
        <w:rPr>
          <w:lang w:val="ru-RU"/>
        </w:rPr>
        <w:t xml:space="preserve">Настоящая Рекомендация должна быть доведена до сведения </w:t>
      </w:r>
      <w:r>
        <w:rPr>
          <w:lang w:val="ru-RU"/>
        </w:rPr>
        <w:t xml:space="preserve">4-й и </w:t>
      </w:r>
      <w:r w:rsidRPr="00B466BF">
        <w:rPr>
          <w:lang w:val="ru-RU"/>
        </w:rPr>
        <w:t>5-й Исследовательск</w:t>
      </w:r>
      <w:r>
        <w:rPr>
          <w:lang w:val="ru-RU"/>
        </w:rPr>
        <w:t>их</w:t>
      </w:r>
      <w:r w:rsidRPr="00B466BF">
        <w:rPr>
          <w:lang w:val="ru-RU"/>
        </w:rPr>
        <w:t xml:space="preserve"> комисси</w:t>
      </w:r>
      <w:r>
        <w:rPr>
          <w:lang w:val="ru-RU"/>
        </w:rPr>
        <w:t>й по радиосвязи</w:t>
      </w:r>
      <w:r w:rsidRPr="00B466B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9271D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4E92929C" wp14:editId="680F5B96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59C6A47" wp14:editId="4CA5EB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4548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545482">
      <w:rPr>
        <w:b/>
        <w:bCs/>
        <w:noProof/>
        <w:szCs w:val="22"/>
        <w:lang w:val="en-US"/>
      </w:rPr>
      <w:t>МСЭ-R  SA.1155-1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2465C3">
    <w:pPr>
      <w:pStyle w:val="Header"/>
    </w:pPr>
    <w:r>
      <w:tab/>
    </w:r>
    <w:r w:rsidR="002465C3" w:rsidRPr="00553C5F">
      <w:rPr>
        <w:b/>
        <w:szCs w:val="22"/>
        <w:lang w:val="ru-RU"/>
      </w:rPr>
      <w:t>Рек.</w:t>
    </w:r>
    <w:r w:rsidR="002465C3" w:rsidRPr="00553C5F">
      <w:rPr>
        <w:b/>
        <w:szCs w:val="22"/>
        <w:lang w:val="en-US"/>
      </w:rPr>
      <w:t xml:space="preserve"> </w:t>
    </w:r>
    <w:r w:rsidR="002465C3" w:rsidRPr="00553C5F">
      <w:rPr>
        <w:b/>
        <w:szCs w:val="22"/>
        <w:lang w:val="ru-RU"/>
      </w:rPr>
      <w:t xml:space="preserve"> </w:t>
    </w:r>
    <w:r w:rsidR="002465C3" w:rsidRPr="00553C5F">
      <w:rPr>
        <w:b/>
        <w:bCs/>
        <w:szCs w:val="22"/>
        <w:lang w:val="en-US"/>
      </w:rPr>
      <w:fldChar w:fldCharType="begin"/>
    </w:r>
    <w:r w:rsidR="002465C3" w:rsidRPr="00553C5F">
      <w:rPr>
        <w:b/>
        <w:bCs/>
        <w:szCs w:val="22"/>
        <w:lang w:val="en-US"/>
      </w:rPr>
      <w:instrText>styleref href</w:instrText>
    </w:r>
    <w:r w:rsidR="002465C3" w:rsidRPr="00553C5F">
      <w:rPr>
        <w:b/>
        <w:bCs/>
        <w:szCs w:val="22"/>
        <w:lang w:val="en-US"/>
      </w:rPr>
      <w:fldChar w:fldCharType="separate"/>
    </w:r>
    <w:r w:rsidR="00545482">
      <w:rPr>
        <w:b/>
        <w:bCs/>
        <w:noProof/>
        <w:szCs w:val="22"/>
        <w:lang w:val="en-US"/>
      </w:rPr>
      <w:t>МСЭ-R  SA.1155-1</w:t>
    </w:r>
    <w:r w:rsidR="002465C3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45482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45482">
      <w:rPr>
        <w:b/>
        <w:bCs/>
        <w:noProof/>
        <w:szCs w:val="22"/>
        <w:lang w:val="en-US"/>
      </w:rPr>
      <w:t>МСЭ-R  SA.1155-1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545482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102A"/>
    <w:rsid w:val="00036EE3"/>
    <w:rsid w:val="00072484"/>
    <w:rsid w:val="00096612"/>
    <w:rsid w:val="000B3FC0"/>
    <w:rsid w:val="000B7683"/>
    <w:rsid w:val="000C4FFC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465C3"/>
    <w:rsid w:val="00276D21"/>
    <w:rsid w:val="00296D7F"/>
    <w:rsid w:val="002A59D3"/>
    <w:rsid w:val="002B3CF6"/>
    <w:rsid w:val="002C768A"/>
    <w:rsid w:val="002D76C4"/>
    <w:rsid w:val="002F0C63"/>
    <w:rsid w:val="002F5199"/>
    <w:rsid w:val="00305A41"/>
    <w:rsid w:val="00356B5D"/>
    <w:rsid w:val="003646F2"/>
    <w:rsid w:val="003B74E6"/>
    <w:rsid w:val="003C38BA"/>
    <w:rsid w:val="00420DFD"/>
    <w:rsid w:val="00437A76"/>
    <w:rsid w:val="00467C4F"/>
    <w:rsid w:val="00470E28"/>
    <w:rsid w:val="004934C5"/>
    <w:rsid w:val="004F2040"/>
    <w:rsid w:val="00545482"/>
    <w:rsid w:val="00556548"/>
    <w:rsid w:val="00561F86"/>
    <w:rsid w:val="0056525C"/>
    <w:rsid w:val="00571788"/>
    <w:rsid w:val="00586EF8"/>
    <w:rsid w:val="005A127F"/>
    <w:rsid w:val="005B49AB"/>
    <w:rsid w:val="005B50E7"/>
    <w:rsid w:val="005E29DB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6AA8"/>
    <w:rsid w:val="008310C9"/>
    <w:rsid w:val="00853CC5"/>
    <w:rsid w:val="00870848"/>
    <w:rsid w:val="008C7848"/>
    <w:rsid w:val="00906589"/>
    <w:rsid w:val="00906AD6"/>
    <w:rsid w:val="00917AF2"/>
    <w:rsid w:val="0092418A"/>
    <w:rsid w:val="009271DF"/>
    <w:rsid w:val="00934ED7"/>
    <w:rsid w:val="00943260"/>
    <w:rsid w:val="0094477C"/>
    <w:rsid w:val="009543C3"/>
    <w:rsid w:val="00963CEF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3745"/>
    <w:rsid w:val="00A971A1"/>
    <w:rsid w:val="00AA3AD8"/>
    <w:rsid w:val="00AB0DC8"/>
    <w:rsid w:val="00AC3B0C"/>
    <w:rsid w:val="00AF302B"/>
    <w:rsid w:val="00B031B7"/>
    <w:rsid w:val="00B033C8"/>
    <w:rsid w:val="00B33425"/>
    <w:rsid w:val="00B44E24"/>
    <w:rsid w:val="00B54ECC"/>
    <w:rsid w:val="00B713CA"/>
    <w:rsid w:val="00B714F3"/>
    <w:rsid w:val="00B87B6B"/>
    <w:rsid w:val="00BB283C"/>
    <w:rsid w:val="00BC5D77"/>
    <w:rsid w:val="00BF0366"/>
    <w:rsid w:val="00BF487A"/>
    <w:rsid w:val="00C05915"/>
    <w:rsid w:val="00C46BD9"/>
    <w:rsid w:val="00C55258"/>
    <w:rsid w:val="00C73560"/>
    <w:rsid w:val="00CB0F14"/>
    <w:rsid w:val="00CD659B"/>
    <w:rsid w:val="00CE0A43"/>
    <w:rsid w:val="00D25ACB"/>
    <w:rsid w:val="00D54BEC"/>
    <w:rsid w:val="00D83556"/>
    <w:rsid w:val="00D9778E"/>
    <w:rsid w:val="00DF4176"/>
    <w:rsid w:val="00E17240"/>
    <w:rsid w:val="00E60DAA"/>
    <w:rsid w:val="00E7185E"/>
    <w:rsid w:val="00E74595"/>
    <w:rsid w:val="00EB7C57"/>
    <w:rsid w:val="00ED2695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922EE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4477C"/>
    <w:pPr>
      <w:outlineLvl w:val="4"/>
    </w:pPr>
  </w:style>
  <w:style w:type="paragraph" w:styleId="Heading6">
    <w:name w:val="heading 6"/>
    <w:basedOn w:val="Heading4"/>
    <w:next w:val="Normal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4477C"/>
    <w:pPr>
      <w:outlineLvl w:val="6"/>
    </w:pPr>
  </w:style>
  <w:style w:type="paragraph" w:styleId="Heading8">
    <w:name w:val="heading 8"/>
    <w:basedOn w:val="Heading6"/>
    <w:next w:val="Normal"/>
    <w:qFormat/>
    <w:rsid w:val="0094477C"/>
    <w:pPr>
      <w:outlineLvl w:val="7"/>
    </w:pPr>
  </w:style>
  <w:style w:type="paragraph" w:styleId="Heading9">
    <w:name w:val="heading 9"/>
    <w:basedOn w:val="Heading6"/>
    <w:next w:val="Normal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Normal"/>
    <w:next w:val="Normalaftertitle"/>
    <w:rsid w:val="0094477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semiHidden/>
    <w:rsid w:val="0094477C"/>
    <w:rPr>
      <w:position w:val="6"/>
      <w:sz w:val="16"/>
    </w:rPr>
  </w:style>
  <w:style w:type="paragraph" w:styleId="FootnoteText">
    <w:name w:val="footnote text"/>
    <w:basedOn w:val="Normal"/>
    <w:semiHidden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semiHidden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97BD6-3F35-4311-94A3-A1C27E65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37</TotalTime>
  <Pages>7</Pages>
  <Words>1844</Words>
  <Characters>12337</Characters>
  <Application>Microsoft Office Word</Application>
  <DocSecurity>0</DocSecurity>
  <Lines>536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14090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28</cp:revision>
  <cp:lastPrinted>2015-07-10T15:25:00Z</cp:lastPrinted>
  <dcterms:created xsi:type="dcterms:W3CDTF">2011-03-15T15:00:00Z</dcterms:created>
  <dcterms:modified xsi:type="dcterms:W3CDTF">2015-07-10T15:28:00Z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