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BFC" w:rsidRDefault="00356BFC" w:rsidP="00356BFC">
      <w:bookmarkStart w:id="0" w:name="_GoBack"/>
      <w:bookmarkEnd w:id="0"/>
    </w:p>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p w:rsidR="00356BFC" w:rsidRDefault="00356BFC" w:rsidP="00356BFC"/>
    <w:tbl>
      <w:tblPr>
        <w:tblW w:w="10089" w:type="dxa"/>
        <w:tblLook w:val="01E0" w:firstRow="1" w:lastRow="1" w:firstColumn="1" w:lastColumn="1" w:noHBand="0" w:noVBand="0"/>
      </w:tblPr>
      <w:tblGrid>
        <w:gridCol w:w="10089"/>
      </w:tblGrid>
      <w:tr w:rsidR="00356BFC" w:rsidTr="008E3C29">
        <w:tc>
          <w:tcPr>
            <w:tcW w:w="10089" w:type="dxa"/>
          </w:tcPr>
          <w:p w:rsidR="00356BFC" w:rsidRPr="001511A6" w:rsidRDefault="00356BFC" w:rsidP="008E3C29">
            <w:pPr>
              <w:spacing w:before="380" w:line="280" w:lineRule="exact"/>
              <w:jc w:val="right"/>
              <w:rPr>
                <w:rFonts w:ascii="Tahoma" w:hAnsi="Tahoma" w:cs="Tahoma"/>
                <w:b/>
                <w:bCs/>
                <w:iCs/>
                <w:color w:val="243285"/>
                <w:sz w:val="32"/>
                <w:szCs w:val="32"/>
                <w:lang w:val="en-US"/>
              </w:rPr>
            </w:pPr>
          </w:p>
          <w:p w:rsidR="00356BFC" w:rsidRPr="0081070A" w:rsidRDefault="00356BFC" w:rsidP="00356BFC">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Pr>
                <w:rFonts w:ascii="Tahoma" w:hAnsi="Tahoma" w:cs="Tahoma"/>
                <w:b/>
                <w:bCs/>
                <w:iCs/>
                <w:color w:val="243285"/>
                <w:sz w:val="36"/>
                <w:szCs w:val="36"/>
                <w:lang w:val="fr-CH"/>
              </w:rPr>
              <w:t>1014-3</w:t>
            </w:r>
          </w:p>
          <w:p w:rsidR="00356BFC" w:rsidRPr="0081070A" w:rsidRDefault="00356BFC" w:rsidP="00356BFC">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Pr>
                <w:rFonts w:ascii="Tahoma" w:hAnsi="Tahoma" w:cs="Tahoma"/>
                <w:b/>
                <w:bCs/>
                <w:iCs/>
                <w:color w:val="243285"/>
                <w:szCs w:val="24"/>
                <w:lang w:val="fr-CH"/>
              </w:rPr>
              <w:t>07</w:t>
            </w:r>
            <w:r w:rsidRPr="00FB15D4">
              <w:rPr>
                <w:rFonts w:ascii="Tahoma" w:hAnsi="Tahoma" w:cs="Tahoma"/>
                <w:b/>
                <w:bCs/>
                <w:iCs/>
                <w:color w:val="243285"/>
                <w:szCs w:val="24"/>
                <w:lang w:val="fr-CH"/>
              </w:rPr>
              <w:t>/</w:t>
            </w:r>
            <w:r>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356BFC" w:rsidRPr="00313E36" w:rsidTr="008E3C29">
        <w:tc>
          <w:tcPr>
            <w:tcW w:w="10089" w:type="dxa"/>
          </w:tcPr>
          <w:p w:rsidR="00313E36" w:rsidRDefault="00313E36" w:rsidP="00313E36">
            <w:pPr>
              <w:spacing w:before="80" w:line="500" w:lineRule="exact"/>
              <w:jc w:val="right"/>
              <w:rPr>
                <w:rFonts w:ascii="Tahoma" w:hAnsi="Tahoma" w:cs="Tahoma"/>
                <w:b/>
                <w:bCs/>
                <w:iCs/>
                <w:color w:val="243285"/>
                <w:sz w:val="44"/>
                <w:szCs w:val="44"/>
                <w:lang w:val="en-GB"/>
              </w:rPr>
            </w:pPr>
          </w:p>
          <w:p w:rsidR="00356BFC" w:rsidRPr="00313E36" w:rsidRDefault="00313E36" w:rsidP="00313E36">
            <w:pPr>
              <w:spacing w:before="80" w:line="500" w:lineRule="exact"/>
              <w:jc w:val="right"/>
              <w:rPr>
                <w:rFonts w:ascii="Tahoma" w:hAnsi="Tahoma" w:cs="Tahoma"/>
                <w:b/>
                <w:bCs/>
                <w:iCs/>
                <w:color w:val="243285"/>
                <w:sz w:val="44"/>
                <w:szCs w:val="44"/>
                <w:lang w:val="en-GB"/>
              </w:rPr>
            </w:pPr>
            <w:r w:rsidRPr="00313E36">
              <w:rPr>
                <w:rFonts w:ascii="Tahoma" w:hAnsi="Tahoma" w:cs="Tahoma"/>
                <w:b/>
                <w:bCs/>
                <w:iCs/>
                <w:color w:val="243285"/>
                <w:sz w:val="44"/>
                <w:szCs w:val="44"/>
                <w:lang w:val="en-GB"/>
              </w:rPr>
              <w:t>Radiocommun</w:t>
            </w:r>
            <w:r>
              <w:rPr>
                <w:rFonts w:ascii="Tahoma" w:hAnsi="Tahoma" w:cs="Tahoma"/>
                <w:b/>
                <w:bCs/>
                <w:iCs/>
                <w:color w:val="243285"/>
                <w:sz w:val="44"/>
                <w:szCs w:val="44"/>
                <w:lang w:val="en-GB"/>
              </w:rPr>
              <w:t xml:space="preserve">ication requirements for manned </w:t>
            </w:r>
            <w:r w:rsidRPr="00313E36">
              <w:rPr>
                <w:rFonts w:ascii="Tahoma" w:hAnsi="Tahoma" w:cs="Tahoma"/>
                <w:b/>
                <w:bCs/>
                <w:iCs/>
                <w:color w:val="243285"/>
                <w:sz w:val="44"/>
                <w:szCs w:val="44"/>
                <w:lang w:val="en-GB"/>
              </w:rPr>
              <w:t>and unmanned deep space research</w:t>
            </w:r>
          </w:p>
          <w:p w:rsidR="00356BFC" w:rsidRPr="00313E36" w:rsidRDefault="00356BFC" w:rsidP="008E3C29">
            <w:pPr>
              <w:spacing w:before="80" w:line="500" w:lineRule="exact"/>
              <w:jc w:val="right"/>
              <w:rPr>
                <w:rFonts w:ascii="Tahoma" w:hAnsi="Tahoma" w:cs="Tahoma"/>
                <w:b/>
                <w:bCs/>
                <w:iCs/>
                <w:color w:val="243285"/>
                <w:sz w:val="40"/>
                <w:szCs w:val="40"/>
                <w:lang w:val="en-GB"/>
              </w:rPr>
            </w:pPr>
          </w:p>
        </w:tc>
      </w:tr>
      <w:tr w:rsidR="00356BFC" w:rsidTr="008E3C29">
        <w:tc>
          <w:tcPr>
            <w:tcW w:w="10089" w:type="dxa"/>
          </w:tcPr>
          <w:p w:rsidR="00356BFC" w:rsidRPr="00313E36" w:rsidRDefault="00356BFC" w:rsidP="008E3C29">
            <w:pPr>
              <w:spacing w:before="80" w:line="280" w:lineRule="exact"/>
              <w:ind w:right="640"/>
              <w:rPr>
                <w:rFonts w:ascii="Tahoma" w:hAnsi="Tahoma" w:cs="Tahoma"/>
                <w:b/>
                <w:bCs/>
                <w:iCs/>
                <w:color w:val="243285"/>
                <w:sz w:val="32"/>
                <w:szCs w:val="32"/>
                <w:lang w:val="en-GB"/>
              </w:rPr>
            </w:pPr>
          </w:p>
          <w:p w:rsidR="00356BFC" w:rsidRPr="00313E36" w:rsidRDefault="00356BFC" w:rsidP="008E3C29">
            <w:pPr>
              <w:spacing w:before="80" w:line="280" w:lineRule="exact"/>
              <w:ind w:right="640"/>
              <w:rPr>
                <w:rFonts w:ascii="Tahoma" w:hAnsi="Tahoma" w:cs="Tahoma"/>
                <w:b/>
                <w:bCs/>
                <w:iCs/>
                <w:color w:val="243285"/>
                <w:sz w:val="32"/>
                <w:szCs w:val="32"/>
                <w:lang w:val="en-GB"/>
              </w:rPr>
            </w:pPr>
          </w:p>
          <w:p w:rsidR="00356BFC" w:rsidRPr="00313E36" w:rsidRDefault="00356BFC" w:rsidP="008E3C29">
            <w:pPr>
              <w:spacing w:before="80" w:after="180" w:line="360" w:lineRule="exact"/>
              <w:ind w:right="720"/>
              <w:rPr>
                <w:rFonts w:ascii="Tahoma" w:hAnsi="Tahoma" w:cs="Tahoma"/>
                <w:b/>
                <w:bCs/>
                <w:iCs/>
                <w:color w:val="243285"/>
                <w:sz w:val="36"/>
                <w:szCs w:val="36"/>
                <w:lang w:val="en-GB"/>
              </w:rPr>
            </w:pPr>
          </w:p>
          <w:p w:rsidR="00356BFC" w:rsidRPr="001511A6" w:rsidRDefault="00356BFC"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356BFC" w:rsidRPr="001511A6" w:rsidRDefault="00356BFC"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356BFC" w:rsidRPr="001511A6" w:rsidRDefault="00356BFC" w:rsidP="008E3C29">
            <w:pPr>
              <w:spacing w:before="80" w:line="360" w:lineRule="exact"/>
              <w:jc w:val="right"/>
              <w:rPr>
                <w:rFonts w:ascii="Tahoma" w:hAnsi="Tahoma" w:cs="Tahoma"/>
                <w:b/>
                <w:bCs/>
                <w:iCs/>
                <w:color w:val="243285"/>
                <w:sz w:val="32"/>
                <w:szCs w:val="32"/>
                <w:lang w:val="en-US"/>
              </w:rPr>
            </w:pPr>
          </w:p>
        </w:tc>
      </w:tr>
    </w:tbl>
    <w:p w:rsidR="00356BFC" w:rsidRDefault="00356BFC" w:rsidP="00356BFC">
      <w:pPr>
        <w:spacing w:before="80"/>
        <w:rPr>
          <w:i/>
          <w:sz w:val="22"/>
          <w:lang w:val="en-US"/>
        </w:rPr>
      </w:pPr>
    </w:p>
    <w:p w:rsidR="00356BFC" w:rsidRDefault="00356BFC" w:rsidP="00356BFC">
      <w:pPr>
        <w:spacing w:before="80"/>
        <w:rPr>
          <w:i/>
          <w:sz w:val="22"/>
          <w:lang w:val="en-US"/>
        </w:rPr>
      </w:pPr>
    </w:p>
    <w:p w:rsidR="00356BFC" w:rsidRDefault="00356BFC" w:rsidP="00356BFC">
      <w:pPr>
        <w:spacing w:before="80"/>
        <w:rPr>
          <w:i/>
          <w:sz w:val="22"/>
          <w:lang w:val="en-US"/>
        </w:rPr>
      </w:pPr>
    </w:p>
    <w:p w:rsidR="00356BFC" w:rsidRDefault="00356BFC" w:rsidP="00356BFC">
      <w:pPr>
        <w:spacing w:before="80"/>
        <w:rPr>
          <w:i/>
          <w:sz w:val="22"/>
          <w:lang w:val="en-US"/>
        </w:rPr>
      </w:pPr>
    </w:p>
    <w:p w:rsidR="00356BFC" w:rsidRDefault="00356BFC" w:rsidP="00356BFC">
      <w:pPr>
        <w:spacing w:before="80"/>
        <w:rPr>
          <w:i/>
          <w:sz w:val="22"/>
          <w:lang w:val="en-US"/>
        </w:rPr>
      </w:pPr>
    </w:p>
    <w:p w:rsidR="00356BFC" w:rsidRDefault="00356BFC" w:rsidP="00356BFC">
      <w:pPr>
        <w:spacing w:before="80"/>
        <w:rPr>
          <w:i/>
          <w:sz w:val="22"/>
          <w:lang w:val="en-US"/>
        </w:rPr>
      </w:pPr>
    </w:p>
    <w:p w:rsidR="00356BFC" w:rsidRDefault="00356BFC" w:rsidP="00356BFC">
      <w:pPr>
        <w:pStyle w:val="Equation"/>
        <w:tabs>
          <w:tab w:val="clear" w:pos="4820"/>
          <w:tab w:val="clear" w:pos="9639"/>
          <w:tab w:val="left" w:pos="1191"/>
          <w:tab w:val="left" w:pos="1588"/>
          <w:tab w:val="left" w:pos="1985"/>
        </w:tabs>
        <w:rPr>
          <w:rFonts w:ascii="Palatino Linotype" w:hAnsi="Palatino Linotype"/>
          <w:lang w:val="en-US"/>
        </w:rPr>
        <w:sectPr w:rsidR="00356BFC">
          <w:headerReference w:type="even" r:id="rId6"/>
          <w:headerReference w:type="default" r:id="rId7"/>
          <w:pgSz w:w="11907" w:h="16840" w:code="9"/>
          <w:pgMar w:top="1089" w:right="1089" w:bottom="284" w:left="1089" w:header="567" w:footer="284" w:gutter="0"/>
          <w:pgNumType w:start="1"/>
          <w:cols w:space="720"/>
        </w:sectPr>
      </w:pPr>
    </w:p>
    <w:p w:rsidR="00356BFC" w:rsidRPr="00586EF8" w:rsidRDefault="00356BFC" w:rsidP="00356BF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56BFC" w:rsidRDefault="00356BFC" w:rsidP="00356BF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56BFC" w:rsidRDefault="00356BFC" w:rsidP="00356BF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56BFC" w:rsidRPr="00B714F3" w:rsidRDefault="00356BFC" w:rsidP="00356BFC">
      <w:pPr>
        <w:pStyle w:val="Heading1"/>
        <w:spacing w:before="680"/>
        <w:jc w:val="center"/>
        <w:rPr>
          <w:szCs w:val="24"/>
          <w:lang w:val="en-US"/>
        </w:rPr>
      </w:pPr>
      <w:r w:rsidRPr="00B714F3">
        <w:rPr>
          <w:szCs w:val="24"/>
          <w:lang w:val="en-US"/>
        </w:rPr>
        <w:t>Policy on Intellectual Property Right (IPR)</w:t>
      </w:r>
    </w:p>
    <w:p w:rsidR="00356BFC" w:rsidRPr="00B714F3" w:rsidRDefault="00356BFC" w:rsidP="00356BF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56BFC" w:rsidRDefault="00356BFC" w:rsidP="00356BFC">
      <w:pPr>
        <w:jc w:val="center"/>
        <w:rPr>
          <w:sz w:val="22"/>
          <w:lang w:val="en-US"/>
        </w:rPr>
      </w:pPr>
    </w:p>
    <w:p w:rsidR="00356BFC" w:rsidRDefault="00356BFC" w:rsidP="00356BF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6BFC" w:rsidRPr="00356BFC" w:rsidTr="008E3C29">
        <w:tc>
          <w:tcPr>
            <w:tcW w:w="9360" w:type="dxa"/>
            <w:gridSpan w:val="2"/>
          </w:tcPr>
          <w:p w:rsidR="00356BFC" w:rsidRPr="00036EE3" w:rsidRDefault="00356BFC"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56BFC" w:rsidRPr="00036EE3"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356BFC" w:rsidRPr="00036EE3" w:rsidTr="008E3C29">
        <w:tc>
          <w:tcPr>
            <w:tcW w:w="1140" w:type="dxa"/>
            <w:tcBorders>
              <w:bottom w:val="nil"/>
            </w:tcBorders>
          </w:tcPr>
          <w:p w:rsidR="00356BFC" w:rsidRPr="00036EE3" w:rsidRDefault="00356BFC"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356BFC" w:rsidRPr="00036EE3"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56BFC" w:rsidRPr="00A4173A" w:rsidTr="008E3C29">
        <w:tc>
          <w:tcPr>
            <w:tcW w:w="1140" w:type="dxa"/>
            <w:tcBorders>
              <w:top w:val="nil"/>
              <w:bottom w:val="nil"/>
            </w:tcBorders>
            <w:shd w:val="clear" w:color="auto" w:fill="auto"/>
          </w:tcPr>
          <w:p w:rsidR="00356BFC" w:rsidRPr="00A4173A" w:rsidRDefault="00356BFC"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356BFC" w:rsidRPr="00A4173A"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56BFC" w:rsidRPr="00356BFC" w:rsidTr="008E3C29">
        <w:tc>
          <w:tcPr>
            <w:tcW w:w="1140" w:type="dxa"/>
            <w:tcBorders>
              <w:top w:val="nil"/>
            </w:tcBorders>
          </w:tcPr>
          <w:p w:rsidR="00356BFC" w:rsidRPr="00036EE3" w:rsidRDefault="00356BFC"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356BFC" w:rsidRPr="00036EE3"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56BFC" w:rsidRPr="00036EE3" w:rsidTr="008E3C29">
        <w:tc>
          <w:tcPr>
            <w:tcW w:w="1140" w:type="dxa"/>
          </w:tcPr>
          <w:p w:rsidR="00356BFC" w:rsidRPr="00036EE3" w:rsidRDefault="00356BFC" w:rsidP="008E3C29">
            <w:pPr>
              <w:spacing w:before="30" w:after="30"/>
              <w:ind w:left="57"/>
              <w:jc w:val="left"/>
              <w:rPr>
                <w:b/>
                <w:bCs/>
                <w:sz w:val="20"/>
                <w:lang w:val="en-US"/>
              </w:rPr>
            </w:pPr>
            <w:r w:rsidRPr="00036EE3">
              <w:rPr>
                <w:b/>
                <w:bCs/>
                <w:sz w:val="20"/>
                <w:lang w:val="en-US"/>
              </w:rPr>
              <w:t>BS</w:t>
            </w:r>
          </w:p>
        </w:tc>
        <w:tc>
          <w:tcPr>
            <w:tcW w:w="8220" w:type="dxa"/>
          </w:tcPr>
          <w:p w:rsidR="00356BFC" w:rsidRPr="00036EE3"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56BFC" w:rsidRPr="00ED2695" w:rsidTr="008E3C29">
        <w:tc>
          <w:tcPr>
            <w:tcW w:w="1140" w:type="dxa"/>
            <w:shd w:val="clear" w:color="auto" w:fill="auto"/>
          </w:tcPr>
          <w:p w:rsidR="00356BFC" w:rsidRPr="00ED2695" w:rsidRDefault="00356BFC"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356BFC" w:rsidRPr="00ED2695"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56BFC" w:rsidRPr="00036EE3" w:rsidTr="008E3C29">
        <w:tc>
          <w:tcPr>
            <w:tcW w:w="1140" w:type="dxa"/>
            <w:shd w:val="clear" w:color="auto" w:fill="auto"/>
          </w:tcPr>
          <w:p w:rsidR="00356BFC" w:rsidRPr="00036EE3" w:rsidRDefault="00356BFC"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356BFC" w:rsidRPr="00036EE3" w:rsidRDefault="00356BF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56BFC" w:rsidRPr="00036EE3" w:rsidTr="008E3C29">
        <w:tc>
          <w:tcPr>
            <w:tcW w:w="1140" w:type="dxa"/>
            <w:shd w:val="clear" w:color="auto" w:fill="auto"/>
          </w:tcPr>
          <w:p w:rsidR="00356BFC" w:rsidRPr="00906589" w:rsidRDefault="00356BFC"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356BFC" w:rsidRPr="00906589" w:rsidRDefault="00356BFC"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56BFC" w:rsidRPr="00036EE3" w:rsidTr="008E3C29">
        <w:tc>
          <w:tcPr>
            <w:tcW w:w="1140" w:type="dxa"/>
          </w:tcPr>
          <w:p w:rsidR="00356BFC" w:rsidRPr="00036EE3" w:rsidRDefault="00356BFC" w:rsidP="008E3C29">
            <w:pPr>
              <w:spacing w:before="30" w:after="30"/>
              <w:ind w:left="57"/>
              <w:jc w:val="left"/>
              <w:rPr>
                <w:b/>
                <w:bCs/>
                <w:sz w:val="20"/>
                <w:lang w:val="fr-CH"/>
              </w:rPr>
            </w:pPr>
            <w:r w:rsidRPr="00036EE3">
              <w:rPr>
                <w:b/>
                <w:bCs/>
                <w:sz w:val="20"/>
                <w:lang w:val="fr-CH"/>
              </w:rPr>
              <w:t>P</w:t>
            </w:r>
          </w:p>
        </w:tc>
        <w:tc>
          <w:tcPr>
            <w:tcW w:w="8220" w:type="dxa"/>
          </w:tcPr>
          <w:p w:rsidR="00356BFC" w:rsidRPr="00036EE3" w:rsidRDefault="00356BFC" w:rsidP="008E3C29">
            <w:pPr>
              <w:spacing w:before="30" w:after="30"/>
              <w:jc w:val="left"/>
              <w:rPr>
                <w:sz w:val="20"/>
                <w:lang w:val="fr-CH"/>
              </w:rPr>
            </w:pPr>
            <w:r w:rsidRPr="00036EE3">
              <w:rPr>
                <w:sz w:val="20"/>
                <w:lang w:val="fr-CH"/>
              </w:rPr>
              <w:t>Radiowave propagation</w:t>
            </w:r>
          </w:p>
        </w:tc>
      </w:tr>
      <w:tr w:rsidR="00356BFC" w:rsidRPr="00036EE3" w:rsidTr="008E3C29">
        <w:tc>
          <w:tcPr>
            <w:tcW w:w="1140" w:type="dxa"/>
          </w:tcPr>
          <w:p w:rsidR="00356BFC" w:rsidRPr="00036EE3" w:rsidRDefault="00356BFC" w:rsidP="008E3C29">
            <w:pPr>
              <w:spacing w:before="30" w:after="30"/>
              <w:ind w:left="57"/>
              <w:jc w:val="left"/>
              <w:rPr>
                <w:b/>
                <w:bCs/>
                <w:sz w:val="20"/>
                <w:lang w:val="en-US"/>
              </w:rPr>
            </w:pPr>
            <w:r w:rsidRPr="00036EE3">
              <w:rPr>
                <w:b/>
                <w:bCs/>
                <w:sz w:val="20"/>
                <w:lang w:val="en-US"/>
              </w:rPr>
              <w:t>RA</w:t>
            </w:r>
          </w:p>
        </w:tc>
        <w:tc>
          <w:tcPr>
            <w:tcW w:w="8220" w:type="dxa"/>
          </w:tcPr>
          <w:p w:rsidR="00356BFC" w:rsidRPr="00036EE3" w:rsidRDefault="00356BF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56BFC" w:rsidRPr="00036EE3" w:rsidTr="008E3C29">
        <w:tc>
          <w:tcPr>
            <w:tcW w:w="1140" w:type="dxa"/>
          </w:tcPr>
          <w:p w:rsidR="00356BFC" w:rsidRPr="00036EE3" w:rsidRDefault="00356BFC" w:rsidP="008E3C29">
            <w:pPr>
              <w:spacing w:before="30" w:after="30"/>
              <w:ind w:left="57"/>
              <w:jc w:val="left"/>
              <w:rPr>
                <w:b/>
                <w:bCs/>
                <w:sz w:val="20"/>
                <w:lang w:val="en-US"/>
              </w:rPr>
            </w:pPr>
            <w:r w:rsidRPr="00036EE3">
              <w:rPr>
                <w:b/>
                <w:bCs/>
                <w:sz w:val="20"/>
                <w:lang w:val="en-US"/>
              </w:rPr>
              <w:t>RS</w:t>
            </w:r>
          </w:p>
        </w:tc>
        <w:tc>
          <w:tcPr>
            <w:tcW w:w="8220" w:type="dxa"/>
          </w:tcPr>
          <w:p w:rsidR="00356BFC" w:rsidRPr="00036EE3" w:rsidRDefault="00356BFC"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56BFC" w:rsidRPr="00036EE3" w:rsidTr="008E3C29">
        <w:tc>
          <w:tcPr>
            <w:tcW w:w="1140" w:type="dxa"/>
            <w:tcBorders>
              <w:bottom w:val="nil"/>
            </w:tcBorders>
          </w:tcPr>
          <w:p w:rsidR="00356BFC" w:rsidRPr="00036EE3" w:rsidRDefault="00356BFC"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356BFC" w:rsidRPr="00036EE3" w:rsidRDefault="00356BFC" w:rsidP="008E3C29">
            <w:pPr>
              <w:spacing w:before="30" w:after="30"/>
              <w:jc w:val="left"/>
              <w:rPr>
                <w:sz w:val="20"/>
                <w:lang w:val="en-US"/>
              </w:rPr>
            </w:pPr>
            <w:r w:rsidRPr="00036EE3">
              <w:rPr>
                <w:sz w:val="20"/>
                <w:lang w:val="en-US"/>
              </w:rPr>
              <w:t>Fixed-satellite service</w:t>
            </w:r>
          </w:p>
        </w:tc>
      </w:tr>
      <w:tr w:rsidR="00356BFC" w:rsidRPr="00A4173A" w:rsidTr="008E3C29">
        <w:tc>
          <w:tcPr>
            <w:tcW w:w="1140" w:type="dxa"/>
            <w:tcBorders>
              <w:top w:val="nil"/>
              <w:bottom w:val="nil"/>
            </w:tcBorders>
            <w:shd w:val="clear" w:color="auto" w:fill="F3F3F3"/>
          </w:tcPr>
          <w:p w:rsidR="00356BFC" w:rsidRPr="00A4173A" w:rsidRDefault="00356BFC"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356BFC" w:rsidRPr="00A4173A" w:rsidRDefault="00356BFC" w:rsidP="008E3C29">
            <w:pPr>
              <w:spacing w:before="30" w:after="30"/>
              <w:jc w:val="left"/>
              <w:rPr>
                <w:b/>
                <w:bCs/>
                <w:color w:val="000080"/>
                <w:sz w:val="20"/>
                <w:lang w:val="en-US"/>
              </w:rPr>
            </w:pPr>
            <w:r w:rsidRPr="00A4173A">
              <w:rPr>
                <w:b/>
                <w:bCs/>
                <w:color w:val="000080"/>
                <w:sz w:val="20"/>
                <w:lang w:val="en-US"/>
              </w:rPr>
              <w:t>Space applications and meteorology</w:t>
            </w:r>
          </w:p>
        </w:tc>
      </w:tr>
      <w:tr w:rsidR="00356BFC" w:rsidRPr="00356BFC" w:rsidTr="008E3C29">
        <w:tc>
          <w:tcPr>
            <w:tcW w:w="1140" w:type="dxa"/>
            <w:tcBorders>
              <w:top w:val="nil"/>
              <w:bottom w:val="nil"/>
            </w:tcBorders>
          </w:tcPr>
          <w:p w:rsidR="00356BFC" w:rsidRPr="00036EE3" w:rsidRDefault="00356BFC"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356BFC" w:rsidRPr="00036EE3" w:rsidRDefault="00356BFC" w:rsidP="008E3C29">
            <w:pPr>
              <w:spacing w:before="30" w:after="30"/>
              <w:jc w:val="left"/>
              <w:rPr>
                <w:sz w:val="20"/>
                <w:lang w:val="en-US"/>
              </w:rPr>
            </w:pPr>
            <w:r w:rsidRPr="00036EE3">
              <w:rPr>
                <w:sz w:val="20"/>
                <w:lang w:val="en-US"/>
              </w:rPr>
              <w:t>Frequency sharing and coordination between fixed-satellite and fixed service systems</w:t>
            </w:r>
          </w:p>
        </w:tc>
      </w:tr>
      <w:tr w:rsidR="00356BFC" w:rsidRPr="00036EE3" w:rsidTr="008E3C29">
        <w:tc>
          <w:tcPr>
            <w:tcW w:w="1140" w:type="dxa"/>
            <w:tcBorders>
              <w:top w:val="nil"/>
              <w:bottom w:val="nil"/>
            </w:tcBorders>
            <w:shd w:val="clear" w:color="auto" w:fill="auto"/>
          </w:tcPr>
          <w:p w:rsidR="00356BFC" w:rsidRPr="001B164E" w:rsidRDefault="00356BFC"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356BFC" w:rsidRPr="001B164E" w:rsidRDefault="00356BFC" w:rsidP="008E3C29">
            <w:pPr>
              <w:spacing w:before="30" w:after="30"/>
              <w:jc w:val="left"/>
              <w:rPr>
                <w:rFonts w:hAnsi="Times New Roman Bold"/>
                <w:sz w:val="20"/>
                <w:lang w:val="en-US"/>
              </w:rPr>
            </w:pPr>
            <w:r w:rsidRPr="001B164E">
              <w:rPr>
                <w:rFonts w:hAnsi="Times New Roman Bold"/>
                <w:sz w:val="20"/>
                <w:lang w:val="en-US"/>
              </w:rPr>
              <w:t>Spectrum management</w:t>
            </w:r>
          </w:p>
        </w:tc>
      </w:tr>
      <w:tr w:rsidR="00356BFC" w:rsidRPr="00036EE3" w:rsidTr="008E3C29">
        <w:tc>
          <w:tcPr>
            <w:tcW w:w="1140" w:type="dxa"/>
            <w:tcBorders>
              <w:top w:val="nil"/>
            </w:tcBorders>
          </w:tcPr>
          <w:p w:rsidR="00356BFC" w:rsidRPr="00036EE3" w:rsidRDefault="00356BFC"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356BFC" w:rsidRPr="00036EE3" w:rsidRDefault="00356BFC" w:rsidP="008E3C29">
            <w:pPr>
              <w:spacing w:before="30" w:after="30"/>
              <w:jc w:val="left"/>
              <w:rPr>
                <w:sz w:val="20"/>
                <w:lang w:val="en-US"/>
              </w:rPr>
            </w:pPr>
            <w:r w:rsidRPr="00036EE3">
              <w:rPr>
                <w:sz w:val="20"/>
                <w:lang w:val="en-US"/>
              </w:rPr>
              <w:t>Satellite news gathering</w:t>
            </w:r>
          </w:p>
        </w:tc>
      </w:tr>
      <w:tr w:rsidR="00356BFC" w:rsidRPr="00356BFC" w:rsidTr="008E3C29">
        <w:tc>
          <w:tcPr>
            <w:tcW w:w="1140" w:type="dxa"/>
          </w:tcPr>
          <w:p w:rsidR="00356BFC" w:rsidRPr="00036EE3" w:rsidRDefault="00356BFC" w:rsidP="008E3C29">
            <w:pPr>
              <w:spacing w:before="30" w:after="30"/>
              <w:ind w:left="57"/>
              <w:jc w:val="left"/>
              <w:rPr>
                <w:b/>
                <w:bCs/>
                <w:sz w:val="20"/>
                <w:lang w:val="en-US"/>
              </w:rPr>
            </w:pPr>
            <w:r w:rsidRPr="00036EE3">
              <w:rPr>
                <w:b/>
                <w:bCs/>
                <w:sz w:val="20"/>
                <w:lang w:val="en-US"/>
              </w:rPr>
              <w:t>TF</w:t>
            </w:r>
          </w:p>
        </w:tc>
        <w:tc>
          <w:tcPr>
            <w:tcW w:w="8220" w:type="dxa"/>
          </w:tcPr>
          <w:p w:rsidR="00356BFC" w:rsidRPr="00036EE3" w:rsidRDefault="00356BFC" w:rsidP="008E3C29">
            <w:pPr>
              <w:spacing w:before="30" w:after="30"/>
              <w:jc w:val="left"/>
              <w:rPr>
                <w:sz w:val="20"/>
                <w:lang w:val="en-US"/>
              </w:rPr>
            </w:pPr>
            <w:r w:rsidRPr="00036EE3">
              <w:rPr>
                <w:sz w:val="20"/>
                <w:lang w:val="en-US"/>
              </w:rPr>
              <w:t>Time signals and frequency standards emissions</w:t>
            </w:r>
          </w:p>
        </w:tc>
      </w:tr>
      <w:tr w:rsidR="00356BFC" w:rsidRPr="00036EE3" w:rsidTr="008E3C29">
        <w:tc>
          <w:tcPr>
            <w:tcW w:w="1140" w:type="dxa"/>
          </w:tcPr>
          <w:p w:rsidR="00356BFC" w:rsidRPr="00036EE3" w:rsidRDefault="00356BFC" w:rsidP="008E3C29">
            <w:pPr>
              <w:spacing w:before="30" w:after="30"/>
              <w:ind w:left="57"/>
              <w:jc w:val="left"/>
              <w:rPr>
                <w:b/>
                <w:bCs/>
                <w:sz w:val="20"/>
                <w:lang w:val="en-US"/>
              </w:rPr>
            </w:pPr>
            <w:r w:rsidRPr="00036EE3">
              <w:rPr>
                <w:b/>
                <w:bCs/>
                <w:sz w:val="20"/>
                <w:lang w:val="en-US"/>
              </w:rPr>
              <w:t>V</w:t>
            </w:r>
          </w:p>
        </w:tc>
        <w:tc>
          <w:tcPr>
            <w:tcW w:w="8220" w:type="dxa"/>
          </w:tcPr>
          <w:p w:rsidR="00356BFC" w:rsidRPr="00036EE3" w:rsidRDefault="00356BFC" w:rsidP="008E3C29">
            <w:pPr>
              <w:spacing w:before="30" w:after="180"/>
              <w:jc w:val="left"/>
              <w:rPr>
                <w:sz w:val="20"/>
                <w:lang w:val="en-US"/>
              </w:rPr>
            </w:pPr>
            <w:r w:rsidRPr="00036EE3">
              <w:rPr>
                <w:sz w:val="20"/>
                <w:lang w:val="en-US"/>
              </w:rPr>
              <w:t>Vocabulary and related subjects</w:t>
            </w:r>
          </w:p>
        </w:tc>
      </w:tr>
    </w:tbl>
    <w:p w:rsidR="00356BFC" w:rsidRPr="00036EE3" w:rsidRDefault="00356BFC" w:rsidP="00356BF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6BFC" w:rsidTr="008E3C29">
        <w:tc>
          <w:tcPr>
            <w:tcW w:w="720" w:type="dxa"/>
          </w:tcPr>
          <w:p w:rsidR="00356BFC" w:rsidRDefault="00356BFC" w:rsidP="008E3C29">
            <w:pPr>
              <w:jc w:val="center"/>
              <w:rPr>
                <w:sz w:val="22"/>
                <w:lang w:val="en-US"/>
              </w:rPr>
            </w:pPr>
          </w:p>
        </w:tc>
      </w:tr>
    </w:tbl>
    <w:p w:rsidR="00356BFC" w:rsidRPr="00036EE3" w:rsidRDefault="00356BFC" w:rsidP="00356BF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56BFC" w:rsidRPr="00356BFC" w:rsidTr="008E3C29">
        <w:tc>
          <w:tcPr>
            <w:tcW w:w="9360" w:type="dxa"/>
          </w:tcPr>
          <w:p w:rsidR="00356BFC" w:rsidRPr="002F5199" w:rsidRDefault="00356BFC"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56BFC" w:rsidRDefault="00356BFC" w:rsidP="00356BFC">
      <w:pPr>
        <w:spacing w:before="0"/>
        <w:jc w:val="center"/>
        <w:rPr>
          <w:sz w:val="22"/>
          <w:lang w:val="en-US"/>
        </w:rPr>
      </w:pPr>
    </w:p>
    <w:p w:rsidR="00356BFC" w:rsidRDefault="00356BFC" w:rsidP="00356BFC">
      <w:pPr>
        <w:spacing w:before="0"/>
        <w:jc w:val="center"/>
        <w:rPr>
          <w:sz w:val="22"/>
          <w:lang w:val="en-US"/>
        </w:rPr>
      </w:pPr>
    </w:p>
    <w:p w:rsidR="00356BFC" w:rsidRPr="002F5199" w:rsidRDefault="00356BFC" w:rsidP="00356BFC">
      <w:pPr>
        <w:spacing w:before="0"/>
        <w:jc w:val="right"/>
        <w:rPr>
          <w:i/>
          <w:iCs/>
          <w:sz w:val="20"/>
          <w:lang w:val="en-US"/>
        </w:rPr>
      </w:pPr>
      <w:r w:rsidRPr="002F5199">
        <w:rPr>
          <w:i/>
          <w:iCs/>
          <w:sz w:val="20"/>
          <w:lang w:val="en-US"/>
        </w:rPr>
        <w:t>Electronic Publication</w:t>
      </w:r>
    </w:p>
    <w:p w:rsidR="00356BFC" w:rsidRPr="002F5199" w:rsidRDefault="00356BFC" w:rsidP="00356BFC">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356BFC" w:rsidRDefault="00356BFC" w:rsidP="00356BFC">
      <w:pPr>
        <w:jc w:val="center"/>
        <w:rPr>
          <w:sz w:val="22"/>
          <w:lang w:val="en-US"/>
        </w:rPr>
      </w:pPr>
    </w:p>
    <w:p w:rsidR="00356BFC" w:rsidRPr="00470E28" w:rsidRDefault="00356BFC" w:rsidP="00356BF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356BFC" w:rsidRPr="00470E28" w:rsidRDefault="00356BFC" w:rsidP="00356BF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56BFC" w:rsidRDefault="00356BFC" w:rsidP="00356BFC">
      <w:pPr>
        <w:spacing w:before="160"/>
        <w:rPr>
          <w:i/>
          <w:sz w:val="20"/>
          <w:lang w:val="en-US"/>
        </w:rPr>
        <w:sectPr w:rsidR="00356BFC" w:rsidSect="00313E36">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356BFC" w:rsidRPr="00C95C69" w:rsidRDefault="00356BFC" w:rsidP="00356BFC">
      <w:pPr>
        <w:pStyle w:val="RecNo"/>
        <w:rPr>
          <w:rFonts w:asciiTheme="majorBidi" w:hAnsiTheme="majorBidi" w:cstheme="majorBidi"/>
          <w:b/>
          <w:lang w:val="en-GB"/>
        </w:rPr>
      </w:pPr>
      <w:bookmarkStart w:id="3" w:name="irecnoe"/>
      <w:bookmarkEnd w:id="3"/>
      <w:r w:rsidRPr="00356BFC">
        <w:rPr>
          <w:lang w:val="en-GB"/>
        </w:rPr>
        <w:t xml:space="preserve">RECOMMENDATION  </w:t>
      </w:r>
      <w:r w:rsidRPr="00356BFC">
        <w:rPr>
          <w:rStyle w:val="href"/>
          <w:lang w:val="en-GB"/>
        </w:rPr>
        <w:t>ITU-R  SA.</w:t>
      </w:r>
      <w:r w:rsidRPr="00356BFC">
        <w:rPr>
          <w:rStyle w:val="href"/>
          <w:lang w:val="en-GB"/>
        </w:rPr>
        <w:t>1014-3</w:t>
      </w:r>
    </w:p>
    <w:p w:rsidR="00356BFC" w:rsidRPr="00356BFC" w:rsidRDefault="00356BFC" w:rsidP="00356BFC">
      <w:pPr>
        <w:pStyle w:val="Rectitle"/>
        <w:rPr>
          <w:lang w:val="en-GB"/>
        </w:rPr>
      </w:pPr>
      <w:r w:rsidRPr="00356BFC">
        <w:rPr>
          <w:lang w:val="en-GB"/>
        </w:rPr>
        <w:t>Radiocommunication requirements for manned</w:t>
      </w:r>
      <w:r w:rsidRPr="00356BFC">
        <w:rPr>
          <w:lang w:val="en-GB"/>
        </w:rPr>
        <w:br/>
        <w:t>and unmanned deep space research</w:t>
      </w:r>
    </w:p>
    <w:p w:rsidR="00356BFC" w:rsidRPr="00356BFC" w:rsidRDefault="00356BFC" w:rsidP="00356BFC">
      <w:pPr>
        <w:pStyle w:val="Recdate"/>
        <w:rPr>
          <w:lang w:val="en-GB"/>
        </w:rPr>
      </w:pPr>
      <w:r w:rsidRPr="00356BFC">
        <w:rPr>
          <w:lang w:val="en-GB"/>
        </w:rPr>
        <w:t>(1994-2006-2011-2017)</w:t>
      </w:r>
    </w:p>
    <w:p w:rsidR="00356BFC" w:rsidRPr="00806EA2" w:rsidRDefault="00356BFC" w:rsidP="00313E36">
      <w:pPr>
        <w:pStyle w:val="HeadingSum"/>
      </w:pPr>
      <w:r w:rsidRPr="00806EA2">
        <w:t>Scope</w:t>
      </w:r>
    </w:p>
    <w:p w:rsidR="00356BFC" w:rsidRPr="00356BFC" w:rsidRDefault="00356BFC" w:rsidP="00313E36">
      <w:pPr>
        <w:pStyle w:val="Summary"/>
      </w:pPr>
      <w:r w:rsidRPr="00356BFC">
        <w:t>This Recommendation briefly describes some essential characteristics of space research service (deep space) radiocommunications. These characteristics influence or determine the requirements for selection of candidate bands, coordination, band sharing and protection from interference.</w:t>
      </w:r>
    </w:p>
    <w:p w:rsidR="00356BFC" w:rsidRPr="00806EA2" w:rsidRDefault="00356BFC" w:rsidP="00356BFC">
      <w:pPr>
        <w:pStyle w:val="Headingb"/>
        <w:rPr>
          <w:lang w:val="en-GB"/>
        </w:rPr>
      </w:pPr>
      <w:r w:rsidRPr="00806EA2">
        <w:rPr>
          <w:lang w:val="en-GB"/>
        </w:rPr>
        <w:t>Keywords</w:t>
      </w:r>
    </w:p>
    <w:p w:rsidR="00356BFC" w:rsidRPr="00356BFC" w:rsidRDefault="00356BFC" w:rsidP="00356BFC">
      <w:pPr>
        <w:rPr>
          <w:lang w:val="en-GB"/>
        </w:rPr>
      </w:pPr>
      <w:r w:rsidRPr="00356BFC">
        <w:rPr>
          <w:lang w:val="en-GB"/>
        </w:rPr>
        <w:t>Deep space, radiocommunication, telemetry, telecommand, data rate, earth stations, space stations, ranging, radio science</w:t>
      </w:r>
    </w:p>
    <w:p w:rsidR="00356BFC" w:rsidRPr="00806EA2" w:rsidRDefault="00356BFC" w:rsidP="00356BFC">
      <w:pPr>
        <w:pStyle w:val="Headingb"/>
        <w:rPr>
          <w:lang w:val="en-GB" w:eastAsia="zh-CN"/>
        </w:rPr>
      </w:pPr>
      <w:r w:rsidRPr="00806EA2">
        <w:rPr>
          <w:lang w:val="en-GB" w:eastAsia="zh-CN"/>
        </w:rPr>
        <w:t>Related Recommendations and Reports</w:t>
      </w:r>
    </w:p>
    <w:p w:rsidR="00356BFC" w:rsidRPr="00356BFC" w:rsidRDefault="00356BFC" w:rsidP="00356BFC">
      <w:pPr>
        <w:rPr>
          <w:lang w:val="en-GB" w:eastAsia="zh-CN"/>
        </w:rPr>
      </w:pPr>
      <w:r w:rsidRPr="00356BFC">
        <w:rPr>
          <w:lang w:val="en-GB" w:eastAsia="zh-CN"/>
        </w:rPr>
        <w:t>Recommendation ITU-R SA.1015, Report ITU-R SA.2167, Report ITU-R SA.2177.</w:t>
      </w:r>
    </w:p>
    <w:p w:rsidR="00356BFC" w:rsidRPr="00356BFC" w:rsidRDefault="00356BFC" w:rsidP="00356BFC">
      <w:pPr>
        <w:pStyle w:val="Normalaftertitle"/>
        <w:rPr>
          <w:lang w:val="en-GB"/>
        </w:rPr>
      </w:pPr>
      <w:r w:rsidRPr="00356BFC">
        <w:rPr>
          <w:lang w:val="en-GB"/>
        </w:rPr>
        <w:t>The ITU Radiocommunication Assembly,</w:t>
      </w:r>
    </w:p>
    <w:p w:rsidR="00356BFC" w:rsidRPr="00356BFC" w:rsidRDefault="00356BFC" w:rsidP="00356BFC">
      <w:pPr>
        <w:pStyle w:val="Call"/>
        <w:rPr>
          <w:lang w:val="en-GB"/>
        </w:rPr>
      </w:pPr>
      <w:r w:rsidRPr="00356BFC">
        <w:rPr>
          <w:lang w:val="en-GB"/>
        </w:rPr>
        <w:t>considering</w:t>
      </w:r>
    </w:p>
    <w:p w:rsidR="00356BFC" w:rsidRPr="00356BFC" w:rsidRDefault="00356BFC" w:rsidP="00356BFC">
      <w:pPr>
        <w:rPr>
          <w:lang w:val="en-GB"/>
        </w:rPr>
      </w:pPr>
      <w:r w:rsidRPr="00356BFC">
        <w:rPr>
          <w:i/>
          <w:iCs/>
          <w:lang w:val="en-GB"/>
        </w:rPr>
        <w:t>a)</w:t>
      </w:r>
      <w:r w:rsidRPr="00356BFC">
        <w:rPr>
          <w:lang w:val="en-GB"/>
        </w:rPr>
        <w:tab/>
        <w:t>that radiocommunications between the Earth and stations in deep space have unique requirements;</w:t>
      </w:r>
    </w:p>
    <w:p w:rsidR="00356BFC" w:rsidRPr="00356BFC" w:rsidRDefault="00356BFC" w:rsidP="00356BFC">
      <w:pPr>
        <w:rPr>
          <w:lang w:val="en-GB"/>
        </w:rPr>
      </w:pPr>
      <w:r w:rsidRPr="00356BFC">
        <w:rPr>
          <w:i/>
          <w:iCs/>
          <w:lang w:val="en-GB"/>
        </w:rPr>
        <w:t>b)</w:t>
      </w:r>
      <w:r w:rsidRPr="00356BFC">
        <w:rPr>
          <w:lang w:val="en-GB"/>
        </w:rPr>
        <w:tab/>
        <w:t>that these requirements affect the selection of candidate band, band sharing, coordination, protection from interference and other regulatory and frequency management matters,</w:t>
      </w:r>
    </w:p>
    <w:p w:rsidR="00356BFC" w:rsidRPr="00356BFC" w:rsidRDefault="00356BFC" w:rsidP="00356BFC">
      <w:pPr>
        <w:pStyle w:val="Call"/>
        <w:rPr>
          <w:lang w:val="en-GB"/>
        </w:rPr>
      </w:pPr>
      <w:r w:rsidRPr="00356BFC">
        <w:rPr>
          <w:lang w:val="en-GB"/>
        </w:rPr>
        <w:t>recommends</w:t>
      </w:r>
    </w:p>
    <w:p w:rsidR="00356BFC" w:rsidRPr="00356BFC" w:rsidRDefault="00356BFC" w:rsidP="00356BFC">
      <w:pPr>
        <w:rPr>
          <w:lang w:val="en-GB"/>
        </w:rPr>
      </w:pPr>
      <w:r w:rsidRPr="00356BFC">
        <w:rPr>
          <w:lang w:val="en-GB"/>
        </w:rPr>
        <w:t>that the requirements and characteristics described in the Annex for deep space radiocommunications should be taken into account concerning space research service (deep space) and its interaction with other services.</w:t>
      </w:r>
    </w:p>
    <w:p w:rsidR="00356BFC" w:rsidRPr="00356BFC" w:rsidRDefault="00356BFC" w:rsidP="00356BFC">
      <w:pPr>
        <w:rPr>
          <w:lang w:val="en-GB"/>
        </w:rPr>
      </w:pPr>
    </w:p>
    <w:p w:rsidR="00356BFC" w:rsidRPr="00356BFC" w:rsidRDefault="00356BFC" w:rsidP="00356BFC">
      <w:pPr>
        <w:rPr>
          <w:lang w:val="en-GB"/>
        </w:rPr>
      </w:pPr>
    </w:p>
    <w:p w:rsidR="00356BFC" w:rsidRPr="00670489" w:rsidRDefault="00356BFC" w:rsidP="00670489">
      <w:pPr>
        <w:pStyle w:val="AnnexNoTitle"/>
        <w:rPr>
          <w:lang w:val="en-GB"/>
        </w:rPr>
      </w:pPr>
      <w:r w:rsidRPr="00670489">
        <w:rPr>
          <w:lang w:val="en-GB"/>
        </w:rPr>
        <w:t xml:space="preserve">Annex </w:t>
      </w:r>
      <w:r w:rsidR="00670489" w:rsidRPr="00670489">
        <w:rPr>
          <w:lang w:val="en-GB"/>
        </w:rPr>
        <w:br/>
      </w:r>
      <w:r w:rsidR="00670489" w:rsidRPr="00670489">
        <w:rPr>
          <w:lang w:val="en-GB"/>
        </w:rPr>
        <w:br/>
      </w:r>
      <w:r w:rsidRPr="00670489">
        <w:rPr>
          <w:lang w:val="en-GB"/>
        </w:rPr>
        <w:t>Radiocommunication requirements for manned</w:t>
      </w:r>
      <w:r w:rsidRPr="00670489">
        <w:rPr>
          <w:lang w:val="en-GB"/>
        </w:rPr>
        <w:br/>
        <w:t>and unmanned deep space research</w:t>
      </w:r>
    </w:p>
    <w:p w:rsidR="00356BFC" w:rsidRPr="00356BFC" w:rsidRDefault="00356BFC" w:rsidP="00356BFC">
      <w:pPr>
        <w:pStyle w:val="Heading1"/>
        <w:rPr>
          <w:lang w:val="en-GB"/>
        </w:rPr>
      </w:pPr>
      <w:r w:rsidRPr="00356BFC">
        <w:rPr>
          <w:lang w:val="en-GB"/>
        </w:rPr>
        <w:t>1</w:t>
      </w:r>
      <w:r w:rsidRPr="00356BFC">
        <w:rPr>
          <w:lang w:val="en-GB"/>
        </w:rPr>
        <w:tab/>
        <w:t>Introduction</w:t>
      </w:r>
    </w:p>
    <w:p w:rsidR="00356BFC" w:rsidRPr="00356BFC" w:rsidRDefault="00356BFC" w:rsidP="00356BFC">
      <w:pPr>
        <w:rPr>
          <w:lang w:val="en-GB"/>
        </w:rPr>
      </w:pPr>
      <w:r w:rsidRPr="00356BFC">
        <w:rPr>
          <w:lang w:val="en-GB"/>
        </w:rPr>
        <w:t>This Annex presents some characteristics of deep space research missions, the functional and performance requirements for radiocommunications needed to conduct deep space research by means of spacecraft, and the technical methods and parameters of systems used in connection with such missions.</w:t>
      </w:r>
    </w:p>
    <w:p w:rsidR="00356BFC" w:rsidRPr="00356BFC" w:rsidRDefault="00356BFC" w:rsidP="00356BFC">
      <w:pPr>
        <w:rPr>
          <w:lang w:val="en-GB"/>
        </w:rPr>
      </w:pPr>
      <w:r w:rsidRPr="00356BFC">
        <w:rPr>
          <w:lang w:val="en-GB"/>
        </w:rPr>
        <w:t>Considerations regarding bandwidth characteristics and requirements are found in Report ITU</w:t>
      </w:r>
      <w:r w:rsidRPr="00356BFC">
        <w:rPr>
          <w:lang w:val="en-GB"/>
        </w:rPr>
        <w:noBreakHyphen/>
        <w:t>R SA.2177.</w:t>
      </w:r>
    </w:p>
    <w:p w:rsidR="00356BFC" w:rsidRPr="00356BFC" w:rsidRDefault="00356BFC" w:rsidP="00356BFC">
      <w:pPr>
        <w:pStyle w:val="Heading1"/>
        <w:rPr>
          <w:lang w:val="en-GB"/>
        </w:rPr>
      </w:pPr>
      <w:r w:rsidRPr="00356BFC">
        <w:rPr>
          <w:lang w:val="en-GB"/>
        </w:rPr>
        <w:t>2</w:t>
      </w:r>
      <w:r w:rsidRPr="00356BFC">
        <w:rPr>
          <w:lang w:val="en-GB"/>
        </w:rPr>
        <w:tab/>
        <w:t>Radiocommunication requirements</w:t>
      </w:r>
    </w:p>
    <w:p w:rsidR="00356BFC" w:rsidRPr="00356BFC" w:rsidRDefault="00356BFC" w:rsidP="00356BFC">
      <w:pPr>
        <w:rPr>
          <w:lang w:val="en-GB"/>
        </w:rPr>
      </w:pPr>
      <w:r w:rsidRPr="00356BFC">
        <w:rPr>
          <w:lang w:val="en-GB"/>
        </w:rPr>
        <w:t>Deep space missions require highly reliable radiocommunications over long periods of time and great distances. For example, a spacecraft mission to gather scientific information at the planet Neptune takes eight years and requires radiocommunication over a distance of 4.65 </w:t>
      </w:r>
      <w:r w:rsidRPr="00806EA2">
        <w:rPr>
          <w:rFonts w:ascii="Symbol" w:hAnsi="Symbol"/>
        </w:rPr>
        <w:t></w:t>
      </w:r>
      <w:r w:rsidRPr="00356BFC">
        <w:rPr>
          <w:lang w:val="en-GB"/>
        </w:rPr>
        <w:t> 10</w:t>
      </w:r>
      <w:r w:rsidRPr="00356BFC">
        <w:rPr>
          <w:position w:val="6"/>
          <w:sz w:val="16"/>
          <w:lang w:val="en-GB"/>
        </w:rPr>
        <w:t>9</w:t>
      </w:r>
      <w:r w:rsidRPr="00356BFC">
        <w:rPr>
          <w:lang w:val="en-GB"/>
        </w:rPr>
        <w:t> km. The need for high e.i.r.p. and very sensitive receivers at earth stations is a result of the large radiocommunication distances involved in deep space research.</w:t>
      </w:r>
    </w:p>
    <w:p w:rsidR="00356BFC" w:rsidRPr="00356BFC" w:rsidRDefault="00356BFC" w:rsidP="00356BFC">
      <w:pPr>
        <w:rPr>
          <w:lang w:val="en-GB"/>
        </w:rPr>
      </w:pPr>
      <w:r w:rsidRPr="00356BFC">
        <w:rPr>
          <w:lang w:val="en-GB"/>
        </w:rPr>
        <w:t>Continuous usage of space research service (deep space) radiocommunication bands is a consequence of the several missions now in existence and others being planned. Because many deep space missions continue for periods of several years, and because there are usually several missions in progress at the same time, there is a corresponding need for radiocommunication with several spacecraft at any given time.</w:t>
      </w:r>
    </w:p>
    <w:p w:rsidR="00356BFC" w:rsidRPr="00356BFC" w:rsidRDefault="00356BFC" w:rsidP="00356BFC">
      <w:pPr>
        <w:rPr>
          <w:lang w:val="en-GB"/>
        </w:rPr>
      </w:pPr>
      <w:r w:rsidRPr="00356BFC">
        <w:rPr>
          <w:lang w:val="en-GB"/>
        </w:rPr>
        <w:t>In addition, each mission may include more than one spacecraft, so that simultaneous radiocommunication with several space stations will be necessary. Simultaneous coordinated radiocommunication between a space station and more than one earth station may also be required.</w:t>
      </w:r>
    </w:p>
    <w:p w:rsidR="00356BFC" w:rsidRPr="00356BFC" w:rsidRDefault="00356BFC" w:rsidP="00356BFC">
      <w:pPr>
        <w:pStyle w:val="Heading2"/>
        <w:rPr>
          <w:lang w:val="en-GB"/>
        </w:rPr>
      </w:pPr>
      <w:r w:rsidRPr="00356BFC">
        <w:rPr>
          <w:lang w:val="en-GB"/>
        </w:rPr>
        <w:t>2.1</w:t>
      </w:r>
      <w:r w:rsidRPr="00356BFC">
        <w:rPr>
          <w:lang w:val="en-GB"/>
        </w:rPr>
        <w:tab/>
        <w:t>Telemetering requirements</w:t>
      </w:r>
    </w:p>
    <w:p w:rsidR="00356BFC" w:rsidRPr="00356BFC" w:rsidRDefault="00356BFC" w:rsidP="00356BFC">
      <w:pPr>
        <w:rPr>
          <w:lang w:val="en-GB"/>
        </w:rPr>
      </w:pPr>
      <w:r w:rsidRPr="00356BFC">
        <w:rPr>
          <w:lang w:val="en-GB"/>
        </w:rPr>
        <w:t>Telemetering is used to transmit both maintenance and scientific information from deep space.</w:t>
      </w:r>
    </w:p>
    <w:p w:rsidR="00356BFC" w:rsidRPr="00356BFC" w:rsidRDefault="00356BFC" w:rsidP="00356BFC">
      <w:pPr>
        <w:rPr>
          <w:lang w:val="en-GB"/>
        </w:rPr>
      </w:pPr>
      <w:r w:rsidRPr="00356BFC">
        <w:rPr>
          <w:lang w:val="en-GB"/>
        </w:rPr>
        <w:t>Maintenance telemetering information about the condition of the spacecraft must be received whenever needed to ensure the safety of the spacecraft and success of the mission. This requires a weather independent radiocommunications link of sufficient capacity. This requirement is a partial determinant of the frequency bands that are preferred for deep space research (see Report ITU</w:t>
      </w:r>
      <w:r w:rsidRPr="00356BFC">
        <w:rPr>
          <w:lang w:val="en-GB"/>
        </w:rPr>
        <w:noBreakHyphen/>
        <w:t>R SA.2177).</w:t>
      </w:r>
    </w:p>
    <w:p w:rsidR="00356BFC" w:rsidRPr="00356BFC" w:rsidRDefault="00356BFC" w:rsidP="00356BFC">
      <w:pPr>
        <w:rPr>
          <w:lang w:val="en-GB"/>
        </w:rPr>
      </w:pPr>
      <w:r w:rsidRPr="00356BFC">
        <w:rPr>
          <w:lang w:val="en-GB"/>
        </w:rPr>
        <w:t>Science telemetering involves the sending of data that is collected by the on-board scientific instruments. The required data rate and acceptable error rate may be quite different as a function of the particular instrument and measurement. Table 1 includes maximum required data transmission rates for scientific and maintenance telemetering.</w:t>
      </w:r>
    </w:p>
    <w:p w:rsidR="00356BFC" w:rsidRPr="00356BFC" w:rsidRDefault="00356BFC" w:rsidP="00356BFC">
      <w:pPr>
        <w:pStyle w:val="TableNo"/>
        <w:rPr>
          <w:lang w:val="en-GB"/>
        </w:rPr>
      </w:pPr>
      <w:r w:rsidRPr="00356BFC">
        <w:rPr>
          <w:lang w:val="en-GB"/>
        </w:rPr>
        <w:t>TABLE 1</w:t>
      </w:r>
    </w:p>
    <w:p w:rsidR="00356BFC" w:rsidRPr="00356BFC" w:rsidRDefault="00356BFC" w:rsidP="00356BFC">
      <w:pPr>
        <w:pStyle w:val="Tabletitle"/>
        <w:rPr>
          <w:lang w:val="en-GB"/>
        </w:rPr>
      </w:pPr>
      <w:r w:rsidRPr="00356BFC">
        <w:rPr>
          <w:lang w:val="en-GB"/>
        </w:rPr>
        <w:t>Maximum required bit rates for deep space research</w:t>
      </w:r>
    </w:p>
    <w:tbl>
      <w:tblPr>
        <w:tblW w:w="9639" w:type="dxa"/>
        <w:jc w:val="center"/>
        <w:tblLayout w:type="fixed"/>
        <w:tblLook w:val="0000" w:firstRow="0" w:lastRow="0" w:firstColumn="0" w:lastColumn="0" w:noHBand="0" w:noVBand="0"/>
      </w:tblPr>
      <w:tblGrid>
        <w:gridCol w:w="4426"/>
        <w:gridCol w:w="1717"/>
        <w:gridCol w:w="1801"/>
        <w:gridCol w:w="1695"/>
      </w:tblGrid>
      <w:tr w:rsidR="00356BFC" w:rsidRPr="00806EA2" w:rsidTr="00670489">
        <w:trPr>
          <w:cantSplit/>
          <w:jc w:val="center"/>
        </w:trPr>
        <w:tc>
          <w:tcPr>
            <w:tcW w:w="3761" w:type="dxa"/>
            <w:vMerge w:val="restart"/>
            <w:tcBorders>
              <w:top w:val="single" w:sz="4" w:space="0" w:color="auto"/>
              <w:left w:val="single" w:sz="4" w:space="0" w:color="auto"/>
              <w:bottom w:val="single" w:sz="4" w:space="0" w:color="auto"/>
              <w:right w:val="single" w:sz="4" w:space="0" w:color="auto"/>
            </w:tcBorders>
            <w:vAlign w:val="center"/>
          </w:tcPr>
          <w:p w:rsidR="00356BFC" w:rsidRPr="00806EA2" w:rsidRDefault="00356BFC" w:rsidP="008E3C29">
            <w:pPr>
              <w:pStyle w:val="Tablehead"/>
            </w:pPr>
            <w:r w:rsidRPr="00806EA2">
              <w:t>Direction and function</w:t>
            </w:r>
          </w:p>
        </w:tc>
        <w:tc>
          <w:tcPr>
            <w:tcW w:w="4429" w:type="dxa"/>
            <w:gridSpan w:val="3"/>
            <w:tcBorders>
              <w:top w:val="single" w:sz="4" w:space="0" w:color="auto"/>
              <w:left w:val="single" w:sz="4" w:space="0" w:color="auto"/>
              <w:bottom w:val="single" w:sz="4" w:space="0" w:color="auto"/>
              <w:right w:val="single" w:sz="4" w:space="0" w:color="auto"/>
            </w:tcBorders>
          </w:tcPr>
          <w:p w:rsidR="00356BFC" w:rsidRPr="00806EA2" w:rsidRDefault="00356BFC" w:rsidP="008E3C29">
            <w:pPr>
              <w:pStyle w:val="Tablehead"/>
            </w:pPr>
            <w:r w:rsidRPr="00806EA2">
              <w:t>Link characteristic</w:t>
            </w:r>
          </w:p>
        </w:tc>
      </w:tr>
      <w:tr w:rsidR="00356BFC" w:rsidRPr="00806EA2" w:rsidTr="00670489">
        <w:trPr>
          <w:cantSplit/>
          <w:jc w:val="center"/>
        </w:trPr>
        <w:tc>
          <w:tcPr>
            <w:tcW w:w="3761" w:type="dxa"/>
            <w:vMerge/>
            <w:tcBorders>
              <w:top w:val="single" w:sz="4" w:space="0" w:color="auto"/>
              <w:left w:val="single" w:sz="4" w:space="0" w:color="auto"/>
              <w:bottom w:val="single" w:sz="4" w:space="0" w:color="auto"/>
              <w:right w:val="single" w:sz="4" w:space="0" w:color="auto"/>
            </w:tcBorders>
          </w:tcPr>
          <w:p w:rsidR="00356BFC" w:rsidRPr="00806EA2" w:rsidRDefault="00356BFC" w:rsidP="008E3C29">
            <w:pPr>
              <w:keepNext/>
              <w:spacing w:before="80" w:after="80"/>
              <w:rPr>
                <w:rFonts w:ascii="Times New Roman Bold" w:hAnsi="Times New Roman Bold" w:cs="Times New Roman Bold"/>
                <w:b/>
                <w:sz w:val="20"/>
              </w:rPr>
            </w:pPr>
          </w:p>
        </w:tc>
        <w:tc>
          <w:tcPr>
            <w:tcW w:w="1459" w:type="dxa"/>
            <w:tcBorders>
              <w:top w:val="single" w:sz="4" w:space="0" w:color="auto"/>
              <w:left w:val="single" w:sz="4" w:space="0" w:color="auto"/>
              <w:bottom w:val="single" w:sz="4" w:space="0" w:color="auto"/>
              <w:right w:val="single" w:sz="4" w:space="0" w:color="auto"/>
            </w:tcBorders>
          </w:tcPr>
          <w:p w:rsidR="00356BFC" w:rsidRPr="00806EA2" w:rsidRDefault="00356BFC" w:rsidP="008E3C29">
            <w:pPr>
              <w:pStyle w:val="Tablehead"/>
            </w:pPr>
            <w:r w:rsidRPr="00806EA2">
              <w:t>Weather independent</w:t>
            </w:r>
          </w:p>
        </w:tc>
        <w:tc>
          <w:tcPr>
            <w:tcW w:w="1530" w:type="dxa"/>
            <w:tcBorders>
              <w:top w:val="single" w:sz="4" w:space="0" w:color="auto"/>
              <w:left w:val="single" w:sz="4" w:space="0" w:color="auto"/>
              <w:bottom w:val="single" w:sz="4" w:space="0" w:color="auto"/>
              <w:right w:val="single" w:sz="4" w:space="0" w:color="auto"/>
            </w:tcBorders>
          </w:tcPr>
          <w:p w:rsidR="00356BFC" w:rsidRPr="00806EA2" w:rsidRDefault="00356BFC" w:rsidP="008E3C29">
            <w:pPr>
              <w:pStyle w:val="Tablehead"/>
            </w:pPr>
            <w:r w:rsidRPr="00806EA2">
              <w:t>Normal</w:t>
            </w:r>
          </w:p>
        </w:tc>
        <w:tc>
          <w:tcPr>
            <w:tcW w:w="1440" w:type="dxa"/>
            <w:tcBorders>
              <w:top w:val="single" w:sz="4" w:space="0" w:color="auto"/>
              <w:left w:val="single" w:sz="4" w:space="0" w:color="auto"/>
              <w:bottom w:val="single" w:sz="4" w:space="0" w:color="auto"/>
              <w:right w:val="single" w:sz="4" w:space="0" w:color="auto"/>
            </w:tcBorders>
          </w:tcPr>
          <w:p w:rsidR="00356BFC" w:rsidRPr="00806EA2" w:rsidRDefault="00356BFC" w:rsidP="008E3C29">
            <w:pPr>
              <w:pStyle w:val="Tablehead"/>
            </w:pPr>
            <w:r w:rsidRPr="00806EA2">
              <w:t>High data rate</w:t>
            </w:r>
          </w:p>
        </w:tc>
      </w:tr>
      <w:tr w:rsidR="00356BFC" w:rsidRPr="00806EA2" w:rsidTr="00670489">
        <w:trPr>
          <w:cantSplit/>
          <w:jc w:val="center"/>
        </w:trPr>
        <w:tc>
          <w:tcPr>
            <w:tcW w:w="3761" w:type="dxa"/>
            <w:tcBorders>
              <w:top w:val="single" w:sz="4" w:space="0" w:color="auto"/>
              <w:left w:val="single" w:sz="6" w:space="0" w:color="auto"/>
              <w:right w:val="single" w:sz="6" w:space="0" w:color="auto"/>
            </w:tcBorders>
          </w:tcPr>
          <w:p w:rsidR="00356BFC" w:rsidRPr="00806EA2" w:rsidRDefault="00356BFC" w:rsidP="00670489">
            <w:pPr>
              <w:pStyle w:val="Tabletext"/>
              <w:jc w:val="left"/>
            </w:pPr>
            <w:r w:rsidRPr="00806EA2">
              <w:t>Earth-to-space</w:t>
            </w:r>
          </w:p>
        </w:tc>
        <w:tc>
          <w:tcPr>
            <w:tcW w:w="1459" w:type="dxa"/>
            <w:tcBorders>
              <w:top w:val="single" w:sz="4" w:space="0" w:color="auto"/>
              <w:right w:val="single" w:sz="6" w:space="0" w:color="auto"/>
            </w:tcBorders>
          </w:tcPr>
          <w:p w:rsidR="00356BFC" w:rsidRPr="00806EA2" w:rsidRDefault="00356BFC" w:rsidP="008E3C29">
            <w:pPr>
              <w:pStyle w:val="Tabletext"/>
              <w:jc w:val="center"/>
            </w:pPr>
          </w:p>
        </w:tc>
        <w:tc>
          <w:tcPr>
            <w:tcW w:w="1530" w:type="dxa"/>
            <w:tcBorders>
              <w:top w:val="single" w:sz="4" w:space="0" w:color="auto"/>
              <w:right w:val="single" w:sz="6" w:space="0" w:color="auto"/>
            </w:tcBorders>
          </w:tcPr>
          <w:p w:rsidR="00356BFC" w:rsidRPr="00806EA2" w:rsidRDefault="00356BFC" w:rsidP="008E3C29">
            <w:pPr>
              <w:pStyle w:val="Tabletext"/>
              <w:jc w:val="center"/>
            </w:pPr>
          </w:p>
        </w:tc>
        <w:tc>
          <w:tcPr>
            <w:tcW w:w="1440" w:type="dxa"/>
            <w:tcBorders>
              <w:top w:val="single" w:sz="4" w:space="0" w:color="auto"/>
              <w:right w:val="single" w:sz="6" w:space="0" w:color="auto"/>
            </w:tcBorders>
          </w:tcPr>
          <w:p w:rsidR="00356BFC" w:rsidRPr="00806EA2" w:rsidRDefault="00356BFC" w:rsidP="008E3C29">
            <w:pPr>
              <w:pStyle w:val="Tabletext"/>
              <w:jc w:val="center"/>
            </w:pPr>
          </w:p>
        </w:tc>
      </w:tr>
      <w:tr w:rsidR="00356BFC" w:rsidRPr="00806EA2" w:rsidTr="00670489">
        <w:trPr>
          <w:cantSplit/>
          <w:jc w:val="center"/>
        </w:trPr>
        <w:tc>
          <w:tcPr>
            <w:tcW w:w="3761" w:type="dxa"/>
            <w:tcBorders>
              <w:left w:val="single" w:sz="6" w:space="0" w:color="auto"/>
              <w:right w:val="single" w:sz="6" w:space="0" w:color="auto"/>
            </w:tcBorders>
          </w:tcPr>
          <w:p w:rsidR="00356BFC" w:rsidRPr="00356BFC" w:rsidRDefault="00356BFC" w:rsidP="00670489">
            <w:pPr>
              <w:pStyle w:val="Tabletext"/>
              <w:jc w:val="left"/>
              <w:rPr>
                <w:lang w:val="en-GB"/>
              </w:rPr>
            </w:pPr>
            <w:r w:rsidRPr="00356BFC">
              <w:rPr>
                <w:lang w:val="en-GB"/>
              </w:rPr>
              <w:tab/>
              <w:t>Telecommand (bit/s)</w:t>
            </w:r>
            <w:r w:rsidRPr="00356BFC">
              <w:rPr>
                <w:lang w:val="en-GB"/>
              </w:rPr>
              <w:br/>
            </w:r>
            <w:r w:rsidRPr="00356BFC">
              <w:rPr>
                <w:lang w:val="en-GB"/>
              </w:rPr>
              <w:tab/>
              <w:t>Computer programming (kbit/s)</w:t>
            </w:r>
            <w:r w:rsidRPr="00356BFC">
              <w:rPr>
                <w:lang w:val="en-GB"/>
              </w:rPr>
              <w:br/>
            </w:r>
            <w:r w:rsidRPr="00356BFC">
              <w:rPr>
                <w:lang w:val="en-GB"/>
              </w:rPr>
              <w:tab/>
              <w:t>Audio (kbit/s)</w:t>
            </w:r>
            <w:r w:rsidRPr="00356BFC">
              <w:rPr>
                <w:lang w:val="en-GB"/>
              </w:rPr>
              <w:br/>
            </w:r>
            <w:r w:rsidRPr="00356BFC">
              <w:rPr>
                <w:lang w:val="en-GB"/>
              </w:rPr>
              <w:tab/>
              <w:t>Video (Mbit/s)</w:t>
            </w:r>
          </w:p>
        </w:tc>
        <w:tc>
          <w:tcPr>
            <w:tcW w:w="1459" w:type="dxa"/>
            <w:tcBorders>
              <w:right w:val="single" w:sz="6" w:space="0" w:color="auto"/>
            </w:tcBorders>
          </w:tcPr>
          <w:p w:rsidR="00356BFC" w:rsidRPr="00806EA2" w:rsidRDefault="00356BFC" w:rsidP="008E3C29">
            <w:pPr>
              <w:pStyle w:val="Tabletext"/>
              <w:jc w:val="center"/>
            </w:pPr>
            <w:r w:rsidRPr="00806EA2">
              <w:t>1</w:t>
            </w:r>
            <w:r w:rsidRPr="00806EA2">
              <w:rPr>
                <w:rFonts w:ascii="Tms Rmn" w:hAnsi="Tms Rmn"/>
                <w:sz w:val="12"/>
              </w:rPr>
              <w:t> </w:t>
            </w:r>
            <w:r w:rsidRPr="00806EA2">
              <w:t>000</w:t>
            </w:r>
            <w:r w:rsidRPr="00806EA2">
              <w:br/>
              <w:t>50</w:t>
            </w:r>
            <w:r w:rsidRPr="00806EA2">
              <w:br/>
              <w:t>45</w:t>
            </w:r>
            <w:r w:rsidRPr="00806EA2">
              <w:br/>
              <w:t>4</w:t>
            </w:r>
          </w:p>
        </w:tc>
        <w:tc>
          <w:tcPr>
            <w:tcW w:w="1530" w:type="dxa"/>
            <w:tcBorders>
              <w:right w:val="single" w:sz="6" w:space="0" w:color="auto"/>
            </w:tcBorders>
          </w:tcPr>
          <w:p w:rsidR="00356BFC" w:rsidRPr="00806EA2" w:rsidRDefault="00356BFC" w:rsidP="008E3C29">
            <w:pPr>
              <w:pStyle w:val="Tabletext"/>
              <w:jc w:val="center"/>
            </w:pPr>
            <w:r w:rsidRPr="00806EA2">
              <w:t>1</w:t>
            </w:r>
            <w:r w:rsidRPr="00806EA2">
              <w:rPr>
                <w:rFonts w:ascii="Tms Rmn" w:hAnsi="Tms Rmn"/>
                <w:sz w:val="12"/>
              </w:rPr>
              <w:t> </w:t>
            </w:r>
            <w:r w:rsidRPr="00806EA2">
              <w:t>000</w:t>
            </w:r>
            <w:r w:rsidRPr="00806EA2">
              <w:br/>
              <w:t>100</w:t>
            </w:r>
            <w:r w:rsidRPr="00806EA2">
              <w:br/>
              <w:t>45</w:t>
            </w:r>
            <w:r w:rsidRPr="00806EA2">
              <w:br/>
              <w:t>12</w:t>
            </w:r>
          </w:p>
        </w:tc>
        <w:tc>
          <w:tcPr>
            <w:tcW w:w="1440" w:type="dxa"/>
            <w:tcBorders>
              <w:right w:val="single" w:sz="6" w:space="0" w:color="auto"/>
            </w:tcBorders>
          </w:tcPr>
          <w:p w:rsidR="00356BFC" w:rsidRPr="00806EA2" w:rsidRDefault="00356BFC" w:rsidP="008E3C29">
            <w:pPr>
              <w:pStyle w:val="Tabletext"/>
              <w:jc w:val="center"/>
            </w:pPr>
            <w:r w:rsidRPr="00806EA2">
              <w:t>2</w:t>
            </w:r>
            <w:r w:rsidRPr="00806EA2">
              <w:rPr>
                <w:rFonts w:ascii="Tms Rmn" w:hAnsi="Tms Rmn"/>
                <w:sz w:val="12"/>
              </w:rPr>
              <w:t> </w:t>
            </w:r>
            <w:r w:rsidRPr="00806EA2">
              <w:t>000</w:t>
            </w:r>
            <w:r w:rsidRPr="00806EA2">
              <w:br/>
              <w:t>200</w:t>
            </w:r>
            <w:r w:rsidRPr="00806EA2">
              <w:br/>
              <w:t>45</w:t>
            </w:r>
            <w:r w:rsidRPr="00806EA2">
              <w:br/>
              <w:t>30</w:t>
            </w:r>
          </w:p>
        </w:tc>
      </w:tr>
      <w:tr w:rsidR="00356BFC" w:rsidRPr="00806EA2" w:rsidTr="00670489">
        <w:trPr>
          <w:cantSplit/>
          <w:jc w:val="center"/>
        </w:trPr>
        <w:tc>
          <w:tcPr>
            <w:tcW w:w="3761" w:type="dxa"/>
            <w:tcBorders>
              <w:left w:val="single" w:sz="6" w:space="0" w:color="auto"/>
              <w:right w:val="single" w:sz="6" w:space="0" w:color="auto"/>
            </w:tcBorders>
          </w:tcPr>
          <w:p w:rsidR="00356BFC" w:rsidRPr="00806EA2" w:rsidRDefault="00356BFC" w:rsidP="00670489">
            <w:pPr>
              <w:pStyle w:val="Tabletext"/>
              <w:jc w:val="left"/>
            </w:pPr>
            <w:r w:rsidRPr="00806EA2">
              <w:t>Space-to-Earth</w:t>
            </w:r>
          </w:p>
        </w:tc>
        <w:tc>
          <w:tcPr>
            <w:tcW w:w="1459" w:type="dxa"/>
            <w:tcBorders>
              <w:right w:val="single" w:sz="6" w:space="0" w:color="auto"/>
            </w:tcBorders>
          </w:tcPr>
          <w:p w:rsidR="00356BFC" w:rsidRPr="00806EA2" w:rsidRDefault="00356BFC" w:rsidP="008E3C29">
            <w:pPr>
              <w:pStyle w:val="Tabletext"/>
              <w:jc w:val="center"/>
            </w:pPr>
          </w:p>
        </w:tc>
        <w:tc>
          <w:tcPr>
            <w:tcW w:w="1530" w:type="dxa"/>
            <w:tcBorders>
              <w:right w:val="single" w:sz="6" w:space="0" w:color="auto"/>
            </w:tcBorders>
          </w:tcPr>
          <w:p w:rsidR="00356BFC" w:rsidRPr="00806EA2" w:rsidRDefault="00356BFC" w:rsidP="008E3C29">
            <w:pPr>
              <w:pStyle w:val="Tabletext"/>
              <w:jc w:val="center"/>
            </w:pPr>
          </w:p>
        </w:tc>
        <w:tc>
          <w:tcPr>
            <w:tcW w:w="1440" w:type="dxa"/>
            <w:tcBorders>
              <w:right w:val="single" w:sz="6" w:space="0" w:color="auto"/>
            </w:tcBorders>
          </w:tcPr>
          <w:p w:rsidR="00356BFC" w:rsidRPr="00806EA2" w:rsidRDefault="00356BFC" w:rsidP="008E3C29">
            <w:pPr>
              <w:pStyle w:val="Tabletext"/>
              <w:jc w:val="center"/>
            </w:pPr>
          </w:p>
        </w:tc>
      </w:tr>
      <w:tr w:rsidR="00356BFC" w:rsidRPr="00806EA2" w:rsidTr="00670489">
        <w:trPr>
          <w:cantSplit/>
          <w:jc w:val="center"/>
        </w:trPr>
        <w:tc>
          <w:tcPr>
            <w:tcW w:w="3761" w:type="dxa"/>
            <w:tcBorders>
              <w:left w:val="single" w:sz="6" w:space="0" w:color="auto"/>
              <w:bottom w:val="single" w:sz="6" w:space="0" w:color="auto"/>
              <w:right w:val="single" w:sz="6" w:space="0" w:color="auto"/>
            </w:tcBorders>
          </w:tcPr>
          <w:p w:rsidR="00356BFC" w:rsidRPr="00356BFC" w:rsidRDefault="00356BFC" w:rsidP="00670489">
            <w:pPr>
              <w:pStyle w:val="Tabletext"/>
              <w:jc w:val="left"/>
              <w:rPr>
                <w:lang w:val="en-GB"/>
              </w:rPr>
            </w:pPr>
            <w:r w:rsidRPr="00356BFC">
              <w:rPr>
                <w:lang w:val="en-GB"/>
              </w:rPr>
              <w:tab/>
              <w:t>Maintenance telemetering (bit/s)</w:t>
            </w:r>
            <w:r w:rsidRPr="00356BFC">
              <w:rPr>
                <w:lang w:val="en-GB"/>
              </w:rPr>
              <w:br/>
            </w:r>
            <w:r w:rsidRPr="00356BFC">
              <w:rPr>
                <w:lang w:val="en-GB"/>
              </w:rPr>
              <w:tab/>
              <w:t>Scientific data (kbit/s)</w:t>
            </w:r>
            <w:r w:rsidRPr="00356BFC">
              <w:rPr>
                <w:lang w:val="en-GB"/>
              </w:rPr>
              <w:br/>
            </w:r>
            <w:r w:rsidRPr="00356BFC">
              <w:rPr>
                <w:lang w:val="en-GB"/>
              </w:rPr>
              <w:tab/>
              <w:t>Audio (kbit/s)</w:t>
            </w:r>
            <w:r w:rsidRPr="00356BFC">
              <w:rPr>
                <w:lang w:val="en-GB"/>
              </w:rPr>
              <w:br/>
            </w:r>
            <w:r w:rsidRPr="00356BFC">
              <w:rPr>
                <w:lang w:val="en-GB"/>
              </w:rPr>
              <w:tab/>
              <w:t>Video (Mbit/s)</w:t>
            </w:r>
            <w:r w:rsidRPr="00356BFC">
              <w:rPr>
                <w:lang w:val="en-GB"/>
              </w:rPr>
              <w:tab/>
            </w:r>
          </w:p>
        </w:tc>
        <w:tc>
          <w:tcPr>
            <w:tcW w:w="1459" w:type="dxa"/>
            <w:tcBorders>
              <w:bottom w:val="single" w:sz="6" w:space="0" w:color="auto"/>
              <w:right w:val="single" w:sz="6" w:space="0" w:color="auto"/>
            </w:tcBorders>
          </w:tcPr>
          <w:p w:rsidR="00356BFC" w:rsidRPr="00806EA2" w:rsidRDefault="00356BFC" w:rsidP="008E3C29">
            <w:pPr>
              <w:pStyle w:val="Tabletext"/>
              <w:jc w:val="center"/>
            </w:pPr>
            <w:r w:rsidRPr="00806EA2">
              <w:t>500</w:t>
            </w:r>
            <w:r w:rsidRPr="00806EA2">
              <w:br/>
              <w:t>115</w:t>
            </w:r>
            <w:r w:rsidRPr="00806EA2">
              <w:br/>
              <w:t>45</w:t>
            </w:r>
            <w:r w:rsidRPr="00806EA2">
              <w:br/>
              <w:t>0.8</w:t>
            </w:r>
          </w:p>
        </w:tc>
        <w:tc>
          <w:tcPr>
            <w:tcW w:w="1530" w:type="dxa"/>
            <w:tcBorders>
              <w:bottom w:val="single" w:sz="6" w:space="0" w:color="auto"/>
              <w:right w:val="single" w:sz="6" w:space="0" w:color="auto"/>
            </w:tcBorders>
          </w:tcPr>
          <w:p w:rsidR="00356BFC" w:rsidRPr="00806EA2" w:rsidRDefault="00356BFC" w:rsidP="008E3C29">
            <w:pPr>
              <w:pStyle w:val="Tabletext"/>
              <w:jc w:val="center"/>
            </w:pPr>
            <w:r w:rsidRPr="00806EA2">
              <w:t>500</w:t>
            </w:r>
            <w:r w:rsidRPr="00806EA2">
              <w:br/>
              <w:t>500</w:t>
            </w:r>
            <w:r w:rsidRPr="00806EA2">
              <w:br/>
              <w:t>45</w:t>
            </w:r>
            <w:r w:rsidRPr="00806EA2">
              <w:br/>
              <w:t>8</w:t>
            </w:r>
          </w:p>
        </w:tc>
        <w:tc>
          <w:tcPr>
            <w:tcW w:w="1440" w:type="dxa"/>
            <w:tcBorders>
              <w:bottom w:val="single" w:sz="6" w:space="0" w:color="auto"/>
              <w:right w:val="single" w:sz="6" w:space="0" w:color="auto"/>
            </w:tcBorders>
          </w:tcPr>
          <w:p w:rsidR="00356BFC" w:rsidRPr="00806EA2" w:rsidRDefault="00356BFC" w:rsidP="008E3C29">
            <w:pPr>
              <w:pStyle w:val="Tabletext"/>
              <w:jc w:val="center"/>
            </w:pPr>
            <w:r w:rsidRPr="00806EA2">
              <w:t xml:space="preserve">2 </w:t>
            </w:r>
            <w:r w:rsidRPr="00806EA2">
              <w:rPr>
                <w:rFonts w:ascii="Symbol" w:hAnsi="Symbol"/>
              </w:rPr>
              <w:t></w:t>
            </w:r>
            <w:r w:rsidRPr="00806EA2">
              <w:t xml:space="preserve"> 10</w:t>
            </w:r>
            <w:r w:rsidRPr="00806EA2">
              <w:rPr>
                <w:position w:val="6"/>
                <w:sz w:val="14"/>
              </w:rPr>
              <w:t>5</w:t>
            </w:r>
            <w:r w:rsidRPr="00806EA2">
              <w:br/>
              <w:t xml:space="preserve">3 </w:t>
            </w:r>
            <w:r w:rsidRPr="00806EA2">
              <w:rPr>
                <w:rFonts w:ascii="Symbol" w:hAnsi="Symbol"/>
              </w:rPr>
              <w:t></w:t>
            </w:r>
            <w:r w:rsidRPr="00806EA2">
              <w:t xml:space="preserve"> 10</w:t>
            </w:r>
            <w:r w:rsidRPr="00806EA2">
              <w:rPr>
                <w:position w:val="6"/>
                <w:sz w:val="14"/>
              </w:rPr>
              <w:t>5</w:t>
            </w:r>
            <w:r w:rsidRPr="00806EA2">
              <w:br/>
              <w:t>45</w:t>
            </w:r>
            <w:r w:rsidRPr="00806EA2">
              <w:br/>
              <w:t>30</w:t>
            </w:r>
          </w:p>
        </w:tc>
      </w:tr>
    </w:tbl>
    <w:p w:rsidR="00356BFC" w:rsidRPr="00806EA2" w:rsidRDefault="00356BFC" w:rsidP="00356BFC">
      <w:pPr>
        <w:pStyle w:val="Tablefin"/>
      </w:pPr>
    </w:p>
    <w:p w:rsidR="00356BFC" w:rsidRPr="00356BFC" w:rsidRDefault="00356BFC" w:rsidP="00356BFC">
      <w:pPr>
        <w:rPr>
          <w:lang w:val="en-GB"/>
        </w:rPr>
      </w:pPr>
      <w:r w:rsidRPr="00356BFC">
        <w:rPr>
          <w:lang w:val="en-GB"/>
        </w:rPr>
        <w:t>Telemetering link capacity has steadily increased with the development of new equipment and techniques. This increase can be used in two ways:</w:t>
      </w:r>
    </w:p>
    <w:p w:rsidR="00356BFC" w:rsidRPr="00356BFC" w:rsidRDefault="00356BFC" w:rsidP="00356BFC">
      <w:pPr>
        <w:pStyle w:val="enumlev1"/>
        <w:rPr>
          <w:lang w:val="en-GB"/>
        </w:rPr>
      </w:pPr>
      <w:r w:rsidRPr="00356BFC">
        <w:rPr>
          <w:lang w:val="en-GB"/>
        </w:rPr>
        <w:t>–</w:t>
      </w:r>
      <w:r w:rsidRPr="00356BFC">
        <w:rPr>
          <w:lang w:val="en-GB"/>
        </w:rPr>
        <w:tab/>
        <w:t>to gather larger amounts of scientific data at a given planet or distance; and</w:t>
      </w:r>
    </w:p>
    <w:p w:rsidR="00356BFC" w:rsidRPr="00356BFC" w:rsidRDefault="00356BFC" w:rsidP="00356BFC">
      <w:pPr>
        <w:pStyle w:val="enumlev1"/>
        <w:rPr>
          <w:lang w:val="en-GB"/>
        </w:rPr>
      </w:pPr>
      <w:r w:rsidRPr="00356BFC">
        <w:rPr>
          <w:lang w:val="en-GB"/>
        </w:rPr>
        <w:t>–</w:t>
      </w:r>
      <w:r w:rsidRPr="00356BFC">
        <w:rPr>
          <w:lang w:val="en-GB"/>
        </w:rPr>
        <w:tab/>
        <w:t>to permit useful missions to more distant planets.</w:t>
      </w:r>
    </w:p>
    <w:p w:rsidR="00356BFC" w:rsidRPr="00356BFC" w:rsidRDefault="00356BFC" w:rsidP="00356BFC">
      <w:pPr>
        <w:rPr>
          <w:lang w:val="en-GB"/>
        </w:rPr>
      </w:pPr>
      <w:r w:rsidRPr="00356BFC">
        <w:rPr>
          <w:lang w:val="en-GB"/>
        </w:rPr>
        <w:t>For a particular telemetering system, the maximum possible data rate is proportional to the inverse square of the radiocommunication distance. The same link capacity that provides for a data rate of 134 kbit/s from the vicinity of the planet Jupiter (9.3 </w:t>
      </w:r>
      <w:r w:rsidRPr="00806EA2">
        <w:rPr>
          <w:rFonts w:ascii="Symbol" w:hAnsi="Symbol"/>
        </w:rPr>
        <w:t></w:t>
      </w:r>
      <w:r w:rsidRPr="00356BFC">
        <w:rPr>
          <w:lang w:val="en-GB"/>
        </w:rPr>
        <w:t> 10</w:t>
      </w:r>
      <w:r w:rsidRPr="00356BFC">
        <w:rPr>
          <w:position w:val="6"/>
          <w:sz w:val="16"/>
          <w:lang w:val="en-GB"/>
        </w:rPr>
        <w:t xml:space="preserve">8 </w:t>
      </w:r>
      <w:r w:rsidRPr="00356BFC">
        <w:rPr>
          <w:lang w:val="en-GB"/>
        </w:rPr>
        <w:t>km) would also provide for a data rate of 1.74 Mbit/s from the vicinity of the planet Venus (2.58 </w:t>
      </w:r>
      <w:r w:rsidRPr="00806EA2">
        <w:rPr>
          <w:rFonts w:ascii="Symbol" w:hAnsi="Symbol"/>
        </w:rPr>
        <w:t></w:t>
      </w:r>
      <w:r w:rsidRPr="00356BFC">
        <w:rPr>
          <w:lang w:val="en-GB"/>
        </w:rPr>
        <w:t> 10</w:t>
      </w:r>
      <w:r w:rsidRPr="00356BFC">
        <w:rPr>
          <w:position w:val="6"/>
          <w:sz w:val="16"/>
          <w:lang w:val="en-GB"/>
        </w:rPr>
        <w:t>8</w:t>
      </w:r>
      <w:r w:rsidRPr="00356BFC">
        <w:rPr>
          <w:lang w:val="en-GB"/>
        </w:rPr>
        <w:t> km). Because higher data rates require wider transmission bandwidths, the ability to effectively utilize the maximum telemetering capability depends on the width of allocated bands, and the number of simultaneous mission spacecraft that are within the earth station beamwidth and are operating in the same band.</w:t>
      </w:r>
    </w:p>
    <w:p w:rsidR="00356BFC" w:rsidRPr="00356BFC" w:rsidRDefault="00356BFC" w:rsidP="00356BFC">
      <w:pPr>
        <w:rPr>
          <w:lang w:val="en-GB"/>
        </w:rPr>
      </w:pPr>
      <w:r w:rsidRPr="00356BFC">
        <w:rPr>
          <w:lang w:val="en-GB"/>
        </w:rPr>
        <w:t>An important contribution to telemetering has been the development of coding methods that permit operation with a lower signal-to-noise ratio. The coded signal requires a wider transmission bandwidth. The use of coded telemetering at very high data rates may be limited by allocation width.</w:t>
      </w:r>
    </w:p>
    <w:p w:rsidR="00356BFC" w:rsidRPr="00356BFC" w:rsidRDefault="00356BFC" w:rsidP="00356BFC">
      <w:pPr>
        <w:pStyle w:val="Heading2"/>
        <w:rPr>
          <w:lang w:val="en-GB"/>
        </w:rPr>
      </w:pPr>
      <w:r w:rsidRPr="00356BFC">
        <w:rPr>
          <w:lang w:val="en-GB"/>
        </w:rPr>
        <w:t>2.2</w:t>
      </w:r>
      <w:r w:rsidRPr="00356BFC">
        <w:rPr>
          <w:lang w:val="en-GB"/>
        </w:rPr>
        <w:tab/>
        <w:t>Telecommand requirements</w:t>
      </w:r>
    </w:p>
    <w:p w:rsidR="00356BFC" w:rsidRPr="00356BFC" w:rsidRDefault="00356BFC" w:rsidP="00356BFC">
      <w:pPr>
        <w:rPr>
          <w:lang w:val="en-GB"/>
        </w:rPr>
      </w:pPr>
      <w:r w:rsidRPr="00356BFC">
        <w:rPr>
          <w:lang w:val="en-GB"/>
        </w:rPr>
        <w:t>Reliability is the principal requirement of a telecommand link. Commands must be received accurately and when needed. The telecommand link is typically required to have a bit error rate not greater than 1 </w:t>
      </w:r>
      <w:r w:rsidRPr="00806EA2">
        <w:rPr>
          <w:rFonts w:ascii="Symbol" w:hAnsi="Symbol"/>
        </w:rPr>
        <w:t></w:t>
      </w:r>
      <w:r w:rsidRPr="00356BFC">
        <w:rPr>
          <w:lang w:val="en-GB"/>
        </w:rPr>
        <w:t> 10</w:t>
      </w:r>
      <w:r w:rsidRPr="00356BFC">
        <w:rPr>
          <w:position w:val="6"/>
          <w:sz w:val="16"/>
          <w:lang w:val="en-GB"/>
        </w:rPr>
        <w:t>−6</w:t>
      </w:r>
      <w:r w:rsidRPr="00356BFC">
        <w:rPr>
          <w:lang w:val="en-GB"/>
        </w:rPr>
        <w:t>. Commands must be received successfully, without regard to spacecraft orientation, even when the primary high gain antenna may not be pointed towards the Earth. For such circumstances, reception using a nearly omnidirectional spacecraft antenna is required. Very high e.i.r.p. is needed at earth stations because of low spacecraft antenna gain, and to provide high reliability.</w:t>
      </w:r>
    </w:p>
    <w:p w:rsidR="00356BFC" w:rsidRPr="00356BFC" w:rsidRDefault="00356BFC" w:rsidP="00356BFC">
      <w:pPr>
        <w:rPr>
          <w:lang w:val="en-GB"/>
        </w:rPr>
      </w:pPr>
      <w:r w:rsidRPr="00356BFC">
        <w:rPr>
          <w:lang w:val="en-GB"/>
        </w:rPr>
        <w:t xml:space="preserve">With computers on the spacecraft, automatic sequencing and operation of spacecraft systems is largely predetermined and stored on-board for later execution. For some complicated sequences, automatic operation is a requirement. Telecommand capability is required for in-flight alteration of stored instructions, which may be needed to correct for observed variations or malfunctions of spacecraft behaviour. This is particularly true for missions of long duration, and for those circumstances where sequencing is dependent on the results of earlier spacecraft events. </w:t>
      </w:r>
      <w:r w:rsidRPr="00356BFC">
        <w:rPr>
          <w:lang w:val="en-GB"/>
        </w:rPr>
        <w:br/>
        <w:t>For example, the commands for spacecraft trajectory correction are based on tracking measurements and cannot be predetermined.</w:t>
      </w:r>
    </w:p>
    <w:p w:rsidR="00356BFC" w:rsidRPr="00356BFC" w:rsidRDefault="00356BFC" w:rsidP="00356BFC">
      <w:pPr>
        <w:rPr>
          <w:lang w:val="en-GB"/>
        </w:rPr>
      </w:pPr>
      <w:r w:rsidRPr="00356BFC">
        <w:rPr>
          <w:lang w:val="en-GB"/>
        </w:rPr>
        <w:t>The range of required command data rates is given in Table 1.</w:t>
      </w:r>
    </w:p>
    <w:p w:rsidR="00356BFC" w:rsidRPr="00356BFC" w:rsidRDefault="00356BFC" w:rsidP="00356BFC">
      <w:pPr>
        <w:rPr>
          <w:lang w:val="en-GB"/>
        </w:rPr>
      </w:pPr>
      <w:r w:rsidRPr="00356BFC">
        <w:rPr>
          <w:lang w:val="en-GB"/>
        </w:rPr>
        <w:t>Reliable telecommand includes the need for reliable maintenance telemetering that is used to verify that commands are correctly received and loaded into command memory.</w:t>
      </w:r>
    </w:p>
    <w:p w:rsidR="00356BFC" w:rsidRPr="00356BFC" w:rsidRDefault="00356BFC" w:rsidP="00356BFC">
      <w:pPr>
        <w:pStyle w:val="Heading2"/>
        <w:rPr>
          <w:lang w:val="en-GB"/>
        </w:rPr>
      </w:pPr>
      <w:r w:rsidRPr="00356BFC">
        <w:rPr>
          <w:lang w:val="en-GB"/>
        </w:rPr>
        <w:t>2.3</w:t>
      </w:r>
      <w:r w:rsidRPr="00356BFC">
        <w:rPr>
          <w:lang w:val="en-GB"/>
        </w:rPr>
        <w:tab/>
        <w:t>Tracking requirements</w:t>
      </w:r>
    </w:p>
    <w:p w:rsidR="00356BFC" w:rsidRPr="00356BFC" w:rsidRDefault="00356BFC" w:rsidP="00356BFC">
      <w:pPr>
        <w:rPr>
          <w:lang w:val="en-GB"/>
        </w:rPr>
      </w:pPr>
      <w:r w:rsidRPr="00356BFC">
        <w:rPr>
          <w:lang w:val="en-GB"/>
        </w:rPr>
        <w:t>Tracking provides information used for spacecraft navigation and for radio science studies.</w:t>
      </w:r>
    </w:p>
    <w:p w:rsidR="00356BFC" w:rsidRPr="00356BFC" w:rsidRDefault="00356BFC" w:rsidP="00356BFC">
      <w:pPr>
        <w:pStyle w:val="Heading3"/>
        <w:rPr>
          <w:lang w:val="en-GB"/>
        </w:rPr>
      </w:pPr>
      <w:r w:rsidRPr="00356BFC">
        <w:rPr>
          <w:lang w:val="en-GB"/>
        </w:rPr>
        <w:t>2.3.1</w:t>
      </w:r>
      <w:r w:rsidRPr="00356BFC">
        <w:rPr>
          <w:lang w:val="en-GB"/>
        </w:rPr>
        <w:tab/>
        <w:t>Navigation</w:t>
      </w:r>
    </w:p>
    <w:p w:rsidR="00356BFC" w:rsidRPr="00356BFC" w:rsidRDefault="00356BFC" w:rsidP="00356BFC">
      <w:pPr>
        <w:rPr>
          <w:lang w:val="en-GB"/>
        </w:rPr>
      </w:pPr>
      <w:r w:rsidRPr="00356BFC">
        <w:rPr>
          <w:lang w:val="en-GB"/>
        </w:rPr>
        <w:t>The tracking measurements for navigation include radio-frequency Doppler shift, the round-trip propagation time of a ranging signal, and the reception of signals suitable for long baseline interferometry. The measurements must be made with a degree of precision that satisfies navigation requirements. Measurement accuracy is affected by variations in velocity of propagation, knowledge of station location, timing precision, and electronic circuit delay in earth and space station equipment. Table 2 lists a current example of the requirements for navigation accuracy and the associated measurements.</w:t>
      </w:r>
    </w:p>
    <w:p w:rsidR="00356BFC" w:rsidRPr="00806EA2" w:rsidRDefault="00356BFC" w:rsidP="00356BFC">
      <w:pPr>
        <w:pStyle w:val="TableNo"/>
      </w:pPr>
      <w:r w:rsidRPr="00806EA2">
        <w:t>TABLE 2</w:t>
      </w:r>
    </w:p>
    <w:p w:rsidR="00356BFC" w:rsidRPr="00806EA2" w:rsidRDefault="00356BFC" w:rsidP="00356BFC">
      <w:pPr>
        <w:pStyle w:val="Tabletitle"/>
      </w:pPr>
      <w:r w:rsidRPr="00806EA2">
        <w:t>Navigation and tracking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6"/>
        <w:gridCol w:w="2373"/>
      </w:tblGrid>
      <w:tr w:rsidR="00356BFC" w:rsidRPr="00806EA2" w:rsidTr="00670489">
        <w:trPr>
          <w:cantSplit/>
          <w:jc w:val="center"/>
        </w:trPr>
        <w:tc>
          <w:tcPr>
            <w:tcW w:w="4675" w:type="dxa"/>
          </w:tcPr>
          <w:p w:rsidR="00356BFC" w:rsidRPr="00806EA2" w:rsidRDefault="00356BFC" w:rsidP="008E3C29">
            <w:pPr>
              <w:pStyle w:val="Tablehead"/>
            </w:pPr>
            <w:r w:rsidRPr="00806EA2">
              <w:t>Parameter</w:t>
            </w:r>
          </w:p>
        </w:tc>
        <w:tc>
          <w:tcPr>
            <w:tcW w:w="1527" w:type="dxa"/>
          </w:tcPr>
          <w:p w:rsidR="00356BFC" w:rsidRPr="00806EA2" w:rsidRDefault="00356BFC" w:rsidP="008E3C29">
            <w:pPr>
              <w:pStyle w:val="Tablehead"/>
            </w:pPr>
            <w:r w:rsidRPr="00806EA2">
              <w:t>Value</w:t>
            </w:r>
          </w:p>
        </w:tc>
      </w:tr>
      <w:tr w:rsidR="00356BFC" w:rsidRPr="00806EA2" w:rsidTr="00670489">
        <w:trPr>
          <w:cantSplit/>
          <w:jc w:val="center"/>
        </w:trPr>
        <w:tc>
          <w:tcPr>
            <w:tcW w:w="4675" w:type="dxa"/>
          </w:tcPr>
          <w:p w:rsidR="00356BFC" w:rsidRPr="00806EA2" w:rsidRDefault="00356BFC" w:rsidP="008E3C29">
            <w:pPr>
              <w:pStyle w:val="Tabletext"/>
            </w:pPr>
            <w:r w:rsidRPr="00806EA2">
              <w:t>Navigation accuracy (m)</w:t>
            </w:r>
          </w:p>
        </w:tc>
        <w:tc>
          <w:tcPr>
            <w:tcW w:w="1527" w:type="dxa"/>
          </w:tcPr>
          <w:p w:rsidR="00356BFC" w:rsidRPr="00806EA2" w:rsidRDefault="00356BFC" w:rsidP="008E3C29">
            <w:pPr>
              <w:pStyle w:val="Tabletext"/>
              <w:jc w:val="center"/>
            </w:pPr>
            <w:r w:rsidRPr="00806EA2">
              <w:t>300 (at Jupiter)</w:t>
            </w:r>
          </w:p>
        </w:tc>
      </w:tr>
      <w:tr w:rsidR="00356BFC" w:rsidRPr="00806EA2" w:rsidTr="00670489">
        <w:trPr>
          <w:cantSplit/>
          <w:jc w:val="center"/>
        </w:trPr>
        <w:tc>
          <w:tcPr>
            <w:tcW w:w="4675" w:type="dxa"/>
          </w:tcPr>
          <w:p w:rsidR="00356BFC" w:rsidRPr="00806EA2" w:rsidRDefault="00356BFC" w:rsidP="008E3C29">
            <w:pPr>
              <w:pStyle w:val="Tabletext"/>
            </w:pPr>
            <w:r w:rsidRPr="00806EA2">
              <w:t>Doppler measurement accuracy (Hz)</w:t>
            </w:r>
          </w:p>
        </w:tc>
        <w:tc>
          <w:tcPr>
            <w:tcW w:w="1527" w:type="dxa"/>
          </w:tcPr>
          <w:p w:rsidR="00356BFC" w:rsidRPr="00806EA2" w:rsidRDefault="00356BFC" w:rsidP="008E3C29">
            <w:pPr>
              <w:pStyle w:val="Tabletext"/>
              <w:jc w:val="center"/>
            </w:pPr>
            <w:r w:rsidRPr="00806EA2">
              <w:rPr>
                <w:rFonts w:ascii="Symbol" w:hAnsi="Symbol"/>
              </w:rPr>
              <w:t></w:t>
            </w:r>
            <w:r w:rsidRPr="00806EA2">
              <w:t>0.0005</w:t>
            </w:r>
          </w:p>
        </w:tc>
      </w:tr>
      <w:tr w:rsidR="00356BFC" w:rsidRPr="00806EA2" w:rsidTr="00670489">
        <w:trPr>
          <w:cantSplit/>
          <w:jc w:val="center"/>
        </w:trPr>
        <w:tc>
          <w:tcPr>
            <w:tcW w:w="4675" w:type="dxa"/>
          </w:tcPr>
          <w:p w:rsidR="00356BFC" w:rsidRPr="00806EA2" w:rsidRDefault="00356BFC" w:rsidP="008E3C29">
            <w:pPr>
              <w:pStyle w:val="Tabletext"/>
            </w:pPr>
            <w:r w:rsidRPr="00806EA2">
              <w:t>Range measurement accuracy (m)</w:t>
            </w:r>
          </w:p>
        </w:tc>
        <w:tc>
          <w:tcPr>
            <w:tcW w:w="1527" w:type="dxa"/>
          </w:tcPr>
          <w:p w:rsidR="00356BFC" w:rsidRPr="00806EA2" w:rsidRDefault="00356BFC" w:rsidP="00670489">
            <w:pPr>
              <w:pStyle w:val="Tabletext"/>
              <w:jc w:val="center"/>
            </w:pPr>
            <w:r w:rsidRPr="00806EA2">
              <w:rPr>
                <w:rFonts w:ascii="Symbol" w:hAnsi="Symbol"/>
              </w:rPr>
              <w:sym w:font="Symbol" w:char="F0B1"/>
            </w:r>
            <w:r w:rsidRPr="00806EA2">
              <w:t>0.15</w:t>
            </w:r>
          </w:p>
        </w:tc>
      </w:tr>
      <w:tr w:rsidR="00356BFC" w:rsidRPr="00806EA2" w:rsidTr="00670489">
        <w:trPr>
          <w:cantSplit/>
          <w:jc w:val="center"/>
        </w:trPr>
        <w:tc>
          <w:tcPr>
            <w:tcW w:w="4675" w:type="dxa"/>
          </w:tcPr>
          <w:p w:rsidR="00356BFC" w:rsidRPr="00356BFC" w:rsidRDefault="00356BFC" w:rsidP="008E3C29">
            <w:pPr>
              <w:pStyle w:val="Tabletext"/>
              <w:rPr>
                <w:lang w:val="en-GB"/>
              </w:rPr>
            </w:pPr>
            <w:r w:rsidRPr="00356BFC">
              <w:rPr>
                <w:lang w:val="en-GB"/>
              </w:rPr>
              <w:t>Accuracy of earth station location (m)</w:t>
            </w:r>
          </w:p>
        </w:tc>
        <w:tc>
          <w:tcPr>
            <w:tcW w:w="1527" w:type="dxa"/>
          </w:tcPr>
          <w:p w:rsidR="00356BFC" w:rsidRPr="00806EA2" w:rsidRDefault="00356BFC" w:rsidP="00670489">
            <w:pPr>
              <w:pStyle w:val="Tabletext"/>
              <w:jc w:val="center"/>
            </w:pPr>
            <w:r w:rsidRPr="00806EA2">
              <w:rPr>
                <w:rFonts w:ascii="Symbol" w:hAnsi="Symbol"/>
              </w:rPr>
              <w:sym w:font="Symbol" w:char="F0B1"/>
            </w:r>
            <w:r w:rsidRPr="00806EA2">
              <w:t>1</w:t>
            </w:r>
          </w:p>
        </w:tc>
      </w:tr>
      <w:tr w:rsidR="00356BFC" w:rsidRPr="00356BFC" w:rsidTr="00670489">
        <w:trPr>
          <w:cantSplit/>
          <w:jc w:val="center"/>
        </w:trPr>
        <w:tc>
          <w:tcPr>
            <w:tcW w:w="4675" w:type="dxa"/>
          </w:tcPr>
          <w:p w:rsidR="00356BFC" w:rsidRPr="00356BFC" w:rsidRDefault="00356BFC" w:rsidP="008E3C29">
            <w:pPr>
              <w:pStyle w:val="Tabletext"/>
              <w:rPr>
                <w:lang w:val="en-GB"/>
              </w:rPr>
            </w:pPr>
            <w:r w:rsidRPr="00356BFC">
              <w:rPr>
                <w:lang w:val="en-GB"/>
              </w:rPr>
              <w:t>Ranging (Earth-to-space &amp; space-to-Earth) chip rate*</w:t>
            </w:r>
          </w:p>
        </w:tc>
        <w:tc>
          <w:tcPr>
            <w:tcW w:w="1527" w:type="dxa"/>
          </w:tcPr>
          <w:p w:rsidR="00356BFC" w:rsidRPr="00356BFC" w:rsidRDefault="00356BFC" w:rsidP="008E3C29">
            <w:pPr>
              <w:pStyle w:val="Tabletext"/>
              <w:jc w:val="center"/>
              <w:rPr>
                <w:rFonts w:ascii="Symbol" w:hAnsi="Symbol"/>
                <w:lang w:val="en-GB"/>
              </w:rPr>
            </w:pPr>
          </w:p>
        </w:tc>
      </w:tr>
      <w:tr w:rsidR="00356BFC" w:rsidRPr="00806EA2" w:rsidTr="00670489">
        <w:trPr>
          <w:cantSplit/>
          <w:jc w:val="center"/>
        </w:trPr>
        <w:tc>
          <w:tcPr>
            <w:tcW w:w="4675" w:type="dxa"/>
          </w:tcPr>
          <w:p w:rsidR="00356BFC" w:rsidRPr="00806EA2" w:rsidRDefault="00356BFC" w:rsidP="008E3C29">
            <w:pPr>
              <w:pStyle w:val="Tabletext"/>
            </w:pPr>
            <w:r w:rsidRPr="00356BFC">
              <w:rPr>
                <w:lang w:val="en-GB"/>
              </w:rPr>
              <w:tab/>
            </w:r>
            <w:r w:rsidRPr="00806EA2">
              <w:t>Weather independent (MChip/s)</w:t>
            </w:r>
          </w:p>
        </w:tc>
        <w:tc>
          <w:tcPr>
            <w:tcW w:w="1527" w:type="dxa"/>
          </w:tcPr>
          <w:p w:rsidR="00356BFC" w:rsidRPr="00806EA2" w:rsidRDefault="00356BFC" w:rsidP="008E3C29">
            <w:pPr>
              <w:pStyle w:val="Tabletext"/>
              <w:jc w:val="center"/>
              <w:rPr>
                <w:rFonts w:ascii="Symbol" w:hAnsi="Symbol"/>
              </w:rPr>
            </w:pPr>
            <w:r w:rsidRPr="00806EA2">
              <w:rPr>
                <w:rFonts w:ascii="Symbol" w:hAnsi="Symbol"/>
              </w:rPr>
              <w:t></w:t>
            </w:r>
          </w:p>
        </w:tc>
      </w:tr>
      <w:tr w:rsidR="00356BFC" w:rsidRPr="00806EA2" w:rsidTr="00670489">
        <w:trPr>
          <w:cantSplit/>
          <w:jc w:val="center"/>
        </w:trPr>
        <w:tc>
          <w:tcPr>
            <w:tcW w:w="4675" w:type="dxa"/>
          </w:tcPr>
          <w:p w:rsidR="00356BFC" w:rsidRPr="00806EA2" w:rsidRDefault="00356BFC" w:rsidP="008E3C29">
            <w:pPr>
              <w:pStyle w:val="Tabletext"/>
            </w:pPr>
            <w:r w:rsidRPr="00806EA2">
              <w:tab/>
              <w:t>Normal (MChip/s)</w:t>
            </w:r>
          </w:p>
        </w:tc>
        <w:tc>
          <w:tcPr>
            <w:tcW w:w="1527" w:type="dxa"/>
          </w:tcPr>
          <w:p w:rsidR="00356BFC" w:rsidRPr="00806EA2" w:rsidRDefault="00356BFC" w:rsidP="008E3C29">
            <w:pPr>
              <w:pStyle w:val="Tabletext"/>
              <w:jc w:val="center"/>
              <w:rPr>
                <w:rFonts w:ascii="Symbol" w:hAnsi="Symbol"/>
              </w:rPr>
            </w:pPr>
            <w:r w:rsidRPr="00806EA2">
              <w:rPr>
                <w:rFonts w:ascii="Symbol" w:hAnsi="Symbol"/>
              </w:rPr>
              <w:t></w:t>
            </w:r>
            <w:r w:rsidRPr="00806EA2">
              <w:rPr>
                <w:rFonts w:ascii="Symbol" w:hAnsi="Symbol"/>
              </w:rPr>
              <w:t></w:t>
            </w:r>
          </w:p>
        </w:tc>
      </w:tr>
      <w:tr w:rsidR="00356BFC" w:rsidRPr="00806EA2" w:rsidTr="00670489">
        <w:trPr>
          <w:cantSplit/>
          <w:jc w:val="center"/>
        </w:trPr>
        <w:tc>
          <w:tcPr>
            <w:tcW w:w="4675" w:type="dxa"/>
            <w:tcBorders>
              <w:bottom w:val="single" w:sz="4" w:space="0" w:color="auto"/>
            </w:tcBorders>
          </w:tcPr>
          <w:p w:rsidR="00356BFC" w:rsidRPr="00806EA2" w:rsidRDefault="00356BFC" w:rsidP="008E3C29">
            <w:pPr>
              <w:pStyle w:val="Tabletext"/>
            </w:pPr>
            <w:r w:rsidRPr="00806EA2">
              <w:tab/>
              <w:t>High rate (MChip/s)</w:t>
            </w:r>
          </w:p>
        </w:tc>
        <w:tc>
          <w:tcPr>
            <w:tcW w:w="1527" w:type="dxa"/>
            <w:tcBorders>
              <w:bottom w:val="single" w:sz="4" w:space="0" w:color="auto"/>
            </w:tcBorders>
          </w:tcPr>
          <w:p w:rsidR="00356BFC" w:rsidRPr="00806EA2" w:rsidRDefault="00356BFC" w:rsidP="008E3C29">
            <w:pPr>
              <w:pStyle w:val="Tabletext"/>
              <w:jc w:val="center"/>
              <w:rPr>
                <w:rFonts w:ascii="Symbol" w:hAnsi="Symbol"/>
              </w:rPr>
            </w:pPr>
            <w:r w:rsidRPr="00806EA2">
              <w:rPr>
                <w:rFonts w:ascii="Symbol" w:hAnsi="Symbol"/>
              </w:rPr>
              <w:t></w:t>
            </w:r>
            <w:r w:rsidRPr="00806EA2">
              <w:rPr>
                <w:rFonts w:ascii="Symbol" w:hAnsi="Symbol"/>
              </w:rPr>
              <w:t></w:t>
            </w:r>
          </w:p>
        </w:tc>
      </w:tr>
      <w:tr w:rsidR="00356BFC" w:rsidRPr="00356BFC" w:rsidTr="00670489">
        <w:trPr>
          <w:cantSplit/>
          <w:jc w:val="center"/>
        </w:trPr>
        <w:tc>
          <w:tcPr>
            <w:tcW w:w="6202" w:type="dxa"/>
            <w:gridSpan w:val="2"/>
            <w:tcBorders>
              <w:left w:val="nil"/>
              <w:bottom w:val="nil"/>
              <w:right w:val="nil"/>
            </w:tcBorders>
          </w:tcPr>
          <w:p w:rsidR="00356BFC" w:rsidRPr="00356BFC" w:rsidRDefault="00356BFC" w:rsidP="00670489">
            <w:pPr>
              <w:pStyle w:val="Tabletext"/>
              <w:rPr>
                <w:rFonts w:ascii="Symbol" w:hAnsi="Symbol"/>
                <w:lang w:val="en-GB"/>
              </w:rPr>
            </w:pPr>
            <w:r w:rsidRPr="00356BFC">
              <w:rPr>
                <w:lang w:val="en-GB"/>
              </w:rPr>
              <w:t>*</w:t>
            </w:r>
            <w:r w:rsidRPr="00356BFC">
              <w:rPr>
                <w:lang w:val="en-GB"/>
              </w:rPr>
              <w:tab/>
              <w:t xml:space="preserve">Transmit or receive pulse </w:t>
            </w:r>
            <w:r w:rsidRPr="00670489">
              <w:t>rate</w:t>
            </w:r>
            <w:r w:rsidRPr="00356BFC">
              <w:rPr>
                <w:lang w:val="en-GB"/>
              </w:rPr>
              <w:t xml:space="preserve"> of a pseudo-random noise (PN) code sequence used for ranging.</w:t>
            </w:r>
          </w:p>
        </w:tc>
      </w:tr>
    </w:tbl>
    <w:p w:rsidR="00356BFC" w:rsidRPr="00806EA2" w:rsidRDefault="00356BFC" w:rsidP="00356BFC">
      <w:pPr>
        <w:pStyle w:val="Tablefin"/>
      </w:pPr>
    </w:p>
    <w:p w:rsidR="00356BFC" w:rsidRPr="00356BFC" w:rsidRDefault="00356BFC" w:rsidP="00356BFC">
      <w:pPr>
        <w:pStyle w:val="Heading3"/>
        <w:rPr>
          <w:lang w:val="en-GB"/>
        </w:rPr>
      </w:pPr>
      <w:r w:rsidRPr="00356BFC">
        <w:rPr>
          <w:lang w:val="en-GB"/>
        </w:rPr>
        <w:t>2.3.2</w:t>
      </w:r>
      <w:r w:rsidRPr="00356BFC">
        <w:rPr>
          <w:lang w:val="en-GB"/>
        </w:rPr>
        <w:tab/>
        <w:t>Radio science</w:t>
      </w:r>
    </w:p>
    <w:p w:rsidR="00356BFC" w:rsidRPr="00356BFC" w:rsidRDefault="00356BFC" w:rsidP="00356BFC">
      <w:pPr>
        <w:rPr>
          <w:lang w:val="en-GB"/>
        </w:rPr>
      </w:pPr>
      <w:r w:rsidRPr="00356BFC">
        <w:rPr>
          <w:lang w:val="en-GB"/>
        </w:rPr>
        <w:t>Spacecraft radiocommunication links can also be important to studies of propagation, relativity, celestial mechanics and gravity. Amplitude, phase, frequency, polarization and delay measurements provide the needed information. The opportunity to make these measurements depends upon the availability of appropriate allocations. Above 1 GHz, transmission delay and Faraday rotation (charged particle and magnetic field effects) decrease rapidly with increasing frequency, and thus are best studied with the lower frequencies. The higher frequencies provide relative freedom from these effects and are more suitable for studies of relativity, gravity and celestial mechanics. For these studies, calibration of charged particle effects at the lower frequencies is also needed.</w:t>
      </w:r>
    </w:p>
    <w:p w:rsidR="00356BFC" w:rsidRPr="00356BFC" w:rsidRDefault="00356BFC" w:rsidP="00356BFC">
      <w:pPr>
        <w:rPr>
          <w:lang w:val="en-GB"/>
        </w:rPr>
      </w:pPr>
      <w:r w:rsidRPr="00356BFC">
        <w:rPr>
          <w:lang w:val="en-GB"/>
        </w:rPr>
        <w:t>Range measurements with an absolute accuracy of 1 to 2 cm are required for this fundamental scientific work. This accuracy depends upon wideband codes and the simultaneous use of multiple frequencies for charged</w:t>
      </w:r>
      <w:r w:rsidRPr="00356BFC">
        <w:rPr>
          <w:lang w:val="en-GB"/>
        </w:rPr>
        <w:noBreakHyphen/>
        <w:t>particle calibration.</w:t>
      </w:r>
    </w:p>
    <w:p w:rsidR="00356BFC" w:rsidRPr="00356BFC" w:rsidRDefault="00356BFC" w:rsidP="00356BFC">
      <w:pPr>
        <w:pStyle w:val="Heading2"/>
        <w:rPr>
          <w:lang w:val="en-GB"/>
        </w:rPr>
      </w:pPr>
      <w:r w:rsidRPr="00356BFC">
        <w:rPr>
          <w:lang w:val="en-GB"/>
        </w:rPr>
        <w:t>2.4</w:t>
      </w:r>
      <w:r w:rsidRPr="00356BFC">
        <w:rPr>
          <w:lang w:val="en-GB"/>
        </w:rPr>
        <w:tab/>
        <w:t>Special requirements for manned deep space missions</w:t>
      </w:r>
    </w:p>
    <w:p w:rsidR="00356BFC" w:rsidRPr="00356BFC" w:rsidRDefault="00356BFC" w:rsidP="00356BFC">
      <w:pPr>
        <w:rPr>
          <w:lang w:val="en-GB"/>
        </w:rPr>
      </w:pPr>
      <w:r w:rsidRPr="00356BFC">
        <w:rPr>
          <w:lang w:val="en-GB"/>
        </w:rPr>
        <w:t>The functional requirements for such missions will be similar in kind to those for unmanned missions. The presence of human occupants in spacecraft will, however, place additional requirements for reliability on the telemetering, telecommand and tracking functions. Given the necessary level of reliability, the significant difference between manned and unmanned missions will be the use of audio and video links for both Earth-to-space and space</w:t>
      </w:r>
      <w:r w:rsidRPr="00356BFC">
        <w:rPr>
          <w:lang w:val="en-GB"/>
        </w:rPr>
        <w:noBreakHyphen/>
        <w:t>to-Earth radiocommunication. Data rates for these functions are shown in Table 1.</w:t>
      </w:r>
    </w:p>
    <w:p w:rsidR="00356BFC" w:rsidRPr="00356BFC" w:rsidRDefault="00356BFC" w:rsidP="00356BFC">
      <w:pPr>
        <w:rPr>
          <w:lang w:val="en-GB"/>
        </w:rPr>
      </w:pPr>
      <w:r w:rsidRPr="00356BFC">
        <w:rPr>
          <w:lang w:val="en-GB"/>
        </w:rPr>
        <w:t>From a radiocommunication standpoint, the effect of these additional functions will be a required expansion of transmission bandwidth in order to accommodate the video signals. Given the necessary link reliability and performance needed to support the required data transfer rates, radiocommunications for manned and unmanned deep space research are similar.</w:t>
      </w:r>
    </w:p>
    <w:p w:rsidR="00356BFC" w:rsidRPr="00356BFC" w:rsidRDefault="00356BFC" w:rsidP="00356BFC">
      <w:pPr>
        <w:pStyle w:val="Heading1"/>
        <w:rPr>
          <w:lang w:val="en-GB"/>
        </w:rPr>
      </w:pPr>
      <w:r w:rsidRPr="00356BFC">
        <w:rPr>
          <w:lang w:val="en-GB"/>
        </w:rPr>
        <w:t>3</w:t>
      </w:r>
      <w:r w:rsidRPr="00356BFC">
        <w:rPr>
          <w:lang w:val="en-GB"/>
        </w:rPr>
        <w:tab/>
        <w:t>Technical characteristics</w:t>
      </w:r>
    </w:p>
    <w:p w:rsidR="00356BFC" w:rsidRPr="00356BFC" w:rsidRDefault="00356BFC" w:rsidP="00356BFC">
      <w:pPr>
        <w:pStyle w:val="Heading2"/>
        <w:rPr>
          <w:lang w:val="en-GB"/>
        </w:rPr>
      </w:pPr>
      <w:r w:rsidRPr="00356BFC">
        <w:rPr>
          <w:lang w:val="en-GB"/>
        </w:rPr>
        <w:t>3.1</w:t>
      </w:r>
      <w:r w:rsidRPr="00356BFC">
        <w:rPr>
          <w:lang w:val="en-GB"/>
        </w:rPr>
        <w:tab/>
        <w:t>Locations and characteristics of space research service (deep space) earth stations</w:t>
      </w:r>
    </w:p>
    <w:p w:rsidR="00356BFC" w:rsidRPr="00356BFC" w:rsidRDefault="00356BFC" w:rsidP="00356BFC">
      <w:pPr>
        <w:keepNext/>
        <w:rPr>
          <w:lang w:val="en-GB"/>
        </w:rPr>
      </w:pPr>
      <w:r w:rsidRPr="00356BFC">
        <w:rPr>
          <w:lang w:val="en-GB"/>
        </w:rPr>
        <w:t>Table 3 gives the locations of earth stations with the capability of operating within bands allocated for deep space research.</w:t>
      </w:r>
    </w:p>
    <w:p w:rsidR="00356BFC" w:rsidRPr="00356BFC" w:rsidRDefault="00356BFC" w:rsidP="00356BFC">
      <w:pPr>
        <w:pStyle w:val="TableNo"/>
        <w:rPr>
          <w:lang w:val="en-GB"/>
        </w:rPr>
      </w:pPr>
      <w:bookmarkStart w:id="4" w:name="OLE_LINK1"/>
      <w:bookmarkStart w:id="5" w:name="OLE_LINK2"/>
      <w:r w:rsidRPr="00356BFC">
        <w:rPr>
          <w:lang w:val="en-GB"/>
        </w:rPr>
        <w:t>TABLE 3</w:t>
      </w:r>
    </w:p>
    <w:p w:rsidR="00356BFC" w:rsidRPr="00356BFC" w:rsidRDefault="00356BFC" w:rsidP="00356BFC">
      <w:pPr>
        <w:pStyle w:val="Tabletitle"/>
        <w:rPr>
          <w:lang w:val="en-GB"/>
        </w:rPr>
      </w:pPr>
      <w:r w:rsidRPr="00356BFC">
        <w:rPr>
          <w:lang w:val="en-GB"/>
        </w:rPr>
        <w:t>Location of space research service (deep space) earth stations</w:t>
      </w:r>
    </w:p>
    <w:tbl>
      <w:tblPr>
        <w:tblW w:w="9639" w:type="dxa"/>
        <w:jc w:val="center"/>
        <w:tblLayout w:type="fixed"/>
        <w:tblLook w:val="0000" w:firstRow="0" w:lastRow="0" w:firstColumn="0" w:lastColumn="0" w:noHBand="0" w:noVBand="0"/>
      </w:tblPr>
      <w:tblGrid>
        <w:gridCol w:w="2464"/>
        <w:gridCol w:w="3660"/>
        <w:gridCol w:w="1761"/>
        <w:gridCol w:w="1754"/>
      </w:tblGrid>
      <w:tr w:rsidR="00356BFC" w:rsidRPr="00806EA2" w:rsidTr="00006B04">
        <w:trPr>
          <w:cantSplit/>
          <w:jc w:val="center"/>
        </w:trPr>
        <w:tc>
          <w:tcPr>
            <w:tcW w:w="227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Administration</w:t>
            </w:r>
          </w:p>
        </w:tc>
        <w:tc>
          <w:tcPr>
            <w:tcW w:w="3380" w:type="dxa"/>
            <w:tcBorders>
              <w:top w:val="single" w:sz="6" w:space="0" w:color="auto"/>
              <w:bottom w:val="single" w:sz="6" w:space="0" w:color="auto"/>
            </w:tcBorders>
          </w:tcPr>
          <w:p w:rsidR="00356BFC" w:rsidRPr="00806EA2" w:rsidRDefault="00356BFC" w:rsidP="008E3C29">
            <w:pPr>
              <w:pStyle w:val="Tablehead"/>
            </w:pPr>
            <w:r w:rsidRPr="00806EA2">
              <w:t>Location</w:t>
            </w:r>
          </w:p>
        </w:tc>
        <w:tc>
          <w:tcPr>
            <w:tcW w:w="162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Latitude</w:t>
            </w:r>
          </w:p>
        </w:tc>
        <w:tc>
          <w:tcPr>
            <w:tcW w:w="1620" w:type="dxa"/>
            <w:tcBorders>
              <w:top w:val="single" w:sz="6" w:space="0" w:color="auto"/>
              <w:bottom w:val="single" w:sz="6" w:space="0" w:color="auto"/>
              <w:right w:val="single" w:sz="6" w:space="0" w:color="auto"/>
            </w:tcBorders>
          </w:tcPr>
          <w:p w:rsidR="00356BFC" w:rsidRPr="00806EA2" w:rsidRDefault="00356BFC" w:rsidP="008E3C29">
            <w:pPr>
              <w:pStyle w:val="Tablehead"/>
            </w:pPr>
            <w:r w:rsidRPr="00806EA2">
              <w:t>Longitude</w:t>
            </w:r>
          </w:p>
        </w:tc>
      </w:tr>
      <w:tr w:rsidR="00356BFC" w:rsidRPr="00806EA2" w:rsidTr="00006B04">
        <w:trPr>
          <w:cantSplit/>
          <w:jc w:val="center"/>
        </w:trPr>
        <w:tc>
          <w:tcPr>
            <w:tcW w:w="2276" w:type="dxa"/>
            <w:tcBorders>
              <w:top w:val="single" w:sz="6" w:space="0" w:color="auto"/>
              <w:left w:val="single" w:sz="6" w:space="0" w:color="auto"/>
              <w:right w:val="single" w:sz="6" w:space="0" w:color="auto"/>
            </w:tcBorders>
          </w:tcPr>
          <w:p w:rsidR="00356BFC" w:rsidRPr="00806EA2" w:rsidRDefault="00356BFC" w:rsidP="008E3C29">
            <w:pPr>
              <w:pStyle w:val="Tabletext"/>
            </w:pPr>
            <w:r w:rsidRPr="00806EA2">
              <w:t>China</w:t>
            </w:r>
          </w:p>
        </w:tc>
        <w:tc>
          <w:tcPr>
            <w:tcW w:w="3380" w:type="dxa"/>
            <w:tcBorders>
              <w:top w:val="single" w:sz="6" w:space="0" w:color="auto"/>
            </w:tcBorders>
          </w:tcPr>
          <w:p w:rsidR="00356BFC" w:rsidRPr="00806EA2" w:rsidRDefault="00356BFC" w:rsidP="008E3C29">
            <w:pPr>
              <w:pStyle w:val="Tabletext"/>
            </w:pPr>
            <w:r w:rsidRPr="00806EA2">
              <w:t>Kashi</w:t>
            </w:r>
          </w:p>
        </w:tc>
        <w:tc>
          <w:tcPr>
            <w:tcW w:w="162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38° 55' N</w:t>
            </w:r>
          </w:p>
        </w:tc>
        <w:tc>
          <w:tcPr>
            <w:tcW w:w="1620" w:type="dxa"/>
            <w:tcBorders>
              <w:top w:val="single" w:sz="6" w:space="0" w:color="auto"/>
              <w:right w:val="single" w:sz="6" w:space="0" w:color="auto"/>
            </w:tcBorders>
          </w:tcPr>
          <w:p w:rsidR="00356BFC" w:rsidRPr="00806EA2" w:rsidRDefault="00356BFC" w:rsidP="008E3C29">
            <w:pPr>
              <w:pStyle w:val="Tabletext"/>
              <w:jc w:val="center"/>
            </w:pPr>
            <w:r w:rsidRPr="00806EA2">
              <w:t>75° 52' E</w:t>
            </w:r>
          </w:p>
        </w:tc>
      </w:tr>
      <w:tr w:rsidR="00356BFC" w:rsidRPr="00806EA2" w:rsidTr="00006B04">
        <w:trPr>
          <w:cantSplit/>
          <w:jc w:val="center"/>
        </w:trPr>
        <w:tc>
          <w:tcPr>
            <w:tcW w:w="2276" w:type="dxa"/>
            <w:tcBorders>
              <w:left w:val="single" w:sz="6" w:space="0" w:color="auto"/>
              <w:bottom w:val="single" w:sz="6" w:space="0" w:color="auto"/>
              <w:right w:val="single" w:sz="6" w:space="0" w:color="auto"/>
            </w:tcBorders>
          </w:tcPr>
          <w:p w:rsidR="00356BFC" w:rsidRPr="00806EA2" w:rsidRDefault="00356BFC" w:rsidP="008E3C29">
            <w:pPr>
              <w:pStyle w:val="Tabletext"/>
            </w:pPr>
          </w:p>
        </w:tc>
        <w:tc>
          <w:tcPr>
            <w:tcW w:w="3380" w:type="dxa"/>
            <w:tcBorders>
              <w:bottom w:val="single" w:sz="6" w:space="0" w:color="auto"/>
            </w:tcBorders>
          </w:tcPr>
          <w:p w:rsidR="00356BFC" w:rsidRPr="00806EA2" w:rsidRDefault="00356BFC" w:rsidP="008E3C29">
            <w:pPr>
              <w:pStyle w:val="Tabletext"/>
            </w:pPr>
            <w:r w:rsidRPr="00806EA2">
              <w:t>Jiamusi</w:t>
            </w:r>
          </w:p>
        </w:tc>
        <w:tc>
          <w:tcPr>
            <w:tcW w:w="162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46° 28' N</w:t>
            </w:r>
          </w:p>
        </w:tc>
        <w:tc>
          <w:tcPr>
            <w:tcW w:w="1620" w:type="dxa"/>
            <w:tcBorders>
              <w:bottom w:val="single" w:sz="6" w:space="0" w:color="auto"/>
              <w:right w:val="single" w:sz="6" w:space="0" w:color="auto"/>
            </w:tcBorders>
          </w:tcPr>
          <w:p w:rsidR="00356BFC" w:rsidRPr="00806EA2" w:rsidRDefault="00356BFC" w:rsidP="008E3C29">
            <w:pPr>
              <w:pStyle w:val="Tabletext"/>
              <w:jc w:val="center"/>
            </w:pPr>
            <w:r w:rsidRPr="00806EA2">
              <w:t>130° 26' E</w:t>
            </w:r>
          </w:p>
        </w:tc>
      </w:tr>
      <w:tr w:rsidR="00356BFC" w:rsidRPr="00806EA2" w:rsidTr="00006B04">
        <w:trPr>
          <w:cantSplit/>
          <w:jc w:val="center"/>
        </w:trPr>
        <w:tc>
          <w:tcPr>
            <w:tcW w:w="2276" w:type="dxa"/>
            <w:tcBorders>
              <w:top w:val="single" w:sz="6" w:space="0" w:color="auto"/>
              <w:left w:val="single" w:sz="6" w:space="0" w:color="auto"/>
              <w:right w:val="single" w:sz="6" w:space="0" w:color="auto"/>
            </w:tcBorders>
          </w:tcPr>
          <w:p w:rsidR="00356BFC" w:rsidRPr="00806EA2" w:rsidRDefault="00356BFC" w:rsidP="008E3C29">
            <w:pPr>
              <w:pStyle w:val="Tabletext"/>
            </w:pPr>
            <w:r w:rsidRPr="00806EA2">
              <w:t>European Space Agency</w:t>
            </w:r>
          </w:p>
        </w:tc>
        <w:tc>
          <w:tcPr>
            <w:tcW w:w="3380" w:type="dxa"/>
            <w:tcBorders>
              <w:top w:val="single" w:sz="6" w:space="0" w:color="auto"/>
            </w:tcBorders>
          </w:tcPr>
          <w:p w:rsidR="00356BFC" w:rsidRPr="00806EA2" w:rsidRDefault="00356BFC" w:rsidP="008E3C29">
            <w:pPr>
              <w:pStyle w:val="Tabletext"/>
            </w:pPr>
            <w:r w:rsidRPr="00806EA2">
              <w:t>Cebreros (Spain)</w:t>
            </w:r>
          </w:p>
        </w:tc>
        <w:tc>
          <w:tcPr>
            <w:tcW w:w="162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40° 27' N</w:t>
            </w:r>
          </w:p>
        </w:tc>
        <w:tc>
          <w:tcPr>
            <w:tcW w:w="1620" w:type="dxa"/>
            <w:tcBorders>
              <w:top w:val="single" w:sz="6" w:space="0" w:color="auto"/>
              <w:right w:val="single" w:sz="6" w:space="0" w:color="auto"/>
            </w:tcBorders>
          </w:tcPr>
          <w:p w:rsidR="00356BFC" w:rsidRPr="00806EA2" w:rsidRDefault="00356BFC" w:rsidP="008E3C29">
            <w:pPr>
              <w:pStyle w:val="Tabletext"/>
              <w:jc w:val="center"/>
            </w:pPr>
            <w:r w:rsidRPr="00806EA2">
              <w:t>4° 22' W</w:t>
            </w:r>
          </w:p>
        </w:tc>
      </w:tr>
      <w:tr w:rsidR="00356BFC" w:rsidRPr="00806EA2" w:rsidTr="00006B04">
        <w:trPr>
          <w:cantSplit/>
          <w:jc w:val="center"/>
        </w:trPr>
        <w:tc>
          <w:tcPr>
            <w:tcW w:w="2276" w:type="dxa"/>
            <w:tcBorders>
              <w:left w:val="single" w:sz="6" w:space="0" w:color="auto"/>
              <w:right w:val="single" w:sz="6" w:space="0" w:color="auto"/>
            </w:tcBorders>
          </w:tcPr>
          <w:p w:rsidR="00356BFC" w:rsidRPr="00806EA2" w:rsidRDefault="00356BFC" w:rsidP="008E3C29">
            <w:pPr>
              <w:pStyle w:val="Tabletext"/>
            </w:pPr>
          </w:p>
        </w:tc>
        <w:tc>
          <w:tcPr>
            <w:tcW w:w="3380" w:type="dxa"/>
          </w:tcPr>
          <w:p w:rsidR="00356BFC" w:rsidRPr="00806EA2" w:rsidRDefault="00356BFC" w:rsidP="008E3C29">
            <w:pPr>
              <w:pStyle w:val="Tabletext"/>
            </w:pPr>
            <w:r w:rsidRPr="00806EA2">
              <w:t>Malargüe (Argentina)</w:t>
            </w:r>
          </w:p>
        </w:tc>
        <w:tc>
          <w:tcPr>
            <w:tcW w:w="1626" w:type="dxa"/>
            <w:tcBorders>
              <w:left w:val="single" w:sz="6" w:space="0" w:color="auto"/>
              <w:right w:val="single" w:sz="6" w:space="0" w:color="auto"/>
            </w:tcBorders>
          </w:tcPr>
          <w:p w:rsidR="00356BFC" w:rsidRPr="00806EA2" w:rsidRDefault="00356BFC" w:rsidP="008E3C29">
            <w:pPr>
              <w:pStyle w:val="Tabletext"/>
              <w:jc w:val="center"/>
            </w:pPr>
            <w:r w:rsidRPr="00806EA2">
              <w:t>35° 46' S</w:t>
            </w:r>
          </w:p>
        </w:tc>
        <w:tc>
          <w:tcPr>
            <w:tcW w:w="1620" w:type="dxa"/>
            <w:tcBorders>
              <w:right w:val="single" w:sz="6" w:space="0" w:color="auto"/>
            </w:tcBorders>
          </w:tcPr>
          <w:p w:rsidR="00356BFC" w:rsidRPr="00806EA2" w:rsidRDefault="00356BFC" w:rsidP="008E3C29">
            <w:pPr>
              <w:pStyle w:val="Tabletext"/>
              <w:jc w:val="center"/>
            </w:pPr>
            <w:r w:rsidRPr="00806EA2">
              <w:t>69° 22' W</w:t>
            </w:r>
          </w:p>
        </w:tc>
      </w:tr>
      <w:tr w:rsidR="00356BFC" w:rsidRPr="00806EA2" w:rsidTr="00006B04">
        <w:trPr>
          <w:cantSplit/>
          <w:jc w:val="center"/>
        </w:trPr>
        <w:tc>
          <w:tcPr>
            <w:tcW w:w="2276" w:type="dxa"/>
            <w:tcBorders>
              <w:left w:val="single" w:sz="6" w:space="0" w:color="auto"/>
              <w:bottom w:val="single" w:sz="6" w:space="0" w:color="auto"/>
              <w:right w:val="single" w:sz="6" w:space="0" w:color="auto"/>
            </w:tcBorders>
          </w:tcPr>
          <w:p w:rsidR="00356BFC" w:rsidRPr="00806EA2" w:rsidRDefault="00356BFC" w:rsidP="008E3C29">
            <w:pPr>
              <w:pStyle w:val="Tabletext"/>
            </w:pPr>
          </w:p>
        </w:tc>
        <w:tc>
          <w:tcPr>
            <w:tcW w:w="3380" w:type="dxa"/>
            <w:tcBorders>
              <w:bottom w:val="single" w:sz="6" w:space="0" w:color="auto"/>
            </w:tcBorders>
          </w:tcPr>
          <w:p w:rsidR="00356BFC" w:rsidRPr="00806EA2" w:rsidRDefault="00356BFC" w:rsidP="008E3C29">
            <w:pPr>
              <w:pStyle w:val="Tabletext"/>
            </w:pPr>
            <w:r w:rsidRPr="00806EA2">
              <w:t>New Norcia (Australia)</w:t>
            </w:r>
          </w:p>
        </w:tc>
        <w:tc>
          <w:tcPr>
            <w:tcW w:w="162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31° 20' S</w:t>
            </w:r>
          </w:p>
        </w:tc>
        <w:tc>
          <w:tcPr>
            <w:tcW w:w="1620" w:type="dxa"/>
            <w:tcBorders>
              <w:bottom w:val="single" w:sz="6" w:space="0" w:color="auto"/>
              <w:right w:val="single" w:sz="6" w:space="0" w:color="auto"/>
            </w:tcBorders>
          </w:tcPr>
          <w:p w:rsidR="00356BFC" w:rsidRPr="00806EA2" w:rsidRDefault="00356BFC" w:rsidP="008E3C29">
            <w:pPr>
              <w:pStyle w:val="Tabletext"/>
              <w:jc w:val="center"/>
            </w:pPr>
            <w:r w:rsidRPr="00806EA2">
              <w:t>116° 11' E</w:t>
            </w:r>
          </w:p>
        </w:tc>
      </w:tr>
      <w:tr w:rsidR="00356BFC" w:rsidRPr="00806EA2" w:rsidTr="00006B04">
        <w:trPr>
          <w:cantSplit/>
          <w:jc w:val="center"/>
        </w:trPr>
        <w:tc>
          <w:tcPr>
            <w:tcW w:w="227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text"/>
            </w:pPr>
            <w:r w:rsidRPr="00806EA2">
              <w:t>Germany</w:t>
            </w:r>
          </w:p>
        </w:tc>
        <w:tc>
          <w:tcPr>
            <w:tcW w:w="3380" w:type="dxa"/>
            <w:tcBorders>
              <w:top w:val="single" w:sz="6" w:space="0" w:color="auto"/>
              <w:bottom w:val="single" w:sz="6" w:space="0" w:color="auto"/>
            </w:tcBorders>
          </w:tcPr>
          <w:p w:rsidR="00356BFC" w:rsidRPr="00806EA2" w:rsidRDefault="00356BFC" w:rsidP="008E3C29">
            <w:pPr>
              <w:pStyle w:val="Tabletext"/>
            </w:pPr>
            <w:r w:rsidRPr="00806EA2">
              <w:t>Weilheim</w:t>
            </w:r>
          </w:p>
        </w:tc>
        <w:tc>
          <w:tcPr>
            <w:tcW w:w="162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47° 53' N</w:t>
            </w:r>
          </w:p>
        </w:tc>
        <w:tc>
          <w:tcPr>
            <w:tcW w:w="1620" w:type="dxa"/>
            <w:tcBorders>
              <w:top w:val="single" w:sz="6" w:space="0" w:color="auto"/>
              <w:bottom w:val="single" w:sz="6" w:space="0" w:color="auto"/>
              <w:right w:val="single" w:sz="6" w:space="0" w:color="auto"/>
            </w:tcBorders>
          </w:tcPr>
          <w:p w:rsidR="00356BFC" w:rsidRPr="00806EA2" w:rsidRDefault="00356BFC" w:rsidP="008E3C29">
            <w:pPr>
              <w:pStyle w:val="Tabletext"/>
              <w:jc w:val="center"/>
            </w:pPr>
            <w:r w:rsidRPr="00806EA2">
              <w:t>11° 04' E</w:t>
            </w:r>
          </w:p>
        </w:tc>
      </w:tr>
      <w:tr w:rsidR="00356BFC" w:rsidRPr="00806EA2" w:rsidTr="00006B04">
        <w:trPr>
          <w:cantSplit/>
          <w:jc w:val="center"/>
        </w:trPr>
        <w:tc>
          <w:tcPr>
            <w:tcW w:w="227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text"/>
            </w:pPr>
            <w:r w:rsidRPr="00806EA2">
              <w:t>Ukraine</w:t>
            </w:r>
          </w:p>
        </w:tc>
        <w:tc>
          <w:tcPr>
            <w:tcW w:w="3380" w:type="dxa"/>
            <w:tcBorders>
              <w:top w:val="single" w:sz="6" w:space="0" w:color="auto"/>
              <w:bottom w:val="single" w:sz="6" w:space="0" w:color="auto"/>
            </w:tcBorders>
          </w:tcPr>
          <w:p w:rsidR="00356BFC" w:rsidRPr="00806EA2" w:rsidRDefault="00356BFC" w:rsidP="008E3C29">
            <w:pPr>
              <w:pStyle w:val="Tabletext"/>
            </w:pPr>
            <w:r w:rsidRPr="00806EA2">
              <w:t>Evpatoriya</w:t>
            </w:r>
          </w:p>
        </w:tc>
        <w:tc>
          <w:tcPr>
            <w:tcW w:w="1626"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45° 11' N</w:t>
            </w:r>
          </w:p>
        </w:tc>
        <w:tc>
          <w:tcPr>
            <w:tcW w:w="1620" w:type="dxa"/>
            <w:tcBorders>
              <w:top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33° 11' E</w:t>
            </w:r>
          </w:p>
        </w:tc>
      </w:tr>
      <w:tr w:rsidR="00356BFC" w:rsidRPr="00806EA2" w:rsidTr="00006B04">
        <w:trPr>
          <w:cantSplit/>
          <w:jc w:val="center"/>
        </w:trPr>
        <w:tc>
          <w:tcPr>
            <w:tcW w:w="2276" w:type="dxa"/>
            <w:tcBorders>
              <w:left w:val="single" w:sz="6" w:space="0" w:color="auto"/>
              <w:right w:val="single" w:sz="6" w:space="0" w:color="auto"/>
            </w:tcBorders>
          </w:tcPr>
          <w:p w:rsidR="00356BFC" w:rsidRPr="00806EA2" w:rsidRDefault="00356BFC" w:rsidP="008E3C29">
            <w:pPr>
              <w:pStyle w:val="Tabletext"/>
            </w:pPr>
            <w:r w:rsidRPr="00806EA2">
              <w:t>Russia</w:t>
            </w:r>
          </w:p>
        </w:tc>
        <w:tc>
          <w:tcPr>
            <w:tcW w:w="3380" w:type="dxa"/>
          </w:tcPr>
          <w:p w:rsidR="00356BFC" w:rsidRPr="00806EA2" w:rsidRDefault="00356BFC" w:rsidP="008E3C29">
            <w:pPr>
              <w:pStyle w:val="Tabletext"/>
            </w:pPr>
            <w:r w:rsidRPr="00806EA2">
              <w:t>Medvezhi ozera</w:t>
            </w:r>
          </w:p>
        </w:tc>
        <w:tc>
          <w:tcPr>
            <w:tcW w:w="1626" w:type="dxa"/>
            <w:tcBorders>
              <w:left w:val="single" w:sz="6" w:space="0" w:color="auto"/>
              <w:right w:val="single" w:sz="6" w:space="0" w:color="auto"/>
            </w:tcBorders>
          </w:tcPr>
          <w:p w:rsidR="00356BFC" w:rsidRPr="00806EA2" w:rsidRDefault="00356BFC" w:rsidP="008E3C29">
            <w:pPr>
              <w:pStyle w:val="Tabletext"/>
              <w:jc w:val="center"/>
            </w:pPr>
            <w:r w:rsidRPr="00806EA2">
              <w:t>55° 52' N</w:t>
            </w:r>
          </w:p>
        </w:tc>
        <w:tc>
          <w:tcPr>
            <w:tcW w:w="1620" w:type="dxa"/>
            <w:tcBorders>
              <w:right w:val="single" w:sz="6" w:space="0" w:color="auto"/>
            </w:tcBorders>
          </w:tcPr>
          <w:p w:rsidR="00356BFC" w:rsidRPr="00806EA2" w:rsidRDefault="00356BFC" w:rsidP="008E3C29">
            <w:pPr>
              <w:pStyle w:val="Tabletext"/>
              <w:jc w:val="center"/>
            </w:pPr>
            <w:r w:rsidRPr="00806EA2">
              <w:t>37° 57' E</w:t>
            </w:r>
          </w:p>
        </w:tc>
      </w:tr>
      <w:tr w:rsidR="00356BFC" w:rsidRPr="00806EA2" w:rsidTr="00006B04">
        <w:trPr>
          <w:cantSplit/>
          <w:jc w:val="center"/>
        </w:trPr>
        <w:tc>
          <w:tcPr>
            <w:tcW w:w="2276" w:type="dxa"/>
            <w:tcBorders>
              <w:left w:val="single" w:sz="6" w:space="0" w:color="auto"/>
              <w:right w:val="single" w:sz="6" w:space="0" w:color="auto"/>
            </w:tcBorders>
          </w:tcPr>
          <w:p w:rsidR="00356BFC" w:rsidRPr="00806EA2" w:rsidRDefault="00356BFC" w:rsidP="008E3C29">
            <w:pPr>
              <w:pStyle w:val="Tabletext"/>
            </w:pPr>
          </w:p>
        </w:tc>
        <w:tc>
          <w:tcPr>
            <w:tcW w:w="3380" w:type="dxa"/>
          </w:tcPr>
          <w:p w:rsidR="00356BFC" w:rsidRPr="00806EA2" w:rsidRDefault="00356BFC" w:rsidP="008E3C29">
            <w:pPr>
              <w:pStyle w:val="Tabletext"/>
            </w:pPr>
            <w:r w:rsidRPr="00806EA2">
              <w:t>Ussuriisk</w:t>
            </w:r>
          </w:p>
        </w:tc>
        <w:tc>
          <w:tcPr>
            <w:tcW w:w="1626" w:type="dxa"/>
            <w:tcBorders>
              <w:left w:val="single" w:sz="6" w:space="0" w:color="auto"/>
              <w:right w:val="single" w:sz="6" w:space="0" w:color="auto"/>
            </w:tcBorders>
          </w:tcPr>
          <w:p w:rsidR="00356BFC" w:rsidRPr="00806EA2" w:rsidRDefault="00356BFC" w:rsidP="008E3C29">
            <w:pPr>
              <w:pStyle w:val="Tabletext"/>
              <w:jc w:val="center"/>
            </w:pPr>
            <w:r w:rsidRPr="00806EA2">
              <w:t>44° 01' N</w:t>
            </w:r>
          </w:p>
        </w:tc>
        <w:tc>
          <w:tcPr>
            <w:tcW w:w="1620" w:type="dxa"/>
            <w:tcBorders>
              <w:right w:val="single" w:sz="6" w:space="0" w:color="auto"/>
            </w:tcBorders>
          </w:tcPr>
          <w:p w:rsidR="00356BFC" w:rsidRPr="00806EA2" w:rsidRDefault="00356BFC" w:rsidP="008E3C29">
            <w:pPr>
              <w:pStyle w:val="Tabletext"/>
              <w:jc w:val="center"/>
            </w:pPr>
            <w:r w:rsidRPr="00806EA2">
              <w:t>131° 45' E</w:t>
            </w:r>
          </w:p>
        </w:tc>
      </w:tr>
      <w:tr w:rsidR="00356BFC" w:rsidRPr="00806EA2" w:rsidTr="00006B04">
        <w:trPr>
          <w:cantSplit/>
          <w:jc w:val="center"/>
        </w:trPr>
        <w:tc>
          <w:tcPr>
            <w:tcW w:w="2276" w:type="dxa"/>
            <w:tcBorders>
              <w:top w:val="single" w:sz="6" w:space="0" w:color="auto"/>
              <w:left w:val="single" w:sz="6" w:space="0" w:color="auto"/>
              <w:bottom w:val="single" w:sz="4" w:space="0" w:color="auto"/>
              <w:right w:val="single" w:sz="6" w:space="0" w:color="auto"/>
            </w:tcBorders>
          </w:tcPr>
          <w:p w:rsidR="00356BFC" w:rsidRPr="00806EA2" w:rsidRDefault="00356BFC" w:rsidP="008E3C29">
            <w:pPr>
              <w:pStyle w:val="Tabletext"/>
            </w:pPr>
            <w:r w:rsidRPr="00806EA2">
              <w:t>Japan</w:t>
            </w:r>
          </w:p>
        </w:tc>
        <w:tc>
          <w:tcPr>
            <w:tcW w:w="3380" w:type="dxa"/>
            <w:tcBorders>
              <w:top w:val="single" w:sz="6" w:space="0" w:color="auto"/>
              <w:bottom w:val="single" w:sz="4" w:space="0" w:color="auto"/>
            </w:tcBorders>
          </w:tcPr>
          <w:p w:rsidR="00356BFC" w:rsidRPr="00806EA2" w:rsidRDefault="00356BFC" w:rsidP="008E3C29">
            <w:pPr>
              <w:pStyle w:val="Tabletext"/>
            </w:pPr>
            <w:r w:rsidRPr="00806EA2">
              <w:t>Usuda, Nagano</w:t>
            </w:r>
          </w:p>
          <w:p w:rsidR="00356BFC" w:rsidRPr="00806EA2" w:rsidRDefault="00356BFC" w:rsidP="008E3C29">
            <w:pPr>
              <w:pStyle w:val="Tabletext"/>
            </w:pPr>
            <w:r w:rsidRPr="00806EA2">
              <w:t>Uchinoura</w:t>
            </w:r>
          </w:p>
        </w:tc>
        <w:tc>
          <w:tcPr>
            <w:tcW w:w="1626" w:type="dxa"/>
            <w:tcBorders>
              <w:top w:val="single" w:sz="6" w:space="0" w:color="auto"/>
              <w:left w:val="single" w:sz="6" w:space="0" w:color="auto"/>
              <w:bottom w:val="single" w:sz="4" w:space="0" w:color="auto"/>
              <w:right w:val="single" w:sz="6" w:space="0" w:color="auto"/>
            </w:tcBorders>
          </w:tcPr>
          <w:p w:rsidR="00356BFC" w:rsidRPr="00806EA2" w:rsidRDefault="00356BFC" w:rsidP="008E3C29">
            <w:pPr>
              <w:pStyle w:val="Tabletext"/>
              <w:jc w:val="center"/>
            </w:pPr>
            <w:r w:rsidRPr="00806EA2">
              <w:t>36° 08' N</w:t>
            </w:r>
          </w:p>
          <w:p w:rsidR="00356BFC" w:rsidRPr="00806EA2" w:rsidRDefault="00356BFC" w:rsidP="008E3C29">
            <w:pPr>
              <w:pStyle w:val="Tabletext"/>
              <w:jc w:val="center"/>
            </w:pPr>
            <w:r w:rsidRPr="00806EA2">
              <w:t>31° 15' N</w:t>
            </w:r>
          </w:p>
        </w:tc>
        <w:tc>
          <w:tcPr>
            <w:tcW w:w="1620" w:type="dxa"/>
            <w:tcBorders>
              <w:top w:val="single" w:sz="6" w:space="0" w:color="auto"/>
              <w:bottom w:val="single" w:sz="4" w:space="0" w:color="auto"/>
              <w:right w:val="single" w:sz="6" w:space="0" w:color="auto"/>
            </w:tcBorders>
          </w:tcPr>
          <w:p w:rsidR="00356BFC" w:rsidRPr="00806EA2" w:rsidRDefault="00356BFC" w:rsidP="008E3C29">
            <w:pPr>
              <w:pStyle w:val="Tabletext"/>
              <w:jc w:val="center"/>
            </w:pPr>
            <w:r w:rsidRPr="00806EA2">
              <w:t>138° 22' E</w:t>
            </w:r>
          </w:p>
          <w:p w:rsidR="00356BFC" w:rsidRPr="00806EA2" w:rsidRDefault="00356BFC" w:rsidP="008E3C29">
            <w:pPr>
              <w:pStyle w:val="Tabletext"/>
              <w:jc w:val="center"/>
            </w:pPr>
            <w:r w:rsidRPr="00806EA2">
              <w:t>131° 04' E</w:t>
            </w:r>
          </w:p>
        </w:tc>
      </w:tr>
      <w:tr w:rsidR="00356BFC" w:rsidRPr="00806EA2" w:rsidTr="00006B04">
        <w:trPr>
          <w:cantSplit/>
          <w:jc w:val="center"/>
        </w:trPr>
        <w:tc>
          <w:tcPr>
            <w:tcW w:w="2276" w:type="dxa"/>
            <w:tcBorders>
              <w:top w:val="single" w:sz="4" w:space="0" w:color="auto"/>
              <w:left w:val="single" w:sz="4" w:space="0" w:color="auto"/>
              <w:right w:val="single" w:sz="6" w:space="0" w:color="auto"/>
            </w:tcBorders>
          </w:tcPr>
          <w:p w:rsidR="00356BFC" w:rsidRPr="00806EA2" w:rsidRDefault="00356BFC" w:rsidP="008E3C29">
            <w:pPr>
              <w:pStyle w:val="Tabletext"/>
            </w:pPr>
            <w:r w:rsidRPr="00806EA2">
              <w:t>United States</w:t>
            </w:r>
          </w:p>
        </w:tc>
        <w:tc>
          <w:tcPr>
            <w:tcW w:w="3380" w:type="dxa"/>
            <w:tcBorders>
              <w:top w:val="single" w:sz="4" w:space="0" w:color="auto"/>
            </w:tcBorders>
          </w:tcPr>
          <w:p w:rsidR="00356BFC" w:rsidRPr="00806EA2" w:rsidRDefault="00356BFC" w:rsidP="008E3C29">
            <w:pPr>
              <w:pStyle w:val="Tabletext"/>
            </w:pPr>
            <w:r w:rsidRPr="00806EA2">
              <w:t>Canberra (Australia)</w:t>
            </w:r>
          </w:p>
        </w:tc>
        <w:tc>
          <w:tcPr>
            <w:tcW w:w="1626" w:type="dxa"/>
            <w:tcBorders>
              <w:top w:val="single" w:sz="4" w:space="0" w:color="auto"/>
              <w:left w:val="single" w:sz="6" w:space="0" w:color="auto"/>
              <w:right w:val="single" w:sz="6" w:space="0" w:color="auto"/>
            </w:tcBorders>
          </w:tcPr>
          <w:p w:rsidR="00356BFC" w:rsidRPr="00806EA2" w:rsidRDefault="00356BFC" w:rsidP="008E3C29">
            <w:pPr>
              <w:pStyle w:val="Tabletext"/>
              <w:jc w:val="center"/>
            </w:pPr>
            <w:r w:rsidRPr="00806EA2">
              <w:t>35° 28' S</w:t>
            </w:r>
          </w:p>
        </w:tc>
        <w:tc>
          <w:tcPr>
            <w:tcW w:w="1620" w:type="dxa"/>
            <w:tcBorders>
              <w:top w:val="single" w:sz="4" w:space="0" w:color="auto"/>
              <w:right w:val="single" w:sz="4" w:space="0" w:color="auto"/>
            </w:tcBorders>
          </w:tcPr>
          <w:p w:rsidR="00356BFC" w:rsidRPr="00806EA2" w:rsidRDefault="00356BFC" w:rsidP="008E3C29">
            <w:pPr>
              <w:pStyle w:val="Tabletext"/>
              <w:jc w:val="center"/>
            </w:pPr>
            <w:r w:rsidRPr="00806EA2">
              <w:t>148° 59' E</w:t>
            </w:r>
          </w:p>
        </w:tc>
      </w:tr>
      <w:tr w:rsidR="00356BFC" w:rsidRPr="00806EA2" w:rsidTr="00006B04">
        <w:trPr>
          <w:cantSplit/>
          <w:jc w:val="center"/>
        </w:trPr>
        <w:tc>
          <w:tcPr>
            <w:tcW w:w="2276" w:type="dxa"/>
            <w:tcBorders>
              <w:left w:val="single" w:sz="4" w:space="0" w:color="auto"/>
              <w:right w:val="single" w:sz="6" w:space="0" w:color="auto"/>
            </w:tcBorders>
          </w:tcPr>
          <w:p w:rsidR="00356BFC" w:rsidRPr="00806EA2" w:rsidRDefault="00356BFC" w:rsidP="008E3C29">
            <w:pPr>
              <w:pStyle w:val="Tabletext"/>
            </w:pPr>
          </w:p>
        </w:tc>
        <w:tc>
          <w:tcPr>
            <w:tcW w:w="3380" w:type="dxa"/>
          </w:tcPr>
          <w:p w:rsidR="00356BFC" w:rsidRPr="00806EA2" w:rsidRDefault="00356BFC" w:rsidP="008E3C29">
            <w:pPr>
              <w:pStyle w:val="Tabletext"/>
            </w:pPr>
            <w:r w:rsidRPr="00806EA2">
              <w:t>Goldstone, California (United States)</w:t>
            </w:r>
          </w:p>
        </w:tc>
        <w:tc>
          <w:tcPr>
            <w:tcW w:w="1626" w:type="dxa"/>
            <w:tcBorders>
              <w:left w:val="single" w:sz="6" w:space="0" w:color="auto"/>
              <w:right w:val="single" w:sz="6" w:space="0" w:color="auto"/>
            </w:tcBorders>
          </w:tcPr>
          <w:p w:rsidR="00356BFC" w:rsidRPr="00806EA2" w:rsidRDefault="00356BFC" w:rsidP="008E3C29">
            <w:pPr>
              <w:pStyle w:val="Tabletext"/>
              <w:jc w:val="center"/>
            </w:pPr>
            <w:r w:rsidRPr="00806EA2">
              <w:t>35° 22' N</w:t>
            </w:r>
          </w:p>
        </w:tc>
        <w:tc>
          <w:tcPr>
            <w:tcW w:w="1620" w:type="dxa"/>
            <w:tcBorders>
              <w:right w:val="single" w:sz="4" w:space="0" w:color="auto"/>
            </w:tcBorders>
          </w:tcPr>
          <w:p w:rsidR="00356BFC" w:rsidRPr="00806EA2" w:rsidRDefault="00356BFC" w:rsidP="008E3C29">
            <w:pPr>
              <w:pStyle w:val="Tabletext"/>
              <w:jc w:val="center"/>
            </w:pPr>
            <w:r w:rsidRPr="00806EA2">
              <w:t>115° 51' W</w:t>
            </w:r>
          </w:p>
        </w:tc>
      </w:tr>
      <w:tr w:rsidR="00356BFC" w:rsidRPr="00806EA2" w:rsidTr="00006B04">
        <w:trPr>
          <w:cantSplit/>
          <w:jc w:val="center"/>
        </w:trPr>
        <w:tc>
          <w:tcPr>
            <w:tcW w:w="2276" w:type="dxa"/>
            <w:tcBorders>
              <w:left w:val="single" w:sz="4" w:space="0" w:color="auto"/>
              <w:bottom w:val="single" w:sz="4" w:space="0" w:color="auto"/>
              <w:right w:val="single" w:sz="6" w:space="0" w:color="auto"/>
            </w:tcBorders>
          </w:tcPr>
          <w:p w:rsidR="00356BFC" w:rsidRPr="00806EA2" w:rsidRDefault="00356BFC" w:rsidP="008E3C29">
            <w:pPr>
              <w:pStyle w:val="Tabletext"/>
            </w:pPr>
          </w:p>
        </w:tc>
        <w:tc>
          <w:tcPr>
            <w:tcW w:w="3380" w:type="dxa"/>
            <w:tcBorders>
              <w:bottom w:val="single" w:sz="4" w:space="0" w:color="auto"/>
            </w:tcBorders>
          </w:tcPr>
          <w:p w:rsidR="00356BFC" w:rsidRPr="00806EA2" w:rsidRDefault="00356BFC" w:rsidP="008E3C29">
            <w:pPr>
              <w:pStyle w:val="Tabletext"/>
            </w:pPr>
            <w:r w:rsidRPr="00806EA2">
              <w:t>Madrid (Spain)</w:t>
            </w:r>
          </w:p>
        </w:tc>
        <w:tc>
          <w:tcPr>
            <w:tcW w:w="1626" w:type="dxa"/>
            <w:tcBorders>
              <w:left w:val="single" w:sz="6" w:space="0" w:color="auto"/>
              <w:bottom w:val="single" w:sz="4" w:space="0" w:color="auto"/>
              <w:right w:val="single" w:sz="6" w:space="0" w:color="auto"/>
            </w:tcBorders>
          </w:tcPr>
          <w:p w:rsidR="00356BFC" w:rsidRPr="00806EA2" w:rsidRDefault="00356BFC" w:rsidP="008E3C29">
            <w:pPr>
              <w:pStyle w:val="Tabletext"/>
              <w:jc w:val="center"/>
            </w:pPr>
            <w:r w:rsidRPr="00806EA2">
              <w:t>40° 26' N</w:t>
            </w:r>
          </w:p>
        </w:tc>
        <w:tc>
          <w:tcPr>
            <w:tcW w:w="1620" w:type="dxa"/>
            <w:tcBorders>
              <w:bottom w:val="single" w:sz="4" w:space="0" w:color="auto"/>
              <w:right w:val="single" w:sz="4" w:space="0" w:color="auto"/>
            </w:tcBorders>
          </w:tcPr>
          <w:p w:rsidR="00356BFC" w:rsidRPr="00806EA2" w:rsidRDefault="00356BFC" w:rsidP="008E3C29">
            <w:pPr>
              <w:pStyle w:val="Tabletext"/>
              <w:jc w:val="center"/>
            </w:pPr>
            <w:r w:rsidRPr="00806EA2">
              <w:t>04° 17' W</w:t>
            </w:r>
          </w:p>
        </w:tc>
      </w:tr>
      <w:tr w:rsidR="00356BFC" w:rsidRPr="00806EA2" w:rsidTr="00006B04">
        <w:trPr>
          <w:cantSplit/>
          <w:jc w:val="center"/>
        </w:trPr>
        <w:tc>
          <w:tcPr>
            <w:tcW w:w="2276" w:type="dxa"/>
            <w:tcBorders>
              <w:top w:val="single" w:sz="4" w:space="0" w:color="auto"/>
              <w:left w:val="single" w:sz="6" w:space="0" w:color="auto"/>
              <w:bottom w:val="single" w:sz="6" w:space="0" w:color="auto"/>
              <w:right w:val="single" w:sz="6" w:space="0" w:color="auto"/>
            </w:tcBorders>
          </w:tcPr>
          <w:p w:rsidR="00356BFC" w:rsidRPr="00806EA2" w:rsidRDefault="00356BFC" w:rsidP="008E3C29">
            <w:pPr>
              <w:pStyle w:val="Tabletext"/>
            </w:pPr>
            <w:r w:rsidRPr="00806EA2">
              <w:t>India</w:t>
            </w:r>
          </w:p>
        </w:tc>
        <w:tc>
          <w:tcPr>
            <w:tcW w:w="3380" w:type="dxa"/>
            <w:tcBorders>
              <w:top w:val="single" w:sz="4" w:space="0" w:color="auto"/>
              <w:bottom w:val="single" w:sz="6" w:space="0" w:color="auto"/>
            </w:tcBorders>
          </w:tcPr>
          <w:p w:rsidR="00356BFC" w:rsidRPr="00806EA2" w:rsidRDefault="00356BFC" w:rsidP="008E3C29">
            <w:pPr>
              <w:pStyle w:val="Tabletext"/>
            </w:pPr>
            <w:r w:rsidRPr="00806EA2">
              <w:t>Byalalu</w:t>
            </w:r>
          </w:p>
        </w:tc>
        <w:tc>
          <w:tcPr>
            <w:tcW w:w="1626" w:type="dxa"/>
            <w:tcBorders>
              <w:top w:val="single" w:sz="4" w:space="0" w:color="auto"/>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12° 54' N</w:t>
            </w:r>
          </w:p>
        </w:tc>
        <w:tc>
          <w:tcPr>
            <w:tcW w:w="1620" w:type="dxa"/>
            <w:tcBorders>
              <w:top w:val="single" w:sz="4" w:space="0" w:color="auto"/>
              <w:bottom w:val="single" w:sz="6" w:space="0" w:color="auto"/>
              <w:right w:val="single" w:sz="6" w:space="0" w:color="auto"/>
            </w:tcBorders>
          </w:tcPr>
          <w:p w:rsidR="00356BFC" w:rsidRPr="00806EA2" w:rsidRDefault="00356BFC" w:rsidP="008E3C29">
            <w:pPr>
              <w:pStyle w:val="Tabletext"/>
              <w:jc w:val="center"/>
            </w:pPr>
            <w:r w:rsidRPr="00806EA2">
              <w:t>77° 22' E</w:t>
            </w:r>
          </w:p>
        </w:tc>
      </w:tr>
      <w:bookmarkEnd w:id="4"/>
      <w:bookmarkEnd w:id="5"/>
    </w:tbl>
    <w:p w:rsidR="00356BFC" w:rsidRPr="00806EA2" w:rsidRDefault="00356BFC" w:rsidP="00356BFC">
      <w:pPr>
        <w:pStyle w:val="Tablefin"/>
      </w:pPr>
    </w:p>
    <w:p w:rsidR="00356BFC" w:rsidRPr="00356BFC" w:rsidRDefault="00356BFC" w:rsidP="00356BFC">
      <w:pPr>
        <w:rPr>
          <w:lang w:val="en-GB"/>
        </w:rPr>
      </w:pPr>
      <w:r w:rsidRPr="00356BFC">
        <w:rPr>
          <w:lang w:val="en-GB"/>
        </w:rPr>
        <w:t>At each of these locations there are one or more antennas, receivers and transmitters that can be utilized for space research service (deep space) links in one or more of the allocated bands. The principal parameters that characterize the maximum performance of one or more of these stations are listed in Table 4. Although these characteristics do not apply to all stations, it is nevertheless essential that band allocations and criteria for protection from interference be based on the maximum performance available. This is required in order to provide for international operation and protection of space research service (deep space) missions.</w:t>
      </w:r>
    </w:p>
    <w:p w:rsidR="00356BFC" w:rsidRPr="00356BFC" w:rsidRDefault="00356BFC" w:rsidP="00356BFC">
      <w:pPr>
        <w:pStyle w:val="TableNo"/>
        <w:pageBreakBefore/>
        <w:rPr>
          <w:lang w:val="en-GB"/>
        </w:rPr>
      </w:pPr>
      <w:r w:rsidRPr="00356BFC">
        <w:rPr>
          <w:lang w:val="en-GB"/>
        </w:rPr>
        <w:t>TABLE 4</w:t>
      </w:r>
    </w:p>
    <w:p w:rsidR="00356BFC" w:rsidRPr="00356BFC" w:rsidRDefault="00356BFC" w:rsidP="00356BFC">
      <w:pPr>
        <w:pStyle w:val="Tabletitle"/>
        <w:rPr>
          <w:lang w:val="en-GB"/>
        </w:rPr>
      </w:pPr>
      <w:r w:rsidRPr="00356BFC">
        <w:rPr>
          <w:lang w:val="en-GB"/>
        </w:rPr>
        <w:t>Characteristics of space research service (deep space) earth stations with 70 m antennas</w:t>
      </w:r>
    </w:p>
    <w:tbl>
      <w:tblPr>
        <w:tblW w:w="9639" w:type="dxa"/>
        <w:jc w:val="center"/>
        <w:tblLayout w:type="fixed"/>
        <w:tblLook w:val="0000" w:firstRow="0" w:lastRow="0" w:firstColumn="0" w:lastColumn="0" w:noHBand="0" w:noVBand="0"/>
      </w:tblPr>
      <w:tblGrid>
        <w:gridCol w:w="1820"/>
        <w:gridCol w:w="1105"/>
        <w:gridCol w:w="1242"/>
        <w:gridCol w:w="1362"/>
        <w:gridCol w:w="1275"/>
        <w:gridCol w:w="1341"/>
        <w:gridCol w:w="1494"/>
      </w:tblGrid>
      <w:tr w:rsidR="00356BFC" w:rsidRPr="00356BFC" w:rsidTr="008E3C29">
        <w:trPr>
          <w:cantSplit/>
          <w:tblHeader/>
          <w:jc w:val="center"/>
        </w:trPr>
        <w:tc>
          <w:tcPr>
            <w:tcW w:w="1820"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Frequency</w:t>
            </w:r>
            <w:r w:rsidRPr="00806EA2">
              <w:br/>
              <w:t>(GHz)</w:t>
            </w:r>
          </w:p>
        </w:tc>
        <w:tc>
          <w:tcPr>
            <w:tcW w:w="1105"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Antenna</w:t>
            </w:r>
            <w:r w:rsidRPr="00806EA2">
              <w:br/>
              <w:t>gain</w:t>
            </w:r>
            <w:r w:rsidRPr="00806EA2">
              <w:br/>
              <w:t>(dBi)</w:t>
            </w:r>
          </w:p>
        </w:tc>
        <w:tc>
          <w:tcPr>
            <w:tcW w:w="1242"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Antenna</w:t>
            </w:r>
            <w:r w:rsidRPr="00806EA2">
              <w:br/>
              <w:t>beamwidth</w:t>
            </w:r>
            <w:r w:rsidRPr="00806EA2">
              <w:br/>
              <w:t>(degrees)</w:t>
            </w:r>
          </w:p>
        </w:tc>
        <w:tc>
          <w:tcPr>
            <w:tcW w:w="1362" w:type="dxa"/>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Transmitter</w:t>
            </w:r>
            <w:r w:rsidRPr="00806EA2">
              <w:br/>
              <w:t>power</w:t>
            </w:r>
            <w:r w:rsidRPr="00806EA2">
              <w:br/>
              <w:t>(dBW)</w:t>
            </w:r>
          </w:p>
        </w:tc>
        <w:tc>
          <w:tcPr>
            <w:tcW w:w="1275"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e.i.r.p.</w:t>
            </w:r>
            <w:r w:rsidRPr="00806EA2">
              <w:br/>
              <w:t>(dBW)</w:t>
            </w:r>
          </w:p>
        </w:tc>
        <w:tc>
          <w:tcPr>
            <w:tcW w:w="1341" w:type="dxa"/>
            <w:tcBorders>
              <w:top w:val="single" w:sz="6" w:space="0" w:color="auto"/>
              <w:left w:val="single" w:sz="6" w:space="0" w:color="auto"/>
              <w:right w:val="single" w:sz="6" w:space="0" w:color="auto"/>
            </w:tcBorders>
          </w:tcPr>
          <w:p w:rsidR="00356BFC" w:rsidRPr="00356BFC" w:rsidRDefault="00356BFC" w:rsidP="008E3C29">
            <w:pPr>
              <w:pStyle w:val="Tablehead"/>
              <w:rPr>
                <w:lang w:val="en-GB"/>
              </w:rPr>
            </w:pPr>
            <w:r w:rsidRPr="00356BFC">
              <w:rPr>
                <w:lang w:val="en-GB"/>
              </w:rPr>
              <w:t>Receiving system noise temperature</w:t>
            </w:r>
            <w:r w:rsidRPr="00356BFC">
              <w:rPr>
                <w:lang w:val="en-GB"/>
              </w:rPr>
              <w:br/>
              <w:t>(K)</w:t>
            </w:r>
          </w:p>
        </w:tc>
        <w:tc>
          <w:tcPr>
            <w:tcW w:w="1494" w:type="dxa"/>
            <w:tcBorders>
              <w:top w:val="single" w:sz="6" w:space="0" w:color="auto"/>
              <w:left w:val="single" w:sz="6" w:space="0" w:color="auto"/>
              <w:right w:val="single" w:sz="6" w:space="0" w:color="auto"/>
            </w:tcBorders>
          </w:tcPr>
          <w:p w:rsidR="00356BFC" w:rsidRPr="00356BFC" w:rsidRDefault="00356BFC" w:rsidP="008E3C29">
            <w:pPr>
              <w:pStyle w:val="Tablehead"/>
              <w:rPr>
                <w:lang w:val="en-GB"/>
              </w:rPr>
            </w:pPr>
            <w:r w:rsidRPr="00356BFC">
              <w:rPr>
                <w:lang w:val="en-GB"/>
              </w:rPr>
              <w:t>Receiving system noise power spectral density</w:t>
            </w:r>
            <w:r w:rsidRPr="00356BFC">
              <w:rPr>
                <w:lang w:val="en-GB"/>
              </w:rPr>
              <w:br/>
              <w:t>(dB(W/Hz))</w:t>
            </w:r>
          </w:p>
        </w:tc>
      </w:tr>
      <w:tr w:rsidR="00356BFC" w:rsidRPr="00806EA2" w:rsidTr="008E3C29">
        <w:trPr>
          <w:cantSplit/>
          <w:jc w:val="center"/>
        </w:trPr>
        <w:tc>
          <w:tcPr>
            <w:tcW w:w="1820"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2.110-2.120</w:t>
            </w:r>
            <w:r w:rsidRPr="00806EA2">
              <w:br/>
              <w:t>Earth-to-space</w:t>
            </w:r>
          </w:p>
        </w:tc>
        <w:tc>
          <w:tcPr>
            <w:tcW w:w="1105"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62</w:t>
            </w:r>
          </w:p>
        </w:tc>
        <w:tc>
          <w:tcPr>
            <w:tcW w:w="1242"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0.14</w:t>
            </w:r>
          </w:p>
        </w:tc>
        <w:tc>
          <w:tcPr>
            <w:tcW w:w="1362"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50</w:t>
            </w:r>
            <w:r w:rsidRPr="00806EA2">
              <w:br/>
              <w:t>56</w:t>
            </w:r>
            <w:r w:rsidRPr="00806EA2">
              <w:rPr>
                <w:vertAlign w:val="superscript"/>
              </w:rPr>
              <w:t>(1)</w:t>
            </w:r>
          </w:p>
        </w:tc>
        <w:tc>
          <w:tcPr>
            <w:tcW w:w="1275"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112</w:t>
            </w:r>
            <w:r w:rsidRPr="00806EA2">
              <w:br/>
              <w:t>118</w:t>
            </w:r>
            <w:r w:rsidRPr="00806EA2">
              <w:rPr>
                <w:vertAlign w:val="superscript"/>
              </w:rPr>
              <w:t>(1)</w:t>
            </w:r>
          </w:p>
        </w:tc>
        <w:tc>
          <w:tcPr>
            <w:tcW w:w="134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w:t>
            </w:r>
          </w:p>
        </w:tc>
        <w:tc>
          <w:tcPr>
            <w:tcW w:w="1494"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w:t>
            </w:r>
          </w:p>
        </w:tc>
      </w:tr>
      <w:tr w:rsidR="00356BFC" w:rsidRPr="00806EA2" w:rsidTr="008E3C29">
        <w:trPr>
          <w:cantSplit/>
          <w:jc w:val="center"/>
        </w:trPr>
        <w:tc>
          <w:tcPr>
            <w:tcW w:w="1820"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2.290-2.300</w:t>
            </w:r>
            <w:r w:rsidRPr="00806EA2">
              <w:br/>
              <w:t>Space-to-Earth</w:t>
            </w:r>
          </w:p>
        </w:tc>
        <w:tc>
          <w:tcPr>
            <w:tcW w:w="1105"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63</w:t>
            </w:r>
          </w:p>
        </w:tc>
        <w:tc>
          <w:tcPr>
            <w:tcW w:w="124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0.13</w:t>
            </w:r>
          </w:p>
        </w:tc>
        <w:tc>
          <w:tcPr>
            <w:tcW w:w="136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w:t>
            </w:r>
          </w:p>
        </w:tc>
        <w:tc>
          <w:tcPr>
            <w:tcW w:w="1275"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w:t>
            </w:r>
          </w:p>
        </w:tc>
        <w:tc>
          <w:tcPr>
            <w:tcW w:w="134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25</w:t>
            </w:r>
            <w:r w:rsidRPr="00806EA2">
              <w:rPr>
                <w:vertAlign w:val="superscript"/>
              </w:rPr>
              <w:t>(2)</w:t>
            </w:r>
            <w:r w:rsidRPr="00806EA2">
              <w:br/>
              <w:t>21</w:t>
            </w:r>
            <w:r w:rsidRPr="00806EA2">
              <w:rPr>
                <w:vertAlign w:val="superscript"/>
              </w:rPr>
              <w:t>(3)</w:t>
            </w:r>
          </w:p>
        </w:tc>
        <w:tc>
          <w:tcPr>
            <w:tcW w:w="1494"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–214</w:t>
            </w:r>
            <w:r w:rsidRPr="00806EA2">
              <w:rPr>
                <w:vertAlign w:val="superscript"/>
              </w:rPr>
              <w:t>(2)</w:t>
            </w:r>
            <w:r w:rsidRPr="00806EA2">
              <w:t xml:space="preserve"> </w:t>
            </w:r>
            <w:r w:rsidRPr="00806EA2">
              <w:br/>
              <w:t>–215</w:t>
            </w:r>
            <w:r w:rsidRPr="00806EA2">
              <w:rPr>
                <w:vertAlign w:val="superscript"/>
              </w:rPr>
              <w:t>(3)</w:t>
            </w:r>
          </w:p>
        </w:tc>
      </w:tr>
      <w:tr w:rsidR="00356BFC" w:rsidRPr="00806EA2" w:rsidTr="008E3C29">
        <w:trPr>
          <w:cantSplit/>
          <w:jc w:val="center"/>
        </w:trPr>
        <w:tc>
          <w:tcPr>
            <w:tcW w:w="1820" w:type="dxa"/>
            <w:tcBorders>
              <w:left w:val="single" w:sz="6" w:space="0" w:color="auto"/>
              <w:right w:val="single" w:sz="6" w:space="0" w:color="auto"/>
            </w:tcBorders>
          </w:tcPr>
          <w:p w:rsidR="00356BFC" w:rsidRPr="00806EA2" w:rsidRDefault="00356BFC" w:rsidP="008E3C29">
            <w:pPr>
              <w:pStyle w:val="Tabletext"/>
              <w:jc w:val="center"/>
            </w:pPr>
            <w:r w:rsidRPr="00806EA2">
              <w:t>7.145-7.190</w:t>
            </w:r>
            <w:r w:rsidRPr="00806EA2">
              <w:br/>
              <w:t>Earth-to-space</w:t>
            </w:r>
          </w:p>
        </w:tc>
        <w:tc>
          <w:tcPr>
            <w:tcW w:w="1105" w:type="dxa"/>
            <w:tcBorders>
              <w:left w:val="single" w:sz="6" w:space="0" w:color="auto"/>
              <w:right w:val="single" w:sz="6" w:space="0" w:color="auto"/>
            </w:tcBorders>
          </w:tcPr>
          <w:p w:rsidR="00356BFC" w:rsidRPr="00806EA2" w:rsidRDefault="00356BFC" w:rsidP="008E3C29">
            <w:pPr>
              <w:pStyle w:val="Tabletext"/>
              <w:jc w:val="center"/>
            </w:pPr>
            <w:r w:rsidRPr="00806EA2">
              <w:t>72</w:t>
            </w:r>
          </w:p>
        </w:tc>
        <w:tc>
          <w:tcPr>
            <w:tcW w:w="1242" w:type="dxa"/>
            <w:tcBorders>
              <w:left w:val="single" w:sz="6" w:space="0" w:color="auto"/>
              <w:right w:val="single" w:sz="6" w:space="0" w:color="auto"/>
            </w:tcBorders>
          </w:tcPr>
          <w:p w:rsidR="00356BFC" w:rsidRPr="00806EA2" w:rsidRDefault="00356BFC" w:rsidP="008E3C29">
            <w:pPr>
              <w:pStyle w:val="Tabletext"/>
              <w:jc w:val="center"/>
            </w:pPr>
            <w:r w:rsidRPr="00806EA2">
              <w:t>0.04</w:t>
            </w:r>
          </w:p>
        </w:tc>
        <w:tc>
          <w:tcPr>
            <w:tcW w:w="1362" w:type="dxa"/>
            <w:tcBorders>
              <w:left w:val="single" w:sz="6" w:space="0" w:color="auto"/>
              <w:right w:val="single" w:sz="6" w:space="0" w:color="auto"/>
            </w:tcBorders>
          </w:tcPr>
          <w:p w:rsidR="00356BFC" w:rsidRPr="00806EA2" w:rsidRDefault="00356BFC" w:rsidP="008E3C29">
            <w:pPr>
              <w:pStyle w:val="Tabletext"/>
              <w:jc w:val="center"/>
            </w:pPr>
            <w:r w:rsidRPr="00806EA2">
              <w:t>43</w:t>
            </w:r>
          </w:p>
        </w:tc>
        <w:tc>
          <w:tcPr>
            <w:tcW w:w="1275" w:type="dxa"/>
            <w:tcBorders>
              <w:left w:val="single" w:sz="6" w:space="0" w:color="auto"/>
              <w:right w:val="single" w:sz="6" w:space="0" w:color="auto"/>
            </w:tcBorders>
          </w:tcPr>
          <w:p w:rsidR="00356BFC" w:rsidRPr="00806EA2" w:rsidRDefault="00356BFC" w:rsidP="008E3C29">
            <w:pPr>
              <w:pStyle w:val="Tabletext"/>
              <w:jc w:val="center"/>
            </w:pPr>
            <w:r w:rsidRPr="00806EA2">
              <w:t>115</w:t>
            </w:r>
          </w:p>
        </w:tc>
        <w:tc>
          <w:tcPr>
            <w:tcW w:w="1341" w:type="dxa"/>
            <w:tcBorders>
              <w:left w:val="single" w:sz="6" w:space="0" w:color="auto"/>
              <w:right w:val="single" w:sz="6" w:space="0" w:color="auto"/>
            </w:tcBorders>
          </w:tcPr>
          <w:p w:rsidR="00356BFC" w:rsidRPr="00806EA2" w:rsidRDefault="00356BFC" w:rsidP="008E3C29">
            <w:pPr>
              <w:pStyle w:val="Tabletext"/>
              <w:jc w:val="center"/>
            </w:pPr>
            <w:r w:rsidRPr="00806EA2">
              <w:t>–</w:t>
            </w:r>
          </w:p>
        </w:tc>
        <w:tc>
          <w:tcPr>
            <w:tcW w:w="1494" w:type="dxa"/>
            <w:tcBorders>
              <w:left w:val="single" w:sz="6" w:space="0" w:color="auto"/>
              <w:right w:val="single" w:sz="6" w:space="0" w:color="auto"/>
            </w:tcBorders>
          </w:tcPr>
          <w:p w:rsidR="00356BFC" w:rsidRPr="00806EA2" w:rsidRDefault="00356BFC" w:rsidP="008E3C29">
            <w:pPr>
              <w:pStyle w:val="Tabletext"/>
              <w:jc w:val="center"/>
            </w:pPr>
            <w:r w:rsidRPr="00806EA2">
              <w:t>–</w:t>
            </w:r>
          </w:p>
        </w:tc>
      </w:tr>
      <w:tr w:rsidR="00356BFC" w:rsidRPr="00806EA2" w:rsidTr="008E3C29">
        <w:trPr>
          <w:cantSplit/>
          <w:jc w:val="center"/>
        </w:trPr>
        <w:tc>
          <w:tcPr>
            <w:tcW w:w="1820"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8.400-8.450</w:t>
            </w:r>
            <w:r w:rsidRPr="00806EA2">
              <w:br/>
              <w:t>Space-to-Earth</w:t>
            </w:r>
          </w:p>
        </w:tc>
        <w:tc>
          <w:tcPr>
            <w:tcW w:w="1105"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74</w:t>
            </w:r>
          </w:p>
        </w:tc>
        <w:tc>
          <w:tcPr>
            <w:tcW w:w="124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0.03</w:t>
            </w:r>
          </w:p>
        </w:tc>
        <w:tc>
          <w:tcPr>
            <w:tcW w:w="136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w:t>
            </w:r>
          </w:p>
        </w:tc>
        <w:tc>
          <w:tcPr>
            <w:tcW w:w="1275"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w:t>
            </w:r>
          </w:p>
        </w:tc>
        <w:tc>
          <w:tcPr>
            <w:tcW w:w="134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37</w:t>
            </w:r>
            <w:r w:rsidRPr="00806EA2">
              <w:rPr>
                <w:vertAlign w:val="superscript"/>
              </w:rPr>
              <w:t>(2)</w:t>
            </w:r>
            <w:r w:rsidRPr="00806EA2">
              <w:br/>
              <w:t>27</w:t>
            </w:r>
            <w:r w:rsidRPr="00806EA2">
              <w:rPr>
                <w:vertAlign w:val="superscript"/>
              </w:rPr>
              <w:t>(3)</w:t>
            </w:r>
          </w:p>
        </w:tc>
        <w:tc>
          <w:tcPr>
            <w:tcW w:w="1494"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–213</w:t>
            </w:r>
            <w:r w:rsidRPr="00806EA2">
              <w:rPr>
                <w:vertAlign w:val="superscript"/>
              </w:rPr>
              <w:t>(2)</w:t>
            </w:r>
            <w:r w:rsidRPr="00806EA2">
              <w:br/>
              <w:t>–214</w:t>
            </w:r>
            <w:r w:rsidRPr="00806EA2">
              <w:rPr>
                <w:vertAlign w:val="superscript"/>
              </w:rPr>
              <w:t>(3)</w:t>
            </w:r>
          </w:p>
        </w:tc>
      </w:tr>
      <w:tr w:rsidR="00356BFC" w:rsidRPr="00806EA2" w:rsidTr="008E3C29">
        <w:trPr>
          <w:cantSplit/>
          <w:jc w:val="center"/>
        </w:trPr>
        <w:tc>
          <w:tcPr>
            <w:tcW w:w="1820"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31.8-32.3</w:t>
            </w:r>
            <w:r w:rsidRPr="00806EA2">
              <w:br/>
              <w:t>Space-to-Earth</w:t>
            </w:r>
          </w:p>
        </w:tc>
        <w:tc>
          <w:tcPr>
            <w:tcW w:w="1105"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83.6</w:t>
            </w:r>
            <w:r w:rsidRPr="00806EA2">
              <w:rPr>
                <w:vertAlign w:val="superscript"/>
              </w:rPr>
              <w:t>(4)</w:t>
            </w:r>
          </w:p>
        </w:tc>
        <w:tc>
          <w:tcPr>
            <w:tcW w:w="1242"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0.01</w:t>
            </w:r>
            <w:r w:rsidRPr="00806EA2">
              <w:rPr>
                <w:vertAlign w:val="superscript"/>
              </w:rPr>
              <w:t>(4)</w:t>
            </w:r>
          </w:p>
        </w:tc>
        <w:tc>
          <w:tcPr>
            <w:tcW w:w="1362"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w:t>
            </w:r>
          </w:p>
        </w:tc>
        <w:tc>
          <w:tcPr>
            <w:tcW w:w="1275"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w:t>
            </w:r>
          </w:p>
        </w:tc>
        <w:tc>
          <w:tcPr>
            <w:tcW w:w="134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83</w:t>
            </w:r>
            <w:r w:rsidRPr="00806EA2">
              <w:rPr>
                <w:vertAlign w:val="superscript"/>
              </w:rPr>
              <w:t>(2) (4)</w:t>
            </w:r>
            <w:r w:rsidRPr="00806EA2">
              <w:br/>
              <w:t>61</w:t>
            </w:r>
            <w:r w:rsidRPr="00806EA2">
              <w:rPr>
                <w:vertAlign w:val="superscript"/>
              </w:rPr>
              <w:t>(3) (4)</w:t>
            </w:r>
          </w:p>
        </w:tc>
        <w:tc>
          <w:tcPr>
            <w:tcW w:w="1494"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–209</w:t>
            </w:r>
            <w:r w:rsidRPr="00806EA2">
              <w:rPr>
                <w:vertAlign w:val="superscript"/>
              </w:rPr>
              <w:t>(2) (4)</w:t>
            </w:r>
            <w:r w:rsidRPr="00806EA2">
              <w:br/>
              <w:t>–211</w:t>
            </w:r>
            <w:r w:rsidRPr="00806EA2">
              <w:rPr>
                <w:vertAlign w:val="superscript"/>
              </w:rPr>
              <w:t>(3) (4)</w:t>
            </w:r>
          </w:p>
        </w:tc>
      </w:tr>
      <w:tr w:rsidR="00356BFC" w:rsidRPr="00806EA2" w:rsidTr="008E3C29">
        <w:trPr>
          <w:cantSplit/>
          <w:jc w:val="center"/>
        </w:trPr>
        <w:tc>
          <w:tcPr>
            <w:tcW w:w="1820" w:type="dxa"/>
            <w:tcBorders>
              <w:left w:val="single" w:sz="6" w:space="0" w:color="auto"/>
              <w:right w:val="single" w:sz="6" w:space="0" w:color="auto"/>
            </w:tcBorders>
          </w:tcPr>
          <w:p w:rsidR="00356BFC" w:rsidRPr="00806EA2" w:rsidRDefault="00356BFC" w:rsidP="008E3C29">
            <w:pPr>
              <w:pStyle w:val="Tabletext"/>
              <w:jc w:val="center"/>
            </w:pPr>
            <w:r w:rsidRPr="00806EA2">
              <w:t>34.2-34.7</w:t>
            </w:r>
            <w:r w:rsidRPr="00806EA2">
              <w:br/>
              <w:t>Earth-to-space</w:t>
            </w:r>
          </w:p>
        </w:tc>
        <w:tc>
          <w:tcPr>
            <w:tcW w:w="1105" w:type="dxa"/>
            <w:tcBorders>
              <w:left w:val="single" w:sz="6" w:space="0" w:color="auto"/>
              <w:right w:val="single" w:sz="6" w:space="0" w:color="auto"/>
            </w:tcBorders>
          </w:tcPr>
          <w:p w:rsidR="00356BFC" w:rsidRPr="00806EA2" w:rsidRDefault="00356BFC" w:rsidP="008E3C29">
            <w:pPr>
              <w:pStyle w:val="Tabletext"/>
              <w:jc w:val="center"/>
            </w:pPr>
            <w:r w:rsidRPr="00806EA2">
              <w:t>84</w:t>
            </w:r>
            <w:r w:rsidRPr="00806EA2">
              <w:rPr>
                <w:vertAlign w:val="superscript"/>
              </w:rPr>
              <w:t>(4)</w:t>
            </w:r>
          </w:p>
        </w:tc>
        <w:tc>
          <w:tcPr>
            <w:tcW w:w="1242" w:type="dxa"/>
            <w:tcBorders>
              <w:left w:val="single" w:sz="6" w:space="0" w:color="auto"/>
              <w:right w:val="single" w:sz="6" w:space="0" w:color="auto"/>
            </w:tcBorders>
          </w:tcPr>
          <w:p w:rsidR="00356BFC" w:rsidRPr="00806EA2" w:rsidRDefault="00356BFC" w:rsidP="008E3C29">
            <w:pPr>
              <w:pStyle w:val="Tabletext"/>
              <w:jc w:val="center"/>
            </w:pPr>
            <w:r w:rsidRPr="00806EA2">
              <w:t>0.01</w:t>
            </w:r>
            <w:r w:rsidRPr="00806EA2">
              <w:rPr>
                <w:vertAlign w:val="superscript"/>
              </w:rPr>
              <w:t>(4)</w:t>
            </w:r>
          </w:p>
        </w:tc>
        <w:tc>
          <w:tcPr>
            <w:tcW w:w="136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30</w:t>
            </w:r>
            <w:r w:rsidRPr="00806EA2">
              <w:rPr>
                <w:vertAlign w:val="superscript"/>
              </w:rPr>
              <w:t>(4)</w:t>
            </w:r>
          </w:p>
        </w:tc>
        <w:tc>
          <w:tcPr>
            <w:tcW w:w="1275"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114</w:t>
            </w:r>
            <w:r w:rsidRPr="00806EA2">
              <w:rPr>
                <w:vertAlign w:val="superscript"/>
              </w:rPr>
              <w:t>(4)</w:t>
            </w:r>
          </w:p>
        </w:tc>
        <w:tc>
          <w:tcPr>
            <w:tcW w:w="1341" w:type="dxa"/>
            <w:tcBorders>
              <w:left w:val="single" w:sz="6" w:space="0" w:color="auto"/>
              <w:bottom w:val="single" w:sz="6" w:space="0" w:color="auto"/>
              <w:right w:val="single" w:sz="6" w:space="0" w:color="auto"/>
            </w:tcBorders>
            <w:vAlign w:val="center"/>
          </w:tcPr>
          <w:p w:rsidR="00356BFC" w:rsidRPr="00806EA2" w:rsidRDefault="00356BFC" w:rsidP="008E3C29">
            <w:pPr>
              <w:pStyle w:val="Tabletext"/>
              <w:jc w:val="center"/>
            </w:pPr>
            <w:r w:rsidRPr="00806EA2">
              <w:t>–</w:t>
            </w:r>
          </w:p>
        </w:tc>
        <w:tc>
          <w:tcPr>
            <w:tcW w:w="1494" w:type="dxa"/>
            <w:tcBorders>
              <w:left w:val="single" w:sz="6" w:space="0" w:color="auto"/>
              <w:bottom w:val="single" w:sz="6" w:space="0" w:color="auto"/>
              <w:right w:val="single" w:sz="6" w:space="0" w:color="auto"/>
            </w:tcBorders>
            <w:vAlign w:val="center"/>
          </w:tcPr>
          <w:p w:rsidR="00356BFC" w:rsidRPr="00806EA2" w:rsidRDefault="00356BFC" w:rsidP="008E3C29">
            <w:pPr>
              <w:pStyle w:val="Tabletext"/>
              <w:jc w:val="center"/>
            </w:pPr>
            <w:r w:rsidRPr="00806EA2">
              <w:t>–</w:t>
            </w:r>
          </w:p>
        </w:tc>
      </w:tr>
      <w:tr w:rsidR="00356BFC" w:rsidRPr="00806EA2" w:rsidTr="008E3C29">
        <w:trPr>
          <w:cantSplit/>
          <w:trHeight w:val="407"/>
          <w:jc w:val="center"/>
        </w:trPr>
        <w:tc>
          <w:tcPr>
            <w:tcW w:w="9639" w:type="dxa"/>
            <w:gridSpan w:val="7"/>
            <w:tcBorders>
              <w:top w:val="single" w:sz="6" w:space="0" w:color="auto"/>
            </w:tcBorders>
          </w:tcPr>
          <w:p w:rsidR="00356BFC" w:rsidRPr="00356BFC" w:rsidRDefault="00356BFC" w:rsidP="00006B04">
            <w:pPr>
              <w:pStyle w:val="Tabletext"/>
              <w:rPr>
                <w:lang w:val="en-GB"/>
              </w:rPr>
            </w:pPr>
            <w:r w:rsidRPr="00356BFC">
              <w:rPr>
                <w:vertAlign w:val="superscript"/>
                <w:lang w:val="en-GB"/>
              </w:rPr>
              <w:t>(1)</w:t>
            </w:r>
            <w:r w:rsidRPr="00356BFC">
              <w:rPr>
                <w:lang w:val="en-GB"/>
              </w:rPr>
              <w:tab/>
              <w:t>56 dBW transmitter power used only during spacecraft emergencies.</w:t>
            </w:r>
          </w:p>
          <w:p w:rsidR="00356BFC" w:rsidRPr="00356BFC" w:rsidRDefault="00356BFC" w:rsidP="00006B04">
            <w:pPr>
              <w:pStyle w:val="Tabletext"/>
              <w:rPr>
                <w:lang w:val="en-GB"/>
              </w:rPr>
            </w:pPr>
            <w:r w:rsidRPr="00356BFC">
              <w:rPr>
                <w:vertAlign w:val="superscript"/>
                <w:lang w:val="en-GB"/>
              </w:rPr>
              <w:t>(2)</w:t>
            </w:r>
            <w:r w:rsidRPr="00356BFC">
              <w:rPr>
                <w:position w:val="6"/>
                <w:lang w:val="en-GB"/>
              </w:rPr>
              <w:tab/>
            </w:r>
            <w:r w:rsidRPr="00356BFC">
              <w:rPr>
                <w:lang w:val="en-GB"/>
              </w:rPr>
              <w:t>Clear weather, 30° elevation angle, duplex mode for simultaneous transmission and reception.</w:t>
            </w:r>
          </w:p>
          <w:p w:rsidR="00356BFC" w:rsidRPr="00356BFC" w:rsidRDefault="00356BFC" w:rsidP="00006B04">
            <w:pPr>
              <w:pStyle w:val="Tabletext"/>
              <w:rPr>
                <w:lang w:val="en-GB"/>
              </w:rPr>
            </w:pPr>
            <w:r w:rsidRPr="00356BFC">
              <w:rPr>
                <w:vertAlign w:val="superscript"/>
                <w:lang w:val="en-GB"/>
              </w:rPr>
              <w:t>(3)</w:t>
            </w:r>
            <w:r w:rsidRPr="00356BFC">
              <w:rPr>
                <w:position w:val="6"/>
                <w:lang w:val="en-GB"/>
              </w:rPr>
              <w:tab/>
            </w:r>
            <w:r w:rsidRPr="00356BFC">
              <w:rPr>
                <w:lang w:val="en-GB"/>
              </w:rPr>
              <w:t>Clear weather, 30° elevation angle, receive only.</w:t>
            </w:r>
          </w:p>
          <w:p w:rsidR="00356BFC" w:rsidRPr="00806EA2" w:rsidRDefault="00356BFC" w:rsidP="00006B04">
            <w:pPr>
              <w:pStyle w:val="Tabletext"/>
            </w:pPr>
            <w:r w:rsidRPr="00806EA2">
              <w:rPr>
                <w:vertAlign w:val="superscript"/>
              </w:rPr>
              <w:t>(4)</w:t>
            </w:r>
            <w:r w:rsidRPr="00806EA2">
              <w:tab/>
              <w:t>Estimate.</w:t>
            </w:r>
          </w:p>
        </w:tc>
      </w:tr>
    </w:tbl>
    <w:p w:rsidR="00356BFC" w:rsidRPr="00806EA2" w:rsidRDefault="00356BFC" w:rsidP="00356BFC">
      <w:pPr>
        <w:pStyle w:val="Tablefin"/>
      </w:pPr>
    </w:p>
    <w:p w:rsidR="00356BFC" w:rsidRPr="00356BFC" w:rsidRDefault="00356BFC" w:rsidP="00356BFC">
      <w:pPr>
        <w:rPr>
          <w:lang w:val="en-GB"/>
        </w:rPr>
      </w:pPr>
      <w:r w:rsidRPr="00356BFC">
        <w:rPr>
          <w:lang w:val="en-GB"/>
        </w:rPr>
        <w:t xml:space="preserve">The receiving performance of space research service (deep space) earth stations is usually specified in terms of the ratio of signal energy per bit-to-noise spectral density required to give a particular bit error rate. Another way to show the high performance and sensitivity of these stations is to express the ratio of antenna gain-to-noise temperature. This quotient, commonly referred to as </w:t>
      </w:r>
      <w:r w:rsidRPr="00356BFC">
        <w:rPr>
          <w:i/>
          <w:lang w:val="en-GB"/>
        </w:rPr>
        <w:t>G</w:t>
      </w:r>
      <w:r w:rsidRPr="00356BFC">
        <w:rPr>
          <w:lang w:val="en-GB"/>
        </w:rPr>
        <w:t>/</w:t>
      </w:r>
      <w:r w:rsidRPr="00356BFC">
        <w:rPr>
          <w:i/>
          <w:lang w:val="en-GB"/>
        </w:rPr>
        <w:t>T</w:t>
      </w:r>
      <w:r w:rsidRPr="00356BFC">
        <w:rPr>
          <w:lang w:val="en-GB"/>
        </w:rPr>
        <w:t>, is approximately 50 dB/(K) at 2.3 GHz, and 59.5 dB/(K) at 8.4 GHz. These values may be compared with the lower and typical 41 dB/(K) of some fixed satellite earth stations.</w:t>
      </w:r>
    </w:p>
    <w:p w:rsidR="00356BFC" w:rsidRPr="00356BFC" w:rsidRDefault="00356BFC" w:rsidP="00356BFC">
      <w:pPr>
        <w:pStyle w:val="Heading2"/>
        <w:rPr>
          <w:lang w:val="en-GB"/>
        </w:rPr>
      </w:pPr>
      <w:r w:rsidRPr="00356BFC">
        <w:rPr>
          <w:lang w:val="en-GB"/>
        </w:rPr>
        <w:t>3.2</w:t>
      </w:r>
      <w:r w:rsidRPr="00356BFC">
        <w:rPr>
          <w:lang w:val="en-GB"/>
        </w:rPr>
        <w:tab/>
        <w:t>Space stations</w:t>
      </w:r>
    </w:p>
    <w:p w:rsidR="00356BFC" w:rsidRPr="00356BFC" w:rsidRDefault="00356BFC" w:rsidP="00356BFC">
      <w:pPr>
        <w:rPr>
          <w:lang w:val="en-GB"/>
        </w:rPr>
      </w:pPr>
      <w:r w:rsidRPr="00356BFC">
        <w:rPr>
          <w:lang w:val="en-GB"/>
        </w:rPr>
        <w:t>Spacecraft size and weight are limited by the payload capability of the launch vehicle. The power of the space station transmitter and the size of the antenna are limited in comparison with those parameters at earth stations. The noise temperature of the receiver is higher because an uncooled preamplifier is generally used.</w:t>
      </w:r>
    </w:p>
    <w:p w:rsidR="00356BFC" w:rsidRPr="00356BFC" w:rsidRDefault="00356BFC" w:rsidP="00356BFC">
      <w:pPr>
        <w:rPr>
          <w:lang w:val="en-GB"/>
        </w:rPr>
      </w:pPr>
      <w:r w:rsidRPr="00356BFC">
        <w:rPr>
          <w:lang w:val="en-GB"/>
        </w:rPr>
        <w:t>The space station has a combined receiver-transmitter, called a transponder, which operates in one of two modes. In the turn-around (also called two-way) mode, the carrier signal received from an earth station is used to control the oscillator in a phase-locked signal loop. The frequency of this oscillator is then used to control the transmitter frequency of the transponder according to a fixed ratio. In the one-way mode, the spacecraft transmitter frequency is controlled by a crystal oscillator.</w:t>
      </w:r>
    </w:p>
    <w:p w:rsidR="00356BFC" w:rsidRPr="00356BFC" w:rsidRDefault="00356BFC" w:rsidP="00356BFC">
      <w:pPr>
        <w:rPr>
          <w:lang w:val="en-GB"/>
        </w:rPr>
      </w:pPr>
      <w:r w:rsidRPr="00356BFC">
        <w:rPr>
          <w:lang w:val="en-GB"/>
        </w:rPr>
        <w:t>In the two-way mode, the spacecraft transmitted frequency and phase is controlled very precisely because of the extreme accuracy and precision of the signal received from an earth station.</w:t>
      </w:r>
    </w:p>
    <w:p w:rsidR="00356BFC" w:rsidRPr="00356BFC" w:rsidRDefault="00356BFC" w:rsidP="00356BFC">
      <w:pPr>
        <w:rPr>
          <w:lang w:val="en-GB"/>
        </w:rPr>
      </w:pPr>
      <w:r w:rsidRPr="00356BFC">
        <w:rPr>
          <w:lang w:val="en-GB"/>
        </w:rPr>
        <w:t>Table 5 lists major characteristics that are typical of space stations designed for deep space research.</w:t>
      </w:r>
    </w:p>
    <w:p w:rsidR="00356BFC" w:rsidRPr="00356BFC" w:rsidRDefault="00356BFC" w:rsidP="00356BFC">
      <w:pPr>
        <w:pStyle w:val="TableNo"/>
        <w:rPr>
          <w:lang w:val="en-GB"/>
        </w:rPr>
      </w:pPr>
      <w:r w:rsidRPr="00356BFC">
        <w:rPr>
          <w:lang w:val="en-GB"/>
        </w:rPr>
        <w:t>TABLE 5</w:t>
      </w:r>
    </w:p>
    <w:p w:rsidR="00356BFC" w:rsidRPr="00356BFC" w:rsidRDefault="00356BFC" w:rsidP="00356BFC">
      <w:pPr>
        <w:pStyle w:val="Tabletitle"/>
        <w:rPr>
          <w:lang w:val="en-GB"/>
        </w:rPr>
      </w:pPr>
      <w:r w:rsidRPr="00356BFC">
        <w:rPr>
          <w:lang w:val="en-GB"/>
        </w:rPr>
        <w:t>Characteristics typical of space stations for deep space research</w:t>
      </w:r>
    </w:p>
    <w:tbl>
      <w:tblPr>
        <w:tblW w:w="9639" w:type="dxa"/>
        <w:jc w:val="center"/>
        <w:tblLayout w:type="fixed"/>
        <w:tblLook w:val="0000" w:firstRow="0" w:lastRow="0" w:firstColumn="0" w:lastColumn="0" w:noHBand="0" w:noVBand="0"/>
      </w:tblPr>
      <w:tblGrid>
        <w:gridCol w:w="1608"/>
        <w:gridCol w:w="1607"/>
        <w:gridCol w:w="1606"/>
        <w:gridCol w:w="1606"/>
        <w:gridCol w:w="1606"/>
        <w:gridCol w:w="1606"/>
      </w:tblGrid>
      <w:tr w:rsidR="00356BFC" w:rsidRPr="00356BFC" w:rsidTr="008E3C29">
        <w:trPr>
          <w:cantSplit/>
          <w:jc w:val="center"/>
        </w:trPr>
        <w:tc>
          <w:tcPr>
            <w:tcW w:w="1622" w:type="dxa"/>
            <w:tcBorders>
              <w:top w:val="single" w:sz="6" w:space="0" w:color="auto"/>
              <w:left w:val="single" w:sz="6" w:space="0" w:color="auto"/>
              <w:right w:val="single" w:sz="6" w:space="0" w:color="auto"/>
            </w:tcBorders>
          </w:tcPr>
          <w:p w:rsidR="00356BFC" w:rsidRPr="00356BFC" w:rsidRDefault="00356BFC" w:rsidP="008E3C29">
            <w:pPr>
              <w:pStyle w:val="Tablehead"/>
              <w:rPr>
                <w:lang w:val="en-GB"/>
              </w:rPr>
            </w:pPr>
            <w:r w:rsidRPr="00356BFC">
              <w:rPr>
                <w:lang w:val="en-GB"/>
              </w:rPr>
              <w:t>Earth-to-space</w:t>
            </w:r>
            <w:r w:rsidRPr="00356BFC">
              <w:rPr>
                <w:lang w:val="en-GB"/>
              </w:rPr>
              <w:br/>
              <w:t>frequency</w:t>
            </w:r>
            <w:r w:rsidRPr="00356BFC">
              <w:rPr>
                <w:lang w:val="en-GB"/>
              </w:rPr>
              <w:br/>
              <w:t>(GHz)</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w:t>
            </w:r>
            <w:r w:rsidRPr="00806EA2">
              <w:br/>
              <w:t>diameter</w:t>
            </w:r>
            <w:r w:rsidRPr="00806EA2">
              <w:br/>
              <w:t>(m)</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 gain</w:t>
            </w:r>
            <w:r w:rsidRPr="00806EA2">
              <w:br/>
              <w:t>(dBi)</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 beamwidth</w:t>
            </w:r>
            <w:r w:rsidRPr="00806EA2">
              <w:br/>
              <w:t>(degrees)</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Receiver noise</w:t>
            </w:r>
            <w:r w:rsidRPr="00806EA2">
              <w:br/>
              <w:t>temperature</w:t>
            </w:r>
            <w:r w:rsidRPr="00806EA2">
              <w:br/>
              <w:t>(K)</w:t>
            </w:r>
          </w:p>
        </w:tc>
        <w:tc>
          <w:tcPr>
            <w:tcW w:w="1621" w:type="dxa"/>
            <w:tcBorders>
              <w:top w:val="single" w:sz="6" w:space="0" w:color="auto"/>
              <w:left w:val="single" w:sz="6" w:space="0" w:color="auto"/>
              <w:right w:val="single" w:sz="6" w:space="0" w:color="auto"/>
            </w:tcBorders>
          </w:tcPr>
          <w:p w:rsidR="00356BFC" w:rsidRPr="00356BFC" w:rsidRDefault="00356BFC" w:rsidP="008E3C29">
            <w:pPr>
              <w:pStyle w:val="Tablehead"/>
              <w:rPr>
                <w:lang w:val="en-GB"/>
              </w:rPr>
            </w:pPr>
            <w:r w:rsidRPr="00356BFC">
              <w:rPr>
                <w:lang w:val="en-GB"/>
              </w:rPr>
              <w:t>Receiver noise</w:t>
            </w:r>
            <w:r w:rsidRPr="00356BFC">
              <w:rPr>
                <w:lang w:val="en-GB"/>
              </w:rPr>
              <w:br/>
              <w:t>spectral power</w:t>
            </w:r>
            <w:r w:rsidRPr="00356BFC">
              <w:rPr>
                <w:lang w:val="en-GB"/>
              </w:rPr>
              <w:br/>
              <w:t>density</w:t>
            </w:r>
            <w:r w:rsidRPr="00356BFC">
              <w:rPr>
                <w:lang w:val="en-GB"/>
              </w:rPr>
              <w:br/>
              <w:t>(dB(W/Hz))</w:t>
            </w:r>
          </w:p>
        </w:tc>
      </w:tr>
      <w:tr w:rsidR="00356BFC" w:rsidRPr="00806EA2" w:rsidTr="008E3C29">
        <w:trPr>
          <w:cantSplit/>
          <w:jc w:val="center"/>
        </w:trPr>
        <w:tc>
          <w:tcPr>
            <w:tcW w:w="1622"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2.110-2.120</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3.7</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36</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2.6</w:t>
            </w:r>
          </w:p>
        </w:tc>
        <w:tc>
          <w:tcPr>
            <w:tcW w:w="1621"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200</w:t>
            </w:r>
          </w:p>
        </w:tc>
        <w:tc>
          <w:tcPr>
            <w:tcW w:w="1621" w:type="dxa"/>
            <w:tcBorders>
              <w:top w:val="single" w:sz="6" w:space="0" w:color="auto"/>
              <w:left w:val="single" w:sz="6" w:space="0" w:color="auto"/>
              <w:right w:val="single" w:sz="6" w:space="0" w:color="auto"/>
            </w:tcBorders>
          </w:tcPr>
          <w:p w:rsidR="00356BFC" w:rsidRPr="00806EA2" w:rsidRDefault="00006B04" w:rsidP="008E3C29">
            <w:pPr>
              <w:pStyle w:val="Tabletext"/>
              <w:jc w:val="center"/>
            </w:pPr>
            <w:r>
              <w:t>−</w:t>
            </w:r>
            <w:r w:rsidR="00356BFC" w:rsidRPr="00806EA2">
              <w:t>206</w:t>
            </w:r>
          </w:p>
        </w:tc>
      </w:tr>
      <w:tr w:rsidR="00356BFC" w:rsidRPr="00806EA2" w:rsidTr="008E3C29">
        <w:trPr>
          <w:cantSplit/>
          <w:jc w:val="center"/>
        </w:trPr>
        <w:tc>
          <w:tcPr>
            <w:tcW w:w="1622" w:type="dxa"/>
            <w:tcBorders>
              <w:left w:val="single" w:sz="6" w:space="0" w:color="auto"/>
              <w:right w:val="single" w:sz="6" w:space="0" w:color="auto"/>
            </w:tcBorders>
          </w:tcPr>
          <w:p w:rsidR="00356BFC" w:rsidRPr="00806EA2" w:rsidRDefault="00356BFC" w:rsidP="008E3C29">
            <w:pPr>
              <w:pStyle w:val="Tabletext"/>
              <w:jc w:val="center"/>
            </w:pPr>
            <w:r w:rsidRPr="00806EA2">
              <w:t>7.145-7.190</w:t>
            </w:r>
          </w:p>
        </w:tc>
        <w:tc>
          <w:tcPr>
            <w:tcW w:w="1621" w:type="dxa"/>
            <w:tcBorders>
              <w:left w:val="single" w:sz="6" w:space="0" w:color="auto"/>
              <w:right w:val="single" w:sz="6" w:space="0" w:color="auto"/>
            </w:tcBorders>
          </w:tcPr>
          <w:p w:rsidR="00356BFC" w:rsidRPr="00806EA2" w:rsidRDefault="00356BFC" w:rsidP="008E3C29">
            <w:pPr>
              <w:pStyle w:val="Tabletext"/>
              <w:jc w:val="center"/>
            </w:pPr>
            <w:r w:rsidRPr="00806EA2">
              <w:t>3.7</w:t>
            </w:r>
          </w:p>
        </w:tc>
        <w:tc>
          <w:tcPr>
            <w:tcW w:w="1621" w:type="dxa"/>
            <w:tcBorders>
              <w:left w:val="single" w:sz="6" w:space="0" w:color="auto"/>
              <w:right w:val="single" w:sz="6" w:space="0" w:color="auto"/>
            </w:tcBorders>
          </w:tcPr>
          <w:p w:rsidR="00356BFC" w:rsidRPr="00806EA2" w:rsidRDefault="00356BFC" w:rsidP="008E3C29">
            <w:pPr>
              <w:pStyle w:val="Tabletext"/>
              <w:jc w:val="center"/>
            </w:pPr>
            <w:r w:rsidRPr="00806EA2">
              <w:t>48</w:t>
            </w:r>
          </w:p>
        </w:tc>
        <w:tc>
          <w:tcPr>
            <w:tcW w:w="1621" w:type="dxa"/>
            <w:tcBorders>
              <w:left w:val="single" w:sz="6" w:space="0" w:color="auto"/>
              <w:right w:val="single" w:sz="6" w:space="0" w:color="auto"/>
            </w:tcBorders>
          </w:tcPr>
          <w:p w:rsidR="00356BFC" w:rsidRPr="00806EA2" w:rsidRDefault="00356BFC" w:rsidP="008E3C29">
            <w:pPr>
              <w:pStyle w:val="Tabletext"/>
              <w:jc w:val="center"/>
            </w:pPr>
            <w:r w:rsidRPr="00806EA2">
              <w:t>0.64</w:t>
            </w:r>
          </w:p>
        </w:tc>
        <w:tc>
          <w:tcPr>
            <w:tcW w:w="1621" w:type="dxa"/>
            <w:tcBorders>
              <w:left w:val="single" w:sz="6" w:space="0" w:color="auto"/>
              <w:right w:val="single" w:sz="6" w:space="0" w:color="auto"/>
            </w:tcBorders>
          </w:tcPr>
          <w:p w:rsidR="00356BFC" w:rsidRPr="00806EA2" w:rsidRDefault="00356BFC" w:rsidP="008E3C29">
            <w:pPr>
              <w:pStyle w:val="Tabletext"/>
              <w:jc w:val="center"/>
            </w:pPr>
            <w:r w:rsidRPr="00806EA2">
              <w:t>330</w:t>
            </w:r>
          </w:p>
        </w:tc>
        <w:tc>
          <w:tcPr>
            <w:tcW w:w="1621" w:type="dxa"/>
            <w:tcBorders>
              <w:left w:val="single" w:sz="6" w:space="0" w:color="auto"/>
              <w:right w:val="single" w:sz="6" w:space="0" w:color="auto"/>
            </w:tcBorders>
          </w:tcPr>
          <w:p w:rsidR="00356BFC" w:rsidRPr="00806EA2" w:rsidRDefault="00006B04" w:rsidP="008E3C29">
            <w:pPr>
              <w:pStyle w:val="Tabletext"/>
              <w:jc w:val="center"/>
            </w:pPr>
            <w:r>
              <w:t>−</w:t>
            </w:r>
            <w:r w:rsidR="00356BFC" w:rsidRPr="00806EA2">
              <w:t>203</w:t>
            </w:r>
          </w:p>
        </w:tc>
      </w:tr>
      <w:tr w:rsidR="00356BFC" w:rsidRPr="00806EA2" w:rsidTr="008E3C29">
        <w:trPr>
          <w:cantSplit/>
          <w:jc w:val="center"/>
        </w:trPr>
        <w:tc>
          <w:tcPr>
            <w:tcW w:w="1622"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34.2-34.7</w:t>
            </w:r>
          </w:p>
        </w:tc>
        <w:tc>
          <w:tcPr>
            <w:tcW w:w="162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3.7</w:t>
            </w:r>
          </w:p>
        </w:tc>
        <w:tc>
          <w:tcPr>
            <w:tcW w:w="162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61</w:t>
            </w:r>
          </w:p>
        </w:tc>
        <w:tc>
          <w:tcPr>
            <w:tcW w:w="162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0.14</w:t>
            </w:r>
          </w:p>
        </w:tc>
        <w:tc>
          <w:tcPr>
            <w:tcW w:w="1621"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2 000</w:t>
            </w:r>
          </w:p>
        </w:tc>
        <w:tc>
          <w:tcPr>
            <w:tcW w:w="1621" w:type="dxa"/>
            <w:tcBorders>
              <w:left w:val="single" w:sz="6" w:space="0" w:color="auto"/>
              <w:bottom w:val="single" w:sz="6" w:space="0" w:color="auto"/>
              <w:right w:val="single" w:sz="6" w:space="0" w:color="auto"/>
            </w:tcBorders>
          </w:tcPr>
          <w:p w:rsidR="00356BFC" w:rsidRPr="00806EA2" w:rsidRDefault="00006B04" w:rsidP="008E3C29">
            <w:pPr>
              <w:pStyle w:val="Tabletext"/>
              <w:jc w:val="center"/>
            </w:pPr>
            <w:r>
              <w:t>−</w:t>
            </w:r>
            <w:r w:rsidR="00356BFC" w:rsidRPr="00806EA2">
              <w:t>196</w:t>
            </w:r>
          </w:p>
        </w:tc>
      </w:tr>
    </w:tbl>
    <w:p w:rsidR="00356BFC" w:rsidRPr="00806EA2" w:rsidRDefault="00356BFC" w:rsidP="00356BFC">
      <w:pPr>
        <w:rPr>
          <w:sz w:val="20"/>
        </w:rPr>
      </w:pPr>
    </w:p>
    <w:tbl>
      <w:tblPr>
        <w:tblW w:w="9639" w:type="dxa"/>
        <w:jc w:val="center"/>
        <w:tblLayout w:type="fixed"/>
        <w:tblLook w:val="0000" w:firstRow="0" w:lastRow="0" w:firstColumn="0" w:lastColumn="0" w:noHBand="0" w:noVBand="0"/>
      </w:tblPr>
      <w:tblGrid>
        <w:gridCol w:w="1608"/>
        <w:gridCol w:w="1607"/>
        <w:gridCol w:w="1606"/>
        <w:gridCol w:w="1606"/>
        <w:gridCol w:w="1606"/>
        <w:gridCol w:w="1606"/>
      </w:tblGrid>
      <w:tr w:rsidR="00356BFC" w:rsidRPr="00806EA2" w:rsidTr="008E3C29">
        <w:trPr>
          <w:cantSplit/>
          <w:jc w:val="center"/>
        </w:trPr>
        <w:tc>
          <w:tcPr>
            <w:tcW w:w="1608" w:type="dxa"/>
            <w:tcBorders>
              <w:top w:val="single" w:sz="6" w:space="0" w:color="auto"/>
              <w:left w:val="single" w:sz="6" w:space="0" w:color="auto"/>
              <w:right w:val="single" w:sz="6" w:space="0" w:color="auto"/>
            </w:tcBorders>
          </w:tcPr>
          <w:p w:rsidR="00356BFC" w:rsidRPr="00356BFC" w:rsidRDefault="00356BFC" w:rsidP="008E3C29">
            <w:pPr>
              <w:pStyle w:val="Tablehead"/>
              <w:rPr>
                <w:lang w:val="en-GB"/>
              </w:rPr>
            </w:pPr>
            <w:r w:rsidRPr="00356BFC">
              <w:rPr>
                <w:lang w:val="en-GB"/>
              </w:rPr>
              <w:t>Space-to-Earth</w:t>
            </w:r>
            <w:r w:rsidRPr="00356BFC">
              <w:rPr>
                <w:lang w:val="en-GB"/>
              </w:rPr>
              <w:br/>
              <w:t>frequency</w:t>
            </w:r>
            <w:r w:rsidRPr="00356BFC">
              <w:rPr>
                <w:lang w:val="en-GB"/>
              </w:rPr>
              <w:br/>
              <w:t>(GHz)</w:t>
            </w:r>
          </w:p>
        </w:tc>
        <w:tc>
          <w:tcPr>
            <w:tcW w:w="1607"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w:t>
            </w:r>
            <w:r w:rsidRPr="00806EA2">
              <w:br/>
              <w:t>diameter</w:t>
            </w:r>
            <w:r w:rsidRPr="00806EA2">
              <w:br/>
              <w:t>(m)</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 gain</w:t>
            </w:r>
            <w:r w:rsidRPr="00806EA2">
              <w:br/>
              <w:t>(dBi)</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Antenna beamwidth</w:t>
            </w:r>
            <w:r w:rsidRPr="00806EA2">
              <w:br/>
              <w:t>(degrees)</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Transmitter power</w:t>
            </w:r>
            <w:r w:rsidRPr="00806EA2">
              <w:br/>
              <w:t>(dBW)</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head"/>
            </w:pPr>
            <w:r w:rsidRPr="00806EA2">
              <w:t>e.i.r.p.</w:t>
            </w:r>
            <w:r w:rsidRPr="00806EA2">
              <w:br/>
              <w:t>(dBW)</w:t>
            </w:r>
          </w:p>
        </w:tc>
      </w:tr>
      <w:tr w:rsidR="00356BFC" w:rsidRPr="00806EA2" w:rsidTr="008E3C29">
        <w:trPr>
          <w:cantSplit/>
          <w:jc w:val="center"/>
        </w:trPr>
        <w:tc>
          <w:tcPr>
            <w:tcW w:w="1608"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2.290-2.300</w:t>
            </w:r>
          </w:p>
        </w:tc>
        <w:tc>
          <w:tcPr>
            <w:tcW w:w="1607"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3.7</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37</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2.3</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13</w:t>
            </w:r>
          </w:p>
        </w:tc>
        <w:tc>
          <w:tcPr>
            <w:tcW w:w="1606" w:type="dxa"/>
            <w:tcBorders>
              <w:top w:val="single" w:sz="6" w:space="0" w:color="auto"/>
              <w:left w:val="single" w:sz="6" w:space="0" w:color="auto"/>
              <w:right w:val="single" w:sz="6" w:space="0" w:color="auto"/>
            </w:tcBorders>
          </w:tcPr>
          <w:p w:rsidR="00356BFC" w:rsidRPr="00806EA2" w:rsidRDefault="00356BFC" w:rsidP="008E3C29">
            <w:pPr>
              <w:pStyle w:val="Tabletext"/>
              <w:jc w:val="center"/>
            </w:pPr>
            <w:r w:rsidRPr="00806EA2">
              <w:t>50</w:t>
            </w:r>
          </w:p>
        </w:tc>
      </w:tr>
      <w:tr w:rsidR="00356BFC" w:rsidRPr="00806EA2" w:rsidTr="008E3C29">
        <w:trPr>
          <w:cantSplit/>
          <w:jc w:val="center"/>
        </w:trPr>
        <w:tc>
          <w:tcPr>
            <w:tcW w:w="1608" w:type="dxa"/>
            <w:tcBorders>
              <w:left w:val="single" w:sz="6" w:space="0" w:color="auto"/>
              <w:right w:val="single" w:sz="6" w:space="0" w:color="auto"/>
            </w:tcBorders>
          </w:tcPr>
          <w:p w:rsidR="00356BFC" w:rsidRPr="00806EA2" w:rsidRDefault="00356BFC" w:rsidP="008E3C29">
            <w:pPr>
              <w:pStyle w:val="Tabletext"/>
              <w:jc w:val="center"/>
            </w:pPr>
            <w:r w:rsidRPr="00806EA2">
              <w:t>8.400-8.450</w:t>
            </w:r>
          </w:p>
        </w:tc>
        <w:tc>
          <w:tcPr>
            <w:tcW w:w="1607" w:type="dxa"/>
            <w:tcBorders>
              <w:left w:val="single" w:sz="6" w:space="0" w:color="auto"/>
              <w:right w:val="single" w:sz="6" w:space="0" w:color="auto"/>
            </w:tcBorders>
          </w:tcPr>
          <w:p w:rsidR="00356BFC" w:rsidRPr="00806EA2" w:rsidRDefault="00356BFC" w:rsidP="008E3C29">
            <w:pPr>
              <w:pStyle w:val="Tabletext"/>
              <w:jc w:val="center"/>
            </w:pPr>
            <w:r w:rsidRPr="00806EA2">
              <w:t>3.7</w:t>
            </w:r>
          </w:p>
        </w:tc>
        <w:tc>
          <w:tcPr>
            <w:tcW w:w="1606" w:type="dxa"/>
            <w:tcBorders>
              <w:left w:val="single" w:sz="6" w:space="0" w:color="auto"/>
              <w:right w:val="single" w:sz="6" w:space="0" w:color="auto"/>
            </w:tcBorders>
          </w:tcPr>
          <w:p w:rsidR="00356BFC" w:rsidRPr="00806EA2" w:rsidRDefault="00356BFC" w:rsidP="008E3C29">
            <w:pPr>
              <w:pStyle w:val="Tabletext"/>
              <w:jc w:val="center"/>
            </w:pPr>
            <w:r w:rsidRPr="00806EA2">
              <w:t>48</w:t>
            </w:r>
          </w:p>
        </w:tc>
        <w:tc>
          <w:tcPr>
            <w:tcW w:w="1606" w:type="dxa"/>
            <w:tcBorders>
              <w:left w:val="single" w:sz="6" w:space="0" w:color="auto"/>
              <w:right w:val="single" w:sz="6" w:space="0" w:color="auto"/>
            </w:tcBorders>
          </w:tcPr>
          <w:p w:rsidR="00356BFC" w:rsidRPr="00806EA2" w:rsidRDefault="00356BFC" w:rsidP="008E3C29">
            <w:pPr>
              <w:pStyle w:val="Tabletext"/>
              <w:jc w:val="center"/>
            </w:pPr>
            <w:r w:rsidRPr="00806EA2">
              <w:t>0.64</w:t>
            </w:r>
          </w:p>
        </w:tc>
        <w:tc>
          <w:tcPr>
            <w:tcW w:w="1606" w:type="dxa"/>
            <w:tcBorders>
              <w:left w:val="single" w:sz="6" w:space="0" w:color="auto"/>
              <w:right w:val="single" w:sz="6" w:space="0" w:color="auto"/>
            </w:tcBorders>
          </w:tcPr>
          <w:p w:rsidR="00356BFC" w:rsidRPr="00806EA2" w:rsidRDefault="00356BFC" w:rsidP="008E3C29">
            <w:pPr>
              <w:pStyle w:val="Tabletext"/>
              <w:jc w:val="center"/>
            </w:pPr>
            <w:r w:rsidRPr="00806EA2">
              <w:t>13</w:t>
            </w:r>
          </w:p>
        </w:tc>
        <w:tc>
          <w:tcPr>
            <w:tcW w:w="1606" w:type="dxa"/>
            <w:tcBorders>
              <w:left w:val="single" w:sz="6" w:space="0" w:color="auto"/>
              <w:right w:val="single" w:sz="6" w:space="0" w:color="auto"/>
            </w:tcBorders>
          </w:tcPr>
          <w:p w:rsidR="00356BFC" w:rsidRPr="00806EA2" w:rsidRDefault="00356BFC" w:rsidP="008E3C29">
            <w:pPr>
              <w:pStyle w:val="Tabletext"/>
              <w:jc w:val="center"/>
            </w:pPr>
            <w:r w:rsidRPr="00806EA2">
              <w:t>61</w:t>
            </w:r>
          </w:p>
        </w:tc>
      </w:tr>
      <w:tr w:rsidR="00356BFC" w:rsidRPr="00806EA2" w:rsidTr="008E3C29">
        <w:trPr>
          <w:cantSplit/>
          <w:jc w:val="center"/>
        </w:trPr>
        <w:tc>
          <w:tcPr>
            <w:tcW w:w="1608"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31.8-32.3</w:t>
            </w:r>
          </w:p>
        </w:tc>
        <w:tc>
          <w:tcPr>
            <w:tcW w:w="1607"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3.7</w:t>
            </w:r>
          </w:p>
        </w:tc>
        <w:tc>
          <w:tcPr>
            <w:tcW w:w="160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59.5</w:t>
            </w:r>
          </w:p>
        </w:tc>
        <w:tc>
          <w:tcPr>
            <w:tcW w:w="160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0.17</w:t>
            </w:r>
          </w:p>
        </w:tc>
        <w:tc>
          <w:tcPr>
            <w:tcW w:w="160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13</w:t>
            </w:r>
          </w:p>
        </w:tc>
        <w:tc>
          <w:tcPr>
            <w:tcW w:w="1606" w:type="dxa"/>
            <w:tcBorders>
              <w:left w:val="single" w:sz="6" w:space="0" w:color="auto"/>
              <w:bottom w:val="single" w:sz="6" w:space="0" w:color="auto"/>
              <w:right w:val="single" w:sz="6" w:space="0" w:color="auto"/>
            </w:tcBorders>
          </w:tcPr>
          <w:p w:rsidR="00356BFC" w:rsidRPr="00806EA2" w:rsidRDefault="00356BFC" w:rsidP="008E3C29">
            <w:pPr>
              <w:pStyle w:val="Tabletext"/>
              <w:jc w:val="center"/>
            </w:pPr>
            <w:r w:rsidRPr="00806EA2">
              <w:t>72.5</w:t>
            </w:r>
          </w:p>
        </w:tc>
      </w:tr>
    </w:tbl>
    <w:p w:rsidR="00356BFC" w:rsidRPr="00806EA2" w:rsidRDefault="00356BFC" w:rsidP="00006B04">
      <w:pPr>
        <w:pStyle w:val="Tablefin"/>
      </w:pPr>
    </w:p>
    <w:p w:rsidR="00356BFC" w:rsidRPr="00356BFC" w:rsidRDefault="00356BFC" w:rsidP="00356BFC">
      <w:pPr>
        <w:rPr>
          <w:lang w:val="en-GB"/>
        </w:rPr>
      </w:pPr>
      <w:r w:rsidRPr="00356BFC">
        <w:rPr>
          <w:lang w:val="en-GB"/>
        </w:rPr>
        <w:t>Because of the limited e.i.r.p. of space stations, the earth station must have the most sensitive receiver possible. Receivers with lower sensitivity may be used in space stations as a result of the very high e.i.r.p. of the earth station. Data rate requirements and considerations of size, weight, cost, complexity and reliability determines the receiver noise temperature needed for a particular spacecraft.</w:t>
      </w:r>
    </w:p>
    <w:p w:rsidR="00356BFC" w:rsidRPr="00356BFC" w:rsidRDefault="00356BFC" w:rsidP="00356BFC">
      <w:pPr>
        <w:rPr>
          <w:lang w:val="en-GB"/>
        </w:rPr>
      </w:pPr>
      <w:r w:rsidRPr="00356BFC">
        <w:rPr>
          <w:lang w:val="en-GB"/>
        </w:rPr>
        <w:t>The power of the space station transmitter is limited primarily by the electrical power that can be supplied by the spacecraft.</w:t>
      </w:r>
    </w:p>
    <w:p w:rsidR="00356BFC" w:rsidRPr="00356BFC" w:rsidRDefault="00356BFC" w:rsidP="00356BFC">
      <w:pPr>
        <w:pStyle w:val="Heading1"/>
        <w:rPr>
          <w:lang w:val="en-GB"/>
        </w:rPr>
      </w:pPr>
      <w:r w:rsidRPr="00356BFC">
        <w:rPr>
          <w:lang w:val="en-GB"/>
        </w:rPr>
        <w:t>4</w:t>
      </w:r>
      <w:r w:rsidRPr="00356BFC">
        <w:rPr>
          <w:lang w:val="en-GB"/>
        </w:rPr>
        <w:tab/>
        <w:t>Methods</w:t>
      </w:r>
      <w:r w:rsidRPr="00356BFC" w:rsidDel="00EF0CE6">
        <w:rPr>
          <w:lang w:val="en-GB"/>
        </w:rPr>
        <w:t xml:space="preserve"> </w:t>
      </w:r>
      <w:r w:rsidRPr="00356BFC">
        <w:rPr>
          <w:lang w:val="en-GB"/>
        </w:rPr>
        <w:t xml:space="preserve">deep space radiocommunication </w:t>
      </w:r>
    </w:p>
    <w:p w:rsidR="00356BFC" w:rsidRPr="00356BFC" w:rsidRDefault="00356BFC" w:rsidP="00356BFC">
      <w:pPr>
        <w:rPr>
          <w:lang w:val="en-GB"/>
        </w:rPr>
      </w:pPr>
      <w:r w:rsidRPr="00356BFC">
        <w:rPr>
          <w:lang w:val="en-GB"/>
        </w:rPr>
        <w:t>Telemetering and telecommand functions for deep space radiocommunications are typically accomplished by transmission of phase modulated carriers. Doppler tracking is done by phase coherent detection of the received carrier. By adding a ranging signal to the modulation, the ranging function may be performed.</w:t>
      </w:r>
    </w:p>
    <w:p w:rsidR="00356BFC" w:rsidRPr="00356BFC" w:rsidRDefault="00356BFC" w:rsidP="00356BFC">
      <w:pPr>
        <w:pStyle w:val="Heading2"/>
        <w:rPr>
          <w:lang w:val="en-GB"/>
        </w:rPr>
      </w:pPr>
      <w:r w:rsidRPr="00356BFC">
        <w:rPr>
          <w:lang w:val="en-GB"/>
        </w:rPr>
        <w:t>4.1</w:t>
      </w:r>
      <w:r w:rsidRPr="00356BFC">
        <w:rPr>
          <w:lang w:val="en-GB"/>
        </w:rPr>
        <w:tab/>
        <w:t>Carrier tracking and Doppler measurement</w:t>
      </w:r>
    </w:p>
    <w:p w:rsidR="00356BFC" w:rsidRPr="00356BFC" w:rsidRDefault="00356BFC" w:rsidP="00356BFC">
      <w:pPr>
        <w:rPr>
          <w:lang w:val="en-GB"/>
        </w:rPr>
      </w:pPr>
      <w:r w:rsidRPr="00356BFC">
        <w:rPr>
          <w:lang w:val="en-GB"/>
        </w:rPr>
        <w:t>As received on Earth, the frequency of a signal transmitted by the spacecraft is modified by the Doppler effect. The means to measure the Doppler shift, and hence the velocity of the spacecraft with respect to the earth station, is provided by carrier phase tracking. Earth and space station receivers track the carrier signal with a phase-locked loop or a Costas loop. In the two-way transponder mode, the frequency and phase in the space station phase-locked loop are used to develop one or more space-to-Earth frequencies. This provides signals to the earth station that are correlated with the Earth-to-space frequency, enabling precise Doppler measurements to be made.</w:t>
      </w:r>
    </w:p>
    <w:p w:rsidR="00356BFC" w:rsidRPr="00356BFC" w:rsidRDefault="00356BFC" w:rsidP="00356BFC">
      <w:pPr>
        <w:rPr>
          <w:lang w:val="en-GB"/>
        </w:rPr>
      </w:pPr>
      <w:r w:rsidRPr="00356BFC">
        <w:rPr>
          <w:lang w:val="en-GB"/>
        </w:rPr>
        <w:t xml:space="preserve">In the one-way mode, the space-to-Earth frequencies are derived from the oscillator in the transponder, and the Doppler measurement is based on </w:t>
      </w:r>
      <w:r w:rsidRPr="00356BFC">
        <w:rPr>
          <w:i/>
          <w:lang w:val="en-GB"/>
        </w:rPr>
        <w:t>a priori</w:t>
      </w:r>
      <w:r w:rsidRPr="00356BFC">
        <w:rPr>
          <w:lang w:val="en-GB"/>
        </w:rPr>
        <w:t xml:space="preserve"> knowledge of the oscillator frequency.</w:t>
      </w:r>
    </w:p>
    <w:p w:rsidR="00356BFC" w:rsidRPr="00356BFC" w:rsidRDefault="00356BFC" w:rsidP="00356BFC">
      <w:pPr>
        <w:pStyle w:val="Heading2"/>
        <w:rPr>
          <w:lang w:val="en-GB"/>
        </w:rPr>
      </w:pPr>
      <w:r w:rsidRPr="00356BFC">
        <w:rPr>
          <w:lang w:val="en-GB"/>
        </w:rPr>
        <w:t>4.2</w:t>
      </w:r>
      <w:r w:rsidRPr="00356BFC">
        <w:rPr>
          <w:lang w:val="en-GB"/>
        </w:rPr>
        <w:tab/>
        <w:t>Modulation and demodulation</w:t>
      </w:r>
    </w:p>
    <w:p w:rsidR="00356BFC" w:rsidRPr="00356BFC" w:rsidRDefault="00356BFC" w:rsidP="00356BFC">
      <w:pPr>
        <w:keepLines/>
        <w:rPr>
          <w:lang w:val="en-GB"/>
        </w:rPr>
      </w:pPr>
      <w:r w:rsidRPr="00356BFC">
        <w:rPr>
          <w:lang w:val="en-GB"/>
        </w:rPr>
        <w:t>The radio links use phase modulation of the radio-frequency carrier. The baseband digital data signal is used to modulate a subcarrier, which in turn phase modulates the radio-frequency carrier. A square wave sub-carrier is typically used for telemetering; for telecommand the sub-carrier is often sinusoidal. The modulation index is adjusted to provide a desired ratio of residual carrier power to data sideband power. This ratio is selected to provide optimum carrier tracking and data detection in the receiver.</w:t>
      </w:r>
    </w:p>
    <w:p w:rsidR="00356BFC" w:rsidRPr="00356BFC" w:rsidRDefault="00356BFC" w:rsidP="00356BFC">
      <w:pPr>
        <w:rPr>
          <w:lang w:val="en-GB"/>
        </w:rPr>
      </w:pPr>
      <w:r w:rsidRPr="00356BFC">
        <w:rPr>
          <w:lang w:val="en-GB"/>
        </w:rPr>
        <w:t>RF carrier and data sub-carrier demodulation is accomplished by phase-locked loops (PLLs). Data detection generally uses correlation and matched filter techniques.</w:t>
      </w:r>
    </w:p>
    <w:p w:rsidR="00356BFC" w:rsidRPr="00356BFC" w:rsidRDefault="00356BFC" w:rsidP="00356BFC">
      <w:pPr>
        <w:rPr>
          <w:lang w:val="en-GB"/>
        </w:rPr>
      </w:pPr>
      <w:r w:rsidRPr="00356BFC">
        <w:rPr>
          <w:lang w:val="en-GB"/>
        </w:rPr>
        <w:t>Video and audio links for manned missions may use other modulation and demodulation techniques. Typically, bandwidth-efficient (offset) QPSK and GMSK modulation and demodulation are used in these cases with carrier tracking accomplished via Costas loops instead of PLLs.</w:t>
      </w:r>
    </w:p>
    <w:p w:rsidR="00356BFC" w:rsidRPr="00356BFC" w:rsidRDefault="00356BFC" w:rsidP="00356BFC">
      <w:pPr>
        <w:pStyle w:val="Heading2"/>
        <w:rPr>
          <w:lang w:val="en-GB"/>
        </w:rPr>
      </w:pPr>
      <w:r w:rsidRPr="00356BFC">
        <w:rPr>
          <w:lang w:val="en-GB"/>
        </w:rPr>
        <w:t>4.3</w:t>
      </w:r>
      <w:r w:rsidRPr="00356BFC">
        <w:rPr>
          <w:lang w:val="en-GB"/>
        </w:rPr>
        <w:tab/>
        <w:t>Coding</w:t>
      </w:r>
    </w:p>
    <w:p w:rsidR="00356BFC" w:rsidRPr="00356BFC" w:rsidRDefault="00356BFC" w:rsidP="00006B04">
      <w:pPr>
        <w:rPr>
          <w:lang w:val="en-GB"/>
        </w:rPr>
      </w:pPr>
      <w:r w:rsidRPr="00356BFC">
        <w:rPr>
          <w:lang w:val="en-GB"/>
        </w:rPr>
        <w:t>In a digital telecommunication link, error probability can be reduced if the information bandwidth is increased. Coding accomplishes this increase by translating each data bit into a larger number of code symbols in a particular way. Some examples of coding types are block and convolutional codes. After transmission, the original data are recovered by a decoding process that is matched to the code type. The performance advantage of coded transmission is related to the wider bandwidth, and can vary from to 3.8 dB (convolutional coding, bit error ratio of 1 </w:t>
      </w:r>
      <w:r w:rsidRPr="00806EA2">
        <w:rPr>
          <w:rFonts w:ascii="Symbol" w:hAnsi="Symbol"/>
        </w:rPr>
        <w:t></w:t>
      </w:r>
      <w:r w:rsidRPr="00356BFC">
        <w:rPr>
          <w:lang w:val="en-GB"/>
        </w:rPr>
        <w:t> 10</w:t>
      </w:r>
      <w:r w:rsidR="00006B04">
        <w:rPr>
          <w:position w:val="6"/>
          <w:sz w:val="16"/>
          <w:lang w:val="en-GB"/>
        </w:rPr>
        <w:t>−</w:t>
      </w:r>
      <w:r w:rsidRPr="00356BFC">
        <w:rPr>
          <w:position w:val="6"/>
          <w:sz w:val="16"/>
          <w:lang w:val="en-GB"/>
        </w:rPr>
        <w:t>3</w:t>
      </w:r>
      <w:r w:rsidRPr="00356BFC">
        <w:rPr>
          <w:lang w:val="en-GB"/>
        </w:rPr>
        <w:t>) to more than 9 dB (rate 1/6 turbo coding).</w:t>
      </w:r>
    </w:p>
    <w:p w:rsidR="00356BFC" w:rsidRPr="00356BFC" w:rsidRDefault="00356BFC" w:rsidP="00356BFC">
      <w:pPr>
        <w:pStyle w:val="Heading2"/>
        <w:rPr>
          <w:lang w:val="en-GB"/>
        </w:rPr>
      </w:pPr>
      <w:r w:rsidRPr="00356BFC">
        <w:rPr>
          <w:lang w:val="en-GB"/>
        </w:rPr>
        <w:t>4.4</w:t>
      </w:r>
      <w:r w:rsidRPr="00356BFC">
        <w:rPr>
          <w:lang w:val="en-GB"/>
        </w:rPr>
        <w:tab/>
        <w:t>Multiplexing</w:t>
      </w:r>
    </w:p>
    <w:p w:rsidR="00356BFC" w:rsidRPr="00356BFC" w:rsidRDefault="00356BFC" w:rsidP="00356BFC">
      <w:pPr>
        <w:rPr>
          <w:lang w:val="en-GB"/>
        </w:rPr>
      </w:pPr>
      <w:r w:rsidRPr="00356BFC">
        <w:rPr>
          <w:lang w:val="en-GB"/>
        </w:rPr>
        <w:t>Science and maintenance telemetering may be combined into a single digital data stream by time division multiplexing; or may be on separate sub-carriers that are added to provide a composite modulating signal. A ranging signal may also be added in combination with telemetering or telecommand. The amplitude of the different data signals is adjusted to properly divide the transmitter power between the carrier and the information sidebands.</w:t>
      </w:r>
    </w:p>
    <w:p w:rsidR="00356BFC" w:rsidRPr="00356BFC" w:rsidRDefault="00356BFC" w:rsidP="00356BFC">
      <w:pPr>
        <w:pStyle w:val="Heading2"/>
        <w:rPr>
          <w:lang w:val="en-GB"/>
        </w:rPr>
      </w:pPr>
      <w:r w:rsidRPr="00356BFC">
        <w:rPr>
          <w:lang w:val="en-GB"/>
        </w:rPr>
        <w:t>4.5</w:t>
      </w:r>
      <w:r w:rsidRPr="00356BFC">
        <w:rPr>
          <w:lang w:val="en-GB"/>
        </w:rPr>
        <w:tab/>
        <w:t>Ranging</w:t>
      </w:r>
    </w:p>
    <w:p w:rsidR="00356BFC" w:rsidRPr="00356BFC" w:rsidRDefault="00356BFC" w:rsidP="00356BFC">
      <w:pPr>
        <w:rPr>
          <w:lang w:val="en-GB"/>
        </w:rPr>
      </w:pPr>
      <w:r w:rsidRPr="00356BFC">
        <w:rPr>
          <w:lang w:val="en-GB"/>
        </w:rPr>
        <w:t>Ranging is performed from an earth station using the space station transponder in the two-way mode. Ranging modulation on the Earth-to-space signal is recovered in the transponder and used to modulate the space-to-Earth carrier. At the earth station, comparison of the transmitted and received ranging codes yields a transmission delay measurement proportional to distance.</w:t>
      </w:r>
    </w:p>
    <w:p w:rsidR="00356BFC" w:rsidRPr="00356BFC" w:rsidRDefault="00356BFC" w:rsidP="00356BFC">
      <w:pPr>
        <w:rPr>
          <w:lang w:val="en-GB"/>
        </w:rPr>
      </w:pPr>
      <w:r w:rsidRPr="00356BFC">
        <w:rPr>
          <w:lang w:val="en-GB"/>
        </w:rPr>
        <w:t xml:space="preserve">A fundamental limitation to ranging precision is the ability to measure time correlation between the transmitted and received codes. The system currently in use employs a highest code frequency of 2.062 MHz. The code period is 0.485 </w:t>
      </w:r>
      <w:r w:rsidRPr="00806EA2">
        <w:rPr>
          <w:rFonts w:ascii="Symbol" w:hAnsi="Symbol"/>
        </w:rPr>
        <w:t></w:t>
      </w:r>
      <w:r w:rsidRPr="00356BFC">
        <w:rPr>
          <w:lang w:val="en-GB"/>
        </w:rPr>
        <w:t>s and resolution to 1 ns is readily achieved, assuming sufficient signal-to-noise ratio. This resolution is equivalent to 30 cm in a two-way path length, 15 cm in range. This meets the current navigation accuracy requirements of Table 2.</w:t>
      </w:r>
    </w:p>
    <w:p w:rsidR="00356BFC" w:rsidRPr="00356BFC" w:rsidRDefault="00356BFC" w:rsidP="00356BFC">
      <w:pPr>
        <w:rPr>
          <w:lang w:val="en-GB"/>
        </w:rPr>
      </w:pPr>
      <w:r w:rsidRPr="00356BFC">
        <w:rPr>
          <w:lang w:val="en-GB"/>
        </w:rPr>
        <w:t>For the 1 cm accuracy needed for radio science experiments (see § 2.3.2) a code frequency of at least 30 MHz is required. Current SRS deep space pseudo-noise (PN) ranging systems use a maximum chip rate of 24 MChip/s.</w:t>
      </w:r>
    </w:p>
    <w:p w:rsidR="00356BFC" w:rsidRPr="00356BFC" w:rsidRDefault="00356BFC" w:rsidP="00356BFC">
      <w:pPr>
        <w:pStyle w:val="Heading2"/>
        <w:rPr>
          <w:lang w:val="en-GB"/>
        </w:rPr>
      </w:pPr>
      <w:r w:rsidRPr="00356BFC">
        <w:rPr>
          <w:lang w:val="en-GB"/>
        </w:rPr>
        <w:t>4.6</w:t>
      </w:r>
      <w:r w:rsidRPr="00356BFC">
        <w:rPr>
          <w:lang w:val="en-GB"/>
        </w:rPr>
        <w:tab/>
        <w:t>Antenna gain and pointing</w:t>
      </w:r>
    </w:p>
    <w:p w:rsidR="00356BFC" w:rsidRPr="00356BFC" w:rsidRDefault="00356BFC" w:rsidP="00356BFC">
      <w:pPr>
        <w:rPr>
          <w:lang w:val="en-GB"/>
        </w:rPr>
      </w:pPr>
      <w:r w:rsidRPr="00356BFC">
        <w:rPr>
          <w:lang w:val="en-GB"/>
        </w:rPr>
        <w:t>For the parabolic antennas typically used in space research, the maximum gain is limited by the accuracy with which the surface approaches a true parabola. This latter limitation places a bound on the maximum frequency that may be effectively used with a particular antenna.</w:t>
      </w:r>
    </w:p>
    <w:p w:rsidR="00356BFC" w:rsidRPr="00356BFC" w:rsidRDefault="00356BFC" w:rsidP="00356BFC">
      <w:pPr>
        <w:rPr>
          <w:lang w:val="en-GB"/>
        </w:rPr>
      </w:pPr>
      <w:r w:rsidRPr="00356BFC">
        <w:rPr>
          <w:lang w:val="en-GB"/>
        </w:rPr>
        <w:t>One factor in surface accuracy, common to both earth and space station antennas, is manufacturing precision. For earth station antennas, additional surface deformation is caused by wind and thermal effects. As elevation angle is varied, gravity introduces distortion of the surface, depending on the stiffness of the supporting structure.</w:t>
      </w:r>
    </w:p>
    <w:p w:rsidR="00356BFC" w:rsidRPr="00356BFC" w:rsidRDefault="00356BFC" w:rsidP="00356BFC">
      <w:pPr>
        <w:rPr>
          <w:lang w:val="en-GB"/>
        </w:rPr>
      </w:pPr>
      <w:r w:rsidRPr="00356BFC">
        <w:rPr>
          <w:lang w:val="en-GB"/>
        </w:rPr>
        <w:t>For space station antennas, size is limited by permissible mass, by the space available in the launch vehicle, and by the state of the art in the construction of unfurlable antennas. Thermal effects cause distortion in space station antenna’s surfaces.</w:t>
      </w:r>
    </w:p>
    <w:p w:rsidR="00356BFC" w:rsidRPr="00356BFC" w:rsidRDefault="00356BFC" w:rsidP="00356BFC">
      <w:pPr>
        <w:rPr>
          <w:lang w:val="en-GB"/>
        </w:rPr>
      </w:pPr>
      <w:r w:rsidRPr="00356BFC">
        <w:rPr>
          <w:lang w:val="en-GB"/>
        </w:rPr>
        <w:t>The maximum usable gain of antennas is limited by the ability to point them accurately. The beamwidth must be adequate to allow for the angular uncertainty in pointing. All the factors that cause distortion of the reflector surface also affect pointing accuracy. The accuracy of the spacecraft attitude control system (often governed by the amount of propellant which can be carried) is a factor in space station antenna pointing.</w:t>
      </w:r>
    </w:p>
    <w:p w:rsidR="00356BFC" w:rsidRPr="00356BFC" w:rsidRDefault="00356BFC" w:rsidP="00356BFC">
      <w:pPr>
        <w:rPr>
          <w:lang w:val="en-GB"/>
        </w:rPr>
      </w:pPr>
      <w:r w:rsidRPr="00356BFC">
        <w:rPr>
          <w:lang w:val="en-GB"/>
        </w:rPr>
        <w:t>The precision with which the location of the earth and space stations are known with respect to each other affects the minimum usable beamwidth and the maximum usable gain.</w:t>
      </w:r>
    </w:p>
    <w:p w:rsidR="00356BFC" w:rsidRPr="00356BFC" w:rsidRDefault="00356BFC" w:rsidP="00356BFC">
      <w:pPr>
        <w:rPr>
          <w:lang w:val="en-GB"/>
        </w:rPr>
      </w:pPr>
      <w:r w:rsidRPr="00356BFC">
        <w:rPr>
          <w:lang w:val="en-GB"/>
        </w:rPr>
        <w:t>Table 6 shows typical limits on antenna performance.</w:t>
      </w:r>
    </w:p>
    <w:p w:rsidR="00356BFC" w:rsidRPr="00356BFC" w:rsidRDefault="00356BFC" w:rsidP="00356BFC">
      <w:pPr>
        <w:pStyle w:val="TableNo"/>
        <w:rPr>
          <w:lang w:val="en-GB"/>
        </w:rPr>
      </w:pPr>
      <w:r w:rsidRPr="00356BFC">
        <w:rPr>
          <w:lang w:val="en-GB"/>
        </w:rPr>
        <w:t>TABLE 6</w:t>
      </w:r>
    </w:p>
    <w:p w:rsidR="00356BFC" w:rsidRPr="00356BFC" w:rsidRDefault="00356BFC" w:rsidP="00356BFC">
      <w:pPr>
        <w:pStyle w:val="Tabletitle"/>
        <w:rPr>
          <w:lang w:val="en-GB"/>
        </w:rPr>
      </w:pPr>
      <w:r w:rsidRPr="00356BFC">
        <w:rPr>
          <w:lang w:val="en-GB"/>
        </w:rPr>
        <w:t>Current limitations on accuracy and maximum antenna gain</w:t>
      </w:r>
    </w:p>
    <w:tbl>
      <w:tblPr>
        <w:tblW w:w="9639" w:type="dxa"/>
        <w:jc w:val="center"/>
        <w:tblLayout w:type="fixed"/>
        <w:tblLook w:val="0000" w:firstRow="0" w:lastRow="0" w:firstColumn="0" w:lastColumn="0" w:noHBand="0" w:noVBand="0"/>
      </w:tblPr>
      <w:tblGrid>
        <w:gridCol w:w="1926"/>
        <w:gridCol w:w="1932"/>
        <w:gridCol w:w="1927"/>
        <w:gridCol w:w="1927"/>
        <w:gridCol w:w="1927"/>
      </w:tblGrid>
      <w:tr w:rsidR="00356BFC" w:rsidRPr="00806EA2" w:rsidTr="008E3C29">
        <w:trPr>
          <w:cantSplit/>
          <w:jc w:val="center"/>
        </w:trPr>
        <w:tc>
          <w:tcPr>
            <w:tcW w:w="1945" w:type="dxa"/>
            <w:tcBorders>
              <w:top w:val="single" w:sz="6" w:space="0" w:color="auto"/>
              <w:left w:val="single" w:sz="6" w:space="0" w:color="auto"/>
            </w:tcBorders>
          </w:tcPr>
          <w:p w:rsidR="00356BFC" w:rsidRPr="00356BFC" w:rsidRDefault="00356BFC" w:rsidP="008E3C29">
            <w:pPr>
              <w:pStyle w:val="Tablehead"/>
              <w:rPr>
                <w:lang w:val="en-GB"/>
              </w:rPr>
            </w:pPr>
          </w:p>
        </w:tc>
        <w:tc>
          <w:tcPr>
            <w:tcW w:w="3896" w:type="dxa"/>
            <w:gridSpan w:val="2"/>
            <w:tcBorders>
              <w:top w:val="single" w:sz="6" w:space="0" w:color="auto"/>
              <w:left w:val="single" w:sz="6" w:space="0" w:color="auto"/>
              <w:bottom w:val="single" w:sz="6" w:space="0" w:color="auto"/>
              <w:right w:val="single" w:sz="6" w:space="0" w:color="auto"/>
            </w:tcBorders>
          </w:tcPr>
          <w:p w:rsidR="00356BFC" w:rsidRPr="00806EA2" w:rsidRDefault="00356BFC" w:rsidP="008E3C29">
            <w:pPr>
              <w:pStyle w:val="Tablehead"/>
            </w:pPr>
            <w:r w:rsidRPr="00806EA2">
              <w:t>Space station antennas</w:t>
            </w:r>
          </w:p>
        </w:tc>
        <w:tc>
          <w:tcPr>
            <w:tcW w:w="3890" w:type="dxa"/>
            <w:gridSpan w:val="2"/>
            <w:tcBorders>
              <w:top w:val="single" w:sz="6" w:space="0" w:color="auto"/>
              <w:bottom w:val="single" w:sz="6" w:space="0" w:color="auto"/>
              <w:right w:val="single" w:sz="6" w:space="0" w:color="auto"/>
            </w:tcBorders>
          </w:tcPr>
          <w:p w:rsidR="00356BFC" w:rsidRPr="00806EA2" w:rsidRDefault="00356BFC" w:rsidP="008E3C29">
            <w:pPr>
              <w:pStyle w:val="Tablehead"/>
            </w:pPr>
            <w:r w:rsidRPr="00806EA2">
              <w:t>Earth station antennas</w:t>
            </w:r>
          </w:p>
        </w:tc>
      </w:tr>
      <w:tr w:rsidR="00356BFC" w:rsidRPr="00806EA2" w:rsidTr="008E3C29">
        <w:trPr>
          <w:cantSplit/>
          <w:jc w:val="center"/>
        </w:trPr>
        <w:tc>
          <w:tcPr>
            <w:tcW w:w="1945" w:type="dxa"/>
            <w:tcBorders>
              <w:left w:val="single" w:sz="6" w:space="0" w:color="auto"/>
              <w:bottom w:val="single" w:sz="6" w:space="0" w:color="auto"/>
            </w:tcBorders>
          </w:tcPr>
          <w:p w:rsidR="00356BFC" w:rsidRPr="00806EA2" w:rsidRDefault="00356BFC" w:rsidP="008E3C29">
            <w:pPr>
              <w:pStyle w:val="Tablehead"/>
            </w:pPr>
            <w:r w:rsidRPr="00806EA2">
              <w:t>Limiting parameter</w:t>
            </w:r>
          </w:p>
        </w:tc>
        <w:tc>
          <w:tcPr>
            <w:tcW w:w="1951" w:type="dxa"/>
            <w:tcBorders>
              <w:top w:val="single" w:sz="6" w:space="0" w:color="auto"/>
              <w:left w:val="single" w:sz="6" w:space="0" w:color="auto"/>
              <w:bottom w:val="single" w:sz="6" w:space="0" w:color="auto"/>
              <w:right w:val="single" w:sz="6" w:space="0" w:color="auto"/>
            </w:tcBorders>
          </w:tcPr>
          <w:p w:rsidR="00356BFC" w:rsidRPr="00356BFC" w:rsidRDefault="00356BFC" w:rsidP="008E3C29">
            <w:pPr>
              <w:pStyle w:val="Tablehead"/>
              <w:rPr>
                <w:lang w:val="en-GB"/>
              </w:rPr>
            </w:pPr>
            <w:r w:rsidRPr="00356BFC">
              <w:rPr>
                <w:lang w:val="en-GB"/>
              </w:rPr>
              <w:t>Typical maximum</w:t>
            </w:r>
            <w:r w:rsidRPr="00356BFC">
              <w:rPr>
                <w:lang w:val="en-GB"/>
              </w:rPr>
              <w:br/>
              <w:t>value of parameter</w:t>
            </w:r>
          </w:p>
        </w:tc>
        <w:tc>
          <w:tcPr>
            <w:tcW w:w="1945" w:type="dxa"/>
            <w:tcBorders>
              <w:top w:val="single" w:sz="6" w:space="0" w:color="auto"/>
              <w:bottom w:val="single" w:sz="6" w:space="0" w:color="auto"/>
              <w:right w:val="single" w:sz="6" w:space="0" w:color="auto"/>
            </w:tcBorders>
          </w:tcPr>
          <w:p w:rsidR="00356BFC" w:rsidRPr="00806EA2" w:rsidRDefault="00356BFC" w:rsidP="008E3C29">
            <w:pPr>
              <w:pStyle w:val="Tablehead"/>
            </w:pPr>
            <w:r w:rsidRPr="00806EA2">
              <w:t>Maximum gain</w:t>
            </w:r>
          </w:p>
        </w:tc>
        <w:tc>
          <w:tcPr>
            <w:tcW w:w="1945" w:type="dxa"/>
            <w:tcBorders>
              <w:top w:val="single" w:sz="6" w:space="0" w:color="auto"/>
              <w:bottom w:val="single" w:sz="6" w:space="0" w:color="auto"/>
              <w:right w:val="single" w:sz="6" w:space="0" w:color="auto"/>
            </w:tcBorders>
          </w:tcPr>
          <w:p w:rsidR="00356BFC" w:rsidRPr="00356BFC" w:rsidRDefault="00356BFC" w:rsidP="008E3C29">
            <w:pPr>
              <w:pStyle w:val="Tablehead"/>
              <w:rPr>
                <w:lang w:val="en-GB"/>
              </w:rPr>
            </w:pPr>
            <w:r w:rsidRPr="00356BFC">
              <w:rPr>
                <w:lang w:val="en-GB"/>
              </w:rPr>
              <w:t>Typical maximum</w:t>
            </w:r>
            <w:r w:rsidRPr="00356BFC">
              <w:rPr>
                <w:lang w:val="en-GB"/>
              </w:rPr>
              <w:br/>
              <w:t>value of parameter</w:t>
            </w:r>
          </w:p>
        </w:tc>
        <w:tc>
          <w:tcPr>
            <w:tcW w:w="1945" w:type="dxa"/>
            <w:tcBorders>
              <w:bottom w:val="single" w:sz="6" w:space="0" w:color="auto"/>
              <w:right w:val="single" w:sz="6" w:space="0" w:color="auto"/>
            </w:tcBorders>
          </w:tcPr>
          <w:p w:rsidR="00356BFC" w:rsidRPr="00806EA2" w:rsidRDefault="00356BFC" w:rsidP="008E3C29">
            <w:pPr>
              <w:pStyle w:val="Tablehead"/>
            </w:pPr>
            <w:r w:rsidRPr="00806EA2">
              <w:t>Maximum gain</w:t>
            </w:r>
          </w:p>
        </w:tc>
      </w:tr>
      <w:tr w:rsidR="00356BFC" w:rsidRPr="00806EA2" w:rsidTr="008E3C29">
        <w:trPr>
          <w:cantSplit/>
          <w:jc w:val="center"/>
        </w:trPr>
        <w:tc>
          <w:tcPr>
            <w:tcW w:w="1945" w:type="dxa"/>
            <w:tcBorders>
              <w:left w:val="single" w:sz="6" w:space="0" w:color="auto"/>
            </w:tcBorders>
          </w:tcPr>
          <w:p w:rsidR="00356BFC" w:rsidRPr="00806EA2" w:rsidRDefault="00356BFC" w:rsidP="00006B04">
            <w:pPr>
              <w:pStyle w:val="Tabletext"/>
              <w:jc w:val="left"/>
            </w:pPr>
            <w:r w:rsidRPr="00806EA2">
              <w:t>Accuracy of dish surface</w:t>
            </w:r>
          </w:p>
        </w:tc>
        <w:tc>
          <w:tcPr>
            <w:tcW w:w="1951" w:type="dxa"/>
            <w:tcBorders>
              <w:left w:val="single" w:sz="6" w:space="0" w:color="auto"/>
              <w:right w:val="single" w:sz="6" w:space="0" w:color="auto"/>
            </w:tcBorders>
          </w:tcPr>
          <w:p w:rsidR="00356BFC" w:rsidRPr="00356BFC" w:rsidRDefault="00356BFC" w:rsidP="008E3C29">
            <w:pPr>
              <w:pStyle w:val="Tabletext"/>
              <w:jc w:val="center"/>
              <w:rPr>
                <w:lang w:val="en-GB"/>
              </w:rPr>
            </w:pPr>
            <w:r w:rsidRPr="00356BFC">
              <w:rPr>
                <w:lang w:val="en-GB"/>
              </w:rPr>
              <w:t>0.24 mm r.m.s., 3.7 m dish</w:t>
            </w:r>
          </w:p>
        </w:tc>
        <w:tc>
          <w:tcPr>
            <w:tcW w:w="1945" w:type="dxa"/>
            <w:tcBorders>
              <w:right w:val="single" w:sz="6" w:space="0" w:color="auto"/>
            </w:tcBorders>
          </w:tcPr>
          <w:p w:rsidR="00356BFC" w:rsidRPr="00806EA2" w:rsidRDefault="00356BFC" w:rsidP="008E3C29">
            <w:pPr>
              <w:pStyle w:val="Tabletext"/>
              <w:jc w:val="center"/>
            </w:pPr>
            <w:r w:rsidRPr="00806EA2">
              <w:t>61 dBi</w:t>
            </w:r>
            <w:r w:rsidRPr="00806EA2">
              <w:rPr>
                <w:vertAlign w:val="superscript"/>
              </w:rPr>
              <w:t>(1)</w:t>
            </w:r>
            <w:r w:rsidRPr="00806EA2">
              <w:t xml:space="preserve"> at 34 GHz</w:t>
            </w:r>
          </w:p>
        </w:tc>
        <w:tc>
          <w:tcPr>
            <w:tcW w:w="1945" w:type="dxa"/>
            <w:tcBorders>
              <w:right w:val="single" w:sz="6" w:space="0" w:color="auto"/>
            </w:tcBorders>
          </w:tcPr>
          <w:p w:rsidR="00356BFC" w:rsidRPr="00356BFC" w:rsidRDefault="00356BFC" w:rsidP="008E3C29">
            <w:pPr>
              <w:pStyle w:val="Tabletext"/>
              <w:jc w:val="center"/>
              <w:rPr>
                <w:lang w:val="en-GB"/>
              </w:rPr>
            </w:pPr>
            <w:r w:rsidRPr="00356BFC">
              <w:rPr>
                <w:lang w:val="en-GB"/>
              </w:rPr>
              <w:t>0.53 mm r.m.s., 70 m dish</w:t>
            </w:r>
          </w:p>
        </w:tc>
        <w:tc>
          <w:tcPr>
            <w:tcW w:w="1945" w:type="dxa"/>
            <w:tcBorders>
              <w:right w:val="single" w:sz="6" w:space="0" w:color="auto"/>
            </w:tcBorders>
          </w:tcPr>
          <w:p w:rsidR="00356BFC" w:rsidRPr="00806EA2" w:rsidRDefault="00356BFC" w:rsidP="008E3C29">
            <w:pPr>
              <w:pStyle w:val="Tabletext"/>
              <w:jc w:val="center"/>
            </w:pPr>
            <w:r w:rsidRPr="00806EA2">
              <w:t>84 dBi</w:t>
            </w:r>
            <w:r w:rsidRPr="00806EA2">
              <w:rPr>
                <w:vertAlign w:val="superscript"/>
              </w:rPr>
              <w:t>(1)</w:t>
            </w:r>
            <w:r w:rsidRPr="00806EA2">
              <w:t xml:space="preserve"> at </w:t>
            </w:r>
            <w:r w:rsidRPr="00806EA2">
              <w:br/>
              <w:t>34 GHz</w:t>
            </w:r>
          </w:p>
        </w:tc>
      </w:tr>
      <w:tr w:rsidR="00356BFC" w:rsidRPr="00806EA2" w:rsidTr="008E3C29">
        <w:trPr>
          <w:cantSplit/>
          <w:jc w:val="center"/>
        </w:trPr>
        <w:tc>
          <w:tcPr>
            <w:tcW w:w="1945" w:type="dxa"/>
            <w:tcBorders>
              <w:left w:val="single" w:sz="6" w:space="0" w:color="auto"/>
            </w:tcBorders>
          </w:tcPr>
          <w:p w:rsidR="00356BFC" w:rsidRPr="00806EA2" w:rsidRDefault="00356BFC" w:rsidP="008E3C29">
            <w:pPr>
              <w:pStyle w:val="Tabletext"/>
            </w:pPr>
            <w:r w:rsidRPr="00806EA2">
              <w:t>Pointing accuracy</w:t>
            </w:r>
          </w:p>
        </w:tc>
        <w:tc>
          <w:tcPr>
            <w:tcW w:w="1951" w:type="dxa"/>
            <w:tcBorders>
              <w:left w:val="single" w:sz="6" w:space="0" w:color="auto"/>
              <w:right w:val="single" w:sz="6" w:space="0" w:color="auto"/>
            </w:tcBorders>
          </w:tcPr>
          <w:p w:rsidR="00356BFC" w:rsidRPr="00806EA2" w:rsidRDefault="00356BFC" w:rsidP="008E3C29">
            <w:pPr>
              <w:pStyle w:val="Tabletext"/>
              <w:jc w:val="center"/>
            </w:pPr>
            <w:r w:rsidRPr="00806EA2">
              <w:rPr>
                <w:rFonts w:ascii="Symbol" w:hAnsi="Symbol"/>
              </w:rPr>
              <w:t></w:t>
            </w:r>
            <w:r w:rsidRPr="00806EA2">
              <w:t xml:space="preserve"> 0.15° (3</w:t>
            </w:r>
            <w:r w:rsidRPr="00806EA2">
              <w:rPr>
                <w:rFonts w:ascii="Symbol" w:hAnsi="Symbol"/>
              </w:rPr>
              <w:t></w:t>
            </w:r>
            <w:r w:rsidRPr="00806EA2">
              <w:t>)</w:t>
            </w:r>
          </w:p>
        </w:tc>
        <w:tc>
          <w:tcPr>
            <w:tcW w:w="1945" w:type="dxa"/>
            <w:tcBorders>
              <w:right w:val="single" w:sz="6" w:space="0" w:color="auto"/>
            </w:tcBorders>
          </w:tcPr>
          <w:p w:rsidR="00356BFC" w:rsidRPr="00806EA2" w:rsidRDefault="00356BFC" w:rsidP="008E3C29">
            <w:pPr>
              <w:pStyle w:val="Tabletext"/>
              <w:jc w:val="center"/>
            </w:pPr>
            <w:r w:rsidRPr="00806EA2">
              <w:t>56 dBi</w:t>
            </w:r>
            <w:r w:rsidRPr="00806EA2">
              <w:rPr>
                <w:vertAlign w:val="superscript"/>
              </w:rPr>
              <w:t>(2)</w:t>
            </w:r>
          </w:p>
        </w:tc>
        <w:tc>
          <w:tcPr>
            <w:tcW w:w="1945" w:type="dxa"/>
            <w:tcBorders>
              <w:right w:val="single" w:sz="6" w:space="0" w:color="auto"/>
            </w:tcBorders>
          </w:tcPr>
          <w:p w:rsidR="00356BFC" w:rsidRPr="00806EA2" w:rsidRDefault="00356BFC" w:rsidP="008E3C29">
            <w:pPr>
              <w:pStyle w:val="Tabletext"/>
              <w:jc w:val="center"/>
            </w:pPr>
            <w:r w:rsidRPr="00806EA2">
              <w:rPr>
                <w:rFonts w:ascii="Symbol" w:hAnsi="Symbol"/>
              </w:rPr>
              <w:t></w:t>
            </w:r>
            <w:r w:rsidRPr="00806EA2">
              <w:t xml:space="preserve"> 0.005° (3</w:t>
            </w:r>
            <w:r w:rsidRPr="00806EA2">
              <w:rPr>
                <w:rFonts w:ascii="Symbol" w:hAnsi="Symbol"/>
              </w:rPr>
              <w:t></w:t>
            </w:r>
            <w:r w:rsidRPr="00806EA2">
              <w:t>)</w:t>
            </w:r>
          </w:p>
        </w:tc>
        <w:tc>
          <w:tcPr>
            <w:tcW w:w="1945" w:type="dxa"/>
            <w:tcBorders>
              <w:right w:val="single" w:sz="6" w:space="0" w:color="auto"/>
            </w:tcBorders>
          </w:tcPr>
          <w:p w:rsidR="00356BFC" w:rsidRPr="00806EA2" w:rsidRDefault="00356BFC" w:rsidP="008E3C29">
            <w:pPr>
              <w:pStyle w:val="Tabletext"/>
              <w:jc w:val="center"/>
            </w:pPr>
            <w:r w:rsidRPr="00806EA2">
              <w:t>82.5 dBi</w:t>
            </w:r>
            <w:r w:rsidRPr="00806EA2">
              <w:rPr>
                <w:vertAlign w:val="superscript"/>
              </w:rPr>
              <w:t>(2)</w:t>
            </w:r>
          </w:p>
        </w:tc>
      </w:tr>
      <w:tr w:rsidR="00356BFC" w:rsidRPr="00356BFC" w:rsidTr="008E3C29">
        <w:trPr>
          <w:cantSplit/>
          <w:jc w:val="center"/>
        </w:trPr>
        <w:tc>
          <w:tcPr>
            <w:tcW w:w="9731" w:type="dxa"/>
            <w:gridSpan w:val="5"/>
            <w:tcBorders>
              <w:top w:val="single" w:sz="6" w:space="0" w:color="auto"/>
            </w:tcBorders>
          </w:tcPr>
          <w:p w:rsidR="00356BFC" w:rsidRPr="00356BFC" w:rsidRDefault="00356BFC" w:rsidP="00006B04">
            <w:pPr>
              <w:pStyle w:val="Tabletext"/>
              <w:ind w:left="284" w:hanging="284"/>
              <w:rPr>
                <w:lang w:val="en-GB"/>
              </w:rPr>
            </w:pPr>
            <w:r w:rsidRPr="00356BFC">
              <w:rPr>
                <w:vertAlign w:val="superscript"/>
                <w:lang w:val="en-GB"/>
              </w:rPr>
              <w:t>(1)</w:t>
            </w:r>
            <w:r w:rsidRPr="00356BFC">
              <w:rPr>
                <w:lang w:val="en-GB"/>
              </w:rPr>
              <w:tab/>
              <w:t>Gain at other frequencies will be lower.</w:t>
            </w:r>
          </w:p>
          <w:p w:rsidR="00356BFC" w:rsidRPr="00356BFC" w:rsidRDefault="00356BFC" w:rsidP="00006B04">
            <w:pPr>
              <w:pStyle w:val="Tabletext"/>
              <w:ind w:left="284" w:hanging="284"/>
              <w:rPr>
                <w:lang w:val="en-GB"/>
              </w:rPr>
            </w:pPr>
            <w:r w:rsidRPr="00356BFC">
              <w:rPr>
                <w:vertAlign w:val="superscript"/>
                <w:lang w:val="en-GB"/>
              </w:rPr>
              <w:t>(2)</w:t>
            </w:r>
            <w:r w:rsidRPr="00356BFC">
              <w:rPr>
                <w:lang w:val="en-GB"/>
              </w:rPr>
              <w:tab/>
              <w:t>Gain of antenna with half power beamwidth equal to 2 times pointing accuracy. The beamwidth of an antenna with higher gain will be too narrow with respect to pointing accuracy.</w:t>
            </w:r>
          </w:p>
        </w:tc>
      </w:tr>
    </w:tbl>
    <w:p w:rsidR="00356BFC" w:rsidRPr="00806EA2" w:rsidRDefault="00356BFC" w:rsidP="00356BFC">
      <w:pPr>
        <w:pStyle w:val="Tablefin"/>
      </w:pPr>
    </w:p>
    <w:p w:rsidR="00356BFC" w:rsidRPr="00356BFC" w:rsidRDefault="00356BFC" w:rsidP="00356BFC">
      <w:pPr>
        <w:pStyle w:val="Heading2"/>
        <w:rPr>
          <w:lang w:val="en-GB"/>
        </w:rPr>
      </w:pPr>
      <w:r w:rsidRPr="00356BFC">
        <w:rPr>
          <w:lang w:val="en-GB"/>
        </w:rPr>
        <w:t>4.7</w:t>
      </w:r>
      <w:r w:rsidRPr="00356BFC">
        <w:rPr>
          <w:lang w:val="en-GB"/>
        </w:rPr>
        <w:tab/>
        <w:t>Additional radionavigation techniques</w:t>
      </w:r>
    </w:p>
    <w:p w:rsidR="00356BFC" w:rsidRPr="00356BFC" w:rsidRDefault="00356BFC" w:rsidP="00356BFC">
      <w:pPr>
        <w:rPr>
          <w:lang w:val="en-GB"/>
        </w:rPr>
      </w:pPr>
      <w:r w:rsidRPr="00356BFC">
        <w:rPr>
          <w:lang w:val="en-GB"/>
        </w:rPr>
        <w:t>Doppler and ranging measurements provide the basic tracking information needed for navigation. Additional techniques have been developed to enhance navigation accuracy.</w:t>
      </w:r>
    </w:p>
    <w:p w:rsidR="00356BFC" w:rsidRPr="00356BFC" w:rsidRDefault="00356BFC" w:rsidP="00356BFC">
      <w:pPr>
        <w:pStyle w:val="Heading3"/>
        <w:rPr>
          <w:lang w:val="en-GB"/>
        </w:rPr>
      </w:pPr>
      <w:r w:rsidRPr="00356BFC">
        <w:rPr>
          <w:lang w:val="en-GB"/>
        </w:rPr>
        <w:t>4.7.1</w:t>
      </w:r>
      <w:r w:rsidRPr="00356BFC">
        <w:rPr>
          <w:lang w:val="en-GB"/>
        </w:rPr>
        <w:tab/>
        <w:t>Calibration of the velocity of propagation as affected by charged particles</w:t>
      </w:r>
    </w:p>
    <w:p w:rsidR="00356BFC" w:rsidRPr="00356BFC" w:rsidRDefault="00356BFC" w:rsidP="00356BFC">
      <w:pPr>
        <w:rPr>
          <w:lang w:val="en-GB"/>
        </w:rPr>
      </w:pPr>
      <w:r w:rsidRPr="00356BFC">
        <w:rPr>
          <w:lang w:val="en-GB"/>
        </w:rPr>
        <w:t>Range and Doppler measurements are influenced by variations in the velocity of radio-wave propagation caused by free electrons along the transmission path. The electrons exist in varying densities in space and in planetary atmospheres, and are particularly dense near the Sun. Unless accounted for, these variations in propagation velocity can introduce errors in navigation calculations.</w:t>
      </w:r>
    </w:p>
    <w:p w:rsidR="00356BFC" w:rsidRPr="00356BFC" w:rsidRDefault="00356BFC" w:rsidP="00356BFC">
      <w:pPr>
        <w:rPr>
          <w:lang w:val="en-GB"/>
        </w:rPr>
      </w:pPr>
      <w:r w:rsidRPr="00356BFC">
        <w:rPr>
          <w:lang w:val="en-GB"/>
        </w:rPr>
        <w:t xml:space="preserve">The charged particles cause an increase in phase velocity and a decrease in group velocity. By comparing range change with integrated Doppler over a period of time, the charged particle effect may be determined. </w:t>
      </w:r>
    </w:p>
    <w:p w:rsidR="00356BFC" w:rsidRPr="00356BFC" w:rsidRDefault="00356BFC" w:rsidP="00356BFC">
      <w:pPr>
        <w:rPr>
          <w:lang w:val="en-GB"/>
        </w:rPr>
      </w:pPr>
      <w:r w:rsidRPr="00356BFC">
        <w:rPr>
          <w:lang w:val="en-GB"/>
        </w:rPr>
        <w:t xml:space="preserve">The effect on propagation velocity is inversely proportional to the square of the radio frequency. This frequency dependency may be used for additional calibration accuracy. Turnaround ranging and Doppler tracking can be performed with simultaneous space-to-Earth signals in two or more separate bands. The charged particle effects in the separate bands are different in magnitude, and this difference is used to improve the calibration. </w:t>
      </w:r>
    </w:p>
    <w:p w:rsidR="00356BFC" w:rsidRPr="00356BFC" w:rsidRDefault="00356BFC" w:rsidP="00356BFC">
      <w:pPr>
        <w:rPr>
          <w:lang w:val="en-GB"/>
        </w:rPr>
      </w:pPr>
      <w:r w:rsidRPr="00356BFC">
        <w:rPr>
          <w:lang w:val="en-GB"/>
        </w:rPr>
        <w:t>The effect of charged particles on phase and group velocity as well as on range measurement is given in Report ITU-R SA.2177.</w:t>
      </w:r>
    </w:p>
    <w:p w:rsidR="00356BFC" w:rsidRPr="00356BFC" w:rsidRDefault="00356BFC" w:rsidP="00356BFC">
      <w:pPr>
        <w:pStyle w:val="Heading3"/>
        <w:rPr>
          <w:lang w:val="en-GB"/>
        </w:rPr>
      </w:pPr>
      <w:r w:rsidRPr="00356BFC">
        <w:rPr>
          <w:lang w:val="en-GB"/>
        </w:rPr>
        <w:t>4.7.2</w:t>
      </w:r>
      <w:r w:rsidRPr="00356BFC">
        <w:rPr>
          <w:lang w:val="en-GB"/>
        </w:rPr>
        <w:tab/>
        <w:t>Very long baseline interferometry (VLBI)</w:t>
      </w:r>
    </w:p>
    <w:p w:rsidR="00356BFC" w:rsidRPr="00356BFC" w:rsidRDefault="00356BFC" w:rsidP="00356BFC">
      <w:pPr>
        <w:rPr>
          <w:lang w:val="en-GB"/>
        </w:rPr>
      </w:pPr>
      <w:r w:rsidRPr="00356BFC">
        <w:rPr>
          <w:lang w:val="en-GB"/>
        </w:rPr>
        <w:t>Accuracy of spacecraft navigation depends upon the precise knowledge of earth station location with respect to the navigation coordinate system. A 3 m error in the assumed station location can result in a 700 km error in the calculated position of a spacecraft at Saturn distance. VLBI provides a means of improving the estimate of station location by using a celestial radio source (quasar) as a signal source at an essentially unchanging point on the celestial sphere. It is possible to record the quasar signals in such a way as to determine, with great accuracy, the difference in time of reception at two widely separated stations. Using several of these measurements the station locations can be determined to a relative accuracy of 10 cm. Frequencies near 2, 8 and 32 GHz are used for VLBI at the present time.</w:t>
      </w:r>
    </w:p>
    <w:p w:rsidR="00356BFC" w:rsidRPr="00356BFC" w:rsidRDefault="00356BFC" w:rsidP="00356BFC">
      <w:pPr>
        <w:rPr>
          <w:lang w:val="en-GB"/>
        </w:rPr>
      </w:pPr>
      <w:r w:rsidRPr="00356BFC">
        <w:rPr>
          <w:lang w:val="en-GB"/>
        </w:rPr>
        <w:t>The VLBI technique is also used to measure directly the spacecraft declination angle. Two accurately located earth stations separated by a large north/south distance, measure the range to the spacecraft. The declination can then be calculated with great precision.</w:t>
      </w:r>
    </w:p>
    <w:p w:rsidR="00356BFC" w:rsidRPr="00356BFC" w:rsidRDefault="00356BFC" w:rsidP="00356BFC">
      <w:pPr>
        <w:rPr>
          <w:lang w:val="en-GB"/>
        </w:rPr>
      </w:pPr>
      <w:r w:rsidRPr="00356BFC">
        <w:rPr>
          <w:lang w:val="en-GB"/>
        </w:rPr>
        <w:t>A third application of the VLBI method, called DDOR, can be used to improve the accuracy of measurement of spacecraft angular position. Two or more earth stations alternately observe a spacecraft signal and a quasar signal. By knowing time, station location and the effect of Earth rotation on the received signals, the angular position of the spacecraft can be determined with respect to the celestial references. When fully developed the techniques will provide a 10-fold improvement over the current accuracy of 0.002 arc second (equivalent to 10 nrad). The improved accuracy will permit more precise navigation and, as a consequence, a more efficient planetary orbit insertion.</w:t>
      </w:r>
    </w:p>
    <w:p w:rsidR="00356BFC" w:rsidRPr="00356BFC" w:rsidRDefault="00356BFC" w:rsidP="00356BFC">
      <w:pPr>
        <w:pStyle w:val="Heading1"/>
        <w:rPr>
          <w:lang w:val="en-GB"/>
        </w:rPr>
      </w:pPr>
      <w:r w:rsidRPr="00356BFC">
        <w:rPr>
          <w:lang w:val="en-GB"/>
        </w:rPr>
        <w:t>5</w:t>
      </w:r>
      <w:r w:rsidRPr="00356BFC">
        <w:rPr>
          <w:lang w:val="en-GB"/>
        </w:rPr>
        <w:tab/>
        <w:t>Performance analysis and design margins</w:t>
      </w:r>
    </w:p>
    <w:p w:rsidR="00356BFC" w:rsidRPr="00356BFC" w:rsidRDefault="00356BFC" w:rsidP="00356BFC">
      <w:pPr>
        <w:rPr>
          <w:lang w:val="en-GB"/>
        </w:rPr>
      </w:pPr>
      <w:r w:rsidRPr="00356BFC">
        <w:rPr>
          <w:lang w:val="en-GB"/>
        </w:rPr>
        <w:t>Table 7 shows a link budget used for performance analysis. The example given is for high rate telemetering from Jupiter. Similar analysis for telecommand and ranging is performed. The earth and space station characteristics shown earlier are used as the basis for calculating a performance margin for each radiocommunication function.</w:t>
      </w:r>
    </w:p>
    <w:p w:rsidR="00356BFC" w:rsidRPr="00356BFC" w:rsidRDefault="00356BFC" w:rsidP="00356BFC">
      <w:pPr>
        <w:pStyle w:val="TableNo"/>
        <w:rPr>
          <w:lang w:val="en-GB"/>
        </w:rPr>
      </w:pPr>
      <w:r w:rsidRPr="00356BFC">
        <w:rPr>
          <w:lang w:val="en-GB"/>
        </w:rPr>
        <w:t>TABLE 7</w:t>
      </w:r>
    </w:p>
    <w:p w:rsidR="00356BFC" w:rsidRPr="00356BFC" w:rsidRDefault="00356BFC" w:rsidP="00356BFC">
      <w:pPr>
        <w:pStyle w:val="Tabletitle"/>
        <w:rPr>
          <w:lang w:val="en-GB"/>
        </w:rPr>
      </w:pPr>
      <w:r w:rsidRPr="00356BFC">
        <w:rPr>
          <w:lang w:val="en-GB"/>
        </w:rPr>
        <w:t>Performance budget, spacecraft-to-Earth from Jupiter</w:t>
      </w:r>
    </w:p>
    <w:tbl>
      <w:tblPr>
        <w:tblW w:w="9639" w:type="dxa"/>
        <w:jc w:val="center"/>
        <w:tblLayout w:type="fixed"/>
        <w:tblLook w:val="0000" w:firstRow="0" w:lastRow="0" w:firstColumn="0" w:lastColumn="0" w:noHBand="0" w:noVBand="0"/>
      </w:tblPr>
      <w:tblGrid>
        <w:gridCol w:w="7916"/>
        <w:gridCol w:w="1723"/>
      </w:tblGrid>
      <w:tr w:rsidR="00356BFC" w:rsidRPr="00806EA2" w:rsidTr="00006B04">
        <w:trPr>
          <w:cantSplit/>
          <w:jc w:val="center"/>
        </w:trPr>
        <w:tc>
          <w:tcPr>
            <w:tcW w:w="7552" w:type="dxa"/>
            <w:gridSpan w:val="2"/>
            <w:tcBorders>
              <w:top w:val="single" w:sz="6" w:space="0" w:color="auto"/>
              <w:left w:val="single" w:sz="6" w:space="0" w:color="auto"/>
              <w:right w:val="single" w:sz="6" w:space="0" w:color="auto"/>
            </w:tcBorders>
          </w:tcPr>
          <w:p w:rsidR="00356BFC" w:rsidRPr="00806EA2" w:rsidRDefault="00356BFC" w:rsidP="008E3C29">
            <w:pPr>
              <w:pStyle w:val="Tablehead"/>
            </w:pPr>
            <w:r w:rsidRPr="00806EA2">
              <w:t>Mission: Voyager Jupiter/Saturn 1977</w:t>
            </w:r>
          </w:p>
        </w:tc>
      </w:tr>
      <w:tr w:rsidR="00356BFC" w:rsidRPr="00356BFC" w:rsidTr="00006B04">
        <w:trPr>
          <w:cantSplit/>
          <w:jc w:val="center"/>
        </w:trPr>
        <w:tc>
          <w:tcPr>
            <w:tcW w:w="7552" w:type="dxa"/>
            <w:gridSpan w:val="2"/>
            <w:tcBorders>
              <w:left w:val="single" w:sz="6" w:space="0" w:color="auto"/>
              <w:bottom w:val="single" w:sz="6" w:space="0" w:color="auto"/>
              <w:right w:val="single" w:sz="6" w:space="0" w:color="auto"/>
            </w:tcBorders>
          </w:tcPr>
          <w:p w:rsidR="00356BFC" w:rsidRPr="00356BFC" w:rsidRDefault="00356BFC" w:rsidP="008E3C29">
            <w:pPr>
              <w:pStyle w:val="Tablehead"/>
              <w:rPr>
                <w:lang w:val="en-GB"/>
              </w:rPr>
            </w:pPr>
            <w:r w:rsidRPr="00356BFC">
              <w:rPr>
                <w:lang w:val="en-GB"/>
              </w:rPr>
              <w:t>Mode: Telemetering, 115.2 kbit/s, coded, 8.45 GHz carrier</w:t>
            </w:r>
          </w:p>
        </w:tc>
      </w:tr>
      <w:tr w:rsidR="00356BFC" w:rsidRPr="00806EA2" w:rsidTr="00006B04">
        <w:trPr>
          <w:cantSplit/>
          <w:jc w:val="center"/>
        </w:trPr>
        <w:tc>
          <w:tcPr>
            <w:tcW w:w="6202" w:type="dxa"/>
            <w:tcBorders>
              <w:top w:val="single" w:sz="6" w:space="0" w:color="auto"/>
              <w:left w:val="single" w:sz="6" w:space="0" w:color="auto"/>
              <w:right w:val="single" w:sz="6" w:space="0" w:color="auto"/>
            </w:tcBorders>
          </w:tcPr>
          <w:p w:rsidR="00356BFC" w:rsidRPr="00806EA2" w:rsidRDefault="00356BFC" w:rsidP="008E3C29">
            <w:pPr>
              <w:pStyle w:val="Tabletext"/>
              <w:keepNext/>
            </w:pPr>
            <w:r w:rsidRPr="00806EA2">
              <w:t>Transmitter parameters</w:t>
            </w:r>
          </w:p>
        </w:tc>
        <w:tc>
          <w:tcPr>
            <w:tcW w:w="1350" w:type="dxa"/>
            <w:tcBorders>
              <w:top w:val="single" w:sz="6" w:space="0" w:color="auto"/>
              <w:left w:val="single" w:sz="6" w:space="0" w:color="auto"/>
              <w:right w:val="single" w:sz="6" w:space="0" w:color="auto"/>
            </w:tcBorders>
          </w:tcPr>
          <w:p w:rsidR="00356BFC" w:rsidRPr="00806EA2" w:rsidRDefault="00356BFC" w:rsidP="008E3C29">
            <w:pPr>
              <w:pStyle w:val="Tabletext"/>
              <w:keepNext/>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RF power (21 W) (dBW)</w:t>
            </w:r>
          </w:p>
          <w:p w:rsidR="00356BFC" w:rsidRPr="00356BFC" w:rsidRDefault="00356BFC" w:rsidP="008E3C29">
            <w:pPr>
              <w:pStyle w:val="Tabletext"/>
              <w:keepNext/>
              <w:spacing w:before="0"/>
              <w:rPr>
                <w:lang w:val="en-GB"/>
              </w:rPr>
            </w:pPr>
            <w:r w:rsidRPr="00356BFC">
              <w:rPr>
                <w:lang w:val="en-GB"/>
              </w:rPr>
              <w:tab/>
              <w:t>Circuit loss (dB)</w:t>
            </w:r>
          </w:p>
          <w:p w:rsidR="00356BFC" w:rsidRPr="00356BFC" w:rsidRDefault="00356BFC" w:rsidP="008E3C29">
            <w:pPr>
              <w:pStyle w:val="Tabletext"/>
              <w:keepNext/>
              <w:spacing w:before="0"/>
              <w:rPr>
                <w:lang w:val="en-GB"/>
              </w:rPr>
            </w:pPr>
            <w:r w:rsidRPr="00356BFC">
              <w:rPr>
                <w:lang w:val="en-GB"/>
              </w:rPr>
              <w:tab/>
              <w:t>Antenna gain (3.7 m) (dBi)</w:t>
            </w:r>
          </w:p>
          <w:p w:rsidR="00356BFC" w:rsidRPr="00356BFC" w:rsidRDefault="00356BFC" w:rsidP="008E3C29">
            <w:pPr>
              <w:pStyle w:val="Tabletext"/>
              <w:keepNext/>
              <w:spacing w:before="0"/>
              <w:rPr>
                <w:lang w:val="en-GB"/>
              </w:rPr>
            </w:pPr>
            <w:r w:rsidRPr="00356BFC">
              <w:rPr>
                <w:lang w:val="en-GB"/>
              </w:rPr>
              <w:tab/>
              <w:t>Pointing loss (dB)</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rPr>
                <w:color w:val="FFFFFF"/>
              </w:rPr>
              <w:t>00</w:t>
            </w:r>
            <w:r w:rsidRPr="00806EA2">
              <w:rPr>
                <w:color w:val="000000"/>
              </w:rPr>
              <w:t>1</w:t>
            </w:r>
            <w:r w:rsidRPr="00806EA2">
              <w:t>3.2</w:t>
            </w:r>
          </w:p>
          <w:p w:rsidR="00356BFC" w:rsidRPr="00806EA2" w:rsidRDefault="00356BFC" w:rsidP="00BC391E">
            <w:pPr>
              <w:pStyle w:val="Tabletext"/>
              <w:keepNext/>
              <w:spacing w:before="0"/>
              <w:jc w:val="center"/>
            </w:pPr>
            <w:r w:rsidRPr="00806EA2">
              <w:rPr>
                <w:color w:val="FFFFFF"/>
              </w:rPr>
              <w:t>00</w:t>
            </w:r>
            <w:r w:rsidRPr="00806EA2">
              <w:t>–0.2</w:t>
            </w:r>
          </w:p>
          <w:p w:rsidR="00356BFC" w:rsidRPr="00806EA2" w:rsidRDefault="00356BFC" w:rsidP="00BC391E">
            <w:pPr>
              <w:pStyle w:val="Tabletext"/>
              <w:keepNext/>
              <w:spacing w:before="0"/>
              <w:jc w:val="center"/>
            </w:pPr>
            <w:r w:rsidRPr="00806EA2">
              <w:rPr>
                <w:color w:val="FFFFFF"/>
              </w:rPr>
              <w:t>00</w:t>
            </w:r>
            <w:r w:rsidRPr="00806EA2">
              <w:t>48.1</w:t>
            </w:r>
          </w:p>
          <w:p w:rsidR="00356BFC" w:rsidRPr="00806EA2" w:rsidRDefault="00356BFC" w:rsidP="00BC391E">
            <w:pPr>
              <w:pStyle w:val="Tabletext"/>
              <w:keepNext/>
              <w:spacing w:before="0"/>
              <w:jc w:val="center"/>
            </w:pPr>
            <w:r w:rsidRPr="00806EA2">
              <w:rPr>
                <w:color w:val="FFFFFF"/>
              </w:rPr>
              <w:t>00</w:t>
            </w:r>
            <w:r w:rsidRPr="00806EA2">
              <w:t>–0.2</w:t>
            </w:r>
          </w:p>
        </w:tc>
      </w:tr>
      <w:tr w:rsidR="00356BFC" w:rsidRPr="00806EA2" w:rsidTr="00006B04">
        <w:trPr>
          <w:cantSplit/>
          <w:jc w:val="center"/>
        </w:trPr>
        <w:tc>
          <w:tcPr>
            <w:tcW w:w="6202" w:type="dxa"/>
            <w:tcBorders>
              <w:top w:val="single" w:sz="6" w:space="0" w:color="auto"/>
              <w:left w:val="single" w:sz="6" w:space="0" w:color="auto"/>
              <w:right w:val="single" w:sz="6" w:space="0" w:color="auto"/>
            </w:tcBorders>
          </w:tcPr>
          <w:p w:rsidR="00356BFC" w:rsidRPr="00806EA2" w:rsidRDefault="00356BFC" w:rsidP="008E3C29">
            <w:pPr>
              <w:pStyle w:val="Tabletext"/>
              <w:keepNext/>
            </w:pPr>
            <w:r w:rsidRPr="00806EA2">
              <w:t>Path parameters</w:t>
            </w:r>
          </w:p>
        </w:tc>
        <w:tc>
          <w:tcPr>
            <w:tcW w:w="1350" w:type="dxa"/>
            <w:tcBorders>
              <w:top w:val="single" w:sz="6" w:space="0" w:color="auto"/>
              <w:left w:val="single" w:sz="6" w:space="0" w:color="auto"/>
              <w:right w:val="single" w:sz="6" w:space="0" w:color="auto"/>
            </w:tcBorders>
          </w:tcPr>
          <w:p w:rsidR="00356BFC" w:rsidRPr="00806EA2" w:rsidRDefault="00356BFC" w:rsidP="00BC391E">
            <w:pPr>
              <w:pStyle w:val="Tabletext"/>
              <w:keepNext/>
              <w:jc w:val="center"/>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Free space loss between isotropic antennas (dB)</w:t>
            </w:r>
          </w:p>
          <w:p w:rsidR="00356BFC" w:rsidRPr="00806EA2" w:rsidRDefault="00356BFC" w:rsidP="00BC391E">
            <w:pPr>
              <w:pStyle w:val="Tabletext"/>
              <w:keepNext/>
              <w:spacing w:before="0"/>
            </w:pPr>
            <w:r w:rsidRPr="00356BFC">
              <w:rPr>
                <w:lang w:val="en-GB"/>
              </w:rPr>
              <w:tab/>
            </w:r>
            <w:r w:rsidRPr="00806EA2">
              <w:t xml:space="preserve">(8.45 GHz, 9.3 </w:t>
            </w:r>
            <w:r w:rsidRPr="00806EA2">
              <w:rPr>
                <w:rFonts w:ascii="Symbol" w:hAnsi="Symbol"/>
              </w:rPr>
              <w:t></w:t>
            </w:r>
            <w:r w:rsidRPr="00806EA2">
              <w:t xml:space="preserve"> 10</w:t>
            </w:r>
            <w:r w:rsidR="00BC391E" w:rsidRPr="00BC391E">
              <w:rPr>
                <w:vertAlign w:val="superscript"/>
              </w:rPr>
              <w:t>8</w:t>
            </w:r>
            <w:r w:rsidRPr="00806EA2">
              <w:t xml:space="preserve"> km)</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t>–290.4</w:t>
            </w:r>
          </w:p>
        </w:tc>
      </w:tr>
      <w:tr w:rsidR="00356BFC" w:rsidRPr="00806EA2" w:rsidTr="00006B04">
        <w:trPr>
          <w:cantSplit/>
          <w:jc w:val="center"/>
        </w:trPr>
        <w:tc>
          <w:tcPr>
            <w:tcW w:w="6202" w:type="dxa"/>
            <w:tcBorders>
              <w:top w:val="single" w:sz="6" w:space="0" w:color="auto"/>
              <w:left w:val="single" w:sz="6" w:space="0" w:color="auto"/>
              <w:right w:val="single" w:sz="6" w:space="0" w:color="auto"/>
            </w:tcBorders>
          </w:tcPr>
          <w:p w:rsidR="00356BFC" w:rsidRPr="00806EA2" w:rsidRDefault="00356BFC" w:rsidP="008E3C29">
            <w:pPr>
              <w:pStyle w:val="Tabletext"/>
              <w:keepNext/>
            </w:pPr>
            <w:r w:rsidRPr="00806EA2">
              <w:t>Receiver parameters</w:t>
            </w:r>
          </w:p>
        </w:tc>
        <w:tc>
          <w:tcPr>
            <w:tcW w:w="1350" w:type="dxa"/>
            <w:tcBorders>
              <w:top w:val="single" w:sz="6" w:space="0" w:color="auto"/>
              <w:left w:val="single" w:sz="6" w:space="0" w:color="auto"/>
              <w:right w:val="single" w:sz="6" w:space="0" w:color="auto"/>
            </w:tcBorders>
          </w:tcPr>
          <w:p w:rsidR="00356BFC" w:rsidRPr="00806EA2" w:rsidRDefault="00356BFC" w:rsidP="00BC391E">
            <w:pPr>
              <w:pStyle w:val="Tabletext"/>
              <w:keepNext/>
              <w:jc w:val="center"/>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Antenna gain (64 m, 30° elevation angle) (dBi)</w:t>
            </w:r>
          </w:p>
          <w:p w:rsidR="00356BFC" w:rsidRPr="00356BFC" w:rsidRDefault="00356BFC" w:rsidP="008E3C29">
            <w:pPr>
              <w:pStyle w:val="Tabletext"/>
              <w:keepNext/>
              <w:spacing w:before="0"/>
              <w:rPr>
                <w:lang w:val="en-GB"/>
              </w:rPr>
            </w:pPr>
            <w:r w:rsidRPr="00356BFC">
              <w:rPr>
                <w:lang w:val="en-GB"/>
              </w:rPr>
              <w:tab/>
              <w:t>Pointing loss (dB)</w:t>
            </w:r>
          </w:p>
          <w:p w:rsidR="00356BFC" w:rsidRPr="00356BFC" w:rsidRDefault="00356BFC" w:rsidP="008E3C29">
            <w:pPr>
              <w:pStyle w:val="Tabletext"/>
              <w:keepNext/>
              <w:spacing w:before="0"/>
              <w:rPr>
                <w:lang w:val="en-GB"/>
              </w:rPr>
            </w:pPr>
            <w:r w:rsidRPr="00356BFC">
              <w:rPr>
                <w:lang w:val="en-GB"/>
              </w:rPr>
              <w:tab/>
              <w:t>Weather attenuation (dB)</w:t>
            </w:r>
          </w:p>
          <w:p w:rsidR="00356BFC" w:rsidRPr="00356BFC" w:rsidRDefault="00356BFC" w:rsidP="008E3C29">
            <w:pPr>
              <w:pStyle w:val="Tabletext"/>
              <w:keepNext/>
              <w:spacing w:before="0"/>
              <w:rPr>
                <w:lang w:val="en-GB"/>
              </w:rPr>
            </w:pPr>
            <w:r w:rsidRPr="00356BFC">
              <w:rPr>
                <w:lang w:val="en-GB"/>
              </w:rPr>
              <w:tab/>
              <w:t>System noise power spectral density (22.6 K) (dB(W/Hz))</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rPr>
                <w:color w:val="FFFFFF"/>
              </w:rPr>
              <w:t>00</w:t>
            </w:r>
            <w:r w:rsidRPr="00806EA2">
              <w:t>72.0</w:t>
            </w:r>
          </w:p>
          <w:p w:rsidR="00356BFC" w:rsidRPr="00806EA2" w:rsidRDefault="00356BFC" w:rsidP="00BC391E">
            <w:pPr>
              <w:pStyle w:val="Tabletext"/>
              <w:keepNext/>
              <w:spacing w:before="0"/>
              <w:jc w:val="center"/>
            </w:pPr>
            <w:r w:rsidRPr="00806EA2">
              <w:rPr>
                <w:color w:val="FFFFFF"/>
              </w:rPr>
              <w:t>00</w:t>
            </w:r>
            <w:r w:rsidRPr="00806EA2">
              <w:t>–0.3</w:t>
            </w:r>
          </w:p>
          <w:p w:rsidR="00356BFC" w:rsidRPr="00806EA2" w:rsidRDefault="00356BFC" w:rsidP="00BC391E">
            <w:pPr>
              <w:pStyle w:val="Tabletext"/>
              <w:keepNext/>
              <w:spacing w:before="0"/>
              <w:jc w:val="center"/>
            </w:pPr>
            <w:r w:rsidRPr="00806EA2">
              <w:rPr>
                <w:color w:val="FFFFFF"/>
              </w:rPr>
              <w:t>00</w:t>
            </w:r>
            <w:r w:rsidRPr="00806EA2">
              <w:t>–0.1</w:t>
            </w:r>
          </w:p>
          <w:p w:rsidR="00356BFC" w:rsidRPr="00806EA2" w:rsidRDefault="00356BFC" w:rsidP="00BC391E">
            <w:pPr>
              <w:pStyle w:val="Tabletext"/>
              <w:keepNext/>
              <w:spacing w:before="0"/>
              <w:jc w:val="center"/>
            </w:pPr>
            <w:r w:rsidRPr="00806EA2">
              <w:t>–215.1</w:t>
            </w:r>
          </w:p>
        </w:tc>
      </w:tr>
      <w:tr w:rsidR="00356BFC" w:rsidRPr="00806EA2" w:rsidTr="00006B04">
        <w:trPr>
          <w:cantSplit/>
          <w:jc w:val="center"/>
        </w:trPr>
        <w:tc>
          <w:tcPr>
            <w:tcW w:w="6202" w:type="dxa"/>
            <w:tcBorders>
              <w:top w:val="single" w:sz="6" w:space="0" w:color="auto"/>
              <w:left w:val="single" w:sz="6" w:space="0" w:color="auto"/>
              <w:right w:val="single" w:sz="6" w:space="0" w:color="auto"/>
            </w:tcBorders>
          </w:tcPr>
          <w:p w:rsidR="00356BFC" w:rsidRPr="00806EA2" w:rsidRDefault="00356BFC" w:rsidP="008E3C29">
            <w:pPr>
              <w:pStyle w:val="Tabletext"/>
              <w:keepNext/>
            </w:pPr>
            <w:r w:rsidRPr="00806EA2">
              <w:t>Total power summary</w:t>
            </w:r>
          </w:p>
        </w:tc>
        <w:tc>
          <w:tcPr>
            <w:tcW w:w="1350" w:type="dxa"/>
            <w:tcBorders>
              <w:top w:val="single" w:sz="6" w:space="0" w:color="auto"/>
              <w:left w:val="single" w:sz="6" w:space="0" w:color="auto"/>
              <w:right w:val="single" w:sz="6" w:space="0" w:color="auto"/>
            </w:tcBorders>
          </w:tcPr>
          <w:p w:rsidR="00356BFC" w:rsidRPr="00806EA2" w:rsidRDefault="00356BFC" w:rsidP="00BC391E">
            <w:pPr>
              <w:pStyle w:val="Tabletext"/>
              <w:keepNext/>
              <w:jc w:val="center"/>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Link loss (dB)</w:t>
            </w:r>
          </w:p>
          <w:p w:rsidR="00356BFC" w:rsidRPr="00356BFC" w:rsidRDefault="00356BFC" w:rsidP="008E3C29">
            <w:pPr>
              <w:pStyle w:val="Tabletext"/>
              <w:keepNext/>
              <w:spacing w:before="0"/>
              <w:rPr>
                <w:lang w:val="en-GB"/>
              </w:rPr>
            </w:pPr>
            <w:r w:rsidRPr="00356BFC">
              <w:rPr>
                <w:lang w:val="en-GB"/>
              </w:rPr>
              <w:tab/>
              <w:t xml:space="preserve">Received power </w:t>
            </w:r>
            <w:r w:rsidRPr="00356BFC">
              <w:rPr>
                <w:i/>
                <w:lang w:val="en-GB"/>
              </w:rPr>
              <w:t>P</w:t>
            </w:r>
            <w:r w:rsidRPr="00356BFC">
              <w:rPr>
                <w:lang w:val="en-GB"/>
              </w:rPr>
              <w:t>(</w:t>
            </w:r>
            <w:r w:rsidRPr="00356BFC">
              <w:rPr>
                <w:i/>
                <w:lang w:val="en-GB"/>
              </w:rPr>
              <w:t>T</w:t>
            </w:r>
            <w:r w:rsidRPr="00356BFC">
              <w:rPr>
                <w:lang w:val="en-GB"/>
              </w:rPr>
              <w:t>) (dBW)</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t>–171.1</w:t>
            </w:r>
          </w:p>
          <w:p w:rsidR="00356BFC" w:rsidRPr="00806EA2" w:rsidRDefault="00356BFC" w:rsidP="00BC391E">
            <w:pPr>
              <w:pStyle w:val="Tabletext"/>
              <w:keepNext/>
              <w:spacing w:before="0"/>
              <w:jc w:val="center"/>
            </w:pPr>
            <w:r w:rsidRPr="00806EA2">
              <w:t>–157.9</w:t>
            </w:r>
          </w:p>
        </w:tc>
      </w:tr>
      <w:tr w:rsidR="00356BFC" w:rsidRPr="00356BFC" w:rsidTr="00006B04">
        <w:trPr>
          <w:cantSplit/>
          <w:jc w:val="center"/>
        </w:trPr>
        <w:tc>
          <w:tcPr>
            <w:tcW w:w="6202" w:type="dxa"/>
            <w:tcBorders>
              <w:top w:val="single" w:sz="6" w:space="0" w:color="auto"/>
              <w:left w:val="single" w:sz="6" w:space="0" w:color="auto"/>
              <w:right w:val="single" w:sz="6" w:space="0" w:color="auto"/>
            </w:tcBorders>
          </w:tcPr>
          <w:p w:rsidR="00356BFC" w:rsidRPr="00356BFC" w:rsidRDefault="00356BFC" w:rsidP="008E3C29">
            <w:pPr>
              <w:pStyle w:val="Tabletext"/>
              <w:keepNext/>
              <w:rPr>
                <w:lang w:val="en-GB"/>
              </w:rPr>
            </w:pPr>
            <w:r w:rsidRPr="00356BFC">
              <w:rPr>
                <w:lang w:val="en-GB"/>
              </w:rPr>
              <w:t>Carrier tracking performance (two-way)</w:t>
            </w:r>
          </w:p>
        </w:tc>
        <w:tc>
          <w:tcPr>
            <w:tcW w:w="1350" w:type="dxa"/>
            <w:tcBorders>
              <w:top w:val="single" w:sz="6" w:space="0" w:color="auto"/>
              <w:left w:val="single" w:sz="6" w:space="0" w:color="auto"/>
              <w:right w:val="single" w:sz="6" w:space="0" w:color="auto"/>
            </w:tcBorders>
          </w:tcPr>
          <w:p w:rsidR="00356BFC" w:rsidRPr="00356BFC" w:rsidRDefault="00356BFC" w:rsidP="00BC391E">
            <w:pPr>
              <w:pStyle w:val="Tabletext"/>
              <w:keepNext/>
              <w:jc w:val="center"/>
              <w:rPr>
                <w:lang w:val="en-GB"/>
              </w:rPr>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Carrier power/total power (dB)</w:t>
            </w:r>
          </w:p>
          <w:p w:rsidR="00356BFC" w:rsidRPr="00356BFC" w:rsidRDefault="00356BFC" w:rsidP="008E3C29">
            <w:pPr>
              <w:pStyle w:val="Tabletext"/>
              <w:keepNext/>
              <w:spacing w:before="0"/>
              <w:rPr>
                <w:lang w:val="en-GB"/>
              </w:rPr>
            </w:pPr>
            <w:r w:rsidRPr="00356BFC">
              <w:rPr>
                <w:lang w:val="en-GB"/>
              </w:rPr>
              <w:tab/>
              <w:t>Received carrier power (dBW)</w:t>
            </w:r>
          </w:p>
          <w:p w:rsidR="00356BFC" w:rsidRPr="00356BFC" w:rsidRDefault="00356BFC" w:rsidP="008E3C29">
            <w:pPr>
              <w:pStyle w:val="Tabletext"/>
              <w:keepNext/>
              <w:spacing w:before="0"/>
              <w:rPr>
                <w:lang w:val="en-GB"/>
              </w:rPr>
            </w:pPr>
            <w:r w:rsidRPr="00356BFC">
              <w:rPr>
                <w:lang w:val="en-GB"/>
              </w:rPr>
              <w:tab/>
              <w:t>Carrier threshold noise bandwidth (</w:t>
            </w:r>
            <w:r w:rsidRPr="00356BFC">
              <w:rPr>
                <w:i/>
                <w:lang w:val="en-GB"/>
              </w:rPr>
              <w:t>B</w:t>
            </w:r>
            <w:r w:rsidRPr="00356BFC">
              <w:rPr>
                <w:lang w:val="en-GB"/>
              </w:rPr>
              <w:t xml:space="preserve"> </w:t>
            </w:r>
            <w:r w:rsidRPr="00806EA2">
              <w:rPr>
                <w:rFonts w:ascii="Symbol" w:hAnsi="Symbol"/>
                <w:smallCaps/>
              </w:rPr>
              <w:t></w:t>
            </w:r>
            <w:r w:rsidRPr="00356BFC">
              <w:rPr>
                <w:lang w:val="en-GB"/>
              </w:rPr>
              <w:t xml:space="preserve"> 10 Hz) (10 log </w:t>
            </w:r>
            <w:r w:rsidRPr="00356BFC">
              <w:rPr>
                <w:i/>
                <w:lang w:val="en-GB"/>
              </w:rPr>
              <w:t>B</w:t>
            </w:r>
            <w:r w:rsidRPr="00356BFC">
              <w:rPr>
                <w:lang w:val="en-GB"/>
              </w:rPr>
              <w:t>)</w:t>
            </w:r>
          </w:p>
          <w:p w:rsidR="00356BFC" w:rsidRPr="00356BFC" w:rsidRDefault="00356BFC" w:rsidP="008E3C29">
            <w:pPr>
              <w:pStyle w:val="Tabletext"/>
              <w:keepNext/>
              <w:spacing w:before="0"/>
              <w:rPr>
                <w:lang w:val="en-GB"/>
              </w:rPr>
            </w:pPr>
            <w:r w:rsidRPr="00356BFC">
              <w:rPr>
                <w:lang w:val="en-GB"/>
              </w:rPr>
              <w:tab/>
              <w:t>Noise power (dBW)</w:t>
            </w:r>
          </w:p>
          <w:p w:rsidR="00356BFC" w:rsidRPr="00356BFC" w:rsidRDefault="00356BFC" w:rsidP="008E3C29">
            <w:pPr>
              <w:pStyle w:val="Tabletext"/>
              <w:keepNext/>
              <w:spacing w:before="0"/>
              <w:rPr>
                <w:lang w:val="en-GB"/>
              </w:rPr>
            </w:pPr>
            <w:r w:rsidRPr="00356BFC">
              <w:rPr>
                <w:lang w:val="en-GB"/>
              </w:rPr>
              <w:tab/>
              <w:t>Threshold signal/noise (dB)</w:t>
            </w:r>
          </w:p>
          <w:p w:rsidR="00356BFC" w:rsidRPr="00356BFC" w:rsidRDefault="00356BFC" w:rsidP="008E3C29">
            <w:pPr>
              <w:pStyle w:val="Tabletext"/>
              <w:keepNext/>
              <w:spacing w:before="0"/>
              <w:rPr>
                <w:lang w:val="en-GB"/>
              </w:rPr>
            </w:pPr>
            <w:r w:rsidRPr="00356BFC">
              <w:rPr>
                <w:lang w:val="en-GB"/>
              </w:rPr>
              <w:tab/>
              <w:t>Threshold carrier power (dBW)</w:t>
            </w:r>
          </w:p>
          <w:p w:rsidR="00356BFC" w:rsidRPr="00356BFC" w:rsidRDefault="00356BFC" w:rsidP="008E3C29">
            <w:pPr>
              <w:pStyle w:val="Tabletext"/>
              <w:keepNext/>
              <w:spacing w:before="0"/>
              <w:rPr>
                <w:lang w:val="en-GB"/>
              </w:rPr>
            </w:pPr>
            <w:r w:rsidRPr="00356BFC">
              <w:rPr>
                <w:lang w:val="en-GB"/>
              </w:rPr>
              <w:tab/>
              <w:t>Performance margin (dB)</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rPr>
                <w:color w:val="FFFFFF"/>
              </w:rPr>
              <w:t>0</w:t>
            </w:r>
            <w:r w:rsidRPr="00806EA2">
              <w:t>–15.4</w:t>
            </w:r>
          </w:p>
          <w:p w:rsidR="00356BFC" w:rsidRPr="00806EA2" w:rsidRDefault="00356BFC" w:rsidP="00BC391E">
            <w:pPr>
              <w:pStyle w:val="Tabletext"/>
              <w:keepNext/>
              <w:spacing w:before="0"/>
              <w:jc w:val="center"/>
            </w:pPr>
            <w:r w:rsidRPr="00806EA2">
              <w:t>–173.3</w:t>
            </w:r>
          </w:p>
          <w:p w:rsidR="00356BFC" w:rsidRPr="00806EA2" w:rsidRDefault="00356BFC" w:rsidP="00BC391E">
            <w:pPr>
              <w:pStyle w:val="Tabletext"/>
              <w:keepNext/>
              <w:spacing w:before="0"/>
              <w:jc w:val="center"/>
            </w:pPr>
            <w:r w:rsidRPr="00806EA2">
              <w:rPr>
                <w:color w:val="FFFFFF"/>
              </w:rPr>
              <w:t>00</w:t>
            </w:r>
            <w:r w:rsidRPr="00806EA2">
              <w:t>10.0</w:t>
            </w:r>
          </w:p>
          <w:p w:rsidR="00356BFC" w:rsidRPr="00806EA2" w:rsidRDefault="00356BFC" w:rsidP="00BC391E">
            <w:pPr>
              <w:pStyle w:val="Tabletext"/>
              <w:keepNext/>
              <w:spacing w:before="0"/>
              <w:jc w:val="center"/>
            </w:pPr>
            <w:r w:rsidRPr="00806EA2">
              <w:t>–205.1</w:t>
            </w:r>
          </w:p>
          <w:p w:rsidR="00356BFC" w:rsidRPr="00806EA2" w:rsidRDefault="00356BFC" w:rsidP="00BC391E">
            <w:pPr>
              <w:pStyle w:val="Tabletext"/>
              <w:keepNext/>
              <w:spacing w:before="0"/>
              <w:jc w:val="center"/>
            </w:pPr>
            <w:r w:rsidRPr="00806EA2">
              <w:rPr>
                <w:color w:val="FFFFFF"/>
              </w:rPr>
              <w:t>0000</w:t>
            </w:r>
            <w:r w:rsidRPr="00806EA2">
              <w:t>20</w:t>
            </w:r>
          </w:p>
          <w:p w:rsidR="00356BFC" w:rsidRPr="00806EA2" w:rsidRDefault="00356BFC" w:rsidP="00BC391E">
            <w:pPr>
              <w:pStyle w:val="Tabletext"/>
              <w:keepNext/>
              <w:spacing w:before="0"/>
              <w:jc w:val="center"/>
            </w:pPr>
            <w:r w:rsidRPr="00806EA2">
              <w:t>–185.1</w:t>
            </w:r>
          </w:p>
          <w:p w:rsidR="00356BFC" w:rsidRPr="00806EA2" w:rsidRDefault="00356BFC" w:rsidP="00BC391E">
            <w:pPr>
              <w:pStyle w:val="Tabletext"/>
              <w:keepNext/>
              <w:spacing w:before="0"/>
              <w:jc w:val="center"/>
            </w:pPr>
            <w:r w:rsidRPr="00806EA2">
              <w:rPr>
                <w:color w:val="FFFFFF"/>
              </w:rPr>
              <w:t>00</w:t>
            </w:r>
            <w:r w:rsidRPr="00806EA2">
              <w:t>11.8</w:t>
            </w:r>
          </w:p>
        </w:tc>
      </w:tr>
      <w:tr w:rsidR="00356BFC" w:rsidRPr="00806EA2" w:rsidTr="00006B04">
        <w:trPr>
          <w:cantSplit/>
          <w:jc w:val="center"/>
        </w:trPr>
        <w:tc>
          <w:tcPr>
            <w:tcW w:w="6202" w:type="dxa"/>
            <w:tcBorders>
              <w:top w:val="single" w:sz="6" w:space="0" w:color="auto"/>
              <w:left w:val="single" w:sz="6" w:space="0" w:color="auto"/>
              <w:right w:val="single" w:sz="6" w:space="0" w:color="auto"/>
            </w:tcBorders>
          </w:tcPr>
          <w:p w:rsidR="00356BFC" w:rsidRPr="00806EA2" w:rsidRDefault="00356BFC" w:rsidP="008E3C29">
            <w:pPr>
              <w:pStyle w:val="Tabletext"/>
              <w:keepNext/>
            </w:pPr>
            <w:r w:rsidRPr="00806EA2">
              <w:t>Data detection performance</w:t>
            </w:r>
          </w:p>
        </w:tc>
        <w:tc>
          <w:tcPr>
            <w:tcW w:w="1350" w:type="dxa"/>
            <w:tcBorders>
              <w:top w:val="single" w:sz="6" w:space="0" w:color="auto"/>
              <w:left w:val="single" w:sz="6" w:space="0" w:color="auto"/>
              <w:right w:val="single" w:sz="6" w:space="0" w:color="auto"/>
            </w:tcBorders>
          </w:tcPr>
          <w:p w:rsidR="00356BFC" w:rsidRPr="00806EA2" w:rsidRDefault="00356BFC" w:rsidP="00BC391E">
            <w:pPr>
              <w:pStyle w:val="Tabletext"/>
              <w:keepNext/>
              <w:jc w:val="center"/>
              <w:rPr>
                <w:color w:val="FFFFFF"/>
              </w:rPr>
            </w:pPr>
          </w:p>
        </w:tc>
      </w:tr>
      <w:tr w:rsidR="00356BFC" w:rsidRPr="00806EA2" w:rsidTr="00006B04">
        <w:trPr>
          <w:cantSplit/>
          <w:jc w:val="center"/>
        </w:trPr>
        <w:tc>
          <w:tcPr>
            <w:tcW w:w="6202" w:type="dxa"/>
            <w:tcBorders>
              <w:left w:val="single" w:sz="6" w:space="0" w:color="auto"/>
              <w:bottom w:val="single" w:sz="6" w:space="0" w:color="auto"/>
              <w:right w:val="single" w:sz="6" w:space="0" w:color="auto"/>
            </w:tcBorders>
          </w:tcPr>
          <w:p w:rsidR="00356BFC" w:rsidRPr="00356BFC" w:rsidRDefault="00356BFC" w:rsidP="008E3C29">
            <w:pPr>
              <w:pStyle w:val="Tabletext"/>
              <w:keepNext/>
              <w:spacing w:before="0"/>
              <w:rPr>
                <w:lang w:val="en-GB"/>
              </w:rPr>
            </w:pPr>
            <w:r w:rsidRPr="00356BFC">
              <w:rPr>
                <w:lang w:val="en-GB"/>
              </w:rPr>
              <w:tab/>
              <w:t>Data power/total power (dB)</w:t>
            </w:r>
          </w:p>
          <w:p w:rsidR="00356BFC" w:rsidRPr="00356BFC" w:rsidRDefault="00356BFC" w:rsidP="008E3C29">
            <w:pPr>
              <w:pStyle w:val="Tabletext"/>
              <w:keepNext/>
              <w:spacing w:before="0"/>
              <w:rPr>
                <w:lang w:val="en-GB"/>
              </w:rPr>
            </w:pPr>
            <w:r w:rsidRPr="00356BFC">
              <w:rPr>
                <w:lang w:val="en-GB"/>
              </w:rPr>
              <w:tab/>
              <w:t>Data reception and detection losses (dB)</w:t>
            </w:r>
          </w:p>
          <w:p w:rsidR="00356BFC" w:rsidRPr="00356BFC" w:rsidRDefault="00356BFC" w:rsidP="008E3C29">
            <w:pPr>
              <w:pStyle w:val="Tabletext"/>
              <w:keepNext/>
              <w:spacing w:before="0"/>
              <w:rPr>
                <w:lang w:val="en-GB"/>
              </w:rPr>
            </w:pPr>
            <w:r w:rsidRPr="00356BFC">
              <w:rPr>
                <w:lang w:val="en-GB"/>
              </w:rPr>
              <w:tab/>
              <w:t>Received data power (dBW)</w:t>
            </w:r>
          </w:p>
          <w:p w:rsidR="00356BFC" w:rsidRPr="00356BFC" w:rsidRDefault="00356BFC" w:rsidP="00BC391E">
            <w:pPr>
              <w:pStyle w:val="Tabletext"/>
              <w:keepNext/>
              <w:spacing w:before="0"/>
              <w:ind w:left="284" w:hanging="284"/>
              <w:rPr>
                <w:lang w:val="en-GB"/>
              </w:rPr>
            </w:pPr>
            <w:r w:rsidRPr="00356BFC">
              <w:rPr>
                <w:lang w:val="en-GB"/>
              </w:rPr>
              <w:tab/>
              <w:t>Noise bandwidth (effective noise bandwidth for matched filter detection of 115.2</w:t>
            </w:r>
            <w:r w:rsidR="00BC391E">
              <w:rPr>
                <w:lang w:val="en-GB"/>
              </w:rPr>
              <w:t> </w:t>
            </w:r>
            <w:r w:rsidRPr="00356BFC">
              <w:rPr>
                <w:lang w:val="en-GB"/>
              </w:rPr>
              <w:t>kbit/s data) (dB)</w:t>
            </w:r>
          </w:p>
          <w:p w:rsidR="00356BFC" w:rsidRPr="00356BFC" w:rsidRDefault="00356BFC" w:rsidP="008E3C29">
            <w:pPr>
              <w:pStyle w:val="Tabletext"/>
              <w:keepNext/>
              <w:spacing w:before="0"/>
              <w:rPr>
                <w:lang w:val="en-GB"/>
              </w:rPr>
            </w:pPr>
            <w:r w:rsidRPr="00356BFC">
              <w:rPr>
                <w:lang w:val="en-GB"/>
              </w:rPr>
              <w:tab/>
              <w:t>Noise power (dBW)</w:t>
            </w:r>
          </w:p>
          <w:p w:rsidR="00356BFC" w:rsidRPr="00356BFC" w:rsidRDefault="00356BFC" w:rsidP="008E3C29">
            <w:pPr>
              <w:pStyle w:val="Tabletext"/>
              <w:keepNext/>
              <w:spacing w:before="0"/>
              <w:rPr>
                <w:lang w:val="en-GB"/>
              </w:rPr>
            </w:pPr>
            <w:r w:rsidRPr="00356BFC">
              <w:rPr>
                <w:lang w:val="en-GB"/>
              </w:rPr>
              <w:tab/>
              <w:t xml:space="preserve">Threshold signal/noise (5 </w:t>
            </w:r>
            <w:r w:rsidRPr="00806EA2">
              <w:rPr>
                <w:rFonts w:ascii="Symbol" w:hAnsi="Symbol"/>
              </w:rPr>
              <w:t></w:t>
            </w:r>
            <w:r w:rsidRPr="00356BFC">
              <w:rPr>
                <w:lang w:val="en-GB"/>
              </w:rPr>
              <w:t xml:space="preserve"> 10</w:t>
            </w:r>
            <w:r w:rsidRPr="00356BFC">
              <w:rPr>
                <w:vertAlign w:val="superscript"/>
                <w:lang w:val="en-GB"/>
              </w:rPr>
              <w:t>–3</w:t>
            </w:r>
            <w:r w:rsidRPr="00356BFC">
              <w:rPr>
                <w:lang w:val="en-GB"/>
              </w:rPr>
              <w:t xml:space="preserve"> bit error rate) (dB)</w:t>
            </w:r>
          </w:p>
          <w:p w:rsidR="00356BFC" w:rsidRPr="00356BFC" w:rsidRDefault="00356BFC" w:rsidP="008E3C29">
            <w:pPr>
              <w:pStyle w:val="Tabletext"/>
              <w:keepNext/>
              <w:spacing w:before="0"/>
              <w:rPr>
                <w:lang w:val="en-GB"/>
              </w:rPr>
            </w:pPr>
            <w:r w:rsidRPr="00356BFC">
              <w:rPr>
                <w:lang w:val="en-GB"/>
              </w:rPr>
              <w:tab/>
              <w:t>Threshold data power (dBW)</w:t>
            </w:r>
          </w:p>
          <w:p w:rsidR="00356BFC" w:rsidRPr="00356BFC" w:rsidRDefault="00356BFC" w:rsidP="008E3C29">
            <w:pPr>
              <w:pStyle w:val="Tabletext"/>
              <w:keepNext/>
              <w:spacing w:before="0"/>
              <w:rPr>
                <w:lang w:val="en-GB"/>
              </w:rPr>
            </w:pPr>
            <w:r w:rsidRPr="00356BFC">
              <w:rPr>
                <w:lang w:val="en-GB"/>
              </w:rPr>
              <w:tab/>
              <w:t>Performance margin (dB)</w:t>
            </w:r>
          </w:p>
        </w:tc>
        <w:tc>
          <w:tcPr>
            <w:tcW w:w="1350" w:type="dxa"/>
            <w:tcBorders>
              <w:left w:val="single" w:sz="6" w:space="0" w:color="auto"/>
              <w:bottom w:val="single" w:sz="6" w:space="0" w:color="auto"/>
              <w:right w:val="single" w:sz="6" w:space="0" w:color="auto"/>
            </w:tcBorders>
          </w:tcPr>
          <w:p w:rsidR="00356BFC" w:rsidRPr="00806EA2" w:rsidRDefault="00356BFC" w:rsidP="00BC391E">
            <w:pPr>
              <w:pStyle w:val="Tabletext"/>
              <w:keepNext/>
              <w:spacing w:before="0"/>
              <w:jc w:val="center"/>
            </w:pPr>
            <w:r w:rsidRPr="00806EA2">
              <w:rPr>
                <w:color w:val="FFFFFF"/>
              </w:rPr>
              <w:t>00</w:t>
            </w:r>
            <w:r w:rsidRPr="00806EA2">
              <w:t>–0.3</w:t>
            </w:r>
          </w:p>
          <w:p w:rsidR="00356BFC" w:rsidRPr="00806EA2" w:rsidRDefault="00356BFC" w:rsidP="00BC391E">
            <w:pPr>
              <w:pStyle w:val="Tabletext"/>
              <w:keepNext/>
              <w:spacing w:before="0"/>
              <w:jc w:val="center"/>
            </w:pPr>
            <w:r w:rsidRPr="00806EA2">
              <w:rPr>
                <w:color w:val="FFFFFF"/>
              </w:rPr>
              <w:t>00</w:t>
            </w:r>
            <w:r w:rsidRPr="00806EA2">
              <w:t>–0.5</w:t>
            </w:r>
          </w:p>
          <w:p w:rsidR="00356BFC" w:rsidRPr="00806EA2" w:rsidRDefault="00356BFC" w:rsidP="00BC391E">
            <w:pPr>
              <w:pStyle w:val="Tabletext"/>
              <w:keepNext/>
              <w:spacing w:before="0"/>
              <w:jc w:val="center"/>
            </w:pPr>
            <w:r w:rsidRPr="00806EA2">
              <w:t>–158.7</w:t>
            </w:r>
            <w:r w:rsidRPr="00806EA2">
              <w:br/>
            </w:r>
          </w:p>
          <w:p w:rsidR="00356BFC" w:rsidRPr="00806EA2" w:rsidRDefault="00356BFC" w:rsidP="00BC391E">
            <w:pPr>
              <w:pStyle w:val="Tabletext"/>
              <w:keepNext/>
              <w:spacing w:before="0"/>
              <w:jc w:val="center"/>
            </w:pPr>
            <w:r w:rsidRPr="00806EA2">
              <w:rPr>
                <w:color w:val="FFFFFF"/>
              </w:rPr>
              <w:t>00</w:t>
            </w:r>
            <w:r w:rsidRPr="00806EA2">
              <w:t>50.6</w:t>
            </w:r>
          </w:p>
          <w:p w:rsidR="00356BFC" w:rsidRPr="00806EA2" w:rsidRDefault="00356BFC" w:rsidP="00BC391E">
            <w:pPr>
              <w:pStyle w:val="Tabletext"/>
              <w:keepNext/>
              <w:spacing w:before="0"/>
              <w:jc w:val="center"/>
            </w:pPr>
            <w:r w:rsidRPr="00806EA2">
              <w:t>–164.5</w:t>
            </w:r>
          </w:p>
          <w:p w:rsidR="00356BFC" w:rsidRPr="00806EA2" w:rsidRDefault="00356BFC" w:rsidP="00BC391E">
            <w:pPr>
              <w:pStyle w:val="Tabletext"/>
              <w:keepNext/>
              <w:spacing w:before="0"/>
              <w:jc w:val="center"/>
            </w:pPr>
            <w:r w:rsidRPr="00806EA2">
              <w:rPr>
                <w:color w:val="FFFFFF"/>
              </w:rPr>
              <w:t>000</w:t>
            </w:r>
            <w:r w:rsidRPr="00806EA2">
              <w:t>2.3</w:t>
            </w:r>
          </w:p>
          <w:p w:rsidR="00356BFC" w:rsidRPr="00806EA2" w:rsidRDefault="00356BFC" w:rsidP="00BC391E">
            <w:pPr>
              <w:pStyle w:val="Tabletext"/>
              <w:keepNext/>
              <w:spacing w:before="0"/>
              <w:jc w:val="center"/>
            </w:pPr>
            <w:r w:rsidRPr="00806EA2">
              <w:t>–162.2</w:t>
            </w:r>
          </w:p>
          <w:p w:rsidR="00356BFC" w:rsidRPr="00806EA2" w:rsidRDefault="00356BFC" w:rsidP="00BC391E">
            <w:pPr>
              <w:pStyle w:val="Tabletext"/>
              <w:keepNext/>
              <w:spacing w:before="0"/>
              <w:jc w:val="center"/>
            </w:pPr>
            <w:r w:rsidRPr="00806EA2">
              <w:rPr>
                <w:color w:val="FFFFFF"/>
              </w:rPr>
              <w:t>000</w:t>
            </w:r>
            <w:r w:rsidRPr="00806EA2">
              <w:t>3.5</w:t>
            </w:r>
          </w:p>
        </w:tc>
      </w:tr>
    </w:tbl>
    <w:p w:rsidR="00356BFC" w:rsidRPr="00806EA2" w:rsidRDefault="00356BFC" w:rsidP="00356BFC">
      <w:pPr>
        <w:pStyle w:val="Tablefin"/>
      </w:pPr>
    </w:p>
    <w:p w:rsidR="00BC391E" w:rsidRDefault="00BC391E" w:rsidP="00356BFC">
      <w:pPr>
        <w:rPr>
          <w:lang w:val="en-GB"/>
        </w:rPr>
      </w:pPr>
      <w:r>
        <w:rPr>
          <w:lang w:val="en-GB"/>
        </w:rPr>
        <w:br w:type="page"/>
      </w:r>
    </w:p>
    <w:p w:rsidR="00356BFC" w:rsidRPr="00356BFC" w:rsidRDefault="00356BFC" w:rsidP="00356BFC">
      <w:pPr>
        <w:rPr>
          <w:lang w:val="en-GB"/>
        </w:rPr>
      </w:pPr>
      <w:r w:rsidRPr="00356BFC">
        <w:rPr>
          <w:lang w:val="en-GB"/>
        </w:rPr>
        <w:t>A most important point in the design of deep space missions is that the telemetering performance margin is quite small (3.5 dB in the example given). This small margin is a consequence of the need to obtain maximum scientific value from each spacecraft. To design with a 10 dB larger margin of safety would reduce the quantity of telemetered data by a factor of 10. The risk of using a system with small performance margin is its susceptibility to harmful interference, and for bands above 2 GHz, decreased reliability caused by weather effects.</w:t>
      </w:r>
    </w:p>
    <w:p w:rsidR="00A6617B" w:rsidRPr="00A6617B" w:rsidRDefault="00A6617B" w:rsidP="00BC391E">
      <w:pPr>
        <w:pStyle w:val="Line"/>
      </w:pPr>
    </w:p>
    <w:sectPr w:rsidR="00A6617B" w:rsidRPr="00A6617B" w:rsidSect="00313E36">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BFC" w:rsidRDefault="00356BFC">
      <w:r>
        <w:separator/>
      </w:r>
    </w:p>
  </w:endnote>
  <w:endnote w:type="continuationSeparator" w:id="0">
    <w:p w:rsidR="00356BFC" w:rsidRDefault="00356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BFC" w:rsidRDefault="00356BFC">
      <w:r>
        <w:separator/>
      </w:r>
    </w:p>
  </w:footnote>
  <w:footnote w:type="continuationSeparator" w:id="0">
    <w:p w:rsidR="00356BFC" w:rsidRDefault="00356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BFC" w:rsidRDefault="00356BF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BFC" w:rsidRDefault="00356BFC" w:rsidP="00B033C8">
    <w:pPr>
      <w:pStyle w:val="Header"/>
      <w:ind w:right="360" w:firstLine="360"/>
    </w:pPr>
    <w:r>
      <w:rPr>
        <w:noProof/>
        <w:lang w:val="en-GB" w:eastAsia="en-GB"/>
      </w:rPr>
      <w:drawing>
        <wp:anchor distT="0" distB="0" distL="114300" distR="114300" simplePos="0" relativeHeight="251659264" behindDoc="1" locked="0" layoutInCell="1" allowOverlap="1" wp14:anchorId="625693F3" wp14:editId="2E76C92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BFC" w:rsidRPr="00C95C69" w:rsidRDefault="00356BFC">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175E4D">
      <w:rPr>
        <w:rStyle w:val="PageNumber"/>
        <w:b/>
        <w:bCs/>
        <w:noProof/>
        <w:lang w:val="fr-CH"/>
      </w:rPr>
      <w:t>ii</w:t>
    </w:r>
    <w:r>
      <w:rPr>
        <w:rStyle w:val="PageNumber"/>
        <w:b/>
        <w:bCs/>
      </w:rPr>
      <w:fldChar w:fldCharType="end"/>
    </w:r>
    <w:r w:rsidRPr="00C95C69">
      <w:rPr>
        <w:lang w:val="fr-CH"/>
      </w:rPr>
      <w:tab/>
    </w:r>
    <w:r>
      <w:fldChar w:fldCharType="begin"/>
    </w:r>
    <w:r>
      <w:instrText xml:space="preserve"> DOCPROPERTY "Header" \* MERGEFORMAT </w:instrText>
    </w:r>
    <w:r>
      <w:fldChar w:fldCharType="separate"/>
    </w:r>
    <w:r w:rsidR="00175E4D" w:rsidRPr="00175E4D">
      <w:rPr>
        <w:b/>
        <w:bCs/>
        <w:lang w:val="fr-CH"/>
      </w:rPr>
      <w:t xml:space="preserve">Rec. </w:t>
    </w:r>
    <w:r>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175E4D">
      <w:rPr>
        <w:b/>
        <w:bCs/>
        <w:noProof/>
      </w:rPr>
      <w:t>ITU-R  SA.1014-3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BFC" w:rsidRDefault="00356BFC">
    <w:pPr>
      <w:pStyle w:val="Header"/>
    </w:pPr>
    <w:r>
      <w:tab/>
    </w:r>
    <w:r>
      <w:fldChar w:fldCharType="begin"/>
    </w:r>
    <w:r>
      <w:instrText xml:space="preserve"> DOCPROPERTY "Header" \* MERGEFORMAT </w:instrText>
    </w:r>
    <w:r>
      <w:fldChar w:fldCharType="separate"/>
    </w:r>
    <w:r w:rsidR="00175E4D" w:rsidRPr="00175E4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75E4D">
      <w:rPr>
        <w:b/>
        <w:bCs/>
        <w:noProof/>
      </w:rPr>
      <w:t>ITU-R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13E36">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75E4D">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175E4D" w:rsidRPr="00175E4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75E4D">
      <w:rPr>
        <w:b/>
        <w:bCs/>
        <w:noProof/>
      </w:rPr>
      <w:t>ITU-R  SA.1014-3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175E4D">
      <w:fldChar w:fldCharType="begin"/>
    </w:r>
    <w:r w:rsidR="00175E4D">
      <w:instrText xml:space="preserve"> DOCPROPERTY "Header" \* MERGEFORMAT </w:instrText>
    </w:r>
    <w:r w:rsidR="00175E4D">
      <w:fldChar w:fldCharType="separate"/>
    </w:r>
    <w:r w:rsidR="00175E4D" w:rsidRPr="00175E4D">
      <w:rPr>
        <w:b/>
        <w:bCs/>
      </w:rPr>
      <w:t xml:space="preserve">Rec. </w:t>
    </w:r>
    <w:r w:rsidR="00175E4D">
      <w:rPr>
        <w:b/>
        <w:bCs/>
      </w:rPr>
      <w:fldChar w:fldCharType="end"/>
    </w:r>
    <w:r>
      <w:rPr>
        <w:b/>
        <w:bCs/>
      </w:rPr>
      <w:t xml:space="preserve"> </w:t>
    </w:r>
    <w:r>
      <w:rPr>
        <w:b/>
        <w:bCs/>
      </w:rPr>
      <w:fldChar w:fldCharType="begin"/>
    </w:r>
    <w:r>
      <w:rPr>
        <w:b/>
        <w:bCs/>
      </w:rPr>
      <w:instrText>styleref href</w:instrText>
    </w:r>
    <w:r>
      <w:rPr>
        <w:b/>
        <w:bCs/>
      </w:rPr>
      <w:fldChar w:fldCharType="separate"/>
    </w:r>
    <w:r w:rsidR="00175E4D">
      <w:rPr>
        <w:b/>
        <w:bCs/>
        <w:noProof/>
      </w:rPr>
      <w:t>ITU-R  SA.1014-3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75E4D">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FC"/>
    <w:rsid w:val="00006B04"/>
    <w:rsid w:val="00175E4D"/>
    <w:rsid w:val="00217EBF"/>
    <w:rsid w:val="00242AEE"/>
    <w:rsid w:val="002D76C4"/>
    <w:rsid w:val="00313E36"/>
    <w:rsid w:val="00356BFC"/>
    <w:rsid w:val="0052529D"/>
    <w:rsid w:val="00607D68"/>
    <w:rsid w:val="00670489"/>
    <w:rsid w:val="007468DA"/>
    <w:rsid w:val="009E00A8"/>
    <w:rsid w:val="00A6617B"/>
    <w:rsid w:val="00A72664"/>
    <w:rsid w:val="00AB0DC8"/>
    <w:rsid w:val="00B44E24"/>
    <w:rsid w:val="00BC391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1E101BB7"/>
  <w15:docId w15:val="{CE95B7B6-65D5-4A29-B400-8D39D5EC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BF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56BFC"/>
    <w:rPr>
      <w:color w:val="0000FF"/>
      <w:u w:val="single"/>
    </w:rPr>
  </w:style>
  <w:style w:type="paragraph" w:customStyle="1" w:styleId="AnnexNo">
    <w:name w:val="Annex_No"/>
    <w:basedOn w:val="Normal"/>
    <w:next w:val="Normal"/>
    <w:rsid w:val="00356BF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56B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356BFC"/>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14</Pages>
  <Words>4454</Words>
  <Characters>25653</Characters>
  <Application>Microsoft Office Word</Application>
  <DocSecurity>0</DocSecurity>
  <Lines>213</Lines>
  <Paragraphs>60</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Template BR_Rec_2005.dot</vt:lpstr>
      <vt:lpstr>Policy on Intellectual Property Right (IPR)</vt:lpstr>
      <vt:lpstr>1	Introduction</vt:lpstr>
      <vt:lpstr>2	Radiocommunication requirements</vt:lpstr>
      <vt:lpstr>    2.1	Telemetering requirements</vt:lpstr>
      <vt:lpstr>    2.2	Telecommand requirements</vt:lpstr>
      <vt:lpstr>    2.3	Tracking requirements</vt:lpstr>
      <vt:lpstr>        2.3.1	Navigation</vt:lpstr>
      <vt:lpstr>        2.3.2	Radio science</vt:lpstr>
      <vt:lpstr>    2.4	Special requirements for manned deep space missions</vt:lpstr>
      <vt:lpstr>3	Technical characteristics</vt:lpstr>
      <vt:lpstr>    3.1	Locations and characteristics of space research service (deep space) earth s</vt:lpstr>
      <vt:lpstr>    3.2	Space stations</vt:lpstr>
      <vt:lpstr>4	Methods deep space radiocommunication </vt:lpstr>
      <vt:lpstr>    4.1	Carrier tracking and Doppler measurement</vt:lpstr>
      <vt:lpstr>    4.2	Modulation and demodulation</vt:lpstr>
      <vt:lpstr>    4.3	Coding</vt:lpstr>
      <vt:lpstr>    4.4	Multiplexing</vt:lpstr>
      <vt:lpstr>    4.5	Ranging</vt:lpstr>
      <vt:lpstr>    4.6	Antenna gain and pointing</vt:lpstr>
      <vt:lpstr>    4.7	Additional radionavigation techniques</vt:lpstr>
      <vt:lpstr>        4.7.1	Calibration of the velocity of propagation as affected by charged particle</vt:lpstr>
      <vt:lpstr>        4.7.2	Very long baseline interferometry (VLBI)</vt:lpstr>
      <vt:lpstr>5	Performance analysis and design margins</vt:lpstr>
    </vt:vector>
  </TitlesOfParts>
  <Manager/>
  <Company>ITU</Company>
  <LinksUpToDate>false</LinksUpToDate>
  <CharactersWithSpaces>30047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2017-06-16T06:54:00Z</cp:lastPrinted>
  <dcterms:created xsi:type="dcterms:W3CDTF">2017-06-16T06:46:00Z</dcterms:created>
  <dcterms:modified xsi:type="dcterms:W3CDTF">2017-06-16T06:55:00Z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