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p w:rsidR="00EF17A6" w:rsidRPr="001A32CC" w:rsidRDefault="00EF17A6" w:rsidP="00EF17A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1A32CC" w:rsidTr="006C4CCA">
        <w:tc>
          <w:tcPr>
            <w:tcW w:w="10089" w:type="dxa"/>
          </w:tcPr>
          <w:p w:rsidR="00EF17A6" w:rsidRPr="001A32CC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1A32CC" w:rsidRDefault="00EF17A6" w:rsidP="00D8173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bookmarkStart w:id="0" w:name="_GoBack"/>
            <w:bookmarkEnd w:id="0"/>
            <w:proofErr w:type="gramStart"/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D81734" w:rsidRPr="001A32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S.</w:t>
            </w:r>
            <w:r w:rsidR="00102F4D" w:rsidRPr="001A32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732</w:t>
            </w:r>
            <w:proofErr w:type="spellEnd"/>
            <w:r w:rsidR="00102F4D" w:rsidRPr="001A32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EF17A6" w:rsidRPr="001A32CC" w:rsidRDefault="00EF17A6" w:rsidP="00102F4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02F4D" w:rsidRPr="001A32C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683303" w:rsidRPr="001A32C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02F4D" w:rsidRPr="001A32C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D728BE" w:rsidTr="006C4CCA">
        <w:tc>
          <w:tcPr>
            <w:tcW w:w="10089" w:type="dxa"/>
          </w:tcPr>
          <w:p w:rsidR="00EF17A6" w:rsidRPr="001A32CC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1A32CC" w:rsidRDefault="00102F4D" w:rsidP="006833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 статистической обработки пиков 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cs/>
                <w:lang w:val="ru-RU"/>
              </w:rPr>
              <w:t>‎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боковых лепестков диаграммы 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cs/>
                <w:lang w:val="ru-RU"/>
              </w:rPr>
              <w:t>‎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направленности антенны земной станции 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cs/>
                <w:lang w:val="ru-RU"/>
              </w:rPr>
              <w:t>‎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для определения превышения 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cs/>
                <w:lang w:val="ru-RU"/>
              </w:rPr>
              <w:t>‎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огибающих эталонных диаграмм 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cs/>
                <w:lang w:val="ru-RU"/>
              </w:rPr>
              <w:t>‎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направленности антенн и условий 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cs/>
                <w:lang w:val="ru-RU"/>
              </w:rPr>
              <w:t>‎</w:t>
            </w: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приемлемости какого-либо превышения</w:t>
            </w:r>
          </w:p>
        </w:tc>
      </w:tr>
      <w:tr w:rsidR="00EF17A6" w:rsidRPr="00D728BE" w:rsidTr="006C4CCA">
        <w:tc>
          <w:tcPr>
            <w:tcW w:w="10089" w:type="dxa"/>
          </w:tcPr>
          <w:p w:rsidR="002E0F1F" w:rsidRPr="001A32CC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1A32CC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1A32CC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1A32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</w:p>
          <w:p w:rsidR="00EF17A6" w:rsidRPr="001A32CC" w:rsidRDefault="00180FD1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A32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  <w:p w:rsidR="00EF17A6" w:rsidRPr="001A32CC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1A32CC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1A32CC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F0E17" w:rsidRPr="001A32CC" w:rsidRDefault="007F0E17" w:rsidP="007F0E17">
      <w:pPr>
        <w:spacing w:before="0"/>
        <w:jc w:val="center"/>
        <w:rPr>
          <w:b/>
          <w:bCs/>
          <w:lang w:val="ru-RU"/>
        </w:rPr>
      </w:pPr>
      <w:bookmarkStart w:id="1" w:name="c2tope"/>
      <w:bookmarkEnd w:id="1"/>
      <w:r w:rsidRPr="001A32CC">
        <w:rPr>
          <w:b/>
          <w:bCs/>
          <w:lang w:val="ru-RU"/>
        </w:rPr>
        <w:lastRenderedPageBreak/>
        <w:t>Предисловие</w:t>
      </w:r>
    </w:p>
    <w:p w:rsidR="007F0E17" w:rsidRPr="001A32CC" w:rsidRDefault="007F0E17" w:rsidP="007F0E17">
      <w:pPr>
        <w:rPr>
          <w:sz w:val="20"/>
          <w:lang w:val="ru-RU"/>
        </w:rPr>
      </w:pPr>
      <w:r w:rsidRPr="001A32C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F0E17" w:rsidRPr="001A32CC" w:rsidRDefault="007F0E17" w:rsidP="007F0E17">
      <w:pPr>
        <w:rPr>
          <w:sz w:val="20"/>
          <w:lang w:val="ru-RU"/>
        </w:rPr>
      </w:pPr>
      <w:r w:rsidRPr="001A32C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A32CC">
        <w:rPr>
          <w:sz w:val="20"/>
          <w:lang w:val="ru-RU"/>
        </w:rPr>
        <w:t>регламентарную</w:t>
      </w:r>
      <w:proofErr w:type="spellEnd"/>
      <w:r w:rsidRPr="001A32CC">
        <w:rPr>
          <w:sz w:val="20"/>
          <w:lang w:val="ru-RU"/>
        </w:rPr>
        <w:t xml:space="preserve"> и политическую функции Сектора радиосвязи. </w:t>
      </w:r>
    </w:p>
    <w:p w:rsidR="007F0E17" w:rsidRPr="001A32CC" w:rsidRDefault="007F0E17" w:rsidP="007F0E17">
      <w:pPr>
        <w:spacing w:before="360"/>
        <w:jc w:val="center"/>
        <w:rPr>
          <w:b/>
          <w:bCs/>
          <w:lang w:val="ru-RU"/>
        </w:rPr>
      </w:pPr>
      <w:r w:rsidRPr="001A32CC">
        <w:rPr>
          <w:b/>
          <w:bCs/>
          <w:lang w:val="ru-RU"/>
        </w:rPr>
        <w:t>Политика в области прав интеллектуальной собственности (</w:t>
      </w:r>
      <w:proofErr w:type="spellStart"/>
      <w:r w:rsidRPr="001A32CC">
        <w:rPr>
          <w:b/>
          <w:bCs/>
          <w:lang w:val="ru-RU"/>
        </w:rPr>
        <w:t>ПИС</w:t>
      </w:r>
      <w:proofErr w:type="spellEnd"/>
      <w:r w:rsidRPr="001A32CC">
        <w:rPr>
          <w:b/>
          <w:bCs/>
          <w:lang w:val="ru-RU"/>
        </w:rPr>
        <w:t>)</w:t>
      </w:r>
    </w:p>
    <w:p w:rsidR="007F0E17" w:rsidRPr="001A32CC" w:rsidRDefault="007F0E17" w:rsidP="009E5274">
      <w:pPr>
        <w:rPr>
          <w:sz w:val="20"/>
          <w:lang w:val="ru-RU"/>
        </w:rPr>
      </w:pPr>
      <w:r w:rsidRPr="001A32CC">
        <w:rPr>
          <w:sz w:val="20"/>
          <w:lang w:val="ru-RU"/>
        </w:rPr>
        <w:t xml:space="preserve">Политика МСЭ-R в области </w:t>
      </w:r>
      <w:proofErr w:type="spellStart"/>
      <w:r w:rsidRPr="001A32CC">
        <w:rPr>
          <w:sz w:val="20"/>
          <w:lang w:val="ru-RU"/>
        </w:rPr>
        <w:t>ПИС</w:t>
      </w:r>
      <w:proofErr w:type="spellEnd"/>
      <w:r w:rsidRPr="001A32CC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1A32CC">
        <w:rPr>
          <w:sz w:val="20"/>
          <w:lang w:val="ru-RU"/>
        </w:rPr>
        <w:t>МЭК</w:t>
      </w:r>
      <w:proofErr w:type="spellEnd"/>
      <w:r w:rsidRPr="001A32CC">
        <w:rPr>
          <w:sz w:val="20"/>
          <w:lang w:val="ru-RU"/>
        </w:rPr>
        <w:t>, упоминаемой в Приложении 1 к Резолюции МСЭ-R</w:t>
      </w:r>
      <w:r w:rsidR="009E5274" w:rsidRPr="001A32CC">
        <w:rPr>
          <w:sz w:val="20"/>
          <w:lang w:val="ru-RU"/>
        </w:rPr>
        <w:t xml:space="preserve"> 1</w:t>
      </w:r>
      <w:r w:rsidRPr="001A32CC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1A32CC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1A32CC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1A32CC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1A32CC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1A32CC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1A32CC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1A32CC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1A32CC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1A32CC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1A32C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1A32CC">
        <w:rPr>
          <w:sz w:val="20"/>
          <w:lang w:val="ru-RU"/>
        </w:rPr>
        <w:t>МЭК</w:t>
      </w:r>
      <w:proofErr w:type="spellEnd"/>
      <w:r w:rsidRPr="001A32CC">
        <w:rPr>
          <w:sz w:val="20"/>
          <w:lang w:val="ru-RU"/>
        </w:rPr>
        <w:t xml:space="preserve"> и база данных патентной информации МСЭ-R.</w:t>
      </w:r>
    </w:p>
    <w:p w:rsidR="007F0E17" w:rsidRPr="001A32CC" w:rsidRDefault="007F0E17" w:rsidP="007F0E1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F0E17" w:rsidRPr="00D728BE" w:rsidTr="00D40BEE">
        <w:trPr>
          <w:jc w:val="center"/>
        </w:trPr>
        <w:tc>
          <w:tcPr>
            <w:tcW w:w="8856" w:type="dxa"/>
            <w:gridSpan w:val="2"/>
          </w:tcPr>
          <w:p w:rsidR="007F0E17" w:rsidRPr="001A32CC" w:rsidRDefault="007F0E17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1A32CC">
              <w:rPr>
                <w:b/>
                <w:bCs/>
                <w:lang w:val="ru-RU"/>
              </w:rPr>
              <w:t>Серии Рекомендаций МСЭ-R</w:t>
            </w:r>
          </w:p>
          <w:p w:rsidR="007F0E17" w:rsidRPr="001A32CC" w:rsidRDefault="007F0E17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A32C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1A32CC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1A32CC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1A32CC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1A32CC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1A32CC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1A32CC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1A32CC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1A32CC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1A32CC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1A32CC">
              <w:rPr>
                <w:sz w:val="18"/>
                <w:szCs w:val="18"/>
                <w:lang w:val="ru-RU"/>
              </w:rPr>
              <w:t>.)</w:t>
            </w:r>
          </w:p>
        </w:tc>
      </w:tr>
      <w:tr w:rsidR="007F0E17" w:rsidRPr="001A32CC" w:rsidTr="00D40BEE">
        <w:trPr>
          <w:jc w:val="center"/>
        </w:trPr>
        <w:tc>
          <w:tcPr>
            <w:tcW w:w="1188" w:type="dxa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A32C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7F0E17" w:rsidRPr="001A32CC" w:rsidRDefault="007F0E17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A32C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F0E17" w:rsidRPr="001A32CC" w:rsidTr="00D40BEE">
        <w:trPr>
          <w:jc w:val="center"/>
        </w:trPr>
        <w:tc>
          <w:tcPr>
            <w:tcW w:w="1188" w:type="dxa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F0E17" w:rsidRPr="00D728BE" w:rsidTr="007F0E1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F0E17" w:rsidRPr="001A32CC" w:rsidTr="007F0E1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F0E17" w:rsidRPr="001A32CC" w:rsidRDefault="007F0E1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F0E17" w:rsidRPr="001A32CC" w:rsidRDefault="007F0E17" w:rsidP="009E0FC0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F0E17" w:rsidRPr="001A32CC" w:rsidTr="007F0E1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F0E17" w:rsidRPr="001A32CC" w:rsidTr="00D40BEE">
        <w:trPr>
          <w:jc w:val="center"/>
        </w:trPr>
        <w:tc>
          <w:tcPr>
            <w:tcW w:w="1188" w:type="dxa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A32C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Фиксированная служба</w:t>
            </w:r>
          </w:p>
        </w:tc>
      </w:tr>
      <w:tr w:rsidR="007F0E17" w:rsidRPr="00D728BE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A32C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1A32CC">
              <w:rPr>
                <w:sz w:val="20"/>
                <w:lang w:val="ru-RU"/>
              </w:rPr>
              <w:t>радиоопределения</w:t>
            </w:r>
            <w:proofErr w:type="spellEnd"/>
            <w:r w:rsidRPr="001A32CC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7F0E17" w:rsidRPr="001A32CC" w:rsidTr="007F0E17">
        <w:trPr>
          <w:jc w:val="center"/>
        </w:trPr>
        <w:tc>
          <w:tcPr>
            <w:tcW w:w="1188" w:type="dxa"/>
            <w:shd w:val="clear" w:color="auto" w:fill="FFFFFF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A32C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7F0E17" w:rsidRPr="001A32CC" w:rsidTr="00D40BEE">
        <w:trPr>
          <w:jc w:val="center"/>
        </w:trPr>
        <w:tc>
          <w:tcPr>
            <w:tcW w:w="1188" w:type="dxa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Радиоастрономия</w:t>
            </w:r>
          </w:p>
        </w:tc>
      </w:tr>
      <w:tr w:rsidR="007F0E17" w:rsidRPr="001A32CC" w:rsidTr="007F0E1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F0E17" w:rsidRPr="001A32CC" w:rsidTr="007F0E1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A32CC">
              <w:rPr>
                <w:b/>
                <w:bCs/>
                <w:color w:val="000080"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F0E17" w:rsidRPr="001A32CC" w:rsidRDefault="007F0E17" w:rsidP="009E0FC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A32CC">
              <w:rPr>
                <w:b/>
                <w:bCs/>
                <w:color w:val="000080"/>
                <w:sz w:val="20"/>
                <w:lang w:val="ru-RU"/>
              </w:rPr>
              <w:t>Фиксированная спутниковая служба</w:t>
            </w:r>
          </w:p>
        </w:tc>
      </w:tr>
      <w:tr w:rsidR="007F0E17" w:rsidRPr="001A32CC" w:rsidTr="007F0E1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F0E17" w:rsidRPr="00D728BE" w:rsidTr="00D40BEE">
        <w:trPr>
          <w:jc w:val="center"/>
        </w:trPr>
        <w:tc>
          <w:tcPr>
            <w:tcW w:w="1188" w:type="dxa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F0E17" w:rsidRPr="001A32CC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F0E17" w:rsidRPr="001A32CC" w:rsidTr="00D40BEE">
        <w:trPr>
          <w:jc w:val="center"/>
        </w:trPr>
        <w:tc>
          <w:tcPr>
            <w:tcW w:w="1188" w:type="dxa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F0E17" w:rsidRPr="00D728BE" w:rsidTr="00D40BEE">
        <w:trPr>
          <w:jc w:val="center"/>
        </w:trPr>
        <w:tc>
          <w:tcPr>
            <w:tcW w:w="1188" w:type="dxa"/>
          </w:tcPr>
          <w:p w:rsidR="007F0E17" w:rsidRPr="001A32CC" w:rsidRDefault="007F0E1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A32CC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7F0E17" w:rsidRPr="001A32CC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F0E17" w:rsidRPr="00D728BE" w:rsidTr="00D40BEE">
        <w:trPr>
          <w:jc w:val="center"/>
        </w:trPr>
        <w:tc>
          <w:tcPr>
            <w:tcW w:w="1188" w:type="dxa"/>
          </w:tcPr>
          <w:p w:rsidR="007F0E17" w:rsidRPr="001A32CC" w:rsidRDefault="007F0E17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A32C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7F0E17" w:rsidRPr="001A32CC" w:rsidRDefault="007F0E17" w:rsidP="009E0FC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A32C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7F0E17" w:rsidRPr="001A32CC" w:rsidRDefault="007F0E17" w:rsidP="007F0E1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F0E17" w:rsidRPr="00D728BE" w:rsidTr="00D40BEE">
        <w:trPr>
          <w:jc w:val="center"/>
        </w:trPr>
        <w:tc>
          <w:tcPr>
            <w:tcW w:w="8856" w:type="dxa"/>
          </w:tcPr>
          <w:p w:rsidR="007F0E17" w:rsidRPr="001A32CC" w:rsidRDefault="007F0E17" w:rsidP="009E5274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A32C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A32C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44983" w:rsidRPr="001A32CC">
              <w:rPr>
                <w:i/>
                <w:iCs/>
                <w:sz w:val="20"/>
                <w:lang w:val="ru-RU"/>
              </w:rPr>
              <w:t> </w:t>
            </w:r>
            <w:r w:rsidRPr="001A32CC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E5274" w:rsidRPr="001A32CC">
              <w:rPr>
                <w:i/>
                <w:iCs/>
                <w:sz w:val="20"/>
                <w:lang w:val="ru-RU"/>
              </w:rPr>
              <w:t xml:space="preserve"> 1</w:t>
            </w:r>
            <w:r w:rsidRPr="001A32CC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7F0E17" w:rsidRPr="001A32CC" w:rsidRDefault="007F0E17" w:rsidP="003744B7">
      <w:pPr>
        <w:spacing w:before="360"/>
        <w:jc w:val="right"/>
        <w:rPr>
          <w:sz w:val="20"/>
          <w:lang w:val="ru-RU"/>
        </w:rPr>
      </w:pPr>
      <w:r w:rsidRPr="001A32CC">
        <w:rPr>
          <w:i/>
          <w:iCs/>
          <w:sz w:val="20"/>
          <w:lang w:val="ru-RU"/>
        </w:rPr>
        <w:t>Электронная публикация</w:t>
      </w:r>
      <w:r w:rsidRPr="001A32CC">
        <w:rPr>
          <w:i/>
          <w:iCs/>
          <w:sz w:val="20"/>
          <w:lang w:val="ru-RU"/>
        </w:rPr>
        <w:br/>
      </w:r>
      <w:r w:rsidRPr="001A32CC">
        <w:rPr>
          <w:sz w:val="20"/>
          <w:lang w:val="ru-RU"/>
        </w:rPr>
        <w:t>Женева, 201</w:t>
      </w:r>
      <w:r w:rsidR="003744B7" w:rsidRPr="001A32CC">
        <w:rPr>
          <w:sz w:val="20"/>
          <w:lang w:val="ru-RU"/>
        </w:rPr>
        <w:t>4</w:t>
      </w:r>
      <w:r w:rsidRPr="001A32CC">
        <w:rPr>
          <w:sz w:val="20"/>
          <w:lang w:val="ru-RU"/>
        </w:rPr>
        <w:t xml:space="preserve"> г.</w:t>
      </w:r>
    </w:p>
    <w:p w:rsidR="007F0E17" w:rsidRPr="001A32CC" w:rsidRDefault="00356C22" w:rsidP="003744B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A32CC">
        <w:rPr>
          <w:sz w:val="20"/>
          <w:lang w:val="ru-RU"/>
        </w:rPr>
        <w:sym w:font="Symbol" w:char="F0E3"/>
      </w:r>
      <w:r w:rsidRPr="001A32CC">
        <w:rPr>
          <w:sz w:val="20"/>
          <w:lang w:val="ru-RU"/>
        </w:rPr>
        <w:t xml:space="preserve"> ITU </w:t>
      </w:r>
      <w:bookmarkStart w:id="2" w:name="iiannee"/>
      <w:bookmarkEnd w:id="2"/>
      <w:r w:rsidRPr="001A32CC">
        <w:rPr>
          <w:sz w:val="20"/>
          <w:lang w:val="ru-RU"/>
        </w:rPr>
        <w:t>201</w:t>
      </w:r>
      <w:r w:rsidR="003744B7" w:rsidRPr="001A32CC">
        <w:rPr>
          <w:sz w:val="20"/>
          <w:lang w:val="ru-RU"/>
        </w:rPr>
        <w:t>4</w:t>
      </w:r>
    </w:p>
    <w:p w:rsidR="00356C22" w:rsidRPr="001A32CC" w:rsidRDefault="007F0E17" w:rsidP="00356C22">
      <w:pPr>
        <w:rPr>
          <w:sz w:val="18"/>
          <w:szCs w:val="18"/>
          <w:lang w:val="ru-RU"/>
        </w:rPr>
      </w:pPr>
      <w:r w:rsidRPr="001A32C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356C22" w:rsidRPr="001A32CC" w:rsidRDefault="00356C22" w:rsidP="00356C22">
      <w:pPr>
        <w:spacing w:before="160"/>
        <w:rPr>
          <w:i/>
          <w:sz w:val="20"/>
          <w:lang w:val="ru-RU"/>
        </w:rPr>
        <w:sectPr w:rsidR="00356C22" w:rsidRPr="001A32C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064C9" w:rsidRPr="001A32CC" w:rsidRDefault="00F064C9" w:rsidP="00102F4D">
      <w:pPr>
        <w:pStyle w:val="RecNo"/>
        <w:spacing w:before="0"/>
        <w:rPr>
          <w:lang w:val="ru-RU"/>
        </w:rPr>
      </w:pPr>
      <w:bookmarkStart w:id="3" w:name="irecnoe"/>
      <w:bookmarkEnd w:id="3"/>
      <w:r w:rsidRPr="001A32CC">
        <w:rPr>
          <w:lang w:val="ru-RU"/>
        </w:rPr>
        <w:lastRenderedPageBreak/>
        <w:t xml:space="preserve">РЕКОМЕНДАЦИЯ  </w:t>
      </w:r>
      <w:r w:rsidRPr="001A32CC">
        <w:rPr>
          <w:rStyle w:val="href"/>
          <w:lang w:val="ru-RU"/>
        </w:rPr>
        <w:t xml:space="preserve">МСЭ-R  </w:t>
      </w:r>
      <w:proofErr w:type="spellStart"/>
      <w:r w:rsidRPr="001A32CC">
        <w:rPr>
          <w:rStyle w:val="href"/>
          <w:lang w:val="ru-RU"/>
        </w:rPr>
        <w:t>S.</w:t>
      </w:r>
      <w:r w:rsidR="00102F4D" w:rsidRPr="001A32CC">
        <w:rPr>
          <w:rStyle w:val="href"/>
          <w:lang w:val="ru-RU"/>
        </w:rPr>
        <w:t>732</w:t>
      </w:r>
      <w:proofErr w:type="spellEnd"/>
      <w:r w:rsidR="00102F4D" w:rsidRPr="001A32CC">
        <w:rPr>
          <w:rStyle w:val="href"/>
          <w:lang w:val="ru-RU"/>
        </w:rPr>
        <w:t>-1</w:t>
      </w:r>
    </w:p>
    <w:p w:rsidR="00102F4D" w:rsidRPr="001A32CC" w:rsidRDefault="00102F4D" w:rsidP="00102F4D">
      <w:pPr>
        <w:pStyle w:val="Rectitle"/>
        <w:rPr>
          <w:lang w:val="ru-RU"/>
        </w:rPr>
      </w:pPr>
      <w:bookmarkStart w:id="4" w:name="Pre_title"/>
      <w:r w:rsidRPr="001A32CC">
        <w:rPr>
          <w:lang w:val="ru-RU"/>
        </w:rPr>
        <w:t xml:space="preserve">Метод статистической обработки пиков </w:t>
      </w:r>
      <w:r w:rsidRPr="001A32CC">
        <w:rPr>
          <w:cs/>
          <w:lang w:val="ru-RU"/>
        </w:rPr>
        <w:t>‎</w:t>
      </w:r>
      <w:r w:rsidRPr="001A32CC">
        <w:rPr>
          <w:lang w:val="ru-RU"/>
        </w:rPr>
        <w:t xml:space="preserve">боковых лепестков диаграммы </w:t>
      </w:r>
      <w:r w:rsidRPr="001A32CC">
        <w:rPr>
          <w:cs/>
          <w:lang w:val="ru-RU"/>
        </w:rPr>
        <w:t>‎</w:t>
      </w:r>
      <w:r w:rsidRPr="001A32CC">
        <w:rPr>
          <w:lang w:val="ru-RU"/>
        </w:rPr>
        <w:t xml:space="preserve">направленности антенны земной станции </w:t>
      </w:r>
      <w:r w:rsidRPr="001A32CC">
        <w:rPr>
          <w:cs/>
          <w:lang w:val="ru-RU"/>
        </w:rPr>
        <w:t>‎</w:t>
      </w:r>
      <w:r w:rsidRPr="001A32CC">
        <w:rPr>
          <w:lang w:val="ru-RU"/>
        </w:rPr>
        <w:t xml:space="preserve">для определения превышения </w:t>
      </w:r>
      <w:r w:rsidRPr="001A32CC">
        <w:rPr>
          <w:cs/>
          <w:lang w:val="ru-RU"/>
        </w:rPr>
        <w:t>‎</w:t>
      </w:r>
      <w:r w:rsidRPr="001A32CC">
        <w:rPr>
          <w:lang w:val="ru-RU"/>
        </w:rPr>
        <w:t xml:space="preserve">огибающих эталонных диаграмм </w:t>
      </w:r>
      <w:r w:rsidRPr="001A32CC">
        <w:rPr>
          <w:cs/>
          <w:lang w:val="ru-RU"/>
        </w:rPr>
        <w:t>‎</w:t>
      </w:r>
      <w:r w:rsidRPr="001A32CC">
        <w:rPr>
          <w:lang w:val="ru-RU"/>
        </w:rPr>
        <w:t xml:space="preserve">направленности антенн и условий </w:t>
      </w:r>
      <w:r w:rsidRPr="001A32CC">
        <w:rPr>
          <w:cs/>
          <w:lang w:val="ru-RU"/>
        </w:rPr>
        <w:t>‎</w:t>
      </w:r>
      <w:r w:rsidRPr="001A32CC">
        <w:rPr>
          <w:lang w:val="ru-RU"/>
        </w:rPr>
        <w:t>приемлемости какого-либо превышения</w:t>
      </w:r>
    </w:p>
    <w:p w:rsidR="00102F4D" w:rsidRPr="001A32CC" w:rsidRDefault="00102F4D" w:rsidP="00102F4D">
      <w:pPr>
        <w:pStyle w:val="Recdate"/>
        <w:rPr>
          <w:lang w:val="ru-RU"/>
        </w:rPr>
      </w:pPr>
      <w:bookmarkStart w:id="5" w:name="Related_Questions"/>
      <w:bookmarkStart w:id="6" w:name="Revision_history"/>
      <w:bookmarkEnd w:id="4"/>
      <w:bookmarkEnd w:id="5"/>
      <w:r w:rsidRPr="001A32CC">
        <w:rPr>
          <w:lang w:val="ru-RU"/>
        </w:rPr>
        <w:t>(1992-2012)</w:t>
      </w:r>
      <w:bookmarkEnd w:id="6"/>
    </w:p>
    <w:p w:rsidR="00102F4D" w:rsidRPr="001A32CC" w:rsidRDefault="00102F4D" w:rsidP="00102F4D">
      <w:pPr>
        <w:pStyle w:val="HeadingSum"/>
        <w:rPr>
          <w:lang w:val="ru-RU" w:eastAsia="ja-JP"/>
        </w:rPr>
      </w:pPr>
      <w:r w:rsidRPr="001A32CC">
        <w:rPr>
          <w:lang w:val="ru-RU" w:eastAsia="ja-JP"/>
        </w:rPr>
        <w:t>Сфера применения</w:t>
      </w:r>
    </w:p>
    <w:p w:rsidR="00102F4D" w:rsidRPr="001A32CC" w:rsidRDefault="00102F4D" w:rsidP="00102F4D">
      <w:pPr>
        <w:pStyle w:val="Summary"/>
        <w:rPr>
          <w:lang w:val="ru-RU"/>
        </w:rPr>
      </w:pPr>
      <w:r w:rsidRPr="001A32CC">
        <w:rPr>
          <w:lang w:val="ru-RU"/>
        </w:rPr>
        <w:t>В настоящей Рекомендации устанавливается метод статистической обработки пиков боковых лепестков диаграммы направленности антенны земной станции для определения процентной доли пиков боковых лепестков, которые превышают огибающие эталонных диаграмм направленности антенн, представленные в соответствующей Рекомендации МСЭ-R. В ней также рекомендуются условия, при которых боковые лепестки диаграммы направленности антенны земной станции с пиками, превышающими рекомендованные огибающие, все еще будут считаться соответствующими Рекомендациям МСЭ-R, в которых допускается превышение рекомендованных огибающих определенной процентной долей пиков боковых лепестков.</w:t>
      </w:r>
    </w:p>
    <w:p w:rsidR="00102F4D" w:rsidRPr="001A32CC" w:rsidRDefault="00102F4D" w:rsidP="0000699B">
      <w:pPr>
        <w:pStyle w:val="Normalaftertitle"/>
        <w:rPr>
          <w:lang w:val="ru-RU"/>
        </w:rPr>
      </w:pPr>
      <w:r w:rsidRPr="001A32CC">
        <w:rPr>
          <w:lang w:val="ru-RU"/>
        </w:rPr>
        <w:t>Ассамблея радиосвязи МСЭ,</w:t>
      </w:r>
    </w:p>
    <w:p w:rsidR="00102F4D" w:rsidRPr="001A32CC" w:rsidRDefault="00102F4D" w:rsidP="00102F4D">
      <w:pPr>
        <w:pStyle w:val="Call"/>
        <w:rPr>
          <w:lang w:val="ru-RU"/>
        </w:rPr>
      </w:pPr>
      <w:r w:rsidRPr="001A32CC">
        <w:rPr>
          <w:lang w:val="ru-RU"/>
        </w:rPr>
        <w:t>учитывая</w:t>
      </w:r>
      <w:r w:rsidRPr="001A32CC">
        <w:rPr>
          <w:i w:val="0"/>
          <w:iCs/>
          <w:lang w:val="ru-RU"/>
        </w:rPr>
        <w:t>,</w:t>
      </w:r>
    </w:p>
    <w:p w:rsidR="00102F4D" w:rsidRPr="001A32CC" w:rsidRDefault="00102F4D" w:rsidP="00102F4D">
      <w:pPr>
        <w:rPr>
          <w:lang w:val="ru-RU"/>
        </w:rPr>
      </w:pPr>
      <w:r w:rsidRPr="001A32CC">
        <w:rPr>
          <w:i/>
          <w:lang w:val="ru-RU"/>
        </w:rPr>
        <w:t>a)</w:t>
      </w:r>
      <w:r w:rsidRPr="001A32CC">
        <w:rPr>
          <w:lang w:val="ru-RU"/>
        </w:rPr>
        <w:tab/>
        <w:t>что при определении координационного расстояния или для оценки помех между земными станциями и радиорелейными станциями, и для исследования вопросов координации земных станций и космических станций различных спутниковых систем, совместно использующих одни и те же полосы частот, необходимо знать величину коэффициента усиления антенны земной станции в соответствующем направлении;</w:t>
      </w:r>
    </w:p>
    <w:p w:rsidR="00102F4D" w:rsidRPr="001A32CC" w:rsidRDefault="00102F4D" w:rsidP="00102F4D">
      <w:pPr>
        <w:rPr>
          <w:lang w:val="ru-RU"/>
        </w:rPr>
      </w:pPr>
      <w:r w:rsidRPr="001A32CC">
        <w:rPr>
          <w:i/>
          <w:lang w:val="ru-RU"/>
        </w:rPr>
        <w:t>b)</w:t>
      </w:r>
      <w:r w:rsidRPr="001A32CC">
        <w:rPr>
          <w:lang w:val="ru-RU"/>
        </w:rPr>
        <w:tab/>
        <w:t>что при расчете помех между спутниковыми системами желательно знать характеристики направленности антенн в плоскостях, отличных от основной плоскости;</w:t>
      </w:r>
    </w:p>
    <w:p w:rsidR="00102F4D" w:rsidRPr="001A32CC" w:rsidRDefault="00102F4D" w:rsidP="00102F4D">
      <w:pPr>
        <w:rPr>
          <w:lang w:val="ru-RU"/>
        </w:rPr>
      </w:pPr>
      <w:r w:rsidRPr="001A32CC">
        <w:rPr>
          <w:i/>
          <w:lang w:val="ru-RU"/>
        </w:rPr>
        <w:t>c)</w:t>
      </w:r>
      <w:r w:rsidRPr="001A32CC">
        <w:rPr>
          <w:lang w:val="ru-RU"/>
        </w:rPr>
        <w:tab/>
        <w:t>что при расчете взаимных помех между радиорелейными системами и системами спутниковой связи, в частности, при наличии более одного источника помех, предпочтительно иметь сведения о статистических свойствах уровней боковых лепестков диаграммы направленности антенны, а также о пиках боковых лепестков;</w:t>
      </w:r>
    </w:p>
    <w:p w:rsidR="00102F4D" w:rsidRPr="001A32CC" w:rsidRDefault="00102F4D" w:rsidP="00102F4D">
      <w:pPr>
        <w:rPr>
          <w:lang w:val="ru-RU"/>
        </w:rPr>
      </w:pPr>
      <w:r w:rsidRPr="001A32CC">
        <w:rPr>
          <w:i/>
          <w:lang w:val="ru-RU"/>
        </w:rPr>
        <w:t>d)</w:t>
      </w:r>
      <w:r w:rsidRPr="001A32CC">
        <w:rPr>
          <w:lang w:val="ru-RU"/>
        </w:rPr>
        <w:tab/>
        <w:t>что при том, что в Рекомендациях МСЭ-R, посвященных диаграммам направленности антенн могут содержаться положения, допускающие превышение рекомендованных огибающих пиками боковых лепестков, эти положения не связаны с расчетом возможных взаимных помех в процессе координации;</w:t>
      </w:r>
    </w:p>
    <w:p w:rsidR="00102F4D" w:rsidRPr="001A32CC" w:rsidRDefault="00102F4D" w:rsidP="00102F4D">
      <w:pPr>
        <w:rPr>
          <w:lang w:val="ru-RU"/>
        </w:rPr>
      </w:pPr>
      <w:r w:rsidRPr="001A32CC">
        <w:rPr>
          <w:i/>
          <w:lang w:val="ru-RU"/>
        </w:rPr>
        <w:t>e)</w:t>
      </w:r>
      <w:r w:rsidRPr="001A32CC">
        <w:rPr>
          <w:lang w:val="ru-RU"/>
        </w:rPr>
        <w:tab/>
        <w:t>что при составлении статистических данных необходимо обеспечивать защиту целостности этих данных от ошибок в экспериментах,</w:t>
      </w:r>
    </w:p>
    <w:p w:rsidR="00102F4D" w:rsidRPr="001A32CC" w:rsidRDefault="00102F4D" w:rsidP="00102F4D">
      <w:pPr>
        <w:pStyle w:val="Call"/>
        <w:rPr>
          <w:lang w:val="ru-RU"/>
        </w:rPr>
      </w:pPr>
      <w:r w:rsidRPr="001A32CC">
        <w:rPr>
          <w:lang w:val="ru-RU"/>
        </w:rPr>
        <w:t>признавая</w:t>
      </w:r>
      <w:r w:rsidRPr="0000699B">
        <w:rPr>
          <w:i w:val="0"/>
          <w:iCs/>
          <w:lang w:val="ru-RU"/>
        </w:rPr>
        <w:t>,</w:t>
      </w:r>
    </w:p>
    <w:p w:rsidR="00102F4D" w:rsidRPr="001A32CC" w:rsidRDefault="00102F4D" w:rsidP="00102F4D">
      <w:pPr>
        <w:rPr>
          <w:lang w:val="ru-RU"/>
        </w:rPr>
      </w:pPr>
      <w:r w:rsidRPr="001A32CC">
        <w:rPr>
          <w:i/>
          <w:lang w:val="ru-RU" w:eastAsia="ja-JP"/>
        </w:rPr>
        <w:t>a)</w:t>
      </w:r>
      <w:r w:rsidRPr="001A32CC">
        <w:rPr>
          <w:lang w:val="ru-RU" w:eastAsia="ja-JP"/>
        </w:rPr>
        <w:tab/>
        <w:t xml:space="preserve">что в Рекомендации МСЭ-R </w:t>
      </w:r>
      <w:proofErr w:type="spellStart"/>
      <w:r w:rsidRPr="001A32CC">
        <w:rPr>
          <w:lang w:val="ru-RU" w:eastAsia="ja-JP"/>
        </w:rPr>
        <w:t>S.580</w:t>
      </w:r>
      <w:proofErr w:type="spellEnd"/>
      <w:r w:rsidRPr="001A32CC">
        <w:rPr>
          <w:lang w:val="ru-RU" w:eastAsia="ja-JP"/>
        </w:rPr>
        <w:t xml:space="preserve">, в которой рассматриваются задачи проектирования антенны земной станции, допускается </w:t>
      </w:r>
      <w:r w:rsidRPr="001A32CC">
        <w:rPr>
          <w:lang w:val="ru-RU"/>
        </w:rPr>
        <w:t>превышение огибающей эталонной диаграммы направленности определенной процентной долей пиков боковых лепестков;</w:t>
      </w:r>
    </w:p>
    <w:p w:rsidR="00102F4D" w:rsidRPr="001A32CC" w:rsidRDefault="00102F4D" w:rsidP="00102F4D">
      <w:pPr>
        <w:rPr>
          <w:lang w:val="ru-RU"/>
        </w:rPr>
      </w:pPr>
      <w:r w:rsidRPr="001A32CC">
        <w:rPr>
          <w:i/>
          <w:lang w:val="ru-RU"/>
        </w:rPr>
        <w:t>b)</w:t>
      </w:r>
      <w:r w:rsidRPr="001A32CC">
        <w:rPr>
          <w:lang w:val="ru-RU"/>
        </w:rPr>
        <w:tab/>
        <w:t xml:space="preserve">что в Рекомендациях, в которых содержатся эталонные диаграммы направленности антенн, используемые для анализа помех и координации геостационарных спутниковых сетей, допускается превышение эталонной диаграммы направленности пиками боковых лепестков только при определенных условиях (например, в областях перелива, как указано в Рекомендации МСЭ-R </w:t>
      </w:r>
      <w:proofErr w:type="spellStart"/>
      <w:r w:rsidRPr="001A32CC">
        <w:rPr>
          <w:lang w:val="ru-RU"/>
        </w:rPr>
        <w:t>S.731</w:t>
      </w:r>
      <w:proofErr w:type="spellEnd"/>
      <w:r w:rsidRPr="001A32CC">
        <w:rPr>
          <w:lang w:val="ru-RU"/>
        </w:rPr>
        <w:t xml:space="preserve">, и при локальных отражениях от земной поверхности при больших </w:t>
      </w:r>
      <w:proofErr w:type="spellStart"/>
      <w:r w:rsidRPr="001A32CC">
        <w:rPr>
          <w:lang w:val="ru-RU"/>
        </w:rPr>
        <w:t>внеосевых</w:t>
      </w:r>
      <w:proofErr w:type="spellEnd"/>
      <w:r w:rsidRPr="001A32CC">
        <w:rPr>
          <w:lang w:val="ru-RU"/>
        </w:rPr>
        <w:t xml:space="preserve"> углах, как указано в Рекомендациях МСЭ-R </w:t>
      </w:r>
      <w:proofErr w:type="spellStart"/>
      <w:r w:rsidRPr="001A32CC">
        <w:rPr>
          <w:lang w:val="ru-RU"/>
        </w:rPr>
        <w:t>S.465</w:t>
      </w:r>
      <w:proofErr w:type="spellEnd"/>
      <w:r w:rsidRPr="001A32CC">
        <w:rPr>
          <w:lang w:val="ru-RU"/>
        </w:rPr>
        <w:t xml:space="preserve"> и МСЭ-R </w:t>
      </w:r>
      <w:proofErr w:type="spellStart"/>
      <w:r w:rsidRPr="001A32CC">
        <w:rPr>
          <w:lang w:val="ru-RU"/>
        </w:rPr>
        <w:t>S.1855</w:t>
      </w:r>
      <w:proofErr w:type="spellEnd"/>
      <w:r w:rsidRPr="001A32CC">
        <w:rPr>
          <w:lang w:val="ru-RU"/>
        </w:rPr>
        <w:t>),</w:t>
      </w:r>
    </w:p>
    <w:p w:rsidR="00102F4D" w:rsidRPr="001A32CC" w:rsidRDefault="00102F4D" w:rsidP="00102F4D">
      <w:pPr>
        <w:pStyle w:val="Call"/>
        <w:rPr>
          <w:lang w:val="ru-RU"/>
        </w:rPr>
      </w:pPr>
      <w:r w:rsidRPr="001A32CC">
        <w:rPr>
          <w:lang w:val="ru-RU"/>
        </w:rPr>
        <w:lastRenderedPageBreak/>
        <w:t>рекомендует</w:t>
      </w:r>
      <w:r w:rsidRPr="0000699B">
        <w:rPr>
          <w:i w:val="0"/>
          <w:iCs/>
          <w:lang w:val="ru-RU"/>
        </w:rPr>
        <w:t>,</w:t>
      </w:r>
    </w:p>
    <w:p w:rsidR="00102F4D" w:rsidRPr="001A32CC" w:rsidRDefault="00102F4D" w:rsidP="00102F4D">
      <w:pPr>
        <w:keepNext/>
        <w:keepLines/>
        <w:rPr>
          <w:lang w:val="ru-RU"/>
        </w:rPr>
      </w:pPr>
      <w:r w:rsidRPr="001A32CC">
        <w:rPr>
          <w:b/>
          <w:lang w:val="ru-RU"/>
        </w:rPr>
        <w:t>1</w:t>
      </w:r>
      <w:r w:rsidRPr="001A32CC">
        <w:rPr>
          <w:lang w:val="ru-RU"/>
        </w:rPr>
        <w:tab/>
        <w:t xml:space="preserve">чтобы при обработке результатов измерений боковых лепестков диаграмм направленности антенн земных станций, в случае если рекомендованными </w:t>
      </w:r>
      <w:r w:rsidRPr="001A32CC">
        <w:rPr>
          <w:lang w:val="ru-RU" w:eastAsia="ja-JP"/>
        </w:rPr>
        <w:t xml:space="preserve">МСЭ-R эталонными диаграммами направленности антенн допускается превышение огибающей диаграммы направленности определенной процентной долей </w:t>
      </w:r>
      <w:r w:rsidRPr="001A32CC">
        <w:rPr>
          <w:lang w:val="ru-RU"/>
        </w:rPr>
        <w:t>пиков боковых лепестков, использовался следующий метод:</w:t>
      </w:r>
    </w:p>
    <w:p w:rsidR="00102F4D" w:rsidRPr="001A32CC" w:rsidRDefault="00102F4D" w:rsidP="00102F4D">
      <w:pPr>
        <w:pStyle w:val="enumlev1"/>
        <w:rPr>
          <w:b/>
          <w:lang w:val="ru-RU"/>
        </w:rPr>
      </w:pPr>
      <w:r w:rsidRPr="001A32CC">
        <w:rPr>
          <w:b/>
          <w:lang w:val="ru-RU"/>
        </w:rPr>
        <w:t>1.1</w:t>
      </w:r>
      <w:r w:rsidRPr="001A32CC">
        <w:rPr>
          <w:lang w:val="ru-RU"/>
        </w:rPr>
        <w:tab/>
        <w:t xml:space="preserve">пик бокового лепестка должен определяться как локальный максимум усиления, для которого увеличение или уменьшение </w:t>
      </w:r>
      <w:proofErr w:type="spellStart"/>
      <w:r w:rsidRPr="001A32CC">
        <w:rPr>
          <w:lang w:val="ru-RU"/>
        </w:rPr>
        <w:t>внеосевого</w:t>
      </w:r>
      <w:proofErr w:type="spellEnd"/>
      <w:r w:rsidRPr="001A32CC">
        <w:rPr>
          <w:lang w:val="ru-RU"/>
        </w:rPr>
        <w:t xml:space="preserve"> угла приводит к снижению уровня усиления, как минимум, на 2 дБ (см. Примечание 1);</w:t>
      </w:r>
    </w:p>
    <w:p w:rsidR="00102F4D" w:rsidRPr="001A32CC" w:rsidRDefault="00102F4D" w:rsidP="00102F4D">
      <w:pPr>
        <w:pStyle w:val="enumlev1"/>
        <w:rPr>
          <w:lang w:val="ru-RU"/>
        </w:rPr>
      </w:pPr>
      <w:r w:rsidRPr="001A32CC">
        <w:rPr>
          <w:b/>
          <w:lang w:val="ru-RU"/>
        </w:rPr>
        <w:t>1.2</w:t>
      </w:r>
      <w:r w:rsidRPr="001A32CC">
        <w:rPr>
          <w:lang w:val="ru-RU"/>
        </w:rPr>
        <w:tab/>
        <w:t>области углов (окна выборки), в пределах которых проводят серию измерений пиков боковых лепестков, должны определяться как показано в таблице 2;</w:t>
      </w:r>
    </w:p>
    <w:p w:rsidR="00102F4D" w:rsidRPr="001A32CC" w:rsidRDefault="00102F4D" w:rsidP="00102F4D">
      <w:pPr>
        <w:pStyle w:val="Note"/>
        <w:rPr>
          <w:lang w:val="ru-RU"/>
        </w:rPr>
      </w:pPr>
      <w:r w:rsidRPr="001A32CC">
        <w:rPr>
          <w:lang w:val="ru-RU"/>
        </w:rPr>
        <w:t>ПРИМЕЧАНИЕ 1. – Эти "пики" могут быть расположены либо выше, либо ниже разрешенной эталонной диаграммы направленности антенны.</w:t>
      </w:r>
    </w:p>
    <w:p w:rsidR="00102F4D" w:rsidRPr="001A32CC" w:rsidRDefault="00102F4D" w:rsidP="00102F4D">
      <w:pPr>
        <w:rPr>
          <w:b/>
          <w:lang w:val="ru-RU"/>
        </w:rPr>
      </w:pPr>
      <w:r w:rsidRPr="001A32CC">
        <w:rPr>
          <w:b/>
          <w:lang w:val="ru-RU"/>
        </w:rPr>
        <w:t>2</w:t>
      </w:r>
      <w:r w:rsidRPr="001A32CC">
        <w:rPr>
          <w:lang w:val="ru-RU"/>
        </w:rPr>
        <w:tab/>
        <w:t>чтобы не учитывались результаты измерений, подверженные ошибкам в экспериментах;</w:t>
      </w:r>
    </w:p>
    <w:p w:rsidR="00102F4D" w:rsidRPr="001A32CC" w:rsidRDefault="00102F4D" w:rsidP="00102F4D">
      <w:pPr>
        <w:rPr>
          <w:lang w:val="ru-RU"/>
        </w:rPr>
      </w:pPr>
      <w:r w:rsidRPr="001A32CC">
        <w:rPr>
          <w:b/>
          <w:lang w:val="ru-RU"/>
        </w:rPr>
        <w:t>3</w:t>
      </w:r>
      <w:r w:rsidRPr="001A32CC">
        <w:rPr>
          <w:lang w:val="ru-RU"/>
        </w:rPr>
        <w:tab/>
        <w:t>чтобы боковые лепестки диаграммы направленности антенны измерялись с использованием минимальной дискретности измерения по углу, указанной в таблице 1, с тем чтобы охватить все боковые лепестки:</w:t>
      </w:r>
    </w:p>
    <w:p w:rsidR="00102F4D" w:rsidRPr="001A32CC" w:rsidRDefault="0000699B" w:rsidP="00102F4D">
      <w:pPr>
        <w:pStyle w:val="TableNo"/>
        <w:rPr>
          <w:lang w:val="ru-RU"/>
        </w:rPr>
      </w:pPr>
      <w:r>
        <w:rPr>
          <w:lang w:val="ru-RU"/>
        </w:rPr>
        <w:t xml:space="preserve">ТАБЛИЦА </w:t>
      </w:r>
      <w:r w:rsidR="00102F4D" w:rsidRPr="001A32CC">
        <w:rPr>
          <w:lang w:val="ru-RU"/>
        </w:rPr>
        <w:t>1</w:t>
      </w:r>
    </w:p>
    <w:p w:rsidR="00102F4D" w:rsidRPr="001A32CC" w:rsidRDefault="00102F4D" w:rsidP="00102F4D">
      <w:pPr>
        <w:pStyle w:val="Tabletitle"/>
        <w:rPr>
          <w:lang w:val="ru-RU"/>
        </w:rPr>
      </w:pPr>
      <w:r w:rsidRPr="001A32CC">
        <w:rPr>
          <w:lang w:val="ru-RU"/>
        </w:rPr>
        <w:t xml:space="preserve">Минимальная дискретность измерения 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3"/>
        <w:gridCol w:w="3213"/>
        <w:gridCol w:w="3213"/>
      </w:tblGrid>
      <w:tr w:rsidR="00102F4D" w:rsidRPr="00D728BE" w:rsidTr="005F2C4D">
        <w:trPr>
          <w:jc w:val="center"/>
        </w:trPr>
        <w:tc>
          <w:tcPr>
            <w:tcW w:w="3213" w:type="dxa"/>
            <w:vAlign w:val="center"/>
          </w:tcPr>
          <w:p w:rsidR="00102F4D" w:rsidRPr="001A32CC" w:rsidRDefault="00102F4D" w:rsidP="005F2C4D">
            <w:pPr>
              <w:pStyle w:val="Tablehead"/>
              <w:rPr>
                <w:lang w:val="ru-RU"/>
              </w:rPr>
            </w:pPr>
            <w:r w:rsidRPr="001A32CC">
              <w:rPr>
                <w:lang w:val="ru-RU"/>
              </w:rPr>
              <w:t>Размер антенны</w:t>
            </w:r>
          </w:p>
        </w:tc>
        <w:tc>
          <w:tcPr>
            <w:tcW w:w="3213" w:type="dxa"/>
            <w:vAlign w:val="center"/>
          </w:tcPr>
          <w:p w:rsidR="00102F4D" w:rsidRPr="001A32CC" w:rsidRDefault="00102F4D" w:rsidP="005F2C4D">
            <w:pPr>
              <w:pStyle w:val="Tablehead"/>
              <w:rPr>
                <w:lang w:val="ru-RU"/>
              </w:rPr>
            </w:pPr>
            <w:r w:rsidRPr="001A32CC">
              <w:rPr>
                <w:lang w:val="ru-RU"/>
              </w:rPr>
              <w:t xml:space="preserve">Дискретность измерения для </w:t>
            </w:r>
            <w:proofErr w:type="spellStart"/>
            <w:r w:rsidRPr="001A32CC">
              <w:rPr>
                <w:lang w:val="ru-RU"/>
              </w:rPr>
              <w:t>внеосевого</w:t>
            </w:r>
            <w:proofErr w:type="spellEnd"/>
            <w:r w:rsidRPr="001A32CC">
              <w:rPr>
                <w:lang w:val="ru-RU"/>
              </w:rPr>
              <w:t xml:space="preserve"> угла φ, </w:t>
            </w:r>
            <w:proofErr w:type="spellStart"/>
            <w:r w:rsidRPr="001A32CC">
              <w:rPr>
                <w:lang w:val="ru-RU"/>
              </w:rPr>
              <w:t>φ</w:t>
            </w:r>
            <w:r w:rsidRPr="001A32CC">
              <w:rPr>
                <w:vertAlign w:val="subscript"/>
                <w:lang w:val="ru-RU"/>
              </w:rPr>
              <w:t>min</w:t>
            </w:r>
            <w:proofErr w:type="spellEnd"/>
            <w:r w:rsidRPr="001A32CC">
              <w:rPr>
                <w:lang w:val="ru-RU"/>
              </w:rPr>
              <w:t xml:space="preserve"> ≤ φ ≤ 30°</w:t>
            </w:r>
          </w:p>
        </w:tc>
        <w:tc>
          <w:tcPr>
            <w:tcW w:w="3213" w:type="dxa"/>
            <w:vAlign w:val="center"/>
          </w:tcPr>
          <w:p w:rsidR="00102F4D" w:rsidRPr="001A32CC" w:rsidRDefault="00102F4D" w:rsidP="005F2C4D">
            <w:pPr>
              <w:pStyle w:val="Tablehead"/>
              <w:rPr>
                <w:lang w:val="ru-RU"/>
              </w:rPr>
            </w:pPr>
            <w:r w:rsidRPr="001A32CC">
              <w:rPr>
                <w:lang w:val="ru-RU"/>
              </w:rPr>
              <w:t xml:space="preserve">Дискретность измерения для </w:t>
            </w:r>
            <w:proofErr w:type="spellStart"/>
            <w:r w:rsidRPr="001A32CC">
              <w:rPr>
                <w:lang w:val="ru-RU"/>
              </w:rPr>
              <w:t>внеосевого</w:t>
            </w:r>
            <w:proofErr w:type="spellEnd"/>
            <w:r w:rsidRPr="001A32CC">
              <w:rPr>
                <w:lang w:val="ru-RU"/>
              </w:rPr>
              <w:t xml:space="preserve"> угла φ, 30° &lt; φ ≤ 180°</w:t>
            </w:r>
          </w:p>
        </w:tc>
      </w:tr>
      <w:tr w:rsidR="00102F4D" w:rsidRPr="001A32CC" w:rsidTr="005F2C4D">
        <w:trPr>
          <w:jc w:val="center"/>
        </w:trPr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i/>
                <w:iCs/>
                <w:lang w:val="ru-RU"/>
              </w:rPr>
              <w:t>D</w:t>
            </w:r>
            <w:r w:rsidRPr="001A32CC">
              <w:rPr>
                <w:lang w:val="ru-RU"/>
              </w:rPr>
              <w:t>/</w:t>
            </w:r>
            <w:r w:rsidRPr="001A32CC">
              <w:rPr>
                <w:lang w:val="ru-RU"/>
              </w:rPr>
              <w:sym w:font="Symbol" w:char="F06C"/>
            </w:r>
            <w:r w:rsidRPr="001A32CC">
              <w:rPr>
                <w:lang w:val="ru-RU"/>
              </w:rPr>
              <w:t xml:space="preserve"> </w:t>
            </w:r>
            <w:proofErr w:type="gramStart"/>
            <w:r w:rsidRPr="001A32CC">
              <w:rPr>
                <w:lang w:val="ru-RU"/>
              </w:rPr>
              <w:t>&lt; 25</w:t>
            </w:r>
            <w:proofErr w:type="gramEnd"/>
          </w:p>
        </w:tc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0,5°</w:t>
            </w:r>
          </w:p>
        </w:tc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0,5°</w:t>
            </w:r>
          </w:p>
        </w:tc>
      </w:tr>
      <w:tr w:rsidR="00102F4D" w:rsidRPr="001A32CC" w:rsidTr="005F2C4D">
        <w:trPr>
          <w:jc w:val="center"/>
        </w:trPr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 xml:space="preserve">25 </w:t>
            </w:r>
            <w:r w:rsidRPr="001A32CC">
              <w:rPr>
                <w:lang w:val="ru-RU"/>
              </w:rPr>
              <w:sym w:font="Symbol" w:char="F0A3"/>
            </w:r>
            <w:r w:rsidRPr="001A32CC">
              <w:rPr>
                <w:lang w:val="ru-RU"/>
              </w:rPr>
              <w:t xml:space="preserve"> </w:t>
            </w:r>
            <w:r w:rsidRPr="001A32CC">
              <w:rPr>
                <w:i/>
                <w:iCs/>
                <w:lang w:val="ru-RU"/>
              </w:rPr>
              <w:t>D</w:t>
            </w:r>
            <w:r w:rsidRPr="001A32CC">
              <w:rPr>
                <w:lang w:val="ru-RU"/>
              </w:rPr>
              <w:t>/</w:t>
            </w:r>
            <w:r w:rsidRPr="001A32CC">
              <w:rPr>
                <w:lang w:val="ru-RU"/>
              </w:rPr>
              <w:sym w:font="Symbol" w:char="F06C"/>
            </w:r>
            <w:r w:rsidRPr="001A32CC">
              <w:rPr>
                <w:lang w:val="ru-RU"/>
              </w:rPr>
              <w:t xml:space="preserve"> &lt; 50</w:t>
            </w:r>
          </w:p>
        </w:tc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0,25°</w:t>
            </w:r>
          </w:p>
        </w:tc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0,5°</w:t>
            </w:r>
          </w:p>
        </w:tc>
      </w:tr>
      <w:tr w:rsidR="00102F4D" w:rsidRPr="001A32CC" w:rsidTr="005F2C4D">
        <w:trPr>
          <w:jc w:val="center"/>
        </w:trPr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 xml:space="preserve">50 </w:t>
            </w:r>
            <w:r w:rsidRPr="001A32CC">
              <w:rPr>
                <w:lang w:val="ru-RU"/>
              </w:rPr>
              <w:sym w:font="Symbol" w:char="F0A3"/>
            </w:r>
            <w:r w:rsidRPr="001A32CC">
              <w:rPr>
                <w:lang w:val="ru-RU"/>
              </w:rPr>
              <w:t xml:space="preserve"> </w:t>
            </w:r>
            <w:r w:rsidRPr="001A32CC">
              <w:rPr>
                <w:i/>
                <w:iCs/>
                <w:lang w:val="ru-RU"/>
              </w:rPr>
              <w:t>D</w:t>
            </w:r>
            <w:r w:rsidRPr="001A32CC">
              <w:rPr>
                <w:lang w:val="ru-RU"/>
              </w:rPr>
              <w:t>/</w:t>
            </w:r>
            <w:r w:rsidRPr="001A32CC">
              <w:rPr>
                <w:lang w:val="ru-RU"/>
              </w:rPr>
              <w:sym w:font="Symbol" w:char="F06C"/>
            </w:r>
            <w:r w:rsidRPr="001A32CC">
              <w:rPr>
                <w:lang w:val="ru-RU"/>
              </w:rPr>
              <w:t xml:space="preserve"> &lt; 250</w:t>
            </w:r>
          </w:p>
        </w:tc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0,1°</w:t>
            </w:r>
          </w:p>
        </w:tc>
        <w:tc>
          <w:tcPr>
            <w:tcW w:w="3213" w:type="dxa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0,2°</w:t>
            </w:r>
          </w:p>
        </w:tc>
      </w:tr>
      <w:tr w:rsidR="00102F4D" w:rsidRPr="001A32CC" w:rsidTr="005F2C4D">
        <w:trPr>
          <w:jc w:val="center"/>
        </w:trPr>
        <w:tc>
          <w:tcPr>
            <w:tcW w:w="3213" w:type="dxa"/>
            <w:tcBorders>
              <w:bottom w:val="single" w:sz="4" w:space="0" w:color="000000"/>
            </w:tcBorders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 xml:space="preserve">250 ≤ </w:t>
            </w:r>
            <w:r w:rsidRPr="001A32CC">
              <w:rPr>
                <w:i/>
                <w:iCs/>
                <w:lang w:val="ru-RU"/>
              </w:rPr>
              <w:t>D</w:t>
            </w:r>
            <w:r w:rsidRPr="001A32CC">
              <w:rPr>
                <w:lang w:val="ru-RU"/>
              </w:rPr>
              <w:t>/</w:t>
            </w:r>
            <w:r w:rsidRPr="001A32CC">
              <w:rPr>
                <w:lang w:val="ru-RU"/>
              </w:rPr>
              <w:sym w:font="Symbol" w:char="F06C"/>
            </w:r>
          </w:p>
        </w:tc>
        <w:tc>
          <w:tcPr>
            <w:tcW w:w="3213" w:type="dxa"/>
            <w:tcBorders>
              <w:bottom w:val="single" w:sz="4" w:space="0" w:color="000000"/>
            </w:tcBorders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 xml:space="preserve">0,05° (или 0,1°) </w:t>
            </w:r>
            <w:r w:rsidRPr="001A32CC">
              <w:rPr>
                <w:lang w:val="ru-RU"/>
              </w:rPr>
              <w:br/>
              <w:t>(см. Примечание 2)</w:t>
            </w:r>
          </w:p>
        </w:tc>
        <w:tc>
          <w:tcPr>
            <w:tcW w:w="3213" w:type="dxa"/>
            <w:tcBorders>
              <w:bottom w:val="single" w:sz="4" w:space="0" w:color="000000"/>
            </w:tcBorders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0,1°</w:t>
            </w:r>
          </w:p>
        </w:tc>
      </w:tr>
      <w:tr w:rsidR="00102F4D" w:rsidRPr="001A32CC" w:rsidTr="005F2C4D">
        <w:trPr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102F4D" w:rsidRPr="001A32CC" w:rsidRDefault="00102F4D" w:rsidP="005F2C4D">
            <w:pPr>
              <w:pStyle w:val="Tabletext"/>
              <w:rPr>
                <w:lang w:val="ru-RU"/>
              </w:rPr>
            </w:pPr>
            <w:r w:rsidRPr="001A32CC">
              <w:rPr>
                <w:lang w:val="ru-RU" w:eastAsia="ja-JP"/>
              </w:rPr>
              <w:t xml:space="preserve">ПРИМЕЧАНИЕ 2. – В случае антенн большого размера с отношением </w:t>
            </w:r>
            <w:r w:rsidRPr="001A32CC">
              <w:rPr>
                <w:i/>
                <w:iCs/>
                <w:lang w:val="ru-RU" w:eastAsia="ja-JP"/>
              </w:rPr>
              <w:t>D</w:t>
            </w:r>
            <w:r w:rsidRPr="001A32CC">
              <w:rPr>
                <w:lang w:val="ru-RU" w:eastAsia="ja-JP"/>
              </w:rPr>
              <w:t>/</w:t>
            </w:r>
            <w:r w:rsidRPr="001A32CC">
              <w:rPr>
                <w:lang w:val="ru-RU" w:eastAsia="ja-JP"/>
              </w:rPr>
              <w:sym w:font="Symbol" w:char="F06C"/>
            </w:r>
            <w:r w:rsidRPr="001A32CC">
              <w:rPr>
                <w:lang w:val="ru-RU" w:eastAsia="ja-JP"/>
              </w:rPr>
              <w:t xml:space="preserve"> &gt; 250, когда наибольший размер физической апертуры превышает 12 м, требуемая дискретность измерения по углу равна 0,1° для всех </w:t>
            </w:r>
            <w:proofErr w:type="spellStart"/>
            <w:r w:rsidRPr="001A32CC">
              <w:rPr>
                <w:lang w:val="ru-RU" w:eastAsia="ja-JP"/>
              </w:rPr>
              <w:t>внеосевых</w:t>
            </w:r>
            <w:proofErr w:type="spellEnd"/>
            <w:r w:rsidRPr="001A32CC">
              <w:rPr>
                <w:lang w:val="ru-RU" w:eastAsia="ja-JP"/>
              </w:rPr>
              <w:t xml:space="preserve"> углов. Могут потребоваться дополнительные исследования для определения максимального размера физической апертуры антенны, выше которого измерения с дискретностью 0,05° нецелесообразны.</w:t>
            </w:r>
          </w:p>
        </w:tc>
      </w:tr>
    </w:tbl>
    <w:p w:rsidR="00102F4D" w:rsidRPr="001A32CC" w:rsidRDefault="00102F4D" w:rsidP="00102F4D">
      <w:pPr>
        <w:rPr>
          <w:lang w:val="ru-RU"/>
        </w:rPr>
      </w:pPr>
      <w:r w:rsidRPr="001A32CC">
        <w:rPr>
          <w:b/>
          <w:lang w:val="ru-RU"/>
        </w:rPr>
        <w:t>4</w:t>
      </w:r>
      <w:r w:rsidRPr="001A32CC">
        <w:rPr>
          <w:b/>
          <w:lang w:val="ru-RU"/>
        </w:rPr>
        <w:tab/>
      </w:r>
      <w:r w:rsidRPr="001A32CC">
        <w:rPr>
          <w:bCs/>
          <w:lang w:val="ru-RU"/>
        </w:rPr>
        <w:t xml:space="preserve">чтобы пиковые значения усиления </w:t>
      </w:r>
      <w:r w:rsidRPr="001A32CC">
        <w:rPr>
          <w:lang w:val="ru-RU"/>
        </w:rPr>
        <w:t xml:space="preserve">боковых лепестков в пределах каждого окна выборки не превышали огибающие эталонных диаграмм направленности более чем на </w:t>
      </w:r>
      <w:r w:rsidRPr="001A32CC">
        <w:rPr>
          <w:i/>
          <w:iCs/>
          <w:lang w:val="ru-RU"/>
        </w:rPr>
        <w:t>Y</w:t>
      </w:r>
      <w:r w:rsidRPr="001A32CC">
        <w:rPr>
          <w:lang w:val="ru-RU"/>
        </w:rPr>
        <w:t xml:space="preserve"> дБ, при этом значения </w:t>
      </w:r>
      <w:r w:rsidRPr="001A32CC">
        <w:rPr>
          <w:i/>
          <w:iCs/>
          <w:lang w:val="ru-RU"/>
        </w:rPr>
        <w:t>Y</w:t>
      </w:r>
      <w:r w:rsidRPr="001A32CC">
        <w:rPr>
          <w:lang w:val="ru-RU"/>
        </w:rPr>
        <w:t xml:space="preserve"> приведены в таблице 2:</w:t>
      </w:r>
    </w:p>
    <w:p w:rsidR="00102F4D" w:rsidRPr="001A32CC" w:rsidRDefault="0000699B" w:rsidP="00102F4D">
      <w:pPr>
        <w:pStyle w:val="TableNo"/>
        <w:rPr>
          <w:lang w:val="ru-RU"/>
        </w:rPr>
      </w:pPr>
      <w:r>
        <w:rPr>
          <w:lang w:val="ru-RU"/>
        </w:rPr>
        <w:t xml:space="preserve">ТАБЛИЦА </w:t>
      </w:r>
      <w:r w:rsidR="00102F4D" w:rsidRPr="001A32CC">
        <w:rPr>
          <w:lang w:val="ru-RU"/>
        </w:rPr>
        <w:t>2</w:t>
      </w:r>
    </w:p>
    <w:p w:rsidR="00102F4D" w:rsidRPr="001A32CC" w:rsidRDefault="00102F4D" w:rsidP="00102F4D">
      <w:pPr>
        <w:pStyle w:val="Tabletitle"/>
        <w:rPr>
          <w:rFonts w:asciiTheme="majorBidi" w:hAnsiTheme="majorBidi" w:cstheme="majorBidi"/>
          <w:lang w:val="ru-RU"/>
        </w:rPr>
      </w:pPr>
      <w:r w:rsidRPr="001A32CC">
        <w:rPr>
          <w:rFonts w:asciiTheme="majorBidi" w:hAnsiTheme="majorBidi" w:cstheme="majorBidi"/>
          <w:lang w:val="ru-RU"/>
        </w:rPr>
        <w:t>Области углов (окна выборки) для обработки результатов измерений</w:t>
      </w:r>
      <w:r w:rsidRPr="001A32CC">
        <w:rPr>
          <w:rFonts w:asciiTheme="majorBidi" w:hAnsiTheme="majorBidi" w:cstheme="majorBidi"/>
          <w:lang w:val="ru-RU"/>
        </w:rPr>
        <w:br/>
        <w:t xml:space="preserve">пиков боковых лепестков и допустимые превышения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5"/>
        <w:gridCol w:w="3137"/>
        <w:gridCol w:w="3137"/>
      </w:tblGrid>
      <w:tr w:rsidR="00102F4D" w:rsidRPr="00D728BE" w:rsidTr="005F2C4D">
        <w:trPr>
          <w:jc w:val="center"/>
        </w:trPr>
        <w:tc>
          <w:tcPr>
            <w:tcW w:w="2552" w:type="dxa"/>
            <w:vAlign w:val="center"/>
          </w:tcPr>
          <w:p w:rsidR="00102F4D" w:rsidRPr="001A32CC" w:rsidRDefault="00102F4D" w:rsidP="005F2C4D">
            <w:pPr>
              <w:pStyle w:val="Tablehead"/>
              <w:rPr>
                <w:lang w:val="ru-RU"/>
              </w:rPr>
            </w:pPr>
            <w:r w:rsidRPr="001A32CC">
              <w:rPr>
                <w:lang w:val="ru-RU"/>
              </w:rPr>
              <w:t>Области углов/окна выборки</w:t>
            </w:r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head"/>
              <w:rPr>
                <w:lang w:val="ru-RU"/>
              </w:rPr>
            </w:pPr>
            <w:r w:rsidRPr="001A32CC">
              <w:rPr>
                <w:lang w:val="ru-RU"/>
              </w:rPr>
              <w:t>Угловые пределы (°)</w:t>
            </w:r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head"/>
              <w:rPr>
                <w:lang w:val="ru-RU"/>
              </w:rPr>
            </w:pPr>
            <w:r w:rsidRPr="001A32CC">
              <w:rPr>
                <w:lang w:val="ru-RU"/>
              </w:rPr>
              <w:t>Допустимое превышение (</w:t>
            </w:r>
            <w:r w:rsidRPr="001A32CC">
              <w:rPr>
                <w:i/>
                <w:iCs/>
                <w:lang w:val="ru-RU"/>
              </w:rPr>
              <w:t>Y</w:t>
            </w:r>
            <w:r w:rsidRPr="001A32CC">
              <w:rPr>
                <w:lang w:val="ru-RU"/>
              </w:rPr>
              <w:t>, в дБ)</w:t>
            </w:r>
          </w:p>
        </w:tc>
      </w:tr>
      <w:tr w:rsidR="00102F4D" w:rsidRPr="001A32CC" w:rsidTr="005F2C4D">
        <w:trPr>
          <w:jc w:val="center"/>
        </w:trPr>
        <w:tc>
          <w:tcPr>
            <w:tcW w:w="2552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sym w:font="Symbol" w:char="F020"/>
            </w:r>
            <w:r w:rsidRPr="001A32CC">
              <w:rPr>
                <w:lang w:val="ru-RU"/>
              </w:rPr>
              <w:sym w:font="Symbol" w:char="F044"/>
            </w:r>
            <w:r w:rsidRPr="001A32CC">
              <w:rPr>
                <w:lang w:val="ru-RU"/>
              </w:rPr>
              <w:sym w:font="Symbol" w:char="F06A"/>
            </w:r>
            <w:proofErr w:type="spellStart"/>
            <w:r w:rsidRPr="001A32CC">
              <w:rPr>
                <w:i/>
                <w:iCs/>
                <w:vertAlign w:val="subscript"/>
                <w:lang w:val="ru-RU"/>
              </w:rPr>
              <w:t>W</w:t>
            </w:r>
            <w:r w:rsidRPr="001A32CC">
              <w:rPr>
                <w:vertAlign w:val="subscript"/>
                <w:lang w:val="ru-RU"/>
              </w:rPr>
              <w:t>1</w:t>
            </w:r>
            <w:proofErr w:type="spellEnd"/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1A32CC">
              <w:rPr>
                <w:lang w:val="ru-RU"/>
              </w:rPr>
              <w:t>φ</w:t>
            </w:r>
            <w:r w:rsidRPr="001A32CC">
              <w:rPr>
                <w:vertAlign w:val="subscript"/>
                <w:lang w:val="ru-RU"/>
              </w:rPr>
              <w:t>min</w:t>
            </w:r>
            <w:proofErr w:type="spellEnd"/>
            <w:r w:rsidRPr="001A32CC">
              <w:rPr>
                <w:lang w:val="ru-RU"/>
              </w:rPr>
              <w:t xml:space="preserve"> &lt; φ ≤ 7</w:t>
            </w:r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1</w:t>
            </w:r>
          </w:p>
        </w:tc>
      </w:tr>
      <w:tr w:rsidR="00102F4D" w:rsidRPr="001A32CC" w:rsidTr="005F2C4D">
        <w:trPr>
          <w:jc w:val="center"/>
        </w:trPr>
        <w:tc>
          <w:tcPr>
            <w:tcW w:w="2552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sym w:font="Symbol" w:char="F020"/>
            </w:r>
            <w:r w:rsidRPr="001A32CC">
              <w:rPr>
                <w:lang w:val="ru-RU"/>
              </w:rPr>
              <w:sym w:font="Symbol" w:char="F044"/>
            </w:r>
            <w:r w:rsidRPr="001A32CC">
              <w:rPr>
                <w:lang w:val="ru-RU"/>
              </w:rPr>
              <w:sym w:font="Symbol" w:char="F06A"/>
            </w:r>
            <w:proofErr w:type="spellStart"/>
            <w:r w:rsidRPr="001A32CC">
              <w:rPr>
                <w:i/>
                <w:iCs/>
                <w:vertAlign w:val="subscript"/>
                <w:lang w:val="ru-RU"/>
              </w:rPr>
              <w:t>W</w:t>
            </w:r>
            <w:r w:rsidRPr="001A32CC">
              <w:rPr>
                <w:vertAlign w:val="subscript"/>
                <w:lang w:val="ru-RU"/>
              </w:rPr>
              <w:t>2</w:t>
            </w:r>
            <w:proofErr w:type="spellEnd"/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b/>
                <w:lang w:val="ru-RU"/>
              </w:rPr>
            </w:pPr>
            <w:r w:rsidRPr="001A32CC">
              <w:rPr>
                <w:lang w:val="ru-RU"/>
              </w:rPr>
              <w:t>7 &lt; φ ≤ 9,2</w:t>
            </w:r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3</w:t>
            </w:r>
          </w:p>
        </w:tc>
      </w:tr>
      <w:tr w:rsidR="00102F4D" w:rsidRPr="001A32CC" w:rsidTr="005F2C4D">
        <w:trPr>
          <w:jc w:val="center"/>
        </w:trPr>
        <w:tc>
          <w:tcPr>
            <w:tcW w:w="2552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sym w:font="Symbol" w:char="F044"/>
            </w:r>
            <w:r w:rsidRPr="001A32CC">
              <w:rPr>
                <w:lang w:val="ru-RU"/>
              </w:rPr>
              <w:sym w:font="Symbol" w:char="F06A"/>
            </w:r>
            <w:proofErr w:type="spellStart"/>
            <w:r w:rsidRPr="001A32CC">
              <w:rPr>
                <w:i/>
                <w:iCs/>
                <w:vertAlign w:val="subscript"/>
                <w:lang w:val="ru-RU"/>
              </w:rPr>
              <w:t>W</w:t>
            </w:r>
            <w:r w:rsidRPr="001A32CC">
              <w:rPr>
                <w:rFonts w:ascii="Times" w:hAnsi="Times"/>
                <w:vertAlign w:val="subscript"/>
                <w:lang w:val="ru-RU"/>
              </w:rPr>
              <w:t>3</w:t>
            </w:r>
            <w:proofErr w:type="spellEnd"/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b/>
                <w:sz w:val="28"/>
                <w:lang w:val="ru-RU"/>
              </w:rPr>
            </w:pPr>
            <w:r w:rsidRPr="001A32CC">
              <w:rPr>
                <w:lang w:val="ru-RU"/>
              </w:rPr>
              <w:t>9,2 &lt; φ ≤ 48</w:t>
            </w:r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3</w:t>
            </w:r>
          </w:p>
        </w:tc>
      </w:tr>
      <w:tr w:rsidR="00102F4D" w:rsidRPr="001A32CC" w:rsidTr="005F2C4D">
        <w:trPr>
          <w:jc w:val="center"/>
        </w:trPr>
        <w:tc>
          <w:tcPr>
            <w:tcW w:w="2552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sym w:font="Symbol" w:char="F044"/>
            </w:r>
            <w:r w:rsidRPr="001A32CC">
              <w:rPr>
                <w:lang w:val="ru-RU"/>
              </w:rPr>
              <w:sym w:font="Symbol" w:char="F06A"/>
            </w:r>
            <w:proofErr w:type="spellStart"/>
            <w:r w:rsidRPr="001A32CC">
              <w:rPr>
                <w:i/>
                <w:iCs/>
                <w:vertAlign w:val="subscript"/>
                <w:lang w:val="ru-RU"/>
              </w:rPr>
              <w:t>W</w:t>
            </w:r>
            <w:r w:rsidRPr="001A32CC">
              <w:rPr>
                <w:rFonts w:ascii="Times" w:hAnsi="Times"/>
                <w:vertAlign w:val="subscript"/>
                <w:lang w:val="ru-RU"/>
              </w:rPr>
              <w:t>4</w:t>
            </w:r>
            <w:proofErr w:type="spellEnd"/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b/>
                <w:lang w:val="ru-RU"/>
              </w:rPr>
            </w:pPr>
            <w:r w:rsidRPr="001A32CC">
              <w:rPr>
                <w:lang w:val="ru-RU"/>
              </w:rPr>
              <w:t>48 &lt; φ ≤ 180</w:t>
            </w:r>
          </w:p>
        </w:tc>
        <w:tc>
          <w:tcPr>
            <w:tcW w:w="2379" w:type="dxa"/>
            <w:vAlign w:val="center"/>
          </w:tcPr>
          <w:p w:rsidR="00102F4D" w:rsidRPr="001A32CC" w:rsidRDefault="00102F4D" w:rsidP="005F2C4D">
            <w:pPr>
              <w:pStyle w:val="Tabletext"/>
              <w:jc w:val="center"/>
              <w:rPr>
                <w:lang w:val="ru-RU"/>
              </w:rPr>
            </w:pPr>
            <w:r w:rsidRPr="001A32CC">
              <w:rPr>
                <w:lang w:val="ru-RU"/>
              </w:rPr>
              <w:t>10</w:t>
            </w:r>
          </w:p>
        </w:tc>
      </w:tr>
    </w:tbl>
    <w:p w:rsidR="00102F4D" w:rsidRPr="001A32CC" w:rsidRDefault="00102F4D" w:rsidP="00102F4D">
      <w:pPr>
        <w:pStyle w:val="Tablefin"/>
        <w:rPr>
          <w:lang w:val="ru-RU"/>
        </w:rPr>
      </w:pPr>
    </w:p>
    <w:p w:rsidR="00102F4D" w:rsidRPr="001A32CC" w:rsidRDefault="00102F4D" w:rsidP="00102F4D">
      <w:pPr>
        <w:rPr>
          <w:lang w:val="ru-RU"/>
        </w:rPr>
      </w:pPr>
      <w:r w:rsidRPr="001A32CC">
        <w:rPr>
          <w:lang w:val="ru-RU"/>
        </w:rPr>
        <w:t xml:space="preserve">В таблице 2, нижний предел первой области углов </w:t>
      </w:r>
      <w:proofErr w:type="spellStart"/>
      <w:r w:rsidRPr="001A32CC">
        <w:rPr>
          <w:lang w:val="ru-RU"/>
        </w:rPr>
        <w:t>Δφ</w:t>
      </w:r>
      <w:r w:rsidRPr="001A32CC">
        <w:rPr>
          <w:i/>
          <w:iCs/>
          <w:vertAlign w:val="subscript"/>
          <w:lang w:val="ru-RU"/>
        </w:rPr>
        <w:t>W</w:t>
      </w:r>
      <w:r w:rsidRPr="001A32CC">
        <w:rPr>
          <w:vertAlign w:val="subscript"/>
          <w:lang w:val="ru-RU"/>
        </w:rPr>
        <w:t>1</w:t>
      </w:r>
      <w:proofErr w:type="spellEnd"/>
      <w:r w:rsidRPr="001A32CC">
        <w:rPr>
          <w:lang w:val="ru-RU"/>
        </w:rPr>
        <w:t xml:space="preserve"> равен 1° или </w:t>
      </w:r>
      <w:r w:rsidRPr="001A32CC">
        <w:rPr>
          <w:szCs w:val="24"/>
          <w:lang w:val="ru-RU"/>
        </w:rPr>
        <w:t>(100 λ/</w:t>
      </w:r>
      <w:r w:rsidRPr="001A32CC">
        <w:rPr>
          <w:i/>
          <w:iCs/>
          <w:szCs w:val="24"/>
          <w:lang w:val="ru-RU"/>
        </w:rPr>
        <w:t>D</w:t>
      </w:r>
      <w:r w:rsidRPr="001A32CC">
        <w:rPr>
          <w:szCs w:val="24"/>
          <w:lang w:val="ru-RU"/>
        </w:rPr>
        <w:t>) градусов, в зависимости от того, какое значение больше;</w:t>
      </w:r>
    </w:p>
    <w:p w:rsidR="00102F4D" w:rsidRPr="001A32CC" w:rsidRDefault="00102F4D" w:rsidP="00102F4D">
      <w:pPr>
        <w:keepNext/>
        <w:keepLines/>
        <w:rPr>
          <w:lang w:val="ru-RU"/>
        </w:rPr>
      </w:pPr>
      <w:bookmarkStart w:id="7" w:name="f019"/>
      <w:r w:rsidRPr="001A32CC">
        <w:rPr>
          <w:b/>
          <w:lang w:val="ru-RU"/>
        </w:rPr>
        <w:lastRenderedPageBreak/>
        <w:t>5</w:t>
      </w:r>
      <w:bookmarkEnd w:id="7"/>
      <w:r w:rsidRPr="001A32CC">
        <w:rPr>
          <w:b/>
          <w:lang w:val="ru-RU"/>
        </w:rPr>
        <w:tab/>
      </w:r>
      <w:r w:rsidRPr="001A32CC">
        <w:rPr>
          <w:bCs/>
          <w:lang w:val="ru-RU"/>
        </w:rPr>
        <w:t xml:space="preserve">чтобы в случае если в определенных областях углов количество </w:t>
      </w:r>
      <w:r w:rsidRPr="001A32CC">
        <w:rPr>
          <w:lang w:val="ru-RU"/>
        </w:rPr>
        <w:t>пиков боковых лепестков меньше 10, процентная доля пиков боковых лепестков диаграммы направленности антенны земной станции, которые не соответствуют эталонной диаграмме направленности, определяла</w:t>
      </w:r>
      <w:r w:rsidR="0000699B">
        <w:rPr>
          <w:lang w:val="ru-RU"/>
        </w:rPr>
        <w:t>сь с</w:t>
      </w:r>
      <w:r w:rsidR="0000699B">
        <w:rPr>
          <w:lang w:val="en-US"/>
        </w:rPr>
        <w:t> </w:t>
      </w:r>
      <w:r w:rsidRPr="001A32CC">
        <w:rPr>
          <w:lang w:val="ru-RU"/>
        </w:rPr>
        <w:t>использованием следующего выражения:</w:t>
      </w:r>
    </w:p>
    <w:p w:rsidR="00102F4D" w:rsidRPr="001A32CC" w:rsidRDefault="00102F4D" w:rsidP="00102F4D">
      <w:pPr>
        <w:pStyle w:val="Equation"/>
        <w:rPr>
          <w:lang w:val="ru-RU"/>
        </w:rPr>
      </w:pPr>
      <w:r w:rsidRPr="001A32CC">
        <w:rPr>
          <w:lang w:val="ru-RU"/>
        </w:rPr>
        <w:tab/>
      </w:r>
      <w:r w:rsidRPr="001A32CC">
        <w:rPr>
          <w:lang w:val="ru-RU"/>
        </w:rPr>
        <w:tab/>
      </w:r>
      <w:r w:rsidRPr="001A32CC">
        <w:rPr>
          <w:position w:val="-28"/>
          <w:lang w:val="ru-RU"/>
        </w:rPr>
        <w:object w:dxaOrig="25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85pt;height:33.8pt" o:ole="" fillcolor="window">
            <v:imagedata r:id="rId14" o:title=""/>
          </v:shape>
          <o:OLEObject Type="Embed" ProgID="Equation.3" ShapeID="_x0000_i1025" DrawAspect="Content" ObjectID="_1473762193" r:id="rId15"/>
        </w:object>
      </w:r>
      <w:r w:rsidRPr="001A32CC">
        <w:rPr>
          <w:lang w:val="ru-RU"/>
        </w:rPr>
        <w:t>,</w:t>
      </w:r>
    </w:p>
    <w:p w:rsidR="00102F4D" w:rsidRPr="001A32CC" w:rsidRDefault="00102F4D" w:rsidP="00102F4D">
      <w:pPr>
        <w:keepNext/>
        <w:keepLines/>
        <w:tabs>
          <w:tab w:val="center" w:pos="4820"/>
          <w:tab w:val="right" w:pos="9639"/>
        </w:tabs>
        <w:spacing w:before="0"/>
        <w:rPr>
          <w:lang w:val="ru-RU"/>
        </w:rPr>
      </w:pPr>
      <w:r w:rsidRPr="001A32CC">
        <w:rPr>
          <w:lang w:val="ru-RU"/>
        </w:rPr>
        <w:t>где:</w:t>
      </w:r>
    </w:p>
    <w:p w:rsidR="00102F4D" w:rsidRPr="001A32CC" w:rsidRDefault="00102F4D" w:rsidP="00102F4D">
      <w:pPr>
        <w:pStyle w:val="Equationlegend"/>
        <w:keepNext/>
        <w:keepLines/>
        <w:rPr>
          <w:i/>
          <w:lang w:val="ru-RU"/>
        </w:rPr>
      </w:pPr>
      <w:r w:rsidRPr="001A32CC">
        <w:rPr>
          <w:i/>
          <w:lang w:val="ru-RU"/>
        </w:rPr>
        <w:tab/>
        <w:t xml:space="preserve">j: </w:t>
      </w:r>
      <w:r w:rsidRPr="001A32CC">
        <w:rPr>
          <w:i/>
          <w:lang w:val="ru-RU"/>
        </w:rPr>
        <w:tab/>
      </w:r>
      <w:r w:rsidRPr="001A32CC">
        <w:rPr>
          <w:lang w:val="ru-RU"/>
        </w:rPr>
        <w:t xml:space="preserve">индекс анализируемой области углов </w:t>
      </w:r>
      <w:r w:rsidRPr="001A32CC">
        <w:rPr>
          <w:rFonts w:ascii="Calibri" w:hAnsi="Calibri"/>
          <w:lang w:val="ru-RU"/>
        </w:rPr>
        <w:sym w:font="Symbol" w:char="F044"/>
      </w:r>
      <w:r w:rsidRPr="001A32CC">
        <w:rPr>
          <w:rFonts w:ascii="Calibri" w:hAnsi="Calibri"/>
          <w:lang w:val="ru-RU"/>
        </w:rPr>
        <w:sym w:font="Symbol" w:char="F06A"/>
      </w:r>
      <w:r w:rsidRPr="001A32CC">
        <w:rPr>
          <w:rFonts w:asciiTheme="majorBidi" w:hAnsiTheme="majorBidi" w:cstheme="majorBidi"/>
          <w:i/>
          <w:iCs/>
          <w:vertAlign w:val="subscript"/>
          <w:lang w:val="ru-RU"/>
        </w:rPr>
        <w:t>W</w:t>
      </w:r>
      <w:r w:rsidRPr="001A32CC">
        <w:rPr>
          <w:lang w:val="ru-RU"/>
        </w:rPr>
        <w:t>,</w:t>
      </w:r>
      <w:r w:rsidR="0000699B">
        <w:rPr>
          <w:lang w:val="ru-RU"/>
        </w:rPr>
        <w:t xml:space="preserve"> который изменяется от 1 до 4 в</w:t>
      </w:r>
      <w:r w:rsidR="0000699B">
        <w:t> </w:t>
      </w:r>
      <w:r w:rsidRPr="001A32CC">
        <w:rPr>
          <w:lang w:val="ru-RU"/>
        </w:rPr>
        <w:t>соответствии с таблицей 2;</w:t>
      </w:r>
    </w:p>
    <w:p w:rsidR="00102F4D" w:rsidRPr="001A32CC" w:rsidRDefault="00102F4D" w:rsidP="00102F4D">
      <w:pPr>
        <w:pStyle w:val="Equationlegend"/>
        <w:keepNext/>
        <w:keepLines/>
        <w:rPr>
          <w:lang w:val="ru-RU"/>
        </w:rPr>
      </w:pPr>
      <w:r w:rsidRPr="001A32CC">
        <w:rPr>
          <w:i/>
          <w:lang w:val="ru-RU"/>
        </w:rPr>
        <w:tab/>
        <w:t>N</w:t>
      </w:r>
      <w:r w:rsidRPr="001A32CC">
        <w:rPr>
          <w:lang w:val="ru-RU"/>
        </w:rPr>
        <w:t xml:space="preserve">: </w:t>
      </w:r>
      <w:r w:rsidRPr="001A32CC">
        <w:rPr>
          <w:lang w:val="ru-RU"/>
        </w:rPr>
        <w:tab/>
        <w:t xml:space="preserve">количество пиков боковых лепестков, превышающих огибающую эталонной диаграммы направленности, в пределах </w:t>
      </w:r>
      <w:r w:rsidRPr="001A32CC">
        <w:rPr>
          <w:i/>
          <w:lang w:val="ru-RU"/>
        </w:rPr>
        <w:t>j</w:t>
      </w:r>
      <w:r w:rsidR="001A32CC">
        <w:rPr>
          <w:lang w:val="ru-RU"/>
        </w:rPr>
        <w:t>-</w:t>
      </w:r>
      <w:r w:rsidRPr="001A32CC">
        <w:rPr>
          <w:lang w:val="ru-RU"/>
        </w:rPr>
        <w:t>й области углов;</w:t>
      </w:r>
    </w:p>
    <w:p w:rsidR="00102F4D" w:rsidRPr="001A32CC" w:rsidRDefault="00102F4D" w:rsidP="00102F4D">
      <w:pPr>
        <w:pStyle w:val="Equationlegend"/>
        <w:rPr>
          <w:lang w:val="ru-RU"/>
        </w:rPr>
      </w:pPr>
      <w:r w:rsidRPr="001A32CC">
        <w:rPr>
          <w:lang w:val="ru-RU"/>
        </w:rPr>
        <w:tab/>
      </w:r>
      <w:r w:rsidRPr="001A32CC">
        <w:rPr>
          <w:lang w:val="ru-RU"/>
        </w:rPr>
        <w:sym w:font="Symbol" w:char="F044"/>
      </w:r>
      <w:r w:rsidRPr="001A32CC">
        <w:rPr>
          <w:lang w:val="ru-RU"/>
        </w:rPr>
        <w:sym w:font="Symbol" w:char="F06A"/>
      </w:r>
      <w:proofErr w:type="gramStart"/>
      <w:r w:rsidRPr="001A32CC">
        <w:rPr>
          <w:i/>
          <w:iCs/>
          <w:vertAlign w:val="subscript"/>
          <w:lang w:val="ru-RU"/>
        </w:rPr>
        <w:t>i</w:t>
      </w:r>
      <w:r w:rsidRPr="001A32CC">
        <w:rPr>
          <w:lang w:val="ru-RU"/>
        </w:rPr>
        <w:t>:</w:t>
      </w:r>
      <w:r w:rsidRPr="001A32CC">
        <w:rPr>
          <w:lang w:val="ru-RU"/>
        </w:rPr>
        <w:tab/>
      </w:r>
      <w:proofErr w:type="gramEnd"/>
      <w:r w:rsidRPr="001A32CC">
        <w:rPr>
          <w:lang w:val="ru-RU"/>
        </w:rPr>
        <w:t xml:space="preserve">ширина </w:t>
      </w:r>
      <w:r w:rsidRPr="001A32CC">
        <w:rPr>
          <w:i/>
          <w:lang w:val="ru-RU"/>
        </w:rPr>
        <w:t>i</w:t>
      </w:r>
      <w:r w:rsidR="001A32CC">
        <w:rPr>
          <w:lang w:val="ru-RU"/>
        </w:rPr>
        <w:t>-</w:t>
      </w:r>
      <w:proofErr w:type="spellStart"/>
      <w:r w:rsidRPr="001A32CC">
        <w:rPr>
          <w:lang w:val="ru-RU"/>
        </w:rPr>
        <w:t>го</w:t>
      </w:r>
      <w:proofErr w:type="spellEnd"/>
      <w:r w:rsidRPr="001A32CC">
        <w:rPr>
          <w:lang w:val="ru-RU"/>
        </w:rPr>
        <w:t xml:space="preserve"> пика боковых лепестков, который превышает огибающую эталонной диаграммы направленности, по выборке (градусы);</w:t>
      </w:r>
    </w:p>
    <w:p w:rsidR="00102F4D" w:rsidRPr="001A32CC" w:rsidRDefault="00102F4D" w:rsidP="001A32CC">
      <w:pPr>
        <w:pStyle w:val="Equationlegend"/>
        <w:rPr>
          <w:lang w:val="ru-RU"/>
        </w:rPr>
      </w:pPr>
      <w:r w:rsidRPr="001A32CC">
        <w:rPr>
          <w:lang w:val="ru-RU"/>
        </w:rPr>
        <w:tab/>
      </w:r>
      <w:r w:rsidRPr="001A32CC">
        <w:rPr>
          <w:lang w:val="ru-RU"/>
        </w:rPr>
        <w:sym w:font="Symbol" w:char="F044"/>
      </w:r>
      <w:r w:rsidRPr="001A32CC">
        <w:rPr>
          <w:lang w:val="ru-RU"/>
        </w:rPr>
        <w:sym w:font="Symbol" w:char="F06A"/>
      </w:r>
      <w:r w:rsidRPr="001A32CC">
        <w:rPr>
          <w:i/>
          <w:iCs/>
          <w:vertAlign w:val="subscript"/>
          <w:lang w:val="ru-RU"/>
        </w:rPr>
        <w:t>W</w:t>
      </w:r>
      <w:r w:rsidRPr="001A32CC">
        <w:rPr>
          <w:lang w:val="ru-RU"/>
        </w:rPr>
        <w:t xml:space="preserve">: </w:t>
      </w:r>
      <w:r w:rsidRPr="001A32CC">
        <w:rPr>
          <w:lang w:val="ru-RU"/>
        </w:rPr>
        <w:tab/>
        <w:t xml:space="preserve">общая угловая ширина </w:t>
      </w:r>
      <w:r w:rsidRPr="001A32CC">
        <w:rPr>
          <w:i/>
          <w:lang w:val="ru-RU"/>
        </w:rPr>
        <w:t>j</w:t>
      </w:r>
      <w:r w:rsidR="001A32CC">
        <w:rPr>
          <w:lang w:val="ru-RU"/>
        </w:rPr>
        <w:t>-</w:t>
      </w:r>
      <w:r w:rsidRPr="001A32CC">
        <w:rPr>
          <w:lang w:val="ru-RU"/>
        </w:rPr>
        <w:t>й области углов, в пределах которой проводятся измерения (градусы)</w:t>
      </w:r>
      <w:r w:rsidR="001A32CC" w:rsidRPr="001A32CC">
        <w:rPr>
          <w:szCs w:val="24"/>
          <w:lang w:val="ru-RU"/>
        </w:rPr>
        <w:t>;</w:t>
      </w:r>
    </w:p>
    <w:p w:rsidR="00102F4D" w:rsidRPr="001A32CC" w:rsidRDefault="00102F4D" w:rsidP="00102F4D">
      <w:pPr>
        <w:rPr>
          <w:lang w:val="ru-RU"/>
        </w:rPr>
      </w:pPr>
      <w:bookmarkStart w:id="8" w:name="f020"/>
      <w:r w:rsidRPr="001A32CC">
        <w:rPr>
          <w:b/>
          <w:lang w:val="ru-RU"/>
        </w:rPr>
        <w:t>6</w:t>
      </w:r>
      <w:r w:rsidRPr="001A32CC">
        <w:rPr>
          <w:b/>
          <w:lang w:val="ru-RU"/>
        </w:rPr>
        <w:tab/>
      </w:r>
      <w:r w:rsidRPr="001A32CC">
        <w:rPr>
          <w:bCs/>
          <w:lang w:val="ru-RU"/>
        </w:rPr>
        <w:t xml:space="preserve">чтобы антенны считались соответствующими эталонной диаграмме направленности антенны, если они удовлетворяют условию, изложенному в пункте 4 раздела </w:t>
      </w:r>
      <w:r w:rsidRPr="001A32CC">
        <w:rPr>
          <w:bCs/>
          <w:i/>
          <w:iCs/>
          <w:lang w:val="ru-RU"/>
        </w:rPr>
        <w:t>рекомендует</w:t>
      </w:r>
      <w:r w:rsidRPr="001A32CC">
        <w:rPr>
          <w:bCs/>
          <w:lang w:val="ru-RU"/>
        </w:rPr>
        <w:t xml:space="preserve">, и процентная доля </w:t>
      </w:r>
      <w:r w:rsidRPr="001A32CC">
        <w:rPr>
          <w:lang w:val="ru-RU"/>
        </w:rPr>
        <w:t xml:space="preserve">боковых лепестков, превышающих огибающую эталонной диаграммы направленности антенны, не превышает допустимый предел, или если в случаях, охваченных в пункте 5 раздела </w:t>
      </w:r>
      <w:r w:rsidRPr="001A32CC">
        <w:rPr>
          <w:i/>
          <w:iCs/>
          <w:lang w:val="ru-RU"/>
        </w:rPr>
        <w:t>рекомендует</w:t>
      </w:r>
      <w:r w:rsidRPr="001A32CC">
        <w:rPr>
          <w:lang w:val="ru-RU"/>
        </w:rPr>
        <w:t xml:space="preserve">, ни одно из значений </w:t>
      </w:r>
      <w:proofErr w:type="spellStart"/>
      <w:r w:rsidRPr="001A32CC">
        <w:rPr>
          <w:i/>
          <w:lang w:val="ru-RU"/>
        </w:rPr>
        <w:t>X</w:t>
      </w:r>
      <w:r w:rsidRPr="001A32CC">
        <w:rPr>
          <w:i/>
          <w:vertAlign w:val="subscript"/>
          <w:lang w:val="ru-RU"/>
        </w:rPr>
        <w:t>j</w:t>
      </w:r>
      <w:proofErr w:type="spellEnd"/>
      <w:r w:rsidRPr="001A32CC">
        <w:rPr>
          <w:i/>
          <w:lang w:val="ru-RU"/>
        </w:rPr>
        <w:t xml:space="preserve"> </w:t>
      </w:r>
      <w:r w:rsidRPr="001A32CC">
        <w:rPr>
          <w:lang w:val="ru-RU"/>
        </w:rPr>
        <w:t>не превышает допустимую процентную долю превышения.</w:t>
      </w:r>
    </w:p>
    <w:bookmarkEnd w:id="8"/>
    <w:p w:rsidR="00102F4D" w:rsidRPr="001A32CC" w:rsidRDefault="00102F4D" w:rsidP="0000699B">
      <w:pPr>
        <w:spacing w:before="720"/>
        <w:jc w:val="center"/>
        <w:rPr>
          <w:lang w:val="ru-RU"/>
        </w:rPr>
      </w:pPr>
      <w:r w:rsidRPr="001A32CC">
        <w:rPr>
          <w:lang w:val="ru-RU"/>
        </w:rPr>
        <w:t>______________</w:t>
      </w:r>
    </w:p>
    <w:sectPr w:rsidR="00102F4D" w:rsidRPr="001A32CC" w:rsidSect="00F064C9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ADE" w:rsidRDefault="00A03ADE">
      <w:r>
        <w:separator/>
      </w:r>
    </w:p>
  </w:endnote>
  <w:endnote w:type="continuationSeparator" w:id="0">
    <w:p w:rsidR="00A03ADE" w:rsidRDefault="00A0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ADE" w:rsidRDefault="00A03ADE">
      <w:r>
        <w:separator/>
      </w:r>
    </w:p>
  </w:footnote>
  <w:footnote w:type="continuationSeparator" w:id="0">
    <w:p w:rsidR="00A03ADE" w:rsidRDefault="00A03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E" w:rsidRPr="0087787F" w:rsidRDefault="00E818B0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 w:rsidR="00A03AD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34505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 w:rsidR="00A03ADE">
      <w:rPr>
        <w:lang w:val="en-US"/>
      </w:rPr>
      <w:tab/>
    </w:r>
    <w:r w:rsidR="00A03ADE" w:rsidRPr="00EB6480">
      <w:rPr>
        <w:b/>
        <w:szCs w:val="22"/>
        <w:lang w:val="ru-RU"/>
      </w:rPr>
      <w:t>Рек</w:t>
    </w:r>
    <w:r w:rsidR="00A03ADE" w:rsidRPr="0087787F">
      <w:rPr>
        <w:b/>
        <w:szCs w:val="22"/>
        <w:lang w:val="en-US"/>
      </w:rPr>
      <w:t>.</w:t>
    </w:r>
    <w:r w:rsidR="00A03ADE">
      <w:rPr>
        <w:b/>
        <w:szCs w:val="22"/>
        <w:lang w:val="en-US"/>
      </w:rPr>
      <w:t xml:space="preserve"> </w:t>
    </w:r>
    <w:r w:rsidR="00A03ADE"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="00A03ADE"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E1033A">
      <w:rPr>
        <w:b/>
        <w:bCs/>
        <w:noProof/>
        <w:szCs w:val="22"/>
        <w:lang w:val="en-US"/>
      </w:rPr>
      <w:t>МСЭ-R  S.732-1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E" w:rsidRDefault="00A03ADE" w:rsidP="006C4CC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49C8AB1" wp14:editId="34819D6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C22" w:rsidRDefault="00356C22" w:rsidP="001D248B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E1033A">
      <w:rPr>
        <w:rStyle w:val="PageNumber"/>
        <w:b/>
        <w:bCs/>
        <w:noProof/>
        <w:lang w:val="en-US"/>
      </w:rPr>
      <w:t>2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="001D248B" w:rsidRPr="00553C5F">
      <w:rPr>
        <w:b/>
        <w:szCs w:val="22"/>
        <w:lang w:val="ru-RU"/>
      </w:rPr>
      <w:t>Рек.</w:t>
    </w:r>
    <w:r w:rsidR="001D248B" w:rsidRPr="00553C5F">
      <w:rPr>
        <w:b/>
        <w:szCs w:val="22"/>
        <w:lang w:val="en-US"/>
      </w:rPr>
      <w:t xml:space="preserve"> </w:t>
    </w:r>
    <w:r w:rsidR="001D248B" w:rsidRPr="00553C5F">
      <w:rPr>
        <w:b/>
        <w:szCs w:val="22"/>
        <w:lang w:val="ru-RU"/>
      </w:rPr>
      <w:t xml:space="preserve"> </w:t>
    </w:r>
    <w:r w:rsidR="001D248B" w:rsidRPr="00553C5F">
      <w:rPr>
        <w:b/>
        <w:bCs/>
        <w:szCs w:val="22"/>
        <w:lang w:val="en-US"/>
      </w:rPr>
      <w:fldChar w:fldCharType="begin"/>
    </w:r>
    <w:r w:rsidR="001D248B" w:rsidRPr="00553C5F">
      <w:rPr>
        <w:b/>
        <w:bCs/>
        <w:szCs w:val="22"/>
        <w:lang w:val="en-US"/>
      </w:rPr>
      <w:instrText>styleref href</w:instrText>
    </w:r>
    <w:r w:rsidR="001D248B" w:rsidRPr="00553C5F">
      <w:rPr>
        <w:b/>
        <w:bCs/>
        <w:szCs w:val="22"/>
        <w:lang w:val="en-US"/>
      </w:rPr>
      <w:fldChar w:fldCharType="separate"/>
    </w:r>
    <w:r w:rsidR="00E1033A">
      <w:rPr>
        <w:b/>
        <w:bCs/>
        <w:noProof/>
        <w:szCs w:val="22"/>
        <w:lang w:val="en-US"/>
      </w:rPr>
      <w:t>МСЭ-R  S.732-1</w:t>
    </w:r>
    <w:r w:rsidR="001D248B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C22" w:rsidRDefault="00356C22" w:rsidP="001A32CC">
    <w:pPr>
      <w:pStyle w:val="Header"/>
    </w:pPr>
    <w:r>
      <w:tab/>
    </w:r>
    <w:r w:rsidR="005C299B">
      <w:fldChar w:fldCharType="begin"/>
    </w:r>
    <w:r w:rsidR="005C299B">
      <w:instrText xml:space="preserve"> DOCPROPERTY "Header" \* MERGEFORMAT </w:instrText>
    </w:r>
    <w:r w:rsidR="005C299B">
      <w:fldChar w:fldCharType="separate"/>
    </w:r>
    <w:proofErr w:type="spellStart"/>
    <w:r w:rsidR="00E1033A" w:rsidRPr="00E1033A">
      <w:rPr>
        <w:b/>
        <w:bCs/>
        <w:lang w:val="ru-RU"/>
      </w:rPr>
      <w:t>Rec</w:t>
    </w:r>
    <w:proofErr w:type="spellEnd"/>
    <w:r w:rsidR="00E1033A" w:rsidRPr="00E1033A">
      <w:rPr>
        <w:b/>
        <w:bCs/>
      </w:rPr>
      <w:t xml:space="preserve">. </w:t>
    </w:r>
    <w:r w:rsidR="005C299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1033A">
      <w:rPr>
        <w:b/>
        <w:bCs/>
        <w:noProof/>
      </w:rPr>
      <w:t>МСЭ-R  S.732-1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1033A">
      <w:rPr>
        <w:rStyle w:val="PageNumber"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4C9" w:rsidRPr="00F064C9" w:rsidRDefault="00F064C9" w:rsidP="00F064C9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1033A">
      <w:rPr>
        <w:b/>
        <w:bCs/>
        <w:noProof/>
        <w:szCs w:val="22"/>
        <w:lang w:val="en-US"/>
      </w:rPr>
      <w:t>МСЭ-R  S.732-1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E1033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C4"/>
    <w:rsid w:val="0000699B"/>
    <w:rsid w:val="00022D6E"/>
    <w:rsid w:val="000302C4"/>
    <w:rsid w:val="00090D61"/>
    <w:rsid w:val="000B6D5E"/>
    <w:rsid w:val="000C692B"/>
    <w:rsid w:val="000E6793"/>
    <w:rsid w:val="000F05DE"/>
    <w:rsid w:val="00102F4D"/>
    <w:rsid w:val="00141FB2"/>
    <w:rsid w:val="00155A9D"/>
    <w:rsid w:val="00180FD1"/>
    <w:rsid w:val="001A32CC"/>
    <w:rsid w:val="001A7241"/>
    <w:rsid w:val="001D248B"/>
    <w:rsid w:val="001F1778"/>
    <w:rsid w:val="001F38BB"/>
    <w:rsid w:val="001F3D76"/>
    <w:rsid w:val="001F55AB"/>
    <w:rsid w:val="00202B3A"/>
    <w:rsid w:val="00211024"/>
    <w:rsid w:val="00234CC6"/>
    <w:rsid w:val="00242EDC"/>
    <w:rsid w:val="00255EA8"/>
    <w:rsid w:val="00261E05"/>
    <w:rsid w:val="00262AF0"/>
    <w:rsid w:val="00285728"/>
    <w:rsid w:val="002A47C4"/>
    <w:rsid w:val="002B255D"/>
    <w:rsid w:val="002C211C"/>
    <w:rsid w:val="002D76C4"/>
    <w:rsid w:val="002E0F1F"/>
    <w:rsid w:val="003020FE"/>
    <w:rsid w:val="00345055"/>
    <w:rsid w:val="00350642"/>
    <w:rsid w:val="00356C22"/>
    <w:rsid w:val="003632CE"/>
    <w:rsid w:val="003744B7"/>
    <w:rsid w:val="003844F5"/>
    <w:rsid w:val="00394E4A"/>
    <w:rsid w:val="003A5758"/>
    <w:rsid w:val="003A72C0"/>
    <w:rsid w:val="003B6F4D"/>
    <w:rsid w:val="003C210C"/>
    <w:rsid w:val="003C2818"/>
    <w:rsid w:val="003D083B"/>
    <w:rsid w:val="00406257"/>
    <w:rsid w:val="004A138C"/>
    <w:rsid w:val="004A285F"/>
    <w:rsid w:val="004A6C01"/>
    <w:rsid w:val="004C07D5"/>
    <w:rsid w:val="004C7316"/>
    <w:rsid w:val="004D2825"/>
    <w:rsid w:val="00553C5F"/>
    <w:rsid w:val="00566860"/>
    <w:rsid w:val="00567211"/>
    <w:rsid w:val="005804BC"/>
    <w:rsid w:val="00595F33"/>
    <w:rsid w:val="005A2568"/>
    <w:rsid w:val="005B0038"/>
    <w:rsid w:val="005C299B"/>
    <w:rsid w:val="005D742F"/>
    <w:rsid w:val="005F05C0"/>
    <w:rsid w:val="005F1D05"/>
    <w:rsid w:val="00603EFE"/>
    <w:rsid w:val="006057B3"/>
    <w:rsid w:val="00606FE9"/>
    <w:rsid w:val="00607D68"/>
    <w:rsid w:val="00612042"/>
    <w:rsid w:val="00642A54"/>
    <w:rsid w:val="006754FA"/>
    <w:rsid w:val="006819AF"/>
    <w:rsid w:val="00683303"/>
    <w:rsid w:val="0069082E"/>
    <w:rsid w:val="006A0D1B"/>
    <w:rsid w:val="006A439D"/>
    <w:rsid w:val="006C4CCA"/>
    <w:rsid w:val="006E5C1B"/>
    <w:rsid w:val="007062C4"/>
    <w:rsid w:val="00714ECE"/>
    <w:rsid w:val="00744173"/>
    <w:rsid w:val="007468DA"/>
    <w:rsid w:val="00770C37"/>
    <w:rsid w:val="007B1C30"/>
    <w:rsid w:val="007D3949"/>
    <w:rsid w:val="007D4404"/>
    <w:rsid w:val="007E458E"/>
    <w:rsid w:val="007F0E17"/>
    <w:rsid w:val="0081768D"/>
    <w:rsid w:val="00822AD6"/>
    <w:rsid w:val="00822C73"/>
    <w:rsid w:val="00831DCB"/>
    <w:rsid w:val="008367CE"/>
    <w:rsid w:val="00851D6F"/>
    <w:rsid w:val="0087787F"/>
    <w:rsid w:val="00880C18"/>
    <w:rsid w:val="008C2CDF"/>
    <w:rsid w:val="008C4E6F"/>
    <w:rsid w:val="00907586"/>
    <w:rsid w:val="009100DB"/>
    <w:rsid w:val="009147EC"/>
    <w:rsid w:val="009343B7"/>
    <w:rsid w:val="00944983"/>
    <w:rsid w:val="00956248"/>
    <w:rsid w:val="009669C2"/>
    <w:rsid w:val="009815C0"/>
    <w:rsid w:val="009A2F5B"/>
    <w:rsid w:val="009E0FC0"/>
    <w:rsid w:val="009E5274"/>
    <w:rsid w:val="009F3311"/>
    <w:rsid w:val="00A01360"/>
    <w:rsid w:val="00A03ADE"/>
    <w:rsid w:val="00A12202"/>
    <w:rsid w:val="00A25081"/>
    <w:rsid w:val="00A42B65"/>
    <w:rsid w:val="00A43973"/>
    <w:rsid w:val="00A51B7E"/>
    <w:rsid w:val="00A60BE4"/>
    <w:rsid w:val="00A6617B"/>
    <w:rsid w:val="00A673AC"/>
    <w:rsid w:val="00A77404"/>
    <w:rsid w:val="00A92951"/>
    <w:rsid w:val="00AB0DC8"/>
    <w:rsid w:val="00AD24EE"/>
    <w:rsid w:val="00AF1EE1"/>
    <w:rsid w:val="00B23BB0"/>
    <w:rsid w:val="00B24DB3"/>
    <w:rsid w:val="00B270C7"/>
    <w:rsid w:val="00B31341"/>
    <w:rsid w:val="00B44E24"/>
    <w:rsid w:val="00B503E6"/>
    <w:rsid w:val="00B93D47"/>
    <w:rsid w:val="00BA1F57"/>
    <w:rsid w:val="00C356DA"/>
    <w:rsid w:val="00C67D2F"/>
    <w:rsid w:val="00C7458C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B08"/>
    <w:rsid w:val="00D728BE"/>
    <w:rsid w:val="00D81734"/>
    <w:rsid w:val="00DE2BFC"/>
    <w:rsid w:val="00DF4176"/>
    <w:rsid w:val="00E043FB"/>
    <w:rsid w:val="00E1033A"/>
    <w:rsid w:val="00E167D3"/>
    <w:rsid w:val="00E33626"/>
    <w:rsid w:val="00E54115"/>
    <w:rsid w:val="00E7138C"/>
    <w:rsid w:val="00E77FB7"/>
    <w:rsid w:val="00E818B0"/>
    <w:rsid w:val="00E917F4"/>
    <w:rsid w:val="00E94F3B"/>
    <w:rsid w:val="00EB6480"/>
    <w:rsid w:val="00EF17A6"/>
    <w:rsid w:val="00EF6CD3"/>
    <w:rsid w:val="00F064C9"/>
    <w:rsid w:val="00F306EC"/>
    <w:rsid w:val="00F35730"/>
    <w:rsid w:val="00F52441"/>
    <w:rsid w:val="00F665E2"/>
    <w:rsid w:val="00F705B4"/>
    <w:rsid w:val="00F90BBD"/>
    <w:rsid w:val="00F96B26"/>
    <w:rsid w:val="00FB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5:docId w15:val="{0A8FADDF-F6CD-40F4-9F0C-849E47E7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27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E527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E527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E527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E527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E527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E527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E527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E527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E527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9E527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9E5274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9E527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9E5274"/>
  </w:style>
  <w:style w:type="paragraph" w:customStyle="1" w:styleId="Headingb">
    <w:name w:val="Heading_b"/>
    <w:basedOn w:val="Heading3"/>
    <w:next w:val="Normal"/>
    <w:rsid w:val="009E527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527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5274"/>
  </w:style>
  <w:style w:type="paragraph" w:customStyle="1" w:styleId="enumlev1">
    <w:name w:val="enumlev1"/>
    <w:basedOn w:val="Normal"/>
    <w:link w:val="enumlev10"/>
    <w:rsid w:val="009E5274"/>
    <w:pPr>
      <w:spacing w:before="80"/>
      <w:ind w:left="794" w:hanging="794"/>
    </w:pPr>
  </w:style>
  <w:style w:type="paragraph" w:customStyle="1" w:styleId="enumlev2">
    <w:name w:val="enumlev2"/>
    <w:basedOn w:val="enumlev1"/>
    <w:rsid w:val="009E5274"/>
    <w:pPr>
      <w:ind w:left="1191" w:hanging="397"/>
    </w:pPr>
  </w:style>
  <w:style w:type="paragraph" w:customStyle="1" w:styleId="enumlev3">
    <w:name w:val="enumlev3"/>
    <w:basedOn w:val="enumlev2"/>
    <w:rsid w:val="009E5274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9E5274"/>
    <w:pPr>
      <w:spacing w:before="320"/>
    </w:pPr>
  </w:style>
  <w:style w:type="paragraph" w:customStyle="1" w:styleId="Note">
    <w:name w:val="Note"/>
    <w:basedOn w:val="Normal"/>
    <w:rsid w:val="009E527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9E527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9E5274"/>
    <w:pPr>
      <w:jc w:val="center"/>
    </w:pPr>
  </w:style>
  <w:style w:type="paragraph" w:customStyle="1" w:styleId="Recdate">
    <w:name w:val="Rec_date"/>
    <w:basedOn w:val="Recref"/>
    <w:next w:val="Normalaftertitle"/>
    <w:rsid w:val="009E5274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9E527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9E5274"/>
  </w:style>
  <w:style w:type="paragraph" w:customStyle="1" w:styleId="Tablefin">
    <w:name w:val="Table_fin"/>
    <w:basedOn w:val="Normal"/>
    <w:next w:val="Normal"/>
    <w:rsid w:val="009E527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527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527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9E527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527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9E527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527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5274"/>
    <w:pPr>
      <w:ind w:left="794"/>
    </w:pPr>
  </w:style>
  <w:style w:type="paragraph" w:customStyle="1" w:styleId="Figurelegend">
    <w:name w:val="Figure_legend"/>
    <w:basedOn w:val="Normal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527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9E527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5274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5274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527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527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5274"/>
    <w:rPr>
      <w:b/>
    </w:rPr>
  </w:style>
  <w:style w:type="paragraph" w:customStyle="1" w:styleId="Chaptitle">
    <w:name w:val="Chap_title"/>
    <w:basedOn w:val="Arttitle"/>
    <w:next w:val="Normalaftertitle"/>
    <w:rsid w:val="009E5274"/>
  </w:style>
  <w:style w:type="character" w:styleId="FootnoteReference">
    <w:name w:val="footnote reference"/>
    <w:basedOn w:val="DefaultParagraphFont"/>
    <w:semiHidden/>
    <w:rsid w:val="009E5274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9E5274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semiHidden/>
    <w:rsid w:val="009E5274"/>
  </w:style>
  <w:style w:type="paragraph" w:styleId="Index2">
    <w:name w:val="index 2"/>
    <w:basedOn w:val="Normal"/>
    <w:next w:val="Normal"/>
    <w:semiHidden/>
    <w:rsid w:val="009E5274"/>
    <w:pPr>
      <w:ind w:left="283"/>
    </w:pPr>
  </w:style>
  <w:style w:type="paragraph" w:styleId="Index3">
    <w:name w:val="index 3"/>
    <w:basedOn w:val="Normal"/>
    <w:next w:val="Normal"/>
    <w:semiHidden/>
    <w:rsid w:val="009E5274"/>
    <w:pPr>
      <w:ind w:left="566"/>
    </w:pPr>
  </w:style>
  <w:style w:type="paragraph" w:styleId="IndexHeading">
    <w:name w:val="index heading"/>
    <w:basedOn w:val="Normal"/>
    <w:next w:val="Index1"/>
    <w:semiHidden/>
    <w:rsid w:val="009E5274"/>
  </w:style>
  <w:style w:type="paragraph" w:customStyle="1" w:styleId="Line">
    <w:name w:val="Line"/>
    <w:basedOn w:val="Normal"/>
    <w:next w:val="Normal"/>
    <w:rsid w:val="009E527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527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5274"/>
  </w:style>
  <w:style w:type="paragraph" w:customStyle="1" w:styleId="Partref">
    <w:name w:val="Part_ref"/>
    <w:basedOn w:val="Normal"/>
    <w:next w:val="Normal"/>
    <w:rsid w:val="009E527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5274"/>
  </w:style>
  <w:style w:type="paragraph" w:customStyle="1" w:styleId="QuestionNo">
    <w:name w:val="Question_No"/>
    <w:basedOn w:val="RecNo"/>
    <w:next w:val="Normal"/>
    <w:rsid w:val="009E5274"/>
  </w:style>
  <w:style w:type="paragraph" w:customStyle="1" w:styleId="Questionref">
    <w:name w:val="Question_ref"/>
    <w:basedOn w:val="Recref"/>
    <w:next w:val="Questiondate"/>
    <w:rsid w:val="009E5274"/>
  </w:style>
  <w:style w:type="paragraph" w:customStyle="1" w:styleId="Questiontitle">
    <w:name w:val="Question_title"/>
    <w:basedOn w:val="Normal"/>
    <w:next w:val="Questionref"/>
    <w:rsid w:val="009E5274"/>
  </w:style>
  <w:style w:type="paragraph" w:customStyle="1" w:styleId="Reftext">
    <w:name w:val="Ref_text"/>
    <w:basedOn w:val="Normal"/>
    <w:rsid w:val="009E5274"/>
    <w:pPr>
      <w:ind w:left="794" w:hanging="794"/>
    </w:pPr>
  </w:style>
  <w:style w:type="paragraph" w:customStyle="1" w:styleId="Reftitle">
    <w:name w:val="Ref_title"/>
    <w:basedOn w:val="Normal"/>
    <w:next w:val="Reftext"/>
    <w:rsid w:val="009E527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5274"/>
  </w:style>
  <w:style w:type="paragraph" w:customStyle="1" w:styleId="RepNo">
    <w:name w:val="Rep_No"/>
    <w:basedOn w:val="RecNo"/>
    <w:next w:val="Reptitle"/>
    <w:rsid w:val="009E5274"/>
  </w:style>
  <w:style w:type="paragraph" w:customStyle="1" w:styleId="Repref">
    <w:name w:val="Rep_ref"/>
    <w:basedOn w:val="Recref"/>
    <w:next w:val="Repdate"/>
    <w:rsid w:val="009E5274"/>
  </w:style>
  <w:style w:type="paragraph" w:customStyle="1" w:styleId="Reptitle">
    <w:name w:val="Rep_title"/>
    <w:basedOn w:val="Rectitle"/>
    <w:next w:val="Repref"/>
    <w:rsid w:val="009E5274"/>
  </w:style>
  <w:style w:type="paragraph" w:customStyle="1" w:styleId="Resdate">
    <w:name w:val="Res_date"/>
    <w:basedOn w:val="Recdate"/>
    <w:next w:val="Normalaftertitle"/>
    <w:rsid w:val="009E5274"/>
  </w:style>
  <w:style w:type="paragraph" w:customStyle="1" w:styleId="ResNo">
    <w:name w:val="Res_No"/>
    <w:basedOn w:val="RecNo"/>
    <w:next w:val="Restitle"/>
    <w:rsid w:val="009E5274"/>
  </w:style>
  <w:style w:type="paragraph" w:customStyle="1" w:styleId="Resref">
    <w:name w:val="Res_ref"/>
    <w:basedOn w:val="Recref"/>
    <w:next w:val="Resdate"/>
    <w:rsid w:val="009E5274"/>
  </w:style>
  <w:style w:type="paragraph" w:customStyle="1" w:styleId="Restitle">
    <w:name w:val="Res_title"/>
    <w:basedOn w:val="Normal"/>
    <w:next w:val="Resref"/>
    <w:rsid w:val="009E5274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9E5274"/>
  </w:style>
  <w:style w:type="paragraph" w:customStyle="1" w:styleId="Sectiontitle">
    <w:name w:val="Section_title"/>
    <w:basedOn w:val="Normal"/>
    <w:next w:val="Normalaftertitle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527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527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527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527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527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5274"/>
  </w:style>
  <w:style w:type="paragraph" w:styleId="TOC6">
    <w:name w:val="toc 6"/>
    <w:basedOn w:val="TOC4"/>
    <w:semiHidden/>
    <w:rsid w:val="009E5274"/>
  </w:style>
  <w:style w:type="paragraph" w:styleId="TOC7">
    <w:name w:val="toc 7"/>
    <w:basedOn w:val="TOC4"/>
    <w:semiHidden/>
    <w:rsid w:val="009E5274"/>
  </w:style>
  <w:style w:type="paragraph" w:styleId="TOC8">
    <w:name w:val="toc 8"/>
    <w:basedOn w:val="TOC4"/>
    <w:semiHidden/>
    <w:rsid w:val="009E5274"/>
  </w:style>
  <w:style w:type="paragraph" w:customStyle="1" w:styleId="Rectitle">
    <w:name w:val="Rec_title"/>
    <w:basedOn w:val="Normal"/>
    <w:next w:val="Recref"/>
    <w:rsid w:val="009E527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9E527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5274"/>
  </w:style>
  <w:style w:type="paragraph" w:customStyle="1" w:styleId="Figuretitle">
    <w:name w:val="Figure_title"/>
    <w:basedOn w:val="Normal"/>
    <w:next w:val="Figure"/>
    <w:rsid w:val="009E527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9E527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5274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9E5274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9E5274"/>
    <w:pPr>
      <w:keepNext w:val="0"/>
      <w:spacing w:before="0" w:after="240"/>
    </w:p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character" w:styleId="Hyperlink">
    <w:name w:val="Hyperlink"/>
    <w:basedOn w:val="DefaultParagraphFont"/>
    <w:rsid w:val="009E5274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character" w:customStyle="1" w:styleId="enumlev10">
    <w:name w:val="enumlev1 Знак"/>
    <w:basedOn w:val="DefaultParagraphFont"/>
    <w:link w:val="enumlev1"/>
    <w:locked/>
    <w:rsid w:val="00102F4D"/>
    <w:rPr>
      <w:szCs w:val="20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102F4D"/>
    <w:rPr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102F4D"/>
    <w:rPr>
      <w:sz w:val="20"/>
      <w:szCs w:val="20"/>
      <w:lang w:val="fr-FR" w:eastAsia="en-US"/>
    </w:rPr>
  </w:style>
  <w:style w:type="character" w:customStyle="1" w:styleId="EquationeqChar">
    <w:name w:val="Equation.eq Char"/>
    <w:link w:val="Equation"/>
    <w:rsid w:val="00102F4D"/>
    <w:rPr>
      <w:szCs w:val="20"/>
      <w:lang w:val="fr-FR" w:eastAsia="en-US"/>
    </w:rPr>
  </w:style>
  <w:style w:type="character" w:customStyle="1" w:styleId="TabletitleChar">
    <w:name w:val="Table_title Char"/>
    <w:link w:val="Tabletitle"/>
    <w:locked/>
    <w:rsid w:val="00102F4D"/>
    <w:rPr>
      <w:b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65EF7-23FD-4A3E-ADEC-165291A8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</TotalTime>
  <Pages>5</Pages>
  <Words>1164</Words>
  <Characters>8249</Characters>
  <Application>Microsoft Office Word</Application>
  <DocSecurity>0</DocSecurity>
  <Lines>549</Lines>
  <Paragraphs>294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9119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S.732-1 (12/2012) - Метод статистической обработки пиков ‎боковых лепестков диаграммы ‎направленности антенны земной станции ‎для определения превышения ‎огибающих эталонных диаграмм ‎направленности антенн и условий ‎приемлемости какого-либо превышения</dc:title>
  <dc:subject/>
  <dc:creator>POOL</dc:creator>
  <cp:keywords/>
  <dc:description/>
  <cp:lastModifiedBy>Berdyeva, Elena</cp:lastModifiedBy>
  <cp:revision>12</cp:revision>
  <cp:lastPrinted>2014-10-02T11:33:00Z</cp:lastPrinted>
  <dcterms:created xsi:type="dcterms:W3CDTF">2014-09-25T13:50:00Z</dcterms:created>
  <dcterms:modified xsi:type="dcterms:W3CDTF">2014-10-02T11:35:00Z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