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C84DA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Pr="00A443C2">
              <w:rPr>
                <w:rFonts w:ascii="Tahoma" w:hAnsi="Tahoma" w:cs="Tahoma"/>
                <w:b/>
                <w:bCs/>
                <w:iCs/>
                <w:color w:val="243285"/>
                <w:sz w:val="36"/>
                <w:szCs w:val="36"/>
              </w:rPr>
              <w:t>.</w:t>
            </w:r>
            <w:r w:rsidR="00C84DA5">
              <w:rPr>
                <w:rFonts w:ascii="Tahoma" w:hAnsi="Tahoma" w:cs="Tahoma"/>
                <w:b/>
                <w:bCs/>
                <w:iCs/>
                <w:color w:val="243285"/>
                <w:sz w:val="36"/>
                <w:szCs w:val="36"/>
              </w:rPr>
              <w:t>465-6</w:t>
            </w:r>
          </w:p>
          <w:p w:rsidR="00FE79FE" w:rsidRPr="00A443C2" w:rsidRDefault="00FE79FE" w:rsidP="00C84DA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C84DA5">
              <w:rPr>
                <w:rFonts w:ascii="Tahoma" w:hAnsi="Tahoma" w:cs="Tahoma"/>
                <w:b/>
                <w:bCs/>
                <w:iCs/>
                <w:color w:val="243285"/>
                <w:szCs w:val="24"/>
              </w:rPr>
              <w:t>1</w:t>
            </w:r>
            <w:r w:rsidRPr="00A443C2">
              <w:rPr>
                <w:rFonts w:ascii="Tahoma" w:hAnsi="Tahoma" w:cs="Tahoma"/>
                <w:b/>
                <w:bCs/>
                <w:iCs/>
                <w:color w:val="243285"/>
                <w:szCs w:val="24"/>
              </w:rPr>
              <w:t>/</w:t>
            </w:r>
            <w:r w:rsidR="00C84DA5">
              <w:rPr>
                <w:rFonts w:ascii="Tahoma" w:hAnsi="Tahoma" w:cs="Tahoma"/>
                <w:b/>
                <w:bCs/>
                <w:iCs/>
                <w:color w:val="243285"/>
                <w:szCs w:val="24"/>
              </w:rPr>
              <w:t>2010</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C84DA5" w:rsidP="00C84DA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Diagramme de rayonnement de référence pour des antennes de station terrienne du service fixe par satellite, à utiliser pour</w:t>
            </w:r>
            <w:r>
              <w:rPr>
                <w:rFonts w:ascii="Tahoma" w:hAnsi="Tahoma" w:cs="Tahoma"/>
                <w:b/>
                <w:bCs/>
                <w:iCs/>
                <w:color w:val="243285"/>
                <w:sz w:val="44"/>
                <w:szCs w:val="44"/>
              </w:rPr>
              <w:br/>
              <w:t>la coordination et pour l'évaluation des brouillages dans la gamme des fréquences comprises entre 2 et 31 GHz</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32652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p>
          <w:p w:rsidR="00FE79FE" w:rsidRPr="00F54FBD" w:rsidRDefault="004822EF"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w:t>
            </w:r>
            <w:r w:rsidR="00326525">
              <w:rPr>
                <w:rFonts w:ascii="Tahoma" w:hAnsi="Tahoma" w:cs="Tahoma"/>
                <w:b/>
                <w:bCs/>
                <w:iCs/>
                <w:color w:val="243285"/>
                <w:sz w:val="36"/>
                <w:szCs w:val="36"/>
              </w:rPr>
              <w:t>ervice fixe par satellite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84DA5"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326525">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rsidTr="00326525">
        <w:tc>
          <w:tcPr>
            <w:tcW w:w="1140" w:type="dxa"/>
            <w:tcBorders>
              <w:top w:val="nil"/>
              <w:bottom w:val="nil"/>
            </w:tcBorders>
            <w:shd w:val="clear" w:color="auto" w:fill="auto"/>
          </w:tcPr>
          <w:p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326525" w:rsidTr="00326525">
        <w:tc>
          <w:tcPr>
            <w:tcW w:w="1140" w:type="dxa"/>
            <w:tcBorders>
              <w:top w:val="nil"/>
              <w:bottom w:val="nil"/>
            </w:tcBorders>
            <w:shd w:val="clear" w:color="auto" w:fill="F3F3F3"/>
          </w:tcPr>
          <w:p w:rsidR="00F54FBD" w:rsidRPr="00326525" w:rsidRDefault="00F54FBD" w:rsidP="00F336CC">
            <w:pPr>
              <w:spacing w:before="30" w:after="30"/>
              <w:ind w:left="57"/>
              <w:jc w:val="left"/>
              <w:rPr>
                <w:b/>
                <w:bCs/>
                <w:color w:val="000080"/>
                <w:sz w:val="20"/>
                <w:lang w:val="en-US"/>
              </w:rPr>
            </w:pPr>
            <w:r w:rsidRPr="00326525">
              <w:rPr>
                <w:b/>
                <w:bCs/>
                <w:color w:val="000080"/>
                <w:sz w:val="20"/>
                <w:lang w:val="en-US"/>
              </w:rPr>
              <w:t>S</w:t>
            </w:r>
          </w:p>
        </w:tc>
        <w:tc>
          <w:tcPr>
            <w:tcW w:w="8220" w:type="dxa"/>
            <w:tcBorders>
              <w:top w:val="nil"/>
              <w:bottom w:val="nil"/>
            </w:tcBorders>
            <w:shd w:val="clear" w:color="auto" w:fill="F3F3F3"/>
          </w:tcPr>
          <w:p w:rsidR="00F54FBD" w:rsidRPr="00326525" w:rsidRDefault="00614CC6" w:rsidP="00F336CC">
            <w:pPr>
              <w:spacing w:before="30" w:after="30"/>
              <w:jc w:val="left"/>
              <w:rPr>
                <w:b/>
                <w:bCs/>
                <w:color w:val="000080"/>
                <w:sz w:val="20"/>
                <w:lang w:val="en-US"/>
              </w:rPr>
            </w:pPr>
            <w:r w:rsidRPr="00326525">
              <w:rPr>
                <w:b/>
                <w:bCs/>
                <w:color w:val="000080"/>
                <w:sz w:val="20"/>
              </w:rPr>
              <w:t>Service fixe par satellite</w:t>
            </w:r>
          </w:p>
        </w:tc>
      </w:tr>
      <w:tr w:rsidR="00F54FBD" w:rsidRPr="00036EE3" w:rsidTr="00326525">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Borders>
              <w:top w:val="nil"/>
            </w:tcBorders>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61168A">
      <w:pPr>
        <w:spacing w:before="0"/>
        <w:jc w:val="right"/>
        <w:rPr>
          <w:sz w:val="20"/>
        </w:rPr>
      </w:pPr>
      <w:r w:rsidRPr="00614CC6">
        <w:rPr>
          <w:sz w:val="20"/>
        </w:rPr>
        <w:t>G</w:t>
      </w:r>
      <w:r w:rsidR="00614CC6" w:rsidRPr="00614CC6">
        <w:rPr>
          <w:sz w:val="20"/>
        </w:rPr>
        <w:t>enève</w:t>
      </w:r>
      <w:r w:rsidRPr="00614CC6">
        <w:rPr>
          <w:sz w:val="20"/>
        </w:rPr>
        <w:t>, 20</w:t>
      </w:r>
      <w:r w:rsidR="00990786">
        <w:rPr>
          <w:sz w:val="20"/>
        </w:rPr>
        <w:t>1</w:t>
      </w:r>
      <w:r w:rsidR="0061168A">
        <w:rPr>
          <w:sz w:val="20"/>
        </w:rPr>
        <w:t>1</w:t>
      </w:r>
    </w:p>
    <w:p w:rsidR="00F54FBD" w:rsidRPr="00614CC6" w:rsidRDefault="00F54FBD" w:rsidP="0061168A">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990786">
        <w:rPr>
          <w:sz w:val="20"/>
        </w:rPr>
        <w:t>1</w:t>
      </w:r>
      <w:r w:rsidR="0061168A">
        <w:rPr>
          <w:sz w:val="20"/>
        </w:rPr>
        <w:t>1</w:t>
      </w:r>
      <w:bookmarkStart w:id="2" w:name="_GoBack"/>
      <w:bookmarkEnd w:id="2"/>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Default="00C84DA5" w:rsidP="00C84DA5">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w:t>
      </w:r>
      <w:r w:rsidRPr="00756B4D">
        <w:rPr>
          <w:rStyle w:val="href"/>
        </w:rPr>
        <w:t>.</w:t>
      </w:r>
      <w:r>
        <w:rPr>
          <w:rStyle w:val="href"/>
        </w:rPr>
        <w:t>465-6</w:t>
      </w:r>
    </w:p>
    <w:p w:rsidR="00C84DA5" w:rsidRPr="001722A6" w:rsidRDefault="00C84DA5" w:rsidP="00C84DA5">
      <w:pPr>
        <w:pStyle w:val="Rectitle"/>
      </w:pPr>
      <w:bookmarkStart w:id="4" w:name="Pre_title"/>
      <w:r w:rsidRPr="001722A6">
        <w:t>Diagramme de rayonnement de référence pour des antennes</w:t>
      </w:r>
      <w:r>
        <w:br/>
      </w:r>
      <w:r w:rsidRPr="001722A6">
        <w:t>de station terrienne du service fixe par satellite,</w:t>
      </w:r>
      <w:r>
        <w:t xml:space="preserve"> </w:t>
      </w:r>
      <w:r w:rsidRPr="001722A6">
        <w:t>à utiliser</w:t>
      </w:r>
      <w:r>
        <w:br/>
      </w:r>
      <w:r w:rsidRPr="001722A6">
        <w:t>pour la coordination et pour l'évaluation des brouillages</w:t>
      </w:r>
      <w:r>
        <w:br/>
      </w:r>
      <w:r w:rsidRPr="001722A6">
        <w:t>dans</w:t>
      </w:r>
      <w:r>
        <w:t xml:space="preserve"> </w:t>
      </w:r>
      <w:r w:rsidRPr="001722A6">
        <w:t>la</w:t>
      </w:r>
      <w:r>
        <w:t xml:space="preserve"> </w:t>
      </w:r>
      <w:r w:rsidRPr="001722A6">
        <w:t>gamme des fréquences comprises entre 2 et 31 GHz</w:t>
      </w:r>
      <w:bookmarkEnd w:id="4"/>
    </w:p>
    <w:p w:rsidR="00C84DA5" w:rsidRDefault="00C84DA5" w:rsidP="00C84DA5">
      <w:pPr>
        <w:pStyle w:val="Recdate"/>
      </w:pPr>
      <w:bookmarkStart w:id="5" w:name="Related_Questions"/>
      <w:bookmarkStart w:id="6" w:name="Revision_history"/>
      <w:bookmarkEnd w:id="5"/>
    </w:p>
    <w:p w:rsidR="00C84DA5" w:rsidRPr="001722A6" w:rsidRDefault="00C84DA5" w:rsidP="00C84DA5">
      <w:pPr>
        <w:pStyle w:val="Recdate"/>
      </w:pPr>
      <w:r w:rsidRPr="001722A6">
        <w:t>(1970-1974-1986-1990-1992-1993-2010)</w:t>
      </w:r>
      <w:bookmarkEnd w:id="6"/>
    </w:p>
    <w:p w:rsidR="00C84DA5" w:rsidRPr="001722A6" w:rsidRDefault="00C84DA5" w:rsidP="0061168A">
      <w:pPr>
        <w:pStyle w:val="HeadingSum"/>
      </w:pPr>
      <w:r w:rsidRPr="001722A6">
        <w:t>Champ d'application</w:t>
      </w:r>
    </w:p>
    <w:p w:rsidR="00C84DA5" w:rsidRPr="001722A6" w:rsidRDefault="00C84DA5" w:rsidP="0061168A">
      <w:pPr>
        <w:pStyle w:val="Summary"/>
      </w:pPr>
      <w:r w:rsidRPr="001722A6">
        <w:t>La présente Recommandation donne un diagramme de rayonnement de référence possédant par hypothèse une symétrie de révolution autour de l'axe de visée et qu'il convient d'utiliser en l'absence de renseignements précis sur le diagramme de rayonnement d'une antenne de station terrienne pour effectuer les études de coordination et évaluer les brouillages entre stations terriennes du service fixe par satellite (SFS) et stations d'autres services qui partagent la même bande de fréquences et pour effectuer les études de coordination et évaluer les brouillages entre systèmes du SFS.</w:t>
      </w:r>
    </w:p>
    <w:p w:rsidR="00C84DA5" w:rsidRPr="001722A6" w:rsidRDefault="00C84DA5" w:rsidP="00C84DA5">
      <w:pPr>
        <w:pStyle w:val="Normalaftertitle"/>
      </w:pPr>
      <w:r w:rsidRPr="001722A6">
        <w:t>L'Assemblée des radiocommunications de l'UIT,</w:t>
      </w:r>
    </w:p>
    <w:p w:rsidR="00C84DA5" w:rsidRPr="001722A6" w:rsidRDefault="00C84DA5" w:rsidP="00C84DA5">
      <w:pPr>
        <w:pStyle w:val="Call"/>
      </w:pPr>
      <w:r w:rsidRPr="001722A6">
        <w:t>considérant</w:t>
      </w:r>
    </w:p>
    <w:p w:rsidR="00C84DA5" w:rsidRPr="001722A6" w:rsidRDefault="00C84DA5" w:rsidP="00C84DA5">
      <w:r w:rsidRPr="001722A6">
        <w:t>a)</w:t>
      </w:r>
      <w:r w:rsidRPr="001722A6">
        <w:tab/>
        <w:t>que, pour effectuer les études de coordination et pour évaluer les brouillages mutuels entre les systèmes de radiocommunication par satellite et entre les stations terriennes de ces systèmes et les stations d'autres services qui partagent la même bande de fréquences, il peut être nécessaire d'utiliser un diagramme de rayonnement unique pour l'antenne de la station terrienne;</w:t>
      </w:r>
    </w:p>
    <w:p w:rsidR="00C84DA5" w:rsidRPr="001722A6" w:rsidRDefault="00C84DA5" w:rsidP="00C84DA5">
      <w:r w:rsidRPr="001722A6">
        <w:t>b)</w:t>
      </w:r>
      <w:r w:rsidRPr="001722A6">
        <w:tab/>
        <w:t>que, pour déterminer la distance de coordination et évaluer les brouillages entre stations terriennes et stations des services de Terre, il peut y avoir intérêt à utiliser un diagramme de rayonnement établi sur la base du niveau dépassé par un faible pourcentage des crêtes des lobes latéraux;</w:t>
      </w:r>
    </w:p>
    <w:p w:rsidR="00C84DA5" w:rsidRPr="001722A6" w:rsidRDefault="00C84DA5" w:rsidP="00C84DA5">
      <w:r w:rsidRPr="001722A6">
        <w:t>c)</w:t>
      </w:r>
      <w:r w:rsidRPr="001722A6">
        <w:tab/>
        <w:t>que, pour effectuer les études de coordination et pour évaluer les brouillages entre stations terriennes et stations spatiales, il peut y avoir intérêt à utiliser, pour la région voisine du lobe principal, un diagramme de rayonnement établi sur la base de l'enveloppe de la puissance de crête dans les lobes latéraux de cette région;</w:t>
      </w:r>
    </w:p>
    <w:p w:rsidR="00C84DA5" w:rsidRPr="001722A6" w:rsidRDefault="00C84DA5" w:rsidP="00C84DA5">
      <w:r w:rsidRPr="001722A6">
        <w:t>d)</w:t>
      </w:r>
      <w:r w:rsidRPr="001722A6">
        <w:tab/>
        <w:t>que, pour les angles par rapport à l'axe du faisceau principal dans lesquels les effets inhérents au système d'alimentation utilisé n'apportent pas une contribution notable au niveau de puissance dans les lobes latéraux, les diagrammes de rayonnement établis pour de nombreuses antennes de stations terriennes existantes ne font apparaître qu'une faible dispersion par rapport à un diagramme généralisé simple, tout au moins dans la gamme des fréquences comprises entre 2 et 31 GHz;</w:t>
      </w:r>
    </w:p>
    <w:p w:rsidR="00C84DA5" w:rsidRPr="001722A6" w:rsidRDefault="00C84DA5" w:rsidP="00C84DA5">
      <w:r w:rsidRPr="001722A6">
        <w:t>e)</w:t>
      </w:r>
      <w:r w:rsidRPr="001722A6">
        <w:tab/>
        <w:t>que, pour les systèmes du type Cassegrain et pour les angles par rapport à l'axe du faisceau principal dans lesquels l'augmentation de puissance dans les lobes latéraux résulte principalement de la diffraction, les diagrammes de rayonnement d'un certain nombre d'antennes existantes font aussi apparaître une assez bonne concordance;</w:t>
      </w:r>
    </w:p>
    <w:p w:rsidR="00C84DA5" w:rsidRPr="001722A6" w:rsidRDefault="00C84DA5" w:rsidP="00C84DA5">
      <w:r w:rsidRPr="001722A6">
        <w:t>f)</w:t>
      </w:r>
      <w:r w:rsidRPr="001722A6">
        <w:tab/>
        <w:t>que, pour les grands angles, il faut tenir compte de la possibilité de réflexions locales sur le sol;</w:t>
      </w:r>
    </w:p>
    <w:p w:rsidR="00C84DA5" w:rsidRPr="001722A6" w:rsidRDefault="00C84DA5" w:rsidP="00C84DA5">
      <w:r w:rsidRPr="001722A6">
        <w:t>g)</w:t>
      </w:r>
      <w:r w:rsidRPr="001722A6">
        <w:tab/>
        <w:t>que les antennes à diagramme de rayonnement optimal assureront le maximum d'efficacité dans l'utilisation du spectre radioélectrique et de l'orbite des satellites géostationnaires,</w:t>
      </w:r>
    </w:p>
    <w:p w:rsidR="00C84DA5" w:rsidRPr="001722A6" w:rsidRDefault="00C84DA5" w:rsidP="00C84DA5">
      <w:pPr>
        <w:pStyle w:val="Call"/>
      </w:pPr>
      <w:r w:rsidRPr="001722A6">
        <w:lastRenderedPageBreak/>
        <w:t>recommande</w:t>
      </w:r>
    </w:p>
    <w:p w:rsidR="00C84DA5" w:rsidRPr="001722A6" w:rsidRDefault="00C84DA5" w:rsidP="00C84DA5">
      <w:r w:rsidRPr="001722A6">
        <w:rPr>
          <w:b/>
        </w:rPr>
        <w:t>1</w:t>
      </w:r>
      <w:r w:rsidRPr="001722A6">
        <w:tab/>
        <w:t>qu'en l'absence de renseignements précis sur le diagramme de rayonnement de l'antenne d'une station terrienne, il convient d'utiliser un diagramme de rayonnement de référence unique:</w:t>
      </w:r>
    </w:p>
    <w:p w:rsidR="00C84DA5" w:rsidRPr="001722A6" w:rsidRDefault="00C84DA5" w:rsidP="00C84DA5">
      <w:r w:rsidRPr="001722A6">
        <w:rPr>
          <w:b/>
          <w:iCs/>
        </w:rPr>
        <w:t>1.1</w:t>
      </w:r>
      <w:r w:rsidRPr="001722A6">
        <w:tab/>
        <w:t>pour effectuer les études de coordination et évaluer les brouillages entre stations terriennes du SFS et stations d'autres services qui partagent la même bande de fréquences;</w:t>
      </w:r>
    </w:p>
    <w:p w:rsidR="00C84DA5" w:rsidRPr="001722A6" w:rsidRDefault="00C84DA5" w:rsidP="00C84DA5">
      <w:r w:rsidRPr="001722A6">
        <w:rPr>
          <w:b/>
          <w:iCs/>
        </w:rPr>
        <w:t>1.2</w:t>
      </w:r>
      <w:r w:rsidRPr="001722A6">
        <w:tab/>
        <w:t>pour effectuer les études de coordination et évaluer les brouillages entre systèmes du SFS;</w:t>
      </w:r>
    </w:p>
    <w:p w:rsidR="00C84DA5" w:rsidRPr="001722A6" w:rsidRDefault="00C84DA5" w:rsidP="00C84DA5">
      <w:r w:rsidRPr="001722A6">
        <w:rPr>
          <w:b/>
        </w:rPr>
        <w:t>2</w:t>
      </w:r>
      <w:r w:rsidRPr="001722A6">
        <w:tab/>
        <w:t>que, sous réserve des Notes 4 et 5, le diagramme de rayonnement de référence ci-après soit adopté, pour des angles entre la direction considérée et l'axe du faisceau principal, et pour des fréquences comprises entre 2 et 31 GHz:</w:t>
      </w:r>
    </w:p>
    <w:p w:rsidR="00C84DA5" w:rsidRPr="00C84DA5" w:rsidRDefault="00C84DA5" w:rsidP="00C84DA5">
      <w:pPr>
        <w:pStyle w:val="Equationlegend"/>
        <w:rPr>
          <w:lang w:val="fr-CH"/>
        </w:rPr>
      </w:pPr>
      <w:r w:rsidRPr="00C84DA5">
        <w:rPr>
          <w:lang w:val="fr-CH"/>
        </w:rPr>
        <w:tab/>
      </w:r>
      <w:r w:rsidRPr="00C84DA5">
        <w:rPr>
          <w:lang w:val="fr-CH"/>
        </w:rPr>
        <w:tab/>
      </w:r>
      <w:r w:rsidRPr="00C84DA5">
        <w:rPr>
          <w:i/>
          <w:iCs/>
          <w:lang w:val="fr-CH"/>
        </w:rPr>
        <w:t>G</w:t>
      </w:r>
      <w:r w:rsidRPr="00C84DA5">
        <w:rPr>
          <w:lang w:val="fr-CH"/>
        </w:rPr>
        <w:t xml:space="preserve">  </w:t>
      </w:r>
      <w:r w:rsidRPr="001722A6">
        <w:rPr>
          <w:rFonts w:ascii="Symbol" w:hAnsi="Symbol"/>
        </w:rPr>
        <w:t></w:t>
      </w:r>
      <w:r w:rsidRPr="00C84DA5">
        <w:rPr>
          <w:lang w:val="fr-CH"/>
        </w:rPr>
        <w:t xml:space="preserve">  32  –  25 log </w:t>
      </w:r>
      <w:r w:rsidRPr="001722A6">
        <w:rPr>
          <w:rFonts w:ascii="Symbol" w:hAnsi="Symbol"/>
        </w:rPr>
        <w:t></w:t>
      </w:r>
      <w:r w:rsidRPr="00C84DA5">
        <w:rPr>
          <w:lang w:val="fr-CH"/>
        </w:rPr>
        <w:tab/>
      </w:r>
      <w:r w:rsidRPr="00C84DA5">
        <w:rPr>
          <w:lang w:val="fr-CH"/>
        </w:rPr>
        <w:tab/>
        <w:t>dBi</w:t>
      </w:r>
      <w:r w:rsidRPr="00C84DA5">
        <w:rPr>
          <w:lang w:val="fr-CH"/>
        </w:rPr>
        <w:tab/>
      </w:r>
      <w:r w:rsidRPr="00C84DA5">
        <w:rPr>
          <w:lang w:val="fr-CH"/>
        </w:rPr>
        <w:tab/>
        <w:t xml:space="preserve">pour  </w:t>
      </w:r>
      <w:r w:rsidRPr="001722A6">
        <w:rPr>
          <w:rFonts w:ascii="Symbol" w:hAnsi="Symbol"/>
        </w:rPr>
        <w:t></w:t>
      </w:r>
      <w:r w:rsidRPr="00C84DA5">
        <w:rPr>
          <w:i/>
          <w:iCs/>
          <w:position w:val="-4"/>
          <w:sz w:val="20"/>
          <w:lang w:val="fr-CH"/>
        </w:rPr>
        <w:t>min</w:t>
      </w:r>
      <w:r w:rsidRPr="00C84DA5">
        <w:rPr>
          <w:lang w:val="fr-CH"/>
        </w:rPr>
        <w:t xml:space="preserve">  </w:t>
      </w:r>
      <w:r w:rsidRPr="001722A6">
        <w:rPr>
          <w:rFonts w:ascii="Symbol" w:hAnsi="Symbol"/>
        </w:rPr>
        <w:t></w:t>
      </w:r>
      <w:r w:rsidRPr="00C84DA5">
        <w:rPr>
          <w:lang w:val="fr-CH"/>
        </w:rPr>
        <w:t xml:space="preserve">  </w:t>
      </w:r>
      <w:r w:rsidRPr="001722A6">
        <w:rPr>
          <w:rFonts w:ascii="Symbol" w:hAnsi="Symbol"/>
        </w:rPr>
        <w:t></w:t>
      </w:r>
      <w:r w:rsidRPr="00C84DA5">
        <w:rPr>
          <w:lang w:val="fr-CH"/>
        </w:rPr>
        <w:t xml:space="preserve">  </w:t>
      </w:r>
      <w:r w:rsidRPr="001722A6">
        <w:rPr>
          <w:rFonts w:ascii="Symbol" w:hAnsi="Symbol"/>
        </w:rPr>
        <w:t></w:t>
      </w:r>
      <w:r w:rsidRPr="00C84DA5">
        <w:rPr>
          <w:lang w:val="fr-CH"/>
        </w:rPr>
        <w:t xml:space="preserve">    48°</w:t>
      </w:r>
    </w:p>
    <w:p w:rsidR="00C84DA5" w:rsidRPr="00C84DA5" w:rsidRDefault="00C84DA5" w:rsidP="00C84DA5">
      <w:pPr>
        <w:pStyle w:val="Equationlegend"/>
        <w:tabs>
          <w:tab w:val="left" w:pos="2268"/>
        </w:tabs>
        <w:rPr>
          <w:lang w:val="fr-CH"/>
        </w:rPr>
      </w:pPr>
      <w:r w:rsidRPr="00C84DA5">
        <w:rPr>
          <w:lang w:val="fr-CH"/>
        </w:rPr>
        <w:tab/>
      </w:r>
      <w:r w:rsidRPr="00C84DA5">
        <w:rPr>
          <w:lang w:val="fr-CH"/>
        </w:rPr>
        <w:tab/>
        <w:t xml:space="preserve">    </w:t>
      </w:r>
      <w:r w:rsidRPr="00C84DA5">
        <w:rPr>
          <w:rFonts w:ascii="Tms Rmn" w:hAnsi="Tms Rmn"/>
          <w:sz w:val="16"/>
          <w:lang w:val="fr-CH"/>
        </w:rPr>
        <w:t> </w:t>
      </w:r>
      <w:r w:rsidRPr="001722A6">
        <w:rPr>
          <w:rFonts w:ascii="Symbol" w:hAnsi="Symbol"/>
        </w:rPr>
        <w:t></w:t>
      </w:r>
      <w:r w:rsidRPr="00C84DA5">
        <w:rPr>
          <w:lang w:val="fr-CH"/>
        </w:rPr>
        <w:t xml:space="preserve">  –10</w:t>
      </w:r>
      <w:r w:rsidRPr="00C84DA5">
        <w:rPr>
          <w:lang w:val="fr-CH"/>
        </w:rPr>
        <w:tab/>
      </w:r>
      <w:r w:rsidRPr="00C84DA5">
        <w:rPr>
          <w:lang w:val="fr-CH"/>
        </w:rPr>
        <w:tab/>
      </w:r>
      <w:r w:rsidRPr="00C84DA5">
        <w:rPr>
          <w:lang w:val="fr-CH"/>
        </w:rPr>
        <w:tab/>
      </w:r>
      <w:r w:rsidRPr="00C84DA5">
        <w:rPr>
          <w:lang w:val="fr-CH"/>
        </w:rPr>
        <w:tab/>
        <w:t>dBi</w:t>
      </w:r>
      <w:r w:rsidRPr="00C84DA5">
        <w:rPr>
          <w:lang w:val="fr-CH"/>
        </w:rPr>
        <w:tab/>
      </w:r>
      <w:r w:rsidRPr="00C84DA5">
        <w:rPr>
          <w:lang w:val="fr-CH"/>
        </w:rPr>
        <w:tab/>
        <w:t xml:space="preserve">pour    48°  </w:t>
      </w:r>
      <w:r w:rsidRPr="001722A6">
        <w:rPr>
          <w:rFonts w:ascii="Symbol" w:hAnsi="Symbol"/>
        </w:rPr>
        <w:t></w:t>
      </w:r>
      <w:r w:rsidRPr="00C84DA5">
        <w:rPr>
          <w:lang w:val="fr-CH"/>
        </w:rPr>
        <w:t xml:space="preserve">  </w:t>
      </w:r>
      <w:r w:rsidRPr="001722A6">
        <w:rPr>
          <w:rFonts w:ascii="Symbol" w:hAnsi="Symbol"/>
        </w:rPr>
        <w:t></w:t>
      </w:r>
      <w:r w:rsidRPr="00C84DA5">
        <w:rPr>
          <w:lang w:val="fr-CH"/>
        </w:rPr>
        <w:t xml:space="preserve">  </w:t>
      </w:r>
      <w:r w:rsidRPr="001722A6">
        <w:rPr>
          <w:rFonts w:ascii="Symbol" w:hAnsi="Symbol"/>
        </w:rPr>
        <w:t></w:t>
      </w:r>
      <w:r w:rsidRPr="00C84DA5">
        <w:rPr>
          <w:lang w:val="fr-CH"/>
        </w:rPr>
        <w:t xml:space="preserve">  180°</w:t>
      </w:r>
    </w:p>
    <w:p w:rsidR="00C84DA5" w:rsidRDefault="0061168A" w:rsidP="00C84DA5">
      <w:r w:rsidRPr="001722A6">
        <w:t>o</w:t>
      </w:r>
      <w:r w:rsidR="00C84DA5" w:rsidRPr="001722A6">
        <w:t>ù</w:t>
      </w:r>
      <w:r w:rsidR="00C84DA5">
        <w:t>:</w:t>
      </w:r>
    </w:p>
    <w:p w:rsidR="00C84DA5" w:rsidRPr="001722A6" w:rsidRDefault="00C84DA5" w:rsidP="00C84DA5">
      <w:pPr>
        <w:rPr>
          <w:rFonts w:ascii="Symbol" w:hAnsi="Symbol"/>
        </w:rPr>
      </w:pPr>
      <w:r>
        <w:tab/>
      </w:r>
      <w:r w:rsidRPr="001722A6">
        <w:rPr>
          <w:rFonts w:ascii="Symbol" w:hAnsi="Symbol"/>
        </w:rPr>
        <w:t></w:t>
      </w:r>
      <w:r w:rsidRPr="001722A6">
        <w:rPr>
          <w:i/>
          <w:position w:val="-4"/>
          <w:sz w:val="20"/>
        </w:rPr>
        <w:t>min</w:t>
      </w:r>
      <w:r w:rsidRPr="001722A6">
        <w:t xml:space="preserve">  </w:t>
      </w:r>
      <w:r w:rsidRPr="001722A6">
        <w:rPr>
          <w:rFonts w:ascii="Symbol" w:hAnsi="Symbol"/>
          <w:color w:val="000000"/>
        </w:rPr>
        <w:t></w:t>
      </w:r>
      <w:r w:rsidRPr="001722A6">
        <w:t xml:space="preserve">  1° ou 100 </w:t>
      </w:r>
      <w:r w:rsidRPr="001722A6">
        <w:rPr>
          <w:rFonts w:ascii="Symbol" w:hAnsi="Symbol"/>
        </w:rPr>
        <w:t></w:t>
      </w:r>
      <w:r w:rsidRPr="001722A6">
        <w:rPr>
          <w:rFonts w:ascii="Symbol" w:hAnsi="Symbol"/>
        </w:rPr>
        <w:t></w:t>
      </w:r>
      <w:r w:rsidRPr="001722A6">
        <w:rPr>
          <w:i/>
        </w:rPr>
        <w:t>D</w:t>
      </w:r>
      <w:r w:rsidRPr="001722A6">
        <w:t xml:space="preserve"> (degrés), si cette dernière valeur est supérieure, pour </w:t>
      </w:r>
      <w:r w:rsidRPr="001722A6">
        <w:rPr>
          <w:i/>
        </w:rPr>
        <w:t>D</w:t>
      </w:r>
      <w:r w:rsidRPr="001722A6">
        <w:rPr>
          <w:rFonts w:ascii="Symbol" w:hAnsi="Symbol"/>
        </w:rPr>
        <w:t></w:t>
      </w:r>
      <w:r w:rsidRPr="001722A6">
        <w:rPr>
          <w:rFonts w:ascii="Symbol" w:hAnsi="Symbol"/>
        </w:rPr>
        <w:t></w:t>
      </w:r>
      <w:r w:rsidRPr="001722A6">
        <w:rPr>
          <w:rFonts w:ascii="Symbol" w:hAnsi="Symbol"/>
        </w:rPr>
        <w:t></w:t>
      </w:r>
      <w:r w:rsidRPr="001722A6">
        <w:rPr>
          <w:rFonts w:ascii="Symbol" w:hAnsi="Symbol"/>
        </w:rPr>
        <w:sym w:font="Symbol" w:char="F0B3"/>
      </w:r>
      <w:r w:rsidRPr="001722A6">
        <w:rPr>
          <w:rFonts w:ascii="Symbol" w:hAnsi="Symbol"/>
        </w:rPr>
        <w:t></w:t>
      </w:r>
      <w:r w:rsidRPr="001722A6">
        <w:rPr>
          <w:rFonts w:ascii="Symbol" w:hAnsi="Symbol"/>
        </w:rPr>
        <w:t></w:t>
      </w:r>
      <w:r w:rsidRPr="001722A6">
        <w:rPr>
          <w:rFonts w:ascii="Symbol" w:hAnsi="Symbol"/>
        </w:rPr>
        <w:t></w:t>
      </w:r>
      <w:r w:rsidRPr="001722A6">
        <w:rPr>
          <w:rFonts w:ascii="Symbol" w:hAnsi="Symbol"/>
        </w:rPr>
        <w:t></w:t>
      </w:r>
    </w:p>
    <w:p w:rsidR="00C84DA5" w:rsidRPr="001722A6" w:rsidRDefault="00C84DA5" w:rsidP="00C84DA5">
      <w:pPr>
        <w:rPr>
          <w:rFonts w:ascii="Symbol" w:hAnsi="Symbol"/>
        </w:rPr>
      </w:pPr>
      <w:r>
        <w:tab/>
      </w:r>
      <w:r w:rsidRPr="001722A6">
        <w:rPr>
          <w:rFonts w:ascii="Symbol" w:hAnsi="Symbol"/>
        </w:rPr>
        <w:t></w:t>
      </w:r>
      <w:r w:rsidRPr="001722A6">
        <w:rPr>
          <w:i/>
          <w:position w:val="-4"/>
          <w:sz w:val="20"/>
        </w:rPr>
        <w:t>min</w:t>
      </w:r>
      <w:r w:rsidRPr="001722A6">
        <w:t xml:space="preserve">  </w:t>
      </w:r>
      <w:r w:rsidRPr="001722A6">
        <w:rPr>
          <w:rFonts w:ascii="Symbol" w:hAnsi="Symbol"/>
          <w:color w:val="000000"/>
        </w:rPr>
        <w:t></w:t>
      </w:r>
      <w:r w:rsidRPr="001722A6">
        <w:rPr>
          <w:rFonts w:ascii="Symbol" w:hAnsi="Symbol"/>
          <w:color w:val="000000"/>
        </w:rPr>
        <w:t></w:t>
      </w:r>
      <w:r w:rsidRPr="001722A6">
        <w:rPr>
          <w:rFonts w:ascii="Symbol" w:hAnsi="Symbol"/>
          <w:color w:val="000000"/>
        </w:rPr>
        <w:t></w:t>
      </w:r>
      <w:r w:rsidRPr="001722A6">
        <w:rPr>
          <w:rFonts w:ascii="Symbol" w:hAnsi="Symbol"/>
          <w:color w:val="000000"/>
        </w:rPr>
        <w:t></w:t>
      </w:r>
      <w:r w:rsidRPr="001722A6">
        <w:rPr>
          <w:rFonts w:ascii="Symbol" w:hAnsi="Symbol"/>
          <w:color w:val="000000"/>
        </w:rPr>
        <w:t></w:t>
      </w:r>
      <w:r w:rsidRPr="001722A6">
        <w:t>ou 114 (</w:t>
      </w:r>
      <w:r w:rsidRPr="001722A6">
        <w:rPr>
          <w:i/>
        </w:rPr>
        <w:t>D</w:t>
      </w:r>
      <w:r w:rsidRPr="001722A6">
        <w:rPr>
          <w:rFonts w:ascii="Symbol" w:hAnsi="Symbol"/>
        </w:rPr>
        <w:t></w:t>
      </w:r>
      <w:r w:rsidRPr="001722A6">
        <w:rPr>
          <w:rFonts w:ascii="Symbol" w:hAnsi="Symbol"/>
        </w:rPr>
        <w:t></w:t>
      </w:r>
      <w:r w:rsidRPr="001722A6">
        <w:rPr>
          <w:rFonts w:ascii="Symbol" w:hAnsi="Symbol"/>
        </w:rPr>
        <w:t></w:t>
      </w:r>
      <w:r w:rsidRPr="001722A6">
        <w:rPr>
          <w:rFonts w:ascii="Symbol" w:hAnsi="Symbol"/>
          <w:vertAlign w:val="superscript"/>
        </w:rPr>
        <w:t></w:t>
      </w:r>
      <w:r w:rsidRPr="001722A6">
        <w:rPr>
          <w:rFonts w:ascii="Symbol" w:hAnsi="Symbol"/>
          <w:vertAlign w:val="superscript"/>
        </w:rPr>
        <w:t></w:t>
      </w:r>
      <w:r w:rsidRPr="001722A6">
        <w:rPr>
          <w:rFonts w:ascii="Symbol" w:hAnsi="Symbol"/>
          <w:vertAlign w:val="superscript"/>
        </w:rPr>
        <w:t></w:t>
      </w:r>
      <w:r w:rsidRPr="001722A6">
        <w:rPr>
          <w:rFonts w:ascii="Symbol" w:hAnsi="Symbol"/>
          <w:vertAlign w:val="superscript"/>
        </w:rPr>
        <w:t></w:t>
      </w:r>
      <w:r w:rsidRPr="001722A6">
        <w:rPr>
          <w:rFonts w:ascii="Symbol" w:hAnsi="Symbol"/>
          <w:vertAlign w:val="superscript"/>
        </w:rPr>
        <w:t></w:t>
      </w:r>
      <w:r w:rsidRPr="001722A6">
        <w:rPr>
          <w:rFonts w:ascii="Symbol" w:hAnsi="Symbol"/>
        </w:rPr>
        <w:t></w:t>
      </w:r>
      <w:r w:rsidRPr="001722A6">
        <w:rPr>
          <w:rFonts w:ascii="Symbol" w:hAnsi="Symbol"/>
        </w:rPr>
        <w:t></w:t>
      </w:r>
      <w:r w:rsidRPr="001722A6">
        <w:rPr>
          <w:iCs/>
        </w:rPr>
        <w:t xml:space="preserve"> degrés), </w:t>
      </w:r>
      <w:r w:rsidRPr="001722A6">
        <w:t xml:space="preserve">si cette dernière valeur est supérieure, pour </w:t>
      </w:r>
      <w:r w:rsidRPr="001722A6">
        <w:rPr>
          <w:i/>
        </w:rPr>
        <w:t>D</w:t>
      </w:r>
      <w:r w:rsidRPr="001722A6">
        <w:rPr>
          <w:rFonts w:ascii="Symbol" w:hAnsi="Symbol"/>
        </w:rPr>
        <w:t></w:t>
      </w:r>
      <w:r w:rsidRPr="001722A6">
        <w:rPr>
          <w:rFonts w:ascii="Symbol" w:hAnsi="Symbol"/>
        </w:rPr>
        <w:t></w:t>
      </w:r>
      <w:r w:rsidRPr="001722A6">
        <w:rPr>
          <w:rFonts w:ascii="Symbol" w:hAnsi="Symbol"/>
        </w:rPr>
        <w:t></w:t>
      </w:r>
      <w:r w:rsidRPr="001722A6">
        <w:rPr>
          <w:rFonts w:ascii="Symbol" w:hAnsi="Symbol"/>
        </w:rPr>
        <w:t></w:t>
      </w:r>
      <w:r w:rsidRPr="001722A6">
        <w:rPr>
          <w:rFonts w:ascii="Symbol" w:hAnsi="Symbol"/>
        </w:rPr>
        <w:t></w:t>
      </w:r>
      <w:r w:rsidRPr="001722A6">
        <w:rPr>
          <w:rFonts w:ascii="Symbol" w:hAnsi="Symbol"/>
        </w:rPr>
        <w:t></w:t>
      </w:r>
      <w:r w:rsidRPr="001722A6">
        <w:rPr>
          <w:rFonts w:ascii="Symbol" w:hAnsi="Symbol"/>
        </w:rPr>
        <w:t></w:t>
      </w:r>
      <w:r w:rsidRPr="001722A6">
        <w:rPr>
          <w:rFonts w:ascii="Symbol" w:hAnsi="Symbol"/>
        </w:rPr>
        <w:t></w:t>
      </w:r>
    </w:p>
    <w:p w:rsidR="00C84DA5" w:rsidRPr="001722A6" w:rsidRDefault="00C84DA5" w:rsidP="00C84DA5">
      <w:pPr>
        <w:rPr>
          <w:lang w:val="fr-CH"/>
        </w:rPr>
      </w:pPr>
      <w:r w:rsidRPr="00C71129">
        <w:rPr>
          <w:b/>
          <w:bCs/>
        </w:rPr>
        <w:t>3</w:t>
      </w:r>
      <w:r w:rsidRPr="00C71129">
        <w:tab/>
        <w:t>que les Notes suivantes soient considérées comme faisant partie de la présente</w:t>
      </w:r>
      <w:r w:rsidRPr="001722A6">
        <w:t xml:space="preserve"> Recommandation:</w:t>
      </w:r>
    </w:p>
    <w:p w:rsidR="00C84DA5" w:rsidRPr="001722A6" w:rsidRDefault="00C84DA5" w:rsidP="00C84DA5">
      <w:r w:rsidRPr="001722A6">
        <w:rPr>
          <w:iCs/>
        </w:rPr>
        <w:t>NOTE 1 – </w:t>
      </w:r>
      <w:r w:rsidRPr="001722A6">
        <w:t>On admettra que le diagramme de rayonnement de référence possède une symétrie de révolution autour de l'axe de visée.</w:t>
      </w:r>
    </w:p>
    <w:p w:rsidR="00C84DA5" w:rsidRPr="001722A6" w:rsidRDefault="00C84DA5" w:rsidP="00C84DA5">
      <w:r w:rsidRPr="001722A6">
        <w:rPr>
          <w:iCs/>
        </w:rPr>
        <w:t>NOTE 2 – </w:t>
      </w:r>
      <w:r w:rsidRPr="001722A6">
        <w:t xml:space="preserve">Le diagramme de rayonnement de référence doit être utilisé avec prudence dans le domaine angulaire où le système d'alimentation particulier mis en </w:t>
      </w:r>
      <w:r w:rsidRPr="001722A6">
        <w:rPr>
          <w:spacing w:val="-35"/>
        </w:rPr>
        <w:t>o</w:t>
      </w:r>
      <w:r w:rsidRPr="001722A6">
        <w:t>euvre risque de produire une diffraction relativement forte.</w:t>
      </w:r>
    </w:p>
    <w:p w:rsidR="00C84DA5" w:rsidRPr="001722A6" w:rsidRDefault="00C84DA5" w:rsidP="00C84DA5">
      <w:r w:rsidRPr="001722A6">
        <w:rPr>
          <w:iCs/>
        </w:rPr>
        <w:t>NOTE 3 – </w:t>
      </w:r>
      <w:r w:rsidRPr="001722A6">
        <w:t>Afin de déterminer les niveaux de brouillage maximaux admissibles dans les Recommandations UIT-R S.466, UIT-R S.483, UIT-R S.523 et UIT-R S.735, on utilisera des diagrammes de référence d'antenne de station terrienne de réception dont les caractéristiques seront au moins aussi bonnes que celles qui sont indiquées dans ces Recommandations.</w:t>
      </w:r>
    </w:p>
    <w:p w:rsidR="00C84DA5" w:rsidRPr="001722A6" w:rsidRDefault="00C84DA5" w:rsidP="00C84DA5">
      <w:r w:rsidRPr="001722A6">
        <w:rPr>
          <w:iCs/>
        </w:rPr>
        <w:t>NOTE 4 – </w:t>
      </w:r>
      <w:r w:rsidRPr="001722A6">
        <w:t xml:space="preserve">Pour les stations terriennes dont les antennes ont un rapport </w:t>
      </w:r>
      <w:r w:rsidRPr="001722A6">
        <w:rPr>
          <w:i/>
        </w:rPr>
        <w:t>D</w:t>
      </w:r>
      <w:r w:rsidRPr="001722A6">
        <w:t>/</w:t>
      </w:r>
      <w:r w:rsidRPr="001722A6">
        <w:rPr>
          <w:rFonts w:ascii="Symbol" w:hAnsi="Symbol"/>
        </w:rPr>
        <w:t></w:t>
      </w:r>
      <w:r w:rsidRPr="001722A6">
        <w:t> </w:t>
      </w:r>
      <w:r w:rsidRPr="001722A6">
        <w:rPr>
          <w:rFonts w:ascii="Symbol" w:hAnsi="Symbol"/>
        </w:rPr>
        <w:t></w:t>
      </w:r>
      <w:r w:rsidRPr="001722A6">
        <w:t> 100 dans des réseaux coordonnés avant 1993, on utilisera le diagramme de rayonnement de référence suivant:</w:t>
      </w:r>
    </w:p>
    <w:p w:rsidR="00C84DA5" w:rsidRPr="00C84DA5" w:rsidRDefault="00C84DA5" w:rsidP="00C84DA5">
      <w:pPr>
        <w:pStyle w:val="Equationlegend"/>
        <w:tabs>
          <w:tab w:val="clear" w:pos="1985"/>
          <w:tab w:val="left" w:pos="567"/>
        </w:tabs>
        <w:ind w:left="0" w:firstLine="0"/>
        <w:rPr>
          <w:lang w:val="fr-CH"/>
        </w:rPr>
      </w:pPr>
      <w:r w:rsidRPr="00C84DA5">
        <w:rPr>
          <w:lang w:val="fr-CH"/>
        </w:rPr>
        <w:tab/>
      </w:r>
      <w:r w:rsidRPr="00C84DA5">
        <w:rPr>
          <w:i/>
          <w:iCs/>
          <w:lang w:val="fr-CH"/>
        </w:rPr>
        <w:t>G</w:t>
      </w:r>
      <w:r w:rsidRPr="00C84DA5">
        <w:rPr>
          <w:lang w:val="fr-CH"/>
        </w:rPr>
        <w:t xml:space="preserve">  </w:t>
      </w:r>
      <w:r w:rsidRPr="001722A6">
        <w:rPr>
          <w:rFonts w:ascii="Symbol" w:hAnsi="Symbol"/>
        </w:rPr>
        <w:t></w:t>
      </w:r>
      <w:r w:rsidRPr="00C84DA5">
        <w:rPr>
          <w:lang w:val="fr-CH"/>
        </w:rPr>
        <w:t xml:space="preserve">  52  –  10 log (</w:t>
      </w:r>
      <w:r w:rsidRPr="00C84DA5">
        <w:rPr>
          <w:i/>
          <w:iCs/>
          <w:lang w:val="fr-CH"/>
        </w:rPr>
        <w:t>D</w:t>
      </w:r>
      <w:r w:rsidRPr="00C84DA5">
        <w:rPr>
          <w:lang w:val="fr-CH"/>
        </w:rPr>
        <w:t>/</w:t>
      </w:r>
      <w:r w:rsidRPr="001722A6">
        <w:rPr>
          <w:rFonts w:ascii="Symbol" w:hAnsi="Symbol"/>
        </w:rPr>
        <w:t></w:t>
      </w:r>
      <w:r w:rsidRPr="00C84DA5">
        <w:rPr>
          <w:lang w:val="fr-CH"/>
        </w:rPr>
        <w:t xml:space="preserve">)  –  25 log </w:t>
      </w:r>
      <w:r w:rsidRPr="001722A6">
        <w:rPr>
          <w:rFonts w:ascii="Symbol" w:hAnsi="Symbol"/>
        </w:rPr>
        <w:t></w:t>
      </w:r>
      <w:r w:rsidRPr="00C84DA5">
        <w:rPr>
          <w:lang w:val="fr-CH"/>
        </w:rPr>
        <w:tab/>
      </w:r>
      <w:r w:rsidRPr="00C84DA5">
        <w:rPr>
          <w:lang w:val="fr-CH"/>
        </w:rPr>
        <w:tab/>
        <w:t>dBi</w:t>
      </w:r>
      <w:r w:rsidRPr="00C84DA5">
        <w:rPr>
          <w:lang w:val="fr-CH"/>
        </w:rPr>
        <w:tab/>
      </w:r>
      <w:r w:rsidRPr="00C84DA5">
        <w:rPr>
          <w:lang w:val="fr-CH"/>
        </w:rPr>
        <w:tab/>
        <w:t xml:space="preserve">pour  (100 </w:t>
      </w:r>
      <w:r w:rsidRPr="001722A6">
        <w:rPr>
          <w:rFonts w:ascii="Symbol" w:hAnsi="Symbol"/>
        </w:rPr>
        <w:t></w:t>
      </w:r>
      <w:r w:rsidRPr="00C84DA5">
        <w:rPr>
          <w:lang w:val="fr-CH"/>
        </w:rPr>
        <w:t>/</w:t>
      </w:r>
      <w:r w:rsidRPr="00C84DA5">
        <w:rPr>
          <w:i/>
          <w:iCs/>
          <w:lang w:val="fr-CH"/>
        </w:rPr>
        <w:t>D</w:t>
      </w:r>
      <w:r w:rsidRPr="00C84DA5">
        <w:rPr>
          <w:lang w:val="fr-CH"/>
        </w:rPr>
        <w:t xml:space="preserve">)°  </w:t>
      </w:r>
      <w:r w:rsidRPr="001722A6">
        <w:rPr>
          <w:rFonts w:ascii="Symbol" w:hAnsi="Symbol"/>
        </w:rPr>
        <w:t></w:t>
      </w:r>
      <w:r w:rsidRPr="00C84DA5">
        <w:rPr>
          <w:lang w:val="fr-CH"/>
        </w:rPr>
        <w:t xml:space="preserve">  </w:t>
      </w:r>
      <w:r w:rsidRPr="001722A6">
        <w:rPr>
          <w:rFonts w:ascii="Symbol" w:hAnsi="Symbol"/>
        </w:rPr>
        <w:t></w:t>
      </w:r>
      <w:r w:rsidRPr="00C84DA5">
        <w:rPr>
          <w:lang w:val="fr-CH"/>
        </w:rPr>
        <w:t xml:space="preserve">  </w:t>
      </w:r>
      <w:r w:rsidRPr="001722A6">
        <w:rPr>
          <w:rFonts w:ascii="Symbol" w:hAnsi="Symbol"/>
        </w:rPr>
        <w:t></w:t>
      </w:r>
      <w:r w:rsidRPr="00C84DA5">
        <w:rPr>
          <w:lang w:val="fr-CH"/>
        </w:rPr>
        <w:t xml:space="preserve">    48°</w:t>
      </w:r>
    </w:p>
    <w:p w:rsidR="00C84DA5" w:rsidRPr="001722A6" w:rsidRDefault="00C84DA5" w:rsidP="00C84DA5">
      <w:pPr>
        <w:pStyle w:val="Equationlegend"/>
        <w:tabs>
          <w:tab w:val="clear" w:pos="1985"/>
          <w:tab w:val="left" w:pos="567"/>
        </w:tabs>
        <w:ind w:left="0" w:firstLine="0"/>
      </w:pPr>
      <w:r w:rsidRPr="00C84DA5">
        <w:rPr>
          <w:lang w:val="fr-CH"/>
        </w:rPr>
        <w:tab/>
        <w:t xml:space="preserve">    </w:t>
      </w:r>
      <w:r w:rsidRPr="00C84DA5">
        <w:rPr>
          <w:rFonts w:ascii="Tms Rmn" w:hAnsi="Tms Rmn"/>
          <w:sz w:val="16"/>
          <w:lang w:val="fr-CH"/>
        </w:rPr>
        <w:t> </w:t>
      </w:r>
      <w:r w:rsidRPr="001722A6">
        <w:rPr>
          <w:rFonts w:ascii="Symbol" w:hAnsi="Symbol"/>
        </w:rPr>
        <w:t></w:t>
      </w:r>
      <w:r w:rsidRPr="001722A6">
        <w:t xml:space="preserve">  10  –  10 log (</w:t>
      </w:r>
      <w:r w:rsidRPr="001722A6">
        <w:rPr>
          <w:i/>
          <w:iCs/>
        </w:rPr>
        <w:t>D</w:t>
      </w:r>
      <w:r w:rsidRPr="001722A6">
        <w:t>/</w:t>
      </w:r>
      <w:r w:rsidRPr="001722A6">
        <w:rPr>
          <w:rFonts w:ascii="Symbol" w:hAnsi="Symbol"/>
        </w:rPr>
        <w:t></w:t>
      </w:r>
      <w:r w:rsidRPr="001722A6">
        <w:t>)</w:t>
      </w:r>
      <w:r w:rsidRPr="001722A6">
        <w:tab/>
      </w:r>
      <w:r w:rsidRPr="001722A6">
        <w:tab/>
      </w:r>
      <w:r w:rsidRPr="001722A6">
        <w:tab/>
        <w:t>dBi</w:t>
      </w:r>
      <w:r w:rsidRPr="001722A6">
        <w:tab/>
      </w:r>
      <w:r w:rsidRPr="001722A6">
        <w:tab/>
        <w:t xml:space="preserve">pour              48°  </w:t>
      </w:r>
      <w:r w:rsidRPr="001722A6">
        <w:rPr>
          <w:rFonts w:ascii="Symbol" w:hAnsi="Symbol"/>
        </w:rPr>
        <w:t></w:t>
      </w:r>
      <w:r w:rsidRPr="001722A6">
        <w:t xml:space="preserve">  </w:t>
      </w:r>
      <w:r w:rsidRPr="001722A6">
        <w:rPr>
          <w:rFonts w:ascii="Symbol" w:hAnsi="Symbol"/>
        </w:rPr>
        <w:t></w:t>
      </w:r>
      <w:r w:rsidRPr="001722A6">
        <w:t xml:space="preserve">  </w:t>
      </w:r>
      <w:r w:rsidRPr="001722A6">
        <w:rPr>
          <w:rFonts w:ascii="Symbol" w:hAnsi="Symbol"/>
        </w:rPr>
        <w:t></w:t>
      </w:r>
      <w:r w:rsidRPr="001722A6">
        <w:t xml:space="preserve">  180°</w:t>
      </w:r>
    </w:p>
    <w:p w:rsidR="00C84DA5" w:rsidRDefault="00C84DA5" w:rsidP="00C84DA5">
      <w:r w:rsidRPr="001722A6">
        <w:rPr>
          <w:iCs/>
        </w:rPr>
        <w:t>NOTE 5 – </w:t>
      </w:r>
      <w:r w:rsidRPr="001722A6">
        <w:t xml:space="preserve">Pour la coordination de nouvelles stations terriennes dont les antennes de réception ont un rapport </w:t>
      </w:r>
      <w:r w:rsidRPr="001722A6">
        <w:rPr>
          <w:i/>
          <w:iCs/>
        </w:rPr>
        <w:t>D</w:t>
      </w:r>
      <w:r w:rsidRPr="001722A6">
        <w:t>/</w:t>
      </w:r>
      <w:r w:rsidRPr="001722A6">
        <w:rPr>
          <w:rFonts w:ascii="Symbol" w:hAnsi="Symbol"/>
        </w:rPr>
        <w:t></w:t>
      </w:r>
      <w:r w:rsidRPr="001722A6">
        <w:t xml:space="preserve"> &lt; 33,3, autres que celles indiquées dans la Note 4 ci-dessus, la valeur de </w:t>
      </w:r>
      <w:r w:rsidRPr="001722A6">
        <w:rPr>
          <w:rFonts w:ascii="Symbol" w:hAnsi="Symbol"/>
        </w:rPr>
        <w:t></w:t>
      </w:r>
      <w:r w:rsidRPr="001722A6">
        <w:rPr>
          <w:i/>
          <w:iCs/>
          <w:position w:val="-4"/>
          <w:sz w:val="20"/>
        </w:rPr>
        <w:t>min</w:t>
      </w:r>
      <w:r w:rsidRPr="001722A6">
        <w:t xml:space="preserve"> doit être égale à 2,5°.</w:t>
      </w:r>
    </w:p>
    <w:p w:rsidR="00C84DA5" w:rsidRDefault="00C84DA5" w:rsidP="00C84DA5"/>
    <w:p w:rsidR="00C84DA5" w:rsidRDefault="00C84DA5" w:rsidP="00C84DA5"/>
    <w:p w:rsidR="00C84DA5" w:rsidRPr="00C84DA5" w:rsidRDefault="00C84DA5" w:rsidP="00C84DA5">
      <w:pPr>
        <w:pStyle w:val="Line"/>
        <w:rPr>
          <w:lang w:val="fr-CH"/>
        </w:rPr>
      </w:pPr>
    </w:p>
    <w:sectPr w:rsidR="00C84DA5" w:rsidRPr="00C84DA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1FF" w:rsidRDefault="001941FF">
      <w:r>
        <w:separator/>
      </w:r>
    </w:p>
  </w:endnote>
  <w:endnote w:type="continuationSeparator" w:id="0">
    <w:p w:rsidR="001941FF" w:rsidRDefault="0019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1FF" w:rsidRDefault="001941FF">
      <w:r>
        <w:separator/>
      </w:r>
    </w:p>
  </w:footnote>
  <w:footnote w:type="continuationSeparator" w:id="0">
    <w:p w:rsidR="001941FF" w:rsidRDefault="001941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Default="00C517AE" w:rsidP="00C668C8">
    <w:pPr>
      <w:pStyle w:val="Header"/>
      <w:ind w:right="360" w:firstLine="360"/>
    </w:pPr>
    <w:r>
      <w:rPr>
        <w:noProof/>
        <w:lang w:val="en-US" w:eastAsia="zh-CN"/>
      </w:rPr>
      <w:drawing>
        <wp:anchor distT="0" distB="0" distL="114300" distR="114300" simplePos="0" relativeHeight="251657728" behindDoc="1" locked="0" layoutInCell="1" allowOverlap="1" wp14:anchorId="3DAAF06D" wp14:editId="61D65D7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1168A">
      <w:rPr>
        <w:rStyle w:val="PageNumber"/>
        <w:b/>
        <w:bCs/>
        <w:noProof/>
      </w:rPr>
      <w:t>ii</w:t>
    </w:r>
    <w:r>
      <w:rPr>
        <w:rStyle w:val="PageNumber"/>
        <w:b/>
        <w:bCs/>
      </w:rPr>
      <w:fldChar w:fldCharType="end"/>
    </w:r>
    <w:r w:rsidRPr="00837CB5">
      <w:tab/>
    </w:r>
    <w:r w:rsidR="0061168A">
      <w:fldChar w:fldCharType="begin"/>
    </w:r>
    <w:r w:rsidR="0061168A">
      <w:instrText xml:space="preserve"> DOCPROPERTY "Header" \* MERGEFORMAT </w:instrText>
    </w:r>
    <w:r w:rsidR="0061168A">
      <w:fldChar w:fldCharType="separate"/>
    </w:r>
    <w:r w:rsidR="0061168A" w:rsidRPr="0061168A">
      <w:rPr>
        <w:b/>
        <w:bCs/>
      </w:rPr>
      <w:t xml:space="preserve">Rec. </w:t>
    </w:r>
    <w:r w:rsidR="0061168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61168A">
      <w:rPr>
        <w:b/>
        <w:bCs/>
        <w:noProof/>
      </w:rPr>
      <w:t>UIT-R  S.465-6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Default="00A443C2">
    <w:pPr>
      <w:pStyle w:val="Header"/>
    </w:pPr>
    <w:r>
      <w:tab/>
    </w:r>
    <w:r w:rsidR="0061168A">
      <w:fldChar w:fldCharType="begin"/>
    </w:r>
    <w:r w:rsidR="0061168A">
      <w:instrText xml:space="preserve"> DOCPROPERTY "Header" \* MERGEFORMAT </w:instrText>
    </w:r>
    <w:r w:rsidR="0061168A">
      <w:fldChar w:fldCharType="separate"/>
    </w:r>
    <w:r w:rsidR="0061168A" w:rsidRPr="0061168A">
      <w:rPr>
        <w:b/>
        <w:bCs/>
      </w:rPr>
      <w:t xml:space="preserve">Rec. </w:t>
    </w:r>
    <w:r w:rsidR="0061168A">
      <w:rPr>
        <w:b/>
        <w:bCs/>
      </w:rPr>
      <w:fldChar w:fldCharType="end"/>
    </w:r>
    <w:r>
      <w:rPr>
        <w:b/>
        <w:bCs/>
      </w:rPr>
      <w:t xml:space="preserve"> </w:t>
    </w:r>
    <w:r>
      <w:rPr>
        <w:b/>
        <w:bCs/>
      </w:rPr>
      <w:fldChar w:fldCharType="begin"/>
    </w:r>
    <w:r>
      <w:rPr>
        <w:b/>
        <w:bCs/>
      </w:rPr>
      <w:instrText>styleref href</w:instrText>
    </w:r>
    <w:r>
      <w:rPr>
        <w:b/>
        <w:bCs/>
      </w:rPr>
      <w:fldChar w:fldCharType="separate"/>
    </w:r>
    <w:r w:rsidR="0061168A">
      <w:rPr>
        <w:b/>
        <w:bCs/>
        <w:noProof/>
      </w:rPr>
      <w:t>UIT-R  S.465-6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1168A">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1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72484"/>
    <w:rsid w:val="00076BD8"/>
    <w:rsid w:val="00086C50"/>
    <w:rsid w:val="00096612"/>
    <w:rsid w:val="000A0A78"/>
    <w:rsid w:val="000B7683"/>
    <w:rsid w:val="00102934"/>
    <w:rsid w:val="00123FD5"/>
    <w:rsid w:val="00125B6D"/>
    <w:rsid w:val="00126AF2"/>
    <w:rsid w:val="00147110"/>
    <w:rsid w:val="001941FF"/>
    <w:rsid w:val="001A27FE"/>
    <w:rsid w:val="00202D10"/>
    <w:rsid w:val="002058CE"/>
    <w:rsid w:val="002165F1"/>
    <w:rsid w:val="00227626"/>
    <w:rsid w:val="00276D21"/>
    <w:rsid w:val="00282F8D"/>
    <w:rsid w:val="00296D7F"/>
    <w:rsid w:val="002B3CF6"/>
    <w:rsid w:val="002C768A"/>
    <w:rsid w:val="002D76C4"/>
    <w:rsid w:val="00326525"/>
    <w:rsid w:val="00363367"/>
    <w:rsid w:val="003E6469"/>
    <w:rsid w:val="00420DFD"/>
    <w:rsid w:val="00470E28"/>
    <w:rsid w:val="004822EF"/>
    <w:rsid w:val="004831C4"/>
    <w:rsid w:val="004934C5"/>
    <w:rsid w:val="004A4D65"/>
    <w:rsid w:val="00523E1A"/>
    <w:rsid w:val="00556548"/>
    <w:rsid w:val="00567DC0"/>
    <w:rsid w:val="00586EF8"/>
    <w:rsid w:val="00592F9F"/>
    <w:rsid w:val="00593B96"/>
    <w:rsid w:val="005B49AB"/>
    <w:rsid w:val="005B50E7"/>
    <w:rsid w:val="005B65B9"/>
    <w:rsid w:val="005E427C"/>
    <w:rsid w:val="005E6DCC"/>
    <w:rsid w:val="005E7B4F"/>
    <w:rsid w:val="0060611D"/>
    <w:rsid w:val="00607D68"/>
    <w:rsid w:val="0061168A"/>
    <w:rsid w:val="006149B1"/>
    <w:rsid w:val="00614CC6"/>
    <w:rsid w:val="00647E80"/>
    <w:rsid w:val="00680D2B"/>
    <w:rsid w:val="00681B32"/>
    <w:rsid w:val="006C7827"/>
    <w:rsid w:val="006E2037"/>
    <w:rsid w:val="006F154D"/>
    <w:rsid w:val="00712870"/>
    <w:rsid w:val="00731BD8"/>
    <w:rsid w:val="00743D85"/>
    <w:rsid w:val="00753CF4"/>
    <w:rsid w:val="007565CC"/>
    <w:rsid w:val="00756B4D"/>
    <w:rsid w:val="00763B9A"/>
    <w:rsid w:val="00776E56"/>
    <w:rsid w:val="007A308E"/>
    <w:rsid w:val="007A6AA8"/>
    <w:rsid w:val="008310C9"/>
    <w:rsid w:val="00837CB5"/>
    <w:rsid w:val="00872472"/>
    <w:rsid w:val="008C7848"/>
    <w:rsid w:val="00917AF2"/>
    <w:rsid w:val="0092418A"/>
    <w:rsid w:val="00934ED7"/>
    <w:rsid w:val="009454F8"/>
    <w:rsid w:val="009543C3"/>
    <w:rsid w:val="00966E1B"/>
    <w:rsid w:val="00990786"/>
    <w:rsid w:val="009B5551"/>
    <w:rsid w:val="009F2D2C"/>
    <w:rsid w:val="00A443C2"/>
    <w:rsid w:val="00A52DB0"/>
    <w:rsid w:val="00A6617B"/>
    <w:rsid w:val="00A71FE5"/>
    <w:rsid w:val="00AA3AD8"/>
    <w:rsid w:val="00AB0DC8"/>
    <w:rsid w:val="00AB52D1"/>
    <w:rsid w:val="00AD267B"/>
    <w:rsid w:val="00B033C8"/>
    <w:rsid w:val="00B21066"/>
    <w:rsid w:val="00B33425"/>
    <w:rsid w:val="00B44E24"/>
    <w:rsid w:val="00B54ECC"/>
    <w:rsid w:val="00B714F3"/>
    <w:rsid w:val="00B81801"/>
    <w:rsid w:val="00BC0651"/>
    <w:rsid w:val="00BC5D77"/>
    <w:rsid w:val="00BF487A"/>
    <w:rsid w:val="00C268B9"/>
    <w:rsid w:val="00C362C3"/>
    <w:rsid w:val="00C46BD9"/>
    <w:rsid w:val="00C517AE"/>
    <w:rsid w:val="00C55258"/>
    <w:rsid w:val="00C668C8"/>
    <w:rsid w:val="00C73560"/>
    <w:rsid w:val="00C84DA5"/>
    <w:rsid w:val="00CB0F14"/>
    <w:rsid w:val="00CD659B"/>
    <w:rsid w:val="00CD7DC8"/>
    <w:rsid w:val="00D017C0"/>
    <w:rsid w:val="00D31EB8"/>
    <w:rsid w:val="00D70C4E"/>
    <w:rsid w:val="00DE5EA2"/>
    <w:rsid w:val="00DF4176"/>
    <w:rsid w:val="00DF693C"/>
    <w:rsid w:val="00E02402"/>
    <w:rsid w:val="00E17240"/>
    <w:rsid w:val="00E44C45"/>
    <w:rsid w:val="00E44CBB"/>
    <w:rsid w:val="00E73AFE"/>
    <w:rsid w:val="00E80F1D"/>
    <w:rsid w:val="00EA6E8E"/>
    <w:rsid w:val="00EC361D"/>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17A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517AE"/>
    <w:pPr>
      <w:keepNext/>
      <w:keepLines/>
      <w:spacing w:before="480"/>
      <w:ind w:left="794" w:hanging="794"/>
      <w:outlineLvl w:val="0"/>
    </w:pPr>
    <w:rPr>
      <w:b/>
    </w:rPr>
  </w:style>
  <w:style w:type="paragraph" w:styleId="Heading2">
    <w:name w:val="heading 2"/>
    <w:basedOn w:val="Heading1"/>
    <w:next w:val="Normal"/>
    <w:qFormat/>
    <w:rsid w:val="00C517AE"/>
    <w:pPr>
      <w:spacing w:before="320"/>
      <w:outlineLvl w:val="1"/>
    </w:pPr>
  </w:style>
  <w:style w:type="paragraph" w:styleId="Heading3">
    <w:name w:val="heading 3"/>
    <w:basedOn w:val="Heading1"/>
    <w:next w:val="Normal"/>
    <w:qFormat/>
    <w:rsid w:val="00C517AE"/>
    <w:pPr>
      <w:spacing w:before="200"/>
      <w:outlineLvl w:val="2"/>
    </w:pPr>
  </w:style>
  <w:style w:type="paragraph" w:styleId="Heading4">
    <w:name w:val="heading 4"/>
    <w:basedOn w:val="Heading3"/>
    <w:next w:val="Normal"/>
    <w:qFormat/>
    <w:rsid w:val="00C517AE"/>
    <w:pPr>
      <w:tabs>
        <w:tab w:val="clear" w:pos="794"/>
        <w:tab w:val="left" w:pos="992"/>
      </w:tabs>
      <w:ind w:left="992" w:hanging="992"/>
      <w:outlineLvl w:val="3"/>
    </w:pPr>
  </w:style>
  <w:style w:type="paragraph" w:styleId="Heading5">
    <w:name w:val="heading 5"/>
    <w:basedOn w:val="Heading4"/>
    <w:next w:val="Normal"/>
    <w:qFormat/>
    <w:rsid w:val="00C517AE"/>
    <w:pPr>
      <w:outlineLvl w:val="4"/>
    </w:pPr>
  </w:style>
  <w:style w:type="paragraph" w:styleId="Heading6">
    <w:name w:val="heading 6"/>
    <w:basedOn w:val="Heading4"/>
    <w:next w:val="Normal"/>
    <w:qFormat/>
    <w:rsid w:val="00C517AE"/>
    <w:pPr>
      <w:tabs>
        <w:tab w:val="clear" w:pos="992"/>
        <w:tab w:val="clear" w:pos="1191"/>
      </w:tabs>
      <w:ind w:left="1588" w:hanging="1588"/>
      <w:outlineLvl w:val="5"/>
    </w:pPr>
  </w:style>
  <w:style w:type="paragraph" w:styleId="Heading7">
    <w:name w:val="heading 7"/>
    <w:basedOn w:val="Heading6"/>
    <w:next w:val="Normal"/>
    <w:qFormat/>
    <w:rsid w:val="00C517AE"/>
    <w:pPr>
      <w:outlineLvl w:val="6"/>
    </w:pPr>
  </w:style>
  <w:style w:type="paragraph" w:styleId="Heading8">
    <w:name w:val="heading 8"/>
    <w:basedOn w:val="Heading6"/>
    <w:next w:val="Normal"/>
    <w:qFormat/>
    <w:rsid w:val="00C517AE"/>
    <w:pPr>
      <w:outlineLvl w:val="7"/>
    </w:pPr>
  </w:style>
  <w:style w:type="paragraph" w:styleId="Heading9">
    <w:name w:val="heading 9"/>
    <w:basedOn w:val="Heading6"/>
    <w:next w:val="Normal"/>
    <w:qFormat/>
    <w:rsid w:val="00C517A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517A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517A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517AE"/>
  </w:style>
  <w:style w:type="paragraph" w:customStyle="1" w:styleId="Headingb">
    <w:name w:val="Heading_b"/>
    <w:basedOn w:val="Heading3"/>
    <w:next w:val="Normal"/>
    <w:rsid w:val="00C517AE"/>
    <w:pPr>
      <w:spacing w:before="160"/>
      <w:ind w:left="0" w:firstLine="0"/>
      <w:outlineLvl w:val="9"/>
    </w:pPr>
  </w:style>
  <w:style w:type="paragraph" w:customStyle="1" w:styleId="Headingi">
    <w:name w:val="Heading_i"/>
    <w:basedOn w:val="Heading3"/>
    <w:next w:val="Normal"/>
    <w:rsid w:val="00C517AE"/>
    <w:pPr>
      <w:spacing w:before="160"/>
      <w:ind w:left="0" w:firstLine="0"/>
    </w:pPr>
    <w:rPr>
      <w:b w:val="0"/>
      <w:i/>
    </w:rPr>
  </w:style>
  <w:style w:type="character" w:customStyle="1" w:styleId="href">
    <w:name w:val="href"/>
    <w:basedOn w:val="DefaultParagraphFont"/>
    <w:rsid w:val="00C517AE"/>
  </w:style>
  <w:style w:type="paragraph" w:customStyle="1" w:styleId="AnnexNoTitle">
    <w:name w:val="Annex_NoTitle"/>
    <w:basedOn w:val="Normal"/>
    <w:next w:val="Normalaftertitle"/>
    <w:rsid w:val="00C517AE"/>
    <w:pPr>
      <w:keepNext/>
      <w:keepLines/>
      <w:spacing w:before="480" w:after="80"/>
      <w:jc w:val="center"/>
    </w:pPr>
    <w:rPr>
      <w:b/>
      <w:sz w:val="28"/>
    </w:rPr>
  </w:style>
  <w:style w:type="paragraph" w:customStyle="1" w:styleId="Normalaftertitle">
    <w:name w:val="Normal_after_title"/>
    <w:basedOn w:val="Normal"/>
    <w:next w:val="Normal"/>
    <w:rsid w:val="00C517AE"/>
    <w:pPr>
      <w:spacing w:before="320"/>
    </w:pPr>
  </w:style>
  <w:style w:type="paragraph" w:customStyle="1" w:styleId="enumlev2">
    <w:name w:val="enumlev2"/>
    <w:basedOn w:val="enumlev1"/>
    <w:rsid w:val="00C517AE"/>
    <w:pPr>
      <w:ind w:left="1191" w:hanging="397"/>
    </w:pPr>
  </w:style>
  <w:style w:type="paragraph" w:customStyle="1" w:styleId="enumlev1">
    <w:name w:val="enumlev1"/>
    <w:basedOn w:val="Normal"/>
    <w:rsid w:val="00C517AE"/>
    <w:pPr>
      <w:spacing w:before="80"/>
      <w:ind w:left="794" w:hanging="794"/>
    </w:pPr>
  </w:style>
  <w:style w:type="paragraph" w:customStyle="1" w:styleId="enumlev3">
    <w:name w:val="enumlev3"/>
    <w:basedOn w:val="enumlev2"/>
    <w:rsid w:val="00C517AE"/>
    <w:pPr>
      <w:ind w:left="1588"/>
    </w:pPr>
  </w:style>
  <w:style w:type="paragraph" w:customStyle="1" w:styleId="Note">
    <w:name w:val="Note"/>
    <w:basedOn w:val="Normal"/>
    <w:rsid w:val="00C517A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517A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517AE"/>
    <w:pPr>
      <w:keepNext/>
      <w:keepLines/>
      <w:spacing w:before="240"/>
      <w:jc w:val="center"/>
    </w:pPr>
    <w:rPr>
      <w:b/>
      <w:sz w:val="28"/>
    </w:rPr>
  </w:style>
  <w:style w:type="paragraph" w:customStyle="1" w:styleId="Recref">
    <w:name w:val="Rec_ref"/>
    <w:basedOn w:val="Normal"/>
    <w:next w:val="Recdate"/>
    <w:rsid w:val="00C517AE"/>
    <w:pPr>
      <w:jc w:val="center"/>
    </w:pPr>
  </w:style>
  <w:style w:type="paragraph" w:customStyle="1" w:styleId="Recdate">
    <w:name w:val="Rec_date"/>
    <w:basedOn w:val="Recref"/>
    <w:next w:val="Normalaftertitle"/>
    <w:rsid w:val="00C517AE"/>
    <w:pPr>
      <w:jc w:val="right"/>
    </w:pPr>
  </w:style>
  <w:style w:type="paragraph" w:customStyle="1" w:styleId="HeadingSum">
    <w:name w:val="Heading_Sum"/>
    <w:basedOn w:val="Headingb"/>
    <w:next w:val="Normal"/>
    <w:rsid w:val="00C517AE"/>
    <w:pPr>
      <w:spacing w:before="240"/>
    </w:pPr>
    <w:rPr>
      <w:sz w:val="22"/>
      <w:lang w:val="es-ES_tradnl"/>
    </w:rPr>
  </w:style>
  <w:style w:type="paragraph" w:customStyle="1" w:styleId="AppendixNoTitle">
    <w:name w:val="Appendix_NoTitle"/>
    <w:basedOn w:val="AnnexNoTitle"/>
    <w:next w:val="Normal"/>
    <w:rsid w:val="00C517AE"/>
  </w:style>
  <w:style w:type="paragraph" w:customStyle="1" w:styleId="Tablefin">
    <w:name w:val="Table_fin"/>
    <w:basedOn w:val="Normal"/>
    <w:next w:val="Normal"/>
    <w:rsid w:val="00C517AE"/>
    <w:pPr>
      <w:spacing w:before="0"/>
    </w:pPr>
    <w:rPr>
      <w:sz w:val="20"/>
      <w:lang w:val="en-GB"/>
    </w:rPr>
  </w:style>
  <w:style w:type="paragraph" w:customStyle="1" w:styleId="Tablehead">
    <w:name w:val="Table_head"/>
    <w:basedOn w:val="Normal"/>
    <w:next w:val="Normal"/>
    <w:rsid w:val="00C517A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517A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517AE"/>
    <w:pPr>
      <w:keepNext/>
      <w:spacing w:before="360" w:after="120"/>
      <w:jc w:val="center"/>
    </w:pPr>
  </w:style>
  <w:style w:type="paragraph" w:customStyle="1" w:styleId="Tabletext">
    <w:name w:val="Table_text"/>
    <w:basedOn w:val="Normal"/>
    <w:rsid w:val="00C517A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517AE"/>
    <w:pPr>
      <w:tabs>
        <w:tab w:val="clear" w:pos="1191"/>
        <w:tab w:val="clear" w:pos="1588"/>
        <w:tab w:val="clear" w:pos="1985"/>
        <w:tab w:val="center" w:pos="4820"/>
        <w:tab w:val="right" w:pos="9639"/>
      </w:tabs>
    </w:pPr>
  </w:style>
  <w:style w:type="paragraph" w:customStyle="1" w:styleId="Equationlegend">
    <w:name w:val="Equation_legend"/>
    <w:basedOn w:val="NormalIndent"/>
    <w:rsid w:val="00C517A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517AE"/>
    <w:pPr>
      <w:ind w:left="794"/>
    </w:pPr>
  </w:style>
  <w:style w:type="paragraph" w:customStyle="1" w:styleId="Figurelegend">
    <w:name w:val="Figure_legend"/>
    <w:basedOn w:val="Normal"/>
    <w:rsid w:val="00C517A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517AE"/>
    <w:pPr>
      <w:keepNext/>
      <w:keepLines/>
      <w:spacing w:before="480" w:after="80"/>
      <w:jc w:val="center"/>
    </w:pPr>
    <w:rPr>
      <w:caps/>
      <w:sz w:val="18"/>
    </w:rPr>
  </w:style>
  <w:style w:type="paragraph" w:customStyle="1" w:styleId="Figuretitle">
    <w:name w:val="Figure_title"/>
    <w:basedOn w:val="Normal"/>
    <w:next w:val="Figure"/>
    <w:rsid w:val="00C517AE"/>
    <w:pPr>
      <w:keepNext/>
      <w:spacing w:before="0" w:after="120"/>
      <w:jc w:val="center"/>
    </w:pPr>
    <w:rPr>
      <w:rFonts w:ascii="Times New Roman Bold" w:hAnsi="Times New Roman Bold"/>
      <w:b/>
      <w:sz w:val="18"/>
    </w:rPr>
  </w:style>
  <w:style w:type="paragraph" w:customStyle="1" w:styleId="Figure">
    <w:name w:val="Figure"/>
    <w:basedOn w:val="FigureNo"/>
    <w:next w:val="Normal"/>
    <w:rsid w:val="00C517AE"/>
    <w:pPr>
      <w:keepNext w:val="0"/>
      <w:spacing w:before="0" w:after="240"/>
    </w:pPr>
  </w:style>
  <w:style w:type="paragraph" w:customStyle="1" w:styleId="tocpart">
    <w:name w:val="tocpart"/>
    <w:basedOn w:val="Normal"/>
    <w:rsid w:val="00C517A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517AE"/>
    <w:pPr>
      <w:keepNext/>
      <w:keepLines/>
      <w:spacing w:before="480"/>
      <w:jc w:val="center"/>
    </w:pPr>
    <w:rPr>
      <w:sz w:val="28"/>
    </w:rPr>
  </w:style>
  <w:style w:type="paragraph" w:customStyle="1" w:styleId="Arttitle">
    <w:name w:val="Art_title"/>
    <w:basedOn w:val="Normal"/>
    <w:next w:val="Normalaftertitle"/>
    <w:rsid w:val="00C517AE"/>
    <w:pPr>
      <w:keepNext/>
      <w:keepLines/>
      <w:spacing w:before="240"/>
      <w:jc w:val="center"/>
    </w:pPr>
    <w:rPr>
      <w:b/>
      <w:sz w:val="28"/>
    </w:rPr>
  </w:style>
  <w:style w:type="paragraph" w:customStyle="1" w:styleId="Blanc">
    <w:name w:val="Blanc"/>
    <w:basedOn w:val="Normal"/>
    <w:next w:val="Tabletext"/>
    <w:rsid w:val="00C517A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517A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517AE"/>
    <w:pPr>
      <w:keepNext/>
      <w:keepLines/>
      <w:spacing w:before="160"/>
      <w:ind w:left="794"/>
    </w:pPr>
    <w:rPr>
      <w:i/>
    </w:rPr>
  </w:style>
  <w:style w:type="paragraph" w:customStyle="1" w:styleId="ChapNo">
    <w:name w:val="Chap_No"/>
    <w:basedOn w:val="ArtNo"/>
    <w:next w:val="Chaptitle"/>
    <w:rsid w:val="00C517AE"/>
    <w:rPr>
      <w:b/>
    </w:rPr>
  </w:style>
  <w:style w:type="paragraph" w:customStyle="1" w:styleId="Chaptitle">
    <w:name w:val="Chap_title"/>
    <w:basedOn w:val="Arttitle"/>
    <w:next w:val="Normalaftertitle"/>
    <w:rsid w:val="00C517AE"/>
  </w:style>
  <w:style w:type="character" w:styleId="FootnoteReference">
    <w:name w:val="footnote reference"/>
    <w:basedOn w:val="DefaultParagraphFont"/>
    <w:semiHidden/>
    <w:rsid w:val="00C517AE"/>
    <w:rPr>
      <w:position w:val="6"/>
      <w:sz w:val="18"/>
    </w:rPr>
  </w:style>
  <w:style w:type="paragraph" w:styleId="FootnoteText">
    <w:name w:val="footnote text"/>
    <w:basedOn w:val="Normal"/>
    <w:semiHidden/>
    <w:rsid w:val="00C517AE"/>
    <w:pPr>
      <w:keepLines/>
      <w:tabs>
        <w:tab w:val="left" w:pos="255"/>
      </w:tabs>
      <w:ind w:left="255" w:hanging="255"/>
    </w:pPr>
    <w:rPr>
      <w:sz w:val="22"/>
    </w:rPr>
  </w:style>
  <w:style w:type="paragraph" w:styleId="Index1">
    <w:name w:val="index 1"/>
    <w:basedOn w:val="Normal"/>
    <w:next w:val="Normal"/>
    <w:semiHidden/>
    <w:rsid w:val="00C517AE"/>
  </w:style>
  <w:style w:type="paragraph" w:styleId="Index2">
    <w:name w:val="index 2"/>
    <w:basedOn w:val="Normal"/>
    <w:next w:val="Normal"/>
    <w:semiHidden/>
    <w:rsid w:val="00C517AE"/>
    <w:pPr>
      <w:ind w:left="283"/>
    </w:pPr>
  </w:style>
  <w:style w:type="paragraph" w:styleId="Index3">
    <w:name w:val="index 3"/>
    <w:basedOn w:val="Normal"/>
    <w:next w:val="Normal"/>
    <w:semiHidden/>
    <w:rsid w:val="00C517AE"/>
    <w:pPr>
      <w:ind w:left="566"/>
    </w:pPr>
  </w:style>
  <w:style w:type="paragraph" w:styleId="IndexHeading">
    <w:name w:val="index heading"/>
    <w:basedOn w:val="Normal"/>
    <w:next w:val="Index1"/>
    <w:semiHidden/>
    <w:rsid w:val="00C517AE"/>
  </w:style>
  <w:style w:type="paragraph" w:customStyle="1" w:styleId="Line">
    <w:name w:val="Line"/>
    <w:basedOn w:val="Normal"/>
    <w:next w:val="Normal"/>
    <w:rsid w:val="00C517A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517A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517AE"/>
  </w:style>
  <w:style w:type="paragraph" w:customStyle="1" w:styleId="Partref">
    <w:name w:val="Part_ref"/>
    <w:basedOn w:val="Normal"/>
    <w:next w:val="Normal"/>
    <w:rsid w:val="00C517AE"/>
    <w:pPr>
      <w:keepNext/>
      <w:keepLines/>
      <w:spacing w:after="280"/>
      <w:jc w:val="center"/>
    </w:pPr>
  </w:style>
  <w:style w:type="paragraph" w:customStyle="1" w:styleId="Parttitle">
    <w:name w:val="Part_title"/>
    <w:basedOn w:val="Normal"/>
    <w:next w:val="Normalaftertitle"/>
    <w:rsid w:val="00C517A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517AE"/>
  </w:style>
  <w:style w:type="paragraph" w:customStyle="1" w:styleId="QuestionNo">
    <w:name w:val="Question_No"/>
    <w:basedOn w:val="RecNo"/>
    <w:next w:val="Normal"/>
    <w:rsid w:val="00C517AE"/>
  </w:style>
  <w:style w:type="paragraph" w:customStyle="1" w:styleId="Questionref">
    <w:name w:val="Question_ref"/>
    <w:basedOn w:val="Recref"/>
    <w:next w:val="Questiondate"/>
    <w:rsid w:val="00C517AE"/>
  </w:style>
  <w:style w:type="paragraph" w:customStyle="1" w:styleId="Questiontitle">
    <w:name w:val="Question_title"/>
    <w:basedOn w:val="Normal"/>
    <w:next w:val="Questionref"/>
    <w:rsid w:val="00C517AE"/>
  </w:style>
  <w:style w:type="paragraph" w:customStyle="1" w:styleId="Reftext">
    <w:name w:val="Ref_text"/>
    <w:basedOn w:val="Normal"/>
    <w:rsid w:val="00C517AE"/>
    <w:pPr>
      <w:ind w:left="794" w:hanging="794"/>
    </w:pPr>
    <w:rPr>
      <w:sz w:val="22"/>
    </w:rPr>
  </w:style>
  <w:style w:type="paragraph" w:customStyle="1" w:styleId="Reftitle">
    <w:name w:val="Ref_title"/>
    <w:basedOn w:val="Normal"/>
    <w:next w:val="Reftext"/>
    <w:rsid w:val="00C517A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517AE"/>
  </w:style>
  <w:style w:type="paragraph" w:customStyle="1" w:styleId="RepNo">
    <w:name w:val="Rep_No"/>
    <w:basedOn w:val="RecNo"/>
    <w:next w:val="Reptitle"/>
    <w:rsid w:val="00C517AE"/>
  </w:style>
  <w:style w:type="paragraph" w:customStyle="1" w:styleId="Reptitle">
    <w:name w:val="Rep_title"/>
    <w:basedOn w:val="Rectitle"/>
    <w:next w:val="Repref"/>
    <w:rsid w:val="00C517AE"/>
  </w:style>
  <w:style w:type="paragraph" w:customStyle="1" w:styleId="Repref">
    <w:name w:val="Rep_ref"/>
    <w:basedOn w:val="Recref"/>
    <w:next w:val="Repdate"/>
    <w:rsid w:val="00C517AE"/>
  </w:style>
  <w:style w:type="paragraph" w:customStyle="1" w:styleId="Resdate">
    <w:name w:val="Res_date"/>
    <w:basedOn w:val="Recdate"/>
    <w:next w:val="Normalaftertitle"/>
    <w:rsid w:val="00C517AE"/>
  </w:style>
  <w:style w:type="paragraph" w:customStyle="1" w:styleId="ResNo">
    <w:name w:val="Res_No"/>
    <w:basedOn w:val="RecNo"/>
    <w:next w:val="Restitle"/>
    <w:rsid w:val="00C517AE"/>
  </w:style>
  <w:style w:type="paragraph" w:customStyle="1" w:styleId="Restitle">
    <w:name w:val="Res_title"/>
    <w:basedOn w:val="Normal"/>
    <w:next w:val="Resref"/>
    <w:rsid w:val="00C517AE"/>
    <w:pPr>
      <w:spacing w:before="240"/>
      <w:jc w:val="center"/>
    </w:pPr>
    <w:rPr>
      <w:b/>
      <w:sz w:val="28"/>
    </w:rPr>
  </w:style>
  <w:style w:type="paragraph" w:customStyle="1" w:styleId="Resref">
    <w:name w:val="Res_ref"/>
    <w:basedOn w:val="Recref"/>
    <w:next w:val="Resdate"/>
    <w:rsid w:val="00C517AE"/>
  </w:style>
  <w:style w:type="paragraph" w:customStyle="1" w:styleId="SectionNo">
    <w:name w:val="Section_No"/>
    <w:basedOn w:val="Normal"/>
    <w:next w:val="Normal"/>
    <w:rsid w:val="00C517AE"/>
  </w:style>
  <w:style w:type="paragraph" w:customStyle="1" w:styleId="Sectiontitle">
    <w:name w:val="Section_title"/>
    <w:basedOn w:val="Normal"/>
    <w:next w:val="Normalaftertitle"/>
    <w:rsid w:val="00C517A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517AE"/>
    <w:pPr>
      <w:tabs>
        <w:tab w:val="clear" w:pos="794"/>
        <w:tab w:val="clear" w:pos="1191"/>
        <w:tab w:val="clear" w:pos="1588"/>
        <w:tab w:val="clear" w:pos="1985"/>
        <w:tab w:val="right" w:pos="9611"/>
      </w:tabs>
    </w:pPr>
    <w:rPr>
      <w:i/>
    </w:rPr>
  </w:style>
  <w:style w:type="paragraph" w:styleId="TOC1">
    <w:name w:val="toc 1"/>
    <w:basedOn w:val="Normal"/>
    <w:semiHidden/>
    <w:rsid w:val="00C517A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517AE"/>
    <w:pPr>
      <w:tabs>
        <w:tab w:val="clear" w:pos="567"/>
        <w:tab w:val="left" w:pos="1276"/>
      </w:tabs>
      <w:spacing w:before="160"/>
      <w:ind w:left="1276" w:hanging="709"/>
    </w:pPr>
  </w:style>
  <w:style w:type="paragraph" w:styleId="TOC3">
    <w:name w:val="toc 3"/>
    <w:basedOn w:val="TOC2"/>
    <w:semiHidden/>
    <w:rsid w:val="00C517AE"/>
    <w:pPr>
      <w:tabs>
        <w:tab w:val="clear" w:pos="1276"/>
        <w:tab w:val="left" w:pos="2155"/>
      </w:tabs>
      <w:ind w:left="2155" w:hanging="879"/>
    </w:pPr>
  </w:style>
  <w:style w:type="paragraph" w:styleId="TOC4">
    <w:name w:val="toc 4"/>
    <w:basedOn w:val="TOC3"/>
    <w:semiHidden/>
    <w:rsid w:val="00C517AE"/>
    <w:pPr>
      <w:tabs>
        <w:tab w:val="left" w:pos="3261"/>
      </w:tabs>
      <w:spacing w:before="80"/>
      <w:ind w:left="3261" w:hanging="993"/>
    </w:pPr>
  </w:style>
  <w:style w:type="paragraph" w:styleId="TOC5">
    <w:name w:val="toc 5"/>
    <w:basedOn w:val="TOC4"/>
    <w:semiHidden/>
    <w:rsid w:val="00C517AE"/>
  </w:style>
  <w:style w:type="paragraph" w:styleId="TOC6">
    <w:name w:val="toc 6"/>
    <w:basedOn w:val="TOC4"/>
    <w:semiHidden/>
    <w:rsid w:val="00C517AE"/>
  </w:style>
  <w:style w:type="paragraph" w:styleId="TOC7">
    <w:name w:val="toc 7"/>
    <w:basedOn w:val="TOC4"/>
    <w:semiHidden/>
    <w:rsid w:val="00C517AE"/>
  </w:style>
  <w:style w:type="paragraph" w:styleId="TOC8">
    <w:name w:val="toc 8"/>
    <w:basedOn w:val="TOC4"/>
    <w:semiHidden/>
    <w:rsid w:val="00C517AE"/>
  </w:style>
  <w:style w:type="paragraph" w:customStyle="1" w:styleId="Annexref">
    <w:name w:val="Annex_ref"/>
    <w:basedOn w:val="Normal"/>
    <w:next w:val="Normalaftertitle"/>
    <w:rsid w:val="00C517AE"/>
    <w:pPr>
      <w:keepNext/>
      <w:keepLines/>
      <w:spacing w:after="280"/>
      <w:jc w:val="center"/>
    </w:pPr>
  </w:style>
  <w:style w:type="paragraph" w:customStyle="1" w:styleId="Appendixref">
    <w:name w:val="Appendix_ref"/>
    <w:basedOn w:val="Annexref"/>
    <w:next w:val="Normalaftertitle"/>
    <w:rsid w:val="00C517AE"/>
  </w:style>
  <w:style w:type="paragraph" w:customStyle="1" w:styleId="Tabletitle">
    <w:name w:val="Table_title"/>
    <w:basedOn w:val="Normal"/>
    <w:next w:val="Tablehead"/>
    <w:rsid w:val="00C517AE"/>
    <w:pPr>
      <w:keepNext/>
      <w:spacing w:before="0" w:after="120"/>
      <w:jc w:val="center"/>
    </w:pPr>
    <w:rPr>
      <w:b/>
    </w:rPr>
  </w:style>
  <w:style w:type="paragraph" w:customStyle="1" w:styleId="Summary">
    <w:name w:val="Summary"/>
    <w:basedOn w:val="Normal"/>
    <w:next w:val="Normalaftertitle"/>
    <w:rsid w:val="00C517A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C517AE"/>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17A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517AE"/>
    <w:pPr>
      <w:keepNext/>
      <w:keepLines/>
      <w:spacing w:before="480"/>
      <w:ind w:left="794" w:hanging="794"/>
      <w:outlineLvl w:val="0"/>
    </w:pPr>
    <w:rPr>
      <w:b/>
    </w:rPr>
  </w:style>
  <w:style w:type="paragraph" w:styleId="Heading2">
    <w:name w:val="heading 2"/>
    <w:basedOn w:val="Heading1"/>
    <w:next w:val="Normal"/>
    <w:qFormat/>
    <w:rsid w:val="00C517AE"/>
    <w:pPr>
      <w:spacing w:before="320"/>
      <w:outlineLvl w:val="1"/>
    </w:pPr>
  </w:style>
  <w:style w:type="paragraph" w:styleId="Heading3">
    <w:name w:val="heading 3"/>
    <w:basedOn w:val="Heading1"/>
    <w:next w:val="Normal"/>
    <w:qFormat/>
    <w:rsid w:val="00C517AE"/>
    <w:pPr>
      <w:spacing w:before="200"/>
      <w:outlineLvl w:val="2"/>
    </w:pPr>
  </w:style>
  <w:style w:type="paragraph" w:styleId="Heading4">
    <w:name w:val="heading 4"/>
    <w:basedOn w:val="Heading3"/>
    <w:next w:val="Normal"/>
    <w:qFormat/>
    <w:rsid w:val="00C517AE"/>
    <w:pPr>
      <w:tabs>
        <w:tab w:val="clear" w:pos="794"/>
        <w:tab w:val="left" w:pos="992"/>
      </w:tabs>
      <w:ind w:left="992" w:hanging="992"/>
      <w:outlineLvl w:val="3"/>
    </w:pPr>
  </w:style>
  <w:style w:type="paragraph" w:styleId="Heading5">
    <w:name w:val="heading 5"/>
    <w:basedOn w:val="Heading4"/>
    <w:next w:val="Normal"/>
    <w:qFormat/>
    <w:rsid w:val="00C517AE"/>
    <w:pPr>
      <w:outlineLvl w:val="4"/>
    </w:pPr>
  </w:style>
  <w:style w:type="paragraph" w:styleId="Heading6">
    <w:name w:val="heading 6"/>
    <w:basedOn w:val="Heading4"/>
    <w:next w:val="Normal"/>
    <w:qFormat/>
    <w:rsid w:val="00C517AE"/>
    <w:pPr>
      <w:tabs>
        <w:tab w:val="clear" w:pos="992"/>
        <w:tab w:val="clear" w:pos="1191"/>
      </w:tabs>
      <w:ind w:left="1588" w:hanging="1588"/>
      <w:outlineLvl w:val="5"/>
    </w:pPr>
  </w:style>
  <w:style w:type="paragraph" w:styleId="Heading7">
    <w:name w:val="heading 7"/>
    <w:basedOn w:val="Heading6"/>
    <w:next w:val="Normal"/>
    <w:qFormat/>
    <w:rsid w:val="00C517AE"/>
    <w:pPr>
      <w:outlineLvl w:val="6"/>
    </w:pPr>
  </w:style>
  <w:style w:type="paragraph" w:styleId="Heading8">
    <w:name w:val="heading 8"/>
    <w:basedOn w:val="Heading6"/>
    <w:next w:val="Normal"/>
    <w:qFormat/>
    <w:rsid w:val="00C517AE"/>
    <w:pPr>
      <w:outlineLvl w:val="7"/>
    </w:pPr>
  </w:style>
  <w:style w:type="paragraph" w:styleId="Heading9">
    <w:name w:val="heading 9"/>
    <w:basedOn w:val="Heading6"/>
    <w:next w:val="Normal"/>
    <w:qFormat/>
    <w:rsid w:val="00C517A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517A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517A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517AE"/>
  </w:style>
  <w:style w:type="paragraph" w:customStyle="1" w:styleId="Headingb">
    <w:name w:val="Heading_b"/>
    <w:basedOn w:val="Heading3"/>
    <w:next w:val="Normal"/>
    <w:rsid w:val="00C517AE"/>
    <w:pPr>
      <w:spacing w:before="160"/>
      <w:ind w:left="0" w:firstLine="0"/>
      <w:outlineLvl w:val="9"/>
    </w:pPr>
  </w:style>
  <w:style w:type="paragraph" w:customStyle="1" w:styleId="Headingi">
    <w:name w:val="Heading_i"/>
    <w:basedOn w:val="Heading3"/>
    <w:next w:val="Normal"/>
    <w:rsid w:val="00C517AE"/>
    <w:pPr>
      <w:spacing w:before="160"/>
      <w:ind w:left="0" w:firstLine="0"/>
    </w:pPr>
    <w:rPr>
      <w:b w:val="0"/>
      <w:i/>
    </w:rPr>
  </w:style>
  <w:style w:type="character" w:customStyle="1" w:styleId="href">
    <w:name w:val="href"/>
    <w:basedOn w:val="DefaultParagraphFont"/>
    <w:rsid w:val="00C517AE"/>
  </w:style>
  <w:style w:type="paragraph" w:customStyle="1" w:styleId="AnnexNoTitle">
    <w:name w:val="Annex_NoTitle"/>
    <w:basedOn w:val="Normal"/>
    <w:next w:val="Normalaftertitle"/>
    <w:rsid w:val="00C517AE"/>
    <w:pPr>
      <w:keepNext/>
      <w:keepLines/>
      <w:spacing w:before="480" w:after="80"/>
      <w:jc w:val="center"/>
    </w:pPr>
    <w:rPr>
      <w:b/>
      <w:sz w:val="28"/>
    </w:rPr>
  </w:style>
  <w:style w:type="paragraph" w:customStyle="1" w:styleId="Normalaftertitle">
    <w:name w:val="Normal_after_title"/>
    <w:basedOn w:val="Normal"/>
    <w:next w:val="Normal"/>
    <w:rsid w:val="00C517AE"/>
    <w:pPr>
      <w:spacing w:before="320"/>
    </w:pPr>
  </w:style>
  <w:style w:type="paragraph" w:customStyle="1" w:styleId="enumlev2">
    <w:name w:val="enumlev2"/>
    <w:basedOn w:val="enumlev1"/>
    <w:rsid w:val="00C517AE"/>
    <w:pPr>
      <w:ind w:left="1191" w:hanging="397"/>
    </w:pPr>
  </w:style>
  <w:style w:type="paragraph" w:customStyle="1" w:styleId="enumlev1">
    <w:name w:val="enumlev1"/>
    <w:basedOn w:val="Normal"/>
    <w:rsid w:val="00C517AE"/>
    <w:pPr>
      <w:spacing w:before="80"/>
      <w:ind w:left="794" w:hanging="794"/>
    </w:pPr>
  </w:style>
  <w:style w:type="paragraph" w:customStyle="1" w:styleId="enumlev3">
    <w:name w:val="enumlev3"/>
    <w:basedOn w:val="enumlev2"/>
    <w:rsid w:val="00C517AE"/>
    <w:pPr>
      <w:ind w:left="1588"/>
    </w:pPr>
  </w:style>
  <w:style w:type="paragraph" w:customStyle="1" w:styleId="Note">
    <w:name w:val="Note"/>
    <w:basedOn w:val="Normal"/>
    <w:rsid w:val="00C517A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517A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517AE"/>
    <w:pPr>
      <w:keepNext/>
      <w:keepLines/>
      <w:spacing w:before="240"/>
      <w:jc w:val="center"/>
    </w:pPr>
    <w:rPr>
      <w:b/>
      <w:sz w:val="28"/>
    </w:rPr>
  </w:style>
  <w:style w:type="paragraph" w:customStyle="1" w:styleId="Recref">
    <w:name w:val="Rec_ref"/>
    <w:basedOn w:val="Normal"/>
    <w:next w:val="Recdate"/>
    <w:rsid w:val="00C517AE"/>
    <w:pPr>
      <w:jc w:val="center"/>
    </w:pPr>
  </w:style>
  <w:style w:type="paragraph" w:customStyle="1" w:styleId="Recdate">
    <w:name w:val="Rec_date"/>
    <w:basedOn w:val="Recref"/>
    <w:next w:val="Normalaftertitle"/>
    <w:rsid w:val="00C517AE"/>
    <w:pPr>
      <w:jc w:val="right"/>
    </w:pPr>
  </w:style>
  <w:style w:type="paragraph" w:customStyle="1" w:styleId="HeadingSum">
    <w:name w:val="Heading_Sum"/>
    <w:basedOn w:val="Headingb"/>
    <w:next w:val="Normal"/>
    <w:rsid w:val="00C517AE"/>
    <w:pPr>
      <w:spacing w:before="240"/>
    </w:pPr>
    <w:rPr>
      <w:sz w:val="22"/>
      <w:lang w:val="es-ES_tradnl"/>
    </w:rPr>
  </w:style>
  <w:style w:type="paragraph" w:customStyle="1" w:styleId="AppendixNoTitle">
    <w:name w:val="Appendix_NoTitle"/>
    <w:basedOn w:val="AnnexNoTitle"/>
    <w:next w:val="Normal"/>
    <w:rsid w:val="00C517AE"/>
  </w:style>
  <w:style w:type="paragraph" w:customStyle="1" w:styleId="Tablefin">
    <w:name w:val="Table_fin"/>
    <w:basedOn w:val="Normal"/>
    <w:next w:val="Normal"/>
    <w:rsid w:val="00C517AE"/>
    <w:pPr>
      <w:spacing w:before="0"/>
    </w:pPr>
    <w:rPr>
      <w:sz w:val="20"/>
      <w:lang w:val="en-GB"/>
    </w:rPr>
  </w:style>
  <w:style w:type="paragraph" w:customStyle="1" w:styleId="Tablehead">
    <w:name w:val="Table_head"/>
    <w:basedOn w:val="Normal"/>
    <w:next w:val="Normal"/>
    <w:rsid w:val="00C517A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517A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517AE"/>
    <w:pPr>
      <w:keepNext/>
      <w:spacing w:before="360" w:after="120"/>
      <w:jc w:val="center"/>
    </w:pPr>
  </w:style>
  <w:style w:type="paragraph" w:customStyle="1" w:styleId="Tabletext">
    <w:name w:val="Table_text"/>
    <w:basedOn w:val="Normal"/>
    <w:rsid w:val="00C517A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517AE"/>
    <w:pPr>
      <w:tabs>
        <w:tab w:val="clear" w:pos="1191"/>
        <w:tab w:val="clear" w:pos="1588"/>
        <w:tab w:val="clear" w:pos="1985"/>
        <w:tab w:val="center" w:pos="4820"/>
        <w:tab w:val="right" w:pos="9639"/>
      </w:tabs>
    </w:pPr>
  </w:style>
  <w:style w:type="paragraph" w:customStyle="1" w:styleId="Equationlegend">
    <w:name w:val="Equation_legend"/>
    <w:basedOn w:val="NormalIndent"/>
    <w:rsid w:val="00C517A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517AE"/>
    <w:pPr>
      <w:ind w:left="794"/>
    </w:pPr>
  </w:style>
  <w:style w:type="paragraph" w:customStyle="1" w:styleId="Figurelegend">
    <w:name w:val="Figure_legend"/>
    <w:basedOn w:val="Normal"/>
    <w:rsid w:val="00C517A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517AE"/>
    <w:pPr>
      <w:keepNext/>
      <w:keepLines/>
      <w:spacing w:before="480" w:after="80"/>
      <w:jc w:val="center"/>
    </w:pPr>
    <w:rPr>
      <w:caps/>
      <w:sz w:val="18"/>
    </w:rPr>
  </w:style>
  <w:style w:type="paragraph" w:customStyle="1" w:styleId="Figuretitle">
    <w:name w:val="Figure_title"/>
    <w:basedOn w:val="Normal"/>
    <w:next w:val="Figure"/>
    <w:rsid w:val="00C517AE"/>
    <w:pPr>
      <w:keepNext/>
      <w:spacing w:before="0" w:after="120"/>
      <w:jc w:val="center"/>
    </w:pPr>
    <w:rPr>
      <w:rFonts w:ascii="Times New Roman Bold" w:hAnsi="Times New Roman Bold"/>
      <w:b/>
      <w:sz w:val="18"/>
    </w:rPr>
  </w:style>
  <w:style w:type="paragraph" w:customStyle="1" w:styleId="Figure">
    <w:name w:val="Figure"/>
    <w:basedOn w:val="FigureNo"/>
    <w:next w:val="Normal"/>
    <w:rsid w:val="00C517AE"/>
    <w:pPr>
      <w:keepNext w:val="0"/>
      <w:spacing w:before="0" w:after="240"/>
    </w:pPr>
  </w:style>
  <w:style w:type="paragraph" w:customStyle="1" w:styleId="tocpart">
    <w:name w:val="tocpart"/>
    <w:basedOn w:val="Normal"/>
    <w:rsid w:val="00C517A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517AE"/>
    <w:pPr>
      <w:keepNext/>
      <w:keepLines/>
      <w:spacing w:before="480"/>
      <w:jc w:val="center"/>
    </w:pPr>
    <w:rPr>
      <w:sz w:val="28"/>
    </w:rPr>
  </w:style>
  <w:style w:type="paragraph" w:customStyle="1" w:styleId="Arttitle">
    <w:name w:val="Art_title"/>
    <w:basedOn w:val="Normal"/>
    <w:next w:val="Normalaftertitle"/>
    <w:rsid w:val="00C517AE"/>
    <w:pPr>
      <w:keepNext/>
      <w:keepLines/>
      <w:spacing w:before="240"/>
      <w:jc w:val="center"/>
    </w:pPr>
    <w:rPr>
      <w:b/>
      <w:sz w:val="28"/>
    </w:rPr>
  </w:style>
  <w:style w:type="paragraph" w:customStyle="1" w:styleId="Blanc">
    <w:name w:val="Blanc"/>
    <w:basedOn w:val="Normal"/>
    <w:next w:val="Tabletext"/>
    <w:rsid w:val="00C517A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517A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517AE"/>
    <w:pPr>
      <w:keepNext/>
      <w:keepLines/>
      <w:spacing w:before="160"/>
      <w:ind w:left="794"/>
    </w:pPr>
    <w:rPr>
      <w:i/>
    </w:rPr>
  </w:style>
  <w:style w:type="paragraph" w:customStyle="1" w:styleId="ChapNo">
    <w:name w:val="Chap_No"/>
    <w:basedOn w:val="ArtNo"/>
    <w:next w:val="Chaptitle"/>
    <w:rsid w:val="00C517AE"/>
    <w:rPr>
      <w:b/>
    </w:rPr>
  </w:style>
  <w:style w:type="paragraph" w:customStyle="1" w:styleId="Chaptitle">
    <w:name w:val="Chap_title"/>
    <w:basedOn w:val="Arttitle"/>
    <w:next w:val="Normalaftertitle"/>
    <w:rsid w:val="00C517AE"/>
  </w:style>
  <w:style w:type="character" w:styleId="FootnoteReference">
    <w:name w:val="footnote reference"/>
    <w:basedOn w:val="DefaultParagraphFont"/>
    <w:semiHidden/>
    <w:rsid w:val="00C517AE"/>
    <w:rPr>
      <w:position w:val="6"/>
      <w:sz w:val="18"/>
    </w:rPr>
  </w:style>
  <w:style w:type="paragraph" w:styleId="FootnoteText">
    <w:name w:val="footnote text"/>
    <w:basedOn w:val="Normal"/>
    <w:semiHidden/>
    <w:rsid w:val="00C517AE"/>
    <w:pPr>
      <w:keepLines/>
      <w:tabs>
        <w:tab w:val="left" w:pos="255"/>
      </w:tabs>
      <w:ind w:left="255" w:hanging="255"/>
    </w:pPr>
    <w:rPr>
      <w:sz w:val="22"/>
    </w:rPr>
  </w:style>
  <w:style w:type="paragraph" w:styleId="Index1">
    <w:name w:val="index 1"/>
    <w:basedOn w:val="Normal"/>
    <w:next w:val="Normal"/>
    <w:semiHidden/>
    <w:rsid w:val="00C517AE"/>
  </w:style>
  <w:style w:type="paragraph" w:styleId="Index2">
    <w:name w:val="index 2"/>
    <w:basedOn w:val="Normal"/>
    <w:next w:val="Normal"/>
    <w:semiHidden/>
    <w:rsid w:val="00C517AE"/>
    <w:pPr>
      <w:ind w:left="283"/>
    </w:pPr>
  </w:style>
  <w:style w:type="paragraph" w:styleId="Index3">
    <w:name w:val="index 3"/>
    <w:basedOn w:val="Normal"/>
    <w:next w:val="Normal"/>
    <w:semiHidden/>
    <w:rsid w:val="00C517AE"/>
    <w:pPr>
      <w:ind w:left="566"/>
    </w:pPr>
  </w:style>
  <w:style w:type="paragraph" w:styleId="IndexHeading">
    <w:name w:val="index heading"/>
    <w:basedOn w:val="Normal"/>
    <w:next w:val="Index1"/>
    <w:semiHidden/>
    <w:rsid w:val="00C517AE"/>
  </w:style>
  <w:style w:type="paragraph" w:customStyle="1" w:styleId="Line">
    <w:name w:val="Line"/>
    <w:basedOn w:val="Normal"/>
    <w:next w:val="Normal"/>
    <w:rsid w:val="00C517A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517A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517AE"/>
  </w:style>
  <w:style w:type="paragraph" w:customStyle="1" w:styleId="Partref">
    <w:name w:val="Part_ref"/>
    <w:basedOn w:val="Normal"/>
    <w:next w:val="Normal"/>
    <w:rsid w:val="00C517AE"/>
    <w:pPr>
      <w:keepNext/>
      <w:keepLines/>
      <w:spacing w:after="280"/>
      <w:jc w:val="center"/>
    </w:pPr>
  </w:style>
  <w:style w:type="paragraph" w:customStyle="1" w:styleId="Parttitle">
    <w:name w:val="Part_title"/>
    <w:basedOn w:val="Normal"/>
    <w:next w:val="Normalaftertitle"/>
    <w:rsid w:val="00C517A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517AE"/>
  </w:style>
  <w:style w:type="paragraph" w:customStyle="1" w:styleId="QuestionNo">
    <w:name w:val="Question_No"/>
    <w:basedOn w:val="RecNo"/>
    <w:next w:val="Normal"/>
    <w:rsid w:val="00C517AE"/>
  </w:style>
  <w:style w:type="paragraph" w:customStyle="1" w:styleId="Questionref">
    <w:name w:val="Question_ref"/>
    <w:basedOn w:val="Recref"/>
    <w:next w:val="Questiondate"/>
    <w:rsid w:val="00C517AE"/>
  </w:style>
  <w:style w:type="paragraph" w:customStyle="1" w:styleId="Questiontitle">
    <w:name w:val="Question_title"/>
    <w:basedOn w:val="Normal"/>
    <w:next w:val="Questionref"/>
    <w:rsid w:val="00C517AE"/>
  </w:style>
  <w:style w:type="paragraph" w:customStyle="1" w:styleId="Reftext">
    <w:name w:val="Ref_text"/>
    <w:basedOn w:val="Normal"/>
    <w:rsid w:val="00C517AE"/>
    <w:pPr>
      <w:ind w:left="794" w:hanging="794"/>
    </w:pPr>
    <w:rPr>
      <w:sz w:val="22"/>
    </w:rPr>
  </w:style>
  <w:style w:type="paragraph" w:customStyle="1" w:styleId="Reftitle">
    <w:name w:val="Ref_title"/>
    <w:basedOn w:val="Normal"/>
    <w:next w:val="Reftext"/>
    <w:rsid w:val="00C517A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517AE"/>
  </w:style>
  <w:style w:type="paragraph" w:customStyle="1" w:styleId="RepNo">
    <w:name w:val="Rep_No"/>
    <w:basedOn w:val="RecNo"/>
    <w:next w:val="Reptitle"/>
    <w:rsid w:val="00C517AE"/>
  </w:style>
  <w:style w:type="paragraph" w:customStyle="1" w:styleId="Reptitle">
    <w:name w:val="Rep_title"/>
    <w:basedOn w:val="Rectitle"/>
    <w:next w:val="Repref"/>
    <w:rsid w:val="00C517AE"/>
  </w:style>
  <w:style w:type="paragraph" w:customStyle="1" w:styleId="Repref">
    <w:name w:val="Rep_ref"/>
    <w:basedOn w:val="Recref"/>
    <w:next w:val="Repdate"/>
    <w:rsid w:val="00C517AE"/>
  </w:style>
  <w:style w:type="paragraph" w:customStyle="1" w:styleId="Resdate">
    <w:name w:val="Res_date"/>
    <w:basedOn w:val="Recdate"/>
    <w:next w:val="Normalaftertitle"/>
    <w:rsid w:val="00C517AE"/>
  </w:style>
  <w:style w:type="paragraph" w:customStyle="1" w:styleId="ResNo">
    <w:name w:val="Res_No"/>
    <w:basedOn w:val="RecNo"/>
    <w:next w:val="Restitle"/>
    <w:rsid w:val="00C517AE"/>
  </w:style>
  <w:style w:type="paragraph" w:customStyle="1" w:styleId="Restitle">
    <w:name w:val="Res_title"/>
    <w:basedOn w:val="Normal"/>
    <w:next w:val="Resref"/>
    <w:rsid w:val="00C517AE"/>
    <w:pPr>
      <w:spacing w:before="240"/>
      <w:jc w:val="center"/>
    </w:pPr>
    <w:rPr>
      <w:b/>
      <w:sz w:val="28"/>
    </w:rPr>
  </w:style>
  <w:style w:type="paragraph" w:customStyle="1" w:styleId="Resref">
    <w:name w:val="Res_ref"/>
    <w:basedOn w:val="Recref"/>
    <w:next w:val="Resdate"/>
    <w:rsid w:val="00C517AE"/>
  </w:style>
  <w:style w:type="paragraph" w:customStyle="1" w:styleId="SectionNo">
    <w:name w:val="Section_No"/>
    <w:basedOn w:val="Normal"/>
    <w:next w:val="Normal"/>
    <w:rsid w:val="00C517AE"/>
  </w:style>
  <w:style w:type="paragraph" w:customStyle="1" w:styleId="Sectiontitle">
    <w:name w:val="Section_title"/>
    <w:basedOn w:val="Normal"/>
    <w:next w:val="Normalaftertitle"/>
    <w:rsid w:val="00C517A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517AE"/>
    <w:pPr>
      <w:tabs>
        <w:tab w:val="clear" w:pos="794"/>
        <w:tab w:val="clear" w:pos="1191"/>
        <w:tab w:val="clear" w:pos="1588"/>
        <w:tab w:val="clear" w:pos="1985"/>
        <w:tab w:val="right" w:pos="9611"/>
      </w:tabs>
    </w:pPr>
    <w:rPr>
      <w:i/>
    </w:rPr>
  </w:style>
  <w:style w:type="paragraph" w:styleId="TOC1">
    <w:name w:val="toc 1"/>
    <w:basedOn w:val="Normal"/>
    <w:semiHidden/>
    <w:rsid w:val="00C517A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517AE"/>
    <w:pPr>
      <w:tabs>
        <w:tab w:val="clear" w:pos="567"/>
        <w:tab w:val="left" w:pos="1276"/>
      </w:tabs>
      <w:spacing w:before="160"/>
      <w:ind w:left="1276" w:hanging="709"/>
    </w:pPr>
  </w:style>
  <w:style w:type="paragraph" w:styleId="TOC3">
    <w:name w:val="toc 3"/>
    <w:basedOn w:val="TOC2"/>
    <w:semiHidden/>
    <w:rsid w:val="00C517AE"/>
    <w:pPr>
      <w:tabs>
        <w:tab w:val="clear" w:pos="1276"/>
        <w:tab w:val="left" w:pos="2155"/>
      </w:tabs>
      <w:ind w:left="2155" w:hanging="879"/>
    </w:pPr>
  </w:style>
  <w:style w:type="paragraph" w:styleId="TOC4">
    <w:name w:val="toc 4"/>
    <w:basedOn w:val="TOC3"/>
    <w:semiHidden/>
    <w:rsid w:val="00C517AE"/>
    <w:pPr>
      <w:tabs>
        <w:tab w:val="left" w:pos="3261"/>
      </w:tabs>
      <w:spacing w:before="80"/>
      <w:ind w:left="3261" w:hanging="993"/>
    </w:pPr>
  </w:style>
  <w:style w:type="paragraph" w:styleId="TOC5">
    <w:name w:val="toc 5"/>
    <w:basedOn w:val="TOC4"/>
    <w:semiHidden/>
    <w:rsid w:val="00C517AE"/>
  </w:style>
  <w:style w:type="paragraph" w:styleId="TOC6">
    <w:name w:val="toc 6"/>
    <w:basedOn w:val="TOC4"/>
    <w:semiHidden/>
    <w:rsid w:val="00C517AE"/>
  </w:style>
  <w:style w:type="paragraph" w:styleId="TOC7">
    <w:name w:val="toc 7"/>
    <w:basedOn w:val="TOC4"/>
    <w:semiHidden/>
    <w:rsid w:val="00C517AE"/>
  </w:style>
  <w:style w:type="paragraph" w:styleId="TOC8">
    <w:name w:val="toc 8"/>
    <w:basedOn w:val="TOC4"/>
    <w:semiHidden/>
    <w:rsid w:val="00C517AE"/>
  </w:style>
  <w:style w:type="paragraph" w:customStyle="1" w:styleId="Annexref">
    <w:name w:val="Annex_ref"/>
    <w:basedOn w:val="Normal"/>
    <w:next w:val="Normalaftertitle"/>
    <w:rsid w:val="00C517AE"/>
    <w:pPr>
      <w:keepNext/>
      <w:keepLines/>
      <w:spacing w:after="280"/>
      <w:jc w:val="center"/>
    </w:pPr>
  </w:style>
  <w:style w:type="paragraph" w:customStyle="1" w:styleId="Appendixref">
    <w:name w:val="Appendix_ref"/>
    <w:basedOn w:val="Annexref"/>
    <w:next w:val="Normalaftertitle"/>
    <w:rsid w:val="00C517AE"/>
  </w:style>
  <w:style w:type="paragraph" w:customStyle="1" w:styleId="Tabletitle">
    <w:name w:val="Table_title"/>
    <w:basedOn w:val="Normal"/>
    <w:next w:val="Tablehead"/>
    <w:rsid w:val="00C517AE"/>
    <w:pPr>
      <w:keepNext/>
      <w:spacing w:before="0" w:after="120"/>
      <w:jc w:val="center"/>
    </w:pPr>
    <w:rPr>
      <w:b/>
    </w:rPr>
  </w:style>
  <w:style w:type="paragraph" w:customStyle="1" w:styleId="Summary">
    <w:name w:val="Summary"/>
    <w:basedOn w:val="Normal"/>
    <w:next w:val="Normalaftertitle"/>
    <w:rsid w:val="00C517A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C517AE"/>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TotalTime>
  <Pages>4</Pages>
  <Words>1348</Words>
  <Characters>7068</Characters>
  <Application>Microsoft Office Word</Application>
  <DocSecurity>0</DocSecurity>
  <Lines>164</Lines>
  <Paragraphs>89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8327</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santosbo</cp:lastModifiedBy>
  <cp:revision>3</cp:revision>
  <cp:lastPrinted>2009-07-01T12:03:00Z</cp:lastPrinted>
  <dcterms:created xsi:type="dcterms:W3CDTF">2011-03-11T09:23:00Z</dcterms:created>
  <dcterms:modified xsi:type="dcterms:W3CDTF">2011-03-11T09:25:00Z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