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9C9" w:rsidRDefault="00AB79C9" w:rsidP="00AB79C9">
      <w:bookmarkStart w:id="0" w:name="_GoBack"/>
      <w:bookmarkEnd w:id="0"/>
    </w:p>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tbl>
      <w:tblPr>
        <w:tblW w:w="10089" w:type="dxa"/>
        <w:tblLook w:val="01E0" w:firstRow="1" w:lastRow="1" w:firstColumn="1" w:lastColumn="1" w:noHBand="0" w:noVBand="0"/>
      </w:tblPr>
      <w:tblGrid>
        <w:gridCol w:w="10089"/>
      </w:tblGrid>
      <w:tr w:rsidR="00AB79C9" w:rsidRPr="004F65E4" w:rsidTr="00885C3D">
        <w:tc>
          <w:tcPr>
            <w:tcW w:w="10089" w:type="dxa"/>
          </w:tcPr>
          <w:p w:rsidR="00AB79C9" w:rsidRPr="001511A6" w:rsidRDefault="00AB79C9" w:rsidP="00885C3D">
            <w:pPr>
              <w:spacing w:before="380" w:line="280" w:lineRule="exact"/>
              <w:jc w:val="right"/>
              <w:rPr>
                <w:rFonts w:ascii="Tahoma" w:hAnsi="Tahoma" w:cs="Tahoma"/>
                <w:b/>
                <w:bCs/>
                <w:iCs/>
                <w:color w:val="243285"/>
                <w:sz w:val="32"/>
                <w:szCs w:val="32"/>
                <w:lang w:val="en-US"/>
              </w:rPr>
            </w:pPr>
          </w:p>
          <w:p w:rsidR="00AB79C9" w:rsidRPr="004F65E4" w:rsidRDefault="00AB79C9" w:rsidP="00AB79C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sidR="00DD7D06" w:rsidRPr="00DD7D06">
              <w:rPr>
                <w:rFonts w:ascii="Tahoma" w:hAnsi="Tahoma" w:cs="Tahoma"/>
                <w:b/>
                <w:bCs/>
                <w:iCs/>
                <w:color w:val="243285"/>
                <w:sz w:val="36"/>
                <w:szCs w:val="36"/>
                <w:lang w:val="en-GB"/>
              </w:rPr>
              <w:t>1782-</w:t>
            </w:r>
            <w:r w:rsidR="00637B9C">
              <w:rPr>
                <w:rFonts w:ascii="Tahoma" w:hAnsi="Tahoma" w:cs="Tahoma"/>
                <w:b/>
                <w:bCs/>
                <w:iCs/>
                <w:color w:val="243285"/>
                <w:sz w:val="36"/>
                <w:szCs w:val="36"/>
                <w:lang w:val="en-GB"/>
              </w:rPr>
              <w:t>1</w:t>
            </w:r>
          </w:p>
          <w:p w:rsidR="00AB79C9" w:rsidRPr="004F65E4" w:rsidRDefault="00AB79C9" w:rsidP="00DD7D0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D7D06">
              <w:rPr>
                <w:rFonts w:ascii="Tahoma" w:hAnsi="Tahoma" w:cs="Tahoma"/>
                <w:b/>
                <w:bCs/>
                <w:iCs/>
                <w:color w:val="243285"/>
                <w:szCs w:val="24"/>
              </w:rPr>
              <w:t>09</w:t>
            </w:r>
            <w:r w:rsidRPr="004F65E4">
              <w:rPr>
                <w:rFonts w:ascii="Tahoma" w:hAnsi="Tahoma" w:cs="Tahoma"/>
                <w:b/>
                <w:bCs/>
                <w:iCs/>
                <w:color w:val="243285"/>
                <w:szCs w:val="24"/>
              </w:rPr>
              <w:t>/</w:t>
            </w:r>
            <w:r w:rsidR="00DD7D06">
              <w:rPr>
                <w:rFonts w:ascii="Tahoma" w:hAnsi="Tahoma" w:cs="Tahoma"/>
                <w:b/>
                <w:bCs/>
                <w:iCs/>
                <w:color w:val="243285"/>
                <w:szCs w:val="24"/>
              </w:rPr>
              <w:t>2019</w:t>
            </w:r>
            <w:r w:rsidRPr="004F65E4">
              <w:rPr>
                <w:rFonts w:ascii="Tahoma" w:hAnsi="Tahoma" w:cs="Tahoma"/>
                <w:b/>
                <w:bCs/>
                <w:iCs/>
                <w:color w:val="243285"/>
                <w:szCs w:val="24"/>
              </w:rPr>
              <w:t>)</w:t>
            </w:r>
          </w:p>
        </w:tc>
      </w:tr>
      <w:tr w:rsidR="00AB79C9" w:rsidRPr="00FE1485" w:rsidTr="00885C3D">
        <w:tc>
          <w:tcPr>
            <w:tcW w:w="10089" w:type="dxa"/>
          </w:tcPr>
          <w:p w:rsidR="00AB79C9" w:rsidRPr="00637B9C" w:rsidRDefault="00AB79C9" w:rsidP="00885C3D">
            <w:pPr>
              <w:spacing w:before="80" w:line="500" w:lineRule="exact"/>
              <w:jc w:val="right"/>
              <w:rPr>
                <w:rFonts w:ascii="Tahoma" w:hAnsi="Tahoma" w:cs="Tahoma"/>
                <w:b/>
                <w:bCs/>
                <w:iCs/>
                <w:color w:val="243285"/>
                <w:sz w:val="44"/>
                <w:szCs w:val="44"/>
                <w:lang w:val="en-GB"/>
              </w:rPr>
            </w:pPr>
          </w:p>
          <w:p w:rsidR="00AB79C9" w:rsidRPr="001511A6" w:rsidRDefault="00DD7D06" w:rsidP="00885C3D">
            <w:pPr>
              <w:spacing w:before="80" w:line="500" w:lineRule="exact"/>
              <w:jc w:val="right"/>
              <w:rPr>
                <w:rFonts w:ascii="Tahoma" w:hAnsi="Tahoma" w:cs="Tahoma"/>
                <w:b/>
                <w:bCs/>
                <w:iCs/>
                <w:color w:val="243285"/>
                <w:sz w:val="44"/>
                <w:szCs w:val="44"/>
                <w:lang w:val="en-US"/>
              </w:rPr>
            </w:pPr>
            <w:r w:rsidRPr="00DD7D06">
              <w:rPr>
                <w:rFonts w:ascii="Tahoma" w:hAnsi="Tahoma" w:cs="Tahoma"/>
                <w:b/>
                <w:bCs/>
                <w:iCs/>
                <w:color w:val="243285"/>
                <w:sz w:val="44"/>
                <w:szCs w:val="44"/>
                <w:lang w:val="en-GB"/>
              </w:rPr>
              <w:t>Guidelines on global broadband Internet access by fixed-satellite service systems</w:t>
            </w:r>
          </w:p>
          <w:p w:rsidR="00AB79C9" w:rsidRPr="001511A6" w:rsidRDefault="00AB79C9" w:rsidP="00885C3D">
            <w:pPr>
              <w:spacing w:before="80" w:line="500" w:lineRule="exact"/>
              <w:jc w:val="right"/>
              <w:rPr>
                <w:rFonts w:ascii="Tahoma" w:hAnsi="Tahoma" w:cs="Tahoma"/>
                <w:b/>
                <w:bCs/>
                <w:iCs/>
                <w:color w:val="243285"/>
                <w:sz w:val="40"/>
                <w:szCs w:val="40"/>
                <w:lang w:val="en-US"/>
              </w:rPr>
            </w:pPr>
          </w:p>
        </w:tc>
      </w:tr>
      <w:tr w:rsidR="00AB79C9" w:rsidRPr="00FE1485" w:rsidTr="00885C3D">
        <w:tc>
          <w:tcPr>
            <w:tcW w:w="10089" w:type="dxa"/>
          </w:tcPr>
          <w:p w:rsidR="00AB79C9" w:rsidRPr="001637F2" w:rsidRDefault="00AB79C9" w:rsidP="00885C3D">
            <w:pPr>
              <w:spacing w:before="80" w:line="280" w:lineRule="exact"/>
              <w:ind w:right="640"/>
              <w:rPr>
                <w:rFonts w:ascii="Tahoma" w:hAnsi="Tahoma" w:cs="Tahoma"/>
                <w:b/>
                <w:bCs/>
                <w:iCs/>
                <w:color w:val="243285"/>
                <w:sz w:val="32"/>
                <w:szCs w:val="32"/>
                <w:lang w:val="en-US"/>
              </w:rPr>
            </w:pPr>
          </w:p>
          <w:p w:rsidR="00AB79C9" w:rsidRPr="001637F2" w:rsidRDefault="00AB79C9" w:rsidP="00885C3D">
            <w:pPr>
              <w:spacing w:before="80" w:line="280" w:lineRule="exact"/>
              <w:ind w:right="640"/>
              <w:rPr>
                <w:rFonts w:ascii="Tahoma" w:hAnsi="Tahoma" w:cs="Tahoma"/>
                <w:b/>
                <w:bCs/>
                <w:iCs/>
                <w:color w:val="243285"/>
                <w:sz w:val="32"/>
                <w:szCs w:val="32"/>
                <w:lang w:val="en-US"/>
              </w:rPr>
            </w:pPr>
          </w:p>
          <w:p w:rsidR="00AB79C9" w:rsidRPr="001637F2" w:rsidRDefault="00AB79C9" w:rsidP="00885C3D">
            <w:pPr>
              <w:spacing w:before="80" w:after="180" w:line="360" w:lineRule="exact"/>
              <w:ind w:right="720"/>
              <w:rPr>
                <w:rFonts w:ascii="Tahoma" w:hAnsi="Tahoma" w:cs="Tahoma"/>
                <w:b/>
                <w:bCs/>
                <w:iCs/>
                <w:color w:val="243285"/>
                <w:sz w:val="36"/>
                <w:szCs w:val="36"/>
                <w:lang w:val="en-US"/>
              </w:rPr>
            </w:pPr>
          </w:p>
          <w:p w:rsidR="00EB788A" w:rsidRPr="001637F2" w:rsidRDefault="00EB788A" w:rsidP="00885C3D">
            <w:pPr>
              <w:spacing w:before="80" w:after="180" w:line="360" w:lineRule="exact"/>
              <w:ind w:right="720"/>
              <w:rPr>
                <w:rFonts w:ascii="Tahoma" w:hAnsi="Tahoma" w:cs="Tahoma"/>
                <w:b/>
                <w:bCs/>
                <w:iCs/>
                <w:color w:val="243285"/>
                <w:sz w:val="36"/>
                <w:szCs w:val="36"/>
                <w:lang w:val="en-US"/>
              </w:rPr>
            </w:pPr>
          </w:p>
          <w:p w:rsidR="00EB788A" w:rsidRPr="001637F2" w:rsidRDefault="00EB788A" w:rsidP="00885C3D">
            <w:pPr>
              <w:spacing w:before="80" w:after="180" w:line="360" w:lineRule="exact"/>
              <w:ind w:right="720"/>
              <w:rPr>
                <w:rFonts w:ascii="Tahoma" w:hAnsi="Tahoma" w:cs="Tahoma"/>
                <w:b/>
                <w:bCs/>
                <w:iCs/>
                <w:color w:val="243285"/>
                <w:sz w:val="36"/>
                <w:szCs w:val="36"/>
                <w:lang w:val="en-US"/>
              </w:rPr>
            </w:pPr>
          </w:p>
          <w:p w:rsidR="001A6395" w:rsidRPr="001637F2" w:rsidRDefault="001A6395" w:rsidP="00885C3D">
            <w:pPr>
              <w:spacing w:before="80" w:after="180" w:line="360" w:lineRule="exact"/>
              <w:ind w:right="720"/>
              <w:rPr>
                <w:rFonts w:ascii="Tahoma" w:hAnsi="Tahoma" w:cs="Tahoma"/>
                <w:b/>
                <w:bCs/>
                <w:iCs/>
                <w:color w:val="243285"/>
                <w:sz w:val="36"/>
                <w:szCs w:val="36"/>
                <w:lang w:val="en-US"/>
              </w:rPr>
            </w:pPr>
          </w:p>
          <w:p w:rsidR="001A6395" w:rsidRPr="001637F2" w:rsidRDefault="001A6395" w:rsidP="00885C3D">
            <w:pPr>
              <w:spacing w:before="80" w:after="180" w:line="360" w:lineRule="exact"/>
              <w:ind w:right="720"/>
              <w:rPr>
                <w:rFonts w:ascii="Tahoma" w:hAnsi="Tahoma" w:cs="Tahoma"/>
                <w:b/>
                <w:bCs/>
                <w:iCs/>
                <w:color w:val="243285"/>
                <w:sz w:val="36"/>
                <w:szCs w:val="36"/>
                <w:lang w:val="en-US"/>
              </w:rPr>
            </w:pPr>
          </w:p>
          <w:p w:rsidR="00AB79C9" w:rsidRPr="001511A6" w:rsidRDefault="00AB79C9" w:rsidP="00885C3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AB79C9" w:rsidRPr="0041667C" w:rsidRDefault="00AB79C9" w:rsidP="00885C3D">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pStyle w:val="Equation"/>
        <w:tabs>
          <w:tab w:val="clear" w:pos="4820"/>
          <w:tab w:val="clear" w:pos="9639"/>
          <w:tab w:val="left" w:pos="1191"/>
          <w:tab w:val="left" w:pos="1588"/>
          <w:tab w:val="left" w:pos="1985"/>
        </w:tabs>
        <w:rPr>
          <w:rFonts w:ascii="Palatino Linotype" w:hAnsi="Palatino Linotype"/>
          <w:lang w:val="en-US"/>
        </w:rPr>
        <w:sectPr w:rsidR="00AB79C9">
          <w:headerReference w:type="even" r:id="rId6"/>
          <w:headerReference w:type="default" r:id="rId7"/>
          <w:pgSz w:w="11907" w:h="16840" w:code="9"/>
          <w:pgMar w:top="1089" w:right="1089" w:bottom="284" w:left="1089" w:header="567" w:footer="284" w:gutter="0"/>
          <w:pgNumType w:start="1"/>
          <w:cols w:space="720"/>
        </w:sectPr>
      </w:pPr>
    </w:p>
    <w:p w:rsidR="00AB79C9" w:rsidRPr="00586EF8" w:rsidRDefault="00AB79C9"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AB79C9" w:rsidRDefault="00AB79C9" w:rsidP="00AB79C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B79C9" w:rsidRDefault="00AB79C9" w:rsidP="00AB79C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B79C9" w:rsidRPr="00B714F3" w:rsidRDefault="00AB79C9" w:rsidP="00AB79C9">
      <w:pPr>
        <w:pStyle w:val="Heading1"/>
        <w:spacing w:before="680"/>
        <w:jc w:val="center"/>
        <w:rPr>
          <w:szCs w:val="24"/>
          <w:lang w:val="en-US"/>
        </w:rPr>
      </w:pPr>
      <w:r w:rsidRPr="00B714F3">
        <w:rPr>
          <w:szCs w:val="24"/>
          <w:lang w:val="en-US"/>
        </w:rPr>
        <w:t>Policy on Intellectual Property Right (IPR)</w:t>
      </w:r>
    </w:p>
    <w:p w:rsidR="00AB79C9" w:rsidRPr="00B714F3" w:rsidRDefault="00AB79C9" w:rsidP="003C2C2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637B9C">
        <w:rPr>
          <w:sz w:val="20"/>
          <w:lang w:val="en-US"/>
        </w:rPr>
        <w:noBreakHyphen/>
      </w:r>
      <w:r w:rsidRPr="00B714F3">
        <w:rPr>
          <w:sz w:val="20"/>
          <w:lang w:val="en-US"/>
        </w:rPr>
        <w:t xml:space="preserve">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B79C9" w:rsidRDefault="00AB79C9" w:rsidP="00AB79C9">
      <w:pPr>
        <w:jc w:val="center"/>
        <w:rPr>
          <w:sz w:val="22"/>
          <w:lang w:val="en-US"/>
        </w:rPr>
      </w:pPr>
    </w:p>
    <w:p w:rsidR="00AB79C9" w:rsidRDefault="00AB79C9" w:rsidP="00AB79C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B79C9" w:rsidRPr="00FE1485" w:rsidTr="00885C3D">
        <w:tc>
          <w:tcPr>
            <w:tcW w:w="9360" w:type="dxa"/>
            <w:gridSpan w:val="2"/>
          </w:tcPr>
          <w:p w:rsidR="00AB79C9" w:rsidRPr="00036EE3" w:rsidRDefault="00AB79C9" w:rsidP="00885C3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9" w:history="1">
              <w:r>
                <w:rPr>
                  <w:rStyle w:val="Hyperlink"/>
                  <w:b w:val="0"/>
                  <w:sz w:val="18"/>
                  <w:szCs w:val="18"/>
                  <w:lang w:val="en-US"/>
                </w:rPr>
                <w:t>http://www.itu.int/publ/R-REC/en</w:t>
              </w:r>
            </w:hyperlink>
            <w:r w:rsidRPr="00CE0A43">
              <w:rPr>
                <w:b w:val="0"/>
                <w:sz w:val="18"/>
                <w:szCs w:val="18"/>
                <w:lang w:val="en-US"/>
              </w:rPr>
              <w:t>)</w:t>
            </w:r>
          </w:p>
        </w:tc>
      </w:tr>
      <w:tr w:rsidR="00AB79C9" w:rsidRPr="00036EE3" w:rsidTr="00885C3D">
        <w:tc>
          <w:tcPr>
            <w:tcW w:w="1140" w:type="dxa"/>
          </w:tcPr>
          <w:p w:rsidR="00AB79C9" w:rsidRPr="00036EE3" w:rsidRDefault="00AB79C9" w:rsidP="00885C3D">
            <w:pPr>
              <w:spacing w:before="200" w:after="100"/>
              <w:ind w:left="57"/>
              <w:rPr>
                <w:b/>
                <w:bCs/>
                <w:sz w:val="20"/>
                <w:lang w:val="en-US"/>
              </w:rPr>
            </w:pPr>
            <w:r w:rsidRPr="00036EE3">
              <w:rPr>
                <w:b/>
                <w:bCs/>
                <w:sz w:val="20"/>
                <w:lang w:val="en-US"/>
              </w:rPr>
              <w:t>Series</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BO</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B79C9" w:rsidRPr="00FE1485"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BR</w:t>
            </w:r>
          </w:p>
        </w:tc>
        <w:tc>
          <w:tcPr>
            <w:tcW w:w="8220" w:type="dxa"/>
            <w:tcBorders>
              <w:bottom w:val="nil"/>
            </w:tcBorders>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B79C9" w:rsidRPr="00036EE3" w:rsidTr="00885C3D">
        <w:tc>
          <w:tcPr>
            <w:tcW w:w="1140" w:type="dxa"/>
            <w:tcBorders>
              <w:top w:val="nil"/>
              <w:bottom w:val="nil"/>
            </w:tcBorders>
            <w:shd w:val="clear" w:color="auto" w:fill="auto"/>
          </w:tcPr>
          <w:p w:rsidR="00AB79C9" w:rsidRPr="007D224F" w:rsidRDefault="00AB79C9" w:rsidP="00885C3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B79C9" w:rsidRPr="007D224F"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B79C9" w:rsidRPr="00ED2695" w:rsidTr="00885C3D">
        <w:tc>
          <w:tcPr>
            <w:tcW w:w="1140" w:type="dxa"/>
            <w:tcBorders>
              <w:top w:val="nil"/>
              <w:bottom w:val="nil"/>
            </w:tcBorders>
            <w:shd w:val="clear" w:color="auto" w:fill="auto"/>
          </w:tcPr>
          <w:p w:rsidR="00AB79C9" w:rsidRPr="00ED2695" w:rsidRDefault="00AB79C9" w:rsidP="00885C3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B79C9" w:rsidRPr="00ED269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B79C9" w:rsidRPr="007D224F" w:rsidTr="00AB79C9">
        <w:tc>
          <w:tcPr>
            <w:tcW w:w="1140" w:type="dxa"/>
            <w:tcBorders>
              <w:top w:val="nil"/>
              <w:bottom w:val="nil"/>
            </w:tcBorders>
            <w:shd w:val="clear" w:color="auto" w:fill="auto"/>
          </w:tcPr>
          <w:p w:rsidR="00AB79C9" w:rsidRPr="0041667C" w:rsidRDefault="00AB79C9" w:rsidP="00885C3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B79C9" w:rsidRPr="0041667C"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AB79C9" w:rsidRPr="0041667C" w:rsidTr="00AB79C9">
        <w:tc>
          <w:tcPr>
            <w:tcW w:w="1140" w:type="dxa"/>
            <w:tcBorders>
              <w:top w:val="nil"/>
              <w:bottom w:val="nil"/>
            </w:tcBorders>
            <w:shd w:val="clear" w:color="auto" w:fill="FFFFFF"/>
          </w:tcPr>
          <w:p w:rsidR="00AB79C9" w:rsidRPr="0041667C" w:rsidRDefault="00AB79C9" w:rsidP="00885C3D">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AB79C9" w:rsidRPr="00885C3D" w:rsidRDefault="00AB79C9" w:rsidP="00885C3D">
            <w:pPr>
              <w:spacing w:before="30" w:after="30"/>
              <w:jc w:val="left"/>
              <w:rPr>
                <w:color w:val="000000"/>
                <w:sz w:val="20"/>
                <w:lang w:val="en-US"/>
              </w:rPr>
            </w:pPr>
            <w:r w:rsidRPr="00885C3D">
              <w:rPr>
                <w:color w:val="000000"/>
                <w:sz w:val="20"/>
                <w:lang w:val="en-US"/>
              </w:rPr>
              <w:t>Mobile, radiodetermination, amateur and related satellite services</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fr-CH"/>
              </w:rPr>
            </w:pPr>
            <w:r w:rsidRPr="00036EE3">
              <w:rPr>
                <w:b/>
                <w:bCs/>
                <w:sz w:val="20"/>
                <w:lang w:val="fr-CH"/>
              </w:rPr>
              <w:t>P</w:t>
            </w:r>
          </w:p>
        </w:tc>
        <w:tc>
          <w:tcPr>
            <w:tcW w:w="8220" w:type="dxa"/>
            <w:tcBorders>
              <w:top w:val="nil"/>
            </w:tcBorders>
          </w:tcPr>
          <w:p w:rsidR="00AB79C9" w:rsidRPr="00036EE3" w:rsidRDefault="00AB79C9" w:rsidP="00885C3D">
            <w:pPr>
              <w:spacing w:before="30" w:after="30"/>
              <w:jc w:val="left"/>
              <w:rPr>
                <w:sz w:val="20"/>
                <w:lang w:val="fr-CH"/>
              </w:rPr>
            </w:pPr>
            <w:r w:rsidRPr="00036EE3">
              <w:rPr>
                <w:sz w:val="20"/>
                <w:lang w:val="fr-CH"/>
              </w:rPr>
              <w:t>Radiowave propagation</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RA</w:t>
            </w:r>
          </w:p>
        </w:tc>
        <w:tc>
          <w:tcPr>
            <w:tcW w:w="8220" w:type="dxa"/>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B79C9" w:rsidRPr="00036EE3"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RS</w:t>
            </w:r>
          </w:p>
        </w:tc>
        <w:tc>
          <w:tcPr>
            <w:tcW w:w="8220" w:type="dxa"/>
            <w:tcBorders>
              <w:bottom w:val="nil"/>
            </w:tcBorders>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B79C9" w:rsidRPr="00885C3D" w:rsidTr="00885C3D">
        <w:tc>
          <w:tcPr>
            <w:tcW w:w="1140" w:type="dxa"/>
            <w:tcBorders>
              <w:top w:val="nil"/>
              <w:bottom w:val="nil"/>
            </w:tcBorders>
            <w:shd w:val="clear" w:color="auto" w:fill="F3F3F3"/>
          </w:tcPr>
          <w:p w:rsidR="00AB79C9" w:rsidRPr="00885C3D" w:rsidRDefault="00AB79C9" w:rsidP="00885C3D">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AB79C9" w:rsidRPr="00885C3D" w:rsidRDefault="00AB79C9" w:rsidP="00885C3D">
            <w:pPr>
              <w:spacing w:before="30" w:after="30"/>
              <w:jc w:val="left"/>
              <w:rPr>
                <w:color w:val="000080"/>
                <w:sz w:val="20"/>
                <w:lang w:val="en-US"/>
              </w:rPr>
            </w:pPr>
            <w:r w:rsidRPr="00885C3D">
              <w:rPr>
                <w:color w:val="000080"/>
                <w:sz w:val="20"/>
                <w:lang w:val="en-US"/>
              </w:rPr>
              <w:t>Fixed-satellite service</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SA</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Space applications and meteorology</w:t>
            </w:r>
          </w:p>
        </w:tc>
      </w:tr>
      <w:tr w:rsidR="00AB79C9" w:rsidRPr="00FE1485"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SF</w:t>
            </w:r>
          </w:p>
        </w:tc>
        <w:tc>
          <w:tcPr>
            <w:tcW w:w="8220" w:type="dxa"/>
            <w:tcBorders>
              <w:bottom w:val="nil"/>
            </w:tcBorders>
          </w:tcPr>
          <w:p w:rsidR="00AB79C9" w:rsidRPr="00036EE3" w:rsidRDefault="00AB79C9" w:rsidP="00885C3D">
            <w:pPr>
              <w:spacing w:before="30" w:after="30"/>
              <w:jc w:val="left"/>
              <w:rPr>
                <w:sz w:val="20"/>
                <w:lang w:val="en-US"/>
              </w:rPr>
            </w:pPr>
            <w:r w:rsidRPr="00036EE3">
              <w:rPr>
                <w:sz w:val="20"/>
                <w:lang w:val="en-US"/>
              </w:rPr>
              <w:t>Frequency sharing and coordination between fixed-satellite and fixed service systems</w:t>
            </w:r>
          </w:p>
        </w:tc>
      </w:tr>
      <w:tr w:rsidR="00AB79C9" w:rsidRPr="00036EE3" w:rsidTr="00885C3D">
        <w:tc>
          <w:tcPr>
            <w:tcW w:w="1140" w:type="dxa"/>
            <w:tcBorders>
              <w:top w:val="nil"/>
              <w:bottom w:val="nil"/>
            </w:tcBorders>
            <w:shd w:val="clear" w:color="auto" w:fill="auto"/>
          </w:tcPr>
          <w:p w:rsidR="00AB79C9" w:rsidRPr="000A4386" w:rsidRDefault="00AB79C9" w:rsidP="00885C3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B79C9" w:rsidRPr="000A4386" w:rsidRDefault="00AB79C9" w:rsidP="00885C3D">
            <w:pPr>
              <w:spacing w:before="30" w:after="30"/>
              <w:jc w:val="left"/>
              <w:rPr>
                <w:sz w:val="20"/>
                <w:lang w:val="en-US"/>
              </w:rPr>
            </w:pPr>
            <w:r w:rsidRPr="000A4386">
              <w:rPr>
                <w:sz w:val="20"/>
                <w:lang w:val="en-US"/>
              </w:rPr>
              <w:t>Spectrum management</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SNG</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Satellite news gathering</w:t>
            </w:r>
          </w:p>
        </w:tc>
      </w:tr>
      <w:tr w:rsidR="00AB79C9" w:rsidRPr="00FE1485"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TF</w:t>
            </w:r>
          </w:p>
        </w:tc>
        <w:tc>
          <w:tcPr>
            <w:tcW w:w="8220" w:type="dxa"/>
          </w:tcPr>
          <w:p w:rsidR="00AB79C9" w:rsidRPr="00036EE3" w:rsidRDefault="00AB79C9" w:rsidP="00885C3D">
            <w:pPr>
              <w:spacing w:before="30" w:after="30"/>
              <w:jc w:val="left"/>
              <w:rPr>
                <w:sz w:val="20"/>
                <w:lang w:val="en-US"/>
              </w:rPr>
            </w:pPr>
            <w:r w:rsidRPr="00036EE3">
              <w:rPr>
                <w:sz w:val="20"/>
                <w:lang w:val="en-US"/>
              </w:rPr>
              <w:t>Time signals and frequency standards emissions</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V</w:t>
            </w:r>
          </w:p>
        </w:tc>
        <w:tc>
          <w:tcPr>
            <w:tcW w:w="8220" w:type="dxa"/>
          </w:tcPr>
          <w:p w:rsidR="00AB79C9" w:rsidRPr="00036EE3" w:rsidRDefault="00AB79C9" w:rsidP="00885C3D">
            <w:pPr>
              <w:spacing w:before="30" w:after="180"/>
              <w:jc w:val="left"/>
              <w:rPr>
                <w:sz w:val="20"/>
                <w:lang w:val="en-US"/>
              </w:rPr>
            </w:pPr>
            <w:r w:rsidRPr="00036EE3">
              <w:rPr>
                <w:sz w:val="20"/>
                <w:lang w:val="en-US"/>
              </w:rPr>
              <w:t>Vocabulary and related subjects</w:t>
            </w:r>
          </w:p>
        </w:tc>
      </w:tr>
    </w:tbl>
    <w:p w:rsidR="00AB79C9" w:rsidRPr="00036EE3" w:rsidRDefault="00AB79C9" w:rsidP="00AB79C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B79C9" w:rsidTr="00885C3D">
        <w:tc>
          <w:tcPr>
            <w:tcW w:w="720" w:type="dxa"/>
          </w:tcPr>
          <w:p w:rsidR="00AB79C9" w:rsidRDefault="00AB79C9" w:rsidP="00885C3D">
            <w:pPr>
              <w:jc w:val="center"/>
              <w:rPr>
                <w:sz w:val="22"/>
                <w:lang w:val="en-US"/>
              </w:rPr>
            </w:pPr>
          </w:p>
        </w:tc>
      </w:tr>
    </w:tbl>
    <w:p w:rsidR="00AB79C9" w:rsidRPr="00036EE3" w:rsidRDefault="00AB79C9" w:rsidP="00AB79C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85" w:type="dxa"/>
          <w:right w:w="85" w:type="dxa"/>
        </w:tblCellMar>
        <w:tblLook w:val="01E0" w:firstRow="1" w:lastRow="1" w:firstColumn="1" w:lastColumn="1" w:noHBand="0" w:noVBand="0"/>
      </w:tblPr>
      <w:tblGrid>
        <w:gridCol w:w="9321"/>
      </w:tblGrid>
      <w:tr w:rsidR="00AB79C9" w:rsidRPr="00FE1485" w:rsidTr="00DD7D06">
        <w:tc>
          <w:tcPr>
            <w:tcW w:w="9360" w:type="dxa"/>
          </w:tcPr>
          <w:p w:rsidR="00AB79C9" w:rsidRPr="002F5199" w:rsidRDefault="00AB79C9" w:rsidP="00885C3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B79C9" w:rsidRDefault="00AB79C9" w:rsidP="00AB79C9">
      <w:pPr>
        <w:spacing w:before="0"/>
        <w:jc w:val="center"/>
        <w:rPr>
          <w:sz w:val="22"/>
          <w:lang w:val="en-US"/>
        </w:rPr>
      </w:pPr>
    </w:p>
    <w:p w:rsidR="00AB79C9" w:rsidRDefault="00AB79C9" w:rsidP="00AB79C9">
      <w:pPr>
        <w:spacing w:before="0"/>
        <w:jc w:val="center"/>
        <w:rPr>
          <w:sz w:val="22"/>
          <w:lang w:val="en-US"/>
        </w:rPr>
      </w:pPr>
    </w:p>
    <w:p w:rsidR="00AB79C9" w:rsidRPr="002F5199" w:rsidRDefault="00AB79C9" w:rsidP="00AB79C9">
      <w:pPr>
        <w:spacing w:before="0"/>
        <w:jc w:val="right"/>
        <w:rPr>
          <w:i/>
          <w:iCs/>
          <w:sz w:val="20"/>
          <w:lang w:val="en-US"/>
        </w:rPr>
      </w:pPr>
      <w:r w:rsidRPr="002F5199">
        <w:rPr>
          <w:i/>
          <w:iCs/>
          <w:sz w:val="20"/>
          <w:lang w:val="en-US"/>
        </w:rPr>
        <w:t>Electronic Publication</w:t>
      </w:r>
    </w:p>
    <w:p w:rsidR="00AB79C9" w:rsidRPr="002F5199" w:rsidRDefault="00AB79C9" w:rsidP="0026014B">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sidR="00E967E9">
        <w:rPr>
          <w:sz w:val="20"/>
          <w:lang w:val="en-US"/>
        </w:rPr>
        <w:t>1</w:t>
      </w:r>
      <w:r w:rsidR="00DD7D06">
        <w:rPr>
          <w:sz w:val="20"/>
          <w:lang w:val="en-US"/>
        </w:rPr>
        <w:t>9</w:t>
      </w:r>
    </w:p>
    <w:p w:rsidR="00AB79C9" w:rsidRDefault="00AB79C9" w:rsidP="00AB79C9">
      <w:pPr>
        <w:jc w:val="center"/>
        <w:rPr>
          <w:sz w:val="22"/>
          <w:lang w:val="en-US"/>
        </w:rPr>
      </w:pPr>
    </w:p>
    <w:p w:rsidR="00AB79C9" w:rsidRPr="00470E28" w:rsidRDefault="00AB79C9" w:rsidP="002059C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E967E9">
        <w:rPr>
          <w:sz w:val="20"/>
          <w:lang w:val="en-US"/>
        </w:rPr>
        <w:t>1</w:t>
      </w:r>
      <w:r w:rsidR="00DD7D06">
        <w:rPr>
          <w:sz w:val="20"/>
          <w:lang w:val="en-US"/>
        </w:rPr>
        <w:t>9</w:t>
      </w:r>
    </w:p>
    <w:p w:rsidR="00AB79C9" w:rsidRPr="00470E28" w:rsidRDefault="00AB79C9" w:rsidP="00AB79C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B79C9" w:rsidRDefault="00AB79C9" w:rsidP="00AB79C9">
      <w:pPr>
        <w:spacing w:before="160"/>
        <w:rPr>
          <w:i/>
          <w:sz w:val="20"/>
          <w:lang w:val="en-US"/>
        </w:rPr>
        <w:sectPr w:rsidR="00AB79C9" w:rsidSect="00885C3D">
          <w:headerReference w:type="even" r:id="rId10"/>
          <w:headerReference w:type="default" r:id="rId11"/>
          <w:footerReference w:type="even" r:id="rId12"/>
          <w:pgSz w:w="11907" w:h="16834" w:code="9"/>
          <w:pgMar w:top="1418" w:right="1134" w:bottom="1134" w:left="1134" w:header="720" w:footer="482" w:gutter="0"/>
          <w:paperSrc w:first="15" w:other="15"/>
          <w:pgNumType w:fmt="lowerRoman" w:start="2"/>
          <w:cols w:space="720"/>
        </w:sectPr>
      </w:pPr>
    </w:p>
    <w:p w:rsidR="00AB79C9" w:rsidRPr="00637B9C" w:rsidRDefault="00AB79C9" w:rsidP="00AE3260">
      <w:pPr>
        <w:pStyle w:val="RecNo"/>
        <w:spacing w:before="0"/>
        <w:rPr>
          <w:lang w:val="en-GB"/>
        </w:rPr>
      </w:pPr>
      <w:bookmarkStart w:id="3" w:name="irecnoe"/>
      <w:bookmarkEnd w:id="3"/>
      <w:r w:rsidRPr="00BF487A">
        <w:rPr>
          <w:lang w:val="en-US"/>
        </w:rPr>
        <w:t xml:space="preserve">RECOMMENDATION  </w:t>
      </w:r>
      <w:r w:rsidRPr="00BF487A">
        <w:rPr>
          <w:rStyle w:val="href"/>
          <w:lang w:val="en-US"/>
        </w:rPr>
        <w:t xml:space="preserve">ITU-R  </w:t>
      </w:r>
      <w:r w:rsidR="00AE3260">
        <w:rPr>
          <w:rStyle w:val="href"/>
          <w:lang w:val="en-US"/>
        </w:rPr>
        <w:t>S</w:t>
      </w:r>
      <w:r w:rsidRPr="00BF487A">
        <w:rPr>
          <w:rStyle w:val="href"/>
          <w:lang w:val="en-US"/>
        </w:rPr>
        <w:t>.</w:t>
      </w:r>
      <w:r w:rsidR="00DD7D06">
        <w:rPr>
          <w:rStyle w:val="href"/>
          <w:lang w:val="en-US"/>
        </w:rPr>
        <w:t>1782-</w:t>
      </w:r>
      <w:r w:rsidR="00637B9C">
        <w:rPr>
          <w:rStyle w:val="href"/>
          <w:lang w:val="en-US"/>
        </w:rPr>
        <w:t>1</w:t>
      </w:r>
    </w:p>
    <w:p w:rsidR="00DD7D06" w:rsidRDefault="00E62977" w:rsidP="00DD7D06">
      <w:pPr>
        <w:pStyle w:val="Rectitle"/>
        <w:rPr>
          <w:lang w:val="en-GB"/>
        </w:rPr>
      </w:pPr>
      <w:r w:rsidRPr="00E62977">
        <w:rPr>
          <w:lang w:val="en-GB"/>
        </w:rPr>
        <w:t xml:space="preserve">Guidelines on global broadband Internet access </w:t>
      </w:r>
      <w:r w:rsidRPr="00E62977">
        <w:rPr>
          <w:lang w:val="en-GB"/>
        </w:rPr>
        <w:br/>
        <w:t>by fixed-satellite service systems</w:t>
      </w:r>
      <w:r w:rsidRPr="00E62977">
        <w:rPr>
          <w:lang w:val="en-GB"/>
        </w:rPr>
        <w:footnoteReference w:customMarkFollows="1" w:id="1"/>
        <w:t>*</w:t>
      </w:r>
    </w:p>
    <w:p w:rsidR="00E62977" w:rsidRDefault="00E62977" w:rsidP="00E62977">
      <w:pPr>
        <w:pStyle w:val="Recdate"/>
        <w:rPr>
          <w:lang w:val="en-GB"/>
        </w:rPr>
      </w:pPr>
      <w:r w:rsidRPr="00E62977">
        <w:rPr>
          <w:lang w:val="en-GB"/>
        </w:rPr>
        <w:t>(2007-2019)</w:t>
      </w:r>
    </w:p>
    <w:p w:rsidR="00E62977" w:rsidRPr="008938F0" w:rsidRDefault="00E62977" w:rsidP="00E62977">
      <w:pPr>
        <w:pStyle w:val="HeadingSum"/>
        <w:rPr>
          <w:lang w:val="en-GB"/>
        </w:rPr>
      </w:pPr>
      <w:r w:rsidRPr="008938F0">
        <w:rPr>
          <w:lang w:val="en-GB"/>
        </w:rPr>
        <w:t>Scope</w:t>
      </w:r>
    </w:p>
    <w:p w:rsidR="00E62977" w:rsidRPr="008938F0" w:rsidRDefault="00E62977" w:rsidP="00E62977">
      <w:pPr>
        <w:pStyle w:val="Summary"/>
      </w:pPr>
      <w:r w:rsidRPr="008938F0">
        <w:t xml:space="preserve">In order to address issues raised by previous World Radiocommunication Conferences and </w:t>
      </w:r>
      <w:r w:rsidRPr="00E62977">
        <w:t>Radiocommunication</w:t>
      </w:r>
      <w:r w:rsidRPr="008938F0">
        <w:t xml:space="preserve"> Assemblies, this Recommendation provides guidelines on global broadband Internet access by fixed-satellite service systems. A first Annex covers a number of general issues on the consideration of suitable frequency bands and a general description of broadband satellite architecture. </w:t>
      </w:r>
      <w:r w:rsidRPr="008938F0">
        <w:rPr>
          <w:color w:val="000000"/>
          <w:szCs w:val="24"/>
        </w:rPr>
        <w:t>A</w:t>
      </w:r>
      <w:r w:rsidRPr="008938F0">
        <w:rPr>
          <w:color w:val="FF0000"/>
          <w:szCs w:val="24"/>
        </w:rPr>
        <w:t xml:space="preserve"> </w:t>
      </w:r>
      <w:r w:rsidRPr="008938F0">
        <w:rPr>
          <w:szCs w:val="24"/>
        </w:rPr>
        <w:t xml:space="preserve">second Annex describes both existing and future satellite systems to provide global broadband access directly to small earth station antenna, and includes descriptions of systems characteristics and satellite capacities. </w:t>
      </w:r>
      <w:r w:rsidRPr="008938F0">
        <w:t>It should be noted that fixed-satellite service comprises both GSO and non-GSO networks and systems and are thus both in the scope of this Recommendation.</w:t>
      </w:r>
    </w:p>
    <w:p w:rsidR="00E62977" w:rsidRPr="00637B9C" w:rsidRDefault="00E62977" w:rsidP="00E62977">
      <w:pPr>
        <w:pStyle w:val="Headingb"/>
        <w:rPr>
          <w:lang w:val="en-GB"/>
        </w:rPr>
      </w:pPr>
      <w:r w:rsidRPr="00637B9C">
        <w:rPr>
          <w:lang w:val="en-GB"/>
        </w:rPr>
        <w:t>Keywords</w:t>
      </w:r>
    </w:p>
    <w:p w:rsidR="00E62977" w:rsidRPr="00637B9C" w:rsidRDefault="00E62977" w:rsidP="00E62977">
      <w:pPr>
        <w:rPr>
          <w:lang w:val="en-GB"/>
        </w:rPr>
      </w:pPr>
      <w:r w:rsidRPr="00637B9C">
        <w:rPr>
          <w:lang w:val="en-GB"/>
        </w:rPr>
        <w:t>Broadband, Internet access, fixed-satellite service systems</w:t>
      </w:r>
    </w:p>
    <w:p w:rsidR="00E62977" w:rsidRPr="00637B9C" w:rsidRDefault="00E62977" w:rsidP="00E62977">
      <w:pPr>
        <w:pStyle w:val="Headingb"/>
        <w:rPr>
          <w:lang w:val="en-GB"/>
        </w:rPr>
      </w:pPr>
      <w:r w:rsidRPr="00637B9C">
        <w:rPr>
          <w:lang w:val="en-GB"/>
        </w:rPr>
        <w:t>Abbreviations/Glossary</w:t>
      </w:r>
    </w:p>
    <w:p w:rsidR="00E62977" w:rsidRPr="00637B9C" w:rsidRDefault="00E62977" w:rsidP="006043D8">
      <w:pPr>
        <w:tabs>
          <w:tab w:val="clear" w:pos="794"/>
          <w:tab w:val="clear" w:pos="1191"/>
          <w:tab w:val="left" w:pos="1418"/>
        </w:tabs>
        <w:ind w:left="1418" w:hanging="1418"/>
        <w:rPr>
          <w:lang w:val="en-GB"/>
        </w:rPr>
      </w:pPr>
      <w:r w:rsidRPr="00637B9C">
        <w:rPr>
          <w:lang w:val="en-GB"/>
        </w:rPr>
        <w:t>ACM</w:t>
      </w:r>
      <w:r w:rsidRPr="00637B9C">
        <w:rPr>
          <w:lang w:val="en-GB"/>
        </w:rPr>
        <w:tab/>
        <w:t>Adaptive coding and modulation</w:t>
      </w:r>
    </w:p>
    <w:p w:rsidR="00E62977" w:rsidRPr="00637B9C" w:rsidRDefault="00E62977" w:rsidP="006043D8">
      <w:pPr>
        <w:tabs>
          <w:tab w:val="clear" w:pos="794"/>
          <w:tab w:val="clear" w:pos="1191"/>
          <w:tab w:val="left" w:pos="1418"/>
          <w:tab w:val="left" w:pos="2608"/>
          <w:tab w:val="left" w:pos="3345"/>
        </w:tabs>
        <w:spacing w:before="80"/>
        <w:ind w:left="1418" w:hanging="1418"/>
        <w:rPr>
          <w:lang w:val="en-GB" w:eastAsia="ko-KR"/>
        </w:rPr>
      </w:pPr>
      <w:r w:rsidRPr="00637B9C">
        <w:rPr>
          <w:lang w:val="en-GB" w:eastAsia="ko-KR"/>
        </w:rPr>
        <w:t>DVB</w:t>
      </w:r>
      <w:r w:rsidRPr="00637B9C">
        <w:rPr>
          <w:lang w:val="en-GB" w:eastAsia="ko-KR"/>
        </w:rPr>
        <w:tab/>
        <w:t>Digital video broadcasting</w:t>
      </w:r>
    </w:p>
    <w:p w:rsidR="00E62977" w:rsidRPr="00637B9C" w:rsidRDefault="00E62977" w:rsidP="006043D8">
      <w:pPr>
        <w:tabs>
          <w:tab w:val="clear" w:pos="794"/>
          <w:tab w:val="clear" w:pos="1191"/>
          <w:tab w:val="left" w:pos="1418"/>
          <w:tab w:val="left" w:pos="2608"/>
          <w:tab w:val="left" w:pos="3345"/>
        </w:tabs>
        <w:spacing w:before="80"/>
        <w:ind w:left="1418" w:hanging="1418"/>
        <w:rPr>
          <w:lang w:val="en-GB" w:eastAsia="ko-KR"/>
        </w:rPr>
      </w:pPr>
      <w:r w:rsidRPr="00637B9C">
        <w:rPr>
          <w:lang w:val="en-GB" w:eastAsia="ko-KR"/>
        </w:rPr>
        <w:t>DVB-S2</w:t>
      </w:r>
      <w:r w:rsidRPr="00637B9C">
        <w:rPr>
          <w:lang w:val="en-GB" w:eastAsia="ko-KR"/>
        </w:rPr>
        <w:tab/>
        <w:t>Second generation digital video broadcasting via satellite</w:t>
      </w:r>
    </w:p>
    <w:p w:rsidR="00E62977" w:rsidRPr="00637B9C" w:rsidRDefault="00E62977" w:rsidP="006043D8">
      <w:pPr>
        <w:tabs>
          <w:tab w:val="clear" w:pos="794"/>
          <w:tab w:val="clear" w:pos="1191"/>
          <w:tab w:val="left" w:pos="1418"/>
          <w:tab w:val="left" w:pos="2608"/>
          <w:tab w:val="left" w:pos="3345"/>
        </w:tabs>
        <w:spacing w:before="80"/>
        <w:ind w:left="1418" w:hanging="1418"/>
        <w:rPr>
          <w:lang w:val="en-GB" w:eastAsia="ko-KR"/>
        </w:rPr>
      </w:pPr>
      <w:r w:rsidRPr="00637B9C">
        <w:rPr>
          <w:lang w:val="en-GB" w:eastAsia="ko-KR"/>
        </w:rPr>
        <w:t>DVB-S2X</w:t>
      </w:r>
      <w:r w:rsidRPr="00637B9C">
        <w:rPr>
          <w:lang w:val="en-GB" w:eastAsia="ko-KR"/>
        </w:rPr>
        <w:tab/>
        <w:t>Extension of second generation digital video broadcasting via satellite</w:t>
      </w:r>
    </w:p>
    <w:p w:rsidR="00E62977" w:rsidRPr="00637B9C" w:rsidRDefault="00E62977" w:rsidP="006043D8">
      <w:pPr>
        <w:tabs>
          <w:tab w:val="clear" w:pos="794"/>
          <w:tab w:val="clear" w:pos="1191"/>
          <w:tab w:val="left" w:pos="1418"/>
          <w:tab w:val="left" w:pos="2608"/>
          <w:tab w:val="left" w:pos="3345"/>
        </w:tabs>
        <w:spacing w:before="80"/>
        <w:ind w:left="1418" w:hanging="1418"/>
        <w:rPr>
          <w:lang w:val="en-GB" w:eastAsia="ko-KR"/>
        </w:rPr>
      </w:pPr>
      <w:r w:rsidRPr="00637B9C">
        <w:rPr>
          <w:lang w:val="en-GB" w:eastAsia="ko-KR"/>
        </w:rPr>
        <w:t>ETSI</w:t>
      </w:r>
      <w:r w:rsidRPr="00637B9C">
        <w:rPr>
          <w:lang w:val="en-GB" w:eastAsia="ko-KR"/>
        </w:rPr>
        <w:tab/>
        <w:t>European telecommunications standards institute</w:t>
      </w:r>
    </w:p>
    <w:p w:rsidR="00E62977" w:rsidRPr="00637B9C" w:rsidRDefault="00E62977" w:rsidP="006043D8">
      <w:pPr>
        <w:tabs>
          <w:tab w:val="clear" w:pos="794"/>
          <w:tab w:val="clear" w:pos="1191"/>
          <w:tab w:val="left" w:pos="1418"/>
        </w:tabs>
        <w:ind w:left="1418" w:hanging="1418"/>
        <w:rPr>
          <w:lang w:val="en-GB"/>
        </w:rPr>
      </w:pPr>
      <w:r w:rsidRPr="00637B9C">
        <w:rPr>
          <w:lang w:val="en-GB"/>
        </w:rPr>
        <w:t>FSS</w:t>
      </w:r>
      <w:r w:rsidRPr="00637B9C">
        <w:rPr>
          <w:lang w:val="en-GB"/>
        </w:rPr>
        <w:tab/>
        <w:t>Fixed-satellite service</w:t>
      </w:r>
    </w:p>
    <w:p w:rsidR="00E62977" w:rsidRPr="00637B9C" w:rsidRDefault="00E62977" w:rsidP="006043D8">
      <w:pPr>
        <w:tabs>
          <w:tab w:val="clear" w:pos="794"/>
          <w:tab w:val="clear" w:pos="1191"/>
          <w:tab w:val="left" w:pos="1418"/>
        </w:tabs>
        <w:ind w:left="1418" w:hanging="1418"/>
        <w:rPr>
          <w:lang w:val="en-GB"/>
        </w:rPr>
      </w:pPr>
      <w:r w:rsidRPr="00637B9C">
        <w:rPr>
          <w:lang w:val="en-GB"/>
        </w:rPr>
        <w:t>GSO</w:t>
      </w:r>
      <w:r w:rsidRPr="00637B9C">
        <w:rPr>
          <w:lang w:val="en-GB"/>
        </w:rPr>
        <w:tab/>
        <w:t xml:space="preserve">Geostationary-satellite orbit </w:t>
      </w:r>
    </w:p>
    <w:p w:rsidR="00E62977" w:rsidRPr="00637B9C" w:rsidRDefault="00E62977" w:rsidP="006043D8">
      <w:pPr>
        <w:tabs>
          <w:tab w:val="clear" w:pos="794"/>
          <w:tab w:val="clear" w:pos="1191"/>
          <w:tab w:val="left" w:pos="1418"/>
        </w:tabs>
        <w:ind w:left="1418" w:hanging="1418"/>
        <w:rPr>
          <w:lang w:val="en-GB"/>
        </w:rPr>
      </w:pPr>
      <w:r w:rsidRPr="00637B9C">
        <w:rPr>
          <w:lang w:val="en-GB"/>
        </w:rPr>
        <w:t>HDFSS</w:t>
      </w:r>
      <w:r w:rsidRPr="00637B9C">
        <w:rPr>
          <w:lang w:val="en-GB"/>
        </w:rPr>
        <w:tab/>
        <w:t>High-density fixed-satellite service</w:t>
      </w:r>
    </w:p>
    <w:p w:rsidR="00E62977" w:rsidRPr="00637B9C" w:rsidRDefault="00E62977" w:rsidP="006043D8">
      <w:pPr>
        <w:tabs>
          <w:tab w:val="clear" w:pos="794"/>
          <w:tab w:val="clear" w:pos="1191"/>
          <w:tab w:val="left" w:pos="1418"/>
        </w:tabs>
        <w:ind w:left="1418" w:hanging="1418"/>
        <w:rPr>
          <w:lang w:val="en-GB"/>
        </w:rPr>
      </w:pPr>
      <w:r w:rsidRPr="00637B9C">
        <w:rPr>
          <w:lang w:val="en-GB"/>
        </w:rPr>
        <w:t>HTS</w:t>
      </w:r>
      <w:r w:rsidRPr="00637B9C">
        <w:rPr>
          <w:lang w:val="en-GB"/>
        </w:rPr>
        <w:tab/>
        <w:t xml:space="preserve">High-throughput satellite </w:t>
      </w:r>
    </w:p>
    <w:p w:rsidR="00E62977" w:rsidRPr="00637B9C" w:rsidRDefault="00E62977" w:rsidP="006043D8">
      <w:pPr>
        <w:tabs>
          <w:tab w:val="clear" w:pos="794"/>
          <w:tab w:val="clear" w:pos="1191"/>
          <w:tab w:val="left" w:pos="1418"/>
        </w:tabs>
        <w:ind w:left="1418" w:hanging="1418"/>
        <w:rPr>
          <w:lang w:val="en-GB"/>
        </w:rPr>
      </w:pPr>
      <w:r w:rsidRPr="00637B9C">
        <w:rPr>
          <w:lang w:val="en-GB"/>
        </w:rPr>
        <w:t>VHTS</w:t>
      </w:r>
      <w:r w:rsidRPr="00637B9C">
        <w:rPr>
          <w:lang w:val="en-GB"/>
        </w:rPr>
        <w:tab/>
        <w:t xml:space="preserve">Very high-throughput satellite </w:t>
      </w:r>
    </w:p>
    <w:p w:rsidR="00E62977" w:rsidRPr="00637B9C" w:rsidRDefault="00E62977" w:rsidP="00E62977">
      <w:pPr>
        <w:pStyle w:val="Headingb"/>
        <w:rPr>
          <w:lang w:val="en-GB"/>
        </w:rPr>
      </w:pPr>
      <w:r w:rsidRPr="00637B9C">
        <w:rPr>
          <w:lang w:val="en-GB"/>
        </w:rPr>
        <w:t>Related ITU Recommendations, Reports and Resolutions</w:t>
      </w:r>
    </w:p>
    <w:p w:rsidR="00E62977" w:rsidRPr="00637B9C" w:rsidRDefault="00E62977" w:rsidP="00637B9C">
      <w:pPr>
        <w:pStyle w:val="Reftext"/>
        <w:tabs>
          <w:tab w:val="clear" w:pos="1985"/>
          <w:tab w:val="left" w:pos="3402"/>
        </w:tabs>
        <w:ind w:left="3402" w:hanging="3402"/>
        <w:rPr>
          <w:lang w:val="en-GB"/>
        </w:rPr>
      </w:pPr>
      <w:r w:rsidRPr="00637B9C">
        <w:rPr>
          <w:lang w:val="en-GB"/>
        </w:rPr>
        <w:t>Recommendation ITU-R S.1709-1</w:t>
      </w:r>
      <w:r w:rsidRPr="00637B9C">
        <w:rPr>
          <w:lang w:val="en-GB"/>
        </w:rPr>
        <w:tab/>
        <w:t>Technical characteristics of air interfaces for global broadband satellite systems</w:t>
      </w:r>
    </w:p>
    <w:p w:rsidR="00E62977" w:rsidRPr="00637B9C" w:rsidRDefault="00E62977" w:rsidP="00637B9C">
      <w:pPr>
        <w:pStyle w:val="Reftext"/>
        <w:tabs>
          <w:tab w:val="clear" w:pos="1985"/>
          <w:tab w:val="left" w:pos="3402"/>
        </w:tabs>
        <w:ind w:left="3402" w:hanging="3402"/>
        <w:rPr>
          <w:lang w:val="en-GB"/>
        </w:rPr>
      </w:pPr>
      <w:r w:rsidRPr="00637B9C">
        <w:rPr>
          <w:lang w:val="en-GB"/>
        </w:rPr>
        <w:t>Recommendation ITU-R S.1783-0</w:t>
      </w:r>
      <w:r w:rsidRPr="00637B9C">
        <w:rPr>
          <w:lang w:val="en-GB"/>
        </w:rPr>
        <w:tab/>
        <w:t>Technical and operational features characterizing high-density applications in the fixed-satellite service</w:t>
      </w:r>
    </w:p>
    <w:p w:rsidR="00E62977" w:rsidRPr="00637B9C" w:rsidRDefault="00E62977" w:rsidP="00637B9C">
      <w:pPr>
        <w:pStyle w:val="Reftext"/>
        <w:tabs>
          <w:tab w:val="clear" w:pos="1985"/>
          <w:tab w:val="left" w:pos="3402"/>
        </w:tabs>
        <w:ind w:left="3402" w:hanging="3402"/>
        <w:rPr>
          <w:lang w:val="en-GB"/>
        </w:rPr>
      </w:pPr>
      <w:r w:rsidRPr="00637B9C">
        <w:rPr>
          <w:lang w:val="en-GB"/>
        </w:rPr>
        <w:t>Resolution ITU-R 69</w:t>
      </w:r>
      <w:bookmarkStart w:id="4" w:name="_Toc436827490"/>
      <w:r w:rsidRPr="00637B9C">
        <w:rPr>
          <w:lang w:val="en-GB"/>
        </w:rPr>
        <w:tab/>
        <w:t>Development and deployment of international public telecommunications via satellite in developing countries</w:t>
      </w:r>
      <w:bookmarkEnd w:id="4"/>
    </w:p>
    <w:p w:rsidR="00E62977" w:rsidRPr="00637B9C" w:rsidRDefault="00E62977" w:rsidP="00E62977">
      <w:pPr>
        <w:pStyle w:val="Normalaftertitle"/>
        <w:keepNext/>
        <w:keepLines/>
        <w:rPr>
          <w:lang w:val="en-GB"/>
        </w:rPr>
      </w:pPr>
      <w:r w:rsidRPr="00637B9C">
        <w:rPr>
          <w:lang w:val="en-GB"/>
        </w:rPr>
        <w:t>The ITU Radiocommunication Assembly,</w:t>
      </w:r>
    </w:p>
    <w:p w:rsidR="00E62977" w:rsidRPr="00637B9C" w:rsidRDefault="00E62977" w:rsidP="00E62977">
      <w:pPr>
        <w:pStyle w:val="Call"/>
        <w:rPr>
          <w:lang w:val="en-GB"/>
        </w:rPr>
      </w:pPr>
      <w:r w:rsidRPr="00637B9C">
        <w:rPr>
          <w:lang w:val="en-GB"/>
        </w:rPr>
        <w:t>considering</w:t>
      </w:r>
    </w:p>
    <w:p w:rsidR="00E62977" w:rsidRPr="00637B9C" w:rsidRDefault="00E62977" w:rsidP="00E62977">
      <w:pPr>
        <w:rPr>
          <w:lang w:val="en-GB"/>
        </w:rPr>
      </w:pPr>
      <w:r w:rsidRPr="00637B9C">
        <w:rPr>
          <w:i/>
          <w:iCs/>
          <w:lang w:val="en-GB"/>
        </w:rPr>
        <w:t>a)</w:t>
      </w:r>
      <w:r w:rsidRPr="00637B9C">
        <w:rPr>
          <w:lang w:val="en-GB"/>
        </w:rPr>
        <w:tab/>
        <w:t>that satellite technology has the potential to accelerate the availability of high-speed Internet services to all countries;</w:t>
      </w:r>
    </w:p>
    <w:p w:rsidR="00E62977" w:rsidRPr="00637B9C" w:rsidRDefault="00E62977" w:rsidP="00E62977">
      <w:pPr>
        <w:rPr>
          <w:szCs w:val="24"/>
          <w:lang w:val="en-GB"/>
        </w:rPr>
      </w:pPr>
      <w:r w:rsidRPr="00637B9C">
        <w:rPr>
          <w:i/>
          <w:szCs w:val="24"/>
          <w:lang w:val="en-GB"/>
        </w:rPr>
        <w:t>b)</w:t>
      </w:r>
      <w:r w:rsidRPr="00637B9C">
        <w:rPr>
          <w:szCs w:val="24"/>
          <w:lang w:val="en-GB"/>
        </w:rPr>
        <w:tab/>
        <w:t>that Radiocommunication Assembly 2015 (RA-15) adopted Resolution ITU-R 69 and noted the contribution broadband satellite technologies could make toward achievement of the United Nations Sustainable Development Goals as well as reduction in the digital divide, particularly in rural and remote areas;</w:t>
      </w:r>
    </w:p>
    <w:p w:rsidR="00E62977" w:rsidRPr="00637B9C" w:rsidRDefault="00E62977" w:rsidP="00E62977">
      <w:pPr>
        <w:rPr>
          <w:lang w:val="en-GB"/>
        </w:rPr>
      </w:pPr>
      <w:r w:rsidRPr="00637B9C">
        <w:rPr>
          <w:i/>
          <w:iCs/>
          <w:lang w:val="en-GB"/>
        </w:rPr>
        <w:t>c)</w:t>
      </w:r>
      <w:r w:rsidRPr="00637B9C">
        <w:rPr>
          <w:lang w:val="en-GB"/>
        </w:rPr>
        <w:tab/>
        <w:t>that it is desirable to determine the technical and operational characteristics of fixed-satellite service (FSS) systems that could facilitate the mass-production of user terminal equipment at affordable prices;</w:t>
      </w:r>
    </w:p>
    <w:p w:rsidR="00E62977" w:rsidRPr="00637B9C" w:rsidRDefault="00E62977" w:rsidP="00E62977">
      <w:pPr>
        <w:rPr>
          <w:lang w:val="en-GB"/>
        </w:rPr>
      </w:pPr>
      <w:r w:rsidRPr="00637B9C">
        <w:rPr>
          <w:i/>
          <w:iCs/>
          <w:lang w:val="en-GB"/>
        </w:rPr>
        <w:t>d)</w:t>
      </w:r>
      <w:r w:rsidRPr="00637B9C">
        <w:rPr>
          <w:lang w:val="en-GB"/>
        </w:rPr>
        <w:tab/>
        <w:t xml:space="preserve">that it is desirable to assess the global capacity that could be provided in FSS frequency allocations by systems having the characteristics determined in </w:t>
      </w:r>
      <w:r w:rsidRPr="00637B9C">
        <w:rPr>
          <w:i/>
          <w:lang w:val="en-GB"/>
        </w:rPr>
        <w:t>considering c);</w:t>
      </w:r>
    </w:p>
    <w:p w:rsidR="00E62977" w:rsidRPr="00637B9C" w:rsidRDefault="00E62977" w:rsidP="00E62977">
      <w:pPr>
        <w:rPr>
          <w:lang w:val="en-GB"/>
        </w:rPr>
      </w:pPr>
      <w:r w:rsidRPr="00637B9C">
        <w:rPr>
          <w:i/>
          <w:iCs/>
          <w:lang w:val="en-GB"/>
        </w:rPr>
        <w:t>e)</w:t>
      </w:r>
      <w:r w:rsidRPr="00637B9C">
        <w:rPr>
          <w:i/>
          <w:iCs/>
          <w:lang w:val="en-GB"/>
        </w:rPr>
        <w:tab/>
      </w:r>
      <w:r w:rsidRPr="00637B9C">
        <w:rPr>
          <w:lang w:val="en-GB"/>
        </w:rPr>
        <w:t xml:space="preserve">that the determinations in </w:t>
      </w:r>
      <w:r w:rsidRPr="00637B9C">
        <w:rPr>
          <w:i/>
          <w:lang w:val="en-GB"/>
        </w:rPr>
        <w:t>considering c)</w:t>
      </w:r>
      <w:r w:rsidRPr="00637B9C">
        <w:rPr>
          <w:lang w:val="en-GB"/>
        </w:rPr>
        <w:t xml:space="preserve"> should take into account both the possibility of designing systems specifically for Internet access at high data-rates via user terminals, and also the fact that some existing systems already include broadband Internet access facilities;</w:t>
      </w:r>
    </w:p>
    <w:p w:rsidR="00E62977" w:rsidRPr="00637B9C" w:rsidRDefault="00E62977" w:rsidP="00E62977">
      <w:pPr>
        <w:rPr>
          <w:lang w:val="en-GB"/>
        </w:rPr>
      </w:pPr>
      <w:r w:rsidRPr="00637B9C">
        <w:rPr>
          <w:i/>
          <w:iCs/>
          <w:lang w:val="en-GB"/>
        </w:rPr>
        <w:t>f)</w:t>
      </w:r>
      <w:r w:rsidRPr="00637B9C">
        <w:rPr>
          <w:lang w:val="en-GB"/>
        </w:rPr>
        <w:tab/>
        <w:t>that a variety of earth station sizes are being employed for broadband Internet access via existing FSS systems designed to cater also for other applications and using several frequency bands;</w:t>
      </w:r>
    </w:p>
    <w:p w:rsidR="00E62977" w:rsidRPr="00637B9C" w:rsidRDefault="00E62977" w:rsidP="00E62977">
      <w:pPr>
        <w:rPr>
          <w:szCs w:val="24"/>
          <w:lang w:val="en-GB"/>
        </w:rPr>
      </w:pPr>
      <w:r w:rsidRPr="00637B9C">
        <w:rPr>
          <w:i/>
          <w:iCs/>
          <w:szCs w:val="24"/>
          <w:lang w:val="en-GB"/>
        </w:rPr>
        <w:t>g)</w:t>
      </w:r>
      <w:r w:rsidRPr="00637B9C">
        <w:rPr>
          <w:szCs w:val="24"/>
          <w:lang w:val="en-GB"/>
        </w:rPr>
        <w:tab/>
        <w:t xml:space="preserve">that development of standards for the satellite technology mentioned in </w:t>
      </w:r>
      <w:r w:rsidRPr="00637B9C">
        <w:rPr>
          <w:i/>
          <w:szCs w:val="24"/>
          <w:lang w:val="en-GB"/>
        </w:rPr>
        <w:t>considering a)</w:t>
      </w:r>
      <w:r w:rsidRPr="00637B9C">
        <w:rPr>
          <w:szCs w:val="24"/>
          <w:lang w:val="en-GB"/>
        </w:rPr>
        <w:t xml:space="preserve"> for Internet applications facilitates the wider use of satellite for Internet access;</w:t>
      </w:r>
    </w:p>
    <w:p w:rsidR="00E62977" w:rsidRPr="00637B9C" w:rsidRDefault="00E62977" w:rsidP="00E62977">
      <w:pPr>
        <w:rPr>
          <w:spacing w:val="-3"/>
          <w:lang w:val="en-GB"/>
        </w:rPr>
      </w:pPr>
      <w:r w:rsidRPr="00637B9C">
        <w:rPr>
          <w:i/>
          <w:spacing w:val="-3"/>
          <w:lang w:val="en-GB"/>
        </w:rPr>
        <w:t>h)</w:t>
      </w:r>
      <w:r w:rsidRPr="00637B9C">
        <w:rPr>
          <w:spacing w:val="-3"/>
          <w:lang w:val="en-GB"/>
        </w:rPr>
        <w:tab/>
        <w:t>the need to assist developing countries in deploying and using satellite telecommunications to enable sustainable and affordable access to international public telecommunication services, bearing in mind the RA-15 Resolution ITU-R 69,</w:t>
      </w:r>
    </w:p>
    <w:p w:rsidR="00E62977" w:rsidRPr="00637B9C" w:rsidRDefault="00E62977" w:rsidP="00E62977">
      <w:pPr>
        <w:pStyle w:val="Call"/>
        <w:rPr>
          <w:lang w:val="en-GB"/>
        </w:rPr>
      </w:pPr>
      <w:r w:rsidRPr="00637B9C">
        <w:rPr>
          <w:lang w:val="en-GB"/>
        </w:rPr>
        <w:t>noting</w:t>
      </w:r>
    </w:p>
    <w:p w:rsidR="00E62977" w:rsidRPr="00637B9C" w:rsidRDefault="00E62977" w:rsidP="00E62977">
      <w:pPr>
        <w:rPr>
          <w:szCs w:val="24"/>
          <w:lang w:val="en-GB"/>
        </w:rPr>
      </w:pPr>
      <w:r w:rsidRPr="00637B9C">
        <w:rPr>
          <w:i/>
          <w:iCs/>
          <w:szCs w:val="24"/>
          <w:lang w:val="en-GB"/>
        </w:rPr>
        <w:t>a)</w:t>
      </w:r>
      <w:r w:rsidRPr="00637B9C">
        <w:rPr>
          <w:szCs w:val="24"/>
          <w:lang w:val="en-GB"/>
        </w:rPr>
        <w:tab/>
        <w:t>that Recommendation ITU</w:t>
      </w:r>
      <w:r w:rsidRPr="00637B9C">
        <w:rPr>
          <w:szCs w:val="24"/>
          <w:lang w:val="en-GB"/>
        </w:rPr>
        <w:noBreakHyphen/>
        <w:t>R S.1783 describes the characteristics of high-density fixed</w:t>
      </w:r>
      <w:r w:rsidR="00CE3439">
        <w:rPr>
          <w:szCs w:val="24"/>
          <w:lang w:val="en-GB"/>
        </w:rPr>
        <w:noBreakHyphen/>
      </w:r>
      <w:r w:rsidRPr="00637B9C">
        <w:rPr>
          <w:szCs w:val="24"/>
          <w:lang w:val="en-GB"/>
        </w:rPr>
        <w:t>satellite service (HDFSS) systems;</w:t>
      </w:r>
    </w:p>
    <w:p w:rsidR="00E62977" w:rsidRPr="00637B9C" w:rsidRDefault="00E62977" w:rsidP="00E62977">
      <w:pPr>
        <w:rPr>
          <w:szCs w:val="24"/>
          <w:lang w:val="en-GB"/>
        </w:rPr>
      </w:pPr>
      <w:r w:rsidRPr="00637B9C">
        <w:rPr>
          <w:i/>
          <w:iCs/>
          <w:szCs w:val="24"/>
          <w:lang w:val="en-GB"/>
        </w:rPr>
        <w:t>b)</w:t>
      </w:r>
      <w:r w:rsidRPr="00637B9C">
        <w:rPr>
          <w:i/>
          <w:iCs/>
          <w:szCs w:val="24"/>
          <w:lang w:val="en-GB"/>
        </w:rPr>
        <w:tab/>
      </w:r>
      <w:r w:rsidRPr="00637B9C">
        <w:rPr>
          <w:szCs w:val="24"/>
          <w:lang w:val="en-GB"/>
        </w:rPr>
        <w:t>that Recommendation ITU</w:t>
      </w:r>
      <w:r w:rsidRPr="00637B9C">
        <w:rPr>
          <w:szCs w:val="24"/>
          <w:lang w:val="en-GB"/>
        </w:rPr>
        <w:noBreakHyphen/>
        <w:t>R S.1709 describes the technical characteristics of air interfaces of global broadband satellite systems,</w:t>
      </w:r>
    </w:p>
    <w:p w:rsidR="00E62977" w:rsidRPr="00637B9C" w:rsidRDefault="00E62977" w:rsidP="00E62977">
      <w:pPr>
        <w:pStyle w:val="Call"/>
        <w:rPr>
          <w:lang w:val="en-GB"/>
        </w:rPr>
      </w:pPr>
      <w:r w:rsidRPr="00637B9C">
        <w:rPr>
          <w:lang w:val="en-GB"/>
        </w:rPr>
        <w:t>noting further</w:t>
      </w:r>
    </w:p>
    <w:p w:rsidR="00E62977" w:rsidRPr="00637B9C" w:rsidRDefault="00E62977" w:rsidP="00E62977">
      <w:pPr>
        <w:rPr>
          <w:lang w:val="en-GB"/>
        </w:rPr>
      </w:pPr>
      <w:r w:rsidRPr="00637B9C">
        <w:rPr>
          <w:i/>
          <w:iCs/>
          <w:lang w:val="en-GB"/>
        </w:rPr>
        <w:t>a)</w:t>
      </w:r>
      <w:r w:rsidRPr="00637B9C">
        <w:rPr>
          <w:lang w:val="en-GB"/>
        </w:rPr>
        <w:tab/>
        <w:t>that the FSS frequency allocations can be used in the short, medium and long term for the global provision of high-speed Internet services;</w:t>
      </w:r>
    </w:p>
    <w:p w:rsidR="00E62977" w:rsidRPr="00637B9C" w:rsidRDefault="00E62977" w:rsidP="00E62977">
      <w:pPr>
        <w:rPr>
          <w:lang w:val="en-GB"/>
        </w:rPr>
      </w:pPr>
      <w:r w:rsidRPr="00637B9C">
        <w:rPr>
          <w:i/>
          <w:szCs w:val="24"/>
          <w:lang w:val="en-GB"/>
        </w:rPr>
        <w:t>b)</w:t>
      </w:r>
      <w:r w:rsidRPr="00637B9C">
        <w:rPr>
          <w:szCs w:val="24"/>
          <w:lang w:val="en-GB"/>
        </w:rPr>
        <w:tab/>
        <w:t>that the expansion of broadband satellite services is generating growth in developing countries through e-applications such as e-health, e-learning, e-government, teleworking and residential and community Internet access, which can be used as tools for achieving ICT policy objectives,</w:t>
      </w:r>
    </w:p>
    <w:p w:rsidR="00E62977" w:rsidRPr="00637B9C" w:rsidRDefault="00E62977" w:rsidP="00E62977">
      <w:pPr>
        <w:pStyle w:val="Call"/>
        <w:rPr>
          <w:lang w:val="en-GB"/>
        </w:rPr>
      </w:pPr>
      <w:r w:rsidRPr="00637B9C">
        <w:rPr>
          <w:lang w:val="en-GB"/>
        </w:rPr>
        <w:t>recommends</w:t>
      </w:r>
    </w:p>
    <w:p w:rsidR="00E62977" w:rsidRPr="00637B9C" w:rsidRDefault="00E62977" w:rsidP="00E62977">
      <w:pPr>
        <w:rPr>
          <w:lang w:val="en-GB"/>
        </w:rPr>
      </w:pPr>
      <w:r w:rsidRPr="00637B9C">
        <w:rPr>
          <w:b/>
          <w:bCs/>
          <w:lang w:val="en-GB"/>
        </w:rPr>
        <w:t>1</w:t>
      </w:r>
      <w:r w:rsidRPr="00637B9C">
        <w:rPr>
          <w:lang w:val="en-GB"/>
        </w:rPr>
        <w:tab/>
        <w:t>that the information in the Annexes </w:t>
      </w:r>
      <w:r w:rsidRPr="00637B9C">
        <w:rPr>
          <w:szCs w:val="24"/>
          <w:lang w:val="en-GB"/>
        </w:rPr>
        <w:t>may be used as guidelines in order to implement</w:t>
      </w:r>
      <w:r w:rsidRPr="00637B9C">
        <w:rPr>
          <w:lang w:val="en-GB"/>
        </w:rPr>
        <w:t xml:space="preserve"> global access to the Internet at high data-rates via the FSS;</w:t>
      </w:r>
    </w:p>
    <w:p w:rsidR="00E62977" w:rsidRPr="00637B9C" w:rsidRDefault="00E62977" w:rsidP="00E62977">
      <w:pPr>
        <w:rPr>
          <w:lang w:val="en-GB"/>
        </w:rPr>
      </w:pPr>
      <w:r w:rsidRPr="00637B9C">
        <w:rPr>
          <w:b/>
          <w:lang w:val="en-GB"/>
        </w:rPr>
        <w:t>2</w:t>
      </w:r>
      <w:r w:rsidRPr="00637B9C">
        <w:rPr>
          <w:lang w:val="en-GB"/>
        </w:rPr>
        <w:tab/>
        <w:t xml:space="preserve">that the information in the Annexes may be considered as guidelines in order to assist developing countries with the development and deployment of global broadband services via satellite in response to </w:t>
      </w:r>
      <w:r w:rsidRPr="00637B9C">
        <w:rPr>
          <w:i/>
          <w:iCs/>
          <w:lang w:val="en-GB"/>
        </w:rPr>
        <w:t>resolves</w:t>
      </w:r>
      <w:r w:rsidRPr="00637B9C">
        <w:rPr>
          <w:lang w:val="en-GB"/>
        </w:rPr>
        <w:t xml:space="preserve"> 1 and 2 of the RA-15 Resolution ITU-R 69.</w:t>
      </w:r>
    </w:p>
    <w:p w:rsidR="00E62977" w:rsidRPr="00637B9C" w:rsidRDefault="00E62977" w:rsidP="00E62977">
      <w:pPr>
        <w:rPr>
          <w:lang w:val="en-GB"/>
        </w:rPr>
      </w:pPr>
    </w:p>
    <w:p w:rsidR="00E62977" w:rsidRPr="008938F0" w:rsidRDefault="00E62977" w:rsidP="00E62977">
      <w:pPr>
        <w:pStyle w:val="AnnexNoTitle"/>
        <w:rPr>
          <w:lang w:val="en-GB"/>
        </w:rPr>
      </w:pPr>
      <w:r w:rsidRPr="008938F0" w:rsidDel="00525886">
        <w:rPr>
          <w:lang w:val="en-GB"/>
        </w:rPr>
        <w:t>Annex 1</w:t>
      </w:r>
      <w:r w:rsidR="005B71D4">
        <w:rPr>
          <w:lang w:val="en-GB"/>
        </w:rPr>
        <w:br/>
      </w:r>
      <w:r w:rsidRPr="008938F0">
        <w:rPr>
          <w:lang w:val="en-GB"/>
        </w:rPr>
        <w:br/>
        <w:t>General considerations and characteristics of global broadband access</w:t>
      </w:r>
      <w:r w:rsidRPr="008938F0">
        <w:rPr>
          <w:lang w:val="en-GB"/>
        </w:rPr>
        <w:br/>
        <w:t>by FSS systems</w:t>
      </w:r>
    </w:p>
    <w:p w:rsidR="00E62977" w:rsidRPr="00637B9C" w:rsidRDefault="00E62977" w:rsidP="00E62977">
      <w:pPr>
        <w:pStyle w:val="Heading1"/>
        <w:rPr>
          <w:lang w:val="en-GB"/>
        </w:rPr>
      </w:pPr>
      <w:r w:rsidRPr="00637B9C">
        <w:rPr>
          <w:lang w:val="en-GB"/>
        </w:rPr>
        <w:t>1</w:t>
      </w:r>
      <w:r w:rsidRPr="00637B9C">
        <w:rPr>
          <w:lang w:val="en-GB"/>
        </w:rPr>
        <w:tab/>
        <w:t>Frequency band considerations</w:t>
      </w:r>
    </w:p>
    <w:p w:rsidR="00E62977" w:rsidRPr="00637B9C" w:rsidRDefault="00E62977" w:rsidP="00E62977">
      <w:pPr>
        <w:rPr>
          <w:lang w:val="en-GB"/>
        </w:rPr>
      </w:pPr>
      <w:r w:rsidRPr="00637B9C">
        <w:rPr>
          <w:lang w:val="en-GB"/>
        </w:rPr>
        <w:t>Satellites, with their inherent ability to provide ubiquitous, wide-area coverage, are key to providing broadband connectivity including in remote and underserved areas.</w:t>
      </w:r>
    </w:p>
    <w:p w:rsidR="00E62977" w:rsidRPr="00637B9C" w:rsidRDefault="00E62977" w:rsidP="00E62977">
      <w:pPr>
        <w:rPr>
          <w:lang w:val="en-GB"/>
        </w:rPr>
      </w:pPr>
      <w:r w:rsidRPr="00637B9C">
        <w:rPr>
          <w:lang w:val="en-GB"/>
        </w:rPr>
        <w:t>Recent years have seen the deployment of numerous High Throughput Satellite (HTS) systems operating in the 20/30 GHz bands in the fixed-satellite service (FSS) to provide broadband connectivity directly to end-users over small satellite user terminals. To provide high capacity and high spectrum efficiency, HTS systems implement large numbers of satellite spot beams which allows for high multiples of frequency re-use.</w:t>
      </w:r>
    </w:p>
    <w:p w:rsidR="00E62977" w:rsidRPr="00637B9C" w:rsidRDefault="00E62977" w:rsidP="00E62977">
      <w:pPr>
        <w:rPr>
          <w:lang w:val="en-GB"/>
        </w:rPr>
      </w:pPr>
      <w:r w:rsidRPr="00637B9C">
        <w:rPr>
          <w:lang w:val="en-GB"/>
        </w:rPr>
        <w:t>Within the range of the 20/30 GHz FSS bands in which HTS systems are generally deployed, there is 500 MHz of spectrum at the top end of the band (19.7-20.2 GHz Earth-to-space and 29.5-30 GHz space-to-Earth) for which satellite services do not share with other primary services in the ITU Table of Frequency Allocations. User terminals operating in these bands can generally be deployed ubiquitously without need for individual coordination of the satellite earth stations.</w:t>
      </w:r>
    </w:p>
    <w:p w:rsidR="00E62977" w:rsidRPr="00637B9C" w:rsidRDefault="00E62977" w:rsidP="00E62977">
      <w:pPr>
        <w:rPr>
          <w:i/>
          <w:lang w:val="en-GB"/>
        </w:rPr>
      </w:pPr>
      <w:r w:rsidRPr="00637B9C">
        <w:rPr>
          <w:lang w:val="en-GB"/>
        </w:rPr>
        <w:t>However, meeting the ever increasing capacity requirements for broadband connectivity requires that HTS systems deploy ubiquitous end-user terminals in FSS frequencies also in the parts of the 20/30</w:t>
      </w:r>
      <w:r w:rsidR="00CE3439">
        <w:rPr>
          <w:lang w:val="en-GB"/>
        </w:rPr>
        <w:t> </w:t>
      </w:r>
      <w:r w:rsidRPr="00637B9C">
        <w:rPr>
          <w:lang w:val="en-GB"/>
        </w:rPr>
        <w:t>GHz FSS bands where satellite services do not have an exclusive primary allocation.</w:t>
      </w:r>
    </w:p>
    <w:p w:rsidR="00E62977" w:rsidRPr="00637B9C" w:rsidRDefault="00E62977" w:rsidP="00E62977">
      <w:pPr>
        <w:rPr>
          <w:lang w:val="en-GB"/>
        </w:rPr>
      </w:pPr>
      <w:r w:rsidRPr="00637B9C">
        <w:rPr>
          <w:lang w:val="en-GB"/>
        </w:rPr>
        <w:t>Meeting the ever increasing capacity demands for global broadband connectivity does not stop simply with a wider use of the 20/30 GHz bands for ubiquitous user terminals. Currently planned HTS systems, including some in the construction phase today, will deploy and operate in the 40/50 GHz FSS bands. This is not only to accommodate gateway feeder links for systems in which user terminals operate in the 30/20 GHz bands, but future HTS systems will also deploy ubiquitous user terminals in portions of the 40/50 GHz FSS bands.</w:t>
      </w:r>
    </w:p>
    <w:p w:rsidR="00E62977" w:rsidRPr="00637B9C" w:rsidRDefault="00E62977" w:rsidP="00E62977">
      <w:pPr>
        <w:rPr>
          <w:i/>
          <w:lang w:val="en-GB"/>
        </w:rPr>
      </w:pPr>
      <w:r w:rsidRPr="00637B9C">
        <w:rPr>
          <w:lang w:val="en-GB"/>
        </w:rPr>
        <w:t>Regulatory approaches, both at the ITU / Radio Regulations level, as well as at regional and national levels to facilitate these wider deployments of ubiquitous user terminals are described in the sections below</w:t>
      </w:r>
      <w:r w:rsidRPr="00637B9C">
        <w:rPr>
          <w:i/>
          <w:lang w:val="en-GB"/>
        </w:rPr>
        <w:t>.</w:t>
      </w:r>
    </w:p>
    <w:p w:rsidR="00E62977" w:rsidRPr="00637B9C" w:rsidRDefault="00E62977" w:rsidP="00E62977">
      <w:pPr>
        <w:pStyle w:val="Heading2"/>
        <w:rPr>
          <w:lang w:val="en-GB"/>
        </w:rPr>
      </w:pPr>
      <w:r w:rsidRPr="00637B9C">
        <w:rPr>
          <w:lang w:val="en-GB"/>
        </w:rPr>
        <w:t>1.1</w:t>
      </w:r>
      <w:r w:rsidRPr="00637B9C">
        <w:rPr>
          <w:lang w:val="en-GB"/>
        </w:rPr>
        <w:tab/>
        <w:t>Suitable bands</w:t>
      </w:r>
    </w:p>
    <w:p w:rsidR="00E62977" w:rsidRPr="00637B9C" w:rsidRDefault="00E62977" w:rsidP="00E62977">
      <w:pPr>
        <w:rPr>
          <w:lang w:val="en-GB"/>
        </w:rPr>
      </w:pPr>
      <w:r w:rsidRPr="00637B9C">
        <w:rPr>
          <w:lang w:val="en-GB"/>
        </w:rPr>
        <w:t>“Short term” applies to bands for which satellite technology has already been developed. At the present time this is wholly true of the 4/6 GHz, 11/14 GHz, and 20/30 GHz FSS allocations, and partially true of the 40/50 GHz FSS allocations. There are FSS allocations above 50 GHz in Article </w:t>
      </w:r>
      <w:r w:rsidRPr="00637B9C">
        <w:rPr>
          <w:rStyle w:val="Artref"/>
          <w:b/>
          <w:bCs/>
          <w:lang w:val="en-GB"/>
        </w:rPr>
        <w:t>5</w:t>
      </w:r>
      <w:r w:rsidRPr="00637B9C">
        <w:rPr>
          <w:lang w:val="en-GB"/>
        </w:rPr>
        <w:t xml:space="preserve"> of the Radio Regulations (RR), but significant development in them seems unlikely to occur before the long term and they are not considered here.</w:t>
      </w:r>
    </w:p>
    <w:p w:rsidR="00E62977" w:rsidRPr="00637B9C" w:rsidRDefault="00E62977" w:rsidP="00E62977">
      <w:pPr>
        <w:rPr>
          <w:lang w:val="en-GB"/>
        </w:rPr>
      </w:pPr>
      <w:r w:rsidRPr="00637B9C">
        <w:rPr>
          <w:lang w:val="en-GB"/>
        </w:rPr>
        <w:t>Preliminary studies ruled out the use of the 4/6 GHz bands for the subject application, on the grounds that low-cost terminals imply very small antennas which would be unlikely to have adequate gain at those frequencies to operate to the wide-beam satellites typically involved. Furthermore, the 4/6 GHz bands are already heavily utilized so, even if spot-beam C</w:t>
      </w:r>
      <w:r w:rsidRPr="00637B9C">
        <w:rPr>
          <w:lang w:val="en-GB"/>
        </w:rPr>
        <w:noBreakHyphen/>
        <w:t>band satellites were provided, it would be difficult for very small-dish earth stations with their correspondingly wide beamwidths to share frequencies with the existing services. Therefore the 4/6 GHz bands are not considered further in this Annex.</w:t>
      </w:r>
    </w:p>
    <w:p w:rsidR="00E62977" w:rsidRPr="00637B9C" w:rsidRDefault="00E62977" w:rsidP="00E62977">
      <w:pPr>
        <w:rPr>
          <w:lang w:val="en-GB"/>
        </w:rPr>
      </w:pPr>
      <w:r w:rsidRPr="00637B9C">
        <w:rPr>
          <w:lang w:val="en-GB"/>
        </w:rPr>
        <w:t>The 20/30 GHz FSS allocations are believed to be intrinsically the most suitable for broadband Internet access over user terminals in the near term, because the wavelength is consistent with very small antennas, the technology is reasonably well developed, and utilization is as yet relatively low. Moreover, Internet access by individuals is incompatible with the way in which the great majority of international use of the FSS bands has been regulated up to now, i.e. by coordination of individual earth stations. The likelihood, that the user terminals will be sold by “high street” retailers in large numbers and installed in homes as well as offices, necessitates a regulatory regime such as applicable for the so-called ‘exclusive Ka-band’ (29.5 GHz</w:t>
      </w:r>
      <w:r w:rsidR="006043D8">
        <w:rPr>
          <w:lang w:val="en-GB"/>
        </w:rPr>
        <w:t xml:space="preserve"> - </w:t>
      </w:r>
      <w:r w:rsidRPr="00637B9C">
        <w:rPr>
          <w:lang w:val="en-GB"/>
        </w:rPr>
        <w:t>30 GHz in Earth-to-space and 19.7</w:t>
      </w:r>
      <w:r w:rsidR="006043D8">
        <w:rPr>
          <w:lang w:val="en-GB"/>
        </w:rPr>
        <w:noBreakHyphen/>
      </w:r>
      <w:r w:rsidRPr="00637B9C">
        <w:rPr>
          <w:lang w:val="en-GB"/>
        </w:rPr>
        <w:t>20.2 GHz in space-to-Earth) and which is being developed to accommodate HDFSS in additional parts of the FSS allocations.</w:t>
      </w:r>
    </w:p>
    <w:p w:rsidR="00E62977" w:rsidRPr="00637B9C" w:rsidRDefault="00E62977" w:rsidP="00E62977">
      <w:pPr>
        <w:rPr>
          <w:lang w:val="en-GB"/>
        </w:rPr>
      </w:pPr>
      <w:r w:rsidRPr="00637B9C">
        <w:rPr>
          <w:lang w:val="en-GB"/>
        </w:rPr>
        <w:t>RR No. </w:t>
      </w:r>
      <w:r w:rsidRPr="00637B9C">
        <w:rPr>
          <w:rStyle w:val="Artref"/>
          <w:b/>
          <w:bCs/>
          <w:lang w:val="en-GB"/>
        </w:rPr>
        <w:t>5.516B</w:t>
      </w:r>
      <w:r w:rsidRPr="00637B9C">
        <w:rPr>
          <w:lang w:val="en-GB"/>
        </w:rPr>
        <w:t>, referenced by WRC</w:t>
      </w:r>
      <w:r w:rsidRPr="00637B9C">
        <w:rPr>
          <w:lang w:val="en-GB"/>
        </w:rPr>
        <w:noBreakHyphen/>
        <w:t>03 in its call for studies on possible global broadband FSS systems for Internet applications, is partially repeated below for convenience:</w:t>
      </w:r>
    </w:p>
    <w:p w:rsidR="00E62977" w:rsidRPr="00637B9C" w:rsidRDefault="00E62977" w:rsidP="00E62977">
      <w:pPr>
        <w:rPr>
          <w:lang w:val="en-GB"/>
        </w:rPr>
      </w:pPr>
      <w:r w:rsidRPr="00637B9C">
        <w:rPr>
          <w:lang w:val="en-GB"/>
        </w:rPr>
        <w:t>“The following bands are identified for use by high-density applications in the fixed-satellite service:</w:t>
      </w:r>
    </w:p>
    <w:p w:rsidR="00E62977" w:rsidRPr="00637B9C" w:rsidRDefault="00E62977" w:rsidP="00E62977">
      <w:pPr>
        <w:pStyle w:val="enumlev1"/>
        <w:rPr>
          <w:lang w:val="en-GB"/>
        </w:rPr>
      </w:pPr>
      <w:r w:rsidRPr="00637B9C">
        <w:rPr>
          <w:lang w:val="en-GB"/>
        </w:rPr>
        <w:tab/>
      </w:r>
      <w:r w:rsidRPr="00637B9C">
        <w:rPr>
          <w:lang w:val="en-GB"/>
        </w:rPr>
        <w:tab/>
        <w:t xml:space="preserve">17.3-17.7 GHz </w:t>
      </w:r>
      <w:r w:rsidRPr="00637B9C">
        <w:rPr>
          <w:lang w:val="en-GB"/>
        </w:rPr>
        <w:tab/>
      </w:r>
      <w:r w:rsidRPr="00637B9C">
        <w:rPr>
          <w:lang w:val="en-GB"/>
        </w:rPr>
        <w:tab/>
        <w:t>(space-to-Earth) in Region 1,</w:t>
      </w:r>
    </w:p>
    <w:p w:rsidR="00E62977" w:rsidRPr="00637B9C" w:rsidRDefault="00E62977" w:rsidP="00E62977">
      <w:pPr>
        <w:pStyle w:val="enumlev1"/>
        <w:rPr>
          <w:lang w:val="en-GB"/>
        </w:rPr>
      </w:pPr>
      <w:r w:rsidRPr="00637B9C">
        <w:rPr>
          <w:lang w:val="en-GB"/>
        </w:rPr>
        <w:tab/>
      </w:r>
      <w:r w:rsidRPr="00637B9C">
        <w:rPr>
          <w:lang w:val="en-GB"/>
        </w:rPr>
        <w:tab/>
        <w:t xml:space="preserve">18.3-19.3 GHz </w:t>
      </w:r>
      <w:r w:rsidRPr="00637B9C">
        <w:rPr>
          <w:lang w:val="en-GB"/>
        </w:rPr>
        <w:tab/>
      </w:r>
      <w:r w:rsidRPr="00637B9C">
        <w:rPr>
          <w:lang w:val="en-GB"/>
        </w:rPr>
        <w:tab/>
        <w:t>(space-to-Earth) in Region 2,</w:t>
      </w:r>
    </w:p>
    <w:p w:rsidR="00E62977" w:rsidRPr="00637B9C" w:rsidRDefault="00E62977" w:rsidP="00E62977">
      <w:pPr>
        <w:pStyle w:val="enumlev1"/>
        <w:rPr>
          <w:lang w:val="en-GB"/>
        </w:rPr>
      </w:pPr>
      <w:r w:rsidRPr="00637B9C">
        <w:rPr>
          <w:lang w:val="en-GB"/>
        </w:rPr>
        <w:tab/>
      </w:r>
      <w:r w:rsidRPr="00637B9C">
        <w:rPr>
          <w:lang w:val="en-GB"/>
        </w:rPr>
        <w:tab/>
        <w:t xml:space="preserve">19.7-20.2 GHz </w:t>
      </w:r>
      <w:r w:rsidRPr="00637B9C">
        <w:rPr>
          <w:lang w:val="en-GB"/>
        </w:rPr>
        <w:tab/>
      </w:r>
      <w:r w:rsidRPr="00637B9C">
        <w:rPr>
          <w:lang w:val="en-GB"/>
        </w:rPr>
        <w:tab/>
        <w:t>(space-to-Earth) in all Regions,</w:t>
      </w:r>
    </w:p>
    <w:p w:rsidR="00E62977" w:rsidRPr="00637B9C" w:rsidRDefault="00E62977" w:rsidP="00E62977">
      <w:pPr>
        <w:pStyle w:val="enumlev1"/>
        <w:rPr>
          <w:lang w:val="en-GB"/>
        </w:rPr>
      </w:pPr>
      <w:r w:rsidRPr="00637B9C">
        <w:rPr>
          <w:lang w:val="en-GB"/>
        </w:rPr>
        <w:tab/>
      </w:r>
      <w:r w:rsidRPr="00637B9C">
        <w:rPr>
          <w:lang w:val="en-GB"/>
        </w:rPr>
        <w:tab/>
        <w:t xml:space="preserve">39.5-40 GHz </w:t>
      </w:r>
      <w:r w:rsidRPr="00637B9C">
        <w:rPr>
          <w:lang w:val="en-GB"/>
        </w:rPr>
        <w:tab/>
      </w:r>
      <w:r w:rsidRPr="00637B9C">
        <w:rPr>
          <w:lang w:val="en-GB"/>
        </w:rPr>
        <w:tab/>
        <w:t>(space-to-Earth) in Region 1,</w:t>
      </w:r>
    </w:p>
    <w:p w:rsidR="00E62977" w:rsidRPr="00637B9C" w:rsidRDefault="00E62977" w:rsidP="00E62977">
      <w:pPr>
        <w:pStyle w:val="enumlev1"/>
        <w:rPr>
          <w:lang w:val="en-GB"/>
        </w:rPr>
      </w:pPr>
      <w:r w:rsidRPr="00637B9C">
        <w:rPr>
          <w:lang w:val="en-GB"/>
        </w:rPr>
        <w:tab/>
      </w:r>
      <w:r w:rsidRPr="00637B9C">
        <w:rPr>
          <w:lang w:val="en-GB"/>
        </w:rPr>
        <w:tab/>
        <w:t xml:space="preserve">40-40.5 GHz </w:t>
      </w:r>
      <w:r w:rsidRPr="00637B9C">
        <w:rPr>
          <w:lang w:val="en-GB"/>
        </w:rPr>
        <w:tab/>
      </w:r>
      <w:r w:rsidRPr="00637B9C">
        <w:rPr>
          <w:lang w:val="en-GB"/>
        </w:rPr>
        <w:tab/>
        <w:t>(space-to-Earth) in all Regions,</w:t>
      </w:r>
    </w:p>
    <w:p w:rsidR="00E62977" w:rsidRPr="00637B9C" w:rsidRDefault="00E62977" w:rsidP="00E62977">
      <w:pPr>
        <w:pStyle w:val="enumlev1"/>
        <w:rPr>
          <w:lang w:val="en-GB"/>
        </w:rPr>
      </w:pPr>
      <w:r w:rsidRPr="00637B9C">
        <w:rPr>
          <w:lang w:val="en-GB"/>
        </w:rPr>
        <w:tab/>
      </w:r>
      <w:r w:rsidRPr="00637B9C">
        <w:rPr>
          <w:lang w:val="en-GB"/>
        </w:rPr>
        <w:tab/>
        <w:t xml:space="preserve">40.5-42 GHz </w:t>
      </w:r>
      <w:r w:rsidRPr="00637B9C">
        <w:rPr>
          <w:lang w:val="en-GB"/>
        </w:rPr>
        <w:tab/>
      </w:r>
      <w:r w:rsidRPr="00637B9C">
        <w:rPr>
          <w:lang w:val="en-GB"/>
        </w:rPr>
        <w:tab/>
        <w:t>(space-to-Earth) in Region 2,</w:t>
      </w:r>
    </w:p>
    <w:p w:rsidR="00E62977" w:rsidRPr="00637B9C" w:rsidRDefault="00E62977" w:rsidP="00E62977">
      <w:pPr>
        <w:pStyle w:val="enumlev1"/>
        <w:rPr>
          <w:lang w:val="en-GB"/>
        </w:rPr>
      </w:pPr>
      <w:r w:rsidRPr="00637B9C">
        <w:rPr>
          <w:lang w:val="en-GB"/>
        </w:rPr>
        <w:tab/>
      </w:r>
      <w:r w:rsidRPr="00637B9C">
        <w:rPr>
          <w:lang w:val="en-GB"/>
        </w:rPr>
        <w:tab/>
        <w:t xml:space="preserve">47.5-47.9 GHz </w:t>
      </w:r>
      <w:r w:rsidRPr="00637B9C">
        <w:rPr>
          <w:lang w:val="en-GB"/>
        </w:rPr>
        <w:tab/>
      </w:r>
      <w:r w:rsidRPr="00637B9C">
        <w:rPr>
          <w:lang w:val="en-GB"/>
        </w:rPr>
        <w:tab/>
        <w:t>(space-to-Earth) in Region 1,</w:t>
      </w:r>
    </w:p>
    <w:p w:rsidR="00E62977" w:rsidRPr="00637B9C" w:rsidRDefault="00E62977" w:rsidP="00E62977">
      <w:pPr>
        <w:pStyle w:val="enumlev1"/>
        <w:rPr>
          <w:lang w:val="en-GB"/>
        </w:rPr>
      </w:pPr>
      <w:r w:rsidRPr="00637B9C">
        <w:rPr>
          <w:lang w:val="en-GB"/>
        </w:rPr>
        <w:tab/>
      </w:r>
      <w:r w:rsidRPr="00637B9C">
        <w:rPr>
          <w:lang w:val="en-GB"/>
        </w:rPr>
        <w:tab/>
        <w:t xml:space="preserve">48.2-48.54 GHz </w:t>
      </w:r>
      <w:r w:rsidRPr="00637B9C">
        <w:rPr>
          <w:lang w:val="en-GB"/>
        </w:rPr>
        <w:tab/>
      </w:r>
      <w:r w:rsidRPr="00637B9C">
        <w:rPr>
          <w:lang w:val="en-GB"/>
        </w:rPr>
        <w:tab/>
        <w:t>(space-to-Earth) in Region 1,</w:t>
      </w:r>
    </w:p>
    <w:p w:rsidR="00E62977" w:rsidRPr="00637B9C" w:rsidRDefault="00E62977" w:rsidP="00E62977">
      <w:pPr>
        <w:pStyle w:val="enumlev1"/>
        <w:rPr>
          <w:lang w:val="en-GB"/>
        </w:rPr>
      </w:pPr>
      <w:r w:rsidRPr="00637B9C">
        <w:rPr>
          <w:lang w:val="en-GB"/>
        </w:rPr>
        <w:tab/>
      </w:r>
      <w:r w:rsidRPr="00637B9C">
        <w:rPr>
          <w:lang w:val="en-GB"/>
        </w:rPr>
        <w:tab/>
        <w:t xml:space="preserve">49.44-50.2 GHz </w:t>
      </w:r>
      <w:r w:rsidRPr="00637B9C">
        <w:rPr>
          <w:lang w:val="en-GB"/>
        </w:rPr>
        <w:tab/>
      </w:r>
      <w:r w:rsidRPr="00637B9C">
        <w:rPr>
          <w:lang w:val="en-GB"/>
        </w:rPr>
        <w:tab/>
        <w:t>(space-to-Earth) in Region 1,</w:t>
      </w:r>
    </w:p>
    <w:p w:rsidR="00E62977" w:rsidRPr="00637B9C" w:rsidRDefault="00E62977" w:rsidP="00E62977">
      <w:pPr>
        <w:pStyle w:val="enumlev1"/>
        <w:rPr>
          <w:lang w:val="en-GB"/>
        </w:rPr>
      </w:pPr>
      <w:r w:rsidRPr="00637B9C">
        <w:rPr>
          <w:lang w:val="en-GB"/>
        </w:rPr>
        <w:tab/>
      </w:r>
      <w:r w:rsidRPr="00637B9C">
        <w:rPr>
          <w:lang w:val="en-GB"/>
        </w:rPr>
        <w:tab/>
        <w:t>and</w:t>
      </w:r>
    </w:p>
    <w:p w:rsidR="00E62977" w:rsidRPr="00637B9C" w:rsidRDefault="00E62977" w:rsidP="00E62977">
      <w:pPr>
        <w:pStyle w:val="enumlev1"/>
        <w:rPr>
          <w:lang w:val="en-GB"/>
        </w:rPr>
      </w:pPr>
      <w:r w:rsidRPr="00637B9C">
        <w:rPr>
          <w:lang w:val="en-GB"/>
        </w:rPr>
        <w:tab/>
      </w:r>
      <w:r w:rsidRPr="00637B9C">
        <w:rPr>
          <w:lang w:val="en-GB"/>
        </w:rPr>
        <w:tab/>
        <w:t xml:space="preserve">27.5-27.82 GHz </w:t>
      </w:r>
      <w:r w:rsidRPr="00637B9C">
        <w:rPr>
          <w:lang w:val="en-GB"/>
        </w:rPr>
        <w:tab/>
      </w:r>
      <w:r w:rsidRPr="00637B9C">
        <w:rPr>
          <w:lang w:val="en-GB"/>
        </w:rPr>
        <w:tab/>
        <w:t>(Earth-to-space) in Region 1,</w:t>
      </w:r>
    </w:p>
    <w:p w:rsidR="00E62977" w:rsidRPr="00637B9C" w:rsidRDefault="00E62977" w:rsidP="00E62977">
      <w:pPr>
        <w:pStyle w:val="enumlev1"/>
        <w:rPr>
          <w:lang w:val="en-GB"/>
        </w:rPr>
      </w:pPr>
      <w:r w:rsidRPr="00637B9C">
        <w:rPr>
          <w:lang w:val="en-GB"/>
        </w:rPr>
        <w:tab/>
      </w:r>
      <w:r w:rsidRPr="00637B9C">
        <w:rPr>
          <w:lang w:val="en-GB"/>
        </w:rPr>
        <w:tab/>
        <w:t xml:space="preserve">28.35-28.45 GHz </w:t>
      </w:r>
      <w:r w:rsidRPr="00637B9C">
        <w:rPr>
          <w:lang w:val="en-GB"/>
        </w:rPr>
        <w:tab/>
        <w:t>(Earth-to-space) in Region 2,</w:t>
      </w:r>
    </w:p>
    <w:p w:rsidR="00E62977" w:rsidRPr="00637B9C" w:rsidRDefault="00E62977" w:rsidP="00E62977">
      <w:pPr>
        <w:pStyle w:val="enumlev1"/>
        <w:rPr>
          <w:lang w:val="en-GB"/>
        </w:rPr>
      </w:pPr>
      <w:r w:rsidRPr="00637B9C">
        <w:rPr>
          <w:lang w:val="en-GB"/>
        </w:rPr>
        <w:tab/>
      </w:r>
      <w:r w:rsidRPr="00637B9C">
        <w:rPr>
          <w:lang w:val="en-GB"/>
        </w:rPr>
        <w:tab/>
        <w:t xml:space="preserve">28.45-28.94 GHz </w:t>
      </w:r>
      <w:r w:rsidRPr="00637B9C">
        <w:rPr>
          <w:lang w:val="en-GB"/>
        </w:rPr>
        <w:tab/>
        <w:t>(Earth-to-space) in all Regions,</w:t>
      </w:r>
    </w:p>
    <w:p w:rsidR="00E62977" w:rsidRPr="00637B9C" w:rsidRDefault="00E62977" w:rsidP="00E62977">
      <w:pPr>
        <w:pStyle w:val="enumlev1"/>
        <w:rPr>
          <w:lang w:val="en-GB"/>
        </w:rPr>
      </w:pPr>
      <w:r w:rsidRPr="00637B9C">
        <w:rPr>
          <w:lang w:val="en-GB"/>
        </w:rPr>
        <w:tab/>
      </w:r>
      <w:r w:rsidRPr="00637B9C">
        <w:rPr>
          <w:lang w:val="en-GB"/>
        </w:rPr>
        <w:tab/>
        <w:t xml:space="preserve">28.94-29.1 GHz </w:t>
      </w:r>
      <w:r w:rsidRPr="00637B9C">
        <w:rPr>
          <w:lang w:val="en-GB"/>
        </w:rPr>
        <w:tab/>
      </w:r>
      <w:r w:rsidRPr="00637B9C">
        <w:rPr>
          <w:lang w:val="en-GB"/>
        </w:rPr>
        <w:tab/>
        <w:t>(Earth-to-space) in Region 2 and 3,</w:t>
      </w:r>
    </w:p>
    <w:p w:rsidR="00E62977" w:rsidRPr="00637B9C" w:rsidRDefault="00E62977" w:rsidP="00E62977">
      <w:pPr>
        <w:pStyle w:val="enumlev1"/>
        <w:rPr>
          <w:lang w:val="en-GB"/>
        </w:rPr>
      </w:pPr>
      <w:r w:rsidRPr="00637B9C">
        <w:rPr>
          <w:lang w:val="en-GB"/>
        </w:rPr>
        <w:tab/>
      </w:r>
      <w:r w:rsidRPr="00637B9C">
        <w:rPr>
          <w:lang w:val="en-GB"/>
        </w:rPr>
        <w:tab/>
        <w:t xml:space="preserve">29.25-29.46 GHz </w:t>
      </w:r>
      <w:r w:rsidRPr="00637B9C">
        <w:rPr>
          <w:lang w:val="en-GB"/>
        </w:rPr>
        <w:tab/>
        <w:t>(Earth-to-space) in Region 2,</w:t>
      </w:r>
    </w:p>
    <w:p w:rsidR="00E62977" w:rsidRPr="00637B9C" w:rsidRDefault="00E62977" w:rsidP="00E62977">
      <w:pPr>
        <w:pStyle w:val="enumlev1"/>
        <w:rPr>
          <w:lang w:val="en-GB"/>
        </w:rPr>
      </w:pPr>
      <w:r w:rsidRPr="00637B9C">
        <w:rPr>
          <w:lang w:val="en-GB"/>
        </w:rPr>
        <w:tab/>
      </w:r>
      <w:r w:rsidRPr="00637B9C">
        <w:rPr>
          <w:lang w:val="en-GB"/>
        </w:rPr>
        <w:tab/>
        <w:t xml:space="preserve">29.46-30 GHz </w:t>
      </w:r>
      <w:r w:rsidRPr="00637B9C">
        <w:rPr>
          <w:lang w:val="en-GB"/>
        </w:rPr>
        <w:tab/>
      </w:r>
      <w:r w:rsidRPr="00637B9C">
        <w:rPr>
          <w:lang w:val="en-GB"/>
        </w:rPr>
        <w:tab/>
        <w:t>(Earth-to-space) in all Regions,</w:t>
      </w:r>
    </w:p>
    <w:p w:rsidR="00E62977" w:rsidRPr="00637B9C" w:rsidRDefault="00E62977" w:rsidP="00E62977">
      <w:pPr>
        <w:pStyle w:val="enumlev1"/>
        <w:rPr>
          <w:lang w:val="en-GB"/>
        </w:rPr>
      </w:pPr>
      <w:r w:rsidRPr="00637B9C">
        <w:rPr>
          <w:lang w:val="en-GB"/>
        </w:rPr>
        <w:tab/>
      </w:r>
      <w:r w:rsidRPr="00637B9C">
        <w:rPr>
          <w:lang w:val="en-GB"/>
        </w:rPr>
        <w:tab/>
        <w:t xml:space="preserve">48.2-50.2 GHz </w:t>
      </w:r>
      <w:r w:rsidRPr="00637B9C">
        <w:rPr>
          <w:lang w:val="en-GB"/>
        </w:rPr>
        <w:tab/>
      </w:r>
      <w:r w:rsidRPr="00637B9C">
        <w:rPr>
          <w:lang w:val="en-GB"/>
        </w:rPr>
        <w:tab/>
        <w:t>(Earth-to-space) in Region 2.”</w:t>
      </w:r>
    </w:p>
    <w:p w:rsidR="00E62977" w:rsidRPr="00637B9C" w:rsidRDefault="00E62977" w:rsidP="00E62977">
      <w:pPr>
        <w:rPr>
          <w:spacing w:val="-2"/>
          <w:lang w:val="en-GB"/>
        </w:rPr>
      </w:pPr>
      <w:r w:rsidRPr="00637B9C">
        <w:rPr>
          <w:spacing w:val="-2"/>
          <w:lang w:val="en-GB"/>
        </w:rPr>
        <w:t>However, and as reflected in the Final Report on WTDC-14 Resolution 9 approved by WTDC-17, the need for more available spectrum for the operation of user terminals was explicitly noted:</w:t>
      </w:r>
    </w:p>
    <w:p w:rsidR="00E62977" w:rsidRPr="00637B9C" w:rsidRDefault="00E62977" w:rsidP="00E62977">
      <w:pPr>
        <w:pStyle w:val="enumlev1"/>
        <w:rPr>
          <w:i/>
          <w:iCs/>
          <w:lang w:val="en-GB"/>
        </w:rPr>
      </w:pPr>
      <w:r w:rsidRPr="00637B9C">
        <w:rPr>
          <w:lang w:val="en-GB"/>
        </w:rPr>
        <w:tab/>
      </w:r>
      <w:r w:rsidRPr="00637B9C">
        <w:rPr>
          <w:i/>
          <w:iCs/>
          <w:lang w:val="en-GB"/>
        </w:rPr>
        <w:t>“Satellites, with their inherent ability to provide ubiquitous, wide-area coverage, are key to deliver broadband connectivity including in remote and underserved areas. Recent years have seen the deployment of numerous High Throughput Satellite (HTS) systems operating in Ka-band frequencies in the fixed-satellite service (FSS) to provide broadband connectivity directly to end-users over small satellite user terminals. To provide high capacity and high spectrum efficiency, HTS systems implement large numbers of satellite spot beams which allows for high multiples of frequency re-use.</w:t>
      </w:r>
    </w:p>
    <w:p w:rsidR="00E62977" w:rsidRPr="00637B9C" w:rsidRDefault="00E62977" w:rsidP="00E62977">
      <w:pPr>
        <w:pStyle w:val="enumlev1"/>
        <w:rPr>
          <w:i/>
          <w:iCs/>
          <w:lang w:val="en-GB"/>
        </w:rPr>
      </w:pPr>
      <w:r w:rsidRPr="00637B9C">
        <w:rPr>
          <w:i/>
          <w:iCs/>
          <w:lang w:val="en-GB"/>
        </w:rPr>
        <w:tab/>
        <w:t>Within the range of Ka-band FSS frequencies in which HTS systems are generally deployed, there is 500 MHz of spectrum for which satellite services do not share with other primary services in the ITU table of frequency allocations. User terminals operating in these bands can generally be deployed ubiquitously without need for individual coordination of the satellite earth stations.</w:t>
      </w:r>
    </w:p>
    <w:p w:rsidR="00E62977" w:rsidRPr="00637B9C" w:rsidRDefault="00E62977" w:rsidP="00E62977">
      <w:pPr>
        <w:pStyle w:val="enumlev1"/>
        <w:rPr>
          <w:i/>
          <w:iCs/>
          <w:lang w:val="en-GB"/>
        </w:rPr>
      </w:pPr>
      <w:r w:rsidRPr="00637B9C">
        <w:rPr>
          <w:i/>
          <w:iCs/>
          <w:lang w:val="en-GB"/>
        </w:rPr>
        <w:tab/>
        <w:t>However, meeting the ever increasing capacity requirements for broadband connectivity requires that HTS systems deploy ubiquitous end-user terminals in FSS frequencies also in the parts of the Ka-band where satellite services do not have an exclusive primary allocation.”</w:t>
      </w:r>
    </w:p>
    <w:p w:rsidR="00E62977" w:rsidRPr="00637B9C" w:rsidRDefault="00E62977" w:rsidP="00E62977">
      <w:pPr>
        <w:rPr>
          <w:lang w:val="en-GB"/>
        </w:rPr>
      </w:pPr>
      <w:r w:rsidRPr="00637B9C">
        <w:rPr>
          <w:lang w:val="en-GB"/>
        </w:rPr>
        <w:t xml:space="preserve">The report also notes significant progress at certain regional and national levels to make available spectrum beyond that specified in bands identified for HDFSS by RR No. </w:t>
      </w:r>
      <w:r w:rsidRPr="00637B9C">
        <w:rPr>
          <w:rStyle w:val="Artref"/>
          <w:b/>
          <w:bCs/>
          <w:lang w:val="en-GB"/>
        </w:rPr>
        <w:t>5.516B</w:t>
      </w:r>
      <w:r w:rsidRPr="00637B9C">
        <w:rPr>
          <w:lang w:val="en-GB"/>
        </w:rPr>
        <w:t xml:space="preserve"> for satellite user terminals operating in the 20/30 GHz FSS allocations.</w:t>
      </w:r>
    </w:p>
    <w:p w:rsidR="00E62977" w:rsidRPr="00637B9C" w:rsidRDefault="00E62977" w:rsidP="00E62977">
      <w:pPr>
        <w:rPr>
          <w:lang w:val="en-GB"/>
        </w:rPr>
      </w:pPr>
      <w:r w:rsidRPr="00637B9C">
        <w:rPr>
          <w:lang w:val="en-GB"/>
        </w:rPr>
        <w:t>And indeed mainly HTS and VHTS systems currently under development and construction are designed to implement, where feasible, HDFSS user terminals in the Ka-band beyond the bands identified above.</w:t>
      </w:r>
    </w:p>
    <w:p w:rsidR="00E62977" w:rsidRPr="00637B9C" w:rsidRDefault="00E62977" w:rsidP="00E62977">
      <w:pPr>
        <w:rPr>
          <w:lang w:val="en-GB"/>
        </w:rPr>
      </w:pPr>
      <w:r w:rsidRPr="00637B9C">
        <w:rPr>
          <w:lang w:val="en-GB"/>
        </w:rPr>
        <w:t>Note that similar considerations for operation of HDFSS operation of user terminals in the 40/50 GHz bands are also ongoing.</w:t>
      </w:r>
    </w:p>
    <w:p w:rsidR="00E62977" w:rsidRPr="00637B9C" w:rsidRDefault="00E62977" w:rsidP="00E62977">
      <w:pPr>
        <w:pStyle w:val="Heading1"/>
        <w:rPr>
          <w:lang w:val="en-GB"/>
        </w:rPr>
      </w:pPr>
      <w:r w:rsidRPr="00637B9C">
        <w:rPr>
          <w:lang w:val="en-GB"/>
        </w:rPr>
        <w:t>2</w:t>
      </w:r>
      <w:r w:rsidRPr="00637B9C">
        <w:rPr>
          <w:lang w:val="en-GB"/>
        </w:rPr>
        <w:tab/>
        <w:t>Possible technical characteristics</w:t>
      </w:r>
    </w:p>
    <w:p w:rsidR="00E62977" w:rsidRPr="00637B9C" w:rsidRDefault="00E62977" w:rsidP="00E62977">
      <w:pPr>
        <w:rPr>
          <w:lang w:val="en-GB"/>
        </w:rPr>
      </w:pPr>
      <w:r w:rsidRPr="00637B9C">
        <w:rPr>
          <w:lang w:val="en-GB"/>
        </w:rPr>
        <w:t>Looking at the 20/30 GHz bands, where much of the development of HTS satellites to provide regional and global broadband Internet access has occurred to date, the technical evolution in HTS systems is indeed significant.</w:t>
      </w:r>
    </w:p>
    <w:p w:rsidR="00E62977" w:rsidRPr="00637B9C" w:rsidRDefault="00E62977" w:rsidP="00E62977">
      <w:pPr>
        <w:rPr>
          <w:lang w:val="en-GB"/>
        </w:rPr>
      </w:pPr>
      <w:r w:rsidRPr="00637B9C">
        <w:rPr>
          <w:lang w:val="en-GB"/>
        </w:rPr>
        <w:t>Number of beams per satellite has increased from 32 beams to hundreds of beams, where now a typical value for the many HTS deployments operating in 20/30 GHz today is on the order of 200 beam and above per satellite.</w:t>
      </w:r>
    </w:p>
    <w:p w:rsidR="00E62977" w:rsidRPr="00637B9C" w:rsidRDefault="00E62977" w:rsidP="00E62977">
      <w:pPr>
        <w:rPr>
          <w:lang w:val="en-GB"/>
        </w:rPr>
      </w:pPr>
      <w:r w:rsidRPr="00637B9C">
        <w:rPr>
          <w:lang w:val="en-GB"/>
        </w:rPr>
        <w:t>Net capacity per satellite has increased from 5 Gbit/s to many tens of Gbit/s, where a typical value for today’s HTS deployments is now specified in hundreds of Gbit/s per satellite. Looking only slightly ahead, planned VHTS system deployments in 20/30 GHz, some of which are currently in construction, will soon be providing terabit/s capacity in a single GSO/FSS satellite.</w:t>
      </w:r>
    </w:p>
    <w:p w:rsidR="00E62977" w:rsidRPr="00637B9C" w:rsidRDefault="00E62977" w:rsidP="00E62977">
      <w:pPr>
        <w:rPr>
          <w:lang w:val="en-GB"/>
        </w:rPr>
      </w:pPr>
      <w:r w:rsidRPr="00637B9C">
        <w:rPr>
          <w:lang w:val="en-GB"/>
        </w:rPr>
        <w:t>Proportional advances in the 11/12 GHz band are also observed in today’s satellites providing broadband connectivity, while the future satellites in the 40/50 GHz bands will of course employ proportional levels of advancement in the technology.</w:t>
      </w:r>
    </w:p>
    <w:p w:rsidR="00E62977" w:rsidRPr="00637B9C" w:rsidRDefault="00E62977" w:rsidP="00E62977">
      <w:pPr>
        <w:rPr>
          <w:lang w:val="en-GB"/>
        </w:rPr>
      </w:pPr>
      <w:r w:rsidRPr="00637B9C">
        <w:rPr>
          <w:lang w:val="en-GB"/>
        </w:rPr>
        <w:t>An updated overview of the technical characteristics of these systems are described in the sections below</w:t>
      </w:r>
      <w:r w:rsidRPr="00637B9C">
        <w:rPr>
          <w:i/>
          <w:lang w:val="en-GB"/>
        </w:rPr>
        <w:t>.</w:t>
      </w:r>
    </w:p>
    <w:p w:rsidR="00E62977" w:rsidRPr="00637B9C" w:rsidRDefault="00E62977" w:rsidP="00E62977">
      <w:pPr>
        <w:pStyle w:val="Heading2"/>
        <w:rPr>
          <w:lang w:val="en-GB"/>
        </w:rPr>
      </w:pPr>
      <w:r w:rsidRPr="00637B9C">
        <w:rPr>
          <w:lang w:val="en-GB"/>
        </w:rPr>
        <w:t>2.1</w:t>
      </w:r>
      <w:r w:rsidRPr="00637B9C">
        <w:rPr>
          <w:lang w:val="en-GB"/>
        </w:rPr>
        <w:tab/>
        <w:t>Satellite beams</w:t>
      </w:r>
    </w:p>
    <w:p w:rsidR="00E62977" w:rsidRPr="00637B9C" w:rsidRDefault="00E62977" w:rsidP="00E62977">
      <w:pPr>
        <w:rPr>
          <w:lang w:val="en-GB"/>
        </w:rPr>
      </w:pPr>
      <w:r w:rsidRPr="00637B9C">
        <w:rPr>
          <w:lang w:val="en-GB"/>
        </w:rPr>
        <w:t>Table 1 gives an indication of the dimensions of spot-beams likely to be available either now or in the near future. The parameters are selected as bases for the characterization of the user links of suitable satellite systems. It is assumed here that, for operational convenience, the satellite antenna sub</w:t>
      </w:r>
      <w:r w:rsidRPr="00637B9C">
        <w:rPr>
          <w:lang w:val="en-GB"/>
        </w:rPr>
        <w:noBreakHyphen/>
        <w:t>systems will be designed so that each pair of transmit and receive beams have the same beamwidths and their footprints have the same fixed positions on the Earth’s surface.</w:t>
      </w:r>
    </w:p>
    <w:p w:rsidR="00E62977" w:rsidRPr="00637B9C" w:rsidRDefault="00E62977" w:rsidP="00E62977">
      <w:pPr>
        <w:pStyle w:val="TableNo"/>
        <w:rPr>
          <w:lang w:val="en-GB"/>
        </w:rPr>
      </w:pPr>
      <w:r w:rsidRPr="00637B9C">
        <w:rPr>
          <w:lang w:val="en-GB"/>
        </w:rPr>
        <w:t xml:space="preserve">TABLE </w:t>
      </w:r>
      <w:r w:rsidRPr="00637B9C">
        <w:rPr>
          <w:szCs w:val="24"/>
          <w:lang w:val="en-GB"/>
        </w:rPr>
        <w:t>1</w:t>
      </w:r>
    </w:p>
    <w:p w:rsidR="00E62977" w:rsidRPr="00637B9C" w:rsidRDefault="00E62977" w:rsidP="00E62977">
      <w:pPr>
        <w:pStyle w:val="Tabletitle"/>
        <w:rPr>
          <w:lang w:val="en-GB"/>
        </w:rPr>
      </w:pPr>
      <w:r w:rsidRPr="00637B9C">
        <w:rPr>
          <w:lang w:val="en-GB"/>
        </w:rPr>
        <w:t>Satellite spot-beam characteristics selected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38"/>
        <w:gridCol w:w="1558"/>
        <w:gridCol w:w="1417"/>
        <w:gridCol w:w="1416"/>
      </w:tblGrid>
      <w:tr w:rsidR="00E62977" w:rsidRPr="008938F0" w:rsidTr="00E031CC">
        <w:trPr>
          <w:jc w:val="center"/>
        </w:trPr>
        <w:tc>
          <w:tcPr>
            <w:tcW w:w="5245" w:type="dxa"/>
            <w:tcMar>
              <w:top w:w="0" w:type="dxa"/>
              <w:left w:w="108" w:type="dxa"/>
              <w:bottom w:w="0" w:type="dxa"/>
              <w:right w:w="108" w:type="dxa"/>
            </w:tcMar>
            <w:hideMark/>
          </w:tcPr>
          <w:p w:rsidR="00E62977" w:rsidRPr="008938F0" w:rsidRDefault="00E62977" w:rsidP="00E031CC">
            <w:pPr>
              <w:pStyle w:val="Tabletext"/>
            </w:pPr>
            <w:r w:rsidRPr="008938F0">
              <w:t>FSS frequency range</w:t>
            </w:r>
          </w:p>
        </w:tc>
        <w:tc>
          <w:tcPr>
            <w:tcW w:w="1559" w:type="dxa"/>
            <w:tcMar>
              <w:top w:w="0" w:type="dxa"/>
              <w:left w:w="108" w:type="dxa"/>
              <w:bottom w:w="0" w:type="dxa"/>
              <w:right w:w="108" w:type="dxa"/>
            </w:tcMar>
            <w:hideMark/>
          </w:tcPr>
          <w:p w:rsidR="00E62977" w:rsidRPr="008938F0" w:rsidRDefault="00E62977" w:rsidP="00E031CC">
            <w:pPr>
              <w:pStyle w:val="Tabletext"/>
              <w:jc w:val="center"/>
            </w:pPr>
            <w:r w:rsidRPr="008938F0">
              <w:t>11/14 GHz</w:t>
            </w:r>
          </w:p>
        </w:tc>
        <w:tc>
          <w:tcPr>
            <w:tcW w:w="1418" w:type="dxa"/>
            <w:tcMar>
              <w:top w:w="0" w:type="dxa"/>
              <w:left w:w="108" w:type="dxa"/>
              <w:bottom w:w="0" w:type="dxa"/>
              <w:right w:w="108" w:type="dxa"/>
            </w:tcMar>
            <w:hideMark/>
          </w:tcPr>
          <w:p w:rsidR="00E62977" w:rsidRPr="008938F0" w:rsidRDefault="00E62977" w:rsidP="00E031CC">
            <w:pPr>
              <w:pStyle w:val="Tabletext"/>
              <w:jc w:val="center"/>
            </w:pPr>
            <w:r w:rsidRPr="008938F0">
              <w:t>20/30 GHz</w:t>
            </w:r>
          </w:p>
        </w:tc>
        <w:tc>
          <w:tcPr>
            <w:tcW w:w="1417" w:type="dxa"/>
            <w:tcMar>
              <w:top w:w="0" w:type="dxa"/>
              <w:left w:w="108" w:type="dxa"/>
              <w:bottom w:w="0" w:type="dxa"/>
              <w:right w:w="108" w:type="dxa"/>
            </w:tcMar>
            <w:hideMark/>
          </w:tcPr>
          <w:p w:rsidR="00E62977" w:rsidRPr="008938F0" w:rsidRDefault="00E62977" w:rsidP="00E031CC">
            <w:pPr>
              <w:pStyle w:val="Tabletext"/>
              <w:jc w:val="center"/>
            </w:pPr>
            <w:r w:rsidRPr="008938F0">
              <w:t>40/50 GHz</w:t>
            </w:r>
          </w:p>
        </w:tc>
      </w:tr>
      <w:tr w:rsidR="00E62977" w:rsidRPr="008938F0" w:rsidTr="00E031CC">
        <w:trPr>
          <w:jc w:val="center"/>
        </w:trPr>
        <w:tc>
          <w:tcPr>
            <w:tcW w:w="5245" w:type="dxa"/>
            <w:tcMar>
              <w:top w:w="0" w:type="dxa"/>
              <w:left w:w="108" w:type="dxa"/>
              <w:bottom w:w="0" w:type="dxa"/>
              <w:right w:w="108" w:type="dxa"/>
            </w:tcMar>
            <w:hideMark/>
          </w:tcPr>
          <w:p w:rsidR="00E62977" w:rsidRPr="00637B9C" w:rsidRDefault="00E62977" w:rsidP="00E031CC">
            <w:pPr>
              <w:pStyle w:val="Tabletext"/>
              <w:rPr>
                <w:lang w:val="en-GB"/>
              </w:rPr>
            </w:pPr>
            <w:r w:rsidRPr="00637B9C">
              <w:rPr>
                <w:lang w:val="en-GB"/>
              </w:rPr>
              <w:t>Gain at beam centre (dBi)</w:t>
            </w:r>
          </w:p>
        </w:tc>
        <w:tc>
          <w:tcPr>
            <w:tcW w:w="1559" w:type="dxa"/>
            <w:tcMar>
              <w:top w:w="0" w:type="dxa"/>
              <w:left w:w="108" w:type="dxa"/>
              <w:bottom w:w="0" w:type="dxa"/>
              <w:right w:w="108" w:type="dxa"/>
            </w:tcMar>
            <w:hideMark/>
          </w:tcPr>
          <w:p w:rsidR="00E62977" w:rsidRPr="008938F0" w:rsidRDefault="00E62977" w:rsidP="00E031CC">
            <w:pPr>
              <w:pStyle w:val="Tabletext"/>
              <w:jc w:val="center"/>
            </w:pPr>
            <w:r w:rsidRPr="008938F0">
              <w:t>44-46</w:t>
            </w:r>
          </w:p>
        </w:tc>
        <w:tc>
          <w:tcPr>
            <w:tcW w:w="1418" w:type="dxa"/>
            <w:tcMar>
              <w:top w:w="0" w:type="dxa"/>
              <w:left w:w="108" w:type="dxa"/>
              <w:bottom w:w="0" w:type="dxa"/>
              <w:right w:w="108" w:type="dxa"/>
            </w:tcMar>
            <w:hideMark/>
          </w:tcPr>
          <w:p w:rsidR="00E62977" w:rsidRPr="008938F0" w:rsidRDefault="00E62977" w:rsidP="00E031CC">
            <w:pPr>
              <w:pStyle w:val="Tabletext"/>
              <w:jc w:val="center"/>
            </w:pPr>
            <w:r w:rsidRPr="008938F0">
              <w:t>50-53</w:t>
            </w:r>
          </w:p>
        </w:tc>
        <w:tc>
          <w:tcPr>
            <w:tcW w:w="1417" w:type="dxa"/>
            <w:tcMar>
              <w:top w:w="0" w:type="dxa"/>
              <w:left w:w="108" w:type="dxa"/>
              <w:bottom w:w="0" w:type="dxa"/>
              <w:right w:w="108" w:type="dxa"/>
            </w:tcMar>
            <w:hideMark/>
          </w:tcPr>
          <w:p w:rsidR="00E62977" w:rsidRPr="008938F0" w:rsidRDefault="00E62977" w:rsidP="00E031CC">
            <w:pPr>
              <w:pStyle w:val="Tabletext"/>
              <w:jc w:val="center"/>
            </w:pPr>
            <w:r w:rsidRPr="008938F0">
              <w:t>55-58</w:t>
            </w:r>
          </w:p>
        </w:tc>
      </w:tr>
      <w:tr w:rsidR="00E62977" w:rsidRPr="008938F0" w:rsidTr="00E031CC">
        <w:trPr>
          <w:jc w:val="center"/>
        </w:trPr>
        <w:tc>
          <w:tcPr>
            <w:tcW w:w="5245" w:type="dxa"/>
            <w:tcMar>
              <w:top w:w="0" w:type="dxa"/>
              <w:left w:w="108" w:type="dxa"/>
              <w:bottom w:w="0" w:type="dxa"/>
              <w:right w:w="108" w:type="dxa"/>
            </w:tcMar>
            <w:hideMark/>
          </w:tcPr>
          <w:p w:rsidR="00E62977" w:rsidRPr="008938F0" w:rsidRDefault="00E62977" w:rsidP="00E031CC">
            <w:pPr>
              <w:pStyle w:val="Tabletext"/>
            </w:pPr>
            <w:r w:rsidRPr="008938F0">
              <w:t>−3 dB beamwidth (degrees)</w:t>
            </w:r>
          </w:p>
        </w:tc>
        <w:tc>
          <w:tcPr>
            <w:tcW w:w="1559" w:type="dxa"/>
            <w:tcMar>
              <w:top w:w="0" w:type="dxa"/>
              <w:left w:w="108" w:type="dxa"/>
              <w:bottom w:w="0" w:type="dxa"/>
              <w:right w:w="108" w:type="dxa"/>
            </w:tcMar>
            <w:hideMark/>
          </w:tcPr>
          <w:p w:rsidR="00E62977" w:rsidRPr="008938F0" w:rsidRDefault="00E62977" w:rsidP="00E031CC">
            <w:pPr>
              <w:pStyle w:val="Tabletext"/>
              <w:jc w:val="center"/>
            </w:pPr>
            <w:r w:rsidRPr="008938F0">
              <w:t>0.8-1.0</w:t>
            </w:r>
          </w:p>
        </w:tc>
        <w:tc>
          <w:tcPr>
            <w:tcW w:w="1418" w:type="dxa"/>
            <w:tcMar>
              <w:top w:w="0" w:type="dxa"/>
              <w:left w:w="108" w:type="dxa"/>
              <w:bottom w:w="0" w:type="dxa"/>
              <w:right w:w="108" w:type="dxa"/>
            </w:tcMar>
            <w:hideMark/>
          </w:tcPr>
          <w:p w:rsidR="00E62977" w:rsidRPr="008938F0" w:rsidRDefault="00E62977" w:rsidP="00E031CC">
            <w:pPr>
              <w:pStyle w:val="Tabletext"/>
              <w:jc w:val="center"/>
            </w:pPr>
            <w:r w:rsidRPr="008938F0">
              <w:t>0.3-0.4</w:t>
            </w:r>
          </w:p>
        </w:tc>
        <w:tc>
          <w:tcPr>
            <w:tcW w:w="1417" w:type="dxa"/>
            <w:tcMar>
              <w:top w:w="0" w:type="dxa"/>
              <w:left w:w="108" w:type="dxa"/>
              <w:bottom w:w="0" w:type="dxa"/>
              <w:right w:w="108" w:type="dxa"/>
            </w:tcMar>
            <w:hideMark/>
          </w:tcPr>
          <w:p w:rsidR="00E62977" w:rsidRPr="008938F0" w:rsidRDefault="00E62977" w:rsidP="00E031CC">
            <w:pPr>
              <w:pStyle w:val="Tabletext"/>
              <w:jc w:val="center"/>
            </w:pPr>
            <w:r w:rsidRPr="008938F0">
              <w:t>0.2</w:t>
            </w:r>
          </w:p>
        </w:tc>
      </w:tr>
      <w:tr w:rsidR="00E62977" w:rsidRPr="008938F0" w:rsidTr="00E031CC">
        <w:trPr>
          <w:jc w:val="center"/>
        </w:trPr>
        <w:tc>
          <w:tcPr>
            <w:tcW w:w="5245" w:type="dxa"/>
            <w:tcMar>
              <w:top w:w="0" w:type="dxa"/>
              <w:left w:w="108" w:type="dxa"/>
              <w:bottom w:w="0" w:type="dxa"/>
              <w:right w:w="108" w:type="dxa"/>
            </w:tcMar>
            <w:hideMark/>
          </w:tcPr>
          <w:p w:rsidR="00E62977" w:rsidRPr="00637B9C" w:rsidRDefault="00E62977" w:rsidP="00E031CC">
            <w:pPr>
              <w:pStyle w:val="Tabletext"/>
              <w:rPr>
                <w:lang w:val="en-GB"/>
              </w:rPr>
            </w:pPr>
            <w:r w:rsidRPr="00637B9C">
              <w:rPr>
                <w:lang w:val="en-GB"/>
              </w:rPr>
              <w:t>Number (</w:t>
            </w:r>
            <w:r w:rsidRPr="00637B9C">
              <w:rPr>
                <w:i/>
                <w:iCs/>
                <w:lang w:val="en-GB"/>
              </w:rPr>
              <w:t>n</w:t>
            </w:r>
            <w:r w:rsidRPr="00637B9C">
              <w:rPr>
                <w:lang w:val="en-GB"/>
              </w:rPr>
              <w:t>) of dual-polar transmit/receive beams per satellite</w:t>
            </w:r>
          </w:p>
        </w:tc>
        <w:tc>
          <w:tcPr>
            <w:tcW w:w="1559" w:type="dxa"/>
            <w:tcMar>
              <w:top w:w="0" w:type="dxa"/>
              <w:left w:w="108" w:type="dxa"/>
              <w:bottom w:w="0" w:type="dxa"/>
              <w:right w:w="108" w:type="dxa"/>
            </w:tcMar>
            <w:hideMark/>
          </w:tcPr>
          <w:p w:rsidR="00E62977" w:rsidRPr="008938F0" w:rsidRDefault="00E62977" w:rsidP="00E031CC">
            <w:pPr>
              <w:pStyle w:val="Tabletext"/>
              <w:jc w:val="center"/>
            </w:pPr>
            <w:r w:rsidRPr="008938F0">
              <w:t>80-140</w:t>
            </w:r>
          </w:p>
        </w:tc>
        <w:tc>
          <w:tcPr>
            <w:tcW w:w="1418" w:type="dxa"/>
            <w:tcMar>
              <w:top w:w="0" w:type="dxa"/>
              <w:left w:w="108" w:type="dxa"/>
              <w:bottom w:w="0" w:type="dxa"/>
              <w:right w:w="108" w:type="dxa"/>
            </w:tcMar>
            <w:hideMark/>
          </w:tcPr>
          <w:p w:rsidR="00E62977" w:rsidRPr="008938F0" w:rsidRDefault="00E62977" w:rsidP="00E031CC">
            <w:pPr>
              <w:pStyle w:val="Tabletext"/>
              <w:jc w:val="center"/>
            </w:pPr>
            <w:r w:rsidRPr="008938F0">
              <w:t>200-400</w:t>
            </w:r>
          </w:p>
        </w:tc>
        <w:tc>
          <w:tcPr>
            <w:tcW w:w="1417" w:type="dxa"/>
            <w:tcMar>
              <w:top w:w="0" w:type="dxa"/>
              <w:left w:w="108" w:type="dxa"/>
              <w:bottom w:w="0" w:type="dxa"/>
              <w:right w:w="108" w:type="dxa"/>
            </w:tcMar>
            <w:hideMark/>
          </w:tcPr>
          <w:p w:rsidR="00E62977" w:rsidRPr="008938F0" w:rsidRDefault="00E62977" w:rsidP="00E031CC">
            <w:pPr>
              <w:pStyle w:val="Tabletext"/>
              <w:jc w:val="center"/>
            </w:pPr>
            <w:r w:rsidRPr="008938F0">
              <w:t>&gt;</w:t>
            </w:r>
            <w:r w:rsidR="006043D8">
              <w:t xml:space="preserve"> </w:t>
            </w:r>
            <w:r w:rsidRPr="008938F0">
              <w:t>500</w:t>
            </w:r>
          </w:p>
        </w:tc>
      </w:tr>
    </w:tbl>
    <w:p w:rsidR="00E62977" w:rsidRPr="008938F0" w:rsidRDefault="00E62977" w:rsidP="00E62977">
      <w:pPr>
        <w:pStyle w:val="Tablefin"/>
      </w:pPr>
    </w:p>
    <w:p w:rsidR="00E62977" w:rsidRPr="00637B9C" w:rsidRDefault="00E62977" w:rsidP="00E62977">
      <w:pPr>
        <w:rPr>
          <w:sz w:val="16"/>
          <w:lang w:val="en-GB"/>
        </w:rPr>
      </w:pPr>
      <w:r w:rsidRPr="00637B9C">
        <w:rPr>
          <w:lang w:val="en-GB"/>
        </w:rPr>
        <w:t>In the light of spacecraft development in recent years it is reasonable to assume antenna feed arrangements that compensate for the curvature of the Earth’s surface to enable all beams generated by a given satellite to have circular footprints of the same diameter regardless of pointing direction. Thus, with the exception of a beam pointing at the sub-satellite point, each beam will have an approximately elliptical cross-section, and its axial ratio and orientation will depend on its pointing direction relative to the direction of the sub-satellite point. The beamwidths of the major (</w:t>
      </w:r>
      <w:r w:rsidRPr="008938F0">
        <w:sym w:font="Symbol" w:char="F06A"/>
      </w:r>
      <w:r w:rsidRPr="00637B9C">
        <w:rPr>
          <w:i/>
          <w:iCs/>
          <w:vertAlign w:val="subscript"/>
          <w:lang w:val="en-GB"/>
        </w:rPr>
        <w:t>a</w:t>
      </w:r>
      <w:r w:rsidRPr="00637B9C">
        <w:rPr>
          <w:lang w:val="en-GB"/>
        </w:rPr>
        <w:t>) and minor (</w:t>
      </w:r>
      <w:r w:rsidRPr="008938F0">
        <w:sym w:font="Symbol" w:char="F06A"/>
      </w:r>
      <w:r w:rsidRPr="00637B9C">
        <w:rPr>
          <w:i/>
          <w:iCs/>
          <w:vertAlign w:val="subscript"/>
          <w:lang w:val="en-GB"/>
        </w:rPr>
        <w:t>b</w:t>
      </w:r>
      <w:r w:rsidRPr="00637B9C">
        <w:rPr>
          <w:lang w:val="en-GB"/>
        </w:rPr>
        <w:t>) axes will be such that ((</w:t>
      </w:r>
      <w:r w:rsidRPr="008938F0">
        <w:sym w:font="Symbol" w:char="F06A"/>
      </w:r>
      <w:r w:rsidRPr="00637B9C">
        <w:rPr>
          <w:i/>
          <w:iCs/>
          <w:vertAlign w:val="subscript"/>
          <w:lang w:val="en-GB"/>
        </w:rPr>
        <w:t>a</w:t>
      </w:r>
      <w:r w:rsidRPr="00637B9C">
        <w:rPr>
          <w:lang w:val="en-GB"/>
        </w:rPr>
        <w:t>)</w:t>
      </w:r>
      <w:r w:rsidRPr="008938F0">
        <w:sym w:font="Symbol" w:char="F0D7"/>
      </w:r>
      <w:r w:rsidRPr="00637B9C">
        <w:rPr>
          <w:lang w:val="en-GB"/>
        </w:rPr>
        <w:t>(</w:t>
      </w:r>
      <w:r w:rsidRPr="008938F0">
        <w:sym w:font="Symbol" w:char="F06A"/>
      </w:r>
      <w:r w:rsidRPr="00637B9C">
        <w:rPr>
          <w:i/>
          <w:iCs/>
          <w:vertAlign w:val="subscript"/>
          <w:lang w:val="en-GB"/>
        </w:rPr>
        <w:t>b</w:t>
      </w:r>
      <w:r w:rsidRPr="00637B9C">
        <w:rPr>
          <w:lang w:val="en-GB"/>
        </w:rPr>
        <w:t>))</w:t>
      </w:r>
      <w:r w:rsidRPr="00637B9C">
        <w:rPr>
          <w:vertAlign w:val="superscript"/>
          <w:lang w:val="en-GB"/>
        </w:rPr>
        <w:t>0.5</w:t>
      </w:r>
      <w:r w:rsidRPr="00637B9C">
        <w:rPr>
          <w:lang w:val="en-GB"/>
        </w:rPr>
        <w:t> = (</w:t>
      </w:r>
      <w:r w:rsidRPr="008938F0">
        <w:sym w:font="Symbol" w:char="F06A"/>
      </w:r>
      <w:r w:rsidRPr="00637B9C">
        <w:rPr>
          <w:vertAlign w:val="subscript"/>
          <w:lang w:val="en-GB"/>
        </w:rPr>
        <w:t>0</w:t>
      </w:r>
      <w:r w:rsidRPr="00637B9C">
        <w:rPr>
          <w:lang w:val="en-GB"/>
        </w:rPr>
        <w:t>), where (</w:t>
      </w:r>
      <w:r w:rsidRPr="008938F0">
        <w:sym w:font="Symbol" w:char="F06A"/>
      </w:r>
      <w:r w:rsidRPr="00637B9C">
        <w:rPr>
          <w:vertAlign w:val="subscript"/>
          <w:lang w:val="en-GB"/>
        </w:rPr>
        <w:t>0</w:t>
      </w:r>
      <w:r w:rsidRPr="00637B9C">
        <w:rPr>
          <w:lang w:val="en-GB"/>
        </w:rPr>
        <w:t>) is the −3 dB beamwidth of the (circular) beam pointing to the sub-satellite point.</w:t>
      </w:r>
    </w:p>
    <w:p w:rsidR="00E62977" w:rsidRPr="00637B9C" w:rsidRDefault="00E62977" w:rsidP="00E62977">
      <w:pPr>
        <w:rPr>
          <w:lang w:val="en-GB"/>
        </w:rPr>
      </w:pPr>
      <w:r w:rsidRPr="00637B9C">
        <w:rPr>
          <w:lang w:val="en-GB"/>
        </w:rPr>
        <w:t>For continuous coverage via multiple beams with circular footprints a hexagonal pattern of overlaps may be assumed, as in Fig. 1.</w:t>
      </w:r>
    </w:p>
    <w:p w:rsidR="00E62977" w:rsidRPr="00637B9C" w:rsidRDefault="00E62977" w:rsidP="00E62977">
      <w:pPr>
        <w:pStyle w:val="FigureNo"/>
        <w:rPr>
          <w:lang w:val="en-GB"/>
        </w:rPr>
      </w:pPr>
      <w:r w:rsidRPr="00637B9C">
        <w:rPr>
          <w:lang w:val="en-GB"/>
        </w:rPr>
        <w:t>Figure 1</w:t>
      </w:r>
    </w:p>
    <w:p w:rsidR="00E62977" w:rsidRPr="008938F0" w:rsidRDefault="00E62977" w:rsidP="00E62977">
      <w:pPr>
        <w:pStyle w:val="Figuretitle"/>
        <w:rPr>
          <w:lang w:val="en-GB"/>
        </w:rPr>
      </w:pPr>
      <w:r w:rsidRPr="008938F0">
        <w:rPr>
          <w:lang w:val="en-GB"/>
        </w:rPr>
        <w:t>Hexagonal pattern for footprints of overlapping satellite beams</w:t>
      </w:r>
    </w:p>
    <w:p w:rsidR="00E62977" w:rsidRPr="008938F0" w:rsidRDefault="00CA41B0" w:rsidP="00E62977">
      <w:pPr>
        <w:pStyle w:val="Figure"/>
        <w:rPr>
          <w:lang w:val="en-GB"/>
        </w:rPr>
      </w:pPr>
      <w:r>
        <w:rPr>
          <w:noProof/>
          <w:lang w:val="en-GB" w:eastAsia="en-GB"/>
        </w:rPr>
        <w:drawing>
          <wp:inline distT="0" distB="0" distL="0" distR="0">
            <wp:extent cx="5364491" cy="4529337"/>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1782-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4491" cy="4529337"/>
                    </a:xfrm>
                    <a:prstGeom prst="rect">
                      <a:avLst/>
                    </a:prstGeom>
                  </pic:spPr>
                </pic:pic>
              </a:graphicData>
            </a:graphic>
          </wp:inline>
        </w:drawing>
      </w:r>
    </w:p>
    <w:p w:rsidR="00E62977" w:rsidRPr="00637B9C" w:rsidRDefault="00E62977" w:rsidP="00E62977">
      <w:pPr>
        <w:pStyle w:val="Normalaftertitle"/>
        <w:rPr>
          <w:lang w:val="en-GB"/>
        </w:rPr>
      </w:pPr>
      <w:r w:rsidRPr="00637B9C">
        <w:rPr>
          <w:lang w:val="en-GB"/>
        </w:rPr>
        <w:t>A one-in-four frequency reuse pattern is shown in Fig. 1, and each beam is assumed to be dual</w:t>
      </w:r>
      <w:r w:rsidRPr="00637B9C">
        <w:rPr>
          <w:lang w:val="en-GB"/>
        </w:rPr>
        <w:noBreakHyphen/>
        <w:t>polarized. Given practicable rates of roll-off and first-sidelobe levels such as those described by the equations in Recommendation ITU</w:t>
      </w:r>
      <w:r w:rsidRPr="00637B9C">
        <w:rPr>
          <w:lang w:val="en-GB"/>
        </w:rPr>
        <w:noBreakHyphen/>
        <w:t xml:space="preserve">R S.672, the discrimination between the centre of a beam and the nearest edge of the next co-frequency beam should be just about adequate to support this mode of operation. For example, at point “o” at the edge of one of the hexagonal areas served by a frequency </w:t>
      </w:r>
      <w:r w:rsidRPr="00637B9C">
        <w:rPr>
          <w:i/>
          <w:lang w:val="en-GB"/>
        </w:rPr>
        <w:t>f</w:t>
      </w:r>
      <w:r w:rsidRPr="00637B9C">
        <w:rPr>
          <w:vertAlign w:val="subscript"/>
          <w:lang w:val="en-GB"/>
        </w:rPr>
        <w:t>2</w:t>
      </w:r>
      <w:r w:rsidRPr="00637B9C">
        <w:rPr>
          <w:lang w:val="en-GB"/>
        </w:rPr>
        <w:t xml:space="preserve"> beam, the interference contributions from the nearest six co-frequency beams can be calculated from the off-axis angles oa, ob, oc, od, oe, and og, subtended at the satellite. From the geometry of the diagram:</w:t>
      </w:r>
    </w:p>
    <w:p w:rsidR="00E62977" w:rsidRPr="00637B9C" w:rsidRDefault="00E62977" w:rsidP="00E62977">
      <w:pPr>
        <w:pStyle w:val="Equation"/>
        <w:rPr>
          <w:lang w:val="en-GB"/>
        </w:rPr>
      </w:pPr>
      <w:r w:rsidRPr="00637B9C">
        <w:rPr>
          <w:lang w:val="en-GB"/>
        </w:rPr>
        <w:tab/>
      </w:r>
      <w:r w:rsidRPr="00637B9C">
        <w:rPr>
          <w:lang w:val="en-GB"/>
        </w:rPr>
        <w:tab/>
        <w:t>oa = 5(</w:t>
      </w:r>
      <w:r w:rsidRPr="008938F0">
        <w:sym w:font="Symbol" w:char="F06A"/>
      </w:r>
      <w:r w:rsidRPr="00637B9C">
        <w:rPr>
          <w:vertAlign w:val="subscript"/>
          <w:lang w:val="en-GB"/>
        </w:rPr>
        <w:t>0</w:t>
      </w:r>
      <w:r w:rsidRPr="00637B9C">
        <w:rPr>
          <w:lang w:val="en-GB"/>
        </w:rPr>
        <w:t>/2) </w:t>
      </w:r>
      <w:r w:rsidRPr="008938F0">
        <w:sym w:font="Symbol" w:char="F0D7"/>
      </w:r>
      <w:r w:rsidRPr="00637B9C">
        <w:rPr>
          <w:lang w:val="en-GB"/>
        </w:rPr>
        <w:t> cos(30</w:t>
      </w:r>
      <w:r w:rsidRPr="008938F0">
        <w:sym w:font="Symbol" w:char="F0B0"/>
      </w:r>
      <w:r w:rsidRPr="00637B9C">
        <w:rPr>
          <w:lang w:val="en-GB"/>
        </w:rPr>
        <w:t>) = 2.165(</w:t>
      </w:r>
      <w:r w:rsidRPr="008938F0">
        <w:sym w:font="Symbol" w:char="F06A"/>
      </w:r>
      <w:r w:rsidRPr="00637B9C">
        <w:rPr>
          <w:vertAlign w:val="subscript"/>
          <w:lang w:val="en-GB"/>
        </w:rPr>
        <w:t>0</w:t>
      </w:r>
      <w:r w:rsidRPr="00637B9C">
        <w:rPr>
          <w:lang w:val="en-GB"/>
        </w:rPr>
        <w:t>)</w:t>
      </w:r>
    </w:p>
    <w:p w:rsidR="00E62977" w:rsidRPr="00637B9C" w:rsidRDefault="00E62977" w:rsidP="00E62977">
      <w:pPr>
        <w:pStyle w:val="Equation"/>
        <w:rPr>
          <w:lang w:val="en-GB"/>
        </w:rPr>
      </w:pPr>
      <w:r w:rsidRPr="00637B9C">
        <w:rPr>
          <w:lang w:val="en-GB"/>
        </w:rPr>
        <w:tab/>
      </w:r>
      <w:r w:rsidRPr="00637B9C">
        <w:rPr>
          <w:lang w:val="en-GB"/>
        </w:rPr>
        <w:tab/>
        <w:t>ob = og = ({2(</w:t>
      </w:r>
      <w:r w:rsidRPr="008938F0">
        <w:sym w:font="Symbol" w:char="F06A"/>
      </w:r>
      <w:r w:rsidRPr="00637B9C">
        <w:rPr>
          <w:vertAlign w:val="subscript"/>
          <w:lang w:val="en-GB"/>
        </w:rPr>
        <w:t>0</w:t>
      </w:r>
      <w:r w:rsidRPr="00637B9C">
        <w:rPr>
          <w:lang w:val="en-GB"/>
        </w:rPr>
        <w:t xml:space="preserve">/4) + </w:t>
      </w:r>
      <w:r w:rsidRPr="008938F0">
        <w:sym w:font="Symbol" w:char="F06A"/>
      </w:r>
      <w:r w:rsidRPr="00637B9C">
        <w:rPr>
          <w:vertAlign w:val="subscript"/>
          <w:lang w:val="en-GB"/>
        </w:rPr>
        <w:t>0</w:t>
      </w:r>
      <w:r w:rsidRPr="00637B9C">
        <w:rPr>
          <w:lang w:val="en-GB"/>
        </w:rPr>
        <w:t>}</w:t>
      </w:r>
      <w:r w:rsidRPr="00637B9C">
        <w:rPr>
          <w:vertAlign w:val="superscript"/>
          <w:lang w:val="en-GB"/>
        </w:rPr>
        <w:t>2</w:t>
      </w:r>
      <w:r w:rsidRPr="00637B9C">
        <w:rPr>
          <w:lang w:val="en-GB"/>
        </w:rPr>
        <w:t xml:space="preserve"> + {3(</w:t>
      </w:r>
      <w:r w:rsidRPr="008938F0">
        <w:sym w:font="Symbol" w:char="F06A"/>
      </w:r>
      <w:r w:rsidRPr="00637B9C">
        <w:rPr>
          <w:vertAlign w:val="subscript"/>
          <w:lang w:val="en-GB"/>
        </w:rPr>
        <w:t>0</w:t>
      </w:r>
      <w:r w:rsidRPr="00637B9C">
        <w:rPr>
          <w:lang w:val="en-GB"/>
        </w:rPr>
        <w:t>/2) </w:t>
      </w:r>
      <w:r w:rsidRPr="008938F0">
        <w:sym w:font="Symbol" w:char="F0D7"/>
      </w:r>
      <w:r w:rsidRPr="00637B9C">
        <w:rPr>
          <w:lang w:val="en-GB"/>
        </w:rPr>
        <w:t> cos(30</w:t>
      </w:r>
      <w:r w:rsidRPr="008938F0">
        <w:sym w:font="Symbol" w:char="F0B0"/>
      </w:r>
      <w:r w:rsidRPr="00637B9C">
        <w:rPr>
          <w:lang w:val="en-GB"/>
        </w:rPr>
        <w:t>)}</w:t>
      </w:r>
      <w:r w:rsidRPr="00637B9C">
        <w:rPr>
          <w:vertAlign w:val="superscript"/>
          <w:lang w:val="en-GB"/>
        </w:rPr>
        <w:t>2</w:t>
      </w:r>
      <w:r w:rsidRPr="00637B9C">
        <w:rPr>
          <w:lang w:val="en-GB"/>
        </w:rPr>
        <w:t>)</w:t>
      </w:r>
      <w:r w:rsidRPr="00637B9C">
        <w:rPr>
          <w:vertAlign w:val="superscript"/>
          <w:lang w:val="en-GB"/>
        </w:rPr>
        <w:t>0.5</w:t>
      </w:r>
      <w:r w:rsidRPr="00637B9C">
        <w:rPr>
          <w:lang w:val="en-GB"/>
        </w:rPr>
        <w:t> = 1.984(</w:t>
      </w:r>
      <w:r w:rsidRPr="008938F0">
        <w:sym w:font="Symbol" w:char="F06A"/>
      </w:r>
      <w:r w:rsidRPr="00637B9C">
        <w:rPr>
          <w:vertAlign w:val="subscript"/>
          <w:lang w:val="en-GB"/>
        </w:rPr>
        <w:t>0</w:t>
      </w:r>
      <w:r w:rsidRPr="00637B9C">
        <w:rPr>
          <w:lang w:val="en-GB"/>
        </w:rPr>
        <w:t>)</w:t>
      </w:r>
    </w:p>
    <w:p w:rsidR="00E62977" w:rsidRPr="00637B9C" w:rsidRDefault="00E62977" w:rsidP="00E62977">
      <w:pPr>
        <w:pStyle w:val="Equation"/>
        <w:rPr>
          <w:lang w:val="en-GB"/>
        </w:rPr>
      </w:pPr>
      <w:r w:rsidRPr="00637B9C">
        <w:rPr>
          <w:lang w:val="en-GB"/>
        </w:rPr>
        <w:tab/>
      </w:r>
      <w:r w:rsidRPr="00637B9C">
        <w:rPr>
          <w:lang w:val="en-GB"/>
        </w:rPr>
        <w:tab/>
        <w:t>oc = oe = ({(</w:t>
      </w:r>
      <w:r w:rsidRPr="008938F0">
        <w:sym w:font="Symbol" w:char="F06A"/>
      </w:r>
      <w:r w:rsidRPr="00637B9C">
        <w:rPr>
          <w:vertAlign w:val="subscript"/>
          <w:lang w:val="en-GB"/>
        </w:rPr>
        <w:t>0</w:t>
      </w:r>
      <w:r w:rsidRPr="00637B9C">
        <w:rPr>
          <w:lang w:val="en-GB"/>
        </w:rPr>
        <w:t>/2) </w:t>
      </w:r>
      <w:r w:rsidRPr="008938F0">
        <w:sym w:font="Symbol" w:char="F0D7"/>
      </w:r>
      <w:r w:rsidRPr="00637B9C">
        <w:rPr>
          <w:lang w:val="en-GB"/>
        </w:rPr>
        <w:t> cos(30</w:t>
      </w:r>
      <w:r w:rsidRPr="008938F0">
        <w:sym w:font="Symbol" w:char="F0B0"/>
      </w:r>
      <w:r w:rsidRPr="00637B9C">
        <w:rPr>
          <w:lang w:val="en-GB"/>
        </w:rPr>
        <w:t>)}</w:t>
      </w:r>
      <w:r w:rsidRPr="00637B9C">
        <w:rPr>
          <w:vertAlign w:val="superscript"/>
          <w:lang w:val="en-GB"/>
        </w:rPr>
        <w:t>2</w:t>
      </w:r>
      <w:r w:rsidRPr="00637B9C">
        <w:rPr>
          <w:lang w:val="en-GB"/>
        </w:rPr>
        <w:t xml:space="preserve"> + {2(</w:t>
      </w:r>
      <w:r w:rsidRPr="008938F0">
        <w:sym w:font="Symbol" w:char="F06A"/>
      </w:r>
      <w:r w:rsidRPr="00637B9C">
        <w:rPr>
          <w:vertAlign w:val="subscript"/>
          <w:lang w:val="en-GB"/>
        </w:rPr>
        <w:t>0</w:t>
      </w:r>
      <w:r w:rsidRPr="00637B9C">
        <w:rPr>
          <w:lang w:val="en-GB"/>
        </w:rPr>
        <w:t xml:space="preserve">/4) + </w:t>
      </w:r>
      <w:r w:rsidRPr="008938F0">
        <w:sym w:font="Symbol" w:char="F06A"/>
      </w:r>
      <w:r w:rsidRPr="00637B9C">
        <w:rPr>
          <w:vertAlign w:val="subscript"/>
          <w:lang w:val="en-GB"/>
        </w:rPr>
        <w:t>0</w:t>
      </w:r>
      <w:r w:rsidRPr="00637B9C">
        <w:rPr>
          <w:lang w:val="en-GB"/>
        </w:rPr>
        <w:t>}</w:t>
      </w:r>
      <w:r w:rsidRPr="00637B9C">
        <w:rPr>
          <w:vertAlign w:val="superscript"/>
          <w:lang w:val="en-GB"/>
        </w:rPr>
        <w:t>2</w:t>
      </w:r>
      <w:r w:rsidRPr="00637B9C">
        <w:rPr>
          <w:lang w:val="en-GB"/>
        </w:rPr>
        <w:t>)</w:t>
      </w:r>
      <w:r w:rsidRPr="00637B9C">
        <w:rPr>
          <w:vertAlign w:val="superscript"/>
          <w:lang w:val="en-GB"/>
        </w:rPr>
        <w:t>0.5</w:t>
      </w:r>
      <w:r w:rsidRPr="00637B9C">
        <w:rPr>
          <w:lang w:val="en-GB"/>
        </w:rPr>
        <w:t> = 1.561(</w:t>
      </w:r>
      <w:r w:rsidRPr="008938F0">
        <w:sym w:font="Symbol" w:char="F06A"/>
      </w:r>
      <w:r w:rsidRPr="00637B9C">
        <w:rPr>
          <w:vertAlign w:val="subscript"/>
          <w:lang w:val="en-GB"/>
        </w:rPr>
        <w:t>0</w:t>
      </w:r>
      <w:r w:rsidRPr="00637B9C">
        <w:rPr>
          <w:lang w:val="en-GB"/>
        </w:rPr>
        <w:t>) and</w:t>
      </w:r>
    </w:p>
    <w:p w:rsidR="00E62977" w:rsidRPr="00637B9C" w:rsidRDefault="00E62977" w:rsidP="00E62977">
      <w:pPr>
        <w:pStyle w:val="Equation"/>
        <w:rPr>
          <w:lang w:val="en-GB"/>
        </w:rPr>
      </w:pPr>
      <w:r w:rsidRPr="00637B9C">
        <w:rPr>
          <w:lang w:val="en-GB"/>
        </w:rPr>
        <w:tab/>
      </w:r>
      <w:r w:rsidRPr="00637B9C">
        <w:rPr>
          <w:lang w:val="en-GB"/>
        </w:rPr>
        <w:tab/>
        <w:t>od = 3(</w:t>
      </w:r>
      <w:r w:rsidRPr="008938F0">
        <w:sym w:font="Symbol" w:char="F06A"/>
      </w:r>
      <w:r w:rsidRPr="00637B9C">
        <w:rPr>
          <w:vertAlign w:val="subscript"/>
          <w:lang w:val="en-GB"/>
        </w:rPr>
        <w:t>0</w:t>
      </w:r>
      <w:r w:rsidRPr="00637B9C">
        <w:rPr>
          <w:lang w:val="en-GB"/>
        </w:rPr>
        <w:t>/2) </w:t>
      </w:r>
      <w:r w:rsidRPr="008938F0">
        <w:sym w:font="Symbol" w:char="F0D7"/>
      </w:r>
      <w:r w:rsidRPr="00637B9C">
        <w:rPr>
          <w:lang w:val="en-GB"/>
        </w:rPr>
        <w:t> cos(30</w:t>
      </w:r>
      <w:r w:rsidRPr="008938F0">
        <w:sym w:font="Symbol" w:char="F0B0"/>
      </w:r>
      <w:r w:rsidRPr="00637B9C">
        <w:rPr>
          <w:lang w:val="en-GB"/>
        </w:rPr>
        <w:t>) = 1.299(</w:t>
      </w:r>
      <w:r w:rsidRPr="008938F0">
        <w:sym w:font="Symbol" w:char="F06A"/>
      </w:r>
      <w:r w:rsidRPr="00637B9C">
        <w:rPr>
          <w:vertAlign w:val="subscript"/>
          <w:lang w:val="en-GB"/>
        </w:rPr>
        <w:t>0</w:t>
      </w:r>
      <w:r w:rsidRPr="00637B9C">
        <w:rPr>
          <w:lang w:val="en-GB"/>
        </w:rPr>
        <w:t>)</w:t>
      </w:r>
    </w:p>
    <w:p w:rsidR="00E62977" w:rsidRPr="00637B9C" w:rsidRDefault="00E62977" w:rsidP="00F5218D">
      <w:pPr>
        <w:pStyle w:val="FigureNo"/>
        <w:rPr>
          <w:lang w:val="en-GB"/>
        </w:rPr>
      </w:pPr>
      <w:r w:rsidRPr="00637B9C">
        <w:rPr>
          <w:lang w:val="en-GB"/>
        </w:rPr>
        <w:t>FIGURE 2</w:t>
      </w:r>
    </w:p>
    <w:p w:rsidR="00E62977" w:rsidRDefault="00E62977" w:rsidP="00E62977">
      <w:pPr>
        <w:pStyle w:val="Figuretitle"/>
        <w:rPr>
          <w:lang w:val="en-GB"/>
        </w:rPr>
      </w:pPr>
      <w:r w:rsidRPr="008938F0">
        <w:rPr>
          <w:lang w:val="en-GB"/>
        </w:rPr>
        <w:t>Examples of beam arrangements for FSS satellites that could provide high-speed Internet access</w:t>
      </w:r>
      <w:r w:rsidRPr="008938F0">
        <w:rPr>
          <w:lang w:val="en-GB"/>
        </w:rPr>
        <w:br/>
        <w:t>in the 11/14 GHz bands and 20/30 GHz bands</w:t>
      </w:r>
    </w:p>
    <w:p w:rsidR="00CA41B0" w:rsidRPr="00CA41B0" w:rsidRDefault="00CA41B0" w:rsidP="00CA41B0">
      <w:pPr>
        <w:pStyle w:val="Figure"/>
        <w:rPr>
          <w:lang w:val="en-GB"/>
        </w:rPr>
      </w:pPr>
      <w:r>
        <w:rPr>
          <w:noProof/>
          <w:lang w:val="en-GB" w:eastAsia="en-GB"/>
        </w:rPr>
        <w:drawing>
          <wp:inline distT="0" distB="0" distL="0" distR="0">
            <wp:extent cx="2531745" cy="6120765"/>
            <wp:effectExtent l="0" t="381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782-02e.p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31745" cy="6120765"/>
                    </a:xfrm>
                    <a:prstGeom prst="rect">
                      <a:avLst/>
                    </a:prstGeom>
                  </pic:spPr>
                </pic:pic>
              </a:graphicData>
            </a:graphic>
          </wp:inline>
        </w:drawing>
      </w:r>
    </w:p>
    <w:p w:rsidR="00E62977" w:rsidRPr="00637B9C" w:rsidRDefault="00E62977" w:rsidP="00F5218D">
      <w:pPr>
        <w:pStyle w:val="Normalaftertitle"/>
        <w:rPr>
          <w:sz w:val="16"/>
          <w:lang w:val="en-GB"/>
        </w:rPr>
      </w:pPr>
      <w:r w:rsidRPr="00637B9C">
        <w:rPr>
          <w:lang w:val="en-GB"/>
        </w:rPr>
        <w:t>By reference to Recommendation ITU</w:t>
      </w:r>
      <w:r w:rsidRPr="00637B9C">
        <w:rPr>
          <w:lang w:val="en-GB"/>
        </w:rPr>
        <w:noBreakHyphen/>
        <w:t>R S.672 concerning simple circular and elliptical beams it is seen that, if the first sidelobe gain is 25 dB below peak gain then, assuming the same e.i.r.p. at each beam centre and assuming that the co-to-cross-polar ratio of each beam is also 25 dB, the net carrier-to-frequency reuse interference ratio is given by:</w:t>
      </w:r>
    </w:p>
    <w:p w:rsidR="00E62977" w:rsidRPr="00637B9C" w:rsidRDefault="00E62977" w:rsidP="00E62977">
      <w:pPr>
        <w:pStyle w:val="Equation"/>
        <w:rPr>
          <w:sz w:val="16"/>
          <w:lang w:val="en-GB"/>
        </w:rPr>
      </w:pPr>
      <w:r w:rsidRPr="00637B9C">
        <w:rPr>
          <w:lang w:val="en-GB"/>
        </w:rPr>
        <w:tab/>
      </w:r>
      <w:r w:rsidRPr="00637B9C">
        <w:rPr>
          <w:lang w:val="en-GB"/>
        </w:rPr>
        <w:tab/>
        <w:t>(</w:t>
      </w:r>
      <w:r w:rsidRPr="00637B9C">
        <w:rPr>
          <w:bCs/>
          <w:i/>
          <w:lang w:val="en-GB"/>
        </w:rPr>
        <w:t>C</w:t>
      </w:r>
      <w:r w:rsidRPr="00637B9C">
        <w:rPr>
          <w:lang w:val="en-GB"/>
        </w:rPr>
        <w:t>/</w:t>
      </w:r>
      <w:r w:rsidRPr="00637B9C">
        <w:rPr>
          <w:i/>
          <w:iCs/>
          <w:lang w:val="en-GB"/>
        </w:rPr>
        <w:t>I</w:t>
      </w:r>
      <w:r w:rsidRPr="00637B9C">
        <w:rPr>
          <w:lang w:val="en-GB"/>
        </w:rPr>
        <w:t>)</w:t>
      </w:r>
      <w:r w:rsidRPr="00637B9C">
        <w:rPr>
          <w:i/>
          <w:iCs/>
          <w:vertAlign w:val="subscript"/>
          <w:lang w:val="en-GB"/>
        </w:rPr>
        <w:t>FR</w:t>
      </w:r>
      <w:r w:rsidRPr="00637B9C">
        <w:rPr>
          <w:lang w:val="en-GB"/>
        </w:rPr>
        <w:t> = −10 log(7{10</w:t>
      </w:r>
      <w:r w:rsidRPr="00637B9C">
        <w:rPr>
          <w:vertAlign w:val="superscript"/>
          <w:lang w:val="en-GB"/>
        </w:rPr>
        <w:t>−(25/10)</w:t>
      </w:r>
      <w:r w:rsidRPr="00637B9C">
        <w:rPr>
          <w:lang w:val="en-GB"/>
        </w:rPr>
        <w:t>}) = 16.5 dB</w:t>
      </w:r>
    </w:p>
    <w:p w:rsidR="00E62977" w:rsidRPr="00637B9C" w:rsidRDefault="00E62977" w:rsidP="00E62977">
      <w:pPr>
        <w:rPr>
          <w:sz w:val="16"/>
          <w:lang w:val="en-GB"/>
        </w:rPr>
      </w:pPr>
      <w:r w:rsidRPr="00637B9C">
        <w:rPr>
          <w:lang w:val="en-GB"/>
        </w:rPr>
        <w:t>In practice (</w:t>
      </w:r>
      <w:r w:rsidRPr="00637B9C">
        <w:rPr>
          <w:i/>
          <w:iCs/>
          <w:lang w:val="en-GB"/>
        </w:rPr>
        <w:t>C</w:t>
      </w:r>
      <w:r w:rsidRPr="00637B9C">
        <w:rPr>
          <w:lang w:val="en-GB"/>
        </w:rPr>
        <w:t>/</w:t>
      </w:r>
      <w:r w:rsidRPr="00637B9C">
        <w:rPr>
          <w:i/>
          <w:iCs/>
          <w:lang w:val="en-GB"/>
        </w:rPr>
        <w:t>I</w:t>
      </w:r>
      <w:r w:rsidRPr="00637B9C">
        <w:rPr>
          <w:lang w:val="en-GB"/>
        </w:rPr>
        <w:t>)</w:t>
      </w:r>
      <w:r w:rsidRPr="00637B9C">
        <w:rPr>
          <w:i/>
          <w:iCs/>
          <w:vertAlign w:val="subscript"/>
          <w:lang w:val="en-GB"/>
        </w:rPr>
        <w:t>FR</w:t>
      </w:r>
      <w:r w:rsidRPr="00637B9C">
        <w:rPr>
          <w:lang w:val="en-GB"/>
        </w:rPr>
        <w:t xml:space="preserve"> is likely to be rather higher than this, because not all six contributions are likely to correspond to sidelobe peaks.</w:t>
      </w:r>
    </w:p>
    <w:p w:rsidR="00E62977" w:rsidRPr="00637B9C" w:rsidRDefault="00E62977" w:rsidP="00E62977">
      <w:pPr>
        <w:rPr>
          <w:lang w:val="en-GB"/>
        </w:rPr>
      </w:pPr>
      <w:r w:rsidRPr="00637B9C">
        <w:rPr>
          <w:lang w:val="en-GB"/>
        </w:rPr>
        <w:t>Examples of the coverages of geostationary satellites having the beam arrangements summarized in Table 1 are illustrated in Fig. 2. It may be noted that the overall coverage reduces roughly in inverse proportion to frequency.</w:t>
      </w:r>
    </w:p>
    <w:p w:rsidR="00E62977" w:rsidRPr="00637B9C" w:rsidRDefault="00E62977" w:rsidP="00E62977">
      <w:pPr>
        <w:rPr>
          <w:lang w:val="en-GB"/>
        </w:rPr>
      </w:pPr>
    </w:p>
    <w:p w:rsidR="00E62977" w:rsidRPr="00637B9C" w:rsidRDefault="00E62977" w:rsidP="00E62977">
      <w:pPr>
        <w:rPr>
          <w:lang w:val="en-GB"/>
        </w:rPr>
      </w:pPr>
    </w:p>
    <w:p w:rsidR="00E62977" w:rsidRPr="008938F0" w:rsidRDefault="00E62977" w:rsidP="00E62977">
      <w:pPr>
        <w:pStyle w:val="AnnexNoTitle"/>
        <w:rPr>
          <w:lang w:val="en-GB"/>
        </w:rPr>
      </w:pPr>
      <w:r w:rsidRPr="008938F0">
        <w:rPr>
          <w:lang w:val="en-GB"/>
        </w:rPr>
        <w:t>Annex 2</w:t>
      </w:r>
      <w:r w:rsidRPr="008938F0">
        <w:rPr>
          <w:lang w:val="en-GB"/>
        </w:rPr>
        <w:br/>
      </w:r>
      <w:r w:rsidRPr="008938F0">
        <w:rPr>
          <w:lang w:val="en-GB"/>
        </w:rPr>
        <w:br/>
        <w:t xml:space="preserve">Global broadband Internet access by current and next generation FSS systems </w:t>
      </w:r>
      <w:r>
        <w:rPr>
          <w:rFonts w:ascii="Times New Roman Bold" w:hAnsi="Times New Roman Bold"/>
          <w:lang w:val="en-GB"/>
        </w:rPr>
        <w:br/>
      </w:r>
      <w:r w:rsidRPr="008938F0">
        <w:rPr>
          <w:lang w:val="en-GB"/>
        </w:rPr>
        <w:t xml:space="preserve">Example of global broadband Internet access by an FSS system designed for small Ka-Band </w:t>
      </w:r>
      <w:r w:rsidR="006043D8">
        <w:rPr>
          <w:lang w:val="en-GB"/>
        </w:rPr>
        <w:t>Consumer earth station antennas</w:t>
      </w:r>
    </w:p>
    <w:p w:rsidR="00E62977" w:rsidRPr="00637B9C" w:rsidRDefault="00E62977" w:rsidP="00E62977">
      <w:pPr>
        <w:pStyle w:val="Heading1"/>
        <w:rPr>
          <w:lang w:val="en-GB"/>
        </w:rPr>
      </w:pPr>
      <w:r w:rsidRPr="00637B9C">
        <w:rPr>
          <w:lang w:val="en-GB"/>
        </w:rPr>
        <w:t>1</w:t>
      </w:r>
      <w:r w:rsidRPr="00637B9C">
        <w:rPr>
          <w:lang w:val="en-GB"/>
        </w:rPr>
        <w:tab/>
        <w:t>General</w:t>
      </w:r>
    </w:p>
    <w:p w:rsidR="00E62977" w:rsidRPr="00637B9C" w:rsidRDefault="00E62977" w:rsidP="00E62977">
      <w:pPr>
        <w:rPr>
          <w:lang w:val="en-GB"/>
        </w:rPr>
      </w:pPr>
      <w:r w:rsidRPr="00637B9C">
        <w:rPr>
          <w:lang w:val="en-GB"/>
        </w:rPr>
        <w:t>For the present example the scope is to make use of low-cost consumer terminals developed for large scale deployment. State-of-the-art user terminals operating at Ka-band and capable of transmitting and receiving the whole of the Ka-band spectrum are used. The objective is to provide a system offering the best economics based on a cost per bit/s metrics.</w:t>
      </w:r>
    </w:p>
    <w:p w:rsidR="00E62977" w:rsidRPr="00637B9C" w:rsidRDefault="00E62977" w:rsidP="00E62977">
      <w:pPr>
        <w:rPr>
          <w:lang w:val="en-GB"/>
        </w:rPr>
      </w:pPr>
      <w:r w:rsidRPr="00637B9C">
        <w:rPr>
          <w:lang w:val="en-GB"/>
        </w:rPr>
        <w:t>A Star Network topology is assumed, terminals transmitting to the satellite in Ka-band, their signal being re-transmitted to gateways in Q-band, and gateways transmitting in V-band, their signals being re-transmitted in Ka-band to the User terminals.</w:t>
      </w:r>
    </w:p>
    <w:p w:rsidR="00E62977" w:rsidRPr="00637B9C" w:rsidRDefault="00E62977" w:rsidP="00E62977">
      <w:pPr>
        <w:rPr>
          <w:szCs w:val="24"/>
          <w:lang w:val="en-GB"/>
        </w:rPr>
      </w:pPr>
      <w:r w:rsidRPr="00637B9C">
        <w:rPr>
          <w:lang w:val="en-GB"/>
        </w:rPr>
        <w:t>This implementation is the object of several FSS systems currently under construction for service launch in the next two to three years.</w:t>
      </w:r>
    </w:p>
    <w:p w:rsidR="00E62977" w:rsidRPr="00637B9C" w:rsidRDefault="00E62977" w:rsidP="00E62977">
      <w:pPr>
        <w:pStyle w:val="Heading1"/>
        <w:rPr>
          <w:lang w:val="en-GB"/>
        </w:rPr>
      </w:pPr>
      <w:r w:rsidRPr="00637B9C">
        <w:rPr>
          <w:rFonts w:ascii="Times New Roman Bold" w:hAnsi="Times New Roman Bold"/>
          <w:lang w:val="en-GB"/>
        </w:rPr>
        <w:t>2</w:t>
      </w:r>
      <w:r w:rsidRPr="00637B9C">
        <w:rPr>
          <w:lang w:val="en-GB"/>
        </w:rPr>
        <w:tab/>
        <w:t>Frequency band considerations</w:t>
      </w:r>
    </w:p>
    <w:p w:rsidR="00E62977" w:rsidRPr="00637B9C" w:rsidRDefault="00E62977" w:rsidP="00E62977">
      <w:pPr>
        <w:rPr>
          <w:lang w:val="en-GB"/>
        </w:rPr>
      </w:pPr>
      <w:r w:rsidRPr="00637B9C">
        <w:rPr>
          <w:lang w:val="en-GB"/>
        </w:rPr>
        <w:t>With regard to the identification of FSS frequency bands suitable for this application in this case the use of the full Ka-band is assumed for the users:</w:t>
      </w:r>
    </w:p>
    <w:p w:rsidR="00E62977" w:rsidRPr="00637B9C" w:rsidRDefault="00E62977" w:rsidP="00E62977">
      <w:pPr>
        <w:pStyle w:val="enumlev1"/>
        <w:rPr>
          <w:lang w:val="en-GB"/>
        </w:rPr>
      </w:pPr>
      <w:r w:rsidRPr="00637B9C">
        <w:rPr>
          <w:lang w:val="en-GB"/>
        </w:rPr>
        <w:t>–</w:t>
      </w:r>
      <w:r w:rsidRPr="00637B9C">
        <w:rPr>
          <w:lang w:val="en-GB"/>
        </w:rPr>
        <w:tab/>
        <w:t>Transmission within 27.5-30.0 GHz;</w:t>
      </w:r>
    </w:p>
    <w:p w:rsidR="00E62977" w:rsidRPr="00637B9C" w:rsidRDefault="00E62977" w:rsidP="00E62977">
      <w:pPr>
        <w:pStyle w:val="enumlev1"/>
        <w:rPr>
          <w:lang w:val="en-GB"/>
        </w:rPr>
      </w:pPr>
      <w:r w:rsidRPr="00637B9C">
        <w:rPr>
          <w:lang w:val="en-GB"/>
        </w:rPr>
        <w:t>–</w:t>
      </w:r>
      <w:r w:rsidRPr="00637B9C">
        <w:rPr>
          <w:lang w:val="en-GB"/>
        </w:rPr>
        <w:tab/>
        <w:t>Reception within 17.3-20.2 GHz.</w:t>
      </w:r>
    </w:p>
    <w:p w:rsidR="00E62977" w:rsidRPr="00637B9C" w:rsidRDefault="00E62977" w:rsidP="00E62977">
      <w:pPr>
        <w:rPr>
          <w:lang w:val="en-GB"/>
        </w:rPr>
      </w:pPr>
      <w:r w:rsidRPr="00637B9C">
        <w:rPr>
          <w:lang w:val="en-GB"/>
        </w:rPr>
        <w:t>In line with ongoing studies, it is assumed that the sharing of these bands with FS services is made possible on a non-interfering basis, the terminals having ‘cognitive’ functions making them and the System aware of the interference environment.</w:t>
      </w:r>
    </w:p>
    <w:p w:rsidR="00E62977" w:rsidRPr="00637B9C" w:rsidRDefault="00E62977" w:rsidP="00E62977">
      <w:pPr>
        <w:rPr>
          <w:lang w:val="en-GB"/>
        </w:rPr>
      </w:pPr>
      <w:r w:rsidRPr="00637B9C">
        <w:rPr>
          <w:lang w:val="en-GB"/>
        </w:rPr>
        <w:t>In order to feed the terminals, and considering the huge demand of bandwidth, the Gateways use V</w:t>
      </w:r>
      <w:r w:rsidRPr="00637B9C">
        <w:rPr>
          <w:lang w:val="en-GB"/>
        </w:rPr>
        <w:noBreakHyphen/>
        <w:t>band for transmission (Feeder-to-Satellite) and Q-band for reception (Satellite-to-Feeder):</w:t>
      </w:r>
    </w:p>
    <w:p w:rsidR="00E62977" w:rsidRPr="00637B9C" w:rsidRDefault="00E62977" w:rsidP="00E62977">
      <w:pPr>
        <w:pStyle w:val="enumlev1"/>
        <w:rPr>
          <w:lang w:val="en-GB"/>
        </w:rPr>
      </w:pPr>
      <w:r w:rsidRPr="00637B9C">
        <w:rPr>
          <w:lang w:val="en-GB"/>
        </w:rPr>
        <w:t>–</w:t>
      </w:r>
      <w:r w:rsidRPr="00637B9C">
        <w:rPr>
          <w:lang w:val="en-GB"/>
        </w:rPr>
        <w:tab/>
        <w:t>Transmission in the 47.2-50.2 GHz and in the 50.4-51.4 GHz (V-band);</w:t>
      </w:r>
    </w:p>
    <w:p w:rsidR="00E62977" w:rsidRPr="00637B9C" w:rsidRDefault="00E62977" w:rsidP="00E62977">
      <w:pPr>
        <w:pStyle w:val="enumlev1"/>
        <w:rPr>
          <w:lang w:val="en-GB"/>
        </w:rPr>
      </w:pPr>
      <w:r w:rsidRPr="00637B9C">
        <w:rPr>
          <w:lang w:val="en-GB"/>
        </w:rPr>
        <w:t>–</w:t>
      </w:r>
      <w:r w:rsidRPr="00637B9C">
        <w:rPr>
          <w:lang w:val="en-GB"/>
        </w:rPr>
        <w:tab/>
        <w:t>Reception in the 37.5-40.4 GHz (Q-Band).</w:t>
      </w:r>
    </w:p>
    <w:p w:rsidR="00E62977" w:rsidRPr="00637B9C" w:rsidRDefault="00E62977" w:rsidP="005B71D4">
      <w:pPr>
        <w:rPr>
          <w:spacing w:val="-2"/>
          <w:lang w:val="en-GB"/>
        </w:rPr>
      </w:pPr>
      <w:r w:rsidRPr="00637B9C">
        <w:rPr>
          <w:spacing w:val="-2"/>
          <w:lang w:val="en-GB"/>
        </w:rPr>
        <w:t>Such Frequency Plan is illustrated in Fig. 3 for the Forward Link (Gateway</w:t>
      </w:r>
      <w:r w:rsidRPr="00637B9C">
        <w:rPr>
          <w:lang w:val="en-GB"/>
        </w:rPr>
        <w:t>-to-User Terminal) and in Fig. 4 for the Return Link (User Terminal-to-Gateway)</w:t>
      </w:r>
      <w:r w:rsidRPr="00637B9C">
        <w:rPr>
          <w:spacing w:val="-2"/>
          <w:lang w:val="en-GB"/>
        </w:rPr>
        <w:t>.</w:t>
      </w:r>
    </w:p>
    <w:p w:rsidR="00E62977" w:rsidRPr="00637B9C" w:rsidRDefault="00E62977" w:rsidP="00E62977">
      <w:pPr>
        <w:pStyle w:val="FigureNo"/>
        <w:rPr>
          <w:lang w:val="en-GB"/>
        </w:rPr>
      </w:pPr>
      <w:r w:rsidRPr="00637B9C">
        <w:rPr>
          <w:lang w:val="en-GB"/>
        </w:rPr>
        <w:t>Figure 3</w:t>
      </w:r>
    </w:p>
    <w:p w:rsidR="00E62977" w:rsidRPr="008938F0" w:rsidRDefault="00E62977" w:rsidP="00E62977">
      <w:pPr>
        <w:pStyle w:val="Figuretitle"/>
        <w:rPr>
          <w:lang w:val="en-GB"/>
        </w:rPr>
      </w:pPr>
      <w:r w:rsidRPr="008938F0">
        <w:rPr>
          <w:spacing w:val="-2"/>
          <w:lang w:val="en-GB"/>
        </w:rPr>
        <w:t xml:space="preserve">Forward Link Frequency Plan for </w:t>
      </w:r>
      <w:r w:rsidRPr="008938F0">
        <w:rPr>
          <w:lang w:val="en-GB"/>
        </w:rPr>
        <w:t>broadband Internet access by an FSS system</w:t>
      </w:r>
      <w:r w:rsidRPr="008938F0">
        <w:rPr>
          <w:lang w:val="en-GB"/>
        </w:rPr>
        <w:br/>
        <w:t xml:space="preserve">designed for small Ka-Band </w:t>
      </w:r>
      <w:r w:rsidR="006043D8">
        <w:rPr>
          <w:lang w:val="en-GB"/>
        </w:rPr>
        <w:t>Consumer earth station antennas</w:t>
      </w:r>
    </w:p>
    <w:p w:rsidR="00E62977" w:rsidRPr="008938F0" w:rsidRDefault="00C44EE4" w:rsidP="00E62977">
      <w:pPr>
        <w:pStyle w:val="Figure"/>
        <w:rPr>
          <w:lang w:val="en-GB"/>
        </w:rPr>
      </w:pPr>
      <w:r>
        <w:rPr>
          <w:noProof/>
          <w:lang w:val="en-GB" w:eastAsia="en-GB"/>
        </w:rPr>
        <w:drawing>
          <wp:inline distT="0" distB="0" distL="0" distR="0">
            <wp:extent cx="4154432" cy="19659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782-03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4432" cy="1965964"/>
                    </a:xfrm>
                    <a:prstGeom prst="rect">
                      <a:avLst/>
                    </a:prstGeom>
                  </pic:spPr>
                </pic:pic>
              </a:graphicData>
            </a:graphic>
          </wp:inline>
        </w:drawing>
      </w:r>
    </w:p>
    <w:p w:rsidR="00E62977" w:rsidRPr="00637B9C" w:rsidRDefault="00E62977" w:rsidP="00E62977">
      <w:pPr>
        <w:pStyle w:val="FigureNo"/>
        <w:rPr>
          <w:lang w:val="en-GB"/>
        </w:rPr>
      </w:pPr>
      <w:r w:rsidRPr="00637B9C">
        <w:rPr>
          <w:lang w:val="en-GB"/>
        </w:rPr>
        <w:t>Figure 4</w:t>
      </w:r>
    </w:p>
    <w:p w:rsidR="00E62977" w:rsidRPr="008938F0" w:rsidRDefault="00E62977" w:rsidP="00E62977">
      <w:pPr>
        <w:pStyle w:val="Figuretitle"/>
        <w:rPr>
          <w:lang w:val="en-GB"/>
        </w:rPr>
      </w:pPr>
      <w:r w:rsidRPr="008938F0">
        <w:rPr>
          <w:spacing w:val="-2"/>
          <w:lang w:val="en-GB"/>
        </w:rPr>
        <w:t xml:space="preserve">Return Link Frequency Plan for </w:t>
      </w:r>
      <w:r w:rsidRPr="008938F0">
        <w:rPr>
          <w:lang w:val="en-GB"/>
        </w:rPr>
        <w:t>broadband Internet access by an FSS system</w:t>
      </w:r>
      <w:r w:rsidRPr="008938F0">
        <w:rPr>
          <w:lang w:val="en-GB"/>
        </w:rPr>
        <w:br/>
        <w:t xml:space="preserve">designed for small Ka-Band Consumer earth </w:t>
      </w:r>
      <w:r w:rsidR="006043D8">
        <w:rPr>
          <w:lang w:val="en-GB"/>
        </w:rPr>
        <w:t>station antennas</w:t>
      </w:r>
    </w:p>
    <w:p w:rsidR="00E62977" w:rsidRPr="008938F0" w:rsidRDefault="00C44EE4" w:rsidP="00E62977">
      <w:pPr>
        <w:pStyle w:val="Figure"/>
        <w:rPr>
          <w:lang w:val="en-GB"/>
        </w:rPr>
      </w:pPr>
      <w:r>
        <w:rPr>
          <w:noProof/>
          <w:lang w:val="en-GB" w:eastAsia="en-GB"/>
        </w:rPr>
        <w:drawing>
          <wp:inline distT="0" distB="0" distL="0" distR="0">
            <wp:extent cx="3410719" cy="235915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782-04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0719" cy="2359157"/>
                    </a:xfrm>
                    <a:prstGeom prst="rect">
                      <a:avLst/>
                    </a:prstGeom>
                  </pic:spPr>
                </pic:pic>
              </a:graphicData>
            </a:graphic>
          </wp:inline>
        </w:drawing>
      </w:r>
    </w:p>
    <w:p w:rsidR="00E62977" w:rsidRPr="00637B9C" w:rsidRDefault="00E62977" w:rsidP="00E62977">
      <w:pPr>
        <w:pStyle w:val="Heading1"/>
        <w:rPr>
          <w:lang w:val="en-GB"/>
        </w:rPr>
      </w:pPr>
      <w:r w:rsidRPr="00637B9C">
        <w:rPr>
          <w:rFonts w:ascii="Times New Roman Bold" w:hAnsi="Times New Roman Bold"/>
          <w:lang w:val="en-GB"/>
        </w:rPr>
        <w:t>3</w:t>
      </w:r>
      <w:r w:rsidRPr="00637B9C">
        <w:rPr>
          <w:lang w:val="en-GB"/>
        </w:rPr>
        <w:tab/>
        <w:t>Possible technical characteristics</w:t>
      </w:r>
    </w:p>
    <w:p w:rsidR="00E62977" w:rsidRPr="00637B9C" w:rsidRDefault="00E62977" w:rsidP="00E62977">
      <w:pPr>
        <w:pStyle w:val="Heading2"/>
        <w:rPr>
          <w:lang w:val="en-GB"/>
        </w:rPr>
      </w:pPr>
      <w:r w:rsidRPr="00637B9C">
        <w:rPr>
          <w:lang w:val="en-GB"/>
        </w:rPr>
        <w:t>3.1</w:t>
      </w:r>
      <w:r w:rsidRPr="00637B9C">
        <w:rPr>
          <w:lang w:val="en-GB"/>
        </w:rPr>
        <w:tab/>
        <w:t>System architecture</w:t>
      </w:r>
    </w:p>
    <w:p w:rsidR="00E62977" w:rsidRPr="00637B9C" w:rsidRDefault="00E62977" w:rsidP="00E62977">
      <w:pPr>
        <w:rPr>
          <w:lang w:val="en-GB"/>
        </w:rPr>
      </w:pPr>
      <w:r w:rsidRPr="00637B9C">
        <w:rPr>
          <w:lang w:val="en-GB"/>
        </w:rPr>
        <w:t>The system architecture for this example is illustrated in Fig. 5.</w:t>
      </w:r>
    </w:p>
    <w:p w:rsidR="00E62977" w:rsidRPr="00637B9C" w:rsidRDefault="00E62977" w:rsidP="00E62977">
      <w:pPr>
        <w:pStyle w:val="FigureNo"/>
        <w:rPr>
          <w:lang w:val="en-GB"/>
        </w:rPr>
      </w:pPr>
      <w:r w:rsidRPr="00637B9C">
        <w:rPr>
          <w:lang w:val="en-GB"/>
        </w:rPr>
        <w:t>Figure 5</w:t>
      </w:r>
    </w:p>
    <w:p w:rsidR="00E62977" w:rsidRPr="008938F0" w:rsidRDefault="00E62977" w:rsidP="00E62977">
      <w:pPr>
        <w:pStyle w:val="Figuretitle"/>
        <w:rPr>
          <w:lang w:val="en-GB"/>
        </w:rPr>
      </w:pPr>
      <w:r w:rsidRPr="008938F0">
        <w:rPr>
          <w:lang w:val="en-GB"/>
        </w:rPr>
        <w:t>Example System Architecture global for broadband Internet access by an FSS system</w:t>
      </w:r>
      <w:r w:rsidRPr="008938F0">
        <w:rPr>
          <w:lang w:val="en-GB"/>
        </w:rPr>
        <w:br/>
        <w:t xml:space="preserve">designed for small Ka-Band </w:t>
      </w:r>
      <w:r w:rsidR="006043D8">
        <w:rPr>
          <w:lang w:val="en-GB"/>
        </w:rPr>
        <w:t>Consumer earth station antennas</w:t>
      </w:r>
    </w:p>
    <w:p w:rsidR="00E62977" w:rsidRPr="008938F0" w:rsidRDefault="00F5218D" w:rsidP="00E62977">
      <w:pPr>
        <w:pStyle w:val="Figure"/>
        <w:rPr>
          <w:lang w:val="en-GB"/>
        </w:rPr>
      </w:pPr>
      <w:r>
        <w:rPr>
          <w:noProof/>
          <w:lang w:val="en-GB" w:eastAsia="en-GB"/>
        </w:rPr>
        <w:drawing>
          <wp:inline distT="0" distB="0" distL="0" distR="0">
            <wp:extent cx="4267200" cy="414835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782-05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0566" cy="4151625"/>
                    </a:xfrm>
                    <a:prstGeom prst="rect">
                      <a:avLst/>
                    </a:prstGeom>
                  </pic:spPr>
                </pic:pic>
              </a:graphicData>
            </a:graphic>
          </wp:inline>
        </w:drawing>
      </w:r>
    </w:p>
    <w:p w:rsidR="00E62977" w:rsidRPr="00637B9C" w:rsidRDefault="00E62977" w:rsidP="00E62977">
      <w:pPr>
        <w:pStyle w:val="Heading2"/>
        <w:rPr>
          <w:lang w:val="en-GB"/>
        </w:rPr>
      </w:pPr>
      <w:r w:rsidRPr="00637B9C">
        <w:rPr>
          <w:lang w:val="en-GB"/>
        </w:rPr>
        <w:t>3.2</w:t>
      </w:r>
      <w:r w:rsidRPr="00637B9C">
        <w:rPr>
          <w:lang w:val="en-GB"/>
        </w:rPr>
        <w:tab/>
        <w:t>Satellite links</w:t>
      </w:r>
    </w:p>
    <w:p w:rsidR="00E62977" w:rsidRPr="00637B9C" w:rsidRDefault="00E62977" w:rsidP="00E62977">
      <w:pPr>
        <w:rPr>
          <w:lang w:val="en-GB"/>
        </w:rPr>
      </w:pPr>
      <w:r w:rsidRPr="00637B9C">
        <w:rPr>
          <w:lang w:val="en-GB"/>
        </w:rPr>
        <w:t>The Forward Link carriers between Feeder Stations and Users station through the satellite are assumed to employ DVB-S2X the ETSI standard for the extension of the second generation system for Broadcasting, Interactive Services, News Gathering and other broadband satellite applications.</w:t>
      </w:r>
    </w:p>
    <w:p w:rsidR="00E62977" w:rsidRPr="00637B9C" w:rsidRDefault="00E62977" w:rsidP="00E62977">
      <w:pPr>
        <w:rPr>
          <w:lang w:val="en-GB"/>
        </w:rPr>
      </w:pPr>
      <w:r w:rsidRPr="00637B9C">
        <w:rPr>
          <w:lang w:val="en-GB"/>
        </w:rPr>
        <w:t>The Return Link carriers uplinked from Users station for the Feeder Stations are assumed to employ DVB-RCS2, the ETSI standard for the second generation DVB Interactive Satellite System.</w:t>
      </w:r>
    </w:p>
    <w:p w:rsidR="00E62977" w:rsidRPr="00637B9C" w:rsidRDefault="00E62977" w:rsidP="00E62977">
      <w:pPr>
        <w:rPr>
          <w:lang w:val="en-GB"/>
        </w:rPr>
      </w:pPr>
      <w:r w:rsidRPr="00637B9C">
        <w:rPr>
          <w:lang w:val="en-GB"/>
        </w:rPr>
        <w:t>Both air interfaces can make use of Adaptive Coding and Modulation (ACM), in order to optimize the efficiency of each link, and to cater for atmospheric attenuations which are a particular concern when using very high frequencies such as Ka-, Q- and V-bands.</w:t>
      </w:r>
    </w:p>
    <w:p w:rsidR="00E62977" w:rsidRPr="00637B9C" w:rsidRDefault="00E62977" w:rsidP="00E62977">
      <w:pPr>
        <w:pStyle w:val="Heading2"/>
        <w:rPr>
          <w:lang w:val="en-GB"/>
        </w:rPr>
      </w:pPr>
      <w:r w:rsidRPr="00637B9C">
        <w:rPr>
          <w:lang w:val="en-GB"/>
        </w:rPr>
        <w:t>3.3</w:t>
      </w:r>
      <w:r w:rsidRPr="00637B9C">
        <w:rPr>
          <w:lang w:val="en-GB"/>
        </w:rPr>
        <w:tab/>
        <w:t>Coverage</w:t>
      </w:r>
    </w:p>
    <w:p w:rsidR="00E62977" w:rsidRPr="00637B9C" w:rsidRDefault="00E62977" w:rsidP="00E62977">
      <w:pPr>
        <w:rPr>
          <w:lang w:val="en-GB"/>
        </w:rPr>
      </w:pPr>
      <w:r w:rsidRPr="00637B9C">
        <w:rPr>
          <w:lang w:val="en-GB"/>
        </w:rPr>
        <w:t>As an example, coverage of Africa is proposed. State-of-the-art satellites can provide up to ~500 user beams, and this example is based on 420 spots generated from three or four satellite reflectors.</w:t>
      </w:r>
    </w:p>
    <w:p w:rsidR="00E62977" w:rsidRPr="00637B9C" w:rsidRDefault="00E62977" w:rsidP="00E62977">
      <w:pPr>
        <w:pStyle w:val="FigureNo"/>
        <w:rPr>
          <w:lang w:val="en-GB"/>
        </w:rPr>
      </w:pPr>
      <w:r w:rsidRPr="00637B9C">
        <w:rPr>
          <w:lang w:val="en-GB"/>
        </w:rPr>
        <w:t>Figure 6</w:t>
      </w:r>
    </w:p>
    <w:p w:rsidR="00E62977" w:rsidRPr="008938F0" w:rsidRDefault="00E62977" w:rsidP="00E62977">
      <w:pPr>
        <w:pStyle w:val="Figuretitle"/>
        <w:rPr>
          <w:lang w:val="en-GB"/>
        </w:rPr>
      </w:pPr>
      <w:r w:rsidRPr="008938F0">
        <w:rPr>
          <w:lang w:val="en-GB"/>
        </w:rPr>
        <w:t>Example Coverage for broadband Internet access by an FSS system</w:t>
      </w:r>
      <w:r w:rsidRPr="008938F0">
        <w:rPr>
          <w:lang w:val="en-GB"/>
        </w:rPr>
        <w:br/>
        <w:t>designed for small Ka-Band Consumer ear</w:t>
      </w:r>
      <w:r>
        <w:rPr>
          <w:lang w:val="en-GB"/>
        </w:rPr>
        <w:t>th station antennas over Africa</w:t>
      </w:r>
    </w:p>
    <w:p w:rsidR="00E62977" w:rsidRPr="008938F0" w:rsidRDefault="00F5218D" w:rsidP="00E62977">
      <w:pPr>
        <w:pStyle w:val="Figure"/>
        <w:rPr>
          <w:lang w:val="en-GB"/>
        </w:rPr>
      </w:pPr>
      <w:r>
        <w:rPr>
          <w:noProof/>
          <w:lang w:val="en-GB" w:eastAsia="en-GB"/>
        </w:rPr>
        <w:drawing>
          <wp:inline distT="0" distB="0" distL="0" distR="0">
            <wp:extent cx="5169419" cy="41209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1782-06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9419" cy="4120904"/>
                    </a:xfrm>
                    <a:prstGeom prst="rect">
                      <a:avLst/>
                    </a:prstGeom>
                  </pic:spPr>
                </pic:pic>
              </a:graphicData>
            </a:graphic>
          </wp:inline>
        </w:drawing>
      </w:r>
    </w:p>
    <w:p w:rsidR="00E62977" w:rsidRPr="00637B9C" w:rsidRDefault="00E62977" w:rsidP="00E62977">
      <w:pPr>
        <w:pStyle w:val="Heading2"/>
        <w:spacing w:before="0"/>
        <w:rPr>
          <w:lang w:val="en-GB"/>
        </w:rPr>
      </w:pPr>
      <w:r w:rsidRPr="00637B9C">
        <w:rPr>
          <w:lang w:val="en-GB"/>
        </w:rPr>
        <w:t>3.4</w:t>
      </w:r>
      <w:r w:rsidRPr="00637B9C">
        <w:rPr>
          <w:lang w:val="en-GB"/>
        </w:rPr>
        <w:tab/>
        <w:t>Satellite payload arrangement</w:t>
      </w:r>
    </w:p>
    <w:p w:rsidR="00E62977" w:rsidRPr="00637B9C" w:rsidRDefault="00E62977" w:rsidP="00E62977">
      <w:pPr>
        <w:rPr>
          <w:lang w:val="en-GB"/>
        </w:rPr>
      </w:pPr>
      <w:r w:rsidRPr="00637B9C">
        <w:rPr>
          <w:lang w:val="en-GB"/>
        </w:rPr>
        <w:t>The satellite antenna subsystem can make use of Single Feed per Beam (one feed generates one spot) or Multi Feed per Beam arrangements (each spot is generated from multiple feeds). The trade-offs are made on performance and payload mass parameters. The repeater would be composed of the following sub-systems:</w:t>
      </w:r>
    </w:p>
    <w:p w:rsidR="00E62977" w:rsidRPr="00637B9C" w:rsidRDefault="00E62977" w:rsidP="00E62977">
      <w:pPr>
        <w:pStyle w:val="enumlev1"/>
        <w:rPr>
          <w:lang w:val="en-GB"/>
        </w:rPr>
      </w:pPr>
      <w:r w:rsidRPr="00637B9C">
        <w:rPr>
          <w:lang w:val="en-GB"/>
        </w:rPr>
        <w:t>–</w:t>
      </w:r>
      <w:r w:rsidRPr="00637B9C">
        <w:rPr>
          <w:lang w:val="en-GB"/>
        </w:rPr>
        <w:tab/>
        <w:t>the input section would use LNA/converters in a fairly classical mode;</w:t>
      </w:r>
    </w:p>
    <w:p w:rsidR="00E62977" w:rsidRPr="00637B9C" w:rsidRDefault="00E62977" w:rsidP="00E62977">
      <w:pPr>
        <w:pStyle w:val="enumlev1"/>
        <w:rPr>
          <w:lang w:val="en-GB"/>
        </w:rPr>
      </w:pPr>
      <w:r w:rsidRPr="00637B9C">
        <w:rPr>
          <w:lang w:val="en-GB"/>
        </w:rPr>
        <w:t>–</w:t>
      </w:r>
      <w:r w:rsidRPr="00637B9C">
        <w:rPr>
          <w:lang w:val="en-GB"/>
        </w:rPr>
        <w:tab/>
        <w:t>a Digital Transparent Processor (DTP) would provide connectivity between Gateways and User beams and frequency selection on each User beam;</w:t>
      </w:r>
    </w:p>
    <w:p w:rsidR="00E62977" w:rsidRPr="00637B9C" w:rsidRDefault="00E62977" w:rsidP="00E62977">
      <w:pPr>
        <w:pStyle w:val="enumlev1"/>
        <w:rPr>
          <w:lang w:val="en-GB"/>
        </w:rPr>
      </w:pPr>
      <w:r w:rsidRPr="00637B9C">
        <w:rPr>
          <w:lang w:val="en-GB"/>
        </w:rPr>
        <w:t>–</w:t>
      </w:r>
      <w:r w:rsidRPr="00637B9C">
        <w:rPr>
          <w:lang w:val="en-GB"/>
        </w:rPr>
        <w:tab/>
        <w:t>the amplification section could either make use of TWTAs placed in a redundancy ring for a Single Feed per Beam antenna sub-system, or SSPAs placed at immediate proximity of the feeds in a Multi Feed per Beam arrangement.</w:t>
      </w:r>
    </w:p>
    <w:p w:rsidR="00E62977" w:rsidRPr="00637B9C" w:rsidRDefault="00E62977" w:rsidP="00E62977">
      <w:pPr>
        <w:pStyle w:val="Heading1"/>
        <w:rPr>
          <w:lang w:val="en-GB"/>
        </w:rPr>
      </w:pPr>
      <w:r w:rsidRPr="00637B9C">
        <w:rPr>
          <w:rFonts w:ascii="Times New Roman Bold" w:hAnsi="Times New Roman Bold"/>
          <w:lang w:val="en-GB"/>
        </w:rPr>
        <w:t>4</w:t>
      </w:r>
      <w:r w:rsidRPr="00637B9C">
        <w:rPr>
          <w:lang w:val="en-GB"/>
        </w:rPr>
        <w:tab/>
        <w:t>Capacity per satellite (</w:t>
      </w:r>
      <w:r w:rsidRPr="00637B9C">
        <w:rPr>
          <w:i/>
          <w:iCs/>
          <w:lang w:val="en-GB"/>
        </w:rPr>
        <w:t>C</w:t>
      </w:r>
      <w:r w:rsidRPr="00637B9C">
        <w:rPr>
          <w:i/>
          <w:iCs/>
          <w:vertAlign w:val="subscript"/>
          <w:lang w:val="en-GB"/>
        </w:rPr>
        <w:t>S</w:t>
      </w:r>
      <w:r w:rsidRPr="00637B9C">
        <w:rPr>
          <w:rFonts w:ascii="Times New Roman Bold" w:hAnsi="Times New Roman Bold"/>
          <w:iCs/>
          <w:szCs w:val="24"/>
          <w:lang w:val="en-GB"/>
        </w:rPr>
        <w:t>)</w:t>
      </w:r>
    </w:p>
    <w:p w:rsidR="00E62977" w:rsidRPr="00637B9C" w:rsidRDefault="00E62977" w:rsidP="00E62977">
      <w:pPr>
        <w:rPr>
          <w:lang w:val="en-GB"/>
        </w:rPr>
      </w:pPr>
      <w:r w:rsidRPr="00637B9C">
        <w:rPr>
          <w:lang w:val="en-GB"/>
        </w:rPr>
        <w:t>With the proposed number of beams, the capacity of the satellite would top 0.8 Tbit/s for the Forward Link. The requirements for the Return Link are usually less than that for the Forward Link, the target for overall capacity per satellite is nevertheless more than 1.0 Tbit/s.</w:t>
      </w:r>
    </w:p>
    <w:p w:rsidR="00E62977" w:rsidRPr="00637B9C" w:rsidRDefault="00E62977" w:rsidP="00E62977">
      <w:pPr>
        <w:rPr>
          <w:lang w:val="en-GB"/>
        </w:rPr>
      </w:pPr>
    </w:p>
    <w:p w:rsidR="00E62977" w:rsidRPr="008938F0" w:rsidRDefault="00E62977" w:rsidP="00E62977">
      <w:pPr>
        <w:pStyle w:val="Line"/>
      </w:pPr>
    </w:p>
    <w:sectPr w:rsidR="00E62977" w:rsidRPr="008938F0" w:rsidSect="004B7C8A">
      <w:headerReference w:type="even" r:id="rId19"/>
      <w:headerReference w:type="default" r:id="rId20"/>
      <w:footerReference w:type="even" r:id="rId21"/>
      <w:foot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26D" w:rsidRDefault="006B226D">
      <w:r>
        <w:separator/>
      </w:r>
    </w:p>
  </w:endnote>
  <w:endnote w:type="continuationSeparator" w:id="0">
    <w:p w:rsidR="006B226D" w:rsidRDefault="006B2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77" w:rsidRDefault="00E629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77" w:rsidRDefault="00E629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77" w:rsidRPr="00E62977" w:rsidRDefault="00E62977" w:rsidP="00E62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26D" w:rsidRDefault="006B226D">
      <w:r>
        <w:separator/>
      </w:r>
    </w:p>
  </w:footnote>
  <w:footnote w:type="continuationSeparator" w:id="0">
    <w:p w:rsidR="006B226D" w:rsidRDefault="006B226D">
      <w:r>
        <w:continuationSeparator/>
      </w:r>
    </w:p>
  </w:footnote>
  <w:footnote w:id="1">
    <w:p w:rsidR="00E62977" w:rsidRPr="0087394F" w:rsidRDefault="00E62977" w:rsidP="00E62977">
      <w:pPr>
        <w:pStyle w:val="FootnoteText"/>
        <w:rPr>
          <w:lang w:val="en-US"/>
        </w:rPr>
      </w:pPr>
      <w:r w:rsidRPr="00637B9C">
        <w:rPr>
          <w:rStyle w:val="FootnoteReference"/>
          <w:lang w:val="en-GB"/>
        </w:rPr>
        <w:t>*</w:t>
      </w:r>
      <w:r w:rsidR="005B71D4" w:rsidRPr="00637B9C">
        <w:rPr>
          <w:lang w:val="en-GB"/>
        </w:rPr>
        <w:tab/>
      </w:r>
      <w:r w:rsidRPr="00A45E3F">
        <w:rPr>
          <w:lang w:val="en-US"/>
        </w:rPr>
        <w:t>It is expected that there will be no discrimination to have access to global broadband Internet systems described in this Recommendation.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AE326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DE07A5" w:rsidP="00885C3D">
    <w:pPr>
      <w:ind w:right="360" w:firstLine="360"/>
    </w:pPr>
    <w:r>
      <w:rPr>
        <w:noProof/>
        <w:lang w:val="en-GB" w:eastAsia="en-GB"/>
      </w:rPr>
      <w:drawing>
        <wp:anchor distT="0" distB="0" distL="114300" distR="114300" simplePos="0" relativeHeight="251656704" behindDoc="1" locked="0" layoutInCell="1" allowOverlap="1" wp14:anchorId="7D4C2073" wp14:editId="6C85DF0D">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Pr="00FC42AF" w:rsidRDefault="00024BEF" w:rsidP="00863DF0">
    <w:pPr>
      <w:pStyle w:val="Header"/>
      <w:jc w:val="left"/>
    </w:pPr>
    <w:r>
      <w:rPr>
        <w:rStyle w:val="PageNumber"/>
        <w:b/>
        <w:bCs/>
      </w:rPr>
      <w:fldChar w:fldCharType="begin"/>
    </w:r>
    <w:r w:rsidR="00AE3260" w:rsidRPr="00FC42AF">
      <w:rPr>
        <w:rStyle w:val="PageNumber"/>
        <w:b/>
        <w:bCs/>
      </w:rPr>
      <w:instrText xml:space="preserve"> PAGE </w:instrText>
    </w:r>
    <w:r>
      <w:rPr>
        <w:rStyle w:val="PageNumber"/>
        <w:b/>
        <w:bCs/>
      </w:rPr>
      <w:fldChar w:fldCharType="separate"/>
    </w:r>
    <w:r w:rsidR="00FE1485">
      <w:rPr>
        <w:rStyle w:val="PageNumber"/>
        <w:b/>
        <w:bCs/>
        <w:noProof/>
      </w:rPr>
      <w:t>ii</w:t>
    </w:r>
    <w:r>
      <w:rPr>
        <w:rStyle w:val="PageNumber"/>
        <w:b/>
        <w:bCs/>
      </w:rPr>
      <w:fldChar w:fldCharType="end"/>
    </w:r>
    <w:r w:rsidR="00AE3260" w:rsidRPr="00FC42AF">
      <w:tab/>
    </w:r>
    <w:r w:rsidR="003C2C2B">
      <w:rPr>
        <w:b/>
        <w:bCs/>
      </w:rPr>
      <w:fldChar w:fldCharType="begin"/>
    </w:r>
    <w:r w:rsidR="003C2C2B">
      <w:rPr>
        <w:b/>
        <w:bCs/>
      </w:rPr>
      <w:instrText xml:space="preserve"> DOCPROPERTY "Header" \* MERGEFORMAT </w:instrText>
    </w:r>
    <w:r w:rsidR="003C2C2B">
      <w:rPr>
        <w:b/>
        <w:bCs/>
      </w:rPr>
      <w:fldChar w:fldCharType="separate"/>
    </w:r>
    <w:r w:rsidR="004B7C8A">
      <w:rPr>
        <w:b/>
        <w:bCs/>
      </w:rPr>
      <w:t xml:space="preserve">Rec. </w:t>
    </w:r>
    <w:r w:rsidR="003C2C2B">
      <w:rPr>
        <w:b/>
        <w:bCs/>
      </w:rPr>
      <w:fldChar w:fldCharType="end"/>
    </w:r>
    <w:r w:rsidR="00AE3260" w:rsidRPr="00863DF0">
      <w:rPr>
        <w:b/>
        <w:bCs/>
      </w:rPr>
      <w:t xml:space="preserve"> </w:t>
    </w:r>
    <w:r w:rsidRPr="00863DF0">
      <w:rPr>
        <w:b/>
        <w:bCs/>
      </w:rPr>
      <w:fldChar w:fldCharType="begin"/>
    </w:r>
    <w:r w:rsidR="00AE3260" w:rsidRPr="00863DF0">
      <w:rPr>
        <w:b/>
        <w:bCs/>
      </w:rPr>
      <w:instrText>styleref href</w:instrText>
    </w:r>
    <w:r w:rsidRPr="00863DF0">
      <w:rPr>
        <w:b/>
        <w:bCs/>
      </w:rPr>
      <w:fldChar w:fldCharType="separate"/>
    </w:r>
    <w:r w:rsidR="00FE1485">
      <w:rPr>
        <w:b/>
        <w:bCs/>
        <w:noProof/>
      </w:rPr>
      <w:t>ITU-R  S.1782-1</w:t>
    </w:r>
    <w:r w:rsidRPr="00863DF0">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AE3260">
    <w:r>
      <w:tab/>
    </w:r>
    <w:r w:rsidR="003C2C2B">
      <w:rPr>
        <w:b/>
        <w:bCs/>
      </w:rPr>
      <w:fldChar w:fldCharType="begin"/>
    </w:r>
    <w:r w:rsidR="003C2C2B">
      <w:rPr>
        <w:b/>
        <w:bCs/>
      </w:rPr>
      <w:instrText xml:space="preserve"> DOCPROPERTY "Header" \* MERGEFORMAT </w:instrText>
    </w:r>
    <w:r w:rsidR="003C2C2B">
      <w:rPr>
        <w:b/>
        <w:bCs/>
      </w:rPr>
      <w:fldChar w:fldCharType="separate"/>
    </w:r>
    <w:r w:rsidR="004B7C8A">
      <w:rPr>
        <w:b/>
        <w:bCs/>
      </w:rPr>
      <w:t xml:space="preserve">Rec. </w:t>
    </w:r>
    <w:r w:rsidR="003C2C2B">
      <w:rPr>
        <w:b/>
        <w:bCs/>
      </w:rPr>
      <w:fldChar w:fldCharType="end"/>
    </w:r>
    <w:r>
      <w:rPr>
        <w:b/>
        <w:bCs/>
      </w:rPr>
      <w:t xml:space="preserve"> </w:t>
    </w:r>
    <w:r w:rsidR="00024BEF">
      <w:rPr>
        <w:b/>
        <w:bCs/>
      </w:rPr>
      <w:fldChar w:fldCharType="begin"/>
    </w:r>
    <w:r>
      <w:rPr>
        <w:b/>
        <w:bCs/>
      </w:rPr>
      <w:instrText>styleref href</w:instrText>
    </w:r>
    <w:r w:rsidR="00024BEF">
      <w:rPr>
        <w:b/>
        <w:bCs/>
      </w:rPr>
      <w:fldChar w:fldCharType="separate"/>
    </w:r>
    <w:r w:rsidR="004B7C8A">
      <w:rPr>
        <w:b/>
        <w:bCs/>
        <w:noProof/>
      </w:rPr>
      <w:t>ITU-R  S.1782-1</w:t>
    </w:r>
    <w:r w:rsidR="00024BEF">
      <w:rPr>
        <w:b/>
        <w:bCs/>
      </w:rPr>
      <w:fldChar w:fldCharType="end"/>
    </w:r>
    <w:r>
      <w:tab/>
    </w:r>
    <w:r w:rsidR="00024BEF">
      <w:rPr>
        <w:rStyle w:val="PageNumber"/>
        <w:b/>
        <w:bCs/>
      </w:rPr>
      <w:fldChar w:fldCharType="begin"/>
    </w:r>
    <w:r>
      <w:rPr>
        <w:rStyle w:val="PageNumber"/>
        <w:b/>
        <w:bCs/>
      </w:rPr>
      <w:instrText xml:space="preserve"> PAGE </w:instrText>
    </w:r>
    <w:r w:rsidR="00024BEF">
      <w:rPr>
        <w:rStyle w:val="PageNumber"/>
        <w:b/>
        <w:bCs/>
      </w:rPr>
      <w:fldChar w:fldCharType="separate"/>
    </w:r>
    <w:r w:rsidR="00DD7D06">
      <w:rPr>
        <w:rStyle w:val="PageNumber"/>
        <w:b/>
        <w:bCs/>
        <w:noProof/>
      </w:rPr>
      <w:t>iii</w:t>
    </w:r>
    <w:r w:rsidR="00024BEF">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77" w:rsidRPr="00FC42AF" w:rsidRDefault="00E62977" w:rsidP="00E6297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E1485">
      <w:rPr>
        <w:rStyle w:val="PageNumber"/>
        <w:b/>
        <w:bCs/>
        <w:noProof/>
      </w:rPr>
      <w:t>10</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4B7C8A">
      <w:rPr>
        <w:b/>
        <w:bCs/>
      </w:rPr>
      <w:t xml:space="preserve">Rec. </w:t>
    </w:r>
    <w:r>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FE1485">
      <w:rPr>
        <w:b/>
        <w:bCs/>
        <w:noProof/>
      </w:rPr>
      <w:t>ITU-R  S.1782-1</w:t>
    </w:r>
    <w:r w:rsidRPr="00863DF0">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60" w:rsidRDefault="00AE3260" w:rsidP="00863DF0">
    <w:pPr>
      <w:pStyle w:val="Header"/>
    </w:pPr>
    <w:r>
      <w:tab/>
    </w:r>
    <w:r w:rsidR="003C2C2B">
      <w:rPr>
        <w:b/>
        <w:bCs/>
      </w:rPr>
      <w:fldChar w:fldCharType="begin"/>
    </w:r>
    <w:r w:rsidR="003C2C2B">
      <w:rPr>
        <w:b/>
        <w:bCs/>
      </w:rPr>
      <w:instrText xml:space="preserve"> DOCPROPERTY "Header" \* MERGEFORMAT </w:instrText>
    </w:r>
    <w:r w:rsidR="003C2C2B">
      <w:rPr>
        <w:b/>
        <w:bCs/>
      </w:rPr>
      <w:fldChar w:fldCharType="separate"/>
    </w:r>
    <w:r w:rsidR="004B7C8A">
      <w:rPr>
        <w:b/>
        <w:bCs/>
      </w:rPr>
      <w:t xml:space="preserve">Rec. </w:t>
    </w:r>
    <w:r w:rsidR="003C2C2B">
      <w:rPr>
        <w:b/>
        <w:bCs/>
      </w:rPr>
      <w:fldChar w:fldCharType="end"/>
    </w:r>
    <w:r w:rsidRPr="00863DF0">
      <w:rPr>
        <w:b/>
        <w:bCs/>
      </w:rPr>
      <w:t xml:space="preserve"> </w:t>
    </w:r>
    <w:r w:rsidR="00024BEF" w:rsidRPr="00863DF0">
      <w:rPr>
        <w:b/>
        <w:bCs/>
      </w:rPr>
      <w:fldChar w:fldCharType="begin"/>
    </w:r>
    <w:r w:rsidRPr="00863DF0">
      <w:rPr>
        <w:b/>
        <w:bCs/>
      </w:rPr>
      <w:instrText>styleref href</w:instrText>
    </w:r>
    <w:r w:rsidR="00024BEF" w:rsidRPr="00863DF0">
      <w:rPr>
        <w:b/>
        <w:bCs/>
      </w:rPr>
      <w:fldChar w:fldCharType="separate"/>
    </w:r>
    <w:r w:rsidR="00FE1485">
      <w:rPr>
        <w:b/>
        <w:bCs/>
        <w:noProof/>
      </w:rPr>
      <w:t>ITU-R  S.1782-1</w:t>
    </w:r>
    <w:r w:rsidR="00024BEF" w:rsidRPr="00863DF0">
      <w:rPr>
        <w:b/>
        <w:bCs/>
      </w:rPr>
      <w:fldChar w:fldCharType="end"/>
    </w:r>
    <w:r>
      <w:tab/>
    </w:r>
    <w:r w:rsidR="00024BEF">
      <w:rPr>
        <w:rStyle w:val="PageNumber"/>
        <w:b/>
        <w:bCs/>
      </w:rPr>
      <w:fldChar w:fldCharType="begin"/>
    </w:r>
    <w:r>
      <w:rPr>
        <w:rStyle w:val="PageNumber"/>
        <w:b/>
        <w:bCs/>
      </w:rPr>
      <w:instrText xml:space="preserve"> PAGE </w:instrText>
    </w:r>
    <w:r w:rsidR="00024BEF">
      <w:rPr>
        <w:rStyle w:val="PageNumber"/>
        <w:b/>
        <w:bCs/>
      </w:rPr>
      <w:fldChar w:fldCharType="separate"/>
    </w:r>
    <w:r w:rsidR="00FE1485">
      <w:rPr>
        <w:rStyle w:val="PageNumber"/>
        <w:b/>
        <w:bCs/>
        <w:noProof/>
      </w:rPr>
      <w:t>9</w:t>
    </w:r>
    <w:r w:rsidR="00024BEF">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9C9"/>
    <w:rsid w:val="00024BEF"/>
    <w:rsid w:val="000407DA"/>
    <w:rsid w:val="00102BDA"/>
    <w:rsid w:val="001637F2"/>
    <w:rsid w:val="001A6395"/>
    <w:rsid w:val="002059C0"/>
    <w:rsid w:val="0024425F"/>
    <w:rsid w:val="0026014B"/>
    <w:rsid w:val="002D76C4"/>
    <w:rsid w:val="0032632C"/>
    <w:rsid w:val="003B5099"/>
    <w:rsid w:val="003C2C2B"/>
    <w:rsid w:val="004B7C8A"/>
    <w:rsid w:val="005B71D4"/>
    <w:rsid w:val="006043D8"/>
    <w:rsid w:val="00607D68"/>
    <w:rsid w:val="00637B9C"/>
    <w:rsid w:val="00674F82"/>
    <w:rsid w:val="006B226D"/>
    <w:rsid w:val="007468DA"/>
    <w:rsid w:val="00786B3D"/>
    <w:rsid w:val="00863DF0"/>
    <w:rsid w:val="00885C3D"/>
    <w:rsid w:val="009E2313"/>
    <w:rsid w:val="009F22B9"/>
    <w:rsid w:val="00A6617B"/>
    <w:rsid w:val="00AB0DC8"/>
    <w:rsid w:val="00AB79C9"/>
    <w:rsid w:val="00AE3260"/>
    <w:rsid w:val="00AE32C7"/>
    <w:rsid w:val="00AF13E4"/>
    <w:rsid w:val="00B44E24"/>
    <w:rsid w:val="00C44EE4"/>
    <w:rsid w:val="00CA41B0"/>
    <w:rsid w:val="00CE2297"/>
    <w:rsid w:val="00CE3439"/>
    <w:rsid w:val="00DD7D06"/>
    <w:rsid w:val="00DE07A5"/>
    <w:rsid w:val="00DF4176"/>
    <w:rsid w:val="00E30061"/>
    <w:rsid w:val="00E62977"/>
    <w:rsid w:val="00E967E9"/>
    <w:rsid w:val="00EB1247"/>
    <w:rsid w:val="00EB788A"/>
    <w:rsid w:val="00F314B4"/>
    <w:rsid w:val="00F5218D"/>
    <w:rsid w:val="00F71902"/>
    <w:rsid w:val="00FE14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5:docId w15:val="{B39C2698-90FF-49AC-91E1-AA98F6BE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4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62977"/>
    <w:pPr>
      <w:keepNext/>
      <w:keepLines/>
      <w:spacing w:before="480"/>
      <w:ind w:left="794" w:hanging="794"/>
      <w:outlineLvl w:val="0"/>
    </w:pPr>
    <w:rPr>
      <w:b/>
    </w:rPr>
  </w:style>
  <w:style w:type="paragraph" w:styleId="Heading2">
    <w:name w:val="heading 2"/>
    <w:basedOn w:val="Heading1"/>
    <w:next w:val="Normal"/>
    <w:qFormat/>
    <w:rsid w:val="00E62977"/>
    <w:pPr>
      <w:spacing w:before="320"/>
      <w:outlineLvl w:val="1"/>
    </w:pPr>
  </w:style>
  <w:style w:type="paragraph" w:styleId="Heading3">
    <w:name w:val="heading 3"/>
    <w:basedOn w:val="Heading1"/>
    <w:next w:val="Normal"/>
    <w:qFormat/>
    <w:rsid w:val="00E62977"/>
    <w:pPr>
      <w:spacing w:before="200"/>
      <w:outlineLvl w:val="2"/>
    </w:pPr>
  </w:style>
  <w:style w:type="paragraph" w:styleId="Heading4">
    <w:name w:val="heading 4"/>
    <w:basedOn w:val="Heading3"/>
    <w:next w:val="Normal"/>
    <w:qFormat/>
    <w:rsid w:val="00E62977"/>
    <w:pPr>
      <w:tabs>
        <w:tab w:val="clear" w:pos="794"/>
        <w:tab w:val="left" w:pos="992"/>
      </w:tabs>
      <w:ind w:left="992" w:hanging="992"/>
      <w:outlineLvl w:val="3"/>
    </w:pPr>
  </w:style>
  <w:style w:type="paragraph" w:styleId="Heading5">
    <w:name w:val="heading 5"/>
    <w:basedOn w:val="Heading4"/>
    <w:next w:val="Normal"/>
    <w:qFormat/>
    <w:rsid w:val="00E62977"/>
    <w:pPr>
      <w:outlineLvl w:val="4"/>
    </w:pPr>
  </w:style>
  <w:style w:type="paragraph" w:styleId="Heading6">
    <w:name w:val="heading 6"/>
    <w:basedOn w:val="Heading4"/>
    <w:next w:val="Normal"/>
    <w:qFormat/>
    <w:rsid w:val="00E62977"/>
    <w:pPr>
      <w:tabs>
        <w:tab w:val="clear" w:pos="992"/>
        <w:tab w:val="clear" w:pos="1191"/>
      </w:tabs>
      <w:ind w:left="1588" w:hanging="1588"/>
      <w:outlineLvl w:val="5"/>
    </w:pPr>
  </w:style>
  <w:style w:type="paragraph" w:styleId="Heading7">
    <w:name w:val="heading 7"/>
    <w:basedOn w:val="Heading6"/>
    <w:next w:val="Normal"/>
    <w:qFormat/>
    <w:rsid w:val="00E62977"/>
    <w:pPr>
      <w:outlineLvl w:val="6"/>
    </w:pPr>
  </w:style>
  <w:style w:type="paragraph" w:styleId="Heading8">
    <w:name w:val="heading 8"/>
    <w:basedOn w:val="Heading6"/>
    <w:next w:val="Normal"/>
    <w:qFormat/>
    <w:rsid w:val="00E62977"/>
    <w:pPr>
      <w:outlineLvl w:val="7"/>
    </w:pPr>
  </w:style>
  <w:style w:type="paragraph" w:styleId="Heading9">
    <w:name w:val="heading 9"/>
    <w:basedOn w:val="Heading6"/>
    <w:next w:val="Normal"/>
    <w:qFormat/>
    <w:rsid w:val="00E6297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6297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6297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62977"/>
  </w:style>
  <w:style w:type="paragraph" w:customStyle="1" w:styleId="Headingb">
    <w:name w:val="Heading_b"/>
    <w:basedOn w:val="Heading3"/>
    <w:next w:val="Normal"/>
    <w:link w:val="HeadingbChar"/>
    <w:rsid w:val="00E62977"/>
    <w:pPr>
      <w:spacing w:before="160"/>
      <w:ind w:left="0" w:firstLine="0"/>
      <w:outlineLvl w:val="9"/>
    </w:pPr>
  </w:style>
  <w:style w:type="paragraph" w:customStyle="1" w:styleId="Headingi">
    <w:name w:val="Heading_i"/>
    <w:basedOn w:val="Heading3"/>
    <w:next w:val="Normal"/>
    <w:rsid w:val="00E62977"/>
    <w:pPr>
      <w:spacing w:before="160"/>
      <w:ind w:left="0" w:firstLine="0"/>
    </w:pPr>
    <w:rPr>
      <w:b w:val="0"/>
      <w:i/>
    </w:rPr>
  </w:style>
  <w:style w:type="character" w:customStyle="1" w:styleId="href">
    <w:name w:val="href"/>
    <w:basedOn w:val="DefaultParagraphFont"/>
    <w:rsid w:val="00E62977"/>
  </w:style>
  <w:style w:type="paragraph" w:customStyle="1" w:styleId="enumlev1">
    <w:name w:val="enumlev1"/>
    <w:basedOn w:val="Normal"/>
    <w:rsid w:val="00E62977"/>
    <w:pPr>
      <w:spacing w:before="80"/>
      <w:ind w:left="794" w:hanging="794"/>
    </w:pPr>
  </w:style>
  <w:style w:type="paragraph" w:customStyle="1" w:styleId="enumlev2">
    <w:name w:val="enumlev2"/>
    <w:basedOn w:val="enumlev1"/>
    <w:rsid w:val="00E62977"/>
    <w:pPr>
      <w:ind w:left="1191" w:hanging="397"/>
    </w:pPr>
  </w:style>
  <w:style w:type="paragraph" w:customStyle="1" w:styleId="enumlev3">
    <w:name w:val="enumlev3"/>
    <w:basedOn w:val="enumlev2"/>
    <w:rsid w:val="00E62977"/>
    <w:pPr>
      <w:ind w:left="1588"/>
    </w:pPr>
  </w:style>
  <w:style w:type="paragraph" w:customStyle="1" w:styleId="Normalaftertitle">
    <w:name w:val="Normal_after_title"/>
    <w:basedOn w:val="Normal"/>
    <w:next w:val="Normal"/>
    <w:rsid w:val="00E62977"/>
    <w:pPr>
      <w:spacing w:before="320"/>
    </w:pPr>
  </w:style>
  <w:style w:type="paragraph" w:customStyle="1" w:styleId="Note">
    <w:name w:val="Note"/>
    <w:basedOn w:val="Normal"/>
    <w:rsid w:val="00E6297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6297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62977"/>
    <w:pPr>
      <w:spacing w:before="240"/>
    </w:pPr>
    <w:rPr>
      <w:sz w:val="22"/>
      <w:lang w:val="es-ES_tradnl"/>
    </w:rPr>
  </w:style>
  <w:style w:type="paragraph" w:customStyle="1" w:styleId="Recref">
    <w:name w:val="Rec_ref"/>
    <w:basedOn w:val="Normal"/>
    <w:next w:val="Recdate"/>
    <w:rsid w:val="00E62977"/>
    <w:pPr>
      <w:jc w:val="center"/>
    </w:pPr>
  </w:style>
  <w:style w:type="paragraph" w:customStyle="1" w:styleId="Recdate">
    <w:name w:val="Rec_date"/>
    <w:basedOn w:val="Recref"/>
    <w:next w:val="Normalaftertitle"/>
    <w:rsid w:val="00E62977"/>
    <w:pPr>
      <w:jc w:val="right"/>
    </w:pPr>
  </w:style>
  <w:style w:type="paragraph" w:customStyle="1" w:styleId="AnnexNoTitle">
    <w:name w:val="Annex_NoTitle"/>
    <w:basedOn w:val="Normal"/>
    <w:next w:val="Normalaftertitle"/>
    <w:rsid w:val="00CE3439"/>
    <w:pPr>
      <w:keepNext/>
      <w:keepLines/>
      <w:spacing w:before="480" w:after="80"/>
      <w:jc w:val="center"/>
      <w:outlineLvl w:val="0"/>
    </w:pPr>
    <w:rPr>
      <w:b/>
      <w:sz w:val="28"/>
    </w:rPr>
  </w:style>
  <w:style w:type="paragraph" w:customStyle="1" w:styleId="AppendixNoTitle">
    <w:name w:val="Appendix_NoTitle"/>
    <w:basedOn w:val="AnnexNoTitle"/>
    <w:next w:val="Normal"/>
    <w:rsid w:val="00E62977"/>
  </w:style>
  <w:style w:type="paragraph" w:customStyle="1" w:styleId="Tablefin">
    <w:name w:val="Table_fin"/>
    <w:basedOn w:val="Normal"/>
    <w:next w:val="Normal"/>
    <w:rsid w:val="00E62977"/>
    <w:pPr>
      <w:spacing w:before="0"/>
    </w:pPr>
    <w:rPr>
      <w:sz w:val="20"/>
      <w:lang w:val="en-GB"/>
    </w:rPr>
  </w:style>
  <w:style w:type="paragraph" w:customStyle="1" w:styleId="Tablehead">
    <w:name w:val="Table_head"/>
    <w:basedOn w:val="Normal"/>
    <w:next w:val="Normal"/>
    <w:rsid w:val="00E6297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9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62977"/>
    <w:pPr>
      <w:keepNext/>
      <w:spacing w:before="360" w:after="120"/>
      <w:jc w:val="center"/>
    </w:pPr>
  </w:style>
  <w:style w:type="paragraph" w:customStyle="1" w:styleId="Tabletext">
    <w:name w:val="Table_text"/>
    <w:basedOn w:val="Normal"/>
    <w:link w:val="TabletextChar"/>
    <w:rsid w:val="00E629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62977"/>
    <w:pPr>
      <w:tabs>
        <w:tab w:val="clear" w:pos="1191"/>
        <w:tab w:val="clear" w:pos="1588"/>
        <w:tab w:val="clear" w:pos="1985"/>
        <w:tab w:val="center" w:pos="4820"/>
        <w:tab w:val="right" w:pos="9639"/>
      </w:tabs>
    </w:pPr>
  </w:style>
  <w:style w:type="paragraph" w:customStyle="1" w:styleId="Equationlegend">
    <w:name w:val="Equation_legend"/>
    <w:basedOn w:val="NormalIndent"/>
    <w:rsid w:val="00E6297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62977"/>
    <w:pPr>
      <w:ind w:left="794"/>
    </w:pPr>
  </w:style>
  <w:style w:type="paragraph" w:customStyle="1" w:styleId="Figurelegend">
    <w:name w:val="Figure_legend"/>
    <w:basedOn w:val="Normal"/>
    <w:rsid w:val="00E6297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62977"/>
    <w:pPr>
      <w:keepNext/>
      <w:keepLines/>
      <w:spacing w:before="480" w:after="80"/>
      <w:jc w:val="center"/>
    </w:pPr>
    <w:rPr>
      <w:caps/>
      <w:sz w:val="18"/>
    </w:rPr>
  </w:style>
  <w:style w:type="paragraph" w:customStyle="1" w:styleId="tocpart">
    <w:name w:val="tocpart"/>
    <w:basedOn w:val="Normal"/>
    <w:rsid w:val="00E6297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62977"/>
    <w:pPr>
      <w:keepNext/>
      <w:keepLines/>
      <w:spacing w:before="480"/>
      <w:jc w:val="center"/>
    </w:pPr>
    <w:rPr>
      <w:sz w:val="28"/>
    </w:rPr>
  </w:style>
  <w:style w:type="paragraph" w:customStyle="1" w:styleId="Arttitle">
    <w:name w:val="Art_title"/>
    <w:basedOn w:val="Normal"/>
    <w:next w:val="Normalaftertitle"/>
    <w:rsid w:val="00E62977"/>
    <w:pPr>
      <w:keepNext/>
      <w:keepLines/>
      <w:spacing w:before="240"/>
      <w:jc w:val="center"/>
    </w:pPr>
    <w:rPr>
      <w:b/>
      <w:sz w:val="28"/>
    </w:rPr>
  </w:style>
  <w:style w:type="paragraph" w:customStyle="1" w:styleId="Blanc">
    <w:name w:val="Blanc"/>
    <w:basedOn w:val="Normal"/>
    <w:next w:val="Tabletext"/>
    <w:rsid w:val="00E6297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6297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62977"/>
    <w:pPr>
      <w:keepNext/>
      <w:keepLines/>
      <w:spacing w:before="160"/>
      <w:ind w:left="794"/>
    </w:pPr>
    <w:rPr>
      <w:i/>
    </w:rPr>
  </w:style>
  <w:style w:type="paragraph" w:customStyle="1" w:styleId="ChapNo">
    <w:name w:val="Chap_No"/>
    <w:basedOn w:val="ArtNo"/>
    <w:next w:val="Chaptitle"/>
    <w:rsid w:val="00E62977"/>
    <w:rPr>
      <w:b/>
    </w:rPr>
  </w:style>
  <w:style w:type="paragraph" w:customStyle="1" w:styleId="Chaptitle">
    <w:name w:val="Chap_title"/>
    <w:basedOn w:val="Arttitle"/>
    <w:next w:val="Normalaftertitle"/>
    <w:rsid w:val="00E62977"/>
  </w:style>
  <w:style w:type="character" w:styleId="FootnoteReference">
    <w:name w:val="footnote reference"/>
    <w:basedOn w:val="DefaultParagraphFont"/>
    <w:rsid w:val="00E62977"/>
    <w:rPr>
      <w:position w:val="6"/>
      <w:sz w:val="18"/>
    </w:rPr>
  </w:style>
  <w:style w:type="paragraph" w:styleId="FootnoteText">
    <w:name w:val="footnote text"/>
    <w:basedOn w:val="Normal"/>
    <w:semiHidden/>
    <w:rsid w:val="00E62977"/>
    <w:pPr>
      <w:keepLines/>
      <w:tabs>
        <w:tab w:val="left" w:pos="255"/>
      </w:tabs>
      <w:ind w:left="255" w:hanging="255"/>
    </w:pPr>
    <w:rPr>
      <w:sz w:val="22"/>
    </w:rPr>
  </w:style>
  <w:style w:type="paragraph" w:styleId="Index1">
    <w:name w:val="index 1"/>
    <w:basedOn w:val="Normal"/>
    <w:next w:val="Normal"/>
    <w:semiHidden/>
    <w:rsid w:val="00E62977"/>
  </w:style>
  <w:style w:type="paragraph" w:styleId="Index2">
    <w:name w:val="index 2"/>
    <w:basedOn w:val="Normal"/>
    <w:next w:val="Normal"/>
    <w:semiHidden/>
    <w:rsid w:val="00E62977"/>
    <w:pPr>
      <w:ind w:left="283"/>
    </w:pPr>
  </w:style>
  <w:style w:type="paragraph" w:styleId="Index3">
    <w:name w:val="index 3"/>
    <w:basedOn w:val="Normal"/>
    <w:next w:val="Normal"/>
    <w:semiHidden/>
    <w:rsid w:val="00E62977"/>
    <w:pPr>
      <w:ind w:left="566"/>
    </w:pPr>
  </w:style>
  <w:style w:type="paragraph" w:styleId="IndexHeading">
    <w:name w:val="index heading"/>
    <w:basedOn w:val="Normal"/>
    <w:next w:val="Index1"/>
    <w:semiHidden/>
    <w:rsid w:val="00E62977"/>
  </w:style>
  <w:style w:type="paragraph" w:customStyle="1" w:styleId="Line">
    <w:name w:val="Line"/>
    <w:basedOn w:val="Normal"/>
    <w:next w:val="Normal"/>
    <w:rsid w:val="00E6297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6297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62977"/>
  </w:style>
  <w:style w:type="paragraph" w:customStyle="1" w:styleId="Partref">
    <w:name w:val="Part_ref"/>
    <w:basedOn w:val="Normal"/>
    <w:next w:val="Normal"/>
    <w:rsid w:val="00E62977"/>
    <w:pPr>
      <w:keepNext/>
      <w:keepLines/>
      <w:spacing w:after="280"/>
      <w:jc w:val="center"/>
    </w:pPr>
  </w:style>
  <w:style w:type="paragraph" w:customStyle="1" w:styleId="Parttitle">
    <w:name w:val="Part_title"/>
    <w:basedOn w:val="Normal"/>
    <w:next w:val="Normalaftertitle"/>
    <w:rsid w:val="00E6297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62977"/>
  </w:style>
  <w:style w:type="paragraph" w:customStyle="1" w:styleId="QuestionNo">
    <w:name w:val="Question_No"/>
    <w:basedOn w:val="RecNo"/>
    <w:next w:val="Normal"/>
    <w:rsid w:val="00E62977"/>
  </w:style>
  <w:style w:type="paragraph" w:customStyle="1" w:styleId="Questionref">
    <w:name w:val="Question_ref"/>
    <w:basedOn w:val="Recref"/>
    <w:next w:val="Questiondate"/>
    <w:rsid w:val="00E62977"/>
  </w:style>
  <w:style w:type="paragraph" w:customStyle="1" w:styleId="Questiontitle">
    <w:name w:val="Question_title"/>
    <w:basedOn w:val="Normal"/>
    <w:next w:val="Questionref"/>
    <w:rsid w:val="00E62977"/>
  </w:style>
  <w:style w:type="paragraph" w:customStyle="1" w:styleId="Reftext">
    <w:name w:val="Ref_text"/>
    <w:basedOn w:val="Normal"/>
    <w:rsid w:val="00E62977"/>
    <w:pPr>
      <w:ind w:left="794" w:hanging="794"/>
    </w:pPr>
    <w:rPr>
      <w:sz w:val="22"/>
    </w:rPr>
  </w:style>
  <w:style w:type="paragraph" w:customStyle="1" w:styleId="Reftitle">
    <w:name w:val="Ref_title"/>
    <w:basedOn w:val="Normal"/>
    <w:next w:val="Reftext"/>
    <w:rsid w:val="00E6297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62977"/>
  </w:style>
  <w:style w:type="paragraph" w:customStyle="1" w:styleId="RepNo">
    <w:name w:val="Rep_No"/>
    <w:basedOn w:val="RecNo"/>
    <w:next w:val="Reptitle"/>
    <w:rsid w:val="00E62977"/>
  </w:style>
  <w:style w:type="paragraph" w:customStyle="1" w:styleId="Repref">
    <w:name w:val="Rep_ref"/>
    <w:basedOn w:val="Recref"/>
    <w:next w:val="Repdate"/>
    <w:rsid w:val="00E62977"/>
  </w:style>
  <w:style w:type="paragraph" w:customStyle="1" w:styleId="Reptitle">
    <w:name w:val="Rep_title"/>
    <w:basedOn w:val="Rectitle"/>
    <w:next w:val="Repref"/>
    <w:rsid w:val="00E62977"/>
  </w:style>
  <w:style w:type="paragraph" w:customStyle="1" w:styleId="Resdate">
    <w:name w:val="Res_date"/>
    <w:basedOn w:val="Recdate"/>
    <w:next w:val="Normalaftertitle"/>
    <w:rsid w:val="00E62977"/>
  </w:style>
  <w:style w:type="paragraph" w:customStyle="1" w:styleId="ResNo">
    <w:name w:val="Res_No"/>
    <w:basedOn w:val="RecNo"/>
    <w:next w:val="Restitle"/>
    <w:rsid w:val="00E62977"/>
  </w:style>
  <w:style w:type="paragraph" w:customStyle="1" w:styleId="Resref">
    <w:name w:val="Res_ref"/>
    <w:basedOn w:val="Recref"/>
    <w:next w:val="Resdate"/>
    <w:rsid w:val="00E62977"/>
  </w:style>
  <w:style w:type="paragraph" w:customStyle="1" w:styleId="Restitle">
    <w:name w:val="Res_title"/>
    <w:basedOn w:val="Normal"/>
    <w:next w:val="Resref"/>
    <w:rsid w:val="00E62977"/>
    <w:pPr>
      <w:spacing w:before="240"/>
      <w:jc w:val="center"/>
    </w:pPr>
    <w:rPr>
      <w:b/>
      <w:sz w:val="28"/>
    </w:rPr>
  </w:style>
  <w:style w:type="paragraph" w:customStyle="1" w:styleId="SectionNo">
    <w:name w:val="Section_No"/>
    <w:basedOn w:val="Normal"/>
    <w:next w:val="Normal"/>
    <w:rsid w:val="00E62977"/>
  </w:style>
  <w:style w:type="paragraph" w:customStyle="1" w:styleId="Sectiontitle">
    <w:name w:val="Section_title"/>
    <w:basedOn w:val="Normal"/>
    <w:next w:val="Normalaftertitle"/>
    <w:rsid w:val="00E6297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62977"/>
    <w:pPr>
      <w:tabs>
        <w:tab w:val="clear" w:pos="794"/>
        <w:tab w:val="clear" w:pos="1191"/>
        <w:tab w:val="clear" w:pos="1588"/>
        <w:tab w:val="clear" w:pos="1985"/>
        <w:tab w:val="right" w:pos="9611"/>
      </w:tabs>
    </w:pPr>
    <w:rPr>
      <w:i/>
    </w:rPr>
  </w:style>
  <w:style w:type="paragraph" w:styleId="TOC1">
    <w:name w:val="toc 1"/>
    <w:basedOn w:val="Normal"/>
    <w:semiHidden/>
    <w:rsid w:val="00E6297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62977"/>
    <w:pPr>
      <w:tabs>
        <w:tab w:val="clear" w:pos="567"/>
        <w:tab w:val="left" w:pos="1276"/>
      </w:tabs>
      <w:spacing w:before="160"/>
      <w:ind w:left="1276" w:hanging="709"/>
    </w:pPr>
  </w:style>
  <w:style w:type="paragraph" w:styleId="TOC3">
    <w:name w:val="toc 3"/>
    <w:basedOn w:val="TOC2"/>
    <w:semiHidden/>
    <w:rsid w:val="00E62977"/>
    <w:pPr>
      <w:tabs>
        <w:tab w:val="clear" w:pos="1276"/>
        <w:tab w:val="left" w:pos="2155"/>
      </w:tabs>
      <w:ind w:left="2155" w:hanging="879"/>
    </w:pPr>
  </w:style>
  <w:style w:type="paragraph" w:styleId="TOC4">
    <w:name w:val="toc 4"/>
    <w:basedOn w:val="TOC3"/>
    <w:semiHidden/>
    <w:rsid w:val="00E62977"/>
    <w:pPr>
      <w:tabs>
        <w:tab w:val="left" w:pos="3261"/>
      </w:tabs>
      <w:spacing w:before="80"/>
      <w:ind w:left="3261" w:hanging="993"/>
    </w:pPr>
  </w:style>
  <w:style w:type="paragraph" w:styleId="TOC5">
    <w:name w:val="toc 5"/>
    <w:basedOn w:val="TOC4"/>
    <w:semiHidden/>
    <w:rsid w:val="00E62977"/>
  </w:style>
  <w:style w:type="paragraph" w:styleId="TOC6">
    <w:name w:val="toc 6"/>
    <w:basedOn w:val="TOC4"/>
    <w:semiHidden/>
    <w:rsid w:val="00E62977"/>
  </w:style>
  <w:style w:type="paragraph" w:styleId="TOC7">
    <w:name w:val="toc 7"/>
    <w:basedOn w:val="TOC4"/>
    <w:semiHidden/>
    <w:rsid w:val="00E62977"/>
  </w:style>
  <w:style w:type="paragraph" w:styleId="TOC8">
    <w:name w:val="toc 8"/>
    <w:basedOn w:val="TOC4"/>
    <w:semiHidden/>
    <w:rsid w:val="00E62977"/>
  </w:style>
  <w:style w:type="paragraph" w:customStyle="1" w:styleId="Rectitle">
    <w:name w:val="Rec_title"/>
    <w:basedOn w:val="Normal"/>
    <w:next w:val="Recref"/>
    <w:rsid w:val="00E62977"/>
    <w:pPr>
      <w:keepNext/>
      <w:keepLines/>
      <w:spacing w:before="240"/>
      <w:jc w:val="center"/>
    </w:pPr>
    <w:rPr>
      <w:b/>
      <w:sz w:val="28"/>
    </w:rPr>
  </w:style>
  <w:style w:type="paragraph" w:customStyle="1" w:styleId="Annexref">
    <w:name w:val="Annex_ref"/>
    <w:basedOn w:val="Normal"/>
    <w:next w:val="Normalaftertitle"/>
    <w:rsid w:val="00E62977"/>
    <w:pPr>
      <w:keepNext/>
      <w:keepLines/>
      <w:spacing w:after="280"/>
      <w:jc w:val="center"/>
    </w:pPr>
  </w:style>
  <w:style w:type="paragraph" w:customStyle="1" w:styleId="Appendixref">
    <w:name w:val="Appendix_ref"/>
    <w:basedOn w:val="Annexref"/>
    <w:next w:val="Normalaftertitle"/>
    <w:rsid w:val="00E62977"/>
  </w:style>
  <w:style w:type="paragraph" w:customStyle="1" w:styleId="Figuretitle">
    <w:name w:val="Figure_title"/>
    <w:basedOn w:val="Normal"/>
    <w:next w:val="Figure"/>
    <w:rsid w:val="00E6297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62977"/>
    <w:pPr>
      <w:keepNext/>
      <w:spacing w:before="0" w:after="120"/>
      <w:jc w:val="center"/>
    </w:pPr>
    <w:rPr>
      <w:b/>
    </w:rPr>
  </w:style>
  <w:style w:type="paragraph" w:customStyle="1" w:styleId="Summary">
    <w:name w:val="Summary"/>
    <w:basedOn w:val="Normal"/>
    <w:next w:val="Normalaftertitle"/>
    <w:autoRedefine/>
    <w:rsid w:val="00E62977"/>
    <w:pPr>
      <w:spacing w:after="240"/>
    </w:pPr>
    <w:rPr>
      <w:sz w:val="22"/>
      <w:lang w:val="en-GB"/>
    </w:rPr>
  </w:style>
  <w:style w:type="paragraph" w:customStyle="1" w:styleId="TableLegendNote">
    <w:name w:val="Table_Legend_Note"/>
    <w:basedOn w:val="Tablelegend"/>
    <w:next w:val="Tablelegend"/>
    <w:rsid w:val="00E62977"/>
    <w:pPr>
      <w:ind w:left="-85" w:firstLine="0"/>
    </w:pPr>
    <w:rPr>
      <w:lang w:val="en-US"/>
    </w:rPr>
  </w:style>
  <w:style w:type="paragraph" w:customStyle="1" w:styleId="Figure">
    <w:name w:val="Figure"/>
    <w:basedOn w:val="FigureNo"/>
    <w:next w:val="Normal"/>
    <w:rsid w:val="00E62977"/>
    <w:pPr>
      <w:keepNext w:val="0"/>
      <w:spacing w:before="0" w:after="240"/>
    </w:pPr>
  </w:style>
  <w:style w:type="character" w:styleId="Hyperlink">
    <w:name w:val="Hyperlink"/>
    <w:basedOn w:val="DefaultParagraphFont"/>
    <w:rsid w:val="00AB79C9"/>
    <w:rPr>
      <w:color w:val="0000FF"/>
      <w:u w:val="single"/>
    </w:rPr>
  </w:style>
  <w:style w:type="character" w:customStyle="1" w:styleId="Artref">
    <w:name w:val="Art_ref"/>
    <w:basedOn w:val="DefaultParagraphFont"/>
    <w:rsid w:val="00E62977"/>
  </w:style>
  <w:style w:type="character" w:customStyle="1" w:styleId="FooterChar">
    <w:name w:val="Footer Char"/>
    <w:basedOn w:val="DefaultParagraphFont"/>
    <w:link w:val="Footer"/>
    <w:rsid w:val="00E62977"/>
    <w:rPr>
      <w:noProof/>
      <w:sz w:val="18"/>
      <w:lang w:val="fr-FR" w:eastAsia="en-US"/>
    </w:rPr>
  </w:style>
  <w:style w:type="character" w:customStyle="1" w:styleId="HeaderChar">
    <w:name w:val="Header Char"/>
    <w:basedOn w:val="DefaultParagraphFont"/>
    <w:link w:val="Header"/>
    <w:rsid w:val="00E62977"/>
    <w:rPr>
      <w:sz w:val="24"/>
      <w:lang w:val="fr-FR" w:eastAsia="en-US"/>
    </w:rPr>
  </w:style>
  <w:style w:type="character" w:customStyle="1" w:styleId="TabletextChar">
    <w:name w:val="Table_text Char"/>
    <w:link w:val="Tabletext"/>
    <w:locked/>
    <w:rsid w:val="00E62977"/>
    <w:rPr>
      <w:sz w:val="22"/>
      <w:lang w:val="fr-FR" w:eastAsia="en-US"/>
    </w:rPr>
  </w:style>
  <w:style w:type="character" w:customStyle="1" w:styleId="TableNoChar">
    <w:name w:val="Table_No Char"/>
    <w:link w:val="TableNo"/>
    <w:locked/>
    <w:rsid w:val="00E62977"/>
    <w:rPr>
      <w:sz w:val="24"/>
      <w:lang w:val="fr-FR" w:eastAsia="en-US"/>
    </w:rPr>
  </w:style>
  <w:style w:type="character" w:customStyle="1" w:styleId="TabletitleChar">
    <w:name w:val="Table_title Char"/>
    <w:link w:val="Tabletitle"/>
    <w:locked/>
    <w:rsid w:val="00E62977"/>
    <w:rPr>
      <w:b/>
      <w:sz w:val="24"/>
      <w:lang w:val="fr-FR" w:eastAsia="en-US"/>
    </w:rPr>
  </w:style>
  <w:style w:type="character" w:customStyle="1" w:styleId="HeadingbChar">
    <w:name w:val="Heading_b Char"/>
    <w:link w:val="Headingb"/>
    <w:locked/>
    <w:rsid w:val="00E62977"/>
    <w:rPr>
      <w:b/>
      <w:sz w:val="24"/>
      <w:lang w:val="fr-FR" w:eastAsia="en-US"/>
    </w:rPr>
  </w:style>
  <w:style w:type="table" w:styleId="TableGrid">
    <w:name w:val="Table Grid"/>
    <w:basedOn w:val="TableNormal"/>
    <w:rsid w:val="00E6297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TotalTime>
  <Pages>13</Pages>
  <Words>3508</Words>
  <Characters>20310</Characters>
  <Application>Microsoft Office Word</Application>
  <DocSecurity>0</DocSecurity>
  <Lines>441</Lines>
  <Paragraphs>248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23570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S.1782-1 - Guidelines on global broadband Internet access  by fixed-satellite service systems*</dc:title>
  <dc:subject>S Series = Fixed-satellite service</dc:subject>
  <dc:creator>ITU Radiocommunication Bureau (BR)</dc:creator>
  <cp:keywords>S,1782-1</cp:keywords>
  <dc:description>Gachetc, 02/10/2019, ITU51013811</dc:description>
  <cp:lastModifiedBy>Gachet, Christelle</cp:lastModifiedBy>
  <cp:revision>19</cp:revision>
  <cp:lastPrinted>2019-09-16T13:33:00Z</cp:lastPrinted>
  <dcterms:created xsi:type="dcterms:W3CDTF">2019-09-16T12:05:00Z</dcterms:created>
  <dcterms:modified xsi:type="dcterms:W3CDTF">2019-10-02T14:03:00Z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October 2019</vt:lpwstr>
  </property>
</Properties>
</file>