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F03FD" w14:textId="77777777" w:rsidR="00B1717A" w:rsidRPr="001A047E" w:rsidRDefault="00B1717A" w:rsidP="00B1717A">
      <w:pPr>
        <w:rPr>
          <w:lang w:val="es-ES_tradnl"/>
        </w:rPr>
      </w:pPr>
    </w:p>
    <w:p w14:paraId="06B8E159" w14:textId="77777777" w:rsidR="00B1717A" w:rsidRPr="001A047E" w:rsidRDefault="00B1717A" w:rsidP="00B1717A">
      <w:pPr>
        <w:rPr>
          <w:lang w:val="es-ES_tradnl"/>
        </w:rPr>
      </w:pPr>
    </w:p>
    <w:p w14:paraId="7DA9BE0A" w14:textId="77777777" w:rsidR="00B1717A" w:rsidRPr="001A047E" w:rsidRDefault="00B1717A" w:rsidP="00B1717A">
      <w:pPr>
        <w:rPr>
          <w:lang w:val="es-ES_tradnl"/>
        </w:rPr>
      </w:pPr>
    </w:p>
    <w:p w14:paraId="73EC7400" w14:textId="77777777" w:rsidR="00B1717A" w:rsidRPr="001A047E" w:rsidRDefault="00B1717A" w:rsidP="00B1717A">
      <w:pPr>
        <w:rPr>
          <w:lang w:val="es-ES_tradnl"/>
        </w:rPr>
      </w:pPr>
    </w:p>
    <w:p w14:paraId="512B1345" w14:textId="77777777" w:rsidR="00B1717A" w:rsidRPr="001A047E" w:rsidRDefault="00B1717A" w:rsidP="00B1717A">
      <w:pPr>
        <w:rPr>
          <w:lang w:val="es-ES_tradnl"/>
        </w:rPr>
      </w:pPr>
    </w:p>
    <w:p w14:paraId="7C8F0DDD" w14:textId="77777777" w:rsidR="00B1717A" w:rsidRPr="001A047E" w:rsidRDefault="00B1717A" w:rsidP="00B1717A">
      <w:pPr>
        <w:rPr>
          <w:lang w:val="es-ES_tradnl"/>
        </w:rPr>
      </w:pPr>
    </w:p>
    <w:p w14:paraId="1713C249" w14:textId="77777777" w:rsidR="00B1717A" w:rsidRPr="001A047E" w:rsidRDefault="00B1717A" w:rsidP="00B1717A">
      <w:pPr>
        <w:rPr>
          <w:lang w:val="es-ES_tradnl"/>
        </w:rPr>
      </w:pPr>
    </w:p>
    <w:p w14:paraId="6C112CAE" w14:textId="77777777" w:rsidR="00B1717A" w:rsidRPr="001A047E" w:rsidRDefault="00B1717A" w:rsidP="00B1717A">
      <w:pPr>
        <w:rPr>
          <w:lang w:val="es-ES_tradnl"/>
        </w:rPr>
      </w:pPr>
    </w:p>
    <w:p w14:paraId="69EBF7F5" w14:textId="77777777" w:rsidR="00B1717A" w:rsidRPr="001A047E" w:rsidRDefault="00B1717A" w:rsidP="00B1717A">
      <w:pPr>
        <w:rPr>
          <w:lang w:val="es-ES_tradnl"/>
        </w:rPr>
      </w:pPr>
    </w:p>
    <w:p w14:paraId="1C946FD0" w14:textId="77777777" w:rsidR="00B1717A" w:rsidRPr="001A047E" w:rsidRDefault="00B1717A" w:rsidP="00B1717A">
      <w:pPr>
        <w:rPr>
          <w:lang w:val="es-ES_tradnl"/>
        </w:rPr>
      </w:pPr>
    </w:p>
    <w:p w14:paraId="05923111" w14:textId="77777777" w:rsidR="00B1717A" w:rsidRPr="001A047E" w:rsidRDefault="00B1717A" w:rsidP="00B1717A">
      <w:pPr>
        <w:rPr>
          <w:lang w:val="es-ES_tradnl"/>
        </w:rPr>
      </w:pPr>
    </w:p>
    <w:p w14:paraId="54711CFC" w14:textId="77777777" w:rsidR="00B1717A" w:rsidRPr="001A047E" w:rsidRDefault="00B1717A" w:rsidP="00B1717A">
      <w:pPr>
        <w:rPr>
          <w:lang w:val="es-ES_tradnl"/>
        </w:rPr>
      </w:pPr>
    </w:p>
    <w:tbl>
      <w:tblPr>
        <w:tblW w:w="10089" w:type="dxa"/>
        <w:tblLook w:val="01E0" w:firstRow="1" w:lastRow="1" w:firstColumn="1" w:lastColumn="1" w:noHBand="0" w:noVBand="0"/>
      </w:tblPr>
      <w:tblGrid>
        <w:gridCol w:w="10089"/>
      </w:tblGrid>
      <w:tr w:rsidR="00B1717A" w:rsidRPr="001A047E" w14:paraId="420E3A7B" w14:textId="77777777" w:rsidTr="00D62884">
        <w:tc>
          <w:tcPr>
            <w:tcW w:w="10089" w:type="dxa"/>
          </w:tcPr>
          <w:p w14:paraId="1271D826" w14:textId="77777777" w:rsidR="00B1717A" w:rsidRPr="001A047E" w:rsidRDefault="00B1717A" w:rsidP="00D62884">
            <w:pPr>
              <w:spacing w:before="380" w:line="280" w:lineRule="exact"/>
              <w:jc w:val="right"/>
              <w:rPr>
                <w:rFonts w:ascii="Tahoma" w:hAnsi="Tahoma" w:cs="Tahoma"/>
                <w:b/>
                <w:bCs/>
                <w:iCs/>
                <w:color w:val="243285"/>
                <w:sz w:val="32"/>
                <w:szCs w:val="32"/>
                <w:lang w:val="es-ES_tradnl"/>
              </w:rPr>
            </w:pPr>
          </w:p>
          <w:p w14:paraId="347DF329" w14:textId="09B849DA" w:rsidR="00B1717A" w:rsidRPr="001A047E" w:rsidRDefault="00B1717A" w:rsidP="00D12388">
            <w:pPr>
              <w:spacing w:before="380" w:line="280" w:lineRule="exact"/>
              <w:jc w:val="right"/>
              <w:rPr>
                <w:rFonts w:ascii="Tahoma" w:hAnsi="Tahoma" w:cs="Tahoma"/>
                <w:b/>
                <w:bCs/>
                <w:iCs/>
                <w:color w:val="243285"/>
                <w:sz w:val="36"/>
                <w:szCs w:val="36"/>
                <w:lang w:val="es-ES_tradnl"/>
              </w:rPr>
            </w:pPr>
            <w:r w:rsidRPr="001A047E">
              <w:rPr>
                <w:rFonts w:ascii="Tahoma" w:hAnsi="Tahoma" w:cs="Tahoma"/>
                <w:b/>
                <w:bCs/>
                <w:iCs/>
                <w:color w:val="243285"/>
                <w:sz w:val="36"/>
                <w:szCs w:val="36"/>
                <w:lang w:val="es-ES_tradnl"/>
              </w:rPr>
              <w:t xml:space="preserve">Recomendación  UIT-R  </w:t>
            </w:r>
            <w:r w:rsidR="009D2184" w:rsidRPr="007D31CE">
              <w:rPr>
                <w:rFonts w:ascii="Tahoma" w:hAnsi="Tahoma" w:cs="Tahoma"/>
                <w:b/>
                <w:bCs/>
                <w:iCs/>
                <w:color w:val="243285"/>
                <w:sz w:val="36"/>
                <w:szCs w:val="36"/>
                <w:lang w:val="es-ES"/>
              </w:rPr>
              <w:t>S.1587-3</w:t>
            </w:r>
          </w:p>
          <w:p w14:paraId="5EE63F10" w14:textId="63165FD6" w:rsidR="00B1717A" w:rsidRPr="001A047E" w:rsidRDefault="009D2184" w:rsidP="00177138">
            <w:pPr>
              <w:spacing w:before="80" w:line="280" w:lineRule="exact"/>
              <w:jc w:val="right"/>
              <w:rPr>
                <w:rFonts w:ascii="Tahoma" w:hAnsi="Tahoma" w:cs="Tahoma"/>
                <w:b/>
                <w:bCs/>
                <w:iCs/>
                <w:color w:val="243285"/>
                <w:szCs w:val="24"/>
                <w:lang w:val="es-ES_tradnl"/>
              </w:rPr>
            </w:pPr>
            <w:r w:rsidRPr="007D31CE">
              <w:rPr>
                <w:rFonts w:ascii="Tahoma" w:hAnsi="Tahoma" w:cs="Tahoma"/>
                <w:b/>
                <w:bCs/>
                <w:iCs/>
                <w:color w:val="243285"/>
                <w:szCs w:val="24"/>
                <w:lang w:val="es-ES"/>
              </w:rPr>
              <w:t>(09/2015)</w:t>
            </w:r>
          </w:p>
        </w:tc>
      </w:tr>
      <w:tr w:rsidR="00B1717A" w:rsidRPr="00F06FBA" w14:paraId="49FB5161" w14:textId="77777777" w:rsidTr="00D62884">
        <w:tc>
          <w:tcPr>
            <w:tcW w:w="10089" w:type="dxa"/>
          </w:tcPr>
          <w:p w14:paraId="36E64937" w14:textId="77777777" w:rsidR="00B1717A" w:rsidRPr="001A047E" w:rsidRDefault="00B1717A" w:rsidP="00D62884">
            <w:pPr>
              <w:spacing w:before="80" w:line="500" w:lineRule="exact"/>
              <w:jc w:val="right"/>
              <w:rPr>
                <w:rFonts w:ascii="Tahoma" w:hAnsi="Tahoma" w:cs="Tahoma"/>
                <w:b/>
                <w:bCs/>
                <w:iCs/>
                <w:color w:val="243285"/>
                <w:sz w:val="44"/>
                <w:szCs w:val="44"/>
                <w:lang w:val="es-ES_tradnl"/>
              </w:rPr>
            </w:pPr>
          </w:p>
          <w:p w14:paraId="3B93963A" w14:textId="2C323D79" w:rsidR="00B1717A" w:rsidRPr="001A047E" w:rsidRDefault="009D2184" w:rsidP="00D62884">
            <w:pPr>
              <w:spacing w:before="80" w:line="500" w:lineRule="exact"/>
              <w:jc w:val="right"/>
              <w:rPr>
                <w:rFonts w:ascii="Tahoma" w:hAnsi="Tahoma" w:cs="Tahoma"/>
                <w:b/>
                <w:bCs/>
                <w:color w:val="243285"/>
                <w:sz w:val="44"/>
                <w:szCs w:val="44"/>
                <w:lang w:val="es-ES_tradnl"/>
              </w:rPr>
            </w:pPr>
            <w:r w:rsidRPr="00763B72">
              <w:rPr>
                <w:rFonts w:ascii="Tahoma" w:hAnsi="Tahoma" w:cs="Tahoma"/>
                <w:b/>
                <w:bCs/>
                <w:iCs/>
                <w:color w:val="243285"/>
                <w:sz w:val="44"/>
                <w:szCs w:val="44"/>
                <w:lang w:val="es-ES"/>
              </w:rPr>
              <w:t>Características técnicas de las estaciones terrenas a bordo de barcos</w:t>
            </w:r>
            <w:r>
              <w:rPr>
                <w:rFonts w:ascii="Tahoma" w:hAnsi="Tahoma" w:cs="Tahoma"/>
                <w:b/>
                <w:bCs/>
                <w:iCs/>
                <w:color w:val="243285"/>
                <w:sz w:val="44"/>
                <w:szCs w:val="44"/>
                <w:lang w:val="es-ES"/>
              </w:rPr>
              <w:t xml:space="preserve"> </w:t>
            </w:r>
            <w:r w:rsidRPr="00763B72">
              <w:rPr>
                <w:rFonts w:ascii="Tahoma" w:hAnsi="Tahoma" w:cs="Tahoma"/>
                <w:b/>
                <w:bCs/>
                <w:iCs/>
                <w:color w:val="243285"/>
                <w:sz w:val="44"/>
                <w:szCs w:val="44"/>
                <w:lang w:val="es-ES"/>
              </w:rPr>
              <w:t>que</w:t>
            </w:r>
            <w:r>
              <w:rPr>
                <w:rFonts w:ascii="Tahoma" w:hAnsi="Tahoma" w:cs="Tahoma"/>
                <w:b/>
                <w:bCs/>
                <w:iCs/>
                <w:color w:val="243285"/>
                <w:sz w:val="44"/>
                <w:szCs w:val="44"/>
                <w:lang w:val="es-ES"/>
              </w:rPr>
              <w:t xml:space="preserve"> </w:t>
            </w:r>
            <w:r w:rsidRPr="00763B72">
              <w:rPr>
                <w:rFonts w:ascii="Tahoma" w:hAnsi="Tahoma" w:cs="Tahoma"/>
                <w:b/>
                <w:bCs/>
                <w:iCs/>
                <w:color w:val="243285"/>
                <w:sz w:val="44"/>
                <w:szCs w:val="44"/>
                <w:lang w:val="es-ES"/>
              </w:rPr>
              <w:t>se comunican con satélites del SFS en las bandas</w:t>
            </w:r>
            <w:r w:rsidRPr="007D31CE">
              <w:rPr>
                <w:rFonts w:ascii="Tahoma" w:hAnsi="Tahoma" w:cs="Tahoma"/>
                <w:b/>
                <w:bCs/>
                <w:iCs/>
                <w:color w:val="243285"/>
                <w:sz w:val="44"/>
                <w:szCs w:val="44"/>
                <w:lang w:val="es-ES"/>
              </w:rPr>
              <w:t xml:space="preserve"> d</w:t>
            </w:r>
            <w:r w:rsidRPr="00763B72">
              <w:rPr>
                <w:rFonts w:ascii="Tahoma" w:hAnsi="Tahoma" w:cs="Tahoma"/>
                <w:b/>
                <w:bCs/>
                <w:iCs/>
                <w:color w:val="243285"/>
                <w:sz w:val="44"/>
                <w:szCs w:val="44"/>
                <w:lang w:val="es-ES"/>
              </w:rPr>
              <w:t>e frecuencia 5 925-6 425 MHz</w:t>
            </w:r>
            <w:r>
              <w:rPr>
                <w:rFonts w:ascii="Tahoma" w:hAnsi="Tahoma" w:cs="Tahoma"/>
                <w:b/>
                <w:bCs/>
                <w:iCs/>
                <w:color w:val="243285"/>
                <w:sz w:val="44"/>
                <w:szCs w:val="44"/>
                <w:lang w:val="es-ES"/>
              </w:rPr>
              <w:br/>
            </w:r>
            <w:r w:rsidRPr="00763B72">
              <w:rPr>
                <w:rFonts w:ascii="Tahoma" w:hAnsi="Tahoma" w:cs="Tahoma"/>
                <w:b/>
                <w:bCs/>
                <w:iCs/>
                <w:color w:val="243285"/>
                <w:sz w:val="44"/>
                <w:szCs w:val="44"/>
                <w:lang w:val="es-ES"/>
              </w:rPr>
              <w:t>y 14-14,5 GHz atribuidas al servicio</w:t>
            </w:r>
            <w:r>
              <w:rPr>
                <w:rFonts w:ascii="Tahoma" w:hAnsi="Tahoma" w:cs="Tahoma"/>
                <w:b/>
                <w:bCs/>
                <w:iCs/>
                <w:color w:val="243285"/>
                <w:sz w:val="44"/>
                <w:szCs w:val="44"/>
                <w:lang w:val="es-ES"/>
              </w:rPr>
              <w:br/>
            </w:r>
            <w:r w:rsidRPr="00763B72">
              <w:rPr>
                <w:rFonts w:ascii="Tahoma" w:hAnsi="Tahoma" w:cs="Tahoma"/>
                <w:b/>
                <w:bCs/>
                <w:iCs/>
                <w:color w:val="243285"/>
                <w:sz w:val="44"/>
                <w:szCs w:val="44"/>
                <w:lang w:val="es-ES"/>
              </w:rPr>
              <w:t>fijo por satélite</w:t>
            </w:r>
          </w:p>
          <w:p w14:paraId="27F70158" w14:textId="77777777" w:rsidR="00B1717A" w:rsidRPr="001A047E" w:rsidRDefault="00B1717A" w:rsidP="00D62884">
            <w:pPr>
              <w:spacing w:before="80" w:line="500" w:lineRule="exact"/>
              <w:jc w:val="right"/>
              <w:rPr>
                <w:rFonts w:ascii="Tahoma" w:hAnsi="Tahoma" w:cs="Tahoma"/>
                <w:b/>
                <w:bCs/>
                <w:iCs/>
                <w:color w:val="243285"/>
                <w:sz w:val="44"/>
                <w:szCs w:val="44"/>
                <w:lang w:val="es-ES_tradnl"/>
              </w:rPr>
            </w:pPr>
          </w:p>
        </w:tc>
      </w:tr>
      <w:tr w:rsidR="00B1717A" w:rsidRPr="00F06FBA" w14:paraId="0547763C" w14:textId="77777777" w:rsidTr="00D62884">
        <w:tc>
          <w:tcPr>
            <w:tcW w:w="10089" w:type="dxa"/>
          </w:tcPr>
          <w:p w14:paraId="496DC9DC" w14:textId="77777777" w:rsidR="00B1717A" w:rsidRPr="001A047E" w:rsidRDefault="00B1717A" w:rsidP="00D62884">
            <w:pPr>
              <w:spacing w:before="80" w:line="280" w:lineRule="exact"/>
              <w:ind w:right="640"/>
              <w:rPr>
                <w:rFonts w:ascii="Tahoma" w:hAnsi="Tahoma" w:cs="Tahoma"/>
                <w:b/>
                <w:bCs/>
                <w:iCs/>
                <w:color w:val="243285"/>
                <w:sz w:val="32"/>
                <w:szCs w:val="32"/>
                <w:lang w:val="es-ES_tradnl"/>
              </w:rPr>
            </w:pPr>
          </w:p>
          <w:p w14:paraId="13E5CBAD" w14:textId="77777777" w:rsidR="00B1717A" w:rsidRPr="001A047E" w:rsidRDefault="00B1717A" w:rsidP="00D62884">
            <w:pPr>
              <w:spacing w:before="80" w:line="280" w:lineRule="exact"/>
              <w:ind w:right="640"/>
              <w:rPr>
                <w:rFonts w:ascii="Tahoma" w:hAnsi="Tahoma" w:cs="Tahoma"/>
                <w:b/>
                <w:bCs/>
                <w:iCs/>
                <w:color w:val="243285"/>
                <w:sz w:val="32"/>
                <w:szCs w:val="32"/>
                <w:lang w:val="es-ES_tradnl"/>
              </w:rPr>
            </w:pPr>
          </w:p>
          <w:p w14:paraId="71C35BA6" w14:textId="77777777" w:rsidR="00B1717A" w:rsidRPr="001A047E" w:rsidRDefault="00B1717A" w:rsidP="00D62884">
            <w:pPr>
              <w:spacing w:before="80" w:after="180" w:line="360" w:lineRule="exact"/>
              <w:ind w:right="720"/>
              <w:rPr>
                <w:rFonts w:ascii="Tahoma" w:hAnsi="Tahoma" w:cs="Tahoma"/>
                <w:b/>
                <w:bCs/>
                <w:iCs/>
                <w:color w:val="243285"/>
                <w:sz w:val="36"/>
                <w:szCs w:val="36"/>
                <w:lang w:val="es-ES_tradnl"/>
              </w:rPr>
            </w:pPr>
          </w:p>
          <w:p w14:paraId="6E9FEB29" w14:textId="77777777" w:rsidR="00B1717A" w:rsidRPr="001A047E" w:rsidRDefault="00B1717A" w:rsidP="00D12388">
            <w:pPr>
              <w:spacing w:before="80" w:after="180" w:line="360" w:lineRule="exact"/>
              <w:jc w:val="right"/>
              <w:rPr>
                <w:rFonts w:ascii="Tahoma" w:hAnsi="Tahoma" w:cs="Tahoma"/>
                <w:b/>
                <w:bCs/>
                <w:iCs/>
                <w:color w:val="243285"/>
                <w:sz w:val="36"/>
                <w:szCs w:val="36"/>
                <w:lang w:val="es-ES_tradnl"/>
              </w:rPr>
            </w:pPr>
            <w:r w:rsidRPr="001A047E">
              <w:rPr>
                <w:rFonts w:ascii="Tahoma" w:hAnsi="Tahoma" w:cs="Tahoma"/>
                <w:b/>
                <w:bCs/>
                <w:iCs/>
                <w:color w:val="243285"/>
                <w:sz w:val="36"/>
                <w:szCs w:val="36"/>
                <w:lang w:val="es-ES_tradnl"/>
              </w:rPr>
              <w:t xml:space="preserve">Serie </w:t>
            </w:r>
            <w:r w:rsidR="00DE71F7" w:rsidRPr="001A047E">
              <w:rPr>
                <w:rFonts w:ascii="Tahoma" w:hAnsi="Tahoma" w:cs="Tahoma"/>
                <w:b/>
                <w:bCs/>
                <w:iCs/>
                <w:color w:val="243285"/>
                <w:sz w:val="36"/>
                <w:szCs w:val="36"/>
                <w:lang w:val="es-ES_tradnl"/>
              </w:rPr>
              <w:t>S</w:t>
            </w:r>
          </w:p>
          <w:p w14:paraId="080D677A" w14:textId="77777777" w:rsidR="00B1717A" w:rsidRPr="001A047E" w:rsidRDefault="00D12388" w:rsidP="00D62884">
            <w:pPr>
              <w:spacing w:before="80" w:line="420" w:lineRule="exact"/>
              <w:jc w:val="right"/>
              <w:rPr>
                <w:rFonts w:ascii="Tahoma" w:hAnsi="Tahoma" w:cs="Tahoma"/>
                <w:b/>
                <w:bCs/>
                <w:iCs/>
                <w:color w:val="243285"/>
                <w:sz w:val="36"/>
                <w:szCs w:val="36"/>
                <w:lang w:val="es-ES_tradnl"/>
              </w:rPr>
            </w:pPr>
            <w:r w:rsidRPr="001A047E">
              <w:rPr>
                <w:rFonts w:ascii="Tahoma" w:hAnsi="Tahoma" w:cs="Tahoma"/>
                <w:b/>
                <w:bCs/>
                <w:iCs/>
                <w:color w:val="243285"/>
                <w:sz w:val="36"/>
                <w:szCs w:val="36"/>
                <w:lang w:val="es-ES_tradnl"/>
              </w:rPr>
              <w:t>Servicio fijo por satélite</w:t>
            </w:r>
          </w:p>
        </w:tc>
      </w:tr>
    </w:tbl>
    <w:p w14:paraId="360071FD" w14:textId="77777777" w:rsidR="00B1717A" w:rsidRPr="001A047E" w:rsidRDefault="00B1717A" w:rsidP="00B1717A">
      <w:pPr>
        <w:spacing w:before="80"/>
        <w:rPr>
          <w:i/>
          <w:sz w:val="22"/>
          <w:lang w:val="es-ES_tradnl"/>
        </w:rPr>
      </w:pPr>
    </w:p>
    <w:p w14:paraId="4A21B64D" w14:textId="77777777" w:rsidR="00B1717A" w:rsidRPr="001A047E"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1A047E">
          <w:headerReference w:type="even" r:id="rId7"/>
          <w:headerReference w:type="default" r:id="rId8"/>
          <w:pgSz w:w="11907" w:h="16840" w:code="9"/>
          <w:pgMar w:top="1089" w:right="1089" w:bottom="284" w:left="1089" w:header="567" w:footer="284" w:gutter="0"/>
          <w:pgNumType w:start="1"/>
          <w:cols w:space="720"/>
        </w:sectPr>
      </w:pPr>
    </w:p>
    <w:p w14:paraId="0A5B7514" w14:textId="77777777" w:rsidR="00B1717A" w:rsidRPr="001A047E" w:rsidRDefault="00B1717A" w:rsidP="00A412D9">
      <w:pPr>
        <w:jc w:val="center"/>
        <w:rPr>
          <w:b/>
          <w:bCs/>
          <w:lang w:val="es-ES_tradnl"/>
        </w:rPr>
      </w:pPr>
      <w:bookmarkStart w:id="0" w:name="c2tope"/>
      <w:bookmarkEnd w:id="0"/>
      <w:r w:rsidRPr="001A047E">
        <w:rPr>
          <w:b/>
          <w:bCs/>
          <w:lang w:val="es-ES_tradnl"/>
        </w:rPr>
        <w:lastRenderedPageBreak/>
        <w:t>Prólogo</w:t>
      </w:r>
    </w:p>
    <w:p w14:paraId="71A73038" w14:textId="77777777" w:rsidR="00B1717A" w:rsidRPr="001A047E" w:rsidRDefault="00B1717A" w:rsidP="009860DF">
      <w:pPr>
        <w:spacing w:before="240"/>
        <w:rPr>
          <w:sz w:val="20"/>
          <w:lang w:val="es-ES_tradnl"/>
        </w:rPr>
      </w:pPr>
      <w:r w:rsidRPr="001A047E">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35F1B7C6" w14:textId="77777777" w:rsidR="00B1717A" w:rsidRPr="001A047E" w:rsidRDefault="00B1717A" w:rsidP="00B1717A">
      <w:pPr>
        <w:rPr>
          <w:sz w:val="20"/>
          <w:lang w:val="es-ES_tradnl"/>
        </w:rPr>
      </w:pPr>
      <w:r w:rsidRPr="001A047E">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15240245" w14:textId="77777777" w:rsidR="00B1717A" w:rsidRPr="001A047E" w:rsidRDefault="00B1717A" w:rsidP="007E7099">
      <w:pPr>
        <w:pStyle w:val="Heading1"/>
        <w:spacing w:before="120"/>
        <w:jc w:val="center"/>
        <w:rPr>
          <w:szCs w:val="24"/>
          <w:lang w:val="es-ES_tradnl"/>
        </w:rPr>
      </w:pPr>
      <w:r w:rsidRPr="001A047E">
        <w:rPr>
          <w:lang w:val="es-ES_tradnl"/>
        </w:rPr>
        <w:t>Política sobre Derechos de Propiedad Intelectual</w:t>
      </w:r>
      <w:r w:rsidRPr="001A047E">
        <w:rPr>
          <w:szCs w:val="24"/>
          <w:lang w:val="es-ES_tradnl"/>
        </w:rPr>
        <w:t xml:space="preserve"> (IPR)</w:t>
      </w:r>
    </w:p>
    <w:p w14:paraId="2177D4A7" w14:textId="77777777" w:rsidR="00B1717A" w:rsidRPr="001A047E" w:rsidRDefault="00B1717A" w:rsidP="009860DF">
      <w:pPr>
        <w:spacing w:before="240"/>
        <w:rPr>
          <w:sz w:val="20"/>
          <w:lang w:val="es-ES_tradnl"/>
        </w:rPr>
      </w:pPr>
      <w:r w:rsidRPr="001A047E">
        <w:rPr>
          <w:sz w:val="20"/>
          <w:lang w:val="es-ES_tradnl"/>
        </w:rPr>
        <w:t xml:space="preserve">La política del </w:t>
      </w:r>
      <w:r w:rsidR="00C51DA2" w:rsidRPr="001A047E">
        <w:rPr>
          <w:sz w:val="20"/>
          <w:lang w:val="es-ES_tradnl"/>
        </w:rPr>
        <w:t>UIT-R S</w:t>
      </w:r>
      <w:r w:rsidRPr="001A047E">
        <w:rPr>
          <w:sz w:val="20"/>
          <w:lang w:val="es-ES_tradnl"/>
        </w:rPr>
        <w:t>obre Derechos de Propiedad Intelectual se describe en la Política Común de Patentes UIT</w:t>
      </w:r>
      <w:r w:rsidRPr="001A047E">
        <w:rPr>
          <w:sz w:val="20"/>
          <w:lang w:val="es-ES_tradnl"/>
        </w:rPr>
        <w:noBreakHyphen/>
        <w:t>T/UIT</w:t>
      </w:r>
      <w:r w:rsidRPr="001A047E">
        <w:rPr>
          <w:sz w:val="20"/>
          <w:lang w:val="es-ES_tradnl"/>
        </w:rPr>
        <w:noBreakHyphen/>
        <w:t>R/ISO/CEI a la que se hace referencia en la Resolución UIT</w:t>
      </w:r>
      <w:r w:rsidRPr="001A047E">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1A047E">
          <w:rPr>
            <w:rStyle w:val="Hyperlink"/>
            <w:sz w:val="20"/>
            <w:lang w:val="es-ES_tradnl"/>
          </w:rPr>
          <w:t>http://www.itu.int/ITU-R/go/patents/es</w:t>
        </w:r>
      </w:hyperlink>
      <w:r w:rsidRPr="001A047E">
        <w:rPr>
          <w:sz w:val="20"/>
          <w:lang w:val="es-ES_tradnl"/>
        </w:rPr>
        <w:t>, donde también aparecen las Directrices para la implementación de la Política Común de Patentes UIT</w:t>
      </w:r>
      <w:r w:rsidRPr="001A047E">
        <w:rPr>
          <w:sz w:val="20"/>
          <w:lang w:val="es-ES_tradnl"/>
        </w:rPr>
        <w:noBreakHyphen/>
        <w:t>T/UIT</w:t>
      </w:r>
      <w:r w:rsidRPr="001A047E">
        <w:rPr>
          <w:sz w:val="20"/>
          <w:lang w:val="es-ES_tradnl"/>
        </w:rPr>
        <w:noBreakHyphen/>
        <w:t xml:space="preserve">R/ISO/CEI y la base de datos sobre información de patentes del </w:t>
      </w:r>
      <w:r w:rsidR="00C51DA2" w:rsidRPr="001A047E">
        <w:rPr>
          <w:sz w:val="20"/>
          <w:lang w:val="es-ES_tradnl"/>
        </w:rPr>
        <w:t>UIT-R S</w:t>
      </w:r>
      <w:r w:rsidRPr="001A047E">
        <w:rPr>
          <w:sz w:val="20"/>
          <w:lang w:val="es-ES_tradnl"/>
        </w:rPr>
        <w:t>obre este asunto.</w:t>
      </w:r>
    </w:p>
    <w:p w14:paraId="0D25DE5E" w14:textId="77777777" w:rsidR="00B1717A" w:rsidRPr="001A047E" w:rsidRDefault="00B1717A" w:rsidP="00B1717A">
      <w:pPr>
        <w:spacing w:before="0"/>
        <w:jc w:val="center"/>
        <w:rPr>
          <w:szCs w:val="24"/>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F06FBA" w14:paraId="7CEF3A09" w14:textId="77777777" w:rsidTr="007E7099">
        <w:tc>
          <w:tcPr>
            <w:tcW w:w="9321" w:type="dxa"/>
            <w:gridSpan w:val="2"/>
          </w:tcPr>
          <w:p w14:paraId="56B905E9" w14:textId="77777777" w:rsidR="00B1717A" w:rsidRPr="001A047E" w:rsidRDefault="00B1717A" w:rsidP="00D62884">
            <w:pPr>
              <w:pStyle w:val="Chaptitle"/>
              <w:keepLines w:val="0"/>
              <w:tabs>
                <w:tab w:val="clear" w:pos="794"/>
                <w:tab w:val="clear" w:pos="1191"/>
                <w:tab w:val="clear" w:pos="1588"/>
                <w:tab w:val="clear" w:pos="1985"/>
              </w:tabs>
              <w:overflowPunct/>
              <w:spacing w:before="140"/>
              <w:textAlignment w:val="auto"/>
              <w:rPr>
                <w:sz w:val="24"/>
                <w:szCs w:val="24"/>
                <w:lang w:val="es-ES_tradnl"/>
              </w:rPr>
            </w:pPr>
            <w:r w:rsidRPr="001A047E">
              <w:rPr>
                <w:sz w:val="24"/>
                <w:szCs w:val="24"/>
                <w:lang w:val="es-ES_tradnl"/>
              </w:rPr>
              <w:t xml:space="preserve">Series de las Recomendaciones UIT-R </w:t>
            </w:r>
          </w:p>
          <w:p w14:paraId="13249184" w14:textId="77777777" w:rsidR="00B1717A" w:rsidRPr="001A047E"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1A047E">
              <w:rPr>
                <w:b w:val="0"/>
                <w:sz w:val="18"/>
                <w:szCs w:val="18"/>
                <w:lang w:val="es-ES_tradnl"/>
              </w:rPr>
              <w:t xml:space="preserve">(También disponible en línea en </w:t>
            </w:r>
            <w:hyperlink r:id="rId10" w:history="1">
              <w:r w:rsidRPr="001A047E">
                <w:rPr>
                  <w:rStyle w:val="Hyperlink"/>
                  <w:b w:val="0"/>
                  <w:bCs/>
                  <w:sz w:val="18"/>
                  <w:szCs w:val="18"/>
                  <w:lang w:val="es-ES_tradnl"/>
                </w:rPr>
                <w:t>http://www.itu.int/publ/R-REC/es</w:t>
              </w:r>
            </w:hyperlink>
            <w:r w:rsidRPr="001A047E">
              <w:rPr>
                <w:b w:val="0"/>
                <w:bCs/>
                <w:sz w:val="18"/>
                <w:szCs w:val="18"/>
                <w:lang w:val="es-ES_tradnl"/>
              </w:rPr>
              <w:t>)</w:t>
            </w:r>
          </w:p>
        </w:tc>
      </w:tr>
      <w:tr w:rsidR="00B1717A" w:rsidRPr="001A047E" w14:paraId="20297546" w14:textId="77777777" w:rsidTr="007E7099">
        <w:tc>
          <w:tcPr>
            <w:tcW w:w="1138" w:type="dxa"/>
            <w:tcBorders>
              <w:bottom w:val="nil"/>
            </w:tcBorders>
          </w:tcPr>
          <w:p w14:paraId="0092573F" w14:textId="77777777" w:rsidR="00B1717A" w:rsidRPr="001A047E" w:rsidRDefault="00B1717A" w:rsidP="00D62884">
            <w:pPr>
              <w:spacing w:before="180" w:after="100"/>
              <w:ind w:left="57"/>
              <w:rPr>
                <w:b/>
                <w:bCs/>
                <w:sz w:val="20"/>
                <w:lang w:val="es-ES_tradnl"/>
              </w:rPr>
            </w:pPr>
            <w:r w:rsidRPr="001A047E">
              <w:rPr>
                <w:b/>
                <w:bCs/>
                <w:sz w:val="20"/>
                <w:lang w:val="es-ES_tradnl"/>
              </w:rPr>
              <w:t>Series</w:t>
            </w:r>
          </w:p>
        </w:tc>
        <w:tc>
          <w:tcPr>
            <w:tcW w:w="8183" w:type="dxa"/>
            <w:tcBorders>
              <w:bottom w:val="nil"/>
            </w:tcBorders>
          </w:tcPr>
          <w:p w14:paraId="0929B5A0" w14:textId="77777777" w:rsidR="00B1717A" w:rsidRPr="001A047E"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1A047E">
              <w:rPr>
                <w:bCs/>
                <w:sz w:val="20"/>
                <w:lang w:val="es-ES_tradnl"/>
              </w:rPr>
              <w:t>Título</w:t>
            </w:r>
          </w:p>
        </w:tc>
      </w:tr>
      <w:tr w:rsidR="00B1717A" w:rsidRPr="001A047E" w14:paraId="7B1314E8" w14:textId="77777777" w:rsidTr="007E7099">
        <w:tc>
          <w:tcPr>
            <w:tcW w:w="1138" w:type="dxa"/>
            <w:tcBorders>
              <w:top w:val="nil"/>
              <w:bottom w:val="nil"/>
            </w:tcBorders>
            <w:shd w:val="clear" w:color="auto" w:fill="auto"/>
          </w:tcPr>
          <w:p w14:paraId="7184BB9B" w14:textId="77777777" w:rsidR="00B1717A" w:rsidRPr="001A047E" w:rsidRDefault="00B1717A" w:rsidP="00D62884">
            <w:pPr>
              <w:spacing w:before="30" w:after="30"/>
              <w:ind w:left="57"/>
              <w:jc w:val="left"/>
              <w:rPr>
                <w:b/>
                <w:bCs/>
                <w:sz w:val="20"/>
                <w:lang w:val="es-ES_tradnl"/>
              </w:rPr>
            </w:pPr>
            <w:r w:rsidRPr="001A047E">
              <w:rPr>
                <w:b/>
                <w:bCs/>
                <w:sz w:val="20"/>
                <w:lang w:val="es-ES_tradnl"/>
              </w:rPr>
              <w:t>BO</w:t>
            </w:r>
          </w:p>
        </w:tc>
        <w:tc>
          <w:tcPr>
            <w:tcW w:w="8183" w:type="dxa"/>
            <w:tcBorders>
              <w:top w:val="nil"/>
              <w:bottom w:val="nil"/>
            </w:tcBorders>
            <w:shd w:val="clear" w:color="auto" w:fill="auto"/>
          </w:tcPr>
          <w:p w14:paraId="0C1E2235" w14:textId="77777777" w:rsidR="00B1717A" w:rsidRPr="001A047E"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1A047E">
              <w:rPr>
                <w:b w:val="0"/>
                <w:sz w:val="20"/>
                <w:lang w:val="es-ES_tradnl"/>
              </w:rPr>
              <w:t>Distribución por satélite</w:t>
            </w:r>
          </w:p>
        </w:tc>
      </w:tr>
      <w:tr w:rsidR="00B1717A" w:rsidRPr="00F06FBA" w14:paraId="1CF1C904" w14:textId="77777777" w:rsidTr="007E7099">
        <w:tc>
          <w:tcPr>
            <w:tcW w:w="1138" w:type="dxa"/>
            <w:tcBorders>
              <w:top w:val="nil"/>
              <w:bottom w:val="nil"/>
            </w:tcBorders>
            <w:shd w:val="clear" w:color="auto" w:fill="auto"/>
          </w:tcPr>
          <w:p w14:paraId="2615F754" w14:textId="77777777" w:rsidR="00B1717A" w:rsidRPr="001A047E" w:rsidRDefault="00B1717A" w:rsidP="00D62884">
            <w:pPr>
              <w:spacing w:before="30" w:after="30"/>
              <w:ind w:left="57"/>
              <w:jc w:val="left"/>
              <w:rPr>
                <w:b/>
                <w:bCs/>
                <w:sz w:val="20"/>
                <w:lang w:val="es-ES_tradnl"/>
              </w:rPr>
            </w:pPr>
            <w:r w:rsidRPr="001A047E">
              <w:rPr>
                <w:b/>
                <w:bCs/>
                <w:sz w:val="20"/>
                <w:lang w:val="es-ES_tradnl"/>
              </w:rPr>
              <w:t>BR</w:t>
            </w:r>
          </w:p>
        </w:tc>
        <w:tc>
          <w:tcPr>
            <w:tcW w:w="8183" w:type="dxa"/>
            <w:tcBorders>
              <w:top w:val="nil"/>
              <w:bottom w:val="nil"/>
            </w:tcBorders>
            <w:shd w:val="clear" w:color="auto" w:fill="auto"/>
          </w:tcPr>
          <w:p w14:paraId="33BE0C7C" w14:textId="77777777" w:rsidR="00B1717A" w:rsidRPr="001A047E"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1A047E">
              <w:rPr>
                <w:b w:val="0"/>
                <w:sz w:val="20"/>
                <w:lang w:val="es-ES_tradnl"/>
              </w:rPr>
              <w:t>Registro para producción, archivo y reproducción; películas en televisión</w:t>
            </w:r>
          </w:p>
        </w:tc>
      </w:tr>
      <w:tr w:rsidR="00B1717A" w:rsidRPr="001A047E" w14:paraId="580CB4F7" w14:textId="77777777" w:rsidTr="007E7099">
        <w:tc>
          <w:tcPr>
            <w:tcW w:w="1138" w:type="dxa"/>
            <w:tcBorders>
              <w:top w:val="nil"/>
              <w:bottom w:val="nil"/>
            </w:tcBorders>
            <w:shd w:val="clear" w:color="auto" w:fill="auto"/>
          </w:tcPr>
          <w:p w14:paraId="02B95B60" w14:textId="77777777" w:rsidR="00B1717A" w:rsidRPr="001A047E" w:rsidRDefault="00B1717A" w:rsidP="00D62884">
            <w:pPr>
              <w:spacing w:before="30" w:after="30"/>
              <w:ind w:left="57"/>
              <w:jc w:val="left"/>
              <w:rPr>
                <w:b/>
                <w:bCs/>
                <w:sz w:val="20"/>
                <w:lang w:val="es-ES_tradnl"/>
              </w:rPr>
            </w:pPr>
            <w:r w:rsidRPr="001A047E">
              <w:rPr>
                <w:b/>
                <w:bCs/>
                <w:sz w:val="20"/>
                <w:lang w:val="es-ES_tradnl"/>
              </w:rPr>
              <w:t>BS</w:t>
            </w:r>
          </w:p>
        </w:tc>
        <w:tc>
          <w:tcPr>
            <w:tcW w:w="8183" w:type="dxa"/>
            <w:tcBorders>
              <w:top w:val="nil"/>
              <w:bottom w:val="nil"/>
            </w:tcBorders>
            <w:shd w:val="clear" w:color="auto" w:fill="auto"/>
          </w:tcPr>
          <w:p w14:paraId="1BF318D7" w14:textId="77777777" w:rsidR="00B1717A" w:rsidRPr="001A047E" w:rsidRDefault="00DA4DAF"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1A047E">
              <w:rPr>
                <w:b w:val="0"/>
                <w:bCs/>
                <w:sz w:val="20"/>
                <w:lang w:val="es-ES_tradnl"/>
              </w:rPr>
              <w:t>Servicio de radiodifusión (sonora)</w:t>
            </w:r>
          </w:p>
        </w:tc>
      </w:tr>
      <w:tr w:rsidR="00B1717A" w:rsidRPr="001A047E" w14:paraId="79A180FC" w14:textId="77777777" w:rsidTr="007E7099">
        <w:tc>
          <w:tcPr>
            <w:tcW w:w="1138" w:type="dxa"/>
            <w:tcBorders>
              <w:top w:val="nil"/>
              <w:bottom w:val="nil"/>
            </w:tcBorders>
            <w:shd w:val="clear" w:color="auto" w:fill="auto"/>
          </w:tcPr>
          <w:p w14:paraId="7A8755CC" w14:textId="77777777" w:rsidR="00B1717A" w:rsidRPr="001A047E" w:rsidRDefault="00B1717A" w:rsidP="00D62884">
            <w:pPr>
              <w:spacing w:before="30" w:after="30"/>
              <w:ind w:left="57"/>
              <w:jc w:val="left"/>
              <w:rPr>
                <w:b/>
                <w:bCs/>
                <w:sz w:val="20"/>
                <w:lang w:val="es-ES_tradnl"/>
              </w:rPr>
            </w:pPr>
            <w:r w:rsidRPr="001A047E">
              <w:rPr>
                <w:b/>
                <w:bCs/>
                <w:sz w:val="20"/>
                <w:lang w:val="es-ES_tradnl"/>
              </w:rPr>
              <w:t>BT</w:t>
            </w:r>
          </w:p>
        </w:tc>
        <w:tc>
          <w:tcPr>
            <w:tcW w:w="8183" w:type="dxa"/>
            <w:tcBorders>
              <w:top w:val="nil"/>
              <w:bottom w:val="nil"/>
            </w:tcBorders>
            <w:shd w:val="clear" w:color="auto" w:fill="auto"/>
          </w:tcPr>
          <w:p w14:paraId="34F36CCB" w14:textId="77777777" w:rsidR="00B1717A" w:rsidRPr="001A047E"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1A047E">
              <w:rPr>
                <w:b w:val="0"/>
                <w:bCs/>
                <w:sz w:val="20"/>
                <w:lang w:val="es-ES_tradnl"/>
              </w:rPr>
              <w:t>Servicio de radiodifusión (televisión)</w:t>
            </w:r>
          </w:p>
        </w:tc>
      </w:tr>
      <w:tr w:rsidR="00B1717A" w:rsidRPr="001A047E" w14:paraId="1FD731A7" w14:textId="77777777" w:rsidTr="007E7099">
        <w:tc>
          <w:tcPr>
            <w:tcW w:w="1138" w:type="dxa"/>
            <w:tcBorders>
              <w:top w:val="nil"/>
              <w:bottom w:val="nil"/>
            </w:tcBorders>
            <w:shd w:val="clear" w:color="auto" w:fill="auto"/>
          </w:tcPr>
          <w:p w14:paraId="43DE2A33" w14:textId="77777777" w:rsidR="00B1717A" w:rsidRPr="001A047E" w:rsidRDefault="00B1717A" w:rsidP="00D62884">
            <w:pPr>
              <w:spacing w:before="30" w:after="30"/>
              <w:ind w:left="57"/>
              <w:jc w:val="left"/>
              <w:rPr>
                <w:b/>
                <w:bCs/>
                <w:sz w:val="20"/>
                <w:lang w:val="es-ES_tradnl"/>
              </w:rPr>
            </w:pPr>
            <w:r w:rsidRPr="001A047E">
              <w:rPr>
                <w:b/>
                <w:bCs/>
                <w:sz w:val="20"/>
                <w:lang w:val="es-ES_tradnl"/>
              </w:rPr>
              <w:t>F</w:t>
            </w:r>
          </w:p>
        </w:tc>
        <w:tc>
          <w:tcPr>
            <w:tcW w:w="8183" w:type="dxa"/>
            <w:tcBorders>
              <w:top w:val="nil"/>
              <w:bottom w:val="nil"/>
            </w:tcBorders>
            <w:shd w:val="clear" w:color="auto" w:fill="auto"/>
          </w:tcPr>
          <w:p w14:paraId="3D05BAAC" w14:textId="77777777" w:rsidR="00B1717A" w:rsidRPr="001A047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1A047E">
              <w:rPr>
                <w:sz w:val="20"/>
                <w:lang w:val="es-ES_tradnl"/>
              </w:rPr>
              <w:t>Servicio fijo</w:t>
            </w:r>
          </w:p>
        </w:tc>
      </w:tr>
      <w:tr w:rsidR="00B1717A" w:rsidRPr="00F06FBA" w14:paraId="556C3D65" w14:textId="77777777" w:rsidTr="007E7099">
        <w:tc>
          <w:tcPr>
            <w:tcW w:w="1138" w:type="dxa"/>
            <w:tcBorders>
              <w:top w:val="nil"/>
              <w:bottom w:val="nil"/>
            </w:tcBorders>
            <w:shd w:val="clear" w:color="auto" w:fill="auto"/>
          </w:tcPr>
          <w:p w14:paraId="1D988CFE" w14:textId="77777777" w:rsidR="00B1717A" w:rsidRPr="001A047E" w:rsidRDefault="00B1717A" w:rsidP="00D62884">
            <w:pPr>
              <w:spacing w:before="30" w:after="30"/>
              <w:ind w:left="57"/>
              <w:jc w:val="left"/>
              <w:rPr>
                <w:rFonts w:hAnsi="Times New Roman Bold"/>
                <w:b/>
                <w:bCs/>
                <w:sz w:val="20"/>
                <w:lang w:val="es-ES_tradnl"/>
              </w:rPr>
            </w:pPr>
            <w:r w:rsidRPr="001A047E">
              <w:rPr>
                <w:rFonts w:hAnsi="Times New Roman Bold"/>
                <w:b/>
                <w:bCs/>
                <w:sz w:val="20"/>
                <w:lang w:val="es-ES_tradnl"/>
              </w:rPr>
              <w:t>M</w:t>
            </w:r>
          </w:p>
        </w:tc>
        <w:tc>
          <w:tcPr>
            <w:tcW w:w="8183" w:type="dxa"/>
            <w:tcBorders>
              <w:top w:val="nil"/>
              <w:bottom w:val="nil"/>
            </w:tcBorders>
            <w:shd w:val="clear" w:color="auto" w:fill="auto"/>
          </w:tcPr>
          <w:p w14:paraId="00659E08" w14:textId="77777777" w:rsidR="00B1717A" w:rsidRPr="001A047E"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A047E">
              <w:rPr>
                <w:rFonts w:hAnsi="Times New Roman Bold"/>
                <w:b w:val="0"/>
                <w:sz w:val="20"/>
                <w:lang w:val="es-ES_tradnl"/>
              </w:rPr>
              <w:t>Servicios m</w:t>
            </w:r>
            <w:r w:rsidRPr="001A047E">
              <w:rPr>
                <w:rFonts w:hAnsi="Times New Roman Bold"/>
                <w:b w:val="0"/>
                <w:sz w:val="20"/>
                <w:lang w:val="es-ES_tradnl"/>
              </w:rPr>
              <w:t>ó</w:t>
            </w:r>
            <w:r w:rsidRPr="001A047E">
              <w:rPr>
                <w:rFonts w:hAnsi="Times New Roman Bold"/>
                <w:b w:val="0"/>
                <w:sz w:val="20"/>
                <w:lang w:val="es-ES_tradnl"/>
              </w:rPr>
              <w:t>viles, de radiodeterminaci</w:t>
            </w:r>
            <w:r w:rsidRPr="001A047E">
              <w:rPr>
                <w:rFonts w:hAnsi="Times New Roman Bold"/>
                <w:b w:val="0"/>
                <w:sz w:val="20"/>
                <w:lang w:val="es-ES_tradnl"/>
              </w:rPr>
              <w:t>ó</w:t>
            </w:r>
            <w:r w:rsidRPr="001A047E">
              <w:rPr>
                <w:rFonts w:hAnsi="Times New Roman Bold"/>
                <w:b w:val="0"/>
                <w:sz w:val="20"/>
                <w:lang w:val="es-ES_tradnl"/>
              </w:rPr>
              <w:t>n, de aficionados y otros servicios por sat</w:t>
            </w:r>
            <w:r w:rsidRPr="001A047E">
              <w:rPr>
                <w:rFonts w:hAnsi="Times New Roman Bold"/>
                <w:b w:val="0"/>
                <w:sz w:val="20"/>
                <w:lang w:val="es-ES_tradnl"/>
              </w:rPr>
              <w:t>é</w:t>
            </w:r>
            <w:r w:rsidRPr="001A047E">
              <w:rPr>
                <w:rFonts w:hAnsi="Times New Roman Bold"/>
                <w:b w:val="0"/>
                <w:sz w:val="20"/>
                <w:lang w:val="es-ES_tradnl"/>
              </w:rPr>
              <w:t>lite conexos</w:t>
            </w:r>
          </w:p>
        </w:tc>
      </w:tr>
      <w:tr w:rsidR="00B1717A" w:rsidRPr="00F06FBA" w14:paraId="18468822" w14:textId="77777777" w:rsidTr="007E7099">
        <w:tc>
          <w:tcPr>
            <w:tcW w:w="1138" w:type="dxa"/>
            <w:tcBorders>
              <w:top w:val="nil"/>
              <w:bottom w:val="nil"/>
            </w:tcBorders>
            <w:shd w:val="clear" w:color="auto" w:fill="auto"/>
          </w:tcPr>
          <w:p w14:paraId="347C3724" w14:textId="77777777" w:rsidR="00B1717A" w:rsidRPr="001A047E" w:rsidRDefault="00B1717A" w:rsidP="00D62884">
            <w:pPr>
              <w:spacing w:before="30" w:after="30"/>
              <w:ind w:left="57"/>
              <w:jc w:val="left"/>
              <w:rPr>
                <w:b/>
                <w:bCs/>
                <w:sz w:val="20"/>
                <w:lang w:val="es-ES_tradnl"/>
              </w:rPr>
            </w:pPr>
            <w:r w:rsidRPr="001A047E">
              <w:rPr>
                <w:b/>
                <w:bCs/>
                <w:sz w:val="20"/>
                <w:lang w:val="es-ES_tradnl"/>
              </w:rPr>
              <w:t>P</w:t>
            </w:r>
          </w:p>
        </w:tc>
        <w:tc>
          <w:tcPr>
            <w:tcW w:w="8183" w:type="dxa"/>
            <w:tcBorders>
              <w:top w:val="nil"/>
              <w:bottom w:val="nil"/>
            </w:tcBorders>
            <w:shd w:val="clear" w:color="auto" w:fill="auto"/>
          </w:tcPr>
          <w:p w14:paraId="1C5C3413" w14:textId="77777777" w:rsidR="00B1717A" w:rsidRPr="001A047E" w:rsidRDefault="00B1717A" w:rsidP="00D62884">
            <w:pPr>
              <w:spacing w:before="30" w:after="30"/>
              <w:jc w:val="left"/>
              <w:rPr>
                <w:sz w:val="20"/>
                <w:lang w:val="es-ES_tradnl"/>
              </w:rPr>
            </w:pPr>
            <w:r w:rsidRPr="001A047E">
              <w:rPr>
                <w:sz w:val="20"/>
                <w:lang w:val="es-ES_tradnl"/>
              </w:rPr>
              <w:t>Propagación de las ondas radioeléctricas</w:t>
            </w:r>
          </w:p>
        </w:tc>
      </w:tr>
      <w:tr w:rsidR="00B1717A" w:rsidRPr="001A047E" w14:paraId="18CB85C6" w14:textId="77777777" w:rsidTr="007E7099">
        <w:tc>
          <w:tcPr>
            <w:tcW w:w="1138" w:type="dxa"/>
            <w:tcBorders>
              <w:top w:val="nil"/>
              <w:bottom w:val="nil"/>
            </w:tcBorders>
            <w:shd w:val="clear" w:color="auto" w:fill="auto"/>
          </w:tcPr>
          <w:p w14:paraId="64E141E9" w14:textId="77777777" w:rsidR="00B1717A" w:rsidRPr="001A047E" w:rsidRDefault="00B1717A" w:rsidP="00D62884">
            <w:pPr>
              <w:spacing w:before="30" w:after="30"/>
              <w:ind w:left="57"/>
              <w:jc w:val="left"/>
              <w:rPr>
                <w:b/>
                <w:bCs/>
                <w:sz w:val="20"/>
                <w:lang w:val="es-ES_tradnl"/>
              </w:rPr>
            </w:pPr>
            <w:r w:rsidRPr="001A047E">
              <w:rPr>
                <w:b/>
                <w:bCs/>
                <w:sz w:val="20"/>
                <w:lang w:val="es-ES_tradnl"/>
              </w:rPr>
              <w:t>RA</w:t>
            </w:r>
          </w:p>
        </w:tc>
        <w:tc>
          <w:tcPr>
            <w:tcW w:w="8183" w:type="dxa"/>
            <w:tcBorders>
              <w:top w:val="nil"/>
              <w:bottom w:val="nil"/>
            </w:tcBorders>
            <w:shd w:val="clear" w:color="auto" w:fill="auto"/>
          </w:tcPr>
          <w:p w14:paraId="30AA8560" w14:textId="77777777" w:rsidR="00B1717A" w:rsidRPr="001A047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1A047E">
              <w:rPr>
                <w:sz w:val="20"/>
                <w:lang w:val="es-ES_tradnl"/>
              </w:rPr>
              <w:t>Radio astronomía</w:t>
            </w:r>
          </w:p>
        </w:tc>
      </w:tr>
      <w:tr w:rsidR="00B1717A" w:rsidRPr="00F06FBA" w14:paraId="5D19C2AE" w14:textId="77777777" w:rsidTr="007E7099">
        <w:tc>
          <w:tcPr>
            <w:tcW w:w="1138" w:type="dxa"/>
            <w:tcBorders>
              <w:top w:val="nil"/>
              <w:bottom w:val="nil"/>
            </w:tcBorders>
            <w:shd w:val="clear" w:color="auto" w:fill="auto"/>
          </w:tcPr>
          <w:p w14:paraId="52D7C4DC" w14:textId="77777777" w:rsidR="00B1717A" w:rsidRPr="001A047E" w:rsidRDefault="00B1717A" w:rsidP="00D62884">
            <w:pPr>
              <w:spacing w:before="30" w:after="30"/>
              <w:ind w:left="57"/>
              <w:jc w:val="left"/>
              <w:rPr>
                <w:b/>
                <w:bCs/>
                <w:sz w:val="20"/>
                <w:lang w:val="es-ES_tradnl"/>
              </w:rPr>
            </w:pPr>
            <w:r w:rsidRPr="001A047E">
              <w:rPr>
                <w:b/>
                <w:bCs/>
                <w:sz w:val="20"/>
                <w:lang w:val="es-ES_tradnl"/>
              </w:rPr>
              <w:t>RS</w:t>
            </w:r>
          </w:p>
        </w:tc>
        <w:tc>
          <w:tcPr>
            <w:tcW w:w="8183" w:type="dxa"/>
            <w:tcBorders>
              <w:top w:val="nil"/>
              <w:bottom w:val="nil"/>
            </w:tcBorders>
            <w:shd w:val="clear" w:color="auto" w:fill="auto"/>
          </w:tcPr>
          <w:p w14:paraId="3AA81426" w14:textId="77777777" w:rsidR="00B1717A" w:rsidRPr="001A047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1A047E">
              <w:rPr>
                <w:sz w:val="20"/>
                <w:lang w:val="es-ES_tradnl"/>
              </w:rPr>
              <w:t>Sistemas de detección a distancia</w:t>
            </w:r>
          </w:p>
        </w:tc>
      </w:tr>
      <w:tr w:rsidR="00B1717A" w:rsidRPr="001A047E" w14:paraId="7853FEBE" w14:textId="77777777" w:rsidTr="007E7099">
        <w:tc>
          <w:tcPr>
            <w:tcW w:w="1138" w:type="dxa"/>
            <w:tcBorders>
              <w:top w:val="nil"/>
              <w:bottom w:val="nil"/>
            </w:tcBorders>
            <w:shd w:val="clear" w:color="auto" w:fill="F3F3F3"/>
          </w:tcPr>
          <w:p w14:paraId="404E74FD" w14:textId="77777777" w:rsidR="00B1717A" w:rsidRPr="001A047E" w:rsidRDefault="00B1717A" w:rsidP="00D62884">
            <w:pPr>
              <w:spacing w:before="30" w:after="30"/>
              <w:ind w:left="57"/>
              <w:jc w:val="left"/>
              <w:rPr>
                <w:b/>
                <w:bCs/>
                <w:color w:val="000080"/>
                <w:sz w:val="20"/>
                <w:lang w:val="es-ES_tradnl"/>
              </w:rPr>
            </w:pPr>
            <w:r w:rsidRPr="001A047E">
              <w:rPr>
                <w:b/>
                <w:bCs/>
                <w:color w:val="000080"/>
                <w:sz w:val="20"/>
                <w:lang w:val="es-ES_tradnl"/>
              </w:rPr>
              <w:t>S</w:t>
            </w:r>
          </w:p>
        </w:tc>
        <w:tc>
          <w:tcPr>
            <w:tcW w:w="8183" w:type="dxa"/>
            <w:tcBorders>
              <w:top w:val="nil"/>
              <w:bottom w:val="nil"/>
            </w:tcBorders>
            <w:shd w:val="clear" w:color="auto" w:fill="F3F3F3"/>
          </w:tcPr>
          <w:p w14:paraId="1CEAD758" w14:textId="77777777" w:rsidR="00B1717A" w:rsidRPr="001A047E" w:rsidRDefault="00B1717A" w:rsidP="00D62884">
            <w:pPr>
              <w:spacing w:before="30" w:after="30"/>
              <w:jc w:val="left"/>
              <w:rPr>
                <w:b/>
                <w:bCs/>
                <w:color w:val="000080"/>
                <w:sz w:val="20"/>
                <w:lang w:val="es-ES_tradnl"/>
              </w:rPr>
            </w:pPr>
            <w:r w:rsidRPr="001A047E">
              <w:rPr>
                <w:b/>
                <w:bCs/>
                <w:color w:val="000080"/>
                <w:sz w:val="20"/>
                <w:lang w:val="es-ES_tradnl"/>
              </w:rPr>
              <w:t>Servicio fijo por satélite</w:t>
            </w:r>
          </w:p>
        </w:tc>
      </w:tr>
      <w:tr w:rsidR="00B1717A" w:rsidRPr="001A047E" w14:paraId="6BC74460" w14:textId="77777777" w:rsidTr="007E7099">
        <w:tc>
          <w:tcPr>
            <w:tcW w:w="1138" w:type="dxa"/>
            <w:tcBorders>
              <w:top w:val="nil"/>
            </w:tcBorders>
          </w:tcPr>
          <w:p w14:paraId="4960AC92" w14:textId="77777777" w:rsidR="00B1717A" w:rsidRPr="001A047E" w:rsidRDefault="00B1717A" w:rsidP="00D62884">
            <w:pPr>
              <w:spacing w:before="30" w:after="30"/>
              <w:ind w:left="57"/>
              <w:jc w:val="left"/>
              <w:rPr>
                <w:b/>
                <w:bCs/>
                <w:sz w:val="20"/>
                <w:lang w:val="es-ES_tradnl"/>
              </w:rPr>
            </w:pPr>
            <w:r w:rsidRPr="001A047E">
              <w:rPr>
                <w:b/>
                <w:bCs/>
                <w:sz w:val="20"/>
                <w:lang w:val="es-ES_tradnl"/>
              </w:rPr>
              <w:t>SA</w:t>
            </w:r>
          </w:p>
        </w:tc>
        <w:tc>
          <w:tcPr>
            <w:tcW w:w="8183" w:type="dxa"/>
            <w:tcBorders>
              <w:top w:val="nil"/>
            </w:tcBorders>
          </w:tcPr>
          <w:p w14:paraId="1CC92619" w14:textId="77777777" w:rsidR="00B1717A" w:rsidRPr="001A047E" w:rsidRDefault="00B1717A" w:rsidP="00D62884">
            <w:pPr>
              <w:spacing w:before="30" w:after="30"/>
              <w:jc w:val="left"/>
              <w:rPr>
                <w:bCs/>
                <w:sz w:val="20"/>
                <w:lang w:val="es-ES_tradnl"/>
              </w:rPr>
            </w:pPr>
            <w:r w:rsidRPr="001A047E">
              <w:rPr>
                <w:bCs/>
                <w:sz w:val="20"/>
                <w:lang w:val="es-ES_tradnl"/>
              </w:rPr>
              <w:t>Aplicaciones espaciales y meteorología</w:t>
            </w:r>
          </w:p>
        </w:tc>
      </w:tr>
      <w:tr w:rsidR="00B1717A" w:rsidRPr="00F06FBA" w14:paraId="2D95109B" w14:textId="77777777" w:rsidTr="007E7099">
        <w:tc>
          <w:tcPr>
            <w:tcW w:w="1138" w:type="dxa"/>
          </w:tcPr>
          <w:p w14:paraId="56971906" w14:textId="77777777" w:rsidR="00B1717A" w:rsidRPr="001A047E" w:rsidRDefault="00B1717A" w:rsidP="00D62884">
            <w:pPr>
              <w:spacing w:before="30" w:after="30"/>
              <w:ind w:left="57"/>
              <w:jc w:val="left"/>
              <w:rPr>
                <w:b/>
                <w:bCs/>
                <w:sz w:val="20"/>
                <w:lang w:val="es-ES_tradnl"/>
              </w:rPr>
            </w:pPr>
            <w:r w:rsidRPr="001A047E">
              <w:rPr>
                <w:b/>
                <w:bCs/>
                <w:sz w:val="20"/>
                <w:lang w:val="es-ES_tradnl"/>
              </w:rPr>
              <w:t>SF</w:t>
            </w:r>
          </w:p>
        </w:tc>
        <w:tc>
          <w:tcPr>
            <w:tcW w:w="8183" w:type="dxa"/>
          </w:tcPr>
          <w:p w14:paraId="7DA7E8A5" w14:textId="77777777" w:rsidR="00B1717A" w:rsidRPr="001A047E" w:rsidRDefault="00B1717A" w:rsidP="00D62884">
            <w:pPr>
              <w:spacing w:before="30" w:after="30"/>
              <w:jc w:val="left"/>
              <w:rPr>
                <w:bCs/>
                <w:sz w:val="20"/>
                <w:lang w:val="es-ES_tradnl"/>
              </w:rPr>
            </w:pPr>
            <w:r w:rsidRPr="001A047E">
              <w:rPr>
                <w:bCs/>
                <w:sz w:val="20"/>
                <w:lang w:val="es-ES_tradnl"/>
              </w:rPr>
              <w:t>Compartición de frecuencias y coordinación entre los sistemas del servicio fijo por satélite y del servicio fijo</w:t>
            </w:r>
          </w:p>
        </w:tc>
      </w:tr>
      <w:tr w:rsidR="00B1717A" w:rsidRPr="001A047E" w14:paraId="20CAA575" w14:textId="77777777" w:rsidTr="007E7099">
        <w:tc>
          <w:tcPr>
            <w:tcW w:w="1138" w:type="dxa"/>
            <w:shd w:val="clear" w:color="auto" w:fill="auto"/>
          </w:tcPr>
          <w:p w14:paraId="4AAADE27" w14:textId="77777777" w:rsidR="00B1717A" w:rsidRPr="001A047E" w:rsidRDefault="00B1717A" w:rsidP="00D62884">
            <w:pPr>
              <w:spacing w:before="30" w:after="30"/>
              <w:ind w:left="57"/>
              <w:jc w:val="left"/>
              <w:rPr>
                <w:b/>
                <w:bCs/>
                <w:sz w:val="20"/>
                <w:lang w:val="es-ES_tradnl"/>
              </w:rPr>
            </w:pPr>
            <w:r w:rsidRPr="001A047E">
              <w:rPr>
                <w:b/>
                <w:bCs/>
                <w:sz w:val="20"/>
                <w:lang w:val="es-ES_tradnl"/>
              </w:rPr>
              <w:t>SM</w:t>
            </w:r>
          </w:p>
        </w:tc>
        <w:tc>
          <w:tcPr>
            <w:tcW w:w="8183" w:type="dxa"/>
            <w:shd w:val="clear" w:color="auto" w:fill="auto"/>
          </w:tcPr>
          <w:p w14:paraId="181961D3" w14:textId="77777777" w:rsidR="00B1717A" w:rsidRPr="001A047E" w:rsidRDefault="00B1717A" w:rsidP="00D62884">
            <w:pPr>
              <w:spacing w:before="30" w:after="30"/>
              <w:jc w:val="left"/>
              <w:rPr>
                <w:sz w:val="20"/>
                <w:lang w:val="es-ES_tradnl"/>
              </w:rPr>
            </w:pPr>
            <w:r w:rsidRPr="001A047E">
              <w:rPr>
                <w:sz w:val="20"/>
                <w:lang w:val="es-ES_tradnl"/>
              </w:rPr>
              <w:t>Gestión del espectro</w:t>
            </w:r>
          </w:p>
        </w:tc>
      </w:tr>
      <w:tr w:rsidR="00B1717A" w:rsidRPr="001A047E" w14:paraId="14FC2BAC" w14:textId="77777777" w:rsidTr="007E7099">
        <w:tc>
          <w:tcPr>
            <w:tcW w:w="1138" w:type="dxa"/>
          </w:tcPr>
          <w:p w14:paraId="193A5020" w14:textId="77777777" w:rsidR="00B1717A" w:rsidRPr="001A047E" w:rsidRDefault="00B1717A" w:rsidP="00D62884">
            <w:pPr>
              <w:spacing w:before="30" w:after="30"/>
              <w:ind w:left="57"/>
              <w:jc w:val="left"/>
              <w:rPr>
                <w:b/>
                <w:bCs/>
                <w:sz w:val="20"/>
                <w:lang w:val="es-ES_tradnl"/>
              </w:rPr>
            </w:pPr>
            <w:r w:rsidRPr="001A047E">
              <w:rPr>
                <w:b/>
                <w:bCs/>
                <w:sz w:val="20"/>
                <w:lang w:val="es-ES_tradnl"/>
              </w:rPr>
              <w:t>SNG</w:t>
            </w:r>
          </w:p>
        </w:tc>
        <w:tc>
          <w:tcPr>
            <w:tcW w:w="8183" w:type="dxa"/>
          </w:tcPr>
          <w:p w14:paraId="6D208E33" w14:textId="77777777" w:rsidR="00B1717A" w:rsidRPr="001A047E" w:rsidRDefault="00B1717A" w:rsidP="00D62884">
            <w:pPr>
              <w:spacing w:before="30" w:after="30"/>
              <w:jc w:val="left"/>
              <w:rPr>
                <w:bCs/>
                <w:sz w:val="20"/>
                <w:lang w:val="es-ES_tradnl"/>
              </w:rPr>
            </w:pPr>
            <w:r w:rsidRPr="001A047E">
              <w:rPr>
                <w:bCs/>
                <w:sz w:val="20"/>
                <w:lang w:val="es-ES_tradnl"/>
              </w:rPr>
              <w:t>Periodismo electrónico por satélite</w:t>
            </w:r>
          </w:p>
        </w:tc>
      </w:tr>
      <w:tr w:rsidR="00B1717A" w:rsidRPr="00F06FBA" w14:paraId="3EBF5447" w14:textId="77777777" w:rsidTr="007E7099">
        <w:tc>
          <w:tcPr>
            <w:tcW w:w="1138" w:type="dxa"/>
          </w:tcPr>
          <w:p w14:paraId="292423C0" w14:textId="77777777" w:rsidR="00B1717A" w:rsidRPr="001A047E" w:rsidRDefault="00B1717A" w:rsidP="00D62884">
            <w:pPr>
              <w:spacing w:before="30" w:after="30"/>
              <w:ind w:left="57"/>
              <w:jc w:val="left"/>
              <w:rPr>
                <w:b/>
                <w:bCs/>
                <w:sz w:val="20"/>
                <w:lang w:val="es-ES_tradnl"/>
              </w:rPr>
            </w:pPr>
            <w:r w:rsidRPr="001A047E">
              <w:rPr>
                <w:b/>
                <w:bCs/>
                <w:sz w:val="20"/>
                <w:lang w:val="es-ES_tradnl"/>
              </w:rPr>
              <w:t>TF</w:t>
            </w:r>
          </w:p>
        </w:tc>
        <w:tc>
          <w:tcPr>
            <w:tcW w:w="8183" w:type="dxa"/>
          </w:tcPr>
          <w:p w14:paraId="6A7C546A" w14:textId="77777777" w:rsidR="00B1717A" w:rsidRPr="001A047E" w:rsidRDefault="00B1717A" w:rsidP="00D62884">
            <w:pPr>
              <w:spacing w:before="30" w:after="30"/>
              <w:jc w:val="left"/>
              <w:rPr>
                <w:bCs/>
                <w:sz w:val="20"/>
                <w:lang w:val="es-ES_tradnl"/>
              </w:rPr>
            </w:pPr>
            <w:r w:rsidRPr="001A047E">
              <w:rPr>
                <w:bCs/>
                <w:sz w:val="20"/>
                <w:lang w:val="es-ES_tradnl"/>
              </w:rPr>
              <w:t>Emisiones de frecuencias patrón y señales horarias</w:t>
            </w:r>
          </w:p>
        </w:tc>
      </w:tr>
      <w:tr w:rsidR="00B1717A" w:rsidRPr="001A047E" w14:paraId="1CD55B47" w14:textId="77777777" w:rsidTr="007E7099">
        <w:tc>
          <w:tcPr>
            <w:tcW w:w="1138" w:type="dxa"/>
          </w:tcPr>
          <w:p w14:paraId="4D11059A" w14:textId="77777777" w:rsidR="00B1717A" w:rsidRPr="001A047E" w:rsidRDefault="00B1717A" w:rsidP="00D62884">
            <w:pPr>
              <w:spacing w:before="30" w:after="30"/>
              <w:ind w:left="57"/>
              <w:jc w:val="left"/>
              <w:rPr>
                <w:b/>
                <w:bCs/>
                <w:sz w:val="20"/>
                <w:lang w:val="es-ES_tradnl"/>
              </w:rPr>
            </w:pPr>
            <w:r w:rsidRPr="001A047E">
              <w:rPr>
                <w:b/>
                <w:bCs/>
                <w:sz w:val="20"/>
                <w:lang w:val="es-ES_tradnl"/>
              </w:rPr>
              <w:t>V</w:t>
            </w:r>
          </w:p>
        </w:tc>
        <w:tc>
          <w:tcPr>
            <w:tcW w:w="8183" w:type="dxa"/>
          </w:tcPr>
          <w:p w14:paraId="2110CEAC" w14:textId="77777777" w:rsidR="00B1717A" w:rsidRPr="001A047E" w:rsidRDefault="00B1717A" w:rsidP="00D62884">
            <w:pPr>
              <w:spacing w:before="30" w:after="140"/>
              <w:jc w:val="left"/>
              <w:rPr>
                <w:bCs/>
                <w:sz w:val="20"/>
                <w:lang w:val="es-ES_tradnl"/>
              </w:rPr>
            </w:pPr>
            <w:r w:rsidRPr="001A047E">
              <w:rPr>
                <w:bCs/>
                <w:sz w:val="20"/>
                <w:lang w:val="es-ES_tradnl"/>
              </w:rPr>
              <w:t>Vocabulario y cuestiones afines</w:t>
            </w:r>
          </w:p>
        </w:tc>
      </w:tr>
    </w:tbl>
    <w:p w14:paraId="401B6E83" w14:textId="02C3019C" w:rsidR="00B1717A" w:rsidRPr="001A047E" w:rsidRDefault="00B1717A" w:rsidP="007E7099">
      <w:pPr>
        <w:spacing w:before="0"/>
        <w:jc w:val="center"/>
        <w:rPr>
          <w:sz w:val="20"/>
          <w:lang w:val="es-ES_tradnl"/>
        </w:rPr>
      </w:pPr>
    </w:p>
    <w:p w14:paraId="0E216E74" w14:textId="77777777" w:rsidR="009860DF" w:rsidRPr="001A047E" w:rsidRDefault="009860DF" w:rsidP="007E7099">
      <w:pPr>
        <w:spacing w:before="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B1717A" w:rsidRPr="001A047E" w14:paraId="6E954A05" w14:textId="77777777" w:rsidTr="00D62884">
        <w:tc>
          <w:tcPr>
            <w:tcW w:w="720" w:type="dxa"/>
          </w:tcPr>
          <w:p w14:paraId="776B6882" w14:textId="77777777" w:rsidR="00B1717A" w:rsidRPr="001A047E" w:rsidRDefault="00B1717A" w:rsidP="00D62884">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1717A" w:rsidRPr="001A047E" w14:paraId="3917FA91" w14:textId="77777777" w:rsidTr="00D62884">
        <w:tc>
          <w:tcPr>
            <w:tcW w:w="9360" w:type="dxa"/>
          </w:tcPr>
          <w:p w14:paraId="70459953" w14:textId="77777777" w:rsidR="00B1717A" w:rsidRPr="001A047E" w:rsidRDefault="00B1717A" w:rsidP="00A412D9">
            <w:pPr>
              <w:pStyle w:val="Notfo"/>
              <w:rPr>
                <w:rStyle w:val="FootnoteReference"/>
                <w:sz w:val="20"/>
              </w:rPr>
            </w:pPr>
            <w:r w:rsidRPr="001A047E">
              <w:rPr>
                <w:rStyle w:val="FootnoteReference"/>
                <w:sz w:val="20"/>
              </w:rPr>
              <w:t>Nota</w:t>
            </w:r>
            <w:r w:rsidRPr="00001A5D">
              <w:rPr>
                <w:rStyle w:val="FootnoteReference"/>
                <w:b w:val="0"/>
                <w:bCs w:val="0"/>
                <w:sz w:val="20"/>
              </w:rPr>
              <w:t xml:space="preserve">: Esta Recomendación UIT-R fue aprobada en inglés conforme al procedimiento detallado en la </w:t>
            </w:r>
            <w:r w:rsidRPr="00001A5D">
              <w:rPr>
                <w:rStyle w:val="FootnoteReference"/>
                <w:b w:val="0"/>
                <w:bCs w:val="0"/>
                <w:sz w:val="20"/>
              </w:rPr>
              <w:br/>
              <w:t>Resolución UIT-R 1.</w:t>
            </w:r>
          </w:p>
        </w:tc>
      </w:tr>
    </w:tbl>
    <w:p w14:paraId="494FF3E1" w14:textId="55B05D35" w:rsidR="009860DF" w:rsidRPr="001A047E" w:rsidRDefault="009860DF" w:rsidP="009860DF">
      <w:pPr>
        <w:spacing w:before="60"/>
        <w:jc w:val="center"/>
        <w:rPr>
          <w:i/>
          <w:iCs/>
          <w:sz w:val="20"/>
          <w:lang w:val="es-ES_tradnl"/>
        </w:rPr>
      </w:pPr>
    </w:p>
    <w:p w14:paraId="69F4A64C" w14:textId="77777777" w:rsidR="009860DF" w:rsidRPr="001A047E" w:rsidRDefault="009860DF" w:rsidP="009860DF">
      <w:pPr>
        <w:spacing w:before="60"/>
        <w:jc w:val="center"/>
        <w:rPr>
          <w:i/>
          <w:iCs/>
          <w:sz w:val="20"/>
          <w:lang w:val="es-ES_tradnl"/>
        </w:rPr>
      </w:pPr>
    </w:p>
    <w:p w14:paraId="23F13FF1" w14:textId="32678B18" w:rsidR="00B1717A" w:rsidRPr="001A047E" w:rsidRDefault="00B1717A" w:rsidP="00B1717A">
      <w:pPr>
        <w:spacing w:before="60"/>
        <w:jc w:val="right"/>
        <w:rPr>
          <w:i/>
          <w:iCs/>
          <w:sz w:val="20"/>
          <w:lang w:val="es-ES_tradnl"/>
        </w:rPr>
      </w:pPr>
      <w:r w:rsidRPr="001A047E">
        <w:rPr>
          <w:i/>
          <w:iCs/>
          <w:sz w:val="20"/>
          <w:lang w:val="es-ES_tradnl"/>
        </w:rPr>
        <w:t>Publicación electrónica</w:t>
      </w:r>
    </w:p>
    <w:p w14:paraId="792EBB11" w14:textId="56F7EB39" w:rsidR="00B1717A" w:rsidRPr="001A047E" w:rsidRDefault="00B1717A" w:rsidP="00B60877">
      <w:pPr>
        <w:spacing w:before="0" w:after="40"/>
        <w:jc w:val="right"/>
        <w:rPr>
          <w:sz w:val="20"/>
          <w:lang w:val="es-ES_tradnl"/>
        </w:rPr>
      </w:pPr>
      <w:r w:rsidRPr="001A047E">
        <w:rPr>
          <w:sz w:val="20"/>
          <w:lang w:val="es-ES_tradnl"/>
        </w:rPr>
        <w:t>Ginebra, 2</w:t>
      </w:r>
      <w:r w:rsidR="00DF53B7" w:rsidRPr="001A047E">
        <w:rPr>
          <w:sz w:val="20"/>
          <w:lang w:val="es-ES_tradnl"/>
        </w:rPr>
        <w:t>02</w:t>
      </w:r>
      <w:r w:rsidR="009D2184">
        <w:rPr>
          <w:sz w:val="20"/>
          <w:lang w:val="es-ES_tradnl"/>
        </w:rPr>
        <w:t>3</w:t>
      </w:r>
    </w:p>
    <w:p w14:paraId="687CF317" w14:textId="7A9F0354" w:rsidR="00B1717A" w:rsidRPr="001A047E" w:rsidRDefault="00B1717A" w:rsidP="007B5506">
      <w:pPr>
        <w:spacing w:before="0"/>
        <w:jc w:val="center"/>
        <w:rPr>
          <w:sz w:val="20"/>
          <w:lang w:val="es-ES_tradnl"/>
        </w:rPr>
      </w:pPr>
      <w:r w:rsidRPr="001A047E">
        <w:rPr>
          <w:sz w:val="20"/>
          <w:lang w:val="es-ES_tradnl"/>
        </w:rPr>
        <w:sym w:font="Symbol" w:char="F0E3"/>
      </w:r>
      <w:r w:rsidRPr="001A047E">
        <w:rPr>
          <w:sz w:val="20"/>
          <w:lang w:val="es-ES_tradnl"/>
        </w:rPr>
        <w:t xml:space="preserve"> UIT </w:t>
      </w:r>
      <w:bookmarkStart w:id="1" w:name="iiannee"/>
      <w:bookmarkEnd w:id="1"/>
      <w:r w:rsidRPr="001A047E">
        <w:rPr>
          <w:sz w:val="20"/>
          <w:lang w:val="es-ES_tradnl"/>
        </w:rPr>
        <w:t>20</w:t>
      </w:r>
      <w:r w:rsidR="00DF53B7" w:rsidRPr="001A047E">
        <w:rPr>
          <w:sz w:val="20"/>
          <w:lang w:val="es-ES_tradnl"/>
        </w:rPr>
        <w:t>2</w:t>
      </w:r>
      <w:r w:rsidR="009D2184">
        <w:rPr>
          <w:sz w:val="20"/>
          <w:lang w:val="es-ES_tradnl"/>
        </w:rPr>
        <w:t>3</w:t>
      </w:r>
    </w:p>
    <w:p w14:paraId="1C86AACD" w14:textId="6A71830D" w:rsidR="00145DF8" w:rsidRDefault="00B1717A" w:rsidP="007E7099">
      <w:pPr>
        <w:spacing w:before="0"/>
        <w:rPr>
          <w:sz w:val="18"/>
          <w:szCs w:val="18"/>
          <w:lang w:val="es-ES_tradnl"/>
        </w:rPr>
      </w:pPr>
      <w:r w:rsidRPr="001A047E">
        <w:rPr>
          <w:sz w:val="18"/>
          <w:szCs w:val="18"/>
          <w:lang w:val="es-ES_tradnl"/>
        </w:rPr>
        <w:t>Reservados todos los derechos. Ninguna parte de esta publicación puede reproducirse por ningún procedimiento sin previa autorización escrita por parte de la UIT.</w:t>
      </w:r>
    </w:p>
    <w:p w14:paraId="1FBD8608" w14:textId="77777777" w:rsidR="00A36C17" w:rsidRPr="001A047E" w:rsidRDefault="00A36C17" w:rsidP="007E7099">
      <w:pPr>
        <w:spacing w:before="0"/>
        <w:rPr>
          <w:sz w:val="18"/>
          <w:szCs w:val="18"/>
          <w:lang w:val="es-ES_tradnl"/>
        </w:rPr>
      </w:pPr>
    </w:p>
    <w:p w14:paraId="75532E18" w14:textId="77777777" w:rsidR="00B1717A" w:rsidRPr="001A047E" w:rsidRDefault="00B1717A" w:rsidP="00B1717A">
      <w:pPr>
        <w:spacing w:before="160"/>
        <w:rPr>
          <w:i/>
          <w:sz w:val="20"/>
          <w:highlight w:val="yellow"/>
          <w:lang w:val="es-ES_tradnl"/>
        </w:rPr>
        <w:sectPr w:rsidR="00B1717A" w:rsidRPr="001A047E" w:rsidSect="00D62884">
          <w:headerReference w:type="even" r:id="rId11"/>
          <w:headerReference w:type="default" r:id="rId12"/>
          <w:pgSz w:w="11907" w:h="16834" w:code="9"/>
          <w:pgMar w:top="1418" w:right="1134" w:bottom="1134" w:left="1134" w:header="720" w:footer="482" w:gutter="0"/>
          <w:pgNumType w:fmt="lowerRoman" w:start="2"/>
          <w:cols w:space="720"/>
        </w:sectPr>
      </w:pPr>
    </w:p>
    <w:p w14:paraId="131C54B2" w14:textId="2982AD9D" w:rsidR="00F95CFB" w:rsidRPr="001A047E" w:rsidRDefault="00F95CFB" w:rsidP="00F95CFB">
      <w:pPr>
        <w:pStyle w:val="RecNo"/>
        <w:spacing w:before="0"/>
        <w:rPr>
          <w:lang w:val="es-ES_tradnl"/>
        </w:rPr>
      </w:pPr>
      <w:bookmarkStart w:id="2" w:name="irecnoe"/>
      <w:bookmarkEnd w:id="2"/>
      <w:r w:rsidRPr="001A047E">
        <w:rPr>
          <w:lang w:val="es-ES_tradnl"/>
        </w:rPr>
        <w:lastRenderedPageBreak/>
        <w:t xml:space="preserve">RECOMENDACIÓN  </w:t>
      </w:r>
      <w:r w:rsidRPr="001A047E">
        <w:rPr>
          <w:rStyle w:val="href"/>
          <w:lang w:val="es-ES_tradnl"/>
        </w:rPr>
        <w:t>UIT-R  S.</w:t>
      </w:r>
      <w:r w:rsidR="009D2184">
        <w:rPr>
          <w:rStyle w:val="href"/>
          <w:lang w:val="es-ES_tradnl"/>
        </w:rPr>
        <w:t>1587</w:t>
      </w:r>
      <w:r w:rsidR="00177138" w:rsidRPr="001A047E">
        <w:rPr>
          <w:rStyle w:val="href"/>
          <w:lang w:val="es-ES_tradnl"/>
        </w:rPr>
        <w:t>-</w:t>
      </w:r>
      <w:r w:rsidR="009D2184">
        <w:rPr>
          <w:rStyle w:val="href"/>
          <w:lang w:val="es-ES_tradnl"/>
        </w:rPr>
        <w:t>3</w:t>
      </w:r>
    </w:p>
    <w:p w14:paraId="4E8C497F" w14:textId="400885C8" w:rsidR="009D2184" w:rsidRPr="007D31CE" w:rsidRDefault="009D2184" w:rsidP="009D2184">
      <w:pPr>
        <w:pStyle w:val="Rectitle"/>
        <w:rPr>
          <w:lang w:val="es-ES"/>
        </w:rPr>
      </w:pPr>
      <w:r w:rsidRPr="007D31CE">
        <w:rPr>
          <w:lang w:val="es-ES"/>
        </w:rPr>
        <w:t>Características técnicas de las estaciones terrenas a bordo de barcos</w:t>
      </w:r>
      <w:r w:rsidRPr="007D31CE">
        <w:rPr>
          <w:lang w:val="es-ES"/>
        </w:rPr>
        <w:br/>
        <w:t>que se comunican con satélites del SFS en las bandas</w:t>
      </w:r>
      <w:r w:rsidRPr="007D31CE">
        <w:rPr>
          <w:lang w:val="es-ES"/>
        </w:rPr>
        <w:br/>
        <w:t>de frecuencia 5 925-6 425 MHz y 14-14,5 GHz</w:t>
      </w:r>
      <w:r w:rsidRPr="007D31CE">
        <w:rPr>
          <w:lang w:val="es-ES"/>
        </w:rPr>
        <w:br/>
        <w:t>atribuidas al servicio fijo por satélite</w:t>
      </w:r>
    </w:p>
    <w:p w14:paraId="7F866EB9" w14:textId="77777777" w:rsidR="009D2184" w:rsidRPr="007D31CE" w:rsidRDefault="009D2184" w:rsidP="009D2184">
      <w:pPr>
        <w:pStyle w:val="Recdate"/>
        <w:rPr>
          <w:lang w:val="es-ES"/>
        </w:rPr>
      </w:pPr>
      <w:bookmarkStart w:id="3" w:name="Revision_history"/>
      <w:r w:rsidRPr="007D31CE">
        <w:rPr>
          <w:lang w:val="es-ES"/>
        </w:rPr>
        <w:t>(2002-2003-2007-2015)</w:t>
      </w:r>
      <w:bookmarkEnd w:id="3"/>
    </w:p>
    <w:p w14:paraId="6352BCF8" w14:textId="6C94145A" w:rsidR="009D2184" w:rsidRPr="00F06FBA" w:rsidRDefault="008D4AD0" w:rsidP="00F06FBA">
      <w:pPr>
        <w:pStyle w:val="HeadingSum"/>
      </w:pPr>
      <w:r>
        <w:rPr>
          <w:lang w:val="es-ES"/>
        </w:rPr>
        <w:t>Cometido</w:t>
      </w:r>
    </w:p>
    <w:p w14:paraId="78286968" w14:textId="77777777" w:rsidR="009D2184" w:rsidRPr="00DD5CC7" w:rsidRDefault="009D2184" w:rsidP="00F06FBA">
      <w:pPr>
        <w:pStyle w:val="Summary"/>
        <w:spacing w:after="480"/>
        <w:jc w:val="both"/>
      </w:pPr>
      <w:r w:rsidRPr="00DD5CC7">
        <w:t xml:space="preserve">Esta </w:t>
      </w:r>
      <w:r w:rsidRPr="00F06FBA">
        <w:rPr>
          <w:lang w:val="fr-FR" w:eastAsia="ja-JP"/>
        </w:rPr>
        <w:t>Recomendación</w:t>
      </w:r>
      <w:r w:rsidRPr="00DD5CC7">
        <w:t xml:space="preserve"> y el banco de datos electrónico asociado proporcionan las características técnicas representativas de las ETB </w:t>
      </w:r>
      <w:r w:rsidRPr="007D31CE">
        <w:t>existentes y planificadas que se comunican con satélites del SFS en las bandas de frecuencias</w:t>
      </w:r>
      <w:r w:rsidRPr="00DD5CC7">
        <w:t xml:space="preserve"> 5 925-6 425 MHz </w:t>
      </w:r>
      <w:r w:rsidRPr="007D31CE">
        <w:t xml:space="preserve">y </w:t>
      </w:r>
      <w:r w:rsidRPr="00DD5CC7">
        <w:t>14-14</w:t>
      </w:r>
      <w:r w:rsidRPr="007D31CE">
        <w:t>,</w:t>
      </w:r>
      <w:r w:rsidRPr="00DD5CC7">
        <w:t>5 GHz.</w:t>
      </w:r>
    </w:p>
    <w:p w14:paraId="4160A987" w14:textId="77777777" w:rsidR="009D2184" w:rsidRPr="007D31CE" w:rsidRDefault="009D2184" w:rsidP="009D2184">
      <w:pPr>
        <w:pStyle w:val="Headingb"/>
        <w:rPr>
          <w:lang w:val="es-ES"/>
        </w:rPr>
      </w:pPr>
      <w:r w:rsidRPr="007D31CE">
        <w:rPr>
          <w:lang w:val="es-ES"/>
        </w:rPr>
        <w:t>Palabras clave</w:t>
      </w:r>
    </w:p>
    <w:p w14:paraId="34546581" w14:textId="0153221E" w:rsidR="009D2184" w:rsidRPr="00DD5CC7" w:rsidRDefault="00DD5CC7" w:rsidP="009D2184">
      <w:pPr>
        <w:rPr>
          <w:lang w:val="es-ES"/>
        </w:rPr>
      </w:pPr>
      <w:r w:rsidRPr="00DD5CC7">
        <w:rPr>
          <w:lang w:val="es-ES"/>
        </w:rPr>
        <w:t>Características técnicas</w:t>
      </w:r>
      <w:r>
        <w:rPr>
          <w:lang w:val="es-ES"/>
        </w:rPr>
        <w:t xml:space="preserve">, </w:t>
      </w:r>
      <w:r w:rsidRPr="007D31CE">
        <w:rPr>
          <w:lang w:val="es-ES"/>
        </w:rPr>
        <w:t>estaciones terrenas a bordo de barcos</w:t>
      </w:r>
      <w:r>
        <w:rPr>
          <w:lang w:val="es-ES"/>
        </w:rPr>
        <w:t>,</w:t>
      </w:r>
      <w:r w:rsidRPr="00DD5CC7">
        <w:rPr>
          <w:lang w:val="es-ES"/>
        </w:rPr>
        <w:t xml:space="preserve"> </w:t>
      </w:r>
      <w:r w:rsidR="009D2184" w:rsidRPr="00DD5CC7">
        <w:rPr>
          <w:lang w:val="es-ES"/>
        </w:rPr>
        <w:t>SFS</w:t>
      </w:r>
    </w:p>
    <w:p w14:paraId="24C6C7F4" w14:textId="77777777" w:rsidR="009D2184" w:rsidRPr="00CA03B9" w:rsidRDefault="009D2184" w:rsidP="009D2184">
      <w:pPr>
        <w:pStyle w:val="Headingb"/>
        <w:rPr>
          <w:lang w:val="es-ES"/>
        </w:rPr>
      </w:pPr>
      <w:r w:rsidRPr="007D31CE">
        <w:rPr>
          <w:color w:val="000000"/>
          <w:lang w:val="es-ES"/>
        </w:rPr>
        <w:t>Recomendaciones e Informes UIT-R conexos</w:t>
      </w:r>
    </w:p>
    <w:p w14:paraId="78F1970E" w14:textId="12FDAE51" w:rsidR="009D2184" w:rsidRPr="00CA03B9" w:rsidRDefault="009D2184" w:rsidP="00F06FBA">
      <w:pPr>
        <w:pStyle w:val="Reftext"/>
        <w:ind w:left="3600" w:hanging="3600"/>
        <w:rPr>
          <w:lang w:val="es-ES"/>
        </w:rPr>
      </w:pPr>
      <w:r w:rsidRPr="00CA03B9">
        <w:rPr>
          <w:rFonts w:eastAsia="SimSun"/>
          <w:lang w:val="es-ES"/>
        </w:rPr>
        <w:t>Recomendación UIT-R S</w:t>
      </w:r>
      <w:r w:rsidRPr="00CA03B9">
        <w:rPr>
          <w:lang w:val="es-ES"/>
        </w:rPr>
        <w:t>.524-9</w:t>
      </w:r>
      <w:r w:rsidRPr="00CA03B9">
        <w:rPr>
          <w:rFonts w:eastAsia="SimSun"/>
          <w:lang w:val="es-ES"/>
        </w:rPr>
        <w:tab/>
      </w:r>
      <w:r w:rsidRPr="007D31CE">
        <w:rPr>
          <w:lang w:val="es-ES"/>
        </w:rPr>
        <w:t>Máximos niveles admisibles de la densidad de la p.i.r.e. fuera del eje, de las estaciones terrenas en redes de satélites geoestacionarios que funcionan en el servicio fijo por satélite transmitiendo en las bandas de frecuencias de 6 GHz, 13 GHz, 14 GHz y 30 GHz</w:t>
      </w:r>
    </w:p>
    <w:p w14:paraId="673CF5DC" w14:textId="77777777" w:rsidR="009D2184" w:rsidRPr="00CA03B9" w:rsidRDefault="009D2184" w:rsidP="00F06FBA">
      <w:pPr>
        <w:pStyle w:val="Reftext"/>
        <w:ind w:left="3600" w:hanging="3600"/>
        <w:rPr>
          <w:lang w:val="es-ES"/>
        </w:rPr>
      </w:pPr>
      <w:r w:rsidRPr="007D31CE">
        <w:rPr>
          <w:rFonts w:eastAsia="SimSun"/>
          <w:lang w:val="es-ES"/>
        </w:rPr>
        <w:t>Recomendación UIT</w:t>
      </w:r>
      <w:r w:rsidRPr="00CA03B9">
        <w:rPr>
          <w:rFonts w:eastAsia="SimSun"/>
          <w:lang w:val="es-ES"/>
        </w:rPr>
        <w:t>-R S</w:t>
      </w:r>
      <w:r w:rsidRPr="00CA03B9">
        <w:rPr>
          <w:lang w:val="es-ES"/>
        </w:rPr>
        <w:t>.580-6</w:t>
      </w:r>
      <w:r w:rsidRPr="00CA03B9">
        <w:rPr>
          <w:rFonts w:eastAsia="SimSun"/>
          <w:lang w:val="es-ES"/>
        </w:rPr>
        <w:tab/>
      </w:r>
      <w:r w:rsidRPr="007D31CE">
        <w:rPr>
          <w:lang w:val="es-ES"/>
        </w:rPr>
        <w:t>Diagramas de radiación que han de utilizarse como objetivos de diseño para las antenas de las estaciones terrenas que funcionan con satélites geoestacionarios</w:t>
      </w:r>
    </w:p>
    <w:p w14:paraId="28B0E9D7" w14:textId="77777777" w:rsidR="009D2184" w:rsidRPr="00CA03B9" w:rsidRDefault="009D2184" w:rsidP="00F06FBA">
      <w:pPr>
        <w:pStyle w:val="Reftext"/>
        <w:ind w:left="3600" w:hanging="3600"/>
        <w:rPr>
          <w:lang w:val="es-ES"/>
        </w:rPr>
      </w:pPr>
      <w:r w:rsidRPr="007D31CE">
        <w:rPr>
          <w:rFonts w:eastAsia="SimSun"/>
          <w:lang w:val="es-ES"/>
        </w:rPr>
        <w:t>Recomendación UIT</w:t>
      </w:r>
      <w:r w:rsidRPr="00CA03B9">
        <w:rPr>
          <w:rFonts w:eastAsia="SimSun"/>
          <w:lang w:val="es-ES"/>
        </w:rPr>
        <w:t>-R S.731-1</w:t>
      </w:r>
      <w:r w:rsidRPr="00CA03B9">
        <w:rPr>
          <w:rFonts w:eastAsia="SimSun"/>
          <w:lang w:val="es-ES"/>
        </w:rPr>
        <w:tab/>
      </w:r>
      <w:r w:rsidRPr="007D31CE">
        <w:rPr>
          <w:lang w:val="es-ES"/>
        </w:rPr>
        <w:t>Diagrama de radiación contrapolar de referencia de estación terrena para utilizar en la coordinación de frecuencias y la evaluación de la interferencia en la gama de frecuencias comprendida entre 2 y unos 30 GHz</w:t>
      </w:r>
    </w:p>
    <w:p w14:paraId="2607ACAE" w14:textId="77777777" w:rsidR="009D2184" w:rsidRPr="00CA03B9" w:rsidRDefault="009D2184" w:rsidP="00F06FBA">
      <w:pPr>
        <w:pStyle w:val="Reftext"/>
        <w:ind w:left="3600" w:hanging="3600"/>
        <w:rPr>
          <w:rFonts w:eastAsia="SimSun"/>
          <w:lang w:val="es-ES"/>
        </w:rPr>
      </w:pPr>
      <w:r w:rsidRPr="007D31CE">
        <w:rPr>
          <w:rFonts w:eastAsia="SimSun"/>
          <w:lang w:val="es-ES"/>
        </w:rPr>
        <w:t>Recomendación UIT</w:t>
      </w:r>
      <w:r w:rsidRPr="00CA03B9">
        <w:rPr>
          <w:rFonts w:eastAsia="SimSun"/>
          <w:lang w:val="es-ES"/>
        </w:rPr>
        <w:t>-R S.732-1</w:t>
      </w:r>
      <w:r w:rsidRPr="00CA03B9">
        <w:rPr>
          <w:rFonts w:eastAsia="SimSun"/>
          <w:lang w:val="es-ES"/>
        </w:rPr>
        <w:tab/>
      </w:r>
      <w:r w:rsidRPr="007D31CE">
        <w:rPr>
          <w:lang w:val="es-ES"/>
        </w:rPr>
        <w:t>Método para el tratamiento estadístico de las crestas de los lóbulos laterales de las antenas de estación terrena para determinar el exceso sobre los diagramas de antena de referencia y las condiciones para la aceptabilidad de cualquier exceso</w:t>
      </w:r>
    </w:p>
    <w:p w14:paraId="0F78654F" w14:textId="77777777" w:rsidR="009D2184" w:rsidRPr="00CA03B9" w:rsidRDefault="009D2184" w:rsidP="00F06FBA">
      <w:pPr>
        <w:pStyle w:val="Reftext"/>
        <w:ind w:left="3600" w:hanging="3600"/>
        <w:rPr>
          <w:lang w:val="es-ES"/>
        </w:rPr>
      </w:pPr>
      <w:r w:rsidRPr="007D31CE">
        <w:rPr>
          <w:rFonts w:eastAsia="SimSun"/>
          <w:lang w:val="es-ES"/>
        </w:rPr>
        <w:t>Recomendación UIT</w:t>
      </w:r>
      <w:r w:rsidRPr="00CA03B9">
        <w:rPr>
          <w:rFonts w:eastAsia="SimSun"/>
          <w:lang w:val="es-ES"/>
        </w:rPr>
        <w:t>-R SF.1006-0</w:t>
      </w:r>
      <w:r w:rsidRPr="00CA03B9">
        <w:rPr>
          <w:rFonts w:eastAsia="SimSun"/>
          <w:lang w:val="es-ES"/>
        </w:rPr>
        <w:tab/>
      </w:r>
      <w:r w:rsidRPr="007D31CE">
        <w:rPr>
          <w:lang w:val="es-ES"/>
        </w:rPr>
        <w:t>Determinación de la interferencia potencial entre estaciones terrenas del servicio fijo por satélite y estaciones del servicio fijo</w:t>
      </w:r>
    </w:p>
    <w:p w14:paraId="18D32FDD" w14:textId="7920D670" w:rsidR="009D2184" w:rsidRPr="00CA03B9" w:rsidRDefault="009D2184" w:rsidP="00F06FBA">
      <w:pPr>
        <w:pStyle w:val="Reftext"/>
        <w:ind w:left="3600" w:hanging="3600"/>
        <w:rPr>
          <w:b/>
          <w:lang w:val="es-ES"/>
        </w:rPr>
      </w:pPr>
      <w:r w:rsidRPr="00CA03B9">
        <w:rPr>
          <w:rFonts w:eastAsia="SimSun"/>
          <w:lang w:val="es-ES"/>
        </w:rPr>
        <w:t>Recomenda</w:t>
      </w:r>
      <w:r>
        <w:rPr>
          <w:rFonts w:eastAsia="SimSun"/>
          <w:lang w:val="es-ES"/>
        </w:rPr>
        <w:t>ción</w:t>
      </w:r>
      <w:r w:rsidRPr="00CA03B9">
        <w:rPr>
          <w:rFonts w:eastAsia="SimSun"/>
          <w:lang w:val="es-ES"/>
        </w:rPr>
        <w:t xml:space="preserve"> </w:t>
      </w:r>
      <w:r w:rsidRPr="007D31CE">
        <w:rPr>
          <w:rFonts w:eastAsia="SimSun"/>
          <w:lang w:val="es-ES"/>
        </w:rPr>
        <w:t>UIT</w:t>
      </w:r>
      <w:r w:rsidRPr="00CA03B9">
        <w:rPr>
          <w:rFonts w:eastAsia="SimSun"/>
          <w:lang w:val="es-ES"/>
        </w:rPr>
        <w:t>-R SM.1448-0</w:t>
      </w:r>
      <w:r w:rsidRPr="00CA03B9">
        <w:rPr>
          <w:rFonts w:eastAsia="SimSun"/>
          <w:lang w:val="es-ES"/>
        </w:rPr>
        <w:tab/>
      </w:r>
      <w:r w:rsidRPr="00CA03B9">
        <w:rPr>
          <w:lang w:val="es-ES"/>
        </w:rPr>
        <w:t>Determinación de la zona de coordinación alrededor de una estación terrena en las bandas de frecuencias entre 100 MHz y 105</w:t>
      </w:r>
      <w:r w:rsidR="00DE5B1B">
        <w:rPr>
          <w:lang w:val="es-ES"/>
        </w:rPr>
        <w:t> </w:t>
      </w:r>
      <w:r w:rsidRPr="00CA03B9">
        <w:rPr>
          <w:lang w:val="es-ES"/>
        </w:rPr>
        <w:t>GHz</w:t>
      </w:r>
    </w:p>
    <w:p w14:paraId="78DFF28B" w14:textId="77777777" w:rsidR="009D2184" w:rsidRPr="007D31CE" w:rsidRDefault="009D2184" w:rsidP="00CA03B9">
      <w:pPr>
        <w:pStyle w:val="Normalaftertitle"/>
        <w:keepNext/>
        <w:keepLines/>
        <w:rPr>
          <w:lang w:val="es-ES"/>
        </w:rPr>
      </w:pPr>
      <w:r w:rsidRPr="007D31CE">
        <w:rPr>
          <w:lang w:val="es-ES"/>
        </w:rPr>
        <w:t>La Asamblea de Radiocomunicaciones de la UIT,</w:t>
      </w:r>
    </w:p>
    <w:p w14:paraId="4268C6B7" w14:textId="77777777" w:rsidR="009D2184" w:rsidRPr="007D31CE" w:rsidRDefault="009D2184" w:rsidP="00CA03B9">
      <w:pPr>
        <w:pStyle w:val="Call"/>
        <w:rPr>
          <w:lang w:val="es-ES"/>
        </w:rPr>
      </w:pPr>
      <w:r w:rsidRPr="007D31CE">
        <w:rPr>
          <w:lang w:val="es-ES"/>
        </w:rPr>
        <w:t>considerando</w:t>
      </w:r>
    </w:p>
    <w:p w14:paraId="489C3D03" w14:textId="77777777" w:rsidR="009D2184" w:rsidRPr="007D31CE" w:rsidRDefault="009D2184" w:rsidP="00CA03B9">
      <w:pPr>
        <w:keepNext/>
        <w:keepLines/>
        <w:rPr>
          <w:lang w:val="es-ES"/>
        </w:rPr>
      </w:pPr>
      <w:r w:rsidRPr="00272933">
        <w:rPr>
          <w:i/>
          <w:iCs/>
          <w:lang w:val="es-ES"/>
        </w:rPr>
        <w:t>a)</w:t>
      </w:r>
      <w:r w:rsidRPr="007D31CE">
        <w:rPr>
          <w:lang w:val="es-ES"/>
        </w:rPr>
        <w:tab/>
        <w:t>que la Conferencia Mundial de Radiocomunicaciones (Ginebra, 2003) (CMR</w:t>
      </w:r>
      <w:r w:rsidRPr="007D31CE">
        <w:rPr>
          <w:lang w:val="es-ES"/>
        </w:rPr>
        <w:noBreakHyphen/>
        <w:t>03) aprobó la Resolución 902 (CMR-03) relativa a las estaciones terrenas a bordo de barcos (ETB);</w:t>
      </w:r>
    </w:p>
    <w:p w14:paraId="2CDD7076" w14:textId="77777777" w:rsidR="009D2184" w:rsidRPr="007D31CE" w:rsidRDefault="009D2184" w:rsidP="009D2184">
      <w:pPr>
        <w:rPr>
          <w:lang w:val="es-ES"/>
        </w:rPr>
      </w:pPr>
      <w:r w:rsidRPr="00272933">
        <w:rPr>
          <w:i/>
          <w:iCs/>
          <w:lang w:val="es-ES"/>
        </w:rPr>
        <w:t>b)</w:t>
      </w:r>
      <w:r w:rsidRPr="007D31CE">
        <w:rPr>
          <w:lang w:val="es-ES"/>
        </w:rPr>
        <w:tab/>
        <w:t>que, en virtud del número 4.4 del Reglamento de Radiocomunicaciones (RR), las ETB pueden funcionar en el servicio fijo por satélite (SFS) en una parte de la banda de frecuencias 5 925</w:t>
      </w:r>
      <w:r w:rsidRPr="007D31CE">
        <w:rPr>
          <w:lang w:val="es-ES"/>
        </w:rPr>
        <w:noBreakHyphen/>
        <w:t>6 425 MHz;</w:t>
      </w:r>
    </w:p>
    <w:p w14:paraId="46302693" w14:textId="77777777" w:rsidR="009D2184" w:rsidRPr="007D31CE" w:rsidRDefault="009D2184" w:rsidP="009D2184">
      <w:pPr>
        <w:rPr>
          <w:lang w:val="es-ES"/>
        </w:rPr>
      </w:pPr>
      <w:r w:rsidRPr="00272933">
        <w:rPr>
          <w:i/>
          <w:iCs/>
          <w:lang w:val="es-ES"/>
        </w:rPr>
        <w:t>c)</w:t>
      </w:r>
      <w:r w:rsidRPr="007D31CE">
        <w:rPr>
          <w:lang w:val="es-ES"/>
        </w:rPr>
        <w:tab/>
        <w:t>que, en virtud del número 4.4 del RR, las ETB pueden funcionar en el SFS en una parte de la banda de frecuencias 14-14,5 GHz;</w:t>
      </w:r>
    </w:p>
    <w:p w14:paraId="4044A8B9" w14:textId="77777777" w:rsidR="009D2184" w:rsidRPr="007D31CE" w:rsidRDefault="009D2184" w:rsidP="009D2184">
      <w:pPr>
        <w:rPr>
          <w:lang w:val="es-ES"/>
        </w:rPr>
      </w:pPr>
      <w:r w:rsidRPr="00272933">
        <w:rPr>
          <w:i/>
          <w:iCs/>
          <w:lang w:val="es-ES"/>
        </w:rPr>
        <w:lastRenderedPageBreak/>
        <w:t>d)</w:t>
      </w:r>
      <w:r w:rsidRPr="007D31CE">
        <w:rPr>
          <w:lang w:val="es-ES"/>
        </w:rPr>
        <w:tab/>
        <w:t>que es necesario proteger los sistemas geoestacionarios (OSG) del SFS actuales y planificados;</w:t>
      </w:r>
    </w:p>
    <w:p w14:paraId="25099A73" w14:textId="77777777" w:rsidR="009D2184" w:rsidRPr="007D31CE" w:rsidRDefault="009D2184" w:rsidP="009D2184">
      <w:pPr>
        <w:rPr>
          <w:lang w:val="es-ES"/>
        </w:rPr>
      </w:pPr>
      <w:r w:rsidRPr="00272933">
        <w:rPr>
          <w:i/>
          <w:iCs/>
          <w:lang w:val="es-ES"/>
        </w:rPr>
        <w:t>e)</w:t>
      </w:r>
      <w:r w:rsidRPr="007D31CE">
        <w:rPr>
          <w:lang w:val="es-ES"/>
        </w:rPr>
        <w:tab/>
        <w:t>que es necesario imponer algunas restricciones al funcionamiento de las ETB, para garantizar una utilización eficaz del espectro y facilitar la compartición, atendiendo a la Resolución 902 (CMR</w:t>
      </w:r>
      <w:r w:rsidRPr="007D31CE">
        <w:rPr>
          <w:lang w:val="es-ES"/>
        </w:rPr>
        <w:noBreakHyphen/>
        <w:t>03),</w:t>
      </w:r>
    </w:p>
    <w:p w14:paraId="7C76EE10" w14:textId="77777777" w:rsidR="009D2184" w:rsidRPr="007D31CE" w:rsidRDefault="009D2184" w:rsidP="009D2184">
      <w:pPr>
        <w:pStyle w:val="Call"/>
        <w:rPr>
          <w:lang w:val="es-ES"/>
        </w:rPr>
      </w:pPr>
      <w:r w:rsidRPr="007D31CE">
        <w:rPr>
          <w:lang w:val="es-ES"/>
        </w:rPr>
        <w:t>reconociendo</w:t>
      </w:r>
    </w:p>
    <w:p w14:paraId="7997D62B" w14:textId="77777777" w:rsidR="009D2184" w:rsidRPr="007D31CE" w:rsidRDefault="009D2184" w:rsidP="009D2184">
      <w:pPr>
        <w:rPr>
          <w:lang w:val="es-ES"/>
        </w:rPr>
      </w:pPr>
      <w:r w:rsidRPr="00272933">
        <w:rPr>
          <w:i/>
          <w:iCs/>
          <w:lang w:val="es-ES"/>
        </w:rPr>
        <w:t>a)</w:t>
      </w:r>
      <w:r w:rsidRPr="007D31CE">
        <w:rPr>
          <w:lang w:val="es-ES"/>
        </w:rPr>
        <w:tab/>
        <w:t>que las ETB pueden funcionar en la red del SFS en virtud del número 4.4 del RR y no reclamarán protección contra otros servicios que tienen atribuciones en estas bandas, ni causarán interferencia a dichos servicios, mientras su estatuto no sea modificado por una Conferencia de Radiocomunicaciones competente,</w:t>
      </w:r>
    </w:p>
    <w:p w14:paraId="51002149" w14:textId="77777777" w:rsidR="009D2184" w:rsidRPr="007D31CE" w:rsidRDefault="009D2184" w:rsidP="009D2184">
      <w:pPr>
        <w:pStyle w:val="Call"/>
        <w:rPr>
          <w:lang w:val="es-ES"/>
        </w:rPr>
      </w:pPr>
      <w:r w:rsidRPr="007D31CE">
        <w:rPr>
          <w:lang w:val="es-ES"/>
        </w:rPr>
        <w:t>observando</w:t>
      </w:r>
    </w:p>
    <w:p w14:paraId="0D09DC7E" w14:textId="77777777" w:rsidR="009D2184" w:rsidRPr="007D31CE" w:rsidRDefault="009D2184" w:rsidP="009D2184">
      <w:pPr>
        <w:rPr>
          <w:lang w:val="es-ES"/>
        </w:rPr>
      </w:pPr>
      <w:r w:rsidRPr="00272933">
        <w:rPr>
          <w:i/>
          <w:iCs/>
          <w:lang w:val="es-ES"/>
        </w:rPr>
        <w:t>a)</w:t>
      </w:r>
      <w:r w:rsidRPr="007D31CE">
        <w:rPr>
          <w:lang w:val="es-ES"/>
        </w:rPr>
        <w:tab/>
        <w:t>que en la Resolución 902 (CMR-03) se describen las disposiciones reglamentarias y operacionales y las limitaciones técnicas de las ETB que funcionan en las bandas 5 925-6 425 MHz y 14-14,5 GHz,</w:t>
      </w:r>
    </w:p>
    <w:p w14:paraId="4E5C81A0" w14:textId="77777777" w:rsidR="009D2184" w:rsidRPr="007D31CE" w:rsidRDefault="009D2184" w:rsidP="009D2184">
      <w:pPr>
        <w:pStyle w:val="Call"/>
        <w:rPr>
          <w:lang w:val="es-ES"/>
        </w:rPr>
      </w:pPr>
      <w:r w:rsidRPr="007D31CE">
        <w:rPr>
          <w:lang w:val="es-ES"/>
        </w:rPr>
        <w:t>recomienda</w:t>
      </w:r>
    </w:p>
    <w:p w14:paraId="7E025993" w14:textId="5765AC1F" w:rsidR="009D2184" w:rsidRPr="007D31CE" w:rsidRDefault="009D2184" w:rsidP="009D2184">
      <w:pPr>
        <w:rPr>
          <w:lang w:val="es-ES"/>
        </w:rPr>
      </w:pPr>
      <w:r w:rsidRPr="007D31CE">
        <w:rPr>
          <w:b/>
          <w:bCs/>
          <w:lang w:val="es-ES"/>
        </w:rPr>
        <w:t>1</w:t>
      </w:r>
      <w:r w:rsidRPr="007D31CE">
        <w:rPr>
          <w:lang w:val="es-ES"/>
        </w:rPr>
        <w:tab/>
        <w:t>que las características técnicas representativas de las ETB existentes y planificadas que se comunican con satélites del SFS en las bandas de frecuencias 5 925-6 425 MHz y 14-14,5</w:t>
      </w:r>
      <w:r w:rsidR="00CA03B9">
        <w:rPr>
          <w:lang w:val="es-ES"/>
        </w:rPr>
        <w:t> </w:t>
      </w:r>
      <w:r w:rsidRPr="007D31CE">
        <w:rPr>
          <w:lang w:val="es-ES"/>
        </w:rPr>
        <w:t>GHz sean compiladas en un banco de datos electrónico disponible de la Oficina de Radiocomunicaciones</w:t>
      </w:r>
      <w:r>
        <w:rPr>
          <w:rStyle w:val="FootnoteReference"/>
          <w:lang w:val="es-ES"/>
        </w:rPr>
        <w:footnoteReference w:id="1"/>
      </w:r>
      <w:r w:rsidRPr="007D31CE">
        <w:rPr>
          <w:lang w:val="es-ES"/>
        </w:rPr>
        <w:t xml:space="preserve"> y se utilicen en los estudios de compartición de frecuencias relacionados con EBT;</w:t>
      </w:r>
    </w:p>
    <w:p w14:paraId="3B3352DD" w14:textId="6DB046C3" w:rsidR="009D2184" w:rsidRDefault="009D2184" w:rsidP="009D2184">
      <w:pPr>
        <w:rPr>
          <w:lang w:val="es-ES"/>
        </w:rPr>
      </w:pPr>
      <w:r w:rsidRPr="00CA03B9">
        <w:rPr>
          <w:b/>
          <w:lang w:val="es-ES"/>
        </w:rPr>
        <w:t>2</w:t>
      </w:r>
      <w:r w:rsidRPr="00CA03B9">
        <w:rPr>
          <w:b/>
          <w:lang w:val="es-ES"/>
        </w:rPr>
        <w:tab/>
      </w:r>
      <w:r w:rsidRPr="007D31CE">
        <w:rPr>
          <w:lang w:val="es-ES"/>
        </w:rPr>
        <w:t>que los Cuadros que figuran en los Anexos 1 y 2 del presente documento, que se han incorporado también al banco de datos, se utilicen proforma para la comunicación de las características técnicas de las ETB.</w:t>
      </w:r>
    </w:p>
    <w:p w14:paraId="1E978D32" w14:textId="3F76BC26" w:rsidR="00272933" w:rsidRDefault="00272933" w:rsidP="009D2184">
      <w:pPr>
        <w:rPr>
          <w:lang w:val="es-ES"/>
        </w:rPr>
      </w:pPr>
    </w:p>
    <w:p w14:paraId="491CC3F0" w14:textId="77777777" w:rsidR="00272933" w:rsidRPr="00CA03B9" w:rsidRDefault="00272933" w:rsidP="009D2184">
      <w:pPr>
        <w:rPr>
          <w:lang w:val="es-ES"/>
        </w:rPr>
      </w:pPr>
    </w:p>
    <w:p w14:paraId="3AFEC8DE" w14:textId="44595DA9" w:rsidR="009D2184" w:rsidRPr="007D31CE" w:rsidRDefault="009D2184" w:rsidP="009D2184">
      <w:pPr>
        <w:pStyle w:val="AnnexNoTitle"/>
        <w:rPr>
          <w:lang w:val="es-ES"/>
        </w:rPr>
      </w:pPr>
      <w:r w:rsidRPr="007D31CE">
        <w:rPr>
          <w:lang w:val="es-ES"/>
        </w:rPr>
        <w:t>Anexo 1</w:t>
      </w:r>
      <w:r w:rsidRPr="007D31CE">
        <w:rPr>
          <w:lang w:val="es-ES"/>
        </w:rPr>
        <w:br/>
      </w:r>
      <w:r w:rsidRPr="007D31CE">
        <w:rPr>
          <w:lang w:val="es-ES"/>
        </w:rPr>
        <w:br/>
        <w:t>Características técnicas de las ETB que funcionan</w:t>
      </w:r>
      <w:r w:rsidR="00CA03B9">
        <w:rPr>
          <w:lang w:val="es-ES"/>
        </w:rPr>
        <w:t xml:space="preserve"> </w:t>
      </w:r>
      <w:r w:rsidRPr="007D31CE">
        <w:rPr>
          <w:lang w:val="es-ES"/>
        </w:rPr>
        <w:t>en la banda</w:t>
      </w:r>
      <w:r w:rsidR="00CA03B9">
        <w:rPr>
          <w:lang w:val="es-ES"/>
        </w:rPr>
        <w:br/>
      </w:r>
      <w:r w:rsidRPr="007D31CE">
        <w:rPr>
          <w:lang w:val="es-ES"/>
        </w:rPr>
        <w:t>de frecuencias 5 925-6 425 MHz</w:t>
      </w:r>
      <w:r w:rsidR="00CA03B9">
        <w:rPr>
          <w:lang w:val="es-ES"/>
        </w:rPr>
        <w:t xml:space="preserve"> </w:t>
      </w:r>
      <w:r w:rsidRPr="007D31CE">
        <w:rPr>
          <w:lang w:val="es-ES"/>
        </w:rPr>
        <w:t>que es atribuida al SFS</w:t>
      </w:r>
    </w:p>
    <w:p w14:paraId="5B6CCBA8" w14:textId="77777777" w:rsidR="009D2184" w:rsidRPr="007D31CE" w:rsidRDefault="009D2184" w:rsidP="009D2184">
      <w:pPr>
        <w:pStyle w:val="Heading1"/>
        <w:rPr>
          <w:lang w:val="es-ES"/>
        </w:rPr>
      </w:pPr>
      <w:r w:rsidRPr="007D31CE">
        <w:rPr>
          <w:lang w:val="es-ES"/>
        </w:rPr>
        <w:t>1</w:t>
      </w:r>
      <w:r w:rsidRPr="007D31CE">
        <w:rPr>
          <w:lang w:val="es-ES"/>
        </w:rPr>
        <w:tab/>
        <w:t>Introducción</w:t>
      </w:r>
    </w:p>
    <w:p w14:paraId="77CDD228" w14:textId="77777777" w:rsidR="009D2184" w:rsidRPr="007D31CE" w:rsidRDefault="009D2184" w:rsidP="00F367DF">
      <w:pPr>
        <w:rPr>
          <w:lang w:val="es-ES"/>
        </w:rPr>
      </w:pPr>
      <w:r w:rsidRPr="007D31CE">
        <w:rPr>
          <w:lang w:val="es-ES"/>
        </w:rPr>
        <w:t>Se han instalado ETB en todas las Regiones de la UIT en distintos tipos de embarcaciones y plataformas móviles, que funcionan sobre una base experimental utilizando el segmento espacial del SFS en la banda 5 925-6 425 MHz. Las redes existentes del SFS en la banda 5 925-6 425 MHz son apropiadas para el funcionamiento de los sistemas ETB por sus ventajas en cuanto a capacidad de señal de banda ancha, cobertura generalizada, funcionamiento fiable, inmunidad a interrupciones debidas a las condiciones atmosféricas y gran disponibilidad.</w:t>
      </w:r>
    </w:p>
    <w:p w14:paraId="2E04387A" w14:textId="77777777" w:rsidR="009D2184" w:rsidRPr="007D31CE" w:rsidRDefault="009D2184" w:rsidP="009D2184">
      <w:pPr>
        <w:rPr>
          <w:lang w:val="es-ES"/>
        </w:rPr>
      </w:pPr>
      <w:r w:rsidRPr="007D31CE">
        <w:rPr>
          <w:lang w:val="es-ES"/>
        </w:rPr>
        <w:t>En este Anexo se describen las estaciones terrenas existentes y planificadas a bordo de navíos que funcionan en la banda 5 925-6 425 MHz en las redes del SFS.</w:t>
      </w:r>
    </w:p>
    <w:p w14:paraId="72F7622E" w14:textId="77777777" w:rsidR="009D2184" w:rsidRPr="007D31CE" w:rsidRDefault="009D2184" w:rsidP="009D2184">
      <w:pPr>
        <w:pStyle w:val="Heading1"/>
        <w:rPr>
          <w:lang w:val="es-ES"/>
        </w:rPr>
      </w:pPr>
      <w:r w:rsidRPr="007D31CE">
        <w:rPr>
          <w:lang w:val="es-ES"/>
        </w:rPr>
        <w:lastRenderedPageBreak/>
        <w:t>2</w:t>
      </w:r>
      <w:r w:rsidRPr="007D31CE">
        <w:rPr>
          <w:lang w:val="es-ES"/>
        </w:rPr>
        <w:tab/>
        <w:t>Descripción de los sistemas ESV instalados y su funcionamiento</w:t>
      </w:r>
    </w:p>
    <w:p w14:paraId="177E71F4" w14:textId="77777777" w:rsidR="009D2184" w:rsidRPr="007D31CE" w:rsidRDefault="009D2184" w:rsidP="009D2184">
      <w:pPr>
        <w:pStyle w:val="Heading2"/>
        <w:rPr>
          <w:lang w:val="es-ES"/>
        </w:rPr>
      </w:pPr>
      <w:r w:rsidRPr="007D31CE">
        <w:rPr>
          <w:lang w:val="es-ES"/>
        </w:rPr>
        <w:t>2.1</w:t>
      </w:r>
      <w:r w:rsidRPr="007D31CE">
        <w:rPr>
          <w:lang w:val="es-ES"/>
        </w:rPr>
        <w:tab/>
        <w:t>Descripción de los sistemas ESV</w:t>
      </w:r>
    </w:p>
    <w:p w14:paraId="68E65F33" w14:textId="77777777" w:rsidR="009D2184" w:rsidRPr="007D31CE" w:rsidRDefault="009D2184" w:rsidP="009D2184">
      <w:pPr>
        <w:rPr>
          <w:lang w:val="es-ES"/>
        </w:rPr>
      </w:pPr>
      <w:r w:rsidRPr="007D31CE">
        <w:rPr>
          <w:lang w:val="es-ES"/>
        </w:rPr>
        <w:t>Actualmente, se están utilizando en todas las Regiones de la UIT ETB que funcionan en las frecuencias del SFS en la banda 5 925-6 425 MHz, en diversos tipos de grandes embarcaciones tales como buques de línea, barcos petrolíferos y de investigación sísmica y buques navales. (Por sus dimensiones, peso y costo, los sistemas de ETB que funcionan en la banda 5 925-6 425 MHz sólo son apropiados para instalación en los navíos más grandes.) Además, las plataformas móviles petrolíferas y de extracción de gas utilizan las ETB para el intercambio de datos a alta velocidad, que es esencial para su funcionamiento. Las ETB utilizan una plataforma estabilizada y extremadamente fiable, y tecnología de terminales de muy pequeña abertura (VSAT) bien asentada. Cada una de las instalaciones ETB a bordo de un navío es controlada independientemente por una estación terrena situada en tierra (estación central).</w:t>
      </w:r>
    </w:p>
    <w:p w14:paraId="68DF2541" w14:textId="77777777" w:rsidR="009D2184" w:rsidRPr="007D31CE" w:rsidRDefault="009D2184" w:rsidP="009D2184">
      <w:pPr>
        <w:rPr>
          <w:lang w:val="es-ES"/>
        </w:rPr>
      </w:pPr>
      <w:r w:rsidRPr="007D31CE">
        <w:rPr>
          <w:lang w:val="es-ES"/>
        </w:rPr>
        <w:t>El equipo de una estación terrena a bordo de un navío consta de tres subsistemas:</w:t>
      </w:r>
    </w:p>
    <w:p w14:paraId="53A526DF" w14:textId="77777777" w:rsidR="009D2184" w:rsidRPr="007D31CE" w:rsidRDefault="009D2184" w:rsidP="009D2184">
      <w:pPr>
        <w:pStyle w:val="enumlev1"/>
        <w:rPr>
          <w:lang w:val="es-ES"/>
        </w:rPr>
      </w:pPr>
      <w:r w:rsidRPr="007D31CE">
        <w:rPr>
          <w:lang w:val="es-ES"/>
        </w:rPr>
        <w:t>–</w:t>
      </w:r>
      <w:r w:rsidRPr="007D31CE">
        <w:rPr>
          <w:lang w:val="es-ES"/>
        </w:rPr>
        <w:tab/>
        <w:t>subsistema de antena;</w:t>
      </w:r>
    </w:p>
    <w:p w14:paraId="01D1274F" w14:textId="77777777" w:rsidR="009D2184" w:rsidRPr="007D31CE" w:rsidRDefault="009D2184" w:rsidP="009D2184">
      <w:pPr>
        <w:pStyle w:val="enumlev1"/>
        <w:rPr>
          <w:lang w:val="es-ES"/>
        </w:rPr>
      </w:pPr>
      <w:r w:rsidRPr="007D31CE">
        <w:rPr>
          <w:lang w:val="es-ES"/>
        </w:rPr>
        <w:t>–</w:t>
      </w:r>
      <w:r w:rsidRPr="007D31CE">
        <w:rPr>
          <w:lang w:val="es-ES"/>
        </w:rPr>
        <w:tab/>
        <w:t>subsistema RF; y</w:t>
      </w:r>
    </w:p>
    <w:p w14:paraId="4FDDC390" w14:textId="77777777" w:rsidR="009D2184" w:rsidRPr="007D31CE" w:rsidRDefault="009D2184" w:rsidP="009D2184">
      <w:pPr>
        <w:pStyle w:val="enumlev1"/>
        <w:rPr>
          <w:lang w:val="es-ES"/>
        </w:rPr>
      </w:pPr>
      <w:r w:rsidRPr="007D31CE">
        <w:rPr>
          <w:lang w:val="es-ES"/>
        </w:rPr>
        <w:t>–</w:t>
      </w:r>
      <w:r w:rsidRPr="007D31CE">
        <w:rPr>
          <w:lang w:val="es-ES"/>
        </w:rPr>
        <w:tab/>
        <w:t>subsistema digital/módem.</w:t>
      </w:r>
    </w:p>
    <w:p w14:paraId="09A43832" w14:textId="339CA9B5" w:rsidR="009D2184" w:rsidRPr="007D31CE" w:rsidRDefault="009D2184" w:rsidP="009D2184">
      <w:pPr>
        <w:rPr>
          <w:lang w:val="es-ES"/>
        </w:rPr>
      </w:pPr>
      <w:r w:rsidRPr="007D31CE">
        <w:rPr>
          <w:lang w:val="es-ES"/>
        </w:rPr>
        <w:t>El subsistema de antena va instalado sobre la cubierta y tiene las características particulares de las aplicaciones marítimas. El subsistema digital/módem va instalado bajo la cubierta, y el subsistema</w:t>
      </w:r>
      <w:r w:rsidR="00FE2062">
        <w:rPr>
          <w:lang w:val="es-ES"/>
        </w:rPr>
        <w:t> </w:t>
      </w:r>
      <w:r w:rsidRPr="007D31CE">
        <w:rPr>
          <w:lang w:val="es-ES"/>
        </w:rPr>
        <w:t>RF va instalado sobre la cubierta con el subsistema de antena. Los componentes de los subsistemas digital/módem y de RF son equipos convencionales como los de las estaciones terrenas situadas en</w:t>
      </w:r>
      <w:r w:rsidR="00FE2062">
        <w:rPr>
          <w:lang w:val="es-ES"/>
        </w:rPr>
        <w:t xml:space="preserve"> </w:t>
      </w:r>
      <w:r w:rsidRPr="007D31CE">
        <w:rPr>
          <w:lang w:val="es-ES"/>
        </w:rPr>
        <w:t>tierra.</w:t>
      </w:r>
    </w:p>
    <w:p w14:paraId="7C0C8836" w14:textId="77777777" w:rsidR="009D2184" w:rsidRPr="007D31CE" w:rsidRDefault="009D2184" w:rsidP="009D2184">
      <w:pPr>
        <w:pStyle w:val="Heading2"/>
        <w:rPr>
          <w:lang w:val="es-ES"/>
        </w:rPr>
      </w:pPr>
      <w:r w:rsidRPr="007D31CE">
        <w:rPr>
          <w:lang w:val="es-ES"/>
        </w:rPr>
        <w:t>2.2</w:t>
      </w:r>
      <w:r w:rsidRPr="007D31CE">
        <w:rPr>
          <w:lang w:val="es-ES"/>
        </w:rPr>
        <w:tab/>
        <w:t>Subsistema de antena</w:t>
      </w:r>
    </w:p>
    <w:p w14:paraId="07D28CB6" w14:textId="47F04DD8" w:rsidR="009D2184" w:rsidRPr="007D31CE" w:rsidRDefault="009D2184" w:rsidP="009D2184">
      <w:pPr>
        <w:rPr>
          <w:lang w:val="es-ES"/>
        </w:rPr>
      </w:pPr>
      <w:r w:rsidRPr="007D31CE">
        <w:rPr>
          <w:lang w:val="es-ES"/>
        </w:rPr>
        <w:t>El subsistema de antena está formado por una plataforma estabilizada y una antena. Estos componentes van montados sobre la cubierta y están protegidos por una cúpula rígida de estructura de compuestos de espuma/fibra de vidrio. Un sistema característico sería una antena en aluminio parabólica orientable y simétrica respecto al eje, de</w:t>
      </w:r>
      <w:r w:rsidR="00FE2062">
        <w:rPr>
          <w:lang w:val="es-ES"/>
        </w:rPr>
        <w:t> </w:t>
      </w:r>
      <w:r w:rsidRPr="007D31CE">
        <w:rPr>
          <w:lang w:val="es-ES"/>
        </w:rPr>
        <w:t>2,4 m, con un alimentador en el foco principal de polarización circular o lineal. La ganancia de antena hacia el horizonte está entre 4 y 7</w:t>
      </w:r>
      <w:r w:rsidR="00FE2062">
        <w:rPr>
          <w:lang w:val="es-ES"/>
        </w:rPr>
        <w:t> </w:t>
      </w:r>
      <w:r w:rsidRPr="007D31CE">
        <w:rPr>
          <w:lang w:val="es-ES"/>
        </w:rPr>
        <w:t>dBi. La</w:t>
      </w:r>
      <w:r w:rsidR="00CA03B9">
        <w:rPr>
          <w:lang w:val="es-ES"/>
        </w:rPr>
        <w:t xml:space="preserve"> </w:t>
      </w:r>
      <w:r w:rsidRPr="007D31CE">
        <w:rPr>
          <w:lang w:val="es-ES"/>
        </w:rPr>
        <w:t>relación</w:t>
      </w:r>
      <w:r w:rsidR="00415081">
        <w:rPr>
          <w:lang w:val="es-ES"/>
        </w:rPr>
        <w:t> </w:t>
      </w:r>
      <w:r w:rsidRPr="007D31CE">
        <w:rPr>
          <w:i/>
          <w:iCs/>
          <w:lang w:val="es-ES"/>
        </w:rPr>
        <w:t>G</w:t>
      </w:r>
      <w:r w:rsidRPr="007D31CE">
        <w:rPr>
          <w:lang w:val="es-ES"/>
        </w:rPr>
        <w:t>/</w:t>
      </w:r>
      <w:r w:rsidRPr="007D31CE">
        <w:rPr>
          <w:i/>
          <w:iCs/>
          <w:lang w:val="es-ES"/>
        </w:rPr>
        <w:t>T</w:t>
      </w:r>
      <w:r w:rsidRPr="007D31CE">
        <w:rPr>
          <w:lang w:val="es-ES"/>
        </w:rPr>
        <w:t xml:space="preserve"> es 16,5</w:t>
      </w:r>
      <w:r w:rsidR="00FE2062">
        <w:rPr>
          <w:lang w:val="es-ES"/>
        </w:rPr>
        <w:t> </w:t>
      </w:r>
      <w:r w:rsidRPr="007D31CE">
        <w:rPr>
          <w:lang w:val="es-ES"/>
        </w:rPr>
        <w:t>dB/K o superior. El eje central de la antena se encuentra en un punto fijo, por ejemplo, a</w:t>
      </w:r>
      <w:r w:rsidR="00DE5B1B">
        <w:rPr>
          <w:lang w:val="es-ES"/>
        </w:rPr>
        <w:t xml:space="preserve"> </w:t>
      </w:r>
      <w:r w:rsidRPr="007D31CE">
        <w:rPr>
          <w:lang w:val="es-ES"/>
        </w:rPr>
        <w:t>26</w:t>
      </w:r>
      <w:r w:rsidR="00CA03B9">
        <w:rPr>
          <w:lang w:val="es-ES"/>
        </w:rPr>
        <w:t> </w:t>
      </w:r>
      <w:r w:rsidRPr="007D31CE">
        <w:rPr>
          <w:lang w:val="es-ES"/>
        </w:rPr>
        <w:t>m sobre el nivel del mar. Las características de funcionamiento de la antena son conformes con las Recomendaciones UIT</w:t>
      </w:r>
      <w:r w:rsidRPr="007D31CE">
        <w:rPr>
          <w:lang w:val="es-ES"/>
        </w:rPr>
        <w:noBreakHyphen/>
        <w:t>R S.524, UIT</w:t>
      </w:r>
      <w:r w:rsidRPr="007D31CE">
        <w:rPr>
          <w:lang w:val="es-ES"/>
        </w:rPr>
        <w:noBreakHyphen/>
        <w:t>R S.580, UIT</w:t>
      </w:r>
      <w:r w:rsidRPr="007D31CE">
        <w:rPr>
          <w:lang w:val="es-ES"/>
        </w:rPr>
        <w:noBreakHyphen/>
        <w:t>R S.731 y UIT</w:t>
      </w:r>
      <w:r w:rsidRPr="007D31CE">
        <w:rPr>
          <w:lang w:val="es-ES"/>
        </w:rPr>
        <w:noBreakHyphen/>
        <w:t>R S.732.</w:t>
      </w:r>
    </w:p>
    <w:p w14:paraId="336CD6CB" w14:textId="77777777" w:rsidR="009D2184" w:rsidRPr="007D31CE" w:rsidRDefault="009D2184" w:rsidP="009D2184">
      <w:pPr>
        <w:spacing w:line="270" w:lineRule="exact"/>
        <w:rPr>
          <w:lang w:val="es-ES"/>
        </w:rPr>
      </w:pPr>
      <w:r w:rsidRPr="007D31CE">
        <w:rPr>
          <w:lang w:val="es-ES"/>
        </w:rPr>
        <w:t xml:space="preserve">Es necesario que el subsistema de antena pueda compensar el movimiento del navío. Debe garantizar una precisión de puntería superior a </w:t>
      </w:r>
      <w:r w:rsidRPr="007D31CE">
        <w:rPr>
          <w:rFonts w:ascii="Symbol" w:hAnsi="Symbol"/>
          <w:lang w:val="es-ES"/>
        </w:rPr>
        <w:sym w:font="Symbol" w:char="F0B1"/>
      </w:r>
      <w:r w:rsidRPr="007D31CE">
        <w:rPr>
          <w:lang w:val="es-ES"/>
        </w:rPr>
        <w:t> 0,2° en valor de cresta. Se señala que es necesario una antena de 2,4 m como mínimo para satisfacer las recomendaciones de calidad de funciona</w:t>
      </w:r>
      <w:r w:rsidRPr="007D31CE">
        <w:rPr>
          <w:lang w:val="es-ES"/>
        </w:rPr>
        <w:softHyphen/>
        <w:t>miento de la antena con los diseños de antena actuales.</w:t>
      </w:r>
    </w:p>
    <w:p w14:paraId="7178F7D2" w14:textId="77777777" w:rsidR="009D2184" w:rsidRPr="007D31CE" w:rsidRDefault="009D2184" w:rsidP="009D2184">
      <w:pPr>
        <w:spacing w:line="270" w:lineRule="exact"/>
        <w:rPr>
          <w:lang w:val="es-ES"/>
        </w:rPr>
      </w:pPr>
      <w:r w:rsidRPr="007D31CE">
        <w:rPr>
          <w:lang w:val="es-ES"/>
        </w:rPr>
        <w:t xml:space="preserve">En la plataforma estabilizada, una unidad de control de antena por microprocesador estabiliza la estación terrena sobre una plataforma marina móvil, para mantener el enganche de la señal y la precisión de puntería de </w:t>
      </w:r>
      <w:r w:rsidRPr="007D31CE">
        <w:rPr>
          <w:rFonts w:ascii="Symbol" w:hAnsi="Symbol"/>
          <w:lang w:val="es-ES"/>
        </w:rPr>
        <w:sym w:font="Symbol" w:char="F0B1"/>
      </w:r>
      <w:r w:rsidRPr="007D31CE">
        <w:rPr>
          <w:lang w:val="es-ES"/>
        </w:rPr>
        <w:t> 0,2° de cresta. La unidad de control hace los ajustes necesarios según la posición relativa de la plataforma móvil y los movimientos provocados por el viento y las olas.</w:t>
      </w:r>
    </w:p>
    <w:p w14:paraId="48C81778" w14:textId="77777777" w:rsidR="009D2184" w:rsidRPr="007D31CE" w:rsidRDefault="009D2184" w:rsidP="009D2184">
      <w:pPr>
        <w:pStyle w:val="Heading2"/>
        <w:rPr>
          <w:lang w:val="es-ES"/>
        </w:rPr>
      </w:pPr>
      <w:r w:rsidRPr="007D31CE">
        <w:rPr>
          <w:lang w:val="es-ES"/>
        </w:rPr>
        <w:t>2.3</w:t>
      </w:r>
      <w:r w:rsidRPr="007D31CE">
        <w:rPr>
          <w:lang w:val="es-ES"/>
        </w:rPr>
        <w:tab/>
        <w:t>Subsistema RF</w:t>
      </w:r>
    </w:p>
    <w:p w14:paraId="3F392AE3" w14:textId="77777777" w:rsidR="009D2184" w:rsidRPr="007D31CE" w:rsidRDefault="009D2184" w:rsidP="009D2184">
      <w:pPr>
        <w:rPr>
          <w:lang w:val="es-ES"/>
        </w:rPr>
      </w:pPr>
      <w:r w:rsidRPr="007D31CE">
        <w:rPr>
          <w:lang w:val="es-ES"/>
        </w:rPr>
        <w:t>El subsistema de RF está formado por transmisores y receptores normalizados, y convertidores convencionales elevadores y reductores, homologados para la prestación de servicios con satélites. Los convertidores elevadores y reductores van montados sobre la cubierta, con la antena en la cúpula rígida.</w:t>
      </w:r>
    </w:p>
    <w:p w14:paraId="0F2F2D92" w14:textId="77777777" w:rsidR="009D2184" w:rsidRPr="007D31CE" w:rsidRDefault="009D2184" w:rsidP="009D2184">
      <w:pPr>
        <w:pStyle w:val="Heading2"/>
        <w:rPr>
          <w:lang w:val="es-ES"/>
        </w:rPr>
      </w:pPr>
      <w:r w:rsidRPr="007D31CE">
        <w:rPr>
          <w:lang w:val="es-ES"/>
        </w:rPr>
        <w:lastRenderedPageBreak/>
        <w:t>2.4</w:t>
      </w:r>
      <w:r w:rsidRPr="007D31CE">
        <w:rPr>
          <w:lang w:val="es-ES"/>
        </w:rPr>
        <w:tab/>
        <w:t>Subsistema digital/módem</w:t>
      </w:r>
    </w:p>
    <w:p w14:paraId="1FF3EB1F" w14:textId="77777777" w:rsidR="009D2184" w:rsidRPr="007D31CE" w:rsidRDefault="009D2184" w:rsidP="009D2184">
      <w:pPr>
        <w:rPr>
          <w:lang w:val="es-ES"/>
        </w:rPr>
      </w:pPr>
      <w:r w:rsidRPr="007D31CE">
        <w:rPr>
          <w:lang w:val="es-ES"/>
        </w:rPr>
        <w:t>El subsistema digital/módem, que está instalado bajo la cubierta en la sala de radio, está formado por una unidad de control de antena y otros equipos convencionales y de uso común, previstos para un funcionamiento conforme a los parámetros operacionales descritos anteriormente.</w:t>
      </w:r>
    </w:p>
    <w:p w14:paraId="6B8FB6C3" w14:textId="77777777" w:rsidR="009D2184" w:rsidRPr="007D31CE" w:rsidRDefault="009D2184" w:rsidP="009D2184">
      <w:pPr>
        <w:pStyle w:val="Heading2"/>
        <w:rPr>
          <w:lang w:val="es-ES"/>
        </w:rPr>
      </w:pPr>
      <w:r w:rsidRPr="007D31CE">
        <w:rPr>
          <w:lang w:val="es-ES"/>
        </w:rPr>
        <w:t>2.5</w:t>
      </w:r>
      <w:r w:rsidRPr="007D31CE">
        <w:rPr>
          <w:lang w:val="es-ES"/>
        </w:rPr>
        <w:tab/>
        <w:t>Capacidad de terminación</w:t>
      </w:r>
    </w:p>
    <w:p w14:paraId="03634104" w14:textId="77777777" w:rsidR="009D2184" w:rsidRPr="007D31CE" w:rsidRDefault="009D2184" w:rsidP="009D2184">
      <w:pPr>
        <w:pStyle w:val="enumlev1"/>
        <w:rPr>
          <w:lang w:val="es-ES"/>
        </w:rPr>
      </w:pPr>
      <w:r w:rsidRPr="007D31CE">
        <w:rPr>
          <w:lang w:val="es-ES"/>
        </w:rPr>
        <w:t>–</w:t>
      </w:r>
      <w:r w:rsidRPr="007D31CE">
        <w:rPr>
          <w:lang w:val="es-ES"/>
        </w:rPr>
        <w:tab/>
        <w:t>Para ofrecer una protección adecuada contra la interferencia imprevista con estaciones del servicio terrenal, en el diseño técnico de las ETB deben incluirse funciones automáticas capaces de limitar o terminar ciertas operaciones cuando se dan determinadas condiciones. En el § 3 se indican estas condiciones de funcionamiento.</w:t>
      </w:r>
    </w:p>
    <w:p w14:paraId="11C1F8C5" w14:textId="77777777" w:rsidR="009D2184" w:rsidRPr="007D31CE" w:rsidRDefault="009D2184" w:rsidP="009D2184">
      <w:pPr>
        <w:pStyle w:val="enumlev1"/>
        <w:rPr>
          <w:lang w:val="es-ES"/>
        </w:rPr>
      </w:pPr>
      <w:r w:rsidRPr="007D31CE">
        <w:rPr>
          <w:lang w:val="es-ES"/>
        </w:rPr>
        <w:t>–</w:t>
      </w:r>
      <w:r w:rsidRPr="007D31CE">
        <w:rPr>
          <w:lang w:val="es-ES"/>
        </w:rPr>
        <w:tab/>
        <w:t>Está previsto que el sistema termine las transmisiones de forma instantánea si el sistema de antena pierde el enganche de puntería en el satélite.</w:t>
      </w:r>
    </w:p>
    <w:p w14:paraId="59714786" w14:textId="77777777" w:rsidR="009D2184" w:rsidRPr="007D31CE" w:rsidRDefault="009D2184" w:rsidP="009D2184">
      <w:pPr>
        <w:pStyle w:val="Heading2"/>
        <w:rPr>
          <w:lang w:val="es-ES"/>
        </w:rPr>
      </w:pPr>
      <w:r w:rsidRPr="007D31CE">
        <w:rPr>
          <w:lang w:val="es-ES"/>
        </w:rPr>
        <w:t>2.6</w:t>
      </w:r>
      <w:r w:rsidRPr="007D31CE">
        <w:rPr>
          <w:lang w:val="es-ES"/>
        </w:rPr>
        <w:tab/>
        <w:t>Descripción de la función de estación central del sistema ETB</w:t>
      </w:r>
    </w:p>
    <w:p w14:paraId="69D1D517" w14:textId="77777777" w:rsidR="009D2184" w:rsidRPr="007D31CE" w:rsidRDefault="009D2184" w:rsidP="009D2184">
      <w:pPr>
        <w:rPr>
          <w:lang w:val="es-ES"/>
        </w:rPr>
      </w:pPr>
      <w:r w:rsidRPr="007D31CE">
        <w:rPr>
          <w:lang w:val="es-ES"/>
        </w:rPr>
        <w:t>En la Fig. 1 se ha representado la relación de funcionamiento de una ETB característica y su estación central. Se trata de una red de grupo cerrado de usuarios, en la que los navíos sólo comunican a través de la estación terrena central, sin conexión directa con la red telefónica pública con conmutación. El operador de la estación central se encarga de las peticiones de suspensión del servicio en un navío, por uno u otro motivo. La estación central controla las transmisiones de los navíos todos los días de la semana durante las 24 horas.</w:t>
      </w:r>
    </w:p>
    <w:p w14:paraId="31E8C566" w14:textId="77777777" w:rsidR="009D2184" w:rsidRPr="007D31CE" w:rsidRDefault="009D2184" w:rsidP="009D2184">
      <w:pPr>
        <w:pStyle w:val="Heading1"/>
        <w:rPr>
          <w:lang w:val="es-ES"/>
        </w:rPr>
      </w:pPr>
      <w:r w:rsidRPr="007D31CE">
        <w:rPr>
          <w:lang w:val="es-ES"/>
        </w:rPr>
        <w:t>3</w:t>
      </w:r>
      <w:r w:rsidRPr="007D31CE">
        <w:rPr>
          <w:lang w:val="es-ES"/>
        </w:rPr>
        <w:tab/>
        <w:t>Características operacionales de las ETB típicas que funcionan en la banda de frecuencias 5 925-6 425 MHz</w:t>
      </w:r>
    </w:p>
    <w:p w14:paraId="49E99F10" w14:textId="77777777" w:rsidR="009D2184" w:rsidRPr="007D31CE" w:rsidRDefault="009D2184" w:rsidP="009D2184">
      <w:pPr>
        <w:rPr>
          <w:lang w:val="es-ES"/>
        </w:rPr>
      </w:pPr>
      <w:r w:rsidRPr="007D31CE">
        <w:rPr>
          <w:lang w:val="es-ES"/>
        </w:rPr>
        <w:t xml:space="preserve">Como estas estaciones son relativamente voluminosas, se instalan en los barcos pesados de gran calado. Las ETB pueden funcionar las 24 horas durante la permanencia en puerto, en tránsito hacia el puerto o saliendo de él por el canal de navegación y cuando están en alta mar. Estos navíos atracan en determinados muelles adaptados al servicio de embarcaciones de gran tonelaje. En su tránsito entre el puerto y mar abierto, estos navíos deben mantener una velocidad adaptada para poder maniobrar </w:t>
      </w:r>
      <w:proofErr w:type="gramStart"/>
      <w:r w:rsidRPr="007D31CE">
        <w:rPr>
          <w:lang w:val="es-ES"/>
        </w:rPr>
        <w:t>correctamente</w:t>
      </w:r>
      <w:proofErr w:type="gramEnd"/>
      <w:r w:rsidRPr="007D31CE">
        <w:rPr>
          <w:lang w:val="es-ES"/>
        </w:rPr>
        <w:t>, generalmente 5 nudos como mínimo, y no salirse del canal de navegación. Se utilizan antenas estabilizadas para la navegación, con el haz principal dirigido hacia el satélite en órbita geoestacionaria.</w:t>
      </w:r>
    </w:p>
    <w:p w14:paraId="6C4BF1A4" w14:textId="77777777" w:rsidR="00CA03B9" w:rsidRPr="009E7469" w:rsidRDefault="00CA03B9" w:rsidP="00CA03B9">
      <w:pPr>
        <w:pStyle w:val="FigureNo"/>
        <w:rPr>
          <w:lang w:val="es-ES_tradnl"/>
        </w:rPr>
      </w:pPr>
      <w:r w:rsidRPr="009E7469">
        <w:rPr>
          <w:lang w:val="es-ES_tradnl"/>
        </w:rPr>
        <w:lastRenderedPageBreak/>
        <w:t>figurA 1</w:t>
      </w:r>
    </w:p>
    <w:p w14:paraId="38821159" w14:textId="29446D3F" w:rsidR="00CA03B9" w:rsidRPr="009E7469" w:rsidRDefault="00CA03B9" w:rsidP="00CA03B9">
      <w:pPr>
        <w:pStyle w:val="Figuretitle"/>
        <w:rPr>
          <w:lang w:val="es-ES_tradnl"/>
        </w:rPr>
      </w:pPr>
      <w:r w:rsidRPr="009E7469">
        <w:rPr>
          <w:lang w:val="es-ES_tradnl"/>
        </w:rPr>
        <w:t>Relación de funci</w:t>
      </w:r>
      <w:r w:rsidR="009E7469">
        <w:rPr>
          <w:lang w:val="es-ES_tradnl"/>
        </w:rPr>
        <w:t>o</w:t>
      </w:r>
      <w:r w:rsidRPr="009E7469">
        <w:rPr>
          <w:lang w:val="es-ES_tradnl"/>
        </w:rPr>
        <w:t>namiento de una ETB característica y su estación central</w:t>
      </w:r>
    </w:p>
    <w:p w14:paraId="70E0450B" w14:textId="77777777" w:rsidR="00CA03B9" w:rsidRDefault="00CA03B9" w:rsidP="00CA03B9">
      <w:pPr>
        <w:pStyle w:val="Figure"/>
      </w:pPr>
      <w:r>
        <w:object w:dxaOrig="7088" w:dyaOrig="5121" w14:anchorId="1C1853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75pt;height:256.5pt" o:ole="">
            <v:imagedata r:id="rId13" o:title=""/>
          </v:shape>
          <o:OLEObject Type="Embed" ProgID="CorelDraw.Graphic.16" ShapeID="_x0000_i1025" DrawAspect="Content" ObjectID="_1735993415" r:id="rId14"/>
        </w:object>
      </w:r>
    </w:p>
    <w:p w14:paraId="49288EB4" w14:textId="77777777" w:rsidR="009D2184" w:rsidRPr="007D31CE" w:rsidRDefault="009D2184" w:rsidP="009D2184">
      <w:pPr>
        <w:pStyle w:val="Normalaftertitle"/>
        <w:rPr>
          <w:lang w:val="es-ES"/>
        </w:rPr>
      </w:pPr>
      <w:r w:rsidRPr="007D31CE">
        <w:rPr>
          <w:lang w:val="es-ES"/>
        </w:rPr>
        <w:t>El transmisor ETB se debe inhabilitar cuando se producen las siguientes condiciones:</w:t>
      </w:r>
    </w:p>
    <w:p w14:paraId="33F76F13" w14:textId="77777777" w:rsidR="009D2184" w:rsidRPr="007D31CE" w:rsidRDefault="009D2184" w:rsidP="009D2184">
      <w:pPr>
        <w:pStyle w:val="enumlev1"/>
        <w:rPr>
          <w:lang w:val="es-ES"/>
        </w:rPr>
      </w:pPr>
      <w:r w:rsidRPr="007D31CE">
        <w:rPr>
          <w:lang w:val="es-ES"/>
        </w:rPr>
        <w:t>–</w:t>
      </w:r>
      <w:r w:rsidRPr="007D31CE">
        <w:rPr>
          <w:lang w:val="es-ES"/>
        </w:rPr>
        <w:tab/>
        <w:t>se pierde el enganche del subsistema de antena con el satélite o no se puede mantener un seguimiento preciso, por ejemplo en condiciones de marejada que no permiten una precisión de puntería;</w:t>
      </w:r>
    </w:p>
    <w:p w14:paraId="366D0405" w14:textId="77777777" w:rsidR="009D2184" w:rsidRPr="007D31CE" w:rsidRDefault="009D2184" w:rsidP="009D2184">
      <w:pPr>
        <w:pStyle w:val="enumlev1"/>
        <w:rPr>
          <w:lang w:val="es-ES"/>
        </w:rPr>
      </w:pPr>
      <w:r w:rsidRPr="007D31CE">
        <w:rPr>
          <w:lang w:val="es-ES"/>
        </w:rPr>
        <w:t>–</w:t>
      </w:r>
      <w:r w:rsidRPr="007D31CE">
        <w:rPr>
          <w:lang w:val="es-ES"/>
        </w:rPr>
        <w:tab/>
        <w:t>la p.i.r.e. de la ETB hacia el horizonte es superior al valor recomendado;</w:t>
      </w:r>
    </w:p>
    <w:p w14:paraId="0F3FFEAC" w14:textId="77777777" w:rsidR="009D2184" w:rsidRPr="007D31CE" w:rsidRDefault="009D2184" w:rsidP="009D2184">
      <w:pPr>
        <w:pStyle w:val="enumlev1"/>
        <w:rPr>
          <w:lang w:val="es-ES"/>
        </w:rPr>
      </w:pPr>
      <w:r w:rsidRPr="007D31CE">
        <w:rPr>
          <w:lang w:val="es-ES"/>
        </w:rPr>
        <w:t>–</w:t>
      </w:r>
      <w:r w:rsidRPr="007D31CE">
        <w:rPr>
          <w:lang w:val="es-ES"/>
        </w:rPr>
        <w:tab/>
        <w:t>la ETB se encuentra dentro de un determinado territorio geográfico donde no se autoriza la utilización de estos sistemas.</w:t>
      </w:r>
    </w:p>
    <w:p w14:paraId="2519D192" w14:textId="77777777" w:rsidR="009D2184" w:rsidRPr="007D31CE" w:rsidRDefault="009D2184" w:rsidP="009D2184">
      <w:pPr>
        <w:pStyle w:val="Heading2"/>
        <w:rPr>
          <w:lang w:val="es-ES"/>
        </w:rPr>
      </w:pPr>
      <w:r w:rsidRPr="007D31CE">
        <w:rPr>
          <w:lang w:val="es-ES"/>
        </w:rPr>
        <w:t>3.1</w:t>
      </w:r>
      <w:r w:rsidRPr="007D31CE">
        <w:rPr>
          <w:lang w:val="es-ES"/>
        </w:rPr>
        <w:tab/>
        <w:t>Caso general: tres fases operacionales diferentes</w:t>
      </w:r>
    </w:p>
    <w:p w14:paraId="6A8993A5" w14:textId="77777777" w:rsidR="009D2184" w:rsidRPr="007D31CE" w:rsidRDefault="009D2184" w:rsidP="009D2184">
      <w:pPr>
        <w:rPr>
          <w:lang w:val="es-ES"/>
        </w:rPr>
      </w:pPr>
      <w:r w:rsidRPr="007D31CE">
        <w:rPr>
          <w:lang w:val="es-ES"/>
        </w:rPr>
        <w:t>A los fines de estudio del potencial de interferencia entre las ETB y el servicio terrenal, conviene distinguir tres fases de funcionamiento:</w:t>
      </w:r>
    </w:p>
    <w:p w14:paraId="3AF21754" w14:textId="4760C889" w:rsidR="009D2184" w:rsidRPr="007D31CE" w:rsidRDefault="009D2184" w:rsidP="009D2184">
      <w:pPr>
        <w:pStyle w:val="enumlev1"/>
        <w:tabs>
          <w:tab w:val="clear" w:pos="794"/>
          <w:tab w:val="clear" w:pos="1191"/>
          <w:tab w:val="clear" w:pos="1588"/>
          <w:tab w:val="clear" w:pos="1985"/>
          <w:tab w:val="left" w:pos="851"/>
        </w:tabs>
        <w:ind w:left="851" w:hanging="851"/>
        <w:rPr>
          <w:lang w:val="es-ES"/>
        </w:rPr>
      </w:pPr>
      <w:r w:rsidRPr="007D31CE">
        <w:rPr>
          <w:i/>
          <w:iCs/>
          <w:lang w:val="es-ES"/>
        </w:rPr>
        <w:t>Fase 1</w:t>
      </w:r>
      <w:r w:rsidRPr="007D31CE">
        <w:rPr>
          <w:lang w:val="es-ES"/>
        </w:rPr>
        <w:t>:</w:t>
      </w:r>
      <w:r w:rsidRPr="007D31CE">
        <w:rPr>
          <w:lang w:val="es-ES"/>
        </w:rPr>
        <w:tab/>
        <w:t>operaciones en alta mar</w:t>
      </w:r>
    </w:p>
    <w:p w14:paraId="7475CB0D" w14:textId="177689DC" w:rsidR="009D2184" w:rsidRPr="007D31CE" w:rsidRDefault="009D2184" w:rsidP="009D2184">
      <w:pPr>
        <w:pStyle w:val="enumlev1"/>
        <w:tabs>
          <w:tab w:val="clear" w:pos="794"/>
          <w:tab w:val="clear" w:pos="1191"/>
          <w:tab w:val="clear" w:pos="1588"/>
          <w:tab w:val="clear" w:pos="1985"/>
          <w:tab w:val="left" w:pos="851"/>
        </w:tabs>
        <w:ind w:left="851" w:hanging="851"/>
        <w:rPr>
          <w:lang w:val="es-ES"/>
        </w:rPr>
      </w:pPr>
      <w:r w:rsidRPr="007D31CE">
        <w:rPr>
          <w:i/>
          <w:iCs/>
          <w:lang w:val="es-ES"/>
        </w:rPr>
        <w:t>Fase 2</w:t>
      </w:r>
      <w:r w:rsidRPr="007D31CE">
        <w:rPr>
          <w:lang w:val="es-ES"/>
        </w:rPr>
        <w:t>:</w:t>
      </w:r>
      <w:r w:rsidRPr="007D31CE">
        <w:rPr>
          <w:i/>
          <w:iCs/>
          <w:lang w:val="es-ES"/>
        </w:rPr>
        <w:tab/>
      </w:r>
      <w:r w:rsidRPr="007D31CE">
        <w:rPr>
          <w:lang w:val="es-ES"/>
        </w:rPr>
        <w:t>operaciones en un lugar fijo y determinado, por ejemplo cuando el barco está en el puerto</w:t>
      </w:r>
    </w:p>
    <w:p w14:paraId="65FBB43F" w14:textId="77777777" w:rsidR="009D2184" w:rsidRPr="007D31CE" w:rsidRDefault="009D2184" w:rsidP="009D2184">
      <w:pPr>
        <w:pStyle w:val="enumlev1"/>
        <w:tabs>
          <w:tab w:val="clear" w:pos="794"/>
          <w:tab w:val="clear" w:pos="1191"/>
          <w:tab w:val="clear" w:pos="1588"/>
          <w:tab w:val="clear" w:pos="1985"/>
          <w:tab w:val="left" w:pos="851"/>
        </w:tabs>
        <w:ind w:left="851" w:hanging="851"/>
        <w:rPr>
          <w:lang w:val="es-ES"/>
        </w:rPr>
      </w:pPr>
      <w:r w:rsidRPr="007D31CE">
        <w:rPr>
          <w:i/>
          <w:iCs/>
          <w:lang w:val="es-ES"/>
        </w:rPr>
        <w:t>Fase 3</w:t>
      </w:r>
      <w:r w:rsidRPr="007D31CE">
        <w:rPr>
          <w:lang w:val="es-ES"/>
        </w:rPr>
        <w:t>:</w:t>
      </w:r>
      <w:r w:rsidRPr="007D31CE">
        <w:rPr>
          <w:lang w:val="es-ES"/>
        </w:rPr>
        <w:tab/>
        <w:t>operaciones en movimiento por rutas marítimas y canales portuarios en navegación costera hacia el puerto o saliendo de él.</w:t>
      </w:r>
    </w:p>
    <w:p w14:paraId="043EBEEA" w14:textId="77777777" w:rsidR="009D2184" w:rsidRPr="007D31CE" w:rsidRDefault="009D2184" w:rsidP="009D2184">
      <w:pPr>
        <w:pStyle w:val="Heading2"/>
        <w:rPr>
          <w:lang w:val="es-ES"/>
        </w:rPr>
      </w:pPr>
      <w:r w:rsidRPr="007D31CE">
        <w:rPr>
          <w:lang w:val="es-ES"/>
        </w:rPr>
        <w:t>3.2</w:t>
      </w:r>
      <w:r w:rsidRPr="007D31CE">
        <w:rPr>
          <w:lang w:val="es-ES"/>
        </w:rPr>
        <w:tab/>
        <w:t>Operaciones de las ETB en alta mar</w:t>
      </w:r>
    </w:p>
    <w:p w14:paraId="762ECB4E" w14:textId="77777777" w:rsidR="009D2184" w:rsidRPr="007D31CE" w:rsidRDefault="009D2184" w:rsidP="009D2184">
      <w:pPr>
        <w:rPr>
          <w:lang w:val="es-ES"/>
        </w:rPr>
      </w:pPr>
      <w:r w:rsidRPr="007D31CE">
        <w:rPr>
          <w:lang w:val="es-ES"/>
        </w:rPr>
        <w:t>Para utilizar las ETB en alta mar, el barco debe encontrarse suficientemente alejado de las esta</w:t>
      </w:r>
      <w:r w:rsidRPr="007D31CE">
        <w:rPr>
          <w:lang w:val="es-ES"/>
        </w:rPr>
        <w:softHyphen/>
        <w:t>ciones de servicios terrenales y del SFS, para que no sean una posible fuente de interferencia para estas estaciones y evitar el riesgo de interferencia causada por los transmisores terrenales de 4 GHz. En lo que concierne a las condiciones de funcionamiento, sería oportuno y conveniente determinar a partir de qué distancia de la costa pueden funcionar las ETB con garantías razonables, sin necesidad de coordinación con las estaciones del servicio terrenal.</w:t>
      </w:r>
    </w:p>
    <w:p w14:paraId="7C3A674B" w14:textId="77777777" w:rsidR="009D2184" w:rsidRPr="007D31CE" w:rsidRDefault="009D2184" w:rsidP="009D2184">
      <w:pPr>
        <w:pStyle w:val="Heading2"/>
        <w:rPr>
          <w:lang w:val="es-ES"/>
        </w:rPr>
      </w:pPr>
      <w:r w:rsidRPr="007D31CE">
        <w:rPr>
          <w:lang w:val="es-ES"/>
        </w:rPr>
        <w:lastRenderedPageBreak/>
        <w:t>3.3</w:t>
      </w:r>
      <w:r w:rsidRPr="007D31CE">
        <w:rPr>
          <w:lang w:val="es-ES"/>
        </w:rPr>
        <w:tab/>
        <w:t>Operaciones de las ETB en modo estacionario</w:t>
      </w:r>
    </w:p>
    <w:p w14:paraId="6799A11A" w14:textId="0212FA3B" w:rsidR="009D2184" w:rsidRPr="007D31CE" w:rsidRDefault="009D2184" w:rsidP="009D2184">
      <w:pPr>
        <w:rPr>
          <w:lang w:val="es-ES"/>
        </w:rPr>
      </w:pPr>
      <w:r w:rsidRPr="007D31CE">
        <w:rPr>
          <w:lang w:val="es-ES"/>
        </w:rPr>
        <w:t>Los barcos equipados con ETB en situación estacionaria en puerto, pueden coordinarse aplicando los procedimientos y los parámetros técnicos aplicables definidos en las Recomendaciones UIT</w:t>
      </w:r>
      <w:r w:rsidRPr="007D31CE">
        <w:rPr>
          <w:lang w:val="es-ES"/>
        </w:rPr>
        <w:noBreakHyphen/>
        <w:t>R SM.1448 (zona de coordinación) y UIT</w:t>
      </w:r>
      <w:r w:rsidRPr="007D31CE">
        <w:rPr>
          <w:lang w:val="es-ES"/>
        </w:rPr>
        <w:noBreakHyphen/>
        <w:t>R</w:t>
      </w:r>
      <w:r w:rsidR="00CA03B9">
        <w:rPr>
          <w:lang w:val="es-ES"/>
        </w:rPr>
        <w:t> </w:t>
      </w:r>
      <w:r w:rsidRPr="007D31CE">
        <w:rPr>
          <w:lang w:val="es-ES"/>
        </w:rPr>
        <w:t>SF.1006 (potencial de interferencia). Los barcos que utilizan ETB son, necesariamente, muy grandes, y sólo pueden moverse por determinados canales portuarios (vías para entrar al puerto y salir de él, generalmente rodeadas de tierra), rutas marítimas (delimitación inmediatamente exterior al puerto, más allá de los canales portuarios, para indicar dónde puede navegar el navío cuando se acerca al puerto o sale de él), y los muelles. Para la coordinación, toda la zona del muelle donde se encuentra el barco equipado con una ETB, puede determinarse precisamente, analizarse y coordinarse a efectos de la interferencia. Como es usual que los barcos equipados con ETB atraquen cada vez en los mismos muelles, las operaciones en estos muelles se pueden coordinar utilizando los procedimientos de coordinación existentes.</w:t>
      </w:r>
    </w:p>
    <w:p w14:paraId="0BC66234" w14:textId="77777777" w:rsidR="009D2184" w:rsidRPr="007D31CE" w:rsidRDefault="009D2184" w:rsidP="009D2184">
      <w:pPr>
        <w:pStyle w:val="Heading2"/>
        <w:rPr>
          <w:lang w:val="es-ES"/>
        </w:rPr>
      </w:pPr>
      <w:r w:rsidRPr="007D31CE">
        <w:rPr>
          <w:lang w:val="es-ES"/>
        </w:rPr>
        <w:t>3.4</w:t>
      </w:r>
      <w:r w:rsidRPr="007D31CE">
        <w:rPr>
          <w:lang w:val="es-ES"/>
        </w:rPr>
        <w:tab/>
        <w:t>Operaciones de las ETB en movimiento</w:t>
      </w:r>
    </w:p>
    <w:p w14:paraId="54B20CC0" w14:textId="4CAC57B8" w:rsidR="009D2184" w:rsidRPr="007D31CE" w:rsidRDefault="009D2184" w:rsidP="00272933">
      <w:pPr>
        <w:rPr>
          <w:lang w:val="es-ES"/>
        </w:rPr>
      </w:pPr>
      <w:r w:rsidRPr="007D31CE">
        <w:rPr>
          <w:lang w:val="es-ES"/>
        </w:rPr>
        <w:t>Los barcos equipados con ETB que navegan por el canal o dentro de las rutas marítimas están siempre en movimiento, a velocidades de 5 a 15</w:t>
      </w:r>
      <w:r w:rsidR="00FE2062">
        <w:rPr>
          <w:lang w:val="es-ES"/>
        </w:rPr>
        <w:t> </w:t>
      </w:r>
      <w:r w:rsidRPr="007D31CE">
        <w:rPr>
          <w:lang w:val="es-ES"/>
        </w:rPr>
        <w:t>nudos. Las ETB se instalan en barcos grandes, a los que se asignan determinados muelles, canales portuarios y rutas marítimas. Los canales portuarios y las rutas marítimas siempre están señalados por balizas físicas, para que estos barcos grandes puedan dirigir la navegación, y también se indican en los mapas y las cartas marítimas. Normalmente, los barcos grandes permanecen durante cierto tiempo en puerto, con ciclos de navegación periódicos. Es posible que en el mismo puerto se encuentren varios barcos equipados con estaciones terrenas, pero todos los navíos del mismo tipo utilizan los mismos parámetros de funcionamiento, por ejemplo el emplazamiento en el muelle o los límites de vías para entrar al puerto y salir de él (es decir, canales portuarios y delimitación de rutas marítimas). Las operaciones de estas ETB en movimiento cerca de la costa constituyen una posible fuente de interferencia para los receptores de estaciones fijas terrenales en la banda de 6</w:t>
      </w:r>
      <w:r w:rsidR="006E10AD">
        <w:rPr>
          <w:lang w:val="es-ES"/>
        </w:rPr>
        <w:t> </w:t>
      </w:r>
      <w:r w:rsidRPr="007D31CE">
        <w:rPr>
          <w:lang w:val="es-ES"/>
        </w:rPr>
        <w:t>GHz, y existe igualmente un riesgo de interferencia en el receptor ETB provocada por los transmisores del servicio terrenal en la banda de 4 GHz.</w:t>
      </w:r>
    </w:p>
    <w:p w14:paraId="4DA013DE" w14:textId="77777777" w:rsidR="009D2184" w:rsidRPr="007D31CE" w:rsidRDefault="009D2184" w:rsidP="00272933">
      <w:pPr>
        <w:pStyle w:val="Heading1"/>
        <w:rPr>
          <w:lang w:val="es-ES"/>
        </w:rPr>
      </w:pPr>
      <w:r w:rsidRPr="007D31CE">
        <w:rPr>
          <w:lang w:val="es-ES"/>
        </w:rPr>
        <w:t>4</w:t>
      </w:r>
      <w:r w:rsidRPr="007D31CE">
        <w:rPr>
          <w:lang w:val="es-ES"/>
        </w:rPr>
        <w:tab/>
      </w:r>
      <w:proofErr w:type="gramStart"/>
      <w:r w:rsidRPr="007D31CE">
        <w:rPr>
          <w:lang w:val="es-ES"/>
        </w:rPr>
        <w:t>Características</w:t>
      </w:r>
      <w:proofErr w:type="gramEnd"/>
      <w:r w:rsidRPr="007D31CE">
        <w:rPr>
          <w:lang w:val="es-ES"/>
        </w:rPr>
        <w:t xml:space="preserve"> técnicas de las ETB</w:t>
      </w:r>
    </w:p>
    <w:p w14:paraId="7F50AEC4" w14:textId="40256DAD" w:rsidR="009D2184" w:rsidRPr="007D31CE" w:rsidRDefault="009D2184" w:rsidP="00272933">
      <w:pPr>
        <w:rPr>
          <w:lang w:val="es-ES"/>
        </w:rPr>
      </w:pPr>
      <w:r w:rsidRPr="007D31CE">
        <w:rPr>
          <w:lang w:val="es-ES"/>
        </w:rPr>
        <w:t>En el Cuadro</w:t>
      </w:r>
      <w:r w:rsidR="006E10AD">
        <w:rPr>
          <w:lang w:val="es-ES"/>
        </w:rPr>
        <w:t> </w:t>
      </w:r>
      <w:r w:rsidRPr="007D31CE">
        <w:rPr>
          <w:lang w:val="es-ES"/>
        </w:rPr>
        <w:t>1 se describen las características técnicas que se comunicarán al banco de datos electrónico asociado a la presente Recomendación en relación con las ETB que funcionan en la banda 5 925-6 425</w:t>
      </w:r>
      <w:r w:rsidR="006E10AD">
        <w:rPr>
          <w:lang w:val="es-ES"/>
        </w:rPr>
        <w:t> </w:t>
      </w:r>
      <w:r w:rsidRPr="007D31CE">
        <w:rPr>
          <w:lang w:val="es-ES"/>
        </w:rPr>
        <w:t>MHz y se ofrecen datos de ejemplo.</w:t>
      </w:r>
    </w:p>
    <w:p w14:paraId="471CB9AB" w14:textId="77777777" w:rsidR="009D2184" w:rsidRPr="007D31CE" w:rsidRDefault="009D2184" w:rsidP="009D2184">
      <w:pPr>
        <w:pStyle w:val="enumlev1"/>
        <w:rPr>
          <w:lang w:val="es-ES"/>
        </w:rPr>
      </w:pPr>
    </w:p>
    <w:p w14:paraId="340BA020" w14:textId="77777777" w:rsidR="009D2184" w:rsidRPr="007D31CE" w:rsidRDefault="009D2184" w:rsidP="009D2184">
      <w:pPr>
        <w:pStyle w:val="TableNo"/>
        <w:rPr>
          <w:lang w:val="es-ES"/>
        </w:rPr>
      </w:pPr>
      <w:r w:rsidRPr="007D31CE">
        <w:rPr>
          <w:lang w:val="es-ES"/>
        </w:rPr>
        <w:lastRenderedPageBreak/>
        <w:t>CUADRO 1</w:t>
      </w:r>
    </w:p>
    <w:bookmarkStart w:id="4" w:name="_MON_1735717533"/>
    <w:bookmarkEnd w:id="4"/>
    <w:p w14:paraId="3D0ABEA5" w14:textId="17AEA223" w:rsidR="009D2184" w:rsidRPr="007D31CE" w:rsidRDefault="00055363" w:rsidP="009D2184">
      <w:pPr>
        <w:jc w:val="center"/>
        <w:rPr>
          <w:lang w:val="es-ES"/>
        </w:rPr>
      </w:pPr>
      <w:r>
        <w:rPr>
          <w:lang w:val="es-ES"/>
        </w:rPr>
        <w:object w:dxaOrig="9135" w:dyaOrig="11235" w14:anchorId="1D9A967F">
          <v:shape id="_x0000_i1026" type="#_x0000_t75" style="width:456.75pt;height:561.75pt" o:ole="">
            <v:imagedata r:id="rId15" o:title=""/>
          </v:shape>
          <o:OLEObject Type="Embed" ProgID="Excel.Sheet.12" ShapeID="_x0000_i1026" DrawAspect="Content" ObjectID="_1735993416" r:id="rId16"/>
        </w:object>
      </w:r>
    </w:p>
    <w:p w14:paraId="39631EE5" w14:textId="77777777" w:rsidR="009D2184" w:rsidRPr="007D31CE" w:rsidRDefault="009D2184" w:rsidP="009D2184">
      <w:pPr>
        <w:rPr>
          <w:lang w:val="es-ES"/>
        </w:rPr>
      </w:pPr>
    </w:p>
    <w:p w14:paraId="2AA5081E" w14:textId="77777777" w:rsidR="009D2184" w:rsidRPr="007D31CE" w:rsidRDefault="009D2184" w:rsidP="009D2184">
      <w:pPr>
        <w:pStyle w:val="AnnexNoTitle"/>
        <w:rPr>
          <w:lang w:val="es-ES"/>
        </w:rPr>
      </w:pPr>
      <w:r w:rsidRPr="007D31CE">
        <w:rPr>
          <w:lang w:val="es-ES"/>
        </w:rPr>
        <w:lastRenderedPageBreak/>
        <w:t>Anexo 2</w:t>
      </w:r>
      <w:r w:rsidRPr="007D31CE">
        <w:rPr>
          <w:lang w:val="es-ES"/>
        </w:rPr>
        <w:br/>
      </w:r>
      <w:r w:rsidRPr="007D31CE">
        <w:rPr>
          <w:lang w:val="es-ES"/>
        </w:rPr>
        <w:br/>
        <w:t>Características técnicas de las ETB que se comunican con satélites del SFS</w:t>
      </w:r>
      <w:r w:rsidRPr="007D31CE">
        <w:rPr>
          <w:lang w:val="es-ES"/>
        </w:rPr>
        <w:br/>
        <w:t>en la banda de frecuencia 14-14,5 GHz atribuida al SFS</w:t>
      </w:r>
    </w:p>
    <w:p w14:paraId="493E9B2A" w14:textId="77777777" w:rsidR="009D2184" w:rsidRPr="007D31CE" w:rsidRDefault="009D2184" w:rsidP="00272933">
      <w:pPr>
        <w:pStyle w:val="Headingb"/>
        <w:rPr>
          <w:lang w:val="es-ES"/>
        </w:rPr>
      </w:pPr>
      <w:r w:rsidRPr="007D31CE">
        <w:rPr>
          <w:lang w:val="es-ES"/>
        </w:rPr>
        <w:t xml:space="preserve">Descripción de ejemplos de </w:t>
      </w:r>
      <w:r w:rsidRPr="00272933">
        <w:t>sistemas</w:t>
      </w:r>
      <w:r w:rsidRPr="007D31CE">
        <w:rPr>
          <w:lang w:val="es-ES"/>
        </w:rPr>
        <w:t xml:space="preserve"> ETB de 12/14 GHz</w:t>
      </w:r>
    </w:p>
    <w:p w14:paraId="01D388A2" w14:textId="77777777" w:rsidR="009D2184" w:rsidRPr="007D31CE" w:rsidRDefault="009D2184" w:rsidP="00272933">
      <w:pPr>
        <w:rPr>
          <w:lang w:val="es-ES"/>
        </w:rPr>
      </w:pPr>
      <w:r w:rsidRPr="007D31CE">
        <w:rPr>
          <w:lang w:val="es-ES"/>
        </w:rPr>
        <w:t>Las ETB están formadas por tres elementos:</w:t>
      </w:r>
    </w:p>
    <w:p w14:paraId="2B2D5152" w14:textId="77777777" w:rsidR="009D2184" w:rsidRPr="00272933" w:rsidRDefault="009D2184" w:rsidP="00272933">
      <w:pPr>
        <w:pStyle w:val="enumlev1"/>
      </w:pPr>
      <w:r w:rsidRPr="00272933">
        <w:t>–</w:t>
      </w:r>
      <w:r w:rsidRPr="00272933">
        <w:tab/>
        <w:t>el subsistema de antena,</w:t>
      </w:r>
    </w:p>
    <w:p w14:paraId="04957F8D" w14:textId="77777777" w:rsidR="009D2184" w:rsidRPr="00272933" w:rsidRDefault="009D2184" w:rsidP="00272933">
      <w:pPr>
        <w:pStyle w:val="enumlev1"/>
      </w:pPr>
      <w:r w:rsidRPr="00272933">
        <w:t>–</w:t>
      </w:r>
      <w:r w:rsidRPr="00272933">
        <w:tab/>
        <w:t>el subsistema de RF,</w:t>
      </w:r>
    </w:p>
    <w:p w14:paraId="764AF6A5" w14:textId="77777777" w:rsidR="009D2184" w:rsidRPr="00272933" w:rsidRDefault="009D2184" w:rsidP="00272933">
      <w:pPr>
        <w:pStyle w:val="enumlev1"/>
      </w:pPr>
      <w:r w:rsidRPr="00272933">
        <w:t>–</w:t>
      </w:r>
      <w:r w:rsidRPr="00272933">
        <w:tab/>
        <w:t>el subsistema de módem.</w:t>
      </w:r>
    </w:p>
    <w:p w14:paraId="34E52183" w14:textId="77777777" w:rsidR="009D2184" w:rsidRPr="007D31CE" w:rsidRDefault="009D2184" w:rsidP="00272933">
      <w:pPr>
        <w:rPr>
          <w:lang w:val="es-ES"/>
        </w:rPr>
      </w:pPr>
      <w:r w:rsidRPr="007D31CE">
        <w:rPr>
          <w:lang w:val="es-ES"/>
        </w:rPr>
        <w:t>Este último se suele instalar bajo la cubierta, pero los subsistemas de antena y de RF van instalados sobre la cubierta y responden a las exigencias para este equipo. Los componentes de los sistemas de módem y RF son los equipos convencionales como los de las estaciones terrenas situadas en tierra.</w:t>
      </w:r>
    </w:p>
    <w:p w14:paraId="554364F2" w14:textId="77777777" w:rsidR="009D2184" w:rsidRPr="007D31CE" w:rsidRDefault="009D2184" w:rsidP="00272933">
      <w:pPr>
        <w:pStyle w:val="Heading1"/>
        <w:rPr>
          <w:lang w:val="es-ES"/>
        </w:rPr>
      </w:pPr>
      <w:r w:rsidRPr="007D31CE">
        <w:rPr>
          <w:lang w:val="es-ES"/>
        </w:rPr>
        <w:t>1</w:t>
      </w:r>
      <w:r w:rsidRPr="007D31CE">
        <w:rPr>
          <w:lang w:val="es-ES"/>
        </w:rPr>
        <w:tab/>
      </w:r>
      <w:proofErr w:type="gramStart"/>
      <w:r w:rsidRPr="00272933">
        <w:t>Subsistema</w:t>
      </w:r>
      <w:proofErr w:type="gramEnd"/>
      <w:r w:rsidRPr="007D31CE">
        <w:rPr>
          <w:lang w:val="es-ES"/>
        </w:rPr>
        <w:t xml:space="preserve"> de antena</w:t>
      </w:r>
    </w:p>
    <w:p w14:paraId="15848743" w14:textId="148720CF" w:rsidR="009D2184" w:rsidRPr="007D31CE" w:rsidRDefault="009D2184" w:rsidP="00272933">
      <w:pPr>
        <w:rPr>
          <w:lang w:val="es-ES"/>
        </w:rPr>
      </w:pPr>
      <w:r w:rsidRPr="007D31CE">
        <w:rPr>
          <w:lang w:val="es-ES"/>
        </w:rPr>
        <w:t>El subsistema de antena está formado por una plataforma estabilizada y una antena de reflector. Estos subsistemas van montados sobre la cubierta y están protegidos por una cúpula rígida de estructura de compuestos de espuma/fibra de vidrio. En las bandas compartidas se utilizan habitualmente antenas de 0,6 a 1,5</w:t>
      </w:r>
      <w:r w:rsidR="007E4CFD">
        <w:rPr>
          <w:lang w:val="es-ES"/>
        </w:rPr>
        <w:t> </w:t>
      </w:r>
      <w:r w:rsidRPr="007D31CE">
        <w:rPr>
          <w:lang w:val="es-ES"/>
        </w:rPr>
        <w:t xml:space="preserve">m de diámetro. Se emplean antenas descentradas y también antenas parabólicas simétricas con respecto al eje, generalmente con alimentaciones lineales. La ganancia de antena en la dirección del horizonte va de 0 a </w:t>
      </w:r>
      <w:r w:rsidRPr="007D31CE">
        <w:rPr>
          <w:rFonts w:ascii="Symbol" w:hAnsi="Symbol"/>
          <w:lang w:val="es-ES"/>
        </w:rPr>
        <w:sym w:font="Symbol" w:char="F02D"/>
      </w:r>
      <w:r w:rsidRPr="007D31CE">
        <w:rPr>
          <w:lang w:val="es-ES"/>
        </w:rPr>
        <w:t>10</w:t>
      </w:r>
      <w:r>
        <w:rPr>
          <w:lang w:val="es-ES"/>
        </w:rPr>
        <w:t> </w:t>
      </w:r>
      <w:r w:rsidRPr="007D31CE">
        <w:rPr>
          <w:lang w:val="es-ES"/>
        </w:rPr>
        <w:t xml:space="preserve">dBi. La relación </w:t>
      </w:r>
      <w:r w:rsidRPr="007D31CE">
        <w:rPr>
          <w:i/>
          <w:iCs/>
          <w:lang w:val="es-ES"/>
        </w:rPr>
        <w:t>G</w:t>
      </w:r>
      <w:r w:rsidRPr="007D31CE">
        <w:rPr>
          <w:lang w:val="es-ES"/>
        </w:rPr>
        <w:t>/</w:t>
      </w:r>
      <w:r w:rsidRPr="007D31CE">
        <w:rPr>
          <w:i/>
          <w:iCs/>
          <w:lang w:val="es-ES"/>
        </w:rPr>
        <w:t>T</w:t>
      </w:r>
      <w:r w:rsidRPr="007D31CE">
        <w:rPr>
          <w:lang w:val="es-ES"/>
        </w:rPr>
        <w:t xml:space="preserve"> es normalmente de</w:t>
      </w:r>
      <w:r w:rsidR="007E4CFD">
        <w:rPr>
          <w:lang w:val="es-ES"/>
        </w:rPr>
        <w:t xml:space="preserve"> </w:t>
      </w:r>
      <w:r w:rsidRPr="007D31CE">
        <w:rPr>
          <w:lang w:val="es-ES"/>
        </w:rPr>
        <w:t>17 dB(K</w:t>
      </w:r>
      <w:r w:rsidRPr="007D31CE">
        <w:rPr>
          <w:vertAlign w:val="superscript"/>
          <w:lang w:val="es-ES"/>
        </w:rPr>
        <w:t>–1</w:t>
      </w:r>
      <w:r w:rsidRPr="007D31CE">
        <w:rPr>
          <w:lang w:val="es-ES"/>
        </w:rPr>
        <w:t>) o superior. Las características de funcionamiento de la antena son conformes con las Recomendaciones UIT</w:t>
      </w:r>
      <w:r w:rsidRPr="007D31CE">
        <w:rPr>
          <w:lang w:val="es-ES"/>
        </w:rPr>
        <w:noBreakHyphen/>
        <w:t>R S.524, UIT</w:t>
      </w:r>
      <w:r w:rsidRPr="007D31CE">
        <w:rPr>
          <w:lang w:val="es-ES"/>
        </w:rPr>
        <w:noBreakHyphen/>
        <w:t>R S.580, UIT</w:t>
      </w:r>
      <w:r w:rsidRPr="007D31CE">
        <w:rPr>
          <w:lang w:val="es-ES"/>
        </w:rPr>
        <w:noBreakHyphen/>
        <w:t>R S.731, y UIT</w:t>
      </w:r>
      <w:r w:rsidRPr="007D31CE">
        <w:rPr>
          <w:lang w:val="es-ES"/>
        </w:rPr>
        <w:noBreakHyphen/>
        <w:t>R S.732.</w:t>
      </w:r>
    </w:p>
    <w:p w14:paraId="1845C5AC" w14:textId="77777777" w:rsidR="009D2184" w:rsidRPr="007D31CE" w:rsidRDefault="009D2184" w:rsidP="009D2184">
      <w:pPr>
        <w:pStyle w:val="Heading1"/>
        <w:rPr>
          <w:lang w:val="es-ES"/>
        </w:rPr>
      </w:pPr>
      <w:r w:rsidRPr="007D31CE">
        <w:rPr>
          <w:lang w:val="es-ES"/>
        </w:rPr>
        <w:t>2</w:t>
      </w:r>
      <w:r w:rsidRPr="007D31CE">
        <w:rPr>
          <w:lang w:val="es-ES"/>
        </w:rPr>
        <w:tab/>
      </w:r>
      <w:proofErr w:type="gramStart"/>
      <w:r w:rsidRPr="007D31CE">
        <w:rPr>
          <w:lang w:val="es-ES"/>
        </w:rPr>
        <w:t>Subsistema</w:t>
      </w:r>
      <w:proofErr w:type="gramEnd"/>
      <w:r w:rsidRPr="007D31CE">
        <w:rPr>
          <w:lang w:val="es-ES"/>
        </w:rPr>
        <w:t xml:space="preserve"> RF</w:t>
      </w:r>
    </w:p>
    <w:p w14:paraId="47BD1107" w14:textId="77777777" w:rsidR="009D2184" w:rsidRPr="007D31CE" w:rsidRDefault="009D2184" w:rsidP="00272933">
      <w:pPr>
        <w:rPr>
          <w:lang w:val="es-ES"/>
        </w:rPr>
      </w:pPr>
      <w:r w:rsidRPr="007D31CE">
        <w:rPr>
          <w:lang w:val="es-ES"/>
        </w:rPr>
        <w:t>El subsistema de RF está formado por transmisores y receptores normalizados, y convertidores convencionales elevadores y reductores, homologados para la prestación de servicios con satélites. Los convertidores elevadores y reductores van montados sobre la cubierta, con la antena en la cúpula rígida. El valor de la densidad espectral de potencia efectiva de transmisión de los sistemas ETB depende de varios parámetros:</w:t>
      </w:r>
    </w:p>
    <w:p w14:paraId="3B432690" w14:textId="77777777" w:rsidR="009D2184" w:rsidRPr="00272933" w:rsidRDefault="009D2184" w:rsidP="00272933">
      <w:pPr>
        <w:pStyle w:val="enumlev1"/>
      </w:pPr>
      <w:r w:rsidRPr="00272933">
        <w:t>–</w:t>
      </w:r>
      <w:r w:rsidRPr="00272933">
        <w:tab/>
        <w:t xml:space="preserve">La posición del barco con respecto a </w:t>
      </w:r>
      <w:proofErr w:type="gramStart"/>
      <w:r w:rsidRPr="00272933">
        <w:t>la zona</w:t>
      </w:r>
      <w:proofErr w:type="gramEnd"/>
      <w:r w:rsidRPr="00272933">
        <w:t xml:space="preserve"> de servicio del haz del satélite.</w:t>
      </w:r>
    </w:p>
    <w:p w14:paraId="1A2B472B" w14:textId="77777777" w:rsidR="009D2184" w:rsidRPr="00272933" w:rsidRDefault="009D2184" w:rsidP="00272933">
      <w:pPr>
        <w:pStyle w:val="enumlev1"/>
      </w:pPr>
      <w:r w:rsidRPr="00272933">
        <w:t>–</w:t>
      </w:r>
      <w:r w:rsidRPr="00272933">
        <w:tab/>
        <w:t>El tamaño de la antena de la ETB (ganancia de antena transmisora).</w:t>
      </w:r>
    </w:p>
    <w:p w14:paraId="095602D5" w14:textId="77777777" w:rsidR="009D2184" w:rsidRPr="00272933" w:rsidRDefault="009D2184" w:rsidP="00272933">
      <w:pPr>
        <w:pStyle w:val="enumlev1"/>
      </w:pPr>
      <w:r w:rsidRPr="00272933">
        <w:t>–</w:t>
      </w:r>
      <w:r w:rsidRPr="00272933">
        <w:tab/>
        <w:t xml:space="preserve">La posición de la estación terrena receptora con respecto a </w:t>
      </w:r>
      <w:proofErr w:type="gramStart"/>
      <w:r w:rsidRPr="00272933">
        <w:t>la zona</w:t>
      </w:r>
      <w:proofErr w:type="gramEnd"/>
      <w:r w:rsidRPr="00272933">
        <w:t xml:space="preserve"> de servicio del haz del satélite.</w:t>
      </w:r>
    </w:p>
    <w:p w14:paraId="43B7606C" w14:textId="77777777" w:rsidR="009D2184" w:rsidRPr="00272933" w:rsidRDefault="009D2184" w:rsidP="00272933">
      <w:pPr>
        <w:pStyle w:val="enumlev1"/>
      </w:pPr>
      <w:r w:rsidRPr="00272933">
        <w:t>–</w:t>
      </w:r>
      <w:r w:rsidRPr="00272933">
        <w:tab/>
        <w:t>El tamaño de la antena de la estación terrena receptora (relación G/T de recepción).</w:t>
      </w:r>
    </w:p>
    <w:p w14:paraId="6CFAEE2B" w14:textId="77777777" w:rsidR="009D2184" w:rsidRPr="00272933" w:rsidRDefault="009D2184" w:rsidP="00272933">
      <w:pPr>
        <w:pStyle w:val="enumlev1"/>
      </w:pPr>
      <w:r w:rsidRPr="00272933">
        <w:t>–</w:t>
      </w:r>
      <w:r w:rsidRPr="00272933">
        <w:tab/>
        <w:t>El incremento de ganancia operacional del transpondedor del satélite, etc.</w:t>
      </w:r>
    </w:p>
    <w:p w14:paraId="718FC6C7" w14:textId="77777777" w:rsidR="009D2184" w:rsidRPr="007D31CE" w:rsidRDefault="009D2184" w:rsidP="009D2184">
      <w:pPr>
        <w:pStyle w:val="Heading1"/>
        <w:rPr>
          <w:lang w:val="es-ES"/>
        </w:rPr>
      </w:pPr>
      <w:r w:rsidRPr="007D31CE">
        <w:rPr>
          <w:lang w:val="es-ES"/>
        </w:rPr>
        <w:t>3</w:t>
      </w:r>
      <w:r w:rsidRPr="007D31CE">
        <w:rPr>
          <w:lang w:val="es-ES"/>
        </w:rPr>
        <w:tab/>
      </w:r>
      <w:proofErr w:type="gramStart"/>
      <w:r w:rsidRPr="007D31CE">
        <w:rPr>
          <w:lang w:val="es-ES"/>
        </w:rPr>
        <w:t>Subsistema</w:t>
      </w:r>
      <w:proofErr w:type="gramEnd"/>
      <w:r w:rsidRPr="007D31CE">
        <w:rPr>
          <w:lang w:val="es-ES"/>
        </w:rPr>
        <w:t xml:space="preserve"> de módem</w:t>
      </w:r>
    </w:p>
    <w:p w14:paraId="33C9B482" w14:textId="77777777" w:rsidR="009D2184" w:rsidRPr="007D31CE" w:rsidRDefault="009D2184" w:rsidP="00272933">
      <w:pPr>
        <w:rPr>
          <w:lang w:val="es-ES"/>
        </w:rPr>
      </w:pPr>
      <w:r w:rsidRPr="007D31CE">
        <w:rPr>
          <w:lang w:val="es-ES"/>
        </w:rPr>
        <w:t>El subsistema de módem, que está instalado bajo la cubierta en la sala de radio, está formado por una unidad de control de antena y otros equipos convencionales y de uso común, previstos para el funcionamiento conforme a los parámetros operacionales descritos anteriormente.</w:t>
      </w:r>
    </w:p>
    <w:p w14:paraId="5C1EAE93" w14:textId="77777777" w:rsidR="009D2184" w:rsidRPr="007D31CE" w:rsidRDefault="009D2184" w:rsidP="009D2184">
      <w:pPr>
        <w:pStyle w:val="Heading1"/>
        <w:rPr>
          <w:lang w:val="es-ES"/>
        </w:rPr>
      </w:pPr>
      <w:r w:rsidRPr="007D31CE">
        <w:rPr>
          <w:lang w:val="es-ES"/>
        </w:rPr>
        <w:lastRenderedPageBreak/>
        <w:t>4</w:t>
      </w:r>
      <w:r w:rsidRPr="007D31CE">
        <w:rPr>
          <w:lang w:val="es-ES"/>
        </w:rPr>
        <w:tab/>
      </w:r>
      <w:proofErr w:type="gramStart"/>
      <w:r w:rsidRPr="007D31CE">
        <w:rPr>
          <w:lang w:val="es-ES"/>
        </w:rPr>
        <w:t>Características</w:t>
      </w:r>
      <w:proofErr w:type="gramEnd"/>
      <w:r w:rsidRPr="007D31CE">
        <w:rPr>
          <w:lang w:val="es-ES"/>
        </w:rPr>
        <w:t xml:space="preserve"> técnicas de las ETB</w:t>
      </w:r>
    </w:p>
    <w:p w14:paraId="201C24F5" w14:textId="711DF114" w:rsidR="009D2184" w:rsidRPr="007D31CE" w:rsidRDefault="009D2184" w:rsidP="00272933">
      <w:pPr>
        <w:rPr>
          <w:lang w:val="es-ES"/>
        </w:rPr>
      </w:pPr>
      <w:r w:rsidRPr="007D31CE">
        <w:rPr>
          <w:lang w:val="es-ES"/>
        </w:rPr>
        <w:t>En el Cuadro 2 se presentan las características técnicas que se comunicarán al banco de datos electrónico asociado a la presente Recomendación en relación con las ETB que funcionan en la banda 14-14,5 GHz y se ofrecen datos de ejemplo.</w:t>
      </w:r>
    </w:p>
    <w:p w14:paraId="7B964A40" w14:textId="69ED07F8" w:rsidR="00415081" w:rsidRPr="007D31CE" w:rsidRDefault="00415081" w:rsidP="00415081">
      <w:pPr>
        <w:pStyle w:val="TableNo"/>
        <w:rPr>
          <w:lang w:val="es-ES"/>
        </w:rPr>
      </w:pPr>
      <w:r w:rsidRPr="007D31CE">
        <w:rPr>
          <w:lang w:val="es-ES"/>
        </w:rPr>
        <w:t xml:space="preserve">CUADRO </w:t>
      </w:r>
      <w:r w:rsidR="003A7768">
        <w:rPr>
          <w:lang w:val="es-ES"/>
        </w:rPr>
        <w:t>2</w:t>
      </w:r>
    </w:p>
    <w:bookmarkStart w:id="5" w:name="_MON_1735717862"/>
    <w:bookmarkEnd w:id="5"/>
    <w:p w14:paraId="4FAB60E0" w14:textId="5A4568DD" w:rsidR="00415081" w:rsidRPr="007D31CE" w:rsidRDefault="00055363" w:rsidP="00415081">
      <w:pPr>
        <w:jc w:val="center"/>
        <w:rPr>
          <w:lang w:val="es-ES"/>
        </w:rPr>
      </w:pPr>
      <w:r>
        <w:rPr>
          <w:lang w:val="es-ES"/>
        </w:rPr>
        <w:object w:dxaOrig="9845" w:dyaOrig="10612" w14:anchorId="1FDCFB02">
          <v:shape id="_x0000_i1027" type="#_x0000_t75" style="width:492.75pt;height:530.25pt" o:ole="">
            <v:imagedata r:id="rId17" o:title=""/>
          </v:shape>
          <o:OLEObject Type="Embed" ProgID="Excel.Sheet.12" ShapeID="_x0000_i1027" DrawAspect="Content" ObjectID="_1735993417" r:id="rId18"/>
        </w:object>
      </w:r>
    </w:p>
    <w:p w14:paraId="7CB0534E" w14:textId="77777777" w:rsidR="00415081" w:rsidRPr="007D31CE" w:rsidRDefault="00415081" w:rsidP="00415081">
      <w:pPr>
        <w:rPr>
          <w:lang w:val="es-ES"/>
        </w:rPr>
      </w:pPr>
    </w:p>
    <w:p w14:paraId="568F1A5F" w14:textId="77777777" w:rsidR="007A45DD" w:rsidRPr="001A047E" w:rsidRDefault="007A45DD" w:rsidP="007A45DD">
      <w:pPr>
        <w:pStyle w:val="Line"/>
      </w:pPr>
    </w:p>
    <w:sectPr w:rsidR="007A45DD" w:rsidRPr="001A047E" w:rsidSect="00B1717A">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E21C7" w14:textId="77777777" w:rsidR="00EC21D0" w:rsidRDefault="00EC21D0">
      <w:r>
        <w:separator/>
      </w:r>
    </w:p>
  </w:endnote>
  <w:endnote w:type="continuationSeparator" w:id="0">
    <w:p w14:paraId="406F14DC" w14:textId="77777777" w:rsidR="00EC21D0" w:rsidRDefault="00EC2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56FA2" w14:textId="77777777" w:rsidR="00EC21D0" w:rsidRDefault="00EC21D0">
      <w:r>
        <w:separator/>
      </w:r>
    </w:p>
  </w:footnote>
  <w:footnote w:type="continuationSeparator" w:id="0">
    <w:p w14:paraId="292A965E" w14:textId="77777777" w:rsidR="00EC21D0" w:rsidRDefault="00EC21D0">
      <w:r>
        <w:continuationSeparator/>
      </w:r>
    </w:p>
  </w:footnote>
  <w:footnote w:id="1">
    <w:p w14:paraId="72C27F87" w14:textId="77777777" w:rsidR="009D2184" w:rsidRPr="00AF4C41" w:rsidRDefault="009D2184" w:rsidP="009D2184">
      <w:pPr>
        <w:pStyle w:val="FootnoteText"/>
        <w:rPr>
          <w:lang w:val="nb-NO"/>
        </w:rPr>
      </w:pPr>
      <w:r>
        <w:rPr>
          <w:rStyle w:val="FootnoteReference"/>
        </w:rPr>
        <w:footnoteRef/>
      </w:r>
      <w:r>
        <w:t xml:space="preserve"> </w:t>
      </w:r>
      <w:r>
        <w:tab/>
      </w:r>
      <w:hyperlink r:id="rId1" w:history="1">
        <w:r>
          <w:rPr>
            <w:rStyle w:val="Hyperlink"/>
            <w:lang w:val="en-GB"/>
          </w:rPr>
          <w:t>http://www.itu.int/itu-r/go/rsg4/recs1587data/</w:t>
        </w:r>
      </w:hyperlink>
      <w:r>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F037" w14:textId="77777777" w:rsidR="00120659" w:rsidRDefault="0012065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CA72F" w14:textId="77777777" w:rsidR="00120659" w:rsidRDefault="00120659" w:rsidP="00D62884">
    <w:pPr>
      <w:pStyle w:val="Header"/>
      <w:ind w:right="360" w:firstLine="360"/>
    </w:pPr>
    <w:r>
      <w:rPr>
        <w:noProof/>
        <w:lang w:val="en-US"/>
      </w:rPr>
      <w:drawing>
        <wp:anchor distT="0" distB="0" distL="114300" distR="114300" simplePos="0" relativeHeight="251692544" behindDoc="1" locked="0" layoutInCell="1" allowOverlap="1" wp14:anchorId="7456FE3B" wp14:editId="486421F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29A7C" w14:textId="5F0651EF" w:rsidR="00120659" w:rsidRDefault="00120659"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lang w:val="en-US"/>
      </w:rPr>
      <w:fldChar w:fldCharType="begin"/>
    </w:r>
    <w:r>
      <w:rPr>
        <w:b/>
        <w:bCs/>
        <w:lang w:val="en-US"/>
      </w:rPr>
      <w:instrText xml:space="preserve"> DOCPROPERTY "Header" \* MERGEFORMAT </w:instrText>
    </w:r>
    <w:r>
      <w:rPr>
        <w:b/>
        <w:bCs/>
        <w:lang w:val="en-US"/>
      </w:rPr>
      <w:fldChar w:fldCharType="separate"/>
    </w:r>
    <w:r w:rsidR="0021284E">
      <w:rPr>
        <w:b/>
        <w:bCs/>
        <w:lang w:val="en-US"/>
      </w:rPr>
      <w:t xml:space="preserve">Rec. </w:t>
    </w:r>
    <w:r>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F367DF">
      <w:rPr>
        <w:b/>
        <w:bCs/>
        <w:noProof/>
      </w:rPr>
      <w:t>UIT-R  S.1587-3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9EF0A" w14:textId="68E4D36D" w:rsidR="00120659" w:rsidRDefault="00120659">
    <w:pPr>
      <w:pStyle w:val="Header"/>
    </w:pPr>
    <w:r>
      <w:tab/>
    </w:r>
    <w:r>
      <w:rPr>
        <w:lang w:val="en-US"/>
      </w:rPr>
      <w:fldChar w:fldCharType="begin"/>
    </w:r>
    <w:r>
      <w:rPr>
        <w:lang w:val="en-US"/>
      </w:rPr>
      <w:instrText xml:space="preserve"> DOCPROPERTY "Header" \* MERGEFORMAT </w:instrText>
    </w:r>
    <w:r>
      <w:rPr>
        <w:lang w:val="en-US"/>
      </w:rPr>
      <w:fldChar w:fldCharType="separate"/>
    </w:r>
    <w:r w:rsidR="0021284E">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21284E">
      <w:rPr>
        <w:b/>
        <w:bCs/>
        <w:noProof/>
      </w:rPr>
      <w:t>UIT-R  S.2131-1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09ED0" w14:textId="145189F7" w:rsidR="00120659" w:rsidRDefault="0012065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21284E">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367DF">
      <w:rPr>
        <w:b/>
        <w:bCs/>
        <w:noProof/>
        <w:lang w:val="en-US"/>
      </w:rPr>
      <w:t>UIT-R  S.1587-3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C5C66" w14:textId="39A038A0" w:rsidR="00120659" w:rsidRDefault="00120659">
    <w:pPr>
      <w:pStyle w:val="Header"/>
    </w:pPr>
    <w:r>
      <w:tab/>
    </w:r>
    <w:r>
      <w:rPr>
        <w:b/>
        <w:bCs/>
      </w:rPr>
      <w:fldChar w:fldCharType="begin"/>
    </w:r>
    <w:r>
      <w:rPr>
        <w:b/>
        <w:bCs/>
      </w:rPr>
      <w:instrText xml:space="preserve"> DOCPROPERTY "Header" \* MERGEFORMAT </w:instrText>
    </w:r>
    <w:r>
      <w:rPr>
        <w:b/>
        <w:bCs/>
      </w:rPr>
      <w:fldChar w:fldCharType="separate"/>
    </w:r>
    <w:r w:rsidR="0021284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367DF">
      <w:rPr>
        <w:b/>
        <w:bCs/>
        <w:noProof/>
      </w:rPr>
      <w:t>UIT-R  S.1587-3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B472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CEE9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4855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FE21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16AC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E80A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98CC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9E2D7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670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F5864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146FD"/>
    <w:multiLevelType w:val="hybridMultilevel"/>
    <w:tmpl w:val="2EE4297A"/>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 w15:restartNumberingAfterBreak="0">
    <w:nsid w:val="01C05693"/>
    <w:multiLevelType w:val="hybridMultilevel"/>
    <w:tmpl w:val="3D38F1F0"/>
    <w:lvl w:ilvl="0" w:tplc="FA203ABA">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2DC67F2"/>
    <w:multiLevelType w:val="hybridMultilevel"/>
    <w:tmpl w:val="774E8EC0"/>
    <w:lvl w:ilvl="0" w:tplc="CEFE9A14">
      <w:start w:val="6"/>
      <w:numFmt w:val="decimal"/>
      <w:lvlText w:val="%1."/>
      <w:lvlJc w:val="left"/>
      <w:pPr>
        <w:ind w:left="450" w:hanging="360"/>
      </w:pPr>
      <w:rPr>
        <w:rFonts w:cs="Times New Roman" w:hint="default"/>
        <w:sz w:val="22"/>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13" w15:restartNumberingAfterBreak="0">
    <w:nsid w:val="051A5BAD"/>
    <w:multiLevelType w:val="hybridMultilevel"/>
    <w:tmpl w:val="DD384D1E"/>
    <w:lvl w:ilvl="0" w:tplc="B55611E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0EC66830"/>
    <w:multiLevelType w:val="hybridMultilevel"/>
    <w:tmpl w:val="214CCE04"/>
    <w:lvl w:ilvl="0" w:tplc="44865C3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13BD755C"/>
    <w:multiLevelType w:val="hybridMultilevel"/>
    <w:tmpl w:val="12C8F6B0"/>
    <w:lvl w:ilvl="0" w:tplc="8F0651A8">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4CD2CBD"/>
    <w:multiLevelType w:val="hybridMultilevel"/>
    <w:tmpl w:val="4A74D9F0"/>
    <w:lvl w:ilvl="0" w:tplc="F6BC4E4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17B10D1A"/>
    <w:multiLevelType w:val="hybridMultilevel"/>
    <w:tmpl w:val="9F8AF9B4"/>
    <w:lvl w:ilvl="0" w:tplc="105E3174">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1B27567B"/>
    <w:multiLevelType w:val="hybridMultilevel"/>
    <w:tmpl w:val="C20CF376"/>
    <w:lvl w:ilvl="0" w:tplc="A61625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F41F64"/>
    <w:multiLevelType w:val="hybridMultilevel"/>
    <w:tmpl w:val="EAB81998"/>
    <w:lvl w:ilvl="0" w:tplc="80DCE42C">
      <w:start w:val="9"/>
      <w:numFmt w:val="decimal"/>
      <w:lvlText w:val="%1."/>
      <w:lvlJc w:val="left"/>
      <w:pPr>
        <w:ind w:left="450" w:hanging="360"/>
      </w:pPr>
      <w:rPr>
        <w:rFonts w:cs="Times New Roman" w:hint="default"/>
        <w:sz w:val="22"/>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20" w15:restartNumberingAfterBreak="0">
    <w:nsid w:val="1F280378"/>
    <w:multiLevelType w:val="hybridMultilevel"/>
    <w:tmpl w:val="FD069ACA"/>
    <w:lvl w:ilvl="0" w:tplc="980EB520">
      <w:start w:val="3"/>
      <w:numFmt w:val="decimal"/>
      <w:lvlText w:val="%1."/>
      <w:lvlJc w:val="left"/>
      <w:pPr>
        <w:ind w:left="1170" w:hanging="360"/>
      </w:pPr>
      <w:rPr>
        <w:rFonts w:cs="Times New Roman" w:hint="default"/>
        <w:sz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 w15:restartNumberingAfterBreak="0">
    <w:nsid w:val="211B471A"/>
    <w:multiLevelType w:val="singleLevel"/>
    <w:tmpl w:val="F96A1B12"/>
    <w:lvl w:ilvl="0">
      <w:start w:val="1"/>
      <w:numFmt w:val="bullet"/>
      <w:lvlText w:val="–"/>
      <w:lvlJc w:val="left"/>
      <w:pPr>
        <w:tabs>
          <w:tab w:val="num" w:pos="795"/>
        </w:tabs>
        <w:ind w:left="795" w:hanging="795"/>
      </w:pPr>
      <w:rPr>
        <w:rFonts w:hint="default"/>
      </w:rPr>
    </w:lvl>
  </w:abstractNum>
  <w:abstractNum w:abstractNumId="22" w15:restartNumberingAfterBreak="0">
    <w:nsid w:val="23C874E2"/>
    <w:multiLevelType w:val="hybridMultilevel"/>
    <w:tmpl w:val="FF6C9978"/>
    <w:lvl w:ilvl="0" w:tplc="ABC2A776">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5EB5EAB"/>
    <w:multiLevelType w:val="hybridMultilevel"/>
    <w:tmpl w:val="B41E97AE"/>
    <w:lvl w:ilvl="0" w:tplc="13A039A4">
      <w:start w:val="4"/>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15:restartNumberingAfterBreak="0">
    <w:nsid w:val="2AE26A1C"/>
    <w:multiLevelType w:val="hybridMultilevel"/>
    <w:tmpl w:val="2DB281DE"/>
    <w:lvl w:ilvl="0" w:tplc="1184506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30555CB9"/>
    <w:multiLevelType w:val="hybridMultilevel"/>
    <w:tmpl w:val="540E3364"/>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6" w15:restartNumberingAfterBreak="0">
    <w:nsid w:val="44D55E30"/>
    <w:multiLevelType w:val="hybridMultilevel"/>
    <w:tmpl w:val="43882D7A"/>
    <w:lvl w:ilvl="0" w:tplc="86A03F78">
      <w:start w:val="22"/>
      <w:numFmt w:val="bullet"/>
      <w:lvlText w:val=""/>
      <w:lvlJc w:val="left"/>
      <w:pPr>
        <w:tabs>
          <w:tab w:val="num" w:pos="720"/>
        </w:tabs>
        <w:ind w:left="720" w:hanging="360"/>
      </w:pPr>
      <w:rPr>
        <w:rFonts w:ascii="Symbol" w:eastAsia="Times New Roman" w:hAnsi="Symbol" w:hint="default"/>
      </w:rPr>
    </w:lvl>
    <w:lvl w:ilvl="1" w:tplc="0409000F">
      <w:start w:val="1"/>
      <w:numFmt w:val="decimal"/>
      <w:lvlText w:val="%2."/>
      <w:lvlJc w:val="left"/>
      <w:pPr>
        <w:tabs>
          <w:tab w:val="num" w:pos="1440"/>
        </w:tabs>
        <w:ind w:left="1440" w:hanging="360"/>
      </w:pPr>
      <w:rPr>
        <w:rFonts w:cs="Times New Roman" w:hint="default"/>
      </w:rPr>
    </w:lvl>
    <w:lvl w:ilvl="2" w:tplc="15384AD2">
      <w:start w:val="1"/>
      <w:numFmt w:val="decimal"/>
      <w:lvlText w:val="%3)"/>
      <w:lvlJc w:val="left"/>
      <w:pPr>
        <w:tabs>
          <w:tab w:val="num" w:pos="2595"/>
        </w:tabs>
        <w:ind w:left="2595" w:hanging="795"/>
      </w:pPr>
      <w:rPr>
        <w:rFonts w:cs="Times New Roman" w:hint="default"/>
        <w:u w:val="single"/>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5B13B3"/>
    <w:multiLevelType w:val="hybridMultilevel"/>
    <w:tmpl w:val="B768C232"/>
    <w:lvl w:ilvl="0" w:tplc="8C181018">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15:restartNumberingAfterBreak="0">
    <w:nsid w:val="4BCB77DE"/>
    <w:multiLevelType w:val="hybridMultilevel"/>
    <w:tmpl w:val="475287C6"/>
    <w:lvl w:ilvl="0" w:tplc="FF8AEEFE">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0840FD4"/>
    <w:multiLevelType w:val="hybridMultilevel"/>
    <w:tmpl w:val="9976BAC6"/>
    <w:lvl w:ilvl="0" w:tplc="21C6350C">
      <w:start w:val="1"/>
      <w:numFmt w:val="lowerLetter"/>
      <w:lvlText w:val="(%1)"/>
      <w:lvlJc w:val="left"/>
      <w:pPr>
        <w:ind w:left="3338" w:hanging="360"/>
      </w:pPr>
      <w:rPr>
        <w:rFonts w:hint="default"/>
      </w:rPr>
    </w:lvl>
    <w:lvl w:ilvl="1" w:tplc="04090019" w:tentative="1">
      <w:start w:val="1"/>
      <w:numFmt w:val="upperLetter"/>
      <w:lvlText w:val="%2."/>
      <w:lvlJc w:val="left"/>
      <w:pPr>
        <w:ind w:left="3778" w:hanging="400"/>
      </w:pPr>
    </w:lvl>
    <w:lvl w:ilvl="2" w:tplc="0409001B" w:tentative="1">
      <w:start w:val="1"/>
      <w:numFmt w:val="lowerRoman"/>
      <w:lvlText w:val="%3."/>
      <w:lvlJc w:val="right"/>
      <w:pPr>
        <w:ind w:left="4178" w:hanging="400"/>
      </w:pPr>
    </w:lvl>
    <w:lvl w:ilvl="3" w:tplc="0409000F" w:tentative="1">
      <w:start w:val="1"/>
      <w:numFmt w:val="decimal"/>
      <w:lvlText w:val="%4."/>
      <w:lvlJc w:val="left"/>
      <w:pPr>
        <w:ind w:left="4578" w:hanging="400"/>
      </w:pPr>
    </w:lvl>
    <w:lvl w:ilvl="4" w:tplc="04090019" w:tentative="1">
      <w:start w:val="1"/>
      <w:numFmt w:val="upperLetter"/>
      <w:lvlText w:val="%5."/>
      <w:lvlJc w:val="left"/>
      <w:pPr>
        <w:ind w:left="4978" w:hanging="400"/>
      </w:pPr>
    </w:lvl>
    <w:lvl w:ilvl="5" w:tplc="0409001B" w:tentative="1">
      <w:start w:val="1"/>
      <w:numFmt w:val="lowerRoman"/>
      <w:lvlText w:val="%6."/>
      <w:lvlJc w:val="right"/>
      <w:pPr>
        <w:ind w:left="5378" w:hanging="400"/>
      </w:pPr>
    </w:lvl>
    <w:lvl w:ilvl="6" w:tplc="0409000F" w:tentative="1">
      <w:start w:val="1"/>
      <w:numFmt w:val="decimal"/>
      <w:lvlText w:val="%7."/>
      <w:lvlJc w:val="left"/>
      <w:pPr>
        <w:ind w:left="5778" w:hanging="400"/>
      </w:pPr>
    </w:lvl>
    <w:lvl w:ilvl="7" w:tplc="04090019" w:tentative="1">
      <w:start w:val="1"/>
      <w:numFmt w:val="upperLetter"/>
      <w:lvlText w:val="%8."/>
      <w:lvlJc w:val="left"/>
      <w:pPr>
        <w:ind w:left="6178" w:hanging="400"/>
      </w:pPr>
    </w:lvl>
    <w:lvl w:ilvl="8" w:tplc="0409001B" w:tentative="1">
      <w:start w:val="1"/>
      <w:numFmt w:val="lowerRoman"/>
      <w:lvlText w:val="%9."/>
      <w:lvlJc w:val="right"/>
      <w:pPr>
        <w:ind w:left="6578" w:hanging="400"/>
      </w:pPr>
    </w:lvl>
  </w:abstractNum>
  <w:abstractNum w:abstractNumId="30" w15:restartNumberingAfterBreak="0">
    <w:nsid w:val="51C35BE7"/>
    <w:multiLevelType w:val="hybridMultilevel"/>
    <w:tmpl w:val="C5A4B5D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15:restartNumberingAfterBreak="0">
    <w:nsid w:val="5A1F0EFD"/>
    <w:multiLevelType w:val="hybridMultilevel"/>
    <w:tmpl w:val="8FA2BD86"/>
    <w:lvl w:ilvl="0" w:tplc="7D42B58E">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69"/>
        </w:tabs>
        <w:ind w:left="1069" w:hanging="360"/>
      </w:pPr>
      <w:rPr>
        <w:rFonts w:cs="Times New Roman"/>
      </w:rPr>
    </w:lvl>
    <w:lvl w:ilvl="2" w:tplc="0409001B">
      <w:start w:val="1"/>
      <w:numFmt w:val="lowerRoman"/>
      <w:lvlText w:val="%3."/>
      <w:lvlJc w:val="right"/>
      <w:pPr>
        <w:tabs>
          <w:tab w:val="num" w:pos="1789"/>
        </w:tabs>
        <w:ind w:left="1789" w:hanging="180"/>
      </w:pPr>
      <w:rPr>
        <w:rFonts w:cs="Times New Roman"/>
      </w:rPr>
    </w:lvl>
    <w:lvl w:ilvl="3" w:tplc="0409000F">
      <w:start w:val="1"/>
      <w:numFmt w:val="decimal"/>
      <w:lvlText w:val="%4."/>
      <w:lvlJc w:val="left"/>
      <w:pPr>
        <w:tabs>
          <w:tab w:val="num" w:pos="2509"/>
        </w:tabs>
        <w:ind w:left="2509" w:hanging="360"/>
      </w:pPr>
      <w:rPr>
        <w:rFonts w:cs="Times New Roman"/>
      </w:rPr>
    </w:lvl>
    <w:lvl w:ilvl="4" w:tplc="04090019">
      <w:start w:val="1"/>
      <w:numFmt w:val="lowerLetter"/>
      <w:lvlText w:val="%5."/>
      <w:lvlJc w:val="left"/>
      <w:pPr>
        <w:tabs>
          <w:tab w:val="num" w:pos="3229"/>
        </w:tabs>
        <w:ind w:left="3229" w:hanging="360"/>
      </w:pPr>
      <w:rPr>
        <w:rFonts w:cs="Times New Roman"/>
      </w:rPr>
    </w:lvl>
    <w:lvl w:ilvl="5" w:tplc="0409001B">
      <w:start w:val="1"/>
      <w:numFmt w:val="lowerRoman"/>
      <w:lvlText w:val="%6."/>
      <w:lvlJc w:val="right"/>
      <w:pPr>
        <w:tabs>
          <w:tab w:val="num" w:pos="3949"/>
        </w:tabs>
        <w:ind w:left="3949" w:hanging="180"/>
      </w:pPr>
      <w:rPr>
        <w:rFonts w:cs="Times New Roman"/>
      </w:rPr>
    </w:lvl>
    <w:lvl w:ilvl="6" w:tplc="0409000F">
      <w:start w:val="1"/>
      <w:numFmt w:val="decimal"/>
      <w:lvlText w:val="%7."/>
      <w:lvlJc w:val="left"/>
      <w:pPr>
        <w:tabs>
          <w:tab w:val="num" w:pos="4669"/>
        </w:tabs>
        <w:ind w:left="4669" w:hanging="360"/>
      </w:pPr>
      <w:rPr>
        <w:rFonts w:cs="Times New Roman"/>
      </w:rPr>
    </w:lvl>
    <w:lvl w:ilvl="7" w:tplc="04090019">
      <w:start w:val="1"/>
      <w:numFmt w:val="lowerLetter"/>
      <w:lvlText w:val="%8."/>
      <w:lvlJc w:val="left"/>
      <w:pPr>
        <w:tabs>
          <w:tab w:val="num" w:pos="5389"/>
        </w:tabs>
        <w:ind w:left="5389" w:hanging="360"/>
      </w:pPr>
      <w:rPr>
        <w:rFonts w:cs="Times New Roman"/>
      </w:rPr>
    </w:lvl>
    <w:lvl w:ilvl="8" w:tplc="0409001B">
      <w:start w:val="1"/>
      <w:numFmt w:val="lowerRoman"/>
      <w:lvlText w:val="%9."/>
      <w:lvlJc w:val="right"/>
      <w:pPr>
        <w:tabs>
          <w:tab w:val="num" w:pos="6109"/>
        </w:tabs>
        <w:ind w:left="6109" w:hanging="180"/>
      </w:pPr>
      <w:rPr>
        <w:rFonts w:cs="Times New Roman"/>
      </w:rPr>
    </w:lvl>
  </w:abstractNum>
  <w:abstractNum w:abstractNumId="32" w15:restartNumberingAfterBreak="0">
    <w:nsid w:val="5DCE6F80"/>
    <w:multiLevelType w:val="hybridMultilevel"/>
    <w:tmpl w:val="BB2AD77E"/>
    <w:lvl w:ilvl="0" w:tplc="86A03F78">
      <w:start w:val="22"/>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7A743E"/>
    <w:multiLevelType w:val="hybridMultilevel"/>
    <w:tmpl w:val="780AA8C2"/>
    <w:lvl w:ilvl="0" w:tplc="04090011">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BF4257"/>
    <w:multiLevelType w:val="hybridMultilevel"/>
    <w:tmpl w:val="564C126C"/>
    <w:lvl w:ilvl="0" w:tplc="04090011">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15:restartNumberingAfterBreak="0">
    <w:nsid w:val="741D4B5E"/>
    <w:multiLevelType w:val="hybridMultilevel"/>
    <w:tmpl w:val="CD827EB8"/>
    <w:lvl w:ilvl="0" w:tplc="098A4E6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4C60D7"/>
    <w:multiLevelType w:val="hybridMultilevel"/>
    <w:tmpl w:val="312AA1E4"/>
    <w:lvl w:ilvl="0" w:tplc="0409000F">
      <w:start w:val="4"/>
      <w:numFmt w:val="decimal"/>
      <w:lvlText w:val="%1."/>
      <w:lvlJc w:val="left"/>
      <w:pPr>
        <w:ind w:left="45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15:restartNumberingAfterBreak="0">
    <w:nsid w:val="785C37DC"/>
    <w:multiLevelType w:val="hybridMultilevel"/>
    <w:tmpl w:val="25D8536C"/>
    <w:lvl w:ilvl="0" w:tplc="897CE3F8">
      <w:start w:val="2"/>
      <w:numFmt w:val="decimal"/>
      <w:lvlText w:val="%1."/>
      <w:lvlJc w:val="left"/>
      <w:pPr>
        <w:tabs>
          <w:tab w:val="num" w:pos="360"/>
        </w:tabs>
        <w:ind w:left="360" w:hanging="360"/>
      </w:pPr>
      <w:rPr>
        <w:rFonts w:cs="Times New Roman"/>
        <w:b w:val="0"/>
        <w:sz w:val="24"/>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31"/>
  </w:num>
  <w:num w:numId="13">
    <w:abstractNumId w:val="10"/>
  </w:num>
  <w:num w:numId="14">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36"/>
  </w:num>
  <w:num w:numId="17">
    <w:abstractNumId w:val="12"/>
  </w:num>
  <w:num w:numId="18">
    <w:abstractNumId w:val="19"/>
  </w:num>
  <w:num w:numId="19">
    <w:abstractNumId w:val="30"/>
  </w:num>
  <w:num w:numId="20">
    <w:abstractNumId w:val="32"/>
  </w:num>
  <w:num w:numId="21">
    <w:abstractNumId w:val="26"/>
  </w:num>
  <w:num w:numId="22">
    <w:abstractNumId w:val="34"/>
  </w:num>
  <w:num w:numId="23">
    <w:abstractNumId w:val="33"/>
  </w:num>
  <w:num w:numId="24">
    <w:abstractNumId w:val="20"/>
  </w:num>
  <w:num w:numId="25">
    <w:abstractNumId w:val="23"/>
  </w:num>
  <w:num w:numId="26">
    <w:abstractNumId w:val="35"/>
  </w:num>
  <w:num w:numId="27">
    <w:abstractNumId w:val="18"/>
  </w:num>
  <w:num w:numId="28">
    <w:abstractNumId w:val="27"/>
  </w:num>
  <w:num w:numId="29">
    <w:abstractNumId w:val="16"/>
  </w:num>
  <w:num w:numId="30">
    <w:abstractNumId w:val="29"/>
  </w:num>
  <w:num w:numId="31">
    <w:abstractNumId w:val="17"/>
  </w:num>
  <w:num w:numId="32">
    <w:abstractNumId w:val="13"/>
  </w:num>
  <w:num w:numId="33">
    <w:abstractNumId w:val="14"/>
  </w:num>
  <w:num w:numId="34">
    <w:abstractNumId w:val="24"/>
  </w:num>
  <w:num w:numId="35">
    <w:abstractNumId w:val="22"/>
  </w:num>
  <w:num w:numId="36">
    <w:abstractNumId w:val="28"/>
  </w:num>
  <w:num w:numId="37">
    <w:abstractNumId w:val="11"/>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ctiveWritingStyle w:appName="MSWord" w:lang="es-CO"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01A5D"/>
    <w:rsid w:val="00016E83"/>
    <w:rsid w:val="000214C1"/>
    <w:rsid w:val="00023590"/>
    <w:rsid w:val="00055363"/>
    <w:rsid w:val="00071C54"/>
    <w:rsid w:val="000C2F69"/>
    <w:rsid w:val="000E1445"/>
    <w:rsid w:val="000E2C4A"/>
    <w:rsid w:val="000F6CC8"/>
    <w:rsid w:val="00120659"/>
    <w:rsid w:val="00142607"/>
    <w:rsid w:val="00145DF8"/>
    <w:rsid w:val="00167ACC"/>
    <w:rsid w:val="00177138"/>
    <w:rsid w:val="001A047E"/>
    <w:rsid w:val="001C03DC"/>
    <w:rsid w:val="00207BE8"/>
    <w:rsid w:val="0021284E"/>
    <w:rsid w:val="00236E9D"/>
    <w:rsid w:val="0024514E"/>
    <w:rsid w:val="00261DFA"/>
    <w:rsid w:val="00263753"/>
    <w:rsid w:val="00266EDC"/>
    <w:rsid w:val="00272933"/>
    <w:rsid w:val="002B6FE2"/>
    <w:rsid w:val="002C34D5"/>
    <w:rsid w:val="002D76C4"/>
    <w:rsid w:val="002E5914"/>
    <w:rsid w:val="003517AD"/>
    <w:rsid w:val="00362611"/>
    <w:rsid w:val="00362F08"/>
    <w:rsid w:val="00363835"/>
    <w:rsid w:val="00366CEE"/>
    <w:rsid w:val="003A3732"/>
    <w:rsid w:val="003A7768"/>
    <w:rsid w:val="003B4567"/>
    <w:rsid w:val="00407283"/>
    <w:rsid w:val="00415081"/>
    <w:rsid w:val="004532F7"/>
    <w:rsid w:val="0046247F"/>
    <w:rsid w:val="00471083"/>
    <w:rsid w:val="00472F0B"/>
    <w:rsid w:val="004742A1"/>
    <w:rsid w:val="0047637D"/>
    <w:rsid w:val="0050177C"/>
    <w:rsid w:val="00525FC5"/>
    <w:rsid w:val="0058215F"/>
    <w:rsid w:val="005A6102"/>
    <w:rsid w:val="005C70C7"/>
    <w:rsid w:val="005E4752"/>
    <w:rsid w:val="005E4A97"/>
    <w:rsid w:val="005F783B"/>
    <w:rsid w:val="005F7CB3"/>
    <w:rsid w:val="00607D68"/>
    <w:rsid w:val="00617508"/>
    <w:rsid w:val="006233A4"/>
    <w:rsid w:val="0062421D"/>
    <w:rsid w:val="00662B5D"/>
    <w:rsid w:val="006B22C3"/>
    <w:rsid w:val="006C52C9"/>
    <w:rsid w:val="006E10AD"/>
    <w:rsid w:val="006E1D33"/>
    <w:rsid w:val="006F5BF8"/>
    <w:rsid w:val="00706B16"/>
    <w:rsid w:val="00707DFE"/>
    <w:rsid w:val="00765B80"/>
    <w:rsid w:val="007A45DD"/>
    <w:rsid w:val="007B5506"/>
    <w:rsid w:val="007E4CFD"/>
    <w:rsid w:val="007E7099"/>
    <w:rsid w:val="00803270"/>
    <w:rsid w:val="008108F1"/>
    <w:rsid w:val="00830149"/>
    <w:rsid w:val="008438E2"/>
    <w:rsid w:val="00847DD5"/>
    <w:rsid w:val="00862AF9"/>
    <w:rsid w:val="00874B21"/>
    <w:rsid w:val="00881FCB"/>
    <w:rsid w:val="00887BB8"/>
    <w:rsid w:val="008931E6"/>
    <w:rsid w:val="008A0DDA"/>
    <w:rsid w:val="008A69AD"/>
    <w:rsid w:val="008B791E"/>
    <w:rsid w:val="008D4AD0"/>
    <w:rsid w:val="008E05A5"/>
    <w:rsid w:val="00902055"/>
    <w:rsid w:val="00921A53"/>
    <w:rsid w:val="00940AFE"/>
    <w:rsid w:val="00954F7F"/>
    <w:rsid w:val="0098147B"/>
    <w:rsid w:val="009860DF"/>
    <w:rsid w:val="00991F8F"/>
    <w:rsid w:val="009D2184"/>
    <w:rsid w:val="009E202C"/>
    <w:rsid w:val="009E7469"/>
    <w:rsid w:val="009F7EFC"/>
    <w:rsid w:val="00A27C73"/>
    <w:rsid w:val="00A36C17"/>
    <w:rsid w:val="00A412D9"/>
    <w:rsid w:val="00A53F37"/>
    <w:rsid w:val="00A6617B"/>
    <w:rsid w:val="00A867C9"/>
    <w:rsid w:val="00A928F0"/>
    <w:rsid w:val="00AB0DC8"/>
    <w:rsid w:val="00AB37EC"/>
    <w:rsid w:val="00AC742A"/>
    <w:rsid w:val="00AD5FF4"/>
    <w:rsid w:val="00B1717A"/>
    <w:rsid w:val="00B41DFA"/>
    <w:rsid w:val="00B44E24"/>
    <w:rsid w:val="00B60877"/>
    <w:rsid w:val="00B87252"/>
    <w:rsid w:val="00B874DB"/>
    <w:rsid w:val="00BB77E9"/>
    <w:rsid w:val="00BC546B"/>
    <w:rsid w:val="00BE6428"/>
    <w:rsid w:val="00BE6C7C"/>
    <w:rsid w:val="00BF7841"/>
    <w:rsid w:val="00C04968"/>
    <w:rsid w:val="00C165D7"/>
    <w:rsid w:val="00C17ACA"/>
    <w:rsid w:val="00C51DA2"/>
    <w:rsid w:val="00C63551"/>
    <w:rsid w:val="00CA03B9"/>
    <w:rsid w:val="00CC3323"/>
    <w:rsid w:val="00CC5430"/>
    <w:rsid w:val="00D07801"/>
    <w:rsid w:val="00D12388"/>
    <w:rsid w:val="00D36E86"/>
    <w:rsid w:val="00D62884"/>
    <w:rsid w:val="00D70F6D"/>
    <w:rsid w:val="00DA4DAF"/>
    <w:rsid w:val="00DB3E84"/>
    <w:rsid w:val="00DC4C42"/>
    <w:rsid w:val="00DD360B"/>
    <w:rsid w:val="00DD5CC7"/>
    <w:rsid w:val="00DE5B1B"/>
    <w:rsid w:val="00DE71F7"/>
    <w:rsid w:val="00DF4176"/>
    <w:rsid w:val="00DF53B7"/>
    <w:rsid w:val="00E72FCC"/>
    <w:rsid w:val="00E8202D"/>
    <w:rsid w:val="00EA7656"/>
    <w:rsid w:val="00EC21D0"/>
    <w:rsid w:val="00F06FBA"/>
    <w:rsid w:val="00F367DF"/>
    <w:rsid w:val="00F908BC"/>
    <w:rsid w:val="00F95576"/>
    <w:rsid w:val="00F95CFB"/>
    <w:rsid w:val="00FB56BF"/>
    <w:rsid w:val="00FC72F1"/>
    <w:rsid w:val="00FD4586"/>
    <w:rsid w:val="00FE206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617E4E3"/>
  <w15:docId w15:val="{B8EF7564-46B9-4C12-9E9E-935BC58F9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6FB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06FBA"/>
    <w:pPr>
      <w:keepNext/>
      <w:keepLines/>
      <w:spacing w:before="480"/>
      <w:ind w:left="794" w:hanging="794"/>
      <w:outlineLvl w:val="0"/>
    </w:pPr>
    <w:rPr>
      <w:b/>
    </w:rPr>
  </w:style>
  <w:style w:type="paragraph" w:styleId="Heading2">
    <w:name w:val="heading 2"/>
    <w:basedOn w:val="Heading1"/>
    <w:next w:val="Normal"/>
    <w:link w:val="Heading2Char"/>
    <w:qFormat/>
    <w:rsid w:val="00F06FBA"/>
    <w:pPr>
      <w:spacing w:before="320"/>
      <w:outlineLvl w:val="1"/>
    </w:pPr>
  </w:style>
  <w:style w:type="paragraph" w:styleId="Heading3">
    <w:name w:val="heading 3"/>
    <w:basedOn w:val="Heading1"/>
    <w:next w:val="Normal"/>
    <w:link w:val="Heading3Char"/>
    <w:qFormat/>
    <w:rsid w:val="00F06FBA"/>
    <w:pPr>
      <w:spacing w:before="200"/>
      <w:outlineLvl w:val="2"/>
    </w:pPr>
  </w:style>
  <w:style w:type="paragraph" w:styleId="Heading4">
    <w:name w:val="heading 4"/>
    <w:basedOn w:val="Heading3"/>
    <w:next w:val="Normal"/>
    <w:link w:val="Heading4Char"/>
    <w:qFormat/>
    <w:rsid w:val="00F06FBA"/>
    <w:pPr>
      <w:tabs>
        <w:tab w:val="clear" w:pos="794"/>
        <w:tab w:val="left" w:pos="992"/>
      </w:tabs>
      <w:ind w:left="992" w:hanging="992"/>
      <w:outlineLvl w:val="3"/>
    </w:pPr>
  </w:style>
  <w:style w:type="paragraph" w:styleId="Heading5">
    <w:name w:val="heading 5"/>
    <w:basedOn w:val="Heading4"/>
    <w:next w:val="Normal"/>
    <w:link w:val="Heading5Char"/>
    <w:qFormat/>
    <w:rsid w:val="00F06FBA"/>
    <w:pPr>
      <w:outlineLvl w:val="4"/>
    </w:pPr>
  </w:style>
  <w:style w:type="paragraph" w:styleId="Heading6">
    <w:name w:val="heading 6"/>
    <w:basedOn w:val="Heading4"/>
    <w:next w:val="Normal"/>
    <w:link w:val="Heading6Char"/>
    <w:qFormat/>
    <w:rsid w:val="00F06FBA"/>
    <w:pPr>
      <w:tabs>
        <w:tab w:val="clear" w:pos="992"/>
        <w:tab w:val="clear" w:pos="1191"/>
      </w:tabs>
      <w:ind w:left="1588" w:hanging="1588"/>
      <w:outlineLvl w:val="5"/>
    </w:pPr>
  </w:style>
  <w:style w:type="paragraph" w:styleId="Heading7">
    <w:name w:val="heading 7"/>
    <w:basedOn w:val="Heading6"/>
    <w:next w:val="Normal"/>
    <w:link w:val="Heading7Char"/>
    <w:qFormat/>
    <w:rsid w:val="00F06FBA"/>
    <w:pPr>
      <w:outlineLvl w:val="6"/>
    </w:pPr>
  </w:style>
  <w:style w:type="paragraph" w:styleId="Heading8">
    <w:name w:val="heading 8"/>
    <w:basedOn w:val="Heading6"/>
    <w:next w:val="Normal"/>
    <w:link w:val="Heading8Char"/>
    <w:qFormat/>
    <w:rsid w:val="00F06FBA"/>
    <w:pPr>
      <w:outlineLvl w:val="7"/>
    </w:pPr>
  </w:style>
  <w:style w:type="paragraph" w:styleId="Heading9">
    <w:name w:val="heading 9"/>
    <w:basedOn w:val="Heading6"/>
    <w:next w:val="Normal"/>
    <w:link w:val="Heading9Char"/>
    <w:qFormat/>
    <w:rsid w:val="00F06FBA"/>
    <w:pPr>
      <w:jc w:val="left"/>
      <w:outlineLvl w:val="8"/>
    </w:pPr>
  </w:style>
  <w:style w:type="character" w:default="1" w:styleId="DefaultParagraphFont">
    <w:name w:val="Default Paragraph Font"/>
    <w:uiPriority w:val="1"/>
    <w:semiHidden/>
    <w:unhideWhenUsed/>
    <w:rsid w:val="00F06FB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06FBA"/>
  </w:style>
  <w:style w:type="paragraph" w:styleId="Header">
    <w:name w:val="header"/>
    <w:basedOn w:val="Normal"/>
    <w:link w:val="HeaderChar"/>
    <w:rsid w:val="00F06FB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06FB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06FBA"/>
  </w:style>
  <w:style w:type="paragraph" w:customStyle="1" w:styleId="Headingb">
    <w:name w:val="Heading_b"/>
    <w:basedOn w:val="Heading3"/>
    <w:next w:val="Normal"/>
    <w:link w:val="HeadingbChar"/>
    <w:rsid w:val="00F06FBA"/>
    <w:pPr>
      <w:spacing w:before="160"/>
      <w:ind w:left="0" w:firstLine="0"/>
      <w:outlineLvl w:val="9"/>
    </w:pPr>
  </w:style>
  <w:style w:type="paragraph" w:customStyle="1" w:styleId="Headingi">
    <w:name w:val="Heading_i"/>
    <w:basedOn w:val="Heading3"/>
    <w:next w:val="Normal"/>
    <w:rsid w:val="00F06FBA"/>
    <w:pPr>
      <w:spacing w:before="160"/>
      <w:ind w:left="0" w:firstLine="0"/>
    </w:pPr>
    <w:rPr>
      <w:b w:val="0"/>
      <w:i/>
    </w:rPr>
  </w:style>
  <w:style w:type="character" w:customStyle="1" w:styleId="href">
    <w:name w:val="href"/>
    <w:basedOn w:val="DefaultParagraphFont"/>
    <w:rsid w:val="00F06FBA"/>
  </w:style>
  <w:style w:type="paragraph" w:customStyle="1" w:styleId="enumlev1">
    <w:name w:val="enumlev1"/>
    <w:basedOn w:val="Normal"/>
    <w:link w:val="enumlev1Char"/>
    <w:rsid w:val="00F06FBA"/>
    <w:pPr>
      <w:spacing w:before="80"/>
      <w:ind w:left="794" w:hanging="794"/>
    </w:pPr>
  </w:style>
  <w:style w:type="paragraph" w:customStyle="1" w:styleId="enumlev2">
    <w:name w:val="enumlev2"/>
    <w:basedOn w:val="enumlev1"/>
    <w:rsid w:val="00F06FBA"/>
    <w:pPr>
      <w:ind w:left="1191" w:hanging="397"/>
    </w:pPr>
  </w:style>
  <w:style w:type="paragraph" w:customStyle="1" w:styleId="enumlev3">
    <w:name w:val="enumlev3"/>
    <w:basedOn w:val="enumlev2"/>
    <w:rsid w:val="00F06FBA"/>
    <w:pPr>
      <w:ind w:left="1588"/>
    </w:pPr>
  </w:style>
  <w:style w:type="paragraph" w:customStyle="1" w:styleId="Normalaftertitle">
    <w:name w:val="Normal_after_title"/>
    <w:basedOn w:val="Normal"/>
    <w:next w:val="Normal"/>
    <w:link w:val="NormalaftertitleChar"/>
    <w:rsid w:val="00F06FBA"/>
    <w:pPr>
      <w:spacing w:before="320"/>
    </w:pPr>
  </w:style>
  <w:style w:type="paragraph" w:customStyle="1" w:styleId="Note">
    <w:name w:val="Note"/>
    <w:basedOn w:val="Normal"/>
    <w:rsid w:val="00F06FBA"/>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F06FB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F06FBA"/>
    <w:pPr>
      <w:spacing w:before="240"/>
    </w:pPr>
    <w:rPr>
      <w:sz w:val="22"/>
      <w:lang w:val="es-ES_tradnl"/>
    </w:rPr>
  </w:style>
  <w:style w:type="paragraph" w:customStyle="1" w:styleId="Recref">
    <w:name w:val="Rec_ref"/>
    <w:basedOn w:val="Normal"/>
    <w:next w:val="Recdate"/>
    <w:rsid w:val="00F06FBA"/>
    <w:pPr>
      <w:jc w:val="center"/>
    </w:pPr>
  </w:style>
  <w:style w:type="paragraph" w:customStyle="1" w:styleId="Recdate">
    <w:name w:val="Rec_date"/>
    <w:basedOn w:val="Recref"/>
    <w:next w:val="Normalaftertitle"/>
    <w:rsid w:val="00F06FBA"/>
    <w:pPr>
      <w:jc w:val="right"/>
    </w:pPr>
  </w:style>
  <w:style w:type="paragraph" w:customStyle="1" w:styleId="AnnexNoTitle">
    <w:name w:val="Annex_NoTitle"/>
    <w:basedOn w:val="Normal"/>
    <w:next w:val="Normalaftertitle"/>
    <w:rsid w:val="00F06FBA"/>
    <w:pPr>
      <w:keepNext/>
      <w:keepLines/>
      <w:spacing w:before="480" w:after="80"/>
      <w:jc w:val="center"/>
    </w:pPr>
    <w:rPr>
      <w:b/>
      <w:sz w:val="28"/>
    </w:rPr>
  </w:style>
  <w:style w:type="paragraph" w:customStyle="1" w:styleId="AppendixNoTitle">
    <w:name w:val="Appendix_NoTitle"/>
    <w:basedOn w:val="AnnexNoTitle"/>
    <w:next w:val="Normal"/>
    <w:rsid w:val="00F06FBA"/>
  </w:style>
  <w:style w:type="paragraph" w:customStyle="1" w:styleId="Tablefin">
    <w:name w:val="Table_fin"/>
    <w:basedOn w:val="Normal"/>
    <w:next w:val="Normal"/>
    <w:rsid w:val="00F06FBA"/>
    <w:pPr>
      <w:spacing w:before="0"/>
    </w:pPr>
    <w:rPr>
      <w:sz w:val="20"/>
      <w:lang w:val="en-GB"/>
    </w:rPr>
  </w:style>
  <w:style w:type="paragraph" w:customStyle="1" w:styleId="Tablehead">
    <w:name w:val="Table_head"/>
    <w:basedOn w:val="Normal"/>
    <w:next w:val="Normal"/>
    <w:rsid w:val="00F06FB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06F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06FBA"/>
    <w:pPr>
      <w:keepNext/>
      <w:spacing w:before="360" w:after="120"/>
      <w:jc w:val="center"/>
    </w:pPr>
  </w:style>
  <w:style w:type="paragraph" w:customStyle="1" w:styleId="Tabletext">
    <w:name w:val="Table_text"/>
    <w:basedOn w:val="Normal"/>
    <w:rsid w:val="00F06F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06FBA"/>
    <w:pPr>
      <w:tabs>
        <w:tab w:val="clear" w:pos="1191"/>
        <w:tab w:val="clear" w:pos="1588"/>
        <w:tab w:val="clear" w:pos="1985"/>
        <w:tab w:val="center" w:pos="4820"/>
        <w:tab w:val="right" w:pos="9639"/>
      </w:tabs>
    </w:pPr>
  </w:style>
  <w:style w:type="paragraph" w:customStyle="1" w:styleId="Equationlegend">
    <w:name w:val="Equation_legend"/>
    <w:basedOn w:val="NormalIndent"/>
    <w:rsid w:val="00F06FB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06FBA"/>
    <w:pPr>
      <w:ind w:left="794"/>
    </w:pPr>
  </w:style>
  <w:style w:type="paragraph" w:customStyle="1" w:styleId="Figurelegend">
    <w:name w:val="Figure_legend"/>
    <w:basedOn w:val="Normal"/>
    <w:rsid w:val="00F06FB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06FBA"/>
    <w:pPr>
      <w:keepNext/>
      <w:keepLines/>
      <w:spacing w:before="480" w:after="80"/>
      <w:jc w:val="center"/>
    </w:pPr>
    <w:rPr>
      <w:caps/>
      <w:sz w:val="18"/>
    </w:rPr>
  </w:style>
  <w:style w:type="paragraph" w:customStyle="1" w:styleId="tocpart">
    <w:name w:val="tocpart"/>
    <w:basedOn w:val="Normal"/>
    <w:rsid w:val="00F06FB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06FBA"/>
    <w:pPr>
      <w:keepNext/>
      <w:keepLines/>
      <w:spacing w:before="480"/>
      <w:jc w:val="center"/>
    </w:pPr>
    <w:rPr>
      <w:sz w:val="28"/>
    </w:rPr>
  </w:style>
  <w:style w:type="paragraph" w:customStyle="1" w:styleId="Arttitle">
    <w:name w:val="Art_title"/>
    <w:basedOn w:val="Normal"/>
    <w:next w:val="Normalaftertitle"/>
    <w:rsid w:val="00F06FBA"/>
    <w:pPr>
      <w:keepNext/>
      <w:keepLines/>
      <w:spacing w:before="240"/>
      <w:jc w:val="center"/>
    </w:pPr>
    <w:rPr>
      <w:b/>
      <w:sz w:val="28"/>
    </w:rPr>
  </w:style>
  <w:style w:type="paragraph" w:customStyle="1" w:styleId="Blanc">
    <w:name w:val="Blanc"/>
    <w:basedOn w:val="Normal"/>
    <w:next w:val="Tabletext"/>
    <w:rsid w:val="00F06FB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06FB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06FBA"/>
    <w:pPr>
      <w:keepNext/>
      <w:keepLines/>
      <w:spacing w:before="160"/>
      <w:ind w:left="794"/>
    </w:pPr>
    <w:rPr>
      <w:i/>
    </w:rPr>
  </w:style>
  <w:style w:type="paragraph" w:customStyle="1" w:styleId="ChapNo">
    <w:name w:val="Chap_No"/>
    <w:basedOn w:val="ArtNo"/>
    <w:next w:val="Chaptitle"/>
    <w:rsid w:val="00F06FBA"/>
    <w:rPr>
      <w:b/>
    </w:rPr>
  </w:style>
  <w:style w:type="paragraph" w:customStyle="1" w:styleId="Chaptitle">
    <w:name w:val="Chap_title"/>
    <w:basedOn w:val="Arttitle"/>
    <w:next w:val="Normalaftertitle"/>
    <w:rsid w:val="00F06FBA"/>
  </w:style>
  <w:style w:type="character" w:styleId="FootnoteReference">
    <w:name w:val="footnote reference"/>
    <w:basedOn w:val="DefaultParagraphFont"/>
    <w:rsid w:val="00F06FBA"/>
    <w:rPr>
      <w:position w:val="6"/>
      <w:sz w:val="18"/>
    </w:rPr>
  </w:style>
  <w:style w:type="paragraph" w:styleId="FootnoteText">
    <w:name w:val="footnote text"/>
    <w:basedOn w:val="Normal"/>
    <w:link w:val="FootnoteTextChar"/>
    <w:rsid w:val="00F06FBA"/>
    <w:pPr>
      <w:keepLines/>
      <w:tabs>
        <w:tab w:val="left" w:pos="255"/>
      </w:tabs>
      <w:ind w:left="255" w:hanging="255"/>
    </w:pPr>
    <w:rPr>
      <w:sz w:val="22"/>
    </w:rPr>
  </w:style>
  <w:style w:type="paragraph" w:styleId="Index1">
    <w:name w:val="index 1"/>
    <w:basedOn w:val="Normal"/>
    <w:next w:val="Normal"/>
    <w:semiHidden/>
    <w:rsid w:val="00F06FBA"/>
  </w:style>
  <w:style w:type="paragraph" w:styleId="Index2">
    <w:name w:val="index 2"/>
    <w:basedOn w:val="Normal"/>
    <w:next w:val="Normal"/>
    <w:semiHidden/>
    <w:rsid w:val="00F06FBA"/>
    <w:pPr>
      <w:ind w:left="283"/>
    </w:pPr>
  </w:style>
  <w:style w:type="paragraph" w:styleId="Index3">
    <w:name w:val="index 3"/>
    <w:basedOn w:val="Normal"/>
    <w:next w:val="Normal"/>
    <w:semiHidden/>
    <w:rsid w:val="00F06FBA"/>
    <w:pPr>
      <w:ind w:left="566"/>
    </w:pPr>
  </w:style>
  <w:style w:type="paragraph" w:styleId="IndexHeading">
    <w:name w:val="index heading"/>
    <w:basedOn w:val="Normal"/>
    <w:next w:val="Index1"/>
    <w:rsid w:val="00F06FBA"/>
  </w:style>
  <w:style w:type="paragraph" w:customStyle="1" w:styleId="Line">
    <w:name w:val="Line"/>
    <w:basedOn w:val="Normal"/>
    <w:next w:val="Normal"/>
    <w:rsid w:val="00F06FB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06FB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06FBA"/>
  </w:style>
  <w:style w:type="paragraph" w:customStyle="1" w:styleId="Partref">
    <w:name w:val="Part_ref"/>
    <w:basedOn w:val="Normal"/>
    <w:next w:val="Normal"/>
    <w:rsid w:val="00F06FBA"/>
    <w:pPr>
      <w:keepNext/>
      <w:keepLines/>
      <w:spacing w:after="280"/>
      <w:jc w:val="center"/>
    </w:pPr>
  </w:style>
  <w:style w:type="paragraph" w:customStyle="1" w:styleId="Parttitle">
    <w:name w:val="Part_title"/>
    <w:basedOn w:val="Normal"/>
    <w:next w:val="Normalaftertitle"/>
    <w:rsid w:val="00F06FB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06FBA"/>
  </w:style>
  <w:style w:type="paragraph" w:customStyle="1" w:styleId="QuestionNo">
    <w:name w:val="Question_No"/>
    <w:basedOn w:val="RecNo"/>
    <w:next w:val="Normal"/>
    <w:rsid w:val="00F06FBA"/>
  </w:style>
  <w:style w:type="paragraph" w:customStyle="1" w:styleId="Questionref">
    <w:name w:val="Question_ref"/>
    <w:basedOn w:val="Recref"/>
    <w:next w:val="Questiondate"/>
    <w:rsid w:val="00F06FBA"/>
  </w:style>
  <w:style w:type="paragraph" w:customStyle="1" w:styleId="Questiontitle">
    <w:name w:val="Question_title"/>
    <w:basedOn w:val="Normal"/>
    <w:next w:val="Questionref"/>
    <w:rsid w:val="00F06FBA"/>
  </w:style>
  <w:style w:type="paragraph" w:customStyle="1" w:styleId="Reftext">
    <w:name w:val="Ref_text"/>
    <w:basedOn w:val="Normal"/>
    <w:rsid w:val="00F06FBA"/>
    <w:pPr>
      <w:ind w:left="794" w:hanging="794"/>
    </w:pPr>
    <w:rPr>
      <w:sz w:val="22"/>
    </w:rPr>
  </w:style>
  <w:style w:type="paragraph" w:customStyle="1" w:styleId="Reftitle">
    <w:name w:val="Ref_title"/>
    <w:basedOn w:val="Normal"/>
    <w:next w:val="Reftext"/>
    <w:rsid w:val="00F06FB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06FBA"/>
  </w:style>
  <w:style w:type="paragraph" w:customStyle="1" w:styleId="RepNo">
    <w:name w:val="Rep_No"/>
    <w:basedOn w:val="RecNo"/>
    <w:next w:val="Reptitle"/>
    <w:link w:val="RepNoCar"/>
    <w:rsid w:val="00F06FBA"/>
  </w:style>
  <w:style w:type="paragraph" w:customStyle="1" w:styleId="Repref">
    <w:name w:val="Rep_ref"/>
    <w:basedOn w:val="Recref"/>
    <w:next w:val="Repdate"/>
    <w:rsid w:val="00F06FBA"/>
  </w:style>
  <w:style w:type="paragraph" w:customStyle="1" w:styleId="Reptitle">
    <w:name w:val="Rep_title"/>
    <w:basedOn w:val="Rectitle"/>
    <w:next w:val="Repref"/>
    <w:link w:val="ReptitleCar"/>
    <w:rsid w:val="00F06FBA"/>
  </w:style>
  <w:style w:type="paragraph" w:customStyle="1" w:styleId="Resdate">
    <w:name w:val="Res_date"/>
    <w:basedOn w:val="Recdate"/>
    <w:next w:val="Normalaftertitle"/>
    <w:rsid w:val="00F06FBA"/>
  </w:style>
  <w:style w:type="paragraph" w:customStyle="1" w:styleId="ResNo">
    <w:name w:val="Res_No"/>
    <w:basedOn w:val="RecNo"/>
    <w:next w:val="Restitle"/>
    <w:rsid w:val="00F06FBA"/>
  </w:style>
  <w:style w:type="paragraph" w:customStyle="1" w:styleId="Resref">
    <w:name w:val="Res_ref"/>
    <w:basedOn w:val="Recref"/>
    <w:next w:val="Resdate"/>
    <w:rsid w:val="00F06FBA"/>
  </w:style>
  <w:style w:type="paragraph" w:customStyle="1" w:styleId="Restitle">
    <w:name w:val="Res_title"/>
    <w:basedOn w:val="Normal"/>
    <w:next w:val="Resref"/>
    <w:rsid w:val="00F06FBA"/>
    <w:pPr>
      <w:spacing w:before="240"/>
      <w:jc w:val="center"/>
    </w:pPr>
    <w:rPr>
      <w:b/>
      <w:sz w:val="28"/>
    </w:rPr>
  </w:style>
  <w:style w:type="paragraph" w:customStyle="1" w:styleId="SectionNo">
    <w:name w:val="Section_No"/>
    <w:basedOn w:val="Normal"/>
    <w:next w:val="Normal"/>
    <w:rsid w:val="00F06FBA"/>
  </w:style>
  <w:style w:type="paragraph" w:customStyle="1" w:styleId="Sectiontitle">
    <w:name w:val="Section_title"/>
    <w:basedOn w:val="Normal"/>
    <w:next w:val="Normalaftertitle"/>
    <w:rsid w:val="00F06FB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06FBA"/>
    <w:pPr>
      <w:tabs>
        <w:tab w:val="clear" w:pos="794"/>
        <w:tab w:val="clear" w:pos="1191"/>
        <w:tab w:val="clear" w:pos="1588"/>
        <w:tab w:val="clear" w:pos="1985"/>
        <w:tab w:val="right" w:pos="9611"/>
      </w:tabs>
    </w:pPr>
    <w:rPr>
      <w:i/>
    </w:rPr>
  </w:style>
  <w:style w:type="paragraph" w:styleId="TOC1">
    <w:name w:val="toc 1"/>
    <w:basedOn w:val="Normal"/>
    <w:rsid w:val="00F06FB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06FBA"/>
    <w:pPr>
      <w:tabs>
        <w:tab w:val="clear" w:pos="567"/>
        <w:tab w:val="left" w:pos="1276"/>
      </w:tabs>
      <w:spacing w:before="160"/>
      <w:ind w:left="1276" w:hanging="709"/>
    </w:pPr>
  </w:style>
  <w:style w:type="paragraph" w:styleId="TOC3">
    <w:name w:val="toc 3"/>
    <w:basedOn w:val="TOC2"/>
    <w:rsid w:val="00F06FBA"/>
    <w:pPr>
      <w:tabs>
        <w:tab w:val="clear" w:pos="1276"/>
        <w:tab w:val="left" w:pos="2155"/>
      </w:tabs>
      <w:ind w:left="2155" w:hanging="879"/>
    </w:pPr>
  </w:style>
  <w:style w:type="paragraph" w:styleId="TOC4">
    <w:name w:val="toc 4"/>
    <w:basedOn w:val="TOC3"/>
    <w:rsid w:val="00F06FBA"/>
    <w:pPr>
      <w:tabs>
        <w:tab w:val="left" w:pos="3261"/>
      </w:tabs>
      <w:spacing w:before="80"/>
      <w:ind w:left="3261" w:hanging="993"/>
    </w:pPr>
  </w:style>
  <w:style w:type="paragraph" w:styleId="TOC5">
    <w:name w:val="toc 5"/>
    <w:basedOn w:val="TOC4"/>
    <w:rsid w:val="00F06FBA"/>
  </w:style>
  <w:style w:type="paragraph" w:styleId="TOC6">
    <w:name w:val="toc 6"/>
    <w:basedOn w:val="TOC4"/>
    <w:rsid w:val="00F06FBA"/>
  </w:style>
  <w:style w:type="paragraph" w:styleId="TOC7">
    <w:name w:val="toc 7"/>
    <w:basedOn w:val="TOC4"/>
    <w:rsid w:val="00F06FBA"/>
  </w:style>
  <w:style w:type="paragraph" w:styleId="TOC8">
    <w:name w:val="toc 8"/>
    <w:basedOn w:val="TOC4"/>
    <w:rsid w:val="00F06FBA"/>
  </w:style>
  <w:style w:type="paragraph" w:customStyle="1" w:styleId="Rectitle">
    <w:name w:val="Rec_title"/>
    <w:basedOn w:val="Normal"/>
    <w:next w:val="Recref"/>
    <w:link w:val="Rectitle0"/>
    <w:rsid w:val="00F06FBA"/>
    <w:pPr>
      <w:keepNext/>
      <w:keepLines/>
      <w:spacing w:before="240"/>
      <w:jc w:val="center"/>
    </w:pPr>
    <w:rPr>
      <w:b/>
      <w:sz w:val="28"/>
    </w:rPr>
  </w:style>
  <w:style w:type="paragraph" w:customStyle="1" w:styleId="Annexref">
    <w:name w:val="Annex_ref"/>
    <w:basedOn w:val="Normal"/>
    <w:next w:val="Normalaftertitle"/>
    <w:rsid w:val="00F06FBA"/>
    <w:pPr>
      <w:keepNext/>
      <w:keepLines/>
      <w:spacing w:after="280"/>
      <w:jc w:val="center"/>
    </w:pPr>
  </w:style>
  <w:style w:type="paragraph" w:customStyle="1" w:styleId="Appendixref">
    <w:name w:val="Appendix_ref"/>
    <w:basedOn w:val="Annexref"/>
    <w:next w:val="Normalaftertitle"/>
    <w:rsid w:val="00F06FBA"/>
  </w:style>
  <w:style w:type="paragraph" w:customStyle="1" w:styleId="Figuretitle">
    <w:name w:val="Figure_title"/>
    <w:basedOn w:val="Normal"/>
    <w:next w:val="Figure"/>
    <w:link w:val="FiguretitleChar"/>
    <w:rsid w:val="00F06FB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06FBA"/>
    <w:pPr>
      <w:keepNext/>
      <w:spacing w:before="0" w:after="120"/>
      <w:jc w:val="center"/>
    </w:pPr>
    <w:rPr>
      <w:b/>
    </w:rPr>
  </w:style>
  <w:style w:type="paragraph" w:customStyle="1" w:styleId="Summary">
    <w:name w:val="Summary"/>
    <w:basedOn w:val="Normal"/>
    <w:next w:val="Normalaftertitle"/>
    <w:autoRedefine/>
    <w:rsid w:val="00F06FBA"/>
    <w:pPr>
      <w:jc w:val="left"/>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F06FBA"/>
    <w:pPr>
      <w:keepNext w:val="0"/>
      <w:spacing w:before="0" w:after="240"/>
    </w:pPr>
  </w:style>
  <w:style w:type="paragraph" w:customStyle="1" w:styleId="TableLegendNote">
    <w:name w:val="Table_Legend_Note"/>
    <w:basedOn w:val="Tablelegend"/>
    <w:next w:val="Tablelegend"/>
    <w:rsid w:val="00F06FBA"/>
    <w:pPr>
      <w:ind w:left="-85" w:firstLine="0"/>
    </w:pPr>
    <w:rPr>
      <w:lang w:val="en-US"/>
    </w:rPr>
  </w:style>
  <w:style w:type="character" w:customStyle="1" w:styleId="Heading1Char">
    <w:name w:val="Heading 1 Char"/>
    <w:basedOn w:val="DefaultParagraphFont"/>
    <w:link w:val="Heading1"/>
    <w:rsid w:val="00177138"/>
    <w:rPr>
      <w:b/>
      <w:sz w:val="24"/>
      <w:lang w:val="fr-FR" w:eastAsia="en-US"/>
    </w:rPr>
  </w:style>
  <w:style w:type="character" w:customStyle="1" w:styleId="Rectitle0">
    <w:name w:val="Rec_title Знак"/>
    <w:link w:val="Rectitle"/>
    <w:locked/>
    <w:rsid w:val="00177138"/>
    <w:rPr>
      <w:b/>
      <w:sz w:val="28"/>
      <w:lang w:val="fr-FR" w:eastAsia="en-US"/>
    </w:rPr>
  </w:style>
  <w:style w:type="character" w:customStyle="1" w:styleId="enumlev1Char">
    <w:name w:val="enumlev1 Char"/>
    <w:link w:val="enumlev1"/>
    <w:locked/>
    <w:rsid w:val="00177138"/>
    <w:rPr>
      <w:sz w:val="24"/>
      <w:lang w:val="fr-FR" w:eastAsia="en-US"/>
    </w:rPr>
  </w:style>
  <w:style w:type="character" w:customStyle="1" w:styleId="NormalaftertitleChar">
    <w:name w:val="Normal_after_title Char"/>
    <w:link w:val="Normalaftertitle"/>
    <w:locked/>
    <w:rsid w:val="00177138"/>
    <w:rPr>
      <w:sz w:val="24"/>
      <w:lang w:val="fr-FR" w:eastAsia="en-US"/>
    </w:rPr>
  </w:style>
  <w:style w:type="character" w:customStyle="1" w:styleId="HeaderChar">
    <w:name w:val="Header Char"/>
    <w:basedOn w:val="DefaultParagraphFont"/>
    <w:link w:val="Header"/>
    <w:rsid w:val="00177138"/>
    <w:rPr>
      <w:sz w:val="24"/>
      <w:lang w:val="fr-FR" w:eastAsia="en-US"/>
    </w:rPr>
  </w:style>
  <w:style w:type="character" w:customStyle="1" w:styleId="FooterChar">
    <w:name w:val="Footer Char"/>
    <w:basedOn w:val="DefaultParagraphFont"/>
    <w:link w:val="Footer"/>
    <w:rsid w:val="00177138"/>
    <w:rPr>
      <w:noProof/>
      <w:sz w:val="18"/>
      <w:lang w:val="fr-FR" w:eastAsia="en-US"/>
    </w:rPr>
  </w:style>
  <w:style w:type="character" w:customStyle="1" w:styleId="FootnoteTextChar">
    <w:name w:val="Footnote Text Char"/>
    <w:basedOn w:val="DefaultParagraphFont"/>
    <w:link w:val="FootnoteText"/>
    <w:rsid w:val="00177138"/>
    <w:rPr>
      <w:sz w:val="22"/>
      <w:lang w:val="fr-FR" w:eastAsia="en-US"/>
    </w:rPr>
  </w:style>
  <w:style w:type="character" w:customStyle="1" w:styleId="RecNoChar">
    <w:name w:val="Rec_No Char"/>
    <w:link w:val="RecNo"/>
    <w:locked/>
    <w:rsid w:val="00177138"/>
    <w:rPr>
      <w:sz w:val="28"/>
      <w:lang w:val="fr-FR" w:eastAsia="en-US"/>
    </w:rPr>
  </w:style>
  <w:style w:type="character" w:customStyle="1" w:styleId="Heading2Char">
    <w:name w:val="Heading 2 Char"/>
    <w:basedOn w:val="DefaultParagraphFont"/>
    <w:link w:val="Heading2"/>
    <w:rsid w:val="00177138"/>
    <w:rPr>
      <w:b/>
      <w:sz w:val="24"/>
      <w:lang w:val="fr-FR" w:eastAsia="en-US"/>
    </w:rPr>
  </w:style>
  <w:style w:type="character" w:customStyle="1" w:styleId="Heading3Char">
    <w:name w:val="Heading 3 Char"/>
    <w:basedOn w:val="DefaultParagraphFont"/>
    <w:link w:val="Heading3"/>
    <w:rsid w:val="00177138"/>
    <w:rPr>
      <w:b/>
      <w:sz w:val="24"/>
      <w:lang w:val="fr-FR" w:eastAsia="en-US"/>
    </w:rPr>
  </w:style>
  <w:style w:type="character" w:customStyle="1" w:styleId="Heading4Char">
    <w:name w:val="Heading 4 Char"/>
    <w:basedOn w:val="DefaultParagraphFont"/>
    <w:link w:val="Heading4"/>
    <w:rsid w:val="00177138"/>
    <w:rPr>
      <w:b/>
      <w:sz w:val="24"/>
      <w:lang w:val="fr-FR" w:eastAsia="en-US"/>
    </w:rPr>
  </w:style>
  <w:style w:type="character" w:customStyle="1" w:styleId="Heading5Char">
    <w:name w:val="Heading 5 Char"/>
    <w:basedOn w:val="DefaultParagraphFont"/>
    <w:link w:val="Heading5"/>
    <w:rsid w:val="00177138"/>
    <w:rPr>
      <w:b/>
      <w:sz w:val="24"/>
      <w:lang w:val="fr-FR" w:eastAsia="en-US"/>
    </w:rPr>
  </w:style>
  <w:style w:type="character" w:customStyle="1" w:styleId="Heading6Char">
    <w:name w:val="Heading 6 Char"/>
    <w:basedOn w:val="DefaultParagraphFont"/>
    <w:link w:val="Heading6"/>
    <w:rsid w:val="00177138"/>
    <w:rPr>
      <w:b/>
      <w:sz w:val="24"/>
      <w:lang w:val="fr-FR" w:eastAsia="en-US"/>
    </w:rPr>
  </w:style>
  <w:style w:type="character" w:customStyle="1" w:styleId="Heading7Char">
    <w:name w:val="Heading 7 Char"/>
    <w:basedOn w:val="DefaultParagraphFont"/>
    <w:link w:val="Heading7"/>
    <w:rsid w:val="00177138"/>
    <w:rPr>
      <w:b/>
      <w:sz w:val="24"/>
      <w:lang w:val="fr-FR" w:eastAsia="en-US"/>
    </w:rPr>
  </w:style>
  <w:style w:type="character" w:customStyle="1" w:styleId="Heading8Char">
    <w:name w:val="Heading 8 Char"/>
    <w:basedOn w:val="DefaultParagraphFont"/>
    <w:link w:val="Heading8"/>
    <w:rsid w:val="00177138"/>
    <w:rPr>
      <w:b/>
      <w:sz w:val="24"/>
      <w:lang w:val="fr-FR" w:eastAsia="en-US"/>
    </w:rPr>
  </w:style>
  <w:style w:type="character" w:customStyle="1" w:styleId="Heading9Char">
    <w:name w:val="Heading 9 Char"/>
    <w:basedOn w:val="DefaultParagraphFont"/>
    <w:link w:val="Heading9"/>
    <w:rsid w:val="00177138"/>
    <w:rPr>
      <w:b/>
      <w:sz w:val="24"/>
      <w:lang w:val="fr-FR" w:eastAsia="en-US"/>
    </w:rPr>
  </w:style>
  <w:style w:type="character" w:customStyle="1" w:styleId="CallChar">
    <w:name w:val="Call Char"/>
    <w:link w:val="Call"/>
    <w:locked/>
    <w:rsid w:val="00177138"/>
    <w:rPr>
      <w:i/>
      <w:sz w:val="24"/>
      <w:lang w:val="fr-FR" w:eastAsia="en-US"/>
    </w:rPr>
  </w:style>
  <w:style w:type="character" w:customStyle="1" w:styleId="ReptitleCar">
    <w:name w:val="Rep_title Car"/>
    <w:link w:val="Reptitle"/>
    <w:locked/>
    <w:rsid w:val="00177138"/>
    <w:rPr>
      <w:b/>
      <w:sz w:val="28"/>
      <w:lang w:val="fr-FR" w:eastAsia="en-US"/>
    </w:rPr>
  </w:style>
  <w:style w:type="character" w:customStyle="1" w:styleId="RepNoCar">
    <w:name w:val="Rep_No Car"/>
    <w:link w:val="RepNo"/>
    <w:locked/>
    <w:rsid w:val="00177138"/>
    <w:rPr>
      <w:sz w:val="28"/>
      <w:lang w:val="fr-FR" w:eastAsia="en-US"/>
    </w:rPr>
  </w:style>
  <w:style w:type="character" w:customStyle="1" w:styleId="FiguretitleChar">
    <w:name w:val="Figure_title Char"/>
    <w:basedOn w:val="DefaultParagraphFont"/>
    <w:link w:val="Figuretitle"/>
    <w:locked/>
    <w:rsid w:val="00177138"/>
    <w:rPr>
      <w:rFonts w:ascii="Times New Roman Bold" w:hAnsi="Times New Roman Bold"/>
      <w:b/>
      <w:sz w:val="18"/>
      <w:lang w:val="fr-FR" w:eastAsia="en-US"/>
    </w:rPr>
  </w:style>
  <w:style w:type="character" w:customStyle="1" w:styleId="FigureNoChar">
    <w:name w:val="Figure_No Char"/>
    <w:basedOn w:val="DefaultParagraphFont"/>
    <w:link w:val="FigureNo"/>
    <w:rsid w:val="00177138"/>
    <w:rPr>
      <w:caps/>
      <w:sz w:val="18"/>
      <w:lang w:val="fr-FR" w:eastAsia="en-US"/>
    </w:rPr>
  </w:style>
  <w:style w:type="character" w:customStyle="1" w:styleId="HeadingbChar">
    <w:name w:val="Heading_b Char"/>
    <w:basedOn w:val="DefaultParagraphFont"/>
    <w:link w:val="Headingb"/>
    <w:locked/>
    <w:rsid w:val="00177138"/>
    <w:rPr>
      <w:b/>
      <w:sz w:val="24"/>
      <w:lang w:val="fr-FR" w:eastAsia="en-US"/>
    </w:rPr>
  </w:style>
  <w:style w:type="paragraph" w:customStyle="1" w:styleId="Notfo">
    <w:name w:val="Notfo"/>
    <w:basedOn w:val="Normal"/>
    <w:rsid w:val="00A412D9"/>
    <w:pPr>
      <w:spacing w:before="92" w:after="92"/>
      <w:jc w:val="left"/>
    </w:pPr>
    <w:rPr>
      <w:b/>
      <w:bCs/>
      <w:i/>
      <w:iCs/>
      <w:sz w:val="20"/>
      <w:lang w:val="es-ES_tradnl"/>
    </w:rPr>
  </w:style>
  <w:style w:type="paragraph" w:styleId="NoteHeading">
    <w:name w:val="Note Heading"/>
    <w:basedOn w:val="Normal"/>
    <w:next w:val="Normal"/>
    <w:link w:val="NoteHeadingChar"/>
    <w:unhideWhenUsed/>
    <w:rsid w:val="009F7EFC"/>
    <w:pPr>
      <w:spacing w:before="0"/>
    </w:pPr>
  </w:style>
  <w:style w:type="character" w:customStyle="1" w:styleId="NoteHeadingChar">
    <w:name w:val="Note Heading Char"/>
    <w:basedOn w:val="DefaultParagraphFont"/>
    <w:link w:val="NoteHeading"/>
    <w:rsid w:val="009F7EFC"/>
    <w:rPr>
      <w:sz w:val="24"/>
      <w:lang w:val="fr-FR" w:eastAsia="en-US"/>
    </w:rPr>
  </w:style>
  <w:style w:type="paragraph" w:customStyle="1" w:styleId="Reasons">
    <w:name w:val="Reasons"/>
    <w:basedOn w:val="Normal"/>
    <w:qFormat/>
    <w:rsid w:val="00A27C73"/>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uiPriority w:val="99"/>
    <w:semiHidden/>
    <w:unhideWhenUsed/>
    <w:rsid w:val="009D218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184"/>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package" Target="embeddings/Microsoft_Excel_Worksheet1.xlsx"/><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package" Target="embeddings/Microsoft_Excel_Worksheet.xlsx"/><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itu.int/publ/R-REC/es"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dms_pub/itu-r/oth/0a/05/R0A050000140001XLSE.xl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271</TotalTime>
  <Pages>11</Pages>
  <Words>3165</Words>
  <Characters>17326</Characters>
  <Application>Microsoft Office Word</Application>
  <DocSecurity>0</DocSecurity>
  <Lines>144</Lines>
  <Paragraphs>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RECOMENDACIÓN  UIT-R  S.2131-1 - Método para determinar los objetivos de calidad de funcionamiento  para trayectos digitales ficticios de referencia que utilizan  codificación y modulación adaptables</vt:lpstr>
      <vt:lpstr>Template BR_Rec_2005.dot</vt:lpstr>
    </vt:vector>
  </TitlesOfParts>
  <Manager/>
  <Company>ITU</Company>
  <LinksUpToDate>false</LinksUpToDate>
  <CharactersWithSpaces>20451</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S.2131-1 - Método para determinar los objetivos de calidad de funcionamiento  para trayectos digitales ficticios de referencia que utilizan  codificación y modulación adaptables</dc:title>
  <dc:subject>Serie S = Servicio fijo por satélite</dc:subject>
  <dc:creator>Oficina de Radiocomunicaciones del UIT (BR)</dc:creator>
  <cp:keywords>S,2131-1</cp:keywords>
  <dc:description>Saez, 10.05.2022, ITU51013874</dc:description>
  <cp:lastModifiedBy>Catalano Moreira, Rossana</cp:lastModifiedBy>
  <cp:revision>19</cp:revision>
  <cp:lastPrinted>2022-05-10T12:07:00Z</cp:lastPrinted>
  <dcterms:created xsi:type="dcterms:W3CDTF">2023-01-20T08:38:00Z</dcterms:created>
  <dcterms:modified xsi:type="dcterms:W3CDTF">2023-01-23T14:35:00Z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mardi, 10 mai 2022</vt:lpwstr>
  </property>
</Properties>
</file>