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17A" w:rsidRPr="00D81252" w:rsidRDefault="00B1717A" w:rsidP="00B1717A">
      <w:pPr>
        <w:rPr>
          <w:lang w:val="es-ES_tradnl"/>
        </w:rPr>
      </w:pPr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A96D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96D0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1001-2</w:t>
            </w:r>
          </w:p>
          <w:p w:rsidR="00B1717A" w:rsidRPr="0010336F" w:rsidRDefault="00B1717A" w:rsidP="00A96D0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A96D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96D0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AB7CD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A96D02" w:rsidP="00EC1C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Utilización de sistemas en el servicio fijo</w:t>
            </w:r>
            <w:r w:rsidR="00EC1C2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por satélite en situaciones de catástrofe natural y otras emergencias similares</w:t>
            </w:r>
            <w:r w:rsidR="00EC1C22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para alertas y operaciones de socorro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AB7CD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D1238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DE71F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</w:t>
            </w:r>
          </w:p>
          <w:p w:rsidR="00B1717A" w:rsidRPr="0010336F" w:rsidRDefault="00D12388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 por satélite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1717A" w:rsidRPr="00AB7CDF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B1717A" w:rsidRPr="00AB7CDF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847DD5">
              <w:rPr>
                <w:b w:val="0"/>
                <w:sz w:val="20"/>
              </w:rPr>
              <w:t>Servicio</w:t>
            </w:r>
            <w:proofErr w:type="spellEnd"/>
            <w:r w:rsidRPr="00847DD5">
              <w:rPr>
                <w:b w:val="0"/>
                <w:sz w:val="20"/>
              </w:rPr>
              <w:t xml:space="preserve"> de </w:t>
            </w:r>
            <w:proofErr w:type="spellStart"/>
            <w:r w:rsidRPr="00847DD5">
              <w:rPr>
                <w:b w:val="0"/>
                <w:sz w:val="20"/>
              </w:rPr>
              <w:t>radiodifusión</w:t>
            </w:r>
            <w:proofErr w:type="spellEnd"/>
            <w:r w:rsidRPr="00847DD5">
              <w:rPr>
                <w:b w:val="0"/>
                <w:sz w:val="20"/>
              </w:rPr>
              <w:t xml:space="preserve"> </w:t>
            </w:r>
            <w:proofErr w:type="spellStart"/>
            <w:r w:rsidRPr="00847DD5">
              <w:rPr>
                <w:b w:val="0"/>
                <w:sz w:val="20"/>
              </w:rPr>
              <w:t>sonora</w:t>
            </w:r>
            <w:proofErr w:type="spellEnd"/>
          </w:p>
        </w:tc>
      </w:tr>
      <w:tr w:rsidR="00B1717A" w:rsidRPr="00ED2695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B1717A" w:rsidRPr="00366CEE" w:rsidTr="00366CEE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366CEE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366CEE">
              <w:rPr>
                <w:sz w:val="20"/>
              </w:rPr>
              <w:t>Servicio</w:t>
            </w:r>
            <w:proofErr w:type="spellEnd"/>
            <w:r w:rsidRPr="00366CEE">
              <w:rPr>
                <w:sz w:val="20"/>
              </w:rPr>
              <w:t xml:space="preserve"> </w:t>
            </w:r>
            <w:proofErr w:type="spellStart"/>
            <w:r w:rsidRPr="00366CEE">
              <w:rPr>
                <w:sz w:val="20"/>
              </w:rPr>
              <w:t>fijo</w:t>
            </w:r>
            <w:proofErr w:type="spellEnd"/>
          </w:p>
        </w:tc>
      </w:tr>
      <w:tr w:rsidR="00B1717A" w:rsidRPr="00AB7CDF" w:rsidTr="00F9557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AB7CDF" w:rsidTr="00DE71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F95576" w:rsidRDefault="00B1717A" w:rsidP="00D62884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DE71F7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E71F7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 xml:space="preserve">Radio </w:t>
            </w:r>
            <w:proofErr w:type="spellStart"/>
            <w:r w:rsidRPr="00DE71F7">
              <w:rPr>
                <w:sz w:val="20"/>
              </w:rPr>
              <w:t>astronomía</w:t>
            </w:r>
            <w:proofErr w:type="spellEnd"/>
          </w:p>
        </w:tc>
      </w:tr>
      <w:tr w:rsidR="00B1717A" w:rsidRPr="00AB7CDF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D12388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B1717A" w:rsidRPr="00D12388" w:rsidTr="00D1238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D12388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D12388">
              <w:rPr>
                <w:b/>
                <w:bCs/>
                <w:color w:val="000080"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D12388" w:rsidRDefault="00B1717A" w:rsidP="00D62884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D12388">
              <w:rPr>
                <w:b/>
                <w:bCs/>
                <w:color w:val="000080"/>
                <w:sz w:val="20"/>
              </w:rPr>
              <w:t>Servicio</w:t>
            </w:r>
            <w:proofErr w:type="spellEnd"/>
            <w:r w:rsidRPr="00D12388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D12388">
              <w:rPr>
                <w:b/>
                <w:bCs/>
                <w:color w:val="000080"/>
                <w:sz w:val="20"/>
              </w:rPr>
              <w:t>fijo</w:t>
            </w:r>
            <w:proofErr w:type="spellEnd"/>
            <w:r w:rsidRPr="00D12388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D12388">
              <w:rPr>
                <w:b/>
                <w:bCs/>
                <w:color w:val="000080"/>
                <w:sz w:val="20"/>
              </w:rPr>
              <w:t>por</w:t>
            </w:r>
            <w:proofErr w:type="spellEnd"/>
            <w:r w:rsidRPr="00D12388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D12388">
              <w:rPr>
                <w:b/>
                <w:bCs/>
                <w:color w:val="000080"/>
                <w:sz w:val="20"/>
              </w:rPr>
              <w:t>satélite</w:t>
            </w:r>
            <w:proofErr w:type="spellEnd"/>
          </w:p>
        </w:tc>
      </w:tr>
      <w:tr w:rsidR="00B1717A" w:rsidRPr="00036EE3" w:rsidTr="00D12388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B1717A" w:rsidRPr="00AB7CDF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B1717A" w:rsidRPr="00AB7CDF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B1717A" w:rsidRPr="00AB7CDF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DB3E8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DB3E84">
        <w:rPr>
          <w:sz w:val="20"/>
          <w:lang w:val="es-ES_tradnl"/>
        </w:rPr>
        <w:t>10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DB3E84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DB3E84">
        <w:rPr>
          <w:sz w:val="20"/>
          <w:lang w:val="es-ES_tradnl"/>
        </w:rPr>
        <w:t>10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96D02" w:rsidRPr="00D81252" w:rsidRDefault="00A96D02" w:rsidP="002B5701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D81252">
        <w:rPr>
          <w:lang w:val="es-ES_tradnl"/>
        </w:rPr>
        <w:lastRenderedPageBreak/>
        <w:t xml:space="preserve">RECOMENDACIÓN  </w:t>
      </w:r>
      <w:r w:rsidRPr="00D81252">
        <w:rPr>
          <w:rStyle w:val="href"/>
          <w:lang w:val="es-ES_tradnl"/>
        </w:rPr>
        <w:t>UIT-R  S.1001-2</w:t>
      </w:r>
      <w:r w:rsidR="002B5701" w:rsidRPr="00D81252">
        <w:rPr>
          <w:rStyle w:val="FootnoteReference"/>
          <w:lang w:val="es-ES_tradnl"/>
        </w:rPr>
        <w:footnoteReference w:customMarkFollows="1" w:id="1"/>
        <w:t>*</w:t>
      </w:r>
    </w:p>
    <w:p w:rsidR="00B1717A" w:rsidRPr="00D81252" w:rsidRDefault="00A96D02" w:rsidP="00F6100E">
      <w:pPr>
        <w:pStyle w:val="Rectitle"/>
        <w:rPr>
          <w:rFonts w:eastAsiaTheme="minorEastAsia"/>
          <w:lang w:val="es-ES_tradnl"/>
        </w:rPr>
      </w:pPr>
      <w:r w:rsidRPr="00D81252">
        <w:rPr>
          <w:rFonts w:eastAsiaTheme="minorEastAsia"/>
          <w:lang w:val="es-ES_tradnl"/>
        </w:rPr>
        <w:t>Utilización de sistemas en el servicio fijo por satélite en situaciones</w:t>
      </w:r>
      <w:r w:rsidRPr="00D81252">
        <w:rPr>
          <w:rFonts w:eastAsiaTheme="minorEastAsia"/>
          <w:lang w:val="es-ES_tradnl"/>
        </w:rPr>
        <w:br/>
        <w:t xml:space="preserve">de </w:t>
      </w:r>
      <w:r w:rsidR="00F6100E" w:rsidRPr="00D81252">
        <w:rPr>
          <w:rFonts w:eastAsiaTheme="minorEastAsia"/>
          <w:lang w:val="es-ES_tradnl"/>
        </w:rPr>
        <w:t>catástrofe</w:t>
      </w:r>
      <w:r w:rsidRPr="00D81252">
        <w:rPr>
          <w:rFonts w:eastAsiaTheme="minorEastAsia"/>
          <w:lang w:val="es-ES_tradnl"/>
        </w:rPr>
        <w:t xml:space="preserve"> natural y otras emergencias similares</w:t>
      </w:r>
      <w:r w:rsidRPr="00D81252">
        <w:rPr>
          <w:rFonts w:eastAsiaTheme="minorEastAsia"/>
          <w:lang w:val="es-ES_tradnl"/>
        </w:rPr>
        <w:br/>
        <w:t>para alertas y operaciones de socorro</w:t>
      </w:r>
    </w:p>
    <w:p w:rsidR="00A96D02" w:rsidRPr="00D81252" w:rsidRDefault="00A96D02" w:rsidP="00A96D02">
      <w:pPr>
        <w:pStyle w:val="Recdate"/>
        <w:rPr>
          <w:lang w:val="es-ES_tradnl"/>
        </w:rPr>
      </w:pPr>
    </w:p>
    <w:p w:rsidR="00A96D02" w:rsidRPr="00D81252" w:rsidRDefault="00A96D02" w:rsidP="00A96D02">
      <w:pPr>
        <w:pStyle w:val="Recdate"/>
        <w:rPr>
          <w:lang w:val="es-ES_tradnl"/>
        </w:rPr>
      </w:pPr>
      <w:r w:rsidRPr="00D81252">
        <w:rPr>
          <w:lang w:val="es-ES_tradnl"/>
        </w:rPr>
        <w:t>(1993-2006-2010)</w:t>
      </w:r>
    </w:p>
    <w:p w:rsidR="00D81252" w:rsidRPr="00D81252" w:rsidRDefault="00D81252" w:rsidP="00D81252">
      <w:pPr>
        <w:rPr>
          <w:lang w:val="es-ES_tradnl"/>
        </w:rPr>
      </w:pPr>
    </w:p>
    <w:p w:rsidR="00A96D02" w:rsidRPr="00D81252" w:rsidRDefault="002B5701" w:rsidP="002B5701">
      <w:pPr>
        <w:pStyle w:val="HeadingSum"/>
      </w:pPr>
      <w:r w:rsidRPr="00D81252">
        <w:t>Cometido</w:t>
      </w:r>
    </w:p>
    <w:p w:rsidR="00A96D02" w:rsidRPr="00D81252" w:rsidRDefault="00A96D02" w:rsidP="002B5701">
      <w:pPr>
        <w:pStyle w:val="Summary"/>
      </w:pPr>
      <w:r w:rsidRPr="00D81252">
        <w:t>Esta Recomendación contiene información sobre la gama de frecuencias utilizada por los sistemas del servicio fijo por satélite (SFS) que los Estados Miembros podrían identificar para telecomunicaciones de alerta temprana y socorro en caso de catástrofe, de conformidad con las Resoluciones UIT-R 53 (AR-07), UIT-R 55 (AR-07), 644 (Rev.CMR-07), 646 (CMR-03) y 647 (CMR-07).</w:t>
      </w:r>
    </w:p>
    <w:p w:rsidR="00A96D02" w:rsidRPr="00D81252" w:rsidRDefault="00A96D02" w:rsidP="002B5701">
      <w:pPr>
        <w:pStyle w:val="Normalaftertitle"/>
        <w:rPr>
          <w:lang w:val="es-ES_tradnl"/>
        </w:rPr>
      </w:pPr>
      <w:r w:rsidRPr="00D81252">
        <w:rPr>
          <w:lang w:val="es-ES_tradnl"/>
        </w:rPr>
        <w:t>La Asamblea de Radiocomunicaciones de la UIT,</w:t>
      </w:r>
    </w:p>
    <w:p w:rsidR="00A96D02" w:rsidRPr="00D81252" w:rsidRDefault="00A96D02" w:rsidP="002B5701">
      <w:pPr>
        <w:pStyle w:val="Call"/>
        <w:rPr>
          <w:lang w:val="es-ES_tradnl"/>
        </w:rPr>
      </w:pPr>
      <w:r w:rsidRPr="00D81252">
        <w:rPr>
          <w:lang w:val="es-ES_tradnl"/>
        </w:rPr>
        <w:t>considerando</w:t>
      </w:r>
    </w:p>
    <w:p w:rsidR="00A96D02" w:rsidRPr="00D81252" w:rsidRDefault="00A96D02" w:rsidP="00F6100E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a)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ab/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que, para las operaciones de socorro, en los casos de </w:t>
      </w:r>
      <w:r w:rsidR="00F6100E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catástrof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es naturales y situaciones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críticas análogas, es esencial contar con equipos de telecomunicaciones fiables y de rápida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instalación;</w:t>
      </w:r>
    </w:p>
    <w:p w:rsidR="00A96D02" w:rsidRPr="00D81252" w:rsidRDefault="00A96D02" w:rsidP="002B5701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b)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ab/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que los desastres naturales son impredecibles en cuanto al lugar donde van a producirse, lo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que supone la necesidad de contar con un rápido sistema de transporte de los equipos de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telecomunicación al lugar del desastre;</w:t>
      </w:r>
    </w:p>
    <w:p w:rsidR="00A96D02" w:rsidRPr="00D81252" w:rsidRDefault="00A96D02" w:rsidP="002B5701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c)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ab/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que la transmisión por satélite utilizando estaciones terrenas de pequeña apertura, tales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como VSAT fijo</w:t>
      </w:r>
      <w:r w:rsidR="00F6100E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s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, estaciones terrenas a bordo de vehículos y estaciones terrenas transportables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adquiere una gran importancia y a veces es una de las soluciones más viables para proporcionar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servicios de telecomunicaciones de emergencia para operaciones de socorro;</w:t>
      </w:r>
    </w:p>
    <w:p w:rsidR="00A96D02" w:rsidRPr="00D81252" w:rsidRDefault="00A96D02" w:rsidP="005B1B28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d)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ab/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que los equipos de telecomunicaciones han de asegurar distintas funciones incluidas, entre</w:t>
      </w:r>
      <w:r w:rsidR="002B5701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otras, las de telecomunicaciones vocales, la información sobre el terreno, la recopilación de datos y la transmisión de imágenes</w:t>
      </w:r>
      <w:r w:rsidR="005B1B28">
        <w:rPr>
          <w:rFonts w:ascii="TimesNewRoman" w:eastAsiaTheme="minorEastAsia" w:hAnsi="TimesNewRoman" w:cs="TimesNewRoman"/>
          <w:szCs w:val="24"/>
          <w:lang w:val="es-ES_tradnl" w:eastAsia="zh-CN"/>
        </w:rPr>
        <w:t>;</w:t>
      </w:r>
    </w:p>
    <w:p w:rsidR="00A96D02" w:rsidRPr="00D81252" w:rsidRDefault="00A96D02" w:rsidP="00782A76">
      <w:pPr>
        <w:rPr>
          <w:lang w:val="es-ES_tradnl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e)</w:t>
      </w:r>
      <w:r w:rsidR="00782A76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ab/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que sería útil disponer de parámetros técnicos de estaciones terrenas de pequeña apertura y</w:t>
      </w:r>
      <w:r w:rsidR="00782A76"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 xml:space="preserve"> 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de ejemplos de sistemas con fines de emergencia que sirvieran de modelo para planificar la utilización de sistemas para alertas y operaciones de socorro (véase el Informe UIT-R S.2151)</w:t>
      </w:r>
      <w:r w:rsidR="005B1B28">
        <w:rPr>
          <w:rFonts w:ascii="TimesNewRoman" w:eastAsiaTheme="minorEastAsia" w:hAnsi="TimesNewRoman" w:cs="TimesNewRoman"/>
          <w:szCs w:val="24"/>
          <w:lang w:val="es-ES_tradnl" w:eastAsia="zh-CN"/>
        </w:rPr>
        <w:t>;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t>f)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el efecto característico de las catástrofes es la pérdida de la infraestructura local de telecomunicaciones terrenales;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t>g)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gracias a su independencia de la infraestructura local, su cobertura de zona amplia y su facilidad de despliegue, el servicio fijo por satélite (SMS) puede proporcionar un medio inmediato de telecomunicación para ayudar a ponerse en contacto con el público y facilitar las operaciones de socorro, y han sido utilizados con eficacia para intervenciones de la Secretaría de la UIT en apoyo de operaciones de socorro;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lastRenderedPageBreak/>
        <w:t>h)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la imprevisibilidad del lugar y el momento en el que ocurrirá una catástrofe exige la planificación previa del espectro y el equipo</w:t>
      </w:r>
      <w:r w:rsidR="00F6100E" w:rsidRPr="00D81252">
        <w:rPr>
          <w:lang w:val="es-ES_tradnl"/>
        </w:rPr>
        <w:t xml:space="preserve"> que se ha de utilizar</w:t>
      </w:r>
      <w:r w:rsidR="00A96D02" w:rsidRPr="00D81252">
        <w:rPr>
          <w:lang w:val="es-ES_tradnl"/>
        </w:rPr>
        <w:t>;</w:t>
      </w:r>
    </w:p>
    <w:p w:rsidR="00A96D02" w:rsidRPr="00D81252" w:rsidRDefault="00782A76" w:rsidP="00CD2CA4">
      <w:pPr>
        <w:rPr>
          <w:lang w:val="es-ES_tradnl"/>
        </w:rPr>
      </w:pPr>
      <w:r w:rsidRPr="00D81252">
        <w:rPr>
          <w:lang w:val="es-ES_tradnl"/>
        </w:rPr>
        <w:t>j)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las estaciones terrenas del SFS pueden desplegarse de manera ubicua con el fin de proporcionar servicios de telecomunicaciones de emergencia para operaciones de socorro, y que puede necesitarse la autorización de las administraciones en relación con el espectro que se ha de utilizar</w:t>
      </w:r>
      <w:r w:rsidR="00CD2CA4" w:rsidRPr="00D81252">
        <w:rPr>
          <w:lang w:val="es-ES_tradnl"/>
        </w:rPr>
        <w:t>,</w:t>
      </w:r>
    </w:p>
    <w:p w:rsidR="00A96D02" w:rsidRPr="00D81252" w:rsidRDefault="00A96D02" w:rsidP="00782A76">
      <w:pPr>
        <w:pStyle w:val="Call"/>
        <w:rPr>
          <w:lang w:val="es-ES_tradnl"/>
        </w:rPr>
      </w:pPr>
      <w:r w:rsidRPr="00D81252">
        <w:rPr>
          <w:lang w:val="es-ES_tradnl"/>
        </w:rPr>
        <w:t>reconociendo</w:t>
      </w:r>
    </w:p>
    <w:p w:rsidR="00A96D02" w:rsidRPr="00D81252" w:rsidRDefault="00782A76" w:rsidP="00782A76">
      <w:pPr>
        <w:rPr>
          <w:rFonts w:eastAsiaTheme="minorEastAsia"/>
          <w:lang w:val="es-ES_tradnl" w:eastAsia="zh-CN"/>
        </w:rPr>
      </w:pPr>
      <w:r w:rsidRPr="00D81252">
        <w:rPr>
          <w:lang w:val="es-ES_tradnl"/>
        </w:rPr>
        <w:t>a)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en la Resolución 136 (Antalya, 2006) de la Conferencia de Plenipotenciarios, sobre u</w:t>
      </w:r>
      <w:r w:rsidR="00A96D02" w:rsidRPr="00D81252">
        <w:rPr>
          <w:rFonts w:eastAsiaTheme="minorEastAsia"/>
          <w:lang w:val="es-ES_tradnl" w:eastAsia="zh-CN"/>
        </w:rPr>
        <w:t>tilización de las telecomunicaciones/tecnologías de la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información y la comunicación en el control y la gestión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de situaciones de emergencia y catástrofes para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la alerta temprana, la prevención, la disminución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de los efectos de las catástrofes y las operaciones de socorro, se resuelve principalmente encomendar a los Directores de las Oficinas:</w:t>
      </w:r>
    </w:p>
    <w:p w:rsidR="00A96D02" w:rsidRPr="00D81252" w:rsidRDefault="00782A76" w:rsidP="00782A76">
      <w:pPr>
        <w:pStyle w:val="enumlev1"/>
        <w:rPr>
          <w:rFonts w:eastAsiaTheme="minorEastAsia"/>
          <w:lang w:val="es-ES_tradnl" w:eastAsia="zh-CN"/>
        </w:rPr>
      </w:pPr>
      <w:r w:rsidRPr="00D81252">
        <w:rPr>
          <w:rFonts w:eastAsiaTheme="minorEastAsia"/>
          <w:lang w:val="es-ES_tradnl" w:eastAsia="zh-CN"/>
        </w:rPr>
        <w:t>–</w:t>
      </w:r>
      <w:r w:rsidRPr="00D81252">
        <w:rPr>
          <w:rFonts w:eastAsiaTheme="minorEastAsia"/>
          <w:lang w:val="es-ES_tradnl" w:eastAsia="zh-CN"/>
        </w:rPr>
        <w:tab/>
      </w:r>
      <w:r w:rsidR="00A96D02" w:rsidRPr="00D81252">
        <w:rPr>
          <w:rFonts w:eastAsiaTheme="minorEastAsia"/>
          <w:lang w:val="es-ES_tradnl" w:eastAsia="zh-CN"/>
        </w:rPr>
        <w:t>que prosigan sus estudios técnicos sobre la aplicación técnica y operativa, según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proceda, de soluciones avanzadas que atiendan a las necesidades de la protección civil y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las telecomunicaciones/TIC para operaciones de socorro en caso de catástrofe;</w:t>
      </w:r>
    </w:p>
    <w:p w:rsidR="00A96D02" w:rsidRPr="00D81252" w:rsidRDefault="00782A76" w:rsidP="00782A76">
      <w:pPr>
        <w:pStyle w:val="enumlev1"/>
        <w:rPr>
          <w:rFonts w:eastAsiaTheme="minorEastAsia"/>
          <w:lang w:val="es-ES_tradnl" w:eastAsia="zh-CN"/>
        </w:rPr>
      </w:pPr>
      <w:r w:rsidRPr="00D81252">
        <w:rPr>
          <w:rFonts w:eastAsiaTheme="minorEastAsia"/>
          <w:lang w:val="es-ES_tradnl" w:eastAsia="zh-CN"/>
        </w:rPr>
        <w:t>–</w:t>
      </w:r>
      <w:r w:rsidRPr="00D81252">
        <w:rPr>
          <w:rFonts w:eastAsiaTheme="minorEastAsia"/>
          <w:lang w:val="es-ES_tradnl" w:eastAsia="zh-CN"/>
        </w:rPr>
        <w:tab/>
      </w:r>
      <w:r w:rsidR="00A96D02" w:rsidRPr="00D81252">
        <w:rPr>
          <w:rFonts w:eastAsiaTheme="minorEastAsia"/>
          <w:lang w:val="es-ES_tradnl" w:eastAsia="zh-CN"/>
        </w:rPr>
        <w:t>que respalden la creación de sistemas de alerta temprana, de disminución de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los efectos de las catástrofes y de socorro robustos, completos y para todo tipo de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emergencias, a escala nacional, regional e internacional;</w:t>
      </w:r>
    </w:p>
    <w:p w:rsidR="00A96D02" w:rsidRPr="00D81252" w:rsidRDefault="00782A76" w:rsidP="00122993">
      <w:pPr>
        <w:rPr>
          <w:lang w:val="es-ES_tradnl"/>
        </w:rPr>
      </w:pPr>
      <w:r w:rsidRPr="00D81252">
        <w:rPr>
          <w:rFonts w:eastAsiaTheme="minorEastAsia"/>
          <w:szCs w:val="28"/>
          <w:lang w:val="es-ES_tradnl" w:eastAsia="zh-CN"/>
        </w:rPr>
        <w:t>b)</w:t>
      </w:r>
      <w:r w:rsidRPr="00D81252">
        <w:rPr>
          <w:rFonts w:eastAsiaTheme="minorEastAsia"/>
          <w:szCs w:val="28"/>
          <w:lang w:val="es-ES_tradnl" w:eastAsia="zh-CN"/>
        </w:rPr>
        <w:tab/>
      </w:r>
      <w:r w:rsidR="00A96D02" w:rsidRPr="00D81252">
        <w:rPr>
          <w:rFonts w:eastAsiaTheme="minorEastAsia"/>
          <w:szCs w:val="28"/>
          <w:lang w:val="es-ES_tradnl" w:eastAsia="zh-CN"/>
        </w:rPr>
        <w:t xml:space="preserve">que en la Resolución UIT-R 53 (AR-2007), sobre </w:t>
      </w:r>
      <w:bookmarkStart w:id="3" w:name="_Toc180535250"/>
      <w:r w:rsidR="00A96D02" w:rsidRPr="00D81252">
        <w:rPr>
          <w:rFonts w:eastAsiaTheme="minorEastAsia"/>
          <w:szCs w:val="28"/>
          <w:lang w:val="es-ES_tradnl" w:eastAsia="zh-CN"/>
        </w:rPr>
        <w:t>u</w:t>
      </w:r>
      <w:r w:rsidR="00A96D02" w:rsidRPr="00D81252">
        <w:rPr>
          <w:lang w:val="es-ES_tradnl"/>
        </w:rPr>
        <w:t>tilización de las radiocomunicaciones para la respuesta y las operaciones</w:t>
      </w:r>
      <w:r w:rsidRPr="00D81252">
        <w:rPr>
          <w:lang w:val="es-ES_tradnl"/>
        </w:rPr>
        <w:t xml:space="preserve"> </w:t>
      </w:r>
      <w:r w:rsidR="00A96D02" w:rsidRPr="00D81252">
        <w:rPr>
          <w:lang w:val="es-ES_tradnl"/>
        </w:rPr>
        <w:t>de socorro en caso de catástrofe</w:t>
      </w:r>
      <w:bookmarkEnd w:id="3"/>
      <w:r w:rsidR="00A96D02" w:rsidRPr="00D81252">
        <w:rPr>
          <w:lang w:val="es-ES_tradnl"/>
        </w:rPr>
        <w:t>,</w:t>
      </w:r>
      <w:r w:rsidR="00122993">
        <w:rPr>
          <w:lang w:val="es-ES_tradnl"/>
        </w:rPr>
        <w:t xml:space="preserve"> </w:t>
      </w:r>
      <w:r w:rsidR="00A96D02" w:rsidRPr="00D81252">
        <w:rPr>
          <w:lang w:val="es-ES_tradnl"/>
        </w:rPr>
        <w:t xml:space="preserve">se resuelve </w:t>
      </w:r>
      <w:r w:rsidRPr="00D81252">
        <w:rPr>
          <w:lang w:val="es-ES_tradnl"/>
        </w:rPr>
        <w:t>«</w:t>
      </w:r>
      <w:r w:rsidR="00A96D02" w:rsidRPr="00D81252">
        <w:rPr>
          <w:lang w:val="es-ES_tradnl"/>
        </w:rPr>
        <w:t>que, teniendo en cuenta la importancia que reviste la utilización eficaz del espectro radioeléctrico para establecer las radiocomunicaciones en situaciones de catástrofe, las Comisiones de Estudio del</w:t>
      </w:r>
      <w:r w:rsidR="00122993">
        <w:rPr>
          <w:lang w:val="es-ES_tradnl"/>
        </w:rPr>
        <w:t xml:space="preserve"> </w:t>
      </w:r>
      <w:r w:rsidR="00A96D02" w:rsidRPr="00D81252">
        <w:rPr>
          <w:lang w:val="es-ES_tradnl"/>
        </w:rPr>
        <w:t>UIT</w:t>
      </w:r>
      <w:r w:rsidR="00A96D02" w:rsidRPr="00D81252">
        <w:rPr>
          <w:lang w:val="es-ES_tradnl"/>
        </w:rPr>
        <w:noBreakHyphen/>
        <w:t>R competentes emprendan estudios y elaboren directrices en relación con la gestión de las radiocomunicaciones para la predicción, detección, reducción de los efectos y operaciones de socorro en casos de catástrofe, en cooperación con el resto de la UIT y con organizaciones ajenas a la Unión</w:t>
      </w:r>
      <w:r w:rsidRPr="00D81252">
        <w:rPr>
          <w:lang w:val="es-ES_tradnl"/>
        </w:rPr>
        <w:t>»</w:t>
      </w:r>
      <w:r w:rsidR="00A96D02" w:rsidRPr="00D81252">
        <w:rPr>
          <w:lang w:val="es-ES_tradnl"/>
        </w:rPr>
        <w:t>;</w:t>
      </w:r>
    </w:p>
    <w:p w:rsidR="00A96D02" w:rsidRPr="00D81252" w:rsidRDefault="00782A76" w:rsidP="00041EEF">
      <w:pPr>
        <w:rPr>
          <w:b/>
          <w:bCs/>
          <w:lang w:val="es-ES_tradnl"/>
        </w:rPr>
      </w:pPr>
      <w:r w:rsidRPr="00D81252">
        <w:rPr>
          <w:lang w:val="es-ES_tradnl"/>
        </w:rPr>
        <w:t>c)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en la Resolución UIT-R 55 (AR-2007)</w:t>
      </w:r>
      <w:r w:rsidR="00F6100E" w:rsidRPr="00D81252">
        <w:rPr>
          <w:lang w:val="es-ES_tradnl"/>
        </w:rPr>
        <w:t>,</w:t>
      </w:r>
      <w:r w:rsidR="00A96D02" w:rsidRPr="00D81252">
        <w:rPr>
          <w:lang w:val="es-ES_tradnl"/>
        </w:rPr>
        <w:t xml:space="preserve"> sobre </w:t>
      </w:r>
      <w:bookmarkStart w:id="4" w:name="_Toc180535254"/>
      <w:r w:rsidR="00F6100E" w:rsidRPr="00D81252">
        <w:rPr>
          <w:lang w:val="es-ES_tradnl"/>
        </w:rPr>
        <w:t>e</w:t>
      </w:r>
      <w:r w:rsidR="00A96D02" w:rsidRPr="00D81252">
        <w:rPr>
          <w:lang w:val="es-ES_tradnl"/>
        </w:rPr>
        <w:t>studios del UIT-R sobre predicción, detección, mitigación de los efectos de las catástrofes y operaciones de socorro</w:t>
      </w:r>
      <w:bookmarkEnd w:id="4"/>
      <w:r w:rsidR="00F6100E" w:rsidRPr="00D81252">
        <w:rPr>
          <w:lang w:val="es-ES_tradnl"/>
        </w:rPr>
        <w:t>,</w:t>
      </w:r>
      <w:r w:rsidR="00A96D02" w:rsidRPr="00D81252">
        <w:rPr>
          <w:lang w:val="es-ES_tradnl"/>
        </w:rPr>
        <w:t xml:space="preserve"> </w:t>
      </w:r>
      <w:r w:rsidR="00A96D02" w:rsidRPr="00D81252">
        <w:rPr>
          <w:bCs/>
          <w:lang w:val="es-ES_tradnl"/>
        </w:rPr>
        <w:t xml:space="preserve">se resuelve invitar </w:t>
      </w:r>
      <w:r w:rsidR="00A96D02" w:rsidRPr="00D81252">
        <w:rPr>
          <w:lang w:val="es-ES_tradnl"/>
        </w:rPr>
        <w:t>a todas las Comisiones de Estudio para que tomen en consideración el ámbito de los estudios y actividades en curso indicados en el Anexo</w:t>
      </w:r>
      <w:r w:rsidR="00041EEF">
        <w:rPr>
          <w:lang w:val="es-ES_tradnl"/>
        </w:rPr>
        <w:t> </w:t>
      </w:r>
      <w:r w:rsidR="00A96D02" w:rsidRPr="00D81252">
        <w:rPr>
          <w:lang w:val="es-ES_tradnl"/>
        </w:rPr>
        <w:t xml:space="preserve">1 </w:t>
      </w:r>
      <w:r w:rsidR="00A96D02" w:rsidRPr="00D81252">
        <w:rPr>
          <w:bCs/>
          <w:lang w:val="es-ES_tradnl"/>
        </w:rPr>
        <w:t xml:space="preserve">a </w:t>
      </w:r>
      <w:r w:rsidR="00F6100E" w:rsidRPr="00D81252">
        <w:rPr>
          <w:bCs/>
          <w:lang w:val="es-ES_tradnl"/>
        </w:rPr>
        <w:t>est</w:t>
      </w:r>
      <w:r w:rsidR="00A96D02" w:rsidRPr="00D81252">
        <w:rPr>
          <w:bCs/>
          <w:lang w:val="es-ES_tradnl"/>
        </w:rPr>
        <w:t>a Resolución, sobre la base del ámbito de competencia claro de cada Comisión de Estudio antes de la Asamblea de Radiocomunicaciones</w:t>
      </w:r>
      <w:r w:rsidRPr="00D81252">
        <w:rPr>
          <w:bCs/>
          <w:lang w:val="es-ES_tradnl"/>
        </w:rPr>
        <w:t>,</w:t>
      </w:r>
      <w:r w:rsidR="00A96D02" w:rsidRPr="00D81252">
        <w:rPr>
          <w:bCs/>
          <w:lang w:val="es-ES_tradnl"/>
        </w:rPr>
        <w:t xml:space="preserve"> en particular las anteriores Comisiones de Estudio 4 y 8</w:t>
      </w:r>
      <w:r w:rsidRPr="00D81252">
        <w:rPr>
          <w:bCs/>
          <w:lang w:val="es-ES_tradnl"/>
        </w:rPr>
        <w:t>,</w:t>
      </w:r>
      <w:r w:rsidR="00A96D02" w:rsidRPr="00D81252">
        <w:rPr>
          <w:bCs/>
          <w:lang w:val="es-ES_tradnl"/>
        </w:rPr>
        <w:t xml:space="preserve"> en relación con el SFS y el SMS, tal como se solicita en las Cuestiones UIT-R 286/4 (anterior UIT-R 209-3/8) y UIT-R 227/4 (anterior UIT</w:t>
      </w:r>
      <w:r w:rsidR="005B1B28">
        <w:rPr>
          <w:bCs/>
          <w:lang w:val="es-ES_tradnl"/>
        </w:rPr>
        <w:noBreakHyphen/>
      </w:r>
      <w:r w:rsidR="00A96D02" w:rsidRPr="00D81252">
        <w:rPr>
          <w:bCs/>
          <w:lang w:val="es-ES_tradnl"/>
        </w:rPr>
        <w:t>R</w:t>
      </w:r>
      <w:r w:rsidR="005B1B28">
        <w:rPr>
          <w:bCs/>
          <w:lang w:val="es-ES_tradnl"/>
        </w:rPr>
        <w:t> </w:t>
      </w:r>
      <w:r w:rsidR="00A96D02" w:rsidRPr="00D81252">
        <w:rPr>
          <w:bCs/>
          <w:lang w:val="es-ES_tradnl"/>
        </w:rPr>
        <w:t>227/8);</w:t>
      </w:r>
    </w:p>
    <w:p w:rsidR="00A96D02" w:rsidRPr="00D81252" w:rsidRDefault="00782A76" w:rsidP="00D75C47">
      <w:pPr>
        <w:rPr>
          <w:rFonts w:eastAsiaTheme="minorEastAsia"/>
          <w:lang w:val="es-ES_tradnl" w:eastAsia="zh-CN"/>
        </w:rPr>
      </w:pPr>
      <w:r w:rsidRPr="00D81252">
        <w:rPr>
          <w:lang w:val="es-ES_tradnl"/>
        </w:rPr>
        <w:t>d)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en la Resolución 644 (Rev.CMR-07) sobre r</w:t>
      </w:r>
      <w:r w:rsidR="00A96D02" w:rsidRPr="00D81252">
        <w:rPr>
          <w:rFonts w:eastAsiaTheme="minorEastAsia"/>
          <w:lang w:val="es-ES_tradnl" w:eastAsia="zh-CN"/>
        </w:rPr>
        <w:t xml:space="preserve">ecursos de radiocomunicaciones para la alerta temprana, la mitigación de los efectos de las catástrofes y las operaciones de socorro, </w:t>
      </w:r>
      <w:r w:rsidR="00D75C47">
        <w:rPr>
          <w:lang w:val="es-ES_tradnl"/>
        </w:rPr>
        <w:t>la Resolución 646 (</w:t>
      </w:r>
      <w:r w:rsidR="00D75C47" w:rsidRPr="00D81252">
        <w:rPr>
          <w:lang w:val="es-ES_tradnl"/>
        </w:rPr>
        <w:t>CMR-0</w:t>
      </w:r>
      <w:r w:rsidR="00D75C47">
        <w:rPr>
          <w:lang w:val="es-ES_tradnl"/>
        </w:rPr>
        <w:t>3</w:t>
      </w:r>
      <w:r w:rsidR="00D75C47" w:rsidRPr="00D81252">
        <w:rPr>
          <w:lang w:val="es-ES_tradnl"/>
        </w:rPr>
        <w:t xml:space="preserve">) </w:t>
      </w:r>
      <w:r w:rsidR="00D75C47">
        <w:rPr>
          <w:lang w:val="es-ES_tradnl"/>
        </w:rPr>
        <w:t xml:space="preserve">sobre espectro para protección </w:t>
      </w:r>
      <w:r w:rsidR="00AB7CDF">
        <w:rPr>
          <w:lang w:val="es-ES_tradnl"/>
        </w:rPr>
        <w:t xml:space="preserve">pública </w:t>
      </w:r>
      <w:r w:rsidR="00D75C47" w:rsidRPr="00D81252">
        <w:rPr>
          <w:rFonts w:eastAsiaTheme="minorEastAsia"/>
          <w:lang w:val="es-ES_tradnl" w:eastAsia="zh-CN"/>
        </w:rPr>
        <w:t xml:space="preserve">y operaciones de socorro en caso de catástrofe </w:t>
      </w:r>
      <w:r w:rsidR="00A96D02" w:rsidRPr="00D81252">
        <w:rPr>
          <w:rFonts w:eastAsiaTheme="minorEastAsia"/>
          <w:lang w:val="es-ES_tradnl" w:eastAsia="zh-CN"/>
        </w:rPr>
        <w:t>y en la Resolución 647 (CMR-07) sobre directrices sobre gestión del espectro para radiocomunicaciones de emergencia y operaciones de socorro en caso de catástrofe se aclaran los objetivos del Sector de Radiocomunicaciones de la UIT (UIT-R) y la labor que ha de realizar dicho Sector en relación con esas Resoluciones, para acelerar los estudios, evitar duplicaciones y colaborar con los asociados pertinentes en ese ámbito</w:t>
      </w:r>
      <w:r w:rsidR="00D75C47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 xml:space="preserve">(véase </w:t>
      </w:r>
      <w:hyperlink r:id="rId14" w:history="1">
        <w:r w:rsidR="009C42F1" w:rsidRPr="00D81252">
          <w:rPr>
            <w:rStyle w:val="Hyperlink"/>
            <w:szCs w:val="24"/>
            <w:lang w:val="es-ES_tradnl"/>
          </w:rPr>
          <w:t>http://www.itu.int/ITU-R/space/res647/index.asp</w:t>
        </w:r>
      </w:hyperlink>
      <w:r w:rsidR="00A96D02" w:rsidRPr="00D81252">
        <w:rPr>
          <w:rFonts w:eastAsiaTheme="minorEastAsia"/>
          <w:lang w:val="es-ES_tradnl" w:eastAsia="zh-CN"/>
        </w:rPr>
        <w:t>);</w:t>
      </w:r>
    </w:p>
    <w:p w:rsidR="00A96D02" w:rsidRPr="00D81252" w:rsidRDefault="00782A76" w:rsidP="00D81252">
      <w:pPr>
        <w:keepLines/>
        <w:rPr>
          <w:rFonts w:eastAsiaTheme="minorEastAsia"/>
          <w:lang w:val="es-ES_tradnl" w:eastAsia="zh-CN"/>
        </w:rPr>
      </w:pPr>
      <w:r w:rsidRPr="00D81252">
        <w:rPr>
          <w:lang w:val="es-ES_tradnl"/>
        </w:rPr>
        <w:lastRenderedPageBreak/>
        <w:t>e)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 xml:space="preserve">el Foro Mundial de la UIT sobre utilización eficaz de las telecomunicaciones/TIC para la gestión de catástrofes y el </w:t>
      </w:r>
      <w:r w:rsidR="00A96D02" w:rsidRPr="00D81252">
        <w:rPr>
          <w:rFonts w:eastAsiaTheme="minorEastAsia"/>
          <w:lang w:val="es-ES_tradnl" w:eastAsia="zh-CN"/>
        </w:rPr>
        <w:t>Grupo Especial de Coordinación de las</w:t>
      </w:r>
      <w:r w:rsidRPr="00D81252">
        <w:rPr>
          <w:rFonts w:eastAsiaTheme="minorEastAsia"/>
          <w:lang w:val="es-ES_tradnl" w:eastAsia="zh-CN"/>
        </w:rPr>
        <w:t xml:space="preserve"> </w:t>
      </w:r>
      <w:r w:rsidR="00A96D02" w:rsidRPr="00D81252">
        <w:rPr>
          <w:rFonts w:eastAsiaTheme="minorEastAsia"/>
          <w:lang w:val="es-ES_tradnl" w:eastAsia="zh-CN"/>
        </w:rPr>
        <w:t>Telecomunicaciones para Operaciones de Socorro en Casos de Catástrofe (PCP-TDR), insta a las administraciones a centrarse en la identificación de bandas/gamas de frecuencias mundiales y/o regionales para situaciones de emergencia y operaciones de socorro al efectuar su planificación nacional, y a transmitir esa información a la Oficina, además de invitar al UIT-R a realizar los estudios necesarios, y con carácter urgente, con el fin de promover el establecimiento de directrices adecuadas sobre gestión del espectro en situaciones de emergencia y operaciones de socorro en caso de catástrofe;</w:t>
      </w:r>
    </w:p>
    <w:p w:rsidR="00A96D02" w:rsidRPr="00D81252" w:rsidRDefault="00782A76" w:rsidP="00782A76">
      <w:pPr>
        <w:rPr>
          <w:b/>
          <w:bCs/>
          <w:lang w:val="es-ES_tradnl"/>
        </w:rPr>
      </w:pPr>
      <w:r w:rsidRPr="00D81252">
        <w:rPr>
          <w:lang w:val="es-ES_tradnl"/>
        </w:rPr>
        <w:t>f)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la adopción en octubre de 2007 por el UIT-T de la Recomendación UIT-T X.1303 sobre el Protocolo de Alerta Común (CAP1.1) y su implementación, que es un formato sencillo y general para intercambiar alertas públicas y alertas de emergencia contra todo peligro por todo tipo de red;</w:t>
      </w:r>
    </w:p>
    <w:p w:rsidR="00A96D02" w:rsidRPr="00D81252" w:rsidRDefault="00782A76" w:rsidP="00CD2CA4">
      <w:pPr>
        <w:rPr>
          <w:i/>
          <w:iCs/>
          <w:lang w:val="es-ES_tradnl"/>
        </w:rPr>
      </w:pPr>
      <w:r w:rsidRPr="00D81252">
        <w:rPr>
          <w:lang w:val="es-ES_tradnl"/>
        </w:rPr>
        <w:t>g)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 xml:space="preserve">los resultados satisfactorios obtenidos por el Foro Mundial de la UIT sobre utilización eficaz de las telecomunicaciones/TIC para la gestión de catástrofes:  Salvar Vidas, que tuvo lugar en Ginebra del 10 al 12 de diciembre de 2007 y dio lugar a la adopción de dos importantes iniciativas, a saber, el </w:t>
      </w:r>
      <w:r w:rsidR="002158A0" w:rsidRPr="00D81252">
        <w:rPr>
          <w:lang w:val="es-ES_tradnl"/>
        </w:rPr>
        <w:t xml:space="preserve">Marco </w:t>
      </w:r>
      <w:r w:rsidR="00A96D02" w:rsidRPr="00D81252">
        <w:rPr>
          <w:lang w:val="es-ES_tradnl"/>
        </w:rPr>
        <w:t xml:space="preserve">de cooperación de la UIT en situaciones de emergencia (IFCE) y la Red de voluntarios de la UIT para telecomunicaciones de emergencia (VET), así como el establecimiento por el Secretario General de la UIT de un Grupo de Expertos de </w:t>
      </w:r>
      <w:r w:rsidR="002158A0" w:rsidRPr="00D81252">
        <w:rPr>
          <w:lang w:val="es-ES_tradnl"/>
        </w:rPr>
        <w:t xml:space="preserve">alto nivel sobre telecomunicaciones de emergencia </w:t>
      </w:r>
      <w:r w:rsidR="00A96D02" w:rsidRPr="00D81252">
        <w:rPr>
          <w:lang w:val="es-ES_tradnl"/>
        </w:rPr>
        <w:t>(para mayores detalles, véase el Compendio de los trabajos de la UIT en materia de telecomunicaciones de emergencia, edición de 2007), a tenor del cual la UIT y los asociados pertinentes también firmaron cierto número de memoranda de entendimiento y acuerdos de asociación bilaterales, con inclusión de cuatro operadores de satélite/proveedores de servicio (</w:t>
      </w:r>
      <w:proofErr w:type="spellStart"/>
      <w:r w:rsidR="00A96D02" w:rsidRPr="00D81252">
        <w:rPr>
          <w:lang w:val="es-ES_tradnl"/>
        </w:rPr>
        <w:t>TerreStar</w:t>
      </w:r>
      <w:proofErr w:type="spellEnd"/>
      <w:r w:rsidR="00A96D02" w:rsidRPr="00D81252">
        <w:rPr>
          <w:lang w:val="es-ES_tradnl"/>
        </w:rPr>
        <w:t xml:space="preserve">, </w:t>
      </w:r>
      <w:proofErr w:type="spellStart"/>
      <w:r w:rsidR="00A96D02" w:rsidRPr="00D81252">
        <w:rPr>
          <w:lang w:val="es-ES_tradnl"/>
        </w:rPr>
        <w:t>Iridium</w:t>
      </w:r>
      <w:proofErr w:type="spellEnd"/>
      <w:r w:rsidR="00A96D02" w:rsidRPr="00D81252">
        <w:rPr>
          <w:lang w:val="es-ES_tradnl"/>
        </w:rPr>
        <w:t xml:space="preserve">, ICO Global y </w:t>
      </w:r>
      <w:proofErr w:type="spellStart"/>
      <w:r w:rsidR="00A96D02" w:rsidRPr="00D81252">
        <w:rPr>
          <w:lang w:val="es-ES_tradnl"/>
        </w:rPr>
        <w:t>Vizada</w:t>
      </w:r>
      <w:proofErr w:type="spellEnd"/>
      <w:r w:rsidR="00A96D02" w:rsidRPr="00D81252">
        <w:rPr>
          <w:lang w:val="es-ES_tradnl"/>
        </w:rPr>
        <w:t>), además de dos operadores que firmaron dichos acuerdos antes de que se celebrase ese Foro Mundial (</w:t>
      </w:r>
      <w:proofErr w:type="spellStart"/>
      <w:r w:rsidR="00A96D02" w:rsidRPr="00D81252">
        <w:rPr>
          <w:lang w:val="es-ES_tradnl"/>
        </w:rPr>
        <w:t>Inmarsat</w:t>
      </w:r>
      <w:proofErr w:type="spellEnd"/>
      <w:r w:rsidR="00A96D02" w:rsidRPr="00D81252">
        <w:rPr>
          <w:lang w:val="es-ES_tradnl"/>
        </w:rPr>
        <w:t xml:space="preserve"> y </w:t>
      </w:r>
      <w:proofErr w:type="spellStart"/>
      <w:r w:rsidR="00A96D02" w:rsidRPr="00D81252">
        <w:rPr>
          <w:lang w:val="es-ES_tradnl"/>
        </w:rPr>
        <w:t>Thuraya</w:t>
      </w:r>
      <w:proofErr w:type="spellEnd"/>
      <w:r w:rsidR="00A96D02" w:rsidRPr="00D81252">
        <w:rPr>
          <w:lang w:val="es-ES_tradnl"/>
        </w:rPr>
        <w:t>)</w:t>
      </w:r>
      <w:r w:rsidR="00CD2CA4" w:rsidRPr="00D81252">
        <w:rPr>
          <w:lang w:val="es-ES_tradnl"/>
        </w:rPr>
        <w:t>,</w:t>
      </w:r>
    </w:p>
    <w:p w:rsidR="00A96D02" w:rsidRPr="00D81252" w:rsidRDefault="00A96D02" w:rsidP="00782A76">
      <w:pPr>
        <w:pStyle w:val="Call"/>
        <w:rPr>
          <w:lang w:val="es-ES_tradnl"/>
        </w:rPr>
      </w:pPr>
      <w:r w:rsidRPr="00D81252">
        <w:rPr>
          <w:lang w:val="es-ES_tradnl"/>
        </w:rPr>
        <w:t>observando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t>a)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en el Manual del servicio fijo por satélite del UIT-R se describen detalladamente las características, los aspectos operacionales y las consideraciones relativas al despliegue del segmento terrenal de los sistemas del SFS;</w:t>
      </w:r>
    </w:p>
    <w:p w:rsidR="00A96D02" w:rsidRPr="00D81252" w:rsidRDefault="00782A76" w:rsidP="00171FD5">
      <w:pPr>
        <w:rPr>
          <w:lang w:val="es-ES_tradnl"/>
        </w:rPr>
      </w:pPr>
      <w:r w:rsidRPr="00D81252">
        <w:rPr>
          <w:lang w:val="es-ES_tradnl"/>
        </w:rPr>
        <w:t>b)</w:t>
      </w:r>
      <w:r w:rsidRPr="00D81252">
        <w:rPr>
          <w:lang w:val="es-ES_tradnl"/>
        </w:rPr>
        <w:tab/>
      </w:r>
      <w:r w:rsidR="00A96D02" w:rsidRPr="00171FD5">
        <w:rPr>
          <w:spacing w:val="4"/>
          <w:lang w:val="es-ES_tradnl"/>
        </w:rPr>
        <w:t>que existen acuerdos entr</w:t>
      </w:r>
      <w:bookmarkStart w:id="5" w:name="_GoBack"/>
      <w:bookmarkEnd w:id="5"/>
      <w:r w:rsidR="00A96D02" w:rsidRPr="00171FD5">
        <w:rPr>
          <w:spacing w:val="4"/>
          <w:lang w:val="es-ES_tradnl"/>
        </w:rPr>
        <w:t>e la UIT y</w:t>
      </w:r>
      <w:r w:rsidR="00D81252" w:rsidRPr="00171FD5">
        <w:rPr>
          <w:spacing w:val="4"/>
          <w:lang w:val="es-ES_tradnl"/>
        </w:rPr>
        <w:t xml:space="preserve"> </w:t>
      </w:r>
      <w:r w:rsidR="00F6100E" w:rsidRPr="00171FD5">
        <w:rPr>
          <w:spacing w:val="4"/>
          <w:lang w:val="es-ES_tradnl"/>
        </w:rPr>
        <w:t>algunos organismos y organizaciones</w:t>
      </w:r>
      <w:r w:rsidR="00A96D02" w:rsidRPr="00171FD5">
        <w:rPr>
          <w:spacing w:val="4"/>
          <w:lang w:val="es-ES_tradnl"/>
        </w:rPr>
        <w:t xml:space="preserve"> sobre la utilización de los sistemas</w:t>
      </w:r>
      <w:r w:rsidR="00F6100E" w:rsidRPr="00171FD5">
        <w:rPr>
          <w:spacing w:val="4"/>
          <w:lang w:val="es-ES_tradnl"/>
        </w:rPr>
        <w:t>, incluidos los sistemas</w:t>
      </w:r>
      <w:r w:rsidR="00A96D02" w:rsidRPr="00171FD5">
        <w:rPr>
          <w:spacing w:val="4"/>
          <w:lang w:val="es-ES_tradnl"/>
        </w:rPr>
        <w:t xml:space="preserve"> del SMS</w:t>
      </w:r>
      <w:r w:rsidR="00F6100E" w:rsidRPr="00171FD5">
        <w:rPr>
          <w:spacing w:val="4"/>
          <w:lang w:val="es-ES_tradnl"/>
        </w:rPr>
        <w:t>,</w:t>
      </w:r>
      <w:r w:rsidR="00A96D02" w:rsidRPr="00171FD5">
        <w:rPr>
          <w:spacing w:val="4"/>
          <w:lang w:val="es-ES_tradnl"/>
        </w:rPr>
        <w:t xml:space="preserve"> para telecomunicaciones relacionadas con catástrofes (véase</w:t>
      </w:r>
      <w:r w:rsidR="00A96D02" w:rsidRPr="00D81252">
        <w:rPr>
          <w:lang w:val="es-ES_tradnl"/>
        </w:rPr>
        <w:t xml:space="preserve"> </w:t>
      </w:r>
      <w:hyperlink r:id="rId15" w:history="1">
        <w:r w:rsidR="00171FD5">
          <w:rPr>
            <w:rStyle w:val="Hyperlink"/>
          </w:rPr>
          <w:t>http://www.itu.int/en/ITU-D/Emergency-Telecommunications/Pages/PartneringforDisasterReduction.aspx</w:t>
        </w:r>
      </w:hyperlink>
      <w:r w:rsidR="00A96D02" w:rsidRPr="00D81252">
        <w:rPr>
          <w:lang w:val="es-ES_tradnl"/>
        </w:rPr>
        <w:t>);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t>c)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la Recomendación UIT-R M.1854 contiene información sobre la utilización de sistemas del servicio móvil por satélite en casos de catástrofe natural y situaciones de emergencia similares para la alerta y las operaciones de socorro;</w:t>
      </w:r>
    </w:p>
    <w:p w:rsidR="00A96D02" w:rsidRPr="00D81252" w:rsidRDefault="00782A76" w:rsidP="00782A76">
      <w:pPr>
        <w:rPr>
          <w:lang w:val="es-ES_tradnl"/>
        </w:rPr>
      </w:pPr>
      <w:r w:rsidRPr="00D81252">
        <w:rPr>
          <w:lang w:val="es-ES_tradnl"/>
        </w:rPr>
        <w:t>d)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las actividades de la Oficina de Desarrollo de las Telecomunicaciones (BDT) de la UIT, en su calidad de coordinadora, entre las secretarías de la UIT, de la gestión y las actividades en el terreno de telecomunicaciones por satélite en situaciones de catástrofe y emergencia,</w:t>
      </w:r>
    </w:p>
    <w:p w:rsidR="00A96D02" w:rsidRPr="00D81252" w:rsidRDefault="00A96D02" w:rsidP="00782A76">
      <w:pPr>
        <w:pStyle w:val="Call"/>
        <w:rPr>
          <w:lang w:val="es-ES_tradnl"/>
        </w:rPr>
      </w:pPr>
      <w:r w:rsidRPr="00D81252">
        <w:rPr>
          <w:lang w:val="es-ES_tradnl"/>
        </w:rPr>
        <w:t xml:space="preserve">recomienda </w:t>
      </w:r>
    </w:p>
    <w:p w:rsidR="00A96D02" w:rsidRPr="00D81252" w:rsidRDefault="00782A76" w:rsidP="00122993">
      <w:pPr>
        <w:rPr>
          <w:lang w:val="es-ES_tradnl"/>
        </w:rPr>
      </w:pPr>
      <w:r w:rsidRPr="00D81252">
        <w:rPr>
          <w:b/>
          <w:bCs/>
          <w:lang w:val="es-ES_tradnl"/>
        </w:rPr>
        <w:t>1</w:t>
      </w:r>
      <w:r w:rsidRPr="00D81252">
        <w:rPr>
          <w:lang w:val="es-ES_tradnl"/>
        </w:rPr>
        <w:tab/>
      </w:r>
      <w:r w:rsidR="00A96D02" w:rsidRPr="00D81252">
        <w:rPr>
          <w:lang w:val="es-ES_tradnl"/>
        </w:rPr>
        <w:t>que se aliente a las administraciones a considerar bandas/gamas de frecuencias, a escala mundial y regional, para operaciones de emergencia y socorro, al efectuar su planificación nacional como se indica en el siguiente Cuadro</w:t>
      </w:r>
      <w:r w:rsidR="00122993">
        <w:rPr>
          <w:lang w:val="es-ES_tradnl"/>
        </w:rPr>
        <w:t> </w:t>
      </w:r>
      <w:r w:rsidR="00A96D02" w:rsidRPr="00D81252">
        <w:rPr>
          <w:lang w:val="es-ES_tradnl"/>
        </w:rPr>
        <w:t>1, y a transmitir esa información a la Oficina de Radiocomunicaciones, en cumplimiento de la Resolución 647 (CMR-07);</w:t>
      </w:r>
    </w:p>
    <w:p w:rsidR="00A96D02" w:rsidRPr="00D81252" w:rsidRDefault="00A96D02" w:rsidP="00782A76">
      <w:pPr>
        <w:pStyle w:val="TableNo"/>
        <w:rPr>
          <w:vertAlign w:val="superscript"/>
          <w:lang w:val="es-ES_tradnl" w:eastAsia="ja-JP"/>
        </w:rPr>
      </w:pPr>
      <w:r w:rsidRPr="00D81252">
        <w:rPr>
          <w:lang w:val="es-ES_tradnl"/>
        </w:rPr>
        <w:lastRenderedPageBreak/>
        <w:t>CUADRO 1</w:t>
      </w:r>
      <w:r w:rsidR="00782A76" w:rsidRPr="00D81252">
        <w:rPr>
          <w:lang w:val="es-ES_tradnl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8"/>
        <w:gridCol w:w="1928"/>
        <w:gridCol w:w="1928"/>
        <w:gridCol w:w="1928"/>
        <w:gridCol w:w="1928"/>
      </w:tblGrid>
      <w:tr w:rsidR="00A96D02" w:rsidRPr="00D81252" w:rsidTr="00782A76">
        <w:trPr>
          <w:jc w:val="center"/>
        </w:trPr>
        <w:tc>
          <w:tcPr>
            <w:tcW w:w="1928" w:type="dxa"/>
            <w:vMerge w:val="restart"/>
            <w:shd w:val="clear" w:color="auto" w:fill="auto"/>
            <w:vAlign w:val="center"/>
          </w:tcPr>
          <w:p w:rsidR="00A96D02" w:rsidRPr="00D81252" w:rsidRDefault="00A96D02" w:rsidP="00122993">
            <w:pPr>
              <w:pStyle w:val="Tablehead"/>
              <w:rPr>
                <w:szCs w:val="22"/>
                <w:lang w:val="es-ES_tradnl"/>
              </w:rPr>
            </w:pPr>
            <w:r w:rsidRPr="00D81252">
              <w:rPr>
                <w:szCs w:val="22"/>
                <w:lang w:val="es-ES_tradnl"/>
              </w:rPr>
              <w:t>Frecuencia</w:t>
            </w:r>
            <w:r w:rsidR="00122993">
              <w:rPr>
                <w:szCs w:val="22"/>
                <w:lang w:val="es-ES_tradnl"/>
              </w:rPr>
              <w:br/>
            </w:r>
            <w:r w:rsidRPr="00D81252">
              <w:rPr>
                <w:szCs w:val="22"/>
                <w:lang w:val="es-ES_tradnl"/>
              </w:rPr>
              <w:t>(GHz)</w:t>
            </w:r>
          </w:p>
        </w:tc>
        <w:tc>
          <w:tcPr>
            <w:tcW w:w="19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head"/>
              <w:rPr>
                <w:szCs w:val="22"/>
                <w:lang w:val="es-ES_tradnl"/>
              </w:rPr>
            </w:pPr>
            <w:r w:rsidRPr="00D81252">
              <w:rPr>
                <w:szCs w:val="22"/>
                <w:lang w:val="es-ES_tradnl"/>
              </w:rPr>
              <w:t>Atribución de frecuencia</w:t>
            </w:r>
          </w:p>
        </w:tc>
        <w:tc>
          <w:tcPr>
            <w:tcW w:w="1928" w:type="dxa"/>
            <w:vMerge w:val="restart"/>
            <w:shd w:val="clear" w:color="auto" w:fill="auto"/>
            <w:vAlign w:val="center"/>
          </w:tcPr>
          <w:p w:rsidR="00A96D02" w:rsidRPr="00D81252" w:rsidRDefault="00A96D02" w:rsidP="00CD2CA4">
            <w:pPr>
              <w:pStyle w:val="Tablehead"/>
              <w:rPr>
                <w:lang w:val="es-ES_tradnl" w:eastAsia="ja-JP"/>
              </w:rPr>
            </w:pPr>
            <w:r w:rsidRPr="00D81252">
              <w:rPr>
                <w:lang w:val="es-ES_tradnl"/>
              </w:rPr>
              <w:t>Número de redes</w:t>
            </w:r>
            <w:r w:rsidRPr="00D81252">
              <w:rPr>
                <w:lang w:val="es-ES_tradnl"/>
              </w:rPr>
              <w:br/>
            </w:r>
            <w:r w:rsidRPr="00D81252">
              <w:rPr>
                <w:lang w:val="es-ES_tradnl" w:eastAsia="ja-JP"/>
              </w:rPr>
              <w:t>(a 2009)</w:t>
            </w:r>
            <w:r w:rsidRPr="00D81252">
              <w:rPr>
                <w:vertAlign w:val="superscript"/>
                <w:lang w:val="es-ES_tradnl" w:eastAsia="ja-JP"/>
              </w:rPr>
              <w:t>(1)</w:t>
            </w: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head"/>
              <w:rPr>
                <w:color w:val="FFFFFF"/>
                <w:szCs w:val="22"/>
                <w:lang w:val="es-ES_tradnl"/>
              </w:rPr>
            </w:pPr>
          </w:p>
        </w:tc>
        <w:tc>
          <w:tcPr>
            <w:tcW w:w="1928" w:type="dxa"/>
            <w:tcBorders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head"/>
              <w:rPr>
                <w:szCs w:val="22"/>
                <w:lang w:val="es-ES_tradnl"/>
              </w:rPr>
            </w:pPr>
            <w:r w:rsidRPr="00D81252">
              <w:rPr>
                <w:szCs w:val="22"/>
                <w:lang w:val="es-ES_tradnl"/>
              </w:rPr>
              <w:t>Región 1</w:t>
            </w:r>
          </w:p>
        </w:tc>
        <w:tc>
          <w:tcPr>
            <w:tcW w:w="1928" w:type="dxa"/>
            <w:tcBorders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head"/>
              <w:rPr>
                <w:color w:val="FFFFFF"/>
                <w:szCs w:val="22"/>
                <w:lang w:val="es-ES_tradnl" w:eastAsia="ja-JP"/>
              </w:rPr>
            </w:pPr>
            <w:r w:rsidRPr="00D81252">
              <w:rPr>
                <w:szCs w:val="22"/>
                <w:lang w:val="es-ES_tradnl"/>
              </w:rPr>
              <w:t>Región 2</w:t>
            </w:r>
          </w:p>
        </w:tc>
        <w:tc>
          <w:tcPr>
            <w:tcW w:w="1928" w:type="dxa"/>
            <w:tcBorders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head"/>
              <w:rPr>
                <w:color w:val="FFFFFF"/>
                <w:szCs w:val="22"/>
                <w:lang w:val="es-ES_tradnl" w:eastAsia="ja-JP"/>
              </w:rPr>
            </w:pPr>
            <w:r w:rsidRPr="00D81252">
              <w:rPr>
                <w:szCs w:val="22"/>
                <w:lang w:val="es-ES_tradnl"/>
              </w:rPr>
              <w:t>Región 3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F6100E">
            <w:pPr>
              <w:pStyle w:val="Tabletext"/>
              <w:rPr>
                <w:rFonts w:ascii="Arial" w:hAnsi="Arial" w:cs="Arial"/>
                <w:b/>
                <w:color w:val="FFFFFF"/>
                <w:sz w:val="21"/>
                <w:szCs w:val="21"/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3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4-4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2</w:t>
            </w:r>
          </w:p>
        </w:tc>
        <w:tc>
          <w:tcPr>
            <w:tcW w:w="1928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 w:val="restart"/>
            <w:tcBorders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  <w:r w:rsidRPr="00D81252">
              <w:rPr>
                <w:lang w:val="es-ES_tradnl"/>
              </w:rPr>
              <w:t>Aprox. 160</w:t>
            </w: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5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725-5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85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</w:t>
            </w:r>
            <w:r w:rsidR="00D81252">
              <w:rPr>
                <w:lang w:val="es-ES_tradnl"/>
              </w:rPr>
              <w:t>-</w:t>
            </w:r>
            <w:r w:rsidRPr="00D81252">
              <w:rPr>
                <w:lang w:val="es-ES_tradnl"/>
              </w:rPr>
              <w:t>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5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85-6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7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1</w:t>
            </w:r>
            <w:r w:rsidRPr="00D81252">
              <w:rPr>
                <w:lang w:val="es-ES_tradnl" w:eastAsia="ja-JP"/>
              </w:rPr>
              <w:t>0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95</w:t>
            </w:r>
            <w:r w:rsidRPr="00D81252">
              <w:rPr>
                <w:lang w:val="es-ES_tradnl"/>
              </w:rPr>
              <w:t>-1</w:t>
            </w:r>
            <w:r w:rsidRPr="00D81252">
              <w:rPr>
                <w:lang w:val="es-ES_tradnl" w:eastAsia="ja-JP"/>
              </w:rPr>
              <w:t>1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2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  <w:r w:rsidRPr="00D81252">
              <w:rPr>
                <w:lang w:val="es-ES_tradnl"/>
              </w:rPr>
              <w:t>Aprox. 200</w:t>
            </w: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 w:eastAsia="ja-JP"/>
              </w:rPr>
            </w:pPr>
            <w:r w:rsidRPr="00D81252">
              <w:rPr>
                <w:lang w:val="es-ES_tradnl" w:eastAsia="ja-JP"/>
              </w:rPr>
              <w:t>11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45</w:t>
            </w:r>
            <w:r w:rsidRPr="00D81252">
              <w:rPr>
                <w:lang w:val="es-ES_tradnl"/>
              </w:rPr>
              <w:t>-</w:t>
            </w:r>
            <w:r w:rsidRPr="00D81252">
              <w:rPr>
                <w:lang w:val="es-ES_tradnl" w:eastAsia="ja-JP"/>
              </w:rPr>
              <w:t>11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7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 w:eastAsia="ja-JP"/>
              </w:rPr>
            </w:pPr>
            <w:r w:rsidRPr="00D81252">
              <w:rPr>
                <w:lang w:val="es-ES_tradnl" w:eastAsia="ja-JP"/>
              </w:rPr>
              <w:t>11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7</w:t>
            </w:r>
            <w:r w:rsidRPr="00D81252">
              <w:rPr>
                <w:lang w:val="es-ES_tradnl"/>
              </w:rPr>
              <w:t>-</w:t>
            </w:r>
            <w:r w:rsidRPr="00D81252">
              <w:rPr>
                <w:lang w:val="es-ES_tradnl" w:eastAsia="ja-JP"/>
              </w:rPr>
              <w:t>12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2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12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2-12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5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12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5-12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75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/>
              </w:rPr>
            </w:pP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 w:eastAsia="ja-JP"/>
              </w:rPr>
            </w:pPr>
            <w:r w:rsidRPr="00D81252">
              <w:rPr>
                <w:lang w:val="es-ES_tradnl"/>
              </w:rPr>
              <w:t>13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/>
              </w:rPr>
              <w:t>75-14</w:t>
            </w:r>
            <w:r w:rsidR="00122993">
              <w:rPr>
                <w:lang w:val="es-ES_tradnl"/>
              </w:rPr>
              <w:t>,</w:t>
            </w:r>
            <w:r w:rsidRPr="00D81252">
              <w:rPr>
                <w:lang w:val="es-ES_tradnl" w:eastAsia="ja-JP"/>
              </w:rPr>
              <w:t>5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 w:eastAsia="ja-JP"/>
              </w:rPr>
            </w:pPr>
            <w:r w:rsidRPr="00D81252">
              <w:rPr>
                <w:lang w:val="es-ES_tradnl" w:eastAsia="ja-JP"/>
              </w:rPr>
              <w:t>17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7</w:t>
            </w:r>
            <w:r w:rsidRPr="00D81252">
              <w:rPr>
                <w:lang w:val="es-ES_tradnl"/>
              </w:rPr>
              <w:t>-</w:t>
            </w:r>
            <w:r w:rsidRPr="00D81252">
              <w:rPr>
                <w:lang w:val="es-ES_tradnl" w:eastAsia="ja-JP"/>
              </w:rPr>
              <w:t>21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2</w:t>
            </w:r>
          </w:p>
        </w:tc>
        <w:tc>
          <w:tcPr>
            <w:tcW w:w="192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(espacio-Tierra)</w:t>
            </w:r>
          </w:p>
        </w:tc>
        <w:tc>
          <w:tcPr>
            <w:tcW w:w="1928" w:type="dxa"/>
            <w:vMerge w:val="restart"/>
            <w:tcBorders>
              <w:top w:val="dotted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lang w:val="es-ES_tradnl"/>
              </w:rPr>
            </w:pPr>
            <w:r w:rsidRPr="00D81252">
              <w:rPr>
                <w:lang w:val="es-ES_tradnl"/>
              </w:rPr>
              <w:t>Aprox. 30</w:t>
            </w:r>
          </w:p>
        </w:tc>
      </w:tr>
      <w:tr w:rsidR="00A96D02" w:rsidRPr="00D81252" w:rsidTr="00782A76">
        <w:trPr>
          <w:jc w:val="center"/>
        </w:trPr>
        <w:tc>
          <w:tcPr>
            <w:tcW w:w="192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A96D02" w:rsidRPr="00D81252" w:rsidRDefault="00A96D02" w:rsidP="002158A0">
            <w:pPr>
              <w:pStyle w:val="Tabletext"/>
              <w:jc w:val="center"/>
              <w:rPr>
                <w:lang w:val="es-ES_tradnl" w:eastAsia="ja-JP"/>
              </w:rPr>
            </w:pPr>
            <w:r w:rsidRPr="00D81252">
              <w:rPr>
                <w:lang w:val="es-ES_tradnl" w:eastAsia="ja-JP"/>
              </w:rPr>
              <w:t>27</w:t>
            </w:r>
            <w:r w:rsidR="00122993">
              <w:rPr>
                <w:lang w:val="es-ES_tradnl" w:eastAsia="ja-JP"/>
              </w:rPr>
              <w:t>,</w:t>
            </w:r>
            <w:r w:rsidRPr="00D81252">
              <w:rPr>
                <w:lang w:val="es-ES_tradnl" w:eastAsia="ja-JP"/>
              </w:rPr>
              <w:t>5</w:t>
            </w:r>
            <w:r w:rsidRPr="00D81252">
              <w:rPr>
                <w:lang w:val="es-ES_tradnl"/>
              </w:rPr>
              <w:t>-</w:t>
            </w:r>
            <w:r w:rsidRPr="00D81252">
              <w:rPr>
                <w:lang w:val="es-ES_tradnl" w:eastAsia="ja-JP"/>
              </w:rPr>
              <w:t>31</w:t>
            </w:r>
          </w:p>
        </w:tc>
        <w:tc>
          <w:tcPr>
            <w:tcW w:w="192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96D02" w:rsidRPr="00D81252" w:rsidRDefault="00D81252" w:rsidP="002158A0">
            <w:pPr>
              <w:pStyle w:val="Tabletext"/>
              <w:jc w:val="center"/>
              <w:rPr>
                <w:lang w:val="es-ES_tradnl"/>
              </w:rPr>
            </w:pPr>
            <w:r w:rsidRPr="00D81252">
              <w:rPr>
                <w:lang w:val="es-ES_tradnl"/>
              </w:rPr>
              <w:t>(Tierra-espacio)</w:t>
            </w:r>
          </w:p>
        </w:tc>
        <w:tc>
          <w:tcPr>
            <w:tcW w:w="1928" w:type="dxa"/>
            <w:vMerge/>
            <w:tcBorders>
              <w:bottom w:val="single" w:sz="4" w:space="0" w:color="auto"/>
            </w:tcBorders>
            <w:vAlign w:val="center"/>
          </w:tcPr>
          <w:p w:rsidR="00A96D02" w:rsidRPr="00D81252" w:rsidRDefault="00A96D02" w:rsidP="00F6100E">
            <w:pPr>
              <w:pStyle w:val="Tabletext"/>
              <w:rPr>
                <w:rFonts w:ascii="Arial" w:hAnsi="Arial" w:cs="Arial"/>
                <w:sz w:val="21"/>
                <w:szCs w:val="21"/>
                <w:lang w:val="es-ES_tradnl"/>
              </w:rPr>
            </w:pPr>
          </w:p>
        </w:tc>
      </w:tr>
      <w:tr w:rsidR="00A96D02" w:rsidRPr="00AB7CDF" w:rsidTr="00782A76">
        <w:trPr>
          <w:jc w:val="center"/>
        </w:trPr>
        <w:tc>
          <w:tcPr>
            <w:tcW w:w="192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96D02" w:rsidRPr="00D81252" w:rsidRDefault="00A96D02" w:rsidP="00F6100E">
            <w:pPr>
              <w:pStyle w:val="Tablelegend"/>
              <w:rPr>
                <w:lang w:val="es-ES_tradnl" w:eastAsia="ja-JP"/>
              </w:rPr>
            </w:pPr>
            <w:r w:rsidRPr="00D81252">
              <w:rPr>
                <w:lang w:val="es-ES_tradnl" w:eastAsia="ja-JP"/>
              </w:rPr>
              <w:t>*</w:t>
            </w:r>
            <w:r w:rsidRPr="00D81252">
              <w:rPr>
                <w:lang w:val="es-ES_tradnl" w:eastAsia="ja-JP"/>
              </w:rPr>
              <w:tab/>
              <w:t>En el futuro también se podrían utilizar otras bandas de frecuencias del SFS.</w:t>
            </w:r>
          </w:p>
          <w:p w:rsidR="00A96D02" w:rsidRPr="00D81252" w:rsidRDefault="00A96D02" w:rsidP="002158A0">
            <w:pPr>
              <w:pStyle w:val="Tablelegend"/>
              <w:rPr>
                <w:lang w:val="es-ES_tradnl" w:eastAsia="ja-JP"/>
              </w:rPr>
            </w:pPr>
            <w:r w:rsidRPr="00D81252">
              <w:rPr>
                <w:vertAlign w:val="superscript"/>
                <w:lang w:val="es-ES_tradnl" w:eastAsia="ja-JP"/>
              </w:rPr>
              <w:t>(1)</w:t>
            </w:r>
            <w:r w:rsidRPr="00D81252">
              <w:rPr>
                <w:lang w:val="es-ES_tradnl" w:eastAsia="ja-JP"/>
              </w:rPr>
              <w:t xml:space="preserve"> </w:t>
            </w:r>
            <w:r w:rsidRPr="00D81252">
              <w:rPr>
                <w:lang w:val="es-ES_tradnl" w:eastAsia="ja-JP"/>
              </w:rPr>
              <w:tab/>
            </w:r>
            <w:proofErr w:type="spellStart"/>
            <w:r w:rsidRPr="00D81252">
              <w:rPr>
                <w:lang w:val="es-ES_tradnl" w:eastAsia="ja-JP"/>
              </w:rPr>
              <w:t>Váse</w:t>
            </w:r>
            <w:proofErr w:type="spellEnd"/>
            <w:r w:rsidRPr="00D81252">
              <w:rPr>
                <w:lang w:val="es-ES_tradnl" w:eastAsia="ja-JP"/>
              </w:rPr>
              <w:t xml:space="preserve"> también el </w:t>
            </w:r>
            <w:r w:rsidRPr="00D81252">
              <w:rPr>
                <w:i/>
                <w:lang w:val="es-ES_tradnl" w:eastAsia="ja-JP"/>
              </w:rPr>
              <w:t>observando</w:t>
            </w:r>
            <w:r w:rsidRPr="00D81252">
              <w:rPr>
                <w:lang w:val="es-ES_tradnl" w:eastAsia="ja-JP"/>
              </w:rPr>
              <w:t xml:space="preserve"> b). Además, el número de redes a las que se hace referencia en el Cuadro</w:t>
            </w:r>
            <w:r w:rsidR="002158A0">
              <w:rPr>
                <w:lang w:val="es-ES_tradnl" w:eastAsia="ja-JP"/>
              </w:rPr>
              <w:t> </w:t>
            </w:r>
            <w:r w:rsidRPr="00D81252">
              <w:rPr>
                <w:lang w:val="es-ES_tradnl" w:eastAsia="ja-JP"/>
              </w:rPr>
              <w:t>1 es una estimación del número de redes que funcionan en todas las bandas de frecuencias enumeradas en la primera columna o parte de las mismas.</w:t>
            </w:r>
          </w:p>
        </w:tc>
      </w:tr>
    </w:tbl>
    <w:p w:rsidR="00A96D02" w:rsidRPr="00D81252" w:rsidRDefault="00A96D02" w:rsidP="00782A76">
      <w:pPr>
        <w:pStyle w:val="Tablefin"/>
        <w:rPr>
          <w:lang w:val="es-ES_tradnl"/>
        </w:rPr>
      </w:pPr>
    </w:p>
    <w:p w:rsidR="00A96D02" w:rsidRPr="00D81252" w:rsidRDefault="00CD2CA4" w:rsidP="00CD2CA4">
      <w:pPr>
        <w:rPr>
          <w:lang w:val="es-ES_tradnl"/>
        </w:rPr>
      </w:pPr>
      <w:r w:rsidRPr="00D81252">
        <w:rPr>
          <w:b/>
          <w:bCs/>
          <w:lang w:val="es-ES_tradnl"/>
        </w:rPr>
        <w:t>2</w:t>
      </w:r>
      <w:r w:rsidRPr="00D81252">
        <w:rPr>
          <w:lang w:val="es-ES_tradnl"/>
        </w:rPr>
        <w:tab/>
        <w:t>que se invite a los operadores de sistemas del SFS a utilizar el protocolo de alerta común (CAP1.1) que se describe en la Recomendación UIT-T X.1303 y a mantenerse al corriente de la evolución en este ámbito;</w:t>
      </w:r>
    </w:p>
    <w:p w:rsidR="00CD2CA4" w:rsidRPr="00D81252" w:rsidRDefault="00CD2CA4" w:rsidP="005B1B28">
      <w:pPr>
        <w:rPr>
          <w:lang w:val="es-ES_tradnl"/>
        </w:rPr>
      </w:pPr>
      <w:r w:rsidRPr="00D81252">
        <w:rPr>
          <w:b/>
          <w:bCs/>
          <w:lang w:val="es-ES_tradnl"/>
        </w:rPr>
        <w:t>3</w:t>
      </w:r>
      <w:r w:rsidRPr="00D81252">
        <w:rPr>
          <w:lang w:val="es-ES_tradnl"/>
        </w:rPr>
        <w:tab/>
        <w:t xml:space="preserve">que las administraciones y los operadores/proveedores de servicios SFS deben planificar previamente la utilización de capacidades del SFS para emergencias y operaciones de socorro en casos de catástrofe, para garantizar la rápida disponibilidad de servicios SFS en caso de catástrofe, teniendo en cuenta las Resoluciones mencionadas en el </w:t>
      </w:r>
      <w:r w:rsidRPr="00D81252">
        <w:rPr>
          <w:i/>
          <w:iCs/>
          <w:lang w:val="es-ES_tradnl"/>
        </w:rPr>
        <w:t xml:space="preserve">reconociendo </w:t>
      </w:r>
      <w:r w:rsidRPr="005B1B28">
        <w:rPr>
          <w:lang w:val="es-ES_tradnl"/>
        </w:rPr>
        <w:t>d)</w:t>
      </w:r>
      <w:r w:rsidRPr="00D81252">
        <w:rPr>
          <w:lang w:val="es-ES_tradnl"/>
        </w:rPr>
        <w:t>;</w:t>
      </w:r>
    </w:p>
    <w:p w:rsidR="00CD2CA4" w:rsidRPr="00D81252" w:rsidRDefault="00CD2CA4" w:rsidP="00CD2CA4">
      <w:pPr>
        <w:rPr>
          <w:lang w:val="es-ES_tradnl"/>
        </w:rPr>
      </w:pPr>
      <w:r w:rsidRPr="00D81252">
        <w:rPr>
          <w:b/>
          <w:bCs/>
          <w:lang w:val="es-ES_tradnl"/>
        </w:rPr>
        <w:t>4</w:t>
      </w:r>
      <w:r w:rsidRPr="00D81252">
        <w:rPr>
          <w:b/>
          <w:bCs/>
          <w:lang w:val="es-ES_tradnl"/>
        </w:rPr>
        <w:tab/>
      </w:r>
      <w:r w:rsidRPr="00D81252">
        <w:rPr>
          <w:lang w:val="es-ES_tradnl"/>
        </w:rPr>
        <w:t>que se aliente a los operadores de sistemas del SFS a continuar trabajando con la UIT en relación con las situaciones de emergencia y las operaciones de socorro en caso de catástrofe.</w:t>
      </w:r>
    </w:p>
    <w:p w:rsidR="00CD2CA4" w:rsidRPr="00D81252" w:rsidRDefault="00CD2CA4" w:rsidP="00CD2CA4">
      <w:pPr>
        <w:rPr>
          <w:lang w:val="es-ES_tradnl"/>
        </w:rPr>
      </w:pPr>
      <w:r w:rsidRPr="00D81252">
        <w:rPr>
          <w:b/>
          <w:bCs/>
          <w:lang w:val="es-ES_tradnl"/>
        </w:rPr>
        <w:t>5</w:t>
      </w:r>
      <w:r w:rsidRPr="00D81252">
        <w:rPr>
          <w:b/>
          <w:bCs/>
          <w:lang w:val="es-ES_tradnl"/>
        </w:rPr>
        <w:tab/>
      </w:r>
      <w:r w:rsidRPr="00D81252">
        <w:rPr>
          <w:lang w:val="es-ES_tradnl"/>
        </w:rPr>
        <w:t>que las siguientes Notas se consideren parte integrante de la presente Recomendación:</w:t>
      </w:r>
    </w:p>
    <w:p w:rsidR="00CD2CA4" w:rsidRPr="00D81252" w:rsidRDefault="00CD2CA4" w:rsidP="002158A0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NOTA 1 – Al planificar la utilización de los sistemas del SFS para alerta y operaciones de socorro en caso de catástrofe o situación de emergencia similar, se debe tomar en consideración el Informe</w:t>
      </w:r>
      <w:r w:rsidR="002158A0">
        <w:rPr>
          <w:rFonts w:ascii="TimesNewRoman" w:eastAsiaTheme="minorEastAsia" w:hAnsi="TimesNewRoman" w:cs="TimesNewRoman"/>
          <w:szCs w:val="24"/>
          <w:lang w:val="es-ES_tradnl" w:eastAsia="zh-CN"/>
        </w:rPr>
        <w:t> </w:t>
      </w: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UIT-R S.2151.</w:t>
      </w:r>
    </w:p>
    <w:p w:rsidR="00CD2CA4" w:rsidRPr="00D81252" w:rsidRDefault="00CD2CA4" w:rsidP="00CD2CA4">
      <w:pPr>
        <w:rPr>
          <w:rFonts w:ascii="TimesNewRoman" w:eastAsiaTheme="minorEastAsia" w:hAnsi="TimesNewRoman" w:cs="TimesNewRoman"/>
          <w:szCs w:val="24"/>
          <w:lang w:val="es-ES_tradnl" w:eastAsia="zh-CN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NOTA 2 – La logística relativa al transporte, instalación y funcionamiento de los equipos de telecomunicación exige una consideración cuidadosa para sacar el máximo provecho de las características del sistema en cuanto a fiabilidad y rapidez de montaje.</w:t>
      </w:r>
    </w:p>
    <w:p w:rsidR="00CD2CA4" w:rsidRPr="00D81252" w:rsidRDefault="00CD2CA4" w:rsidP="00CD2CA4">
      <w:pPr>
        <w:rPr>
          <w:lang w:val="es-ES_tradnl"/>
        </w:rPr>
      </w:pPr>
      <w:r w:rsidRPr="00D81252">
        <w:rPr>
          <w:rFonts w:ascii="TimesNewRoman" w:eastAsiaTheme="minorEastAsia" w:hAnsi="TimesNewRoman" w:cs="TimesNewRoman"/>
          <w:szCs w:val="24"/>
          <w:lang w:val="es-ES_tradnl" w:eastAsia="zh-CN"/>
        </w:rPr>
        <w:t>NOTA 3 – Aunque la utilización de estaciones terrenas transportables en caso de desastres desaconseja emprender un proceso previo detallado de coordinación y evaluación de la interferencia, debe prestarse atención a estos aspectos cuando se utilicen bandas de frecuencias compartidas.</w:t>
      </w:r>
    </w:p>
    <w:p w:rsidR="00CD2CA4" w:rsidRPr="00D81252" w:rsidRDefault="00CD2CA4" w:rsidP="00A96D02">
      <w:pPr>
        <w:rPr>
          <w:lang w:val="es-ES_tradnl"/>
        </w:rPr>
      </w:pPr>
    </w:p>
    <w:p w:rsidR="00A96D02" w:rsidRPr="00D81252" w:rsidRDefault="00A96D02" w:rsidP="00A96D02">
      <w:pPr>
        <w:rPr>
          <w:lang w:val="es-ES_tradnl"/>
        </w:rPr>
      </w:pPr>
    </w:p>
    <w:p w:rsidR="00A96D02" w:rsidRPr="00D81252" w:rsidRDefault="00A96D02" w:rsidP="00A96D02">
      <w:pPr>
        <w:pStyle w:val="Line"/>
        <w:rPr>
          <w:lang w:val="es-ES_tradnl"/>
        </w:rPr>
      </w:pPr>
    </w:p>
    <w:sectPr w:rsidR="00A96D02" w:rsidRPr="00D81252" w:rsidSect="00B1717A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993" w:rsidRDefault="00122993">
      <w:r>
        <w:separator/>
      </w:r>
    </w:p>
  </w:endnote>
  <w:endnote w:type="continuationSeparator" w:id="0">
    <w:p w:rsidR="00122993" w:rsidRDefault="00122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993" w:rsidRDefault="00122993">
      <w:r>
        <w:separator/>
      </w:r>
    </w:p>
  </w:footnote>
  <w:footnote w:type="continuationSeparator" w:id="0">
    <w:p w:rsidR="00122993" w:rsidRDefault="00122993">
      <w:r>
        <w:continuationSeparator/>
      </w:r>
    </w:p>
  </w:footnote>
  <w:footnote w:id="1">
    <w:p w:rsidR="00122993" w:rsidRPr="00122993" w:rsidRDefault="00122993">
      <w:pPr>
        <w:pStyle w:val="FootnoteText"/>
        <w:rPr>
          <w:lang w:val="es-ES_tradnl"/>
        </w:rPr>
      </w:pPr>
      <w:r w:rsidRPr="00122993">
        <w:rPr>
          <w:rStyle w:val="FootnoteReference"/>
          <w:lang w:val="es-ES_tradnl"/>
        </w:rPr>
        <w:t>*</w:t>
      </w:r>
      <w:r w:rsidRPr="00122993">
        <w:rPr>
          <w:lang w:val="es-ES_tradnl"/>
        </w:rPr>
        <w:tab/>
      </w:r>
      <w:r w:rsidRPr="007217CB">
        <w:rPr>
          <w:rFonts w:ascii="TimesNewRoman" w:eastAsiaTheme="minorEastAsia" w:hAnsi="TimesNewRoman" w:cs="TimesNewRoman"/>
          <w:szCs w:val="22"/>
          <w:lang w:val="es-ES_tradnl" w:eastAsia="zh-CN"/>
        </w:rPr>
        <w:t xml:space="preserve">Para mayor información sobre la utilización de estaciones terrenales pequeñas para la transmisión </w:t>
      </w:r>
      <w:proofErr w:type="spellStart"/>
      <w:r w:rsidRPr="007217CB">
        <w:rPr>
          <w:rFonts w:ascii="TimesNewRoman" w:eastAsiaTheme="minorEastAsia" w:hAnsi="TimesNewRoman" w:cs="TimesNewRoman"/>
          <w:szCs w:val="22"/>
          <w:lang w:val="es-ES_tradnl" w:eastAsia="zh-CN"/>
        </w:rPr>
        <w:t>deseñales</w:t>
      </w:r>
      <w:proofErr w:type="spellEnd"/>
      <w:r w:rsidRPr="007217CB">
        <w:rPr>
          <w:rFonts w:ascii="TimesNewRoman" w:eastAsiaTheme="minorEastAsia" w:hAnsi="TimesNewRoman" w:cs="TimesNewRoman"/>
          <w:szCs w:val="22"/>
          <w:lang w:val="es-ES_tradnl" w:eastAsia="zh-CN"/>
        </w:rPr>
        <w:t xml:space="preserve"> de televisión, véase la Recomendación UIT-R SNG.1421.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12299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122993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4C5505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12299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06DF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122993">
      <w:tab/>
    </w:r>
    <w:r w:rsidR="00C06DF8">
      <w:fldChar w:fldCharType="begin"/>
    </w:r>
    <w:r w:rsidR="00C06DF8">
      <w:instrText xml:space="preserve"> DOCPROPERTY "Header" \* MERGEFORMAT </w:instrText>
    </w:r>
    <w:r w:rsidR="00C06DF8">
      <w:fldChar w:fldCharType="separate"/>
    </w:r>
    <w:r w:rsidR="00C06DF8" w:rsidRPr="00C06DF8">
      <w:rPr>
        <w:b/>
        <w:bCs/>
        <w:lang w:val="en-US"/>
      </w:rPr>
      <w:t xml:space="preserve">Rec. </w:t>
    </w:r>
    <w:r w:rsidR="00C06DF8">
      <w:rPr>
        <w:b/>
        <w:bCs/>
        <w:lang w:val="en-US"/>
      </w:rPr>
      <w:fldChar w:fldCharType="end"/>
    </w:r>
    <w:r w:rsidR="00122993">
      <w:rPr>
        <w:b/>
        <w:bCs/>
      </w:rPr>
      <w:t xml:space="preserve"> </w:t>
    </w:r>
    <w:r>
      <w:rPr>
        <w:b/>
        <w:bCs/>
      </w:rPr>
      <w:fldChar w:fldCharType="begin"/>
    </w:r>
    <w:r w:rsidR="00122993">
      <w:rPr>
        <w:b/>
        <w:bCs/>
      </w:rPr>
      <w:instrText>styleref href</w:instrText>
    </w:r>
    <w:r>
      <w:rPr>
        <w:b/>
        <w:bCs/>
      </w:rPr>
      <w:fldChar w:fldCharType="separate"/>
    </w:r>
    <w:r w:rsidR="00C06DF8">
      <w:rPr>
        <w:b/>
        <w:bCs/>
        <w:noProof/>
      </w:rPr>
      <w:t>UIT-R  S.1001-2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122993">
    <w:pPr>
      <w:pStyle w:val="Header"/>
    </w:pPr>
    <w:r>
      <w:tab/>
    </w:r>
    <w:r w:rsidR="00C06DF8">
      <w:fldChar w:fldCharType="begin"/>
    </w:r>
    <w:r w:rsidR="00C06DF8">
      <w:instrText xml:space="preserve"> DOCPROPERTY "Header" \* MERGEFORMAT </w:instrText>
    </w:r>
    <w:r w:rsidR="00C06DF8">
      <w:fldChar w:fldCharType="separate"/>
    </w:r>
    <w:r w:rsidR="00C06DF8" w:rsidRPr="00C06DF8">
      <w:rPr>
        <w:lang w:val="en-US"/>
      </w:rPr>
      <w:t xml:space="preserve">Rec. </w:t>
    </w:r>
    <w:r w:rsidR="00C06DF8">
      <w:rPr>
        <w:lang w:val="en-US"/>
      </w:rPr>
      <w:fldChar w:fldCharType="end"/>
    </w:r>
    <w:r>
      <w:rPr>
        <w:b/>
        <w:bCs/>
      </w:rPr>
      <w:t xml:space="preserve">  </w:t>
    </w:r>
    <w:r w:rsidR="004C5505">
      <w:rPr>
        <w:b/>
        <w:bCs/>
      </w:rPr>
      <w:fldChar w:fldCharType="begin"/>
    </w:r>
    <w:r>
      <w:rPr>
        <w:b/>
        <w:bCs/>
      </w:rPr>
      <w:instrText>styleref href</w:instrText>
    </w:r>
    <w:r w:rsidR="004C5505">
      <w:rPr>
        <w:b/>
        <w:bCs/>
      </w:rPr>
      <w:fldChar w:fldCharType="separate"/>
    </w:r>
    <w:r w:rsidR="00C06DF8">
      <w:rPr>
        <w:b/>
        <w:bCs/>
        <w:noProof/>
      </w:rPr>
      <w:t>UIT-R  S.1001-2</w:t>
    </w:r>
    <w:r w:rsidR="004C5505">
      <w:rPr>
        <w:b/>
        <w:bCs/>
      </w:rPr>
      <w:fldChar w:fldCharType="end"/>
    </w:r>
    <w:r>
      <w:tab/>
    </w:r>
    <w:r w:rsidR="004C550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4C5505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4C5505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4C5505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12299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06DF8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122993">
      <w:rPr>
        <w:lang w:val="en-US"/>
      </w:rPr>
      <w:tab/>
    </w:r>
    <w:r w:rsidR="00C06DF8">
      <w:fldChar w:fldCharType="begin"/>
    </w:r>
    <w:r w:rsidR="00C06DF8">
      <w:instrText xml:space="preserve"> DOCPROPERTY "Header" \* MERGEFORMAT </w:instrText>
    </w:r>
    <w:r w:rsidR="00C06DF8">
      <w:fldChar w:fldCharType="separate"/>
    </w:r>
    <w:r w:rsidR="00C06DF8" w:rsidRPr="00C06DF8">
      <w:rPr>
        <w:b/>
        <w:bCs/>
        <w:lang w:val="en-US"/>
      </w:rPr>
      <w:t xml:space="preserve">Rec. </w:t>
    </w:r>
    <w:r w:rsidR="00C06DF8">
      <w:rPr>
        <w:b/>
        <w:bCs/>
        <w:lang w:val="en-US"/>
      </w:rPr>
      <w:fldChar w:fldCharType="end"/>
    </w:r>
    <w:r w:rsidR="00122993">
      <w:rPr>
        <w:b/>
        <w:bCs/>
      </w:rPr>
      <w:t xml:space="preserve"> </w:t>
    </w:r>
    <w:r>
      <w:rPr>
        <w:b/>
        <w:bCs/>
      </w:rPr>
      <w:fldChar w:fldCharType="begin"/>
    </w:r>
    <w:r w:rsidR="0012299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C06DF8">
      <w:rPr>
        <w:b/>
        <w:bCs/>
        <w:noProof/>
      </w:rPr>
      <w:t>UIT-R  S.1001-2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93" w:rsidRDefault="00122993">
    <w:pPr>
      <w:pStyle w:val="Header"/>
    </w:pPr>
    <w:r>
      <w:tab/>
    </w:r>
    <w:r w:rsidR="00C06DF8">
      <w:fldChar w:fldCharType="begin"/>
    </w:r>
    <w:r w:rsidR="00C06DF8">
      <w:instrText xml:space="preserve"> DOCPROPERTY "Header" \* MERGEFORMAT </w:instrText>
    </w:r>
    <w:r w:rsidR="00C06DF8">
      <w:fldChar w:fldCharType="separate"/>
    </w:r>
    <w:r w:rsidR="00C06DF8" w:rsidRPr="00C06DF8">
      <w:rPr>
        <w:b/>
        <w:bCs/>
      </w:rPr>
      <w:t xml:space="preserve">Rec. </w:t>
    </w:r>
    <w:r w:rsidR="00C06DF8">
      <w:rPr>
        <w:b/>
        <w:bCs/>
      </w:rPr>
      <w:fldChar w:fldCharType="end"/>
    </w:r>
    <w:r>
      <w:rPr>
        <w:b/>
        <w:bCs/>
      </w:rPr>
      <w:t xml:space="preserve"> </w:t>
    </w:r>
    <w:r w:rsidR="004C5505">
      <w:rPr>
        <w:b/>
        <w:bCs/>
      </w:rPr>
      <w:fldChar w:fldCharType="begin"/>
    </w:r>
    <w:r>
      <w:rPr>
        <w:b/>
        <w:bCs/>
      </w:rPr>
      <w:instrText>styleref href</w:instrText>
    </w:r>
    <w:r w:rsidR="004C5505">
      <w:rPr>
        <w:b/>
        <w:bCs/>
      </w:rPr>
      <w:fldChar w:fldCharType="separate"/>
    </w:r>
    <w:r w:rsidR="00C06DF8">
      <w:rPr>
        <w:b/>
        <w:bCs/>
        <w:noProof/>
      </w:rPr>
      <w:t>UIT-R  S.1001-2</w:t>
    </w:r>
    <w:r w:rsidR="004C5505">
      <w:rPr>
        <w:b/>
        <w:bCs/>
      </w:rPr>
      <w:fldChar w:fldCharType="end"/>
    </w:r>
    <w:r>
      <w:tab/>
    </w:r>
    <w:r w:rsidR="004C550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4C5505">
      <w:rPr>
        <w:rStyle w:val="PageNumber"/>
        <w:b/>
        <w:bCs/>
      </w:rPr>
      <w:fldChar w:fldCharType="separate"/>
    </w:r>
    <w:r w:rsidR="00C06DF8">
      <w:rPr>
        <w:rStyle w:val="PageNumber"/>
        <w:b/>
        <w:bCs/>
        <w:noProof/>
      </w:rPr>
      <w:t>1</w:t>
    </w:r>
    <w:r w:rsidR="004C550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D63C8"/>
    <w:multiLevelType w:val="hybridMultilevel"/>
    <w:tmpl w:val="9FA8A2AE"/>
    <w:lvl w:ilvl="0" w:tplc="0409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C4749"/>
    <w:multiLevelType w:val="hybridMultilevel"/>
    <w:tmpl w:val="B2446EB6"/>
    <w:lvl w:ilvl="0" w:tplc="7E3089D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12B1D"/>
    <w:multiLevelType w:val="hybridMultilevel"/>
    <w:tmpl w:val="81F4FB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7182E"/>
    <w:multiLevelType w:val="hybridMultilevel"/>
    <w:tmpl w:val="6C1A8E7E"/>
    <w:lvl w:ilvl="0" w:tplc="DBDC13DE">
      <w:start w:val="1"/>
      <w:numFmt w:val="bullet"/>
      <w:lvlText w:val="-"/>
      <w:lvlJc w:val="left"/>
      <w:pPr>
        <w:ind w:left="720" w:hanging="360"/>
      </w:pPr>
      <w:rPr>
        <w:rFonts w:ascii="TimesNewRoman" w:eastAsiaTheme="minorEastAsia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D0D4C"/>
    <w:multiLevelType w:val="hybridMultilevel"/>
    <w:tmpl w:val="69CE5A0A"/>
    <w:lvl w:ilvl="0" w:tplc="0AACD6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E472C"/>
    <w:multiLevelType w:val="hybridMultilevel"/>
    <w:tmpl w:val="535C86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17A"/>
    <w:rsid w:val="00041EEF"/>
    <w:rsid w:val="00122993"/>
    <w:rsid w:val="00160FA8"/>
    <w:rsid w:val="00171FD5"/>
    <w:rsid w:val="002158A0"/>
    <w:rsid w:val="00236E9D"/>
    <w:rsid w:val="00263753"/>
    <w:rsid w:val="00266EDC"/>
    <w:rsid w:val="00270DAA"/>
    <w:rsid w:val="002B5701"/>
    <w:rsid w:val="002D76C4"/>
    <w:rsid w:val="002E7F2D"/>
    <w:rsid w:val="00363835"/>
    <w:rsid w:val="00366CEE"/>
    <w:rsid w:val="00435AA1"/>
    <w:rsid w:val="004532F7"/>
    <w:rsid w:val="004C5505"/>
    <w:rsid w:val="004D1394"/>
    <w:rsid w:val="00531D51"/>
    <w:rsid w:val="005A6102"/>
    <w:rsid w:val="005B1B28"/>
    <w:rsid w:val="00607D68"/>
    <w:rsid w:val="006B22C3"/>
    <w:rsid w:val="006D600B"/>
    <w:rsid w:val="00774229"/>
    <w:rsid w:val="00782A76"/>
    <w:rsid w:val="00795B61"/>
    <w:rsid w:val="0081658F"/>
    <w:rsid w:val="00830149"/>
    <w:rsid w:val="00847DD5"/>
    <w:rsid w:val="008A69AD"/>
    <w:rsid w:val="009C42F1"/>
    <w:rsid w:val="00A6617B"/>
    <w:rsid w:val="00A77EB7"/>
    <w:rsid w:val="00A96D02"/>
    <w:rsid w:val="00AB0DC8"/>
    <w:rsid w:val="00AB7CDF"/>
    <w:rsid w:val="00B1717A"/>
    <w:rsid w:val="00B44E24"/>
    <w:rsid w:val="00B87252"/>
    <w:rsid w:val="00BB77E9"/>
    <w:rsid w:val="00BF7841"/>
    <w:rsid w:val="00C06DF8"/>
    <w:rsid w:val="00C60C17"/>
    <w:rsid w:val="00C819A8"/>
    <w:rsid w:val="00CD2CA4"/>
    <w:rsid w:val="00D12388"/>
    <w:rsid w:val="00D62884"/>
    <w:rsid w:val="00D75C47"/>
    <w:rsid w:val="00D81252"/>
    <w:rsid w:val="00DB3E84"/>
    <w:rsid w:val="00DE71F7"/>
    <w:rsid w:val="00DF4176"/>
    <w:rsid w:val="00EC1C22"/>
    <w:rsid w:val="00F6100E"/>
    <w:rsid w:val="00F95576"/>
    <w:rsid w:val="00F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0BEFBAA8-0C6F-4415-AB10-BDB1CBCA1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70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2B570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2B570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2B570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2B570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2B5701"/>
    <w:pPr>
      <w:outlineLvl w:val="4"/>
    </w:pPr>
  </w:style>
  <w:style w:type="paragraph" w:styleId="Heading6">
    <w:name w:val="heading 6"/>
    <w:basedOn w:val="Heading4"/>
    <w:next w:val="Normal"/>
    <w:qFormat/>
    <w:rsid w:val="002B570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2B5701"/>
    <w:pPr>
      <w:outlineLvl w:val="6"/>
    </w:pPr>
  </w:style>
  <w:style w:type="paragraph" w:styleId="Heading8">
    <w:name w:val="heading 8"/>
    <w:basedOn w:val="Heading6"/>
    <w:next w:val="Normal"/>
    <w:qFormat/>
    <w:rsid w:val="002B5701"/>
    <w:pPr>
      <w:outlineLvl w:val="7"/>
    </w:pPr>
  </w:style>
  <w:style w:type="paragraph" w:styleId="Heading9">
    <w:name w:val="heading 9"/>
    <w:basedOn w:val="Heading6"/>
    <w:next w:val="Normal"/>
    <w:qFormat/>
    <w:rsid w:val="002B570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70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2B570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B5701"/>
  </w:style>
  <w:style w:type="paragraph" w:customStyle="1" w:styleId="Headingb">
    <w:name w:val="Heading_b"/>
    <w:basedOn w:val="Heading3"/>
    <w:next w:val="Normal"/>
    <w:rsid w:val="002B570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2B570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B5701"/>
  </w:style>
  <w:style w:type="paragraph" w:customStyle="1" w:styleId="enumlev1">
    <w:name w:val="enumlev1"/>
    <w:basedOn w:val="Normal"/>
    <w:rsid w:val="002B5701"/>
    <w:pPr>
      <w:spacing w:before="80"/>
      <w:ind w:left="794" w:hanging="794"/>
    </w:pPr>
  </w:style>
  <w:style w:type="paragraph" w:customStyle="1" w:styleId="enumlev2">
    <w:name w:val="enumlev2"/>
    <w:basedOn w:val="enumlev1"/>
    <w:rsid w:val="002B5701"/>
    <w:pPr>
      <w:ind w:left="1191" w:hanging="397"/>
    </w:pPr>
  </w:style>
  <w:style w:type="paragraph" w:customStyle="1" w:styleId="enumlev3">
    <w:name w:val="enumlev3"/>
    <w:basedOn w:val="enumlev2"/>
    <w:rsid w:val="002B5701"/>
    <w:pPr>
      <w:ind w:left="1588"/>
    </w:pPr>
  </w:style>
  <w:style w:type="paragraph" w:customStyle="1" w:styleId="Normalaftertitle">
    <w:name w:val="Normal_after_title"/>
    <w:basedOn w:val="Normal"/>
    <w:next w:val="Normal"/>
    <w:rsid w:val="002B5701"/>
    <w:pPr>
      <w:spacing w:before="320"/>
    </w:pPr>
  </w:style>
  <w:style w:type="paragraph" w:customStyle="1" w:styleId="Note">
    <w:name w:val="Note"/>
    <w:basedOn w:val="Normal"/>
    <w:rsid w:val="002B570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2B57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2B5701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2B5701"/>
    <w:pPr>
      <w:jc w:val="center"/>
    </w:pPr>
  </w:style>
  <w:style w:type="paragraph" w:customStyle="1" w:styleId="Recdate">
    <w:name w:val="Rec_date"/>
    <w:basedOn w:val="Recref"/>
    <w:next w:val="Normalaftertitle"/>
    <w:rsid w:val="002B5701"/>
    <w:pPr>
      <w:jc w:val="right"/>
    </w:pPr>
  </w:style>
  <w:style w:type="paragraph" w:customStyle="1" w:styleId="AnnexNoTitle">
    <w:name w:val="Annex_NoTitle"/>
    <w:basedOn w:val="Normal"/>
    <w:next w:val="Normalaftertitle"/>
    <w:rsid w:val="002B570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2B5701"/>
  </w:style>
  <w:style w:type="paragraph" w:customStyle="1" w:styleId="Tablefin">
    <w:name w:val="Table_fin"/>
    <w:basedOn w:val="Normal"/>
    <w:next w:val="Normal"/>
    <w:rsid w:val="002B570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570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2B57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2B570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2B570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2B570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B570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701"/>
    <w:pPr>
      <w:ind w:left="794"/>
    </w:pPr>
  </w:style>
  <w:style w:type="paragraph" w:customStyle="1" w:styleId="Figurelegend">
    <w:name w:val="Figure_legend"/>
    <w:basedOn w:val="Normal"/>
    <w:rsid w:val="002B57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B570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2B57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70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2B570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2B57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B570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B570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5701"/>
    <w:rPr>
      <w:b/>
    </w:rPr>
  </w:style>
  <w:style w:type="paragraph" w:customStyle="1" w:styleId="Chaptitle">
    <w:name w:val="Chap_title"/>
    <w:basedOn w:val="Arttitle"/>
    <w:next w:val="Normalaftertitle"/>
    <w:rsid w:val="002B5701"/>
  </w:style>
  <w:style w:type="character" w:styleId="FootnoteReference">
    <w:name w:val="footnote reference"/>
    <w:basedOn w:val="DefaultParagraphFont"/>
    <w:semiHidden/>
    <w:rsid w:val="002B5701"/>
    <w:rPr>
      <w:position w:val="6"/>
      <w:sz w:val="18"/>
    </w:rPr>
  </w:style>
  <w:style w:type="paragraph" w:styleId="FootnoteText">
    <w:name w:val="footnote text"/>
    <w:basedOn w:val="Normal"/>
    <w:semiHidden/>
    <w:rsid w:val="002B570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2B5701"/>
  </w:style>
  <w:style w:type="paragraph" w:styleId="Index2">
    <w:name w:val="index 2"/>
    <w:basedOn w:val="Normal"/>
    <w:next w:val="Normal"/>
    <w:semiHidden/>
    <w:rsid w:val="002B5701"/>
    <w:pPr>
      <w:ind w:left="283"/>
    </w:pPr>
  </w:style>
  <w:style w:type="paragraph" w:styleId="Index3">
    <w:name w:val="index 3"/>
    <w:basedOn w:val="Normal"/>
    <w:next w:val="Normal"/>
    <w:semiHidden/>
    <w:rsid w:val="002B5701"/>
    <w:pPr>
      <w:ind w:left="566"/>
    </w:pPr>
  </w:style>
  <w:style w:type="paragraph" w:styleId="IndexHeading">
    <w:name w:val="index heading"/>
    <w:basedOn w:val="Normal"/>
    <w:next w:val="Index1"/>
    <w:semiHidden/>
    <w:rsid w:val="002B5701"/>
  </w:style>
  <w:style w:type="paragraph" w:customStyle="1" w:styleId="Line">
    <w:name w:val="Line"/>
    <w:basedOn w:val="Normal"/>
    <w:next w:val="Normal"/>
    <w:rsid w:val="002B570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B570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701"/>
  </w:style>
  <w:style w:type="paragraph" w:customStyle="1" w:styleId="Partref">
    <w:name w:val="Part_ref"/>
    <w:basedOn w:val="Normal"/>
    <w:next w:val="Normal"/>
    <w:rsid w:val="002B570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7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2B5701"/>
  </w:style>
  <w:style w:type="paragraph" w:customStyle="1" w:styleId="QuestionNo">
    <w:name w:val="Question_No"/>
    <w:basedOn w:val="RecNo"/>
    <w:next w:val="Normal"/>
    <w:rsid w:val="002B5701"/>
  </w:style>
  <w:style w:type="paragraph" w:customStyle="1" w:styleId="Questionref">
    <w:name w:val="Question_ref"/>
    <w:basedOn w:val="Recref"/>
    <w:next w:val="Questiondate"/>
    <w:rsid w:val="002B5701"/>
  </w:style>
  <w:style w:type="paragraph" w:customStyle="1" w:styleId="Questiontitle">
    <w:name w:val="Question_title"/>
    <w:basedOn w:val="Normal"/>
    <w:next w:val="Questionref"/>
    <w:rsid w:val="002B5701"/>
  </w:style>
  <w:style w:type="paragraph" w:customStyle="1" w:styleId="Reftext">
    <w:name w:val="Ref_text"/>
    <w:basedOn w:val="Normal"/>
    <w:rsid w:val="002B570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2B570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2B5701"/>
  </w:style>
  <w:style w:type="paragraph" w:customStyle="1" w:styleId="RepNo">
    <w:name w:val="Rep_No"/>
    <w:basedOn w:val="RecNo"/>
    <w:next w:val="Reptitle"/>
    <w:rsid w:val="002B5701"/>
  </w:style>
  <w:style w:type="paragraph" w:customStyle="1" w:styleId="Repref">
    <w:name w:val="Rep_ref"/>
    <w:basedOn w:val="Recref"/>
    <w:next w:val="Repdate"/>
    <w:rsid w:val="002B5701"/>
  </w:style>
  <w:style w:type="paragraph" w:customStyle="1" w:styleId="Reptitle">
    <w:name w:val="Rep_title"/>
    <w:basedOn w:val="Rectitle"/>
    <w:next w:val="Repref"/>
    <w:rsid w:val="002B5701"/>
  </w:style>
  <w:style w:type="paragraph" w:customStyle="1" w:styleId="Resdate">
    <w:name w:val="Res_date"/>
    <w:basedOn w:val="Recdate"/>
    <w:next w:val="Normalaftertitle"/>
    <w:rsid w:val="002B5701"/>
  </w:style>
  <w:style w:type="paragraph" w:customStyle="1" w:styleId="ResNo">
    <w:name w:val="Res_No"/>
    <w:basedOn w:val="RecNo"/>
    <w:next w:val="Restitle"/>
    <w:rsid w:val="002B5701"/>
  </w:style>
  <w:style w:type="paragraph" w:customStyle="1" w:styleId="Resref">
    <w:name w:val="Res_ref"/>
    <w:basedOn w:val="Recref"/>
    <w:next w:val="Resdate"/>
    <w:rsid w:val="002B5701"/>
  </w:style>
  <w:style w:type="paragraph" w:customStyle="1" w:styleId="Restitle">
    <w:name w:val="Res_title"/>
    <w:basedOn w:val="Normal"/>
    <w:next w:val="Resref"/>
    <w:rsid w:val="002B570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2B5701"/>
  </w:style>
  <w:style w:type="paragraph" w:customStyle="1" w:styleId="Sectiontitle">
    <w:name w:val="Section_title"/>
    <w:basedOn w:val="Normal"/>
    <w:next w:val="Normalaftertitle"/>
    <w:rsid w:val="002B570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2B570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2B570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2B570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2B570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2B570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2B5701"/>
  </w:style>
  <w:style w:type="paragraph" w:styleId="TOC6">
    <w:name w:val="toc 6"/>
    <w:basedOn w:val="TOC4"/>
    <w:semiHidden/>
    <w:rsid w:val="002B5701"/>
  </w:style>
  <w:style w:type="paragraph" w:styleId="TOC7">
    <w:name w:val="toc 7"/>
    <w:basedOn w:val="TOC4"/>
    <w:semiHidden/>
    <w:rsid w:val="002B5701"/>
  </w:style>
  <w:style w:type="paragraph" w:styleId="TOC8">
    <w:name w:val="toc 8"/>
    <w:basedOn w:val="TOC4"/>
    <w:semiHidden/>
    <w:rsid w:val="002B5701"/>
  </w:style>
  <w:style w:type="paragraph" w:customStyle="1" w:styleId="Rectitle">
    <w:name w:val="Rec_title"/>
    <w:basedOn w:val="Normal"/>
    <w:next w:val="Recref"/>
    <w:rsid w:val="002B570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2B570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701"/>
  </w:style>
  <w:style w:type="paragraph" w:customStyle="1" w:styleId="Figuretitle">
    <w:name w:val="Figure_title"/>
    <w:basedOn w:val="Normal"/>
    <w:next w:val="Figure"/>
    <w:rsid w:val="002B570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2B570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2B570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2B5701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6D02"/>
    <w:pPr>
      <w:ind w:left="720"/>
      <w:contextualSpacing/>
    </w:pPr>
  </w:style>
  <w:style w:type="character" w:customStyle="1" w:styleId="TableNo0">
    <w:name w:val="Table_No Знак"/>
    <w:basedOn w:val="DefaultParagraphFont"/>
    <w:link w:val="TableNo"/>
    <w:locked/>
    <w:rsid w:val="00A96D02"/>
    <w:rPr>
      <w:sz w:val="24"/>
      <w:lang w:val="fr-FR" w:eastAsia="en-US"/>
    </w:rPr>
  </w:style>
  <w:style w:type="character" w:customStyle="1" w:styleId="TabletextChar">
    <w:name w:val="Table_text Char"/>
    <w:basedOn w:val="DefaultParagraphFont"/>
    <w:link w:val="Tabletext"/>
    <w:rsid w:val="00A96D02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2B5701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en/ITU-D/Emergency-Telecommunications/Pages/PartneringforDisasterReduction.aspx" TargetMode="Externa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space/res647/index.as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FE0F8-91F5-431D-9E34-63C294B35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156</TotalTime>
  <Pages>6</Pages>
  <Words>2273</Words>
  <Characters>12961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S.1001-2* - Utilización de sistemas en el servicio fijo por satélite en situaciones de catástrofe natural y otras emergencias similares para alertas y operaciones de socorro</vt:lpstr>
    </vt:vector>
  </TitlesOfParts>
  <Manager/>
  <Company>ITU</Company>
  <LinksUpToDate>false</LinksUpToDate>
  <CharactersWithSpaces>15204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S.1001-2* - Utilización de sistemas en el servicio fijo por satélite en situaciones de catástrofe natural y otras emergencias similares para alertas y operaciones de socorro</dc:title>
  <dc:subject>Serie S = Servicio fijo por satélite</dc:subject>
  <dc:creator>Oficina de Radiocomunicaciones del UIT (BR)</dc:creator>
  <cp:keywords>S,1001-2*</cp:keywords>
  <dc:description>Santosbo, 25/06/2010, MSB106309</dc:description>
  <cp:lastModifiedBy>Al-Yammouni, Hala</cp:lastModifiedBy>
  <cp:revision>24</cp:revision>
  <cp:lastPrinted>2016-10-28T12:02:00Z</cp:lastPrinted>
  <dcterms:created xsi:type="dcterms:W3CDTF">2010-06-25T09:43:00Z</dcterms:created>
  <dcterms:modified xsi:type="dcterms:W3CDTF">2016-10-28T12:02:00Z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25 June 2010</vt:lpwstr>
  </property>
</Properties>
</file>