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334" w:rsidRPr="00575CB8" w:rsidRDefault="00C87334" w:rsidP="00C87334">
      <w:pPr>
        <w:rPr>
          <w:lang w:val="en-US"/>
        </w:rPr>
      </w:pPr>
      <w:bookmarkStart w:id="0" w:name="dbreak"/>
      <w:bookmarkEnd w:id="0"/>
    </w:p>
    <w:p w:rsidR="00C87334" w:rsidRDefault="00C87334" w:rsidP="00C87334"/>
    <w:p w:rsidR="00C87334" w:rsidRDefault="00C87334" w:rsidP="00C87334"/>
    <w:p w:rsidR="00C87334" w:rsidRDefault="00C87334" w:rsidP="00C87334"/>
    <w:p w:rsidR="00C87334" w:rsidRDefault="00C87334" w:rsidP="00C87334"/>
    <w:p w:rsidR="00C87334" w:rsidRDefault="00C87334" w:rsidP="00C87334"/>
    <w:p w:rsidR="00C87334" w:rsidRDefault="00C87334" w:rsidP="00C87334"/>
    <w:p w:rsidR="00C87334" w:rsidRDefault="00C87334" w:rsidP="00C87334"/>
    <w:p w:rsidR="00C87334" w:rsidRDefault="00C87334" w:rsidP="00C87334"/>
    <w:p w:rsidR="00C87334" w:rsidRDefault="00C87334" w:rsidP="00C87334"/>
    <w:p w:rsidR="00C87334" w:rsidRDefault="00C87334" w:rsidP="00C87334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C87334" w:rsidRPr="00E253FE" w:rsidTr="00A40FB6">
        <w:tc>
          <w:tcPr>
            <w:tcW w:w="10089" w:type="dxa"/>
          </w:tcPr>
          <w:p w:rsidR="00C87334" w:rsidRPr="0010336F" w:rsidRDefault="00C87334" w:rsidP="00A40FB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C87334" w:rsidRPr="0010336F" w:rsidRDefault="00C87334" w:rsidP="00A40FB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RS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1881</w:t>
            </w:r>
          </w:p>
          <w:p w:rsidR="00C87334" w:rsidRPr="0010336F" w:rsidRDefault="00C87334" w:rsidP="00A40FB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C87334" w:rsidRPr="0048629A" w:rsidTr="00A40FB6">
        <w:tc>
          <w:tcPr>
            <w:tcW w:w="10089" w:type="dxa"/>
          </w:tcPr>
          <w:p w:rsidR="00C87334" w:rsidRPr="0010336F" w:rsidRDefault="00C87334" w:rsidP="00A40FB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C87334" w:rsidRDefault="00C87334" w:rsidP="0048629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Criterios de protección de los receptores</w:t>
            </w:r>
            <w:r w:rsidR="0048629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diferencia del tiempo de llegada</w:t>
            </w:r>
            <w:r w:rsidR="0048629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del</w:t>
            </w:r>
            <w:r w:rsidR="0048629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servicio de ayudas a la meteorología</w:t>
            </w:r>
            <w:r w:rsidR="0048629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 xml:space="preserve">en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la banda de frecuencias</w:t>
            </w:r>
            <w:r w:rsidR="0048629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9-11,3 kHz</w:t>
            </w:r>
          </w:p>
          <w:p w:rsidR="00C87334" w:rsidRPr="0010336F" w:rsidRDefault="00C87334" w:rsidP="00A40FB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C87334" w:rsidRPr="0048629A" w:rsidTr="00A40FB6">
        <w:tc>
          <w:tcPr>
            <w:tcW w:w="10089" w:type="dxa"/>
          </w:tcPr>
          <w:p w:rsidR="00C87334" w:rsidRPr="0010336F" w:rsidRDefault="00C87334" w:rsidP="00A40FB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C87334" w:rsidRPr="0010336F" w:rsidRDefault="00C87334" w:rsidP="00A40FB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C87334" w:rsidRPr="0010336F" w:rsidRDefault="00C87334" w:rsidP="00A40FB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C87334" w:rsidRPr="0010336F" w:rsidRDefault="00C87334" w:rsidP="00A40FB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RS</w:t>
            </w:r>
          </w:p>
          <w:p w:rsidR="00C87334" w:rsidRPr="0010336F" w:rsidRDefault="00C87334" w:rsidP="00A40FB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Sistemas de detección a distancia</w:t>
            </w:r>
          </w:p>
        </w:tc>
      </w:tr>
    </w:tbl>
    <w:p w:rsidR="00C87334" w:rsidRPr="0026666F" w:rsidRDefault="00C87334" w:rsidP="00C87334">
      <w:pPr>
        <w:spacing w:before="80"/>
        <w:rPr>
          <w:i/>
          <w:sz w:val="22"/>
          <w:lang w:val="es-ES_tradnl"/>
        </w:rPr>
      </w:pPr>
    </w:p>
    <w:p w:rsidR="00C87334" w:rsidRPr="0026666F" w:rsidRDefault="00C87334" w:rsidP="00C87334">
      <w:pPr>
        <w:spacing w:before="80"/>
        <w:rPr>
          <w:i/>
          <w:sz w:val="22"/>
          <w:lang w:val="es-ES_tradnl"/>
        </w:rPr>
      </w:pPr>
    </w:p>
    <w:p w:rsidR="00C87334" w:rsidRPr="0026666F" w:rsidRDefault="00C87334" w:rsidP="00C87334">
      <w:pPr>
        <w:spacing w:before="80"/>
        <w:rPr>
          <w:i/>
          <w:sz w:val="22"/>
          <w:lang w:val="es-ES_tradnl"/>
        </w:rPr>
      </w:pPr>
    </w:p>
    <w:p w:rsidR="00C87334" w:rsidRPr="0026666F" w:rsidRDefault="00C87334" w:rsidP="00C87334">
      <w:pPr>
        <w:spacing w:before="80"/>
        <w:rPr>
          <w:i/>
          <w:sz w:val="22"/>
          <w:lang w:val="es-ES_tradnl"/>
        </w:rPr>
      </w:pPr>
    </w:p>
    <w:p w:rsidR="00C87334" w:rsidRPr="0026666F" w:rsidRDefault="00C87334" w:rsidP="00C87334">
      <w:pPr>
        <w:spacing w:before="80"/>
        <w:rPr>
          <w:i/>
          <w:sz w:val="22"/>
          <w:lang w:val="es-ES_tradnl"/>
        </w:rPr>
      </w:pPr>
    </w:p>
    <w:p w:rsidR="00C87334" w:rsidRPr="0026666F" w:rsidRDefault="00C87334" w:rsidP="00C87334">
      <w:pPr>
        <w:spacing w:before="80"/>
        <w:rPr>
          <w:i/>
          <w:sz w:val="22"/>
          <w:lang w:val="es-ES_tradnl"/>
        </w:rPr>
      </w:pPr>
    </w:p>
    <w:p w:rsidR="00C87334" w:rsidRPr="0026666F" w:rsidRDefault="00C87334" w:rsidP="00C8733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C87334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7334" w:rsidRPr="006C718C" w:rsidRDefault="00C87334" w:rsidP="00C87334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C87334" w:rsidRPr="006C718C" w:rsidRDefault="00C87334" w:rsidP="00C87334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C87334" w:rsidRPr="006C718C" w:rsidRDefault="00C87334" w:rsidP="00C87334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C87334" w:rsidRPr="00021E8A" w:rsidRDefault="00C87334" w:rsidP="00C87334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C87334" w:rsidRPr="00021E8A" w:rsidRDefault="00C87334" w:rsidP="00C87334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C87334" w:rsidRPr="007C36CA" w:rsidRDefault="00C87334" w:rsidP="00C87334">
      <w:pPr>
        <w:spacing w:before="0"/>
        <w:jc w:val="center"/>
        <w:rPr>
          <w:sz w:val="22"/>
          <w:lang w:val="es-ES_tradnl"/>
        </w:rPr>
      </w:pPr>
    </w:p>
    <w:p w:rsidR="00C87334" w:rsidRPr="007C36CA" w:rsidRDefault="00C87334" w:rsidP="00C87334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C87334" w:rsidRPr="0048629A" w:rsidTr="00A40FB6">
        <w:tc>
          <w:tcPr>
            <w:tcW w:w="9360" w:type="dxa"/>
            <w:gridSpan w:val="2"/>
          </w:tcPr>
          <w:p w:rsidR="00C87334" w:rsidRPr="00021E8A" w:rsidRDefault="00C87334" w:rsidP="00A40FB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C87334" w:rsidRPr="00763D08" w:rsidRDefault="00C87334" w:rsidP="00A40FB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C87334" w:rsidRPr="00036EE3" w:rsidTr="00A40FB6">
        <w:tc>
          <w:tcPr>
            <w:tcW w:w="1140" w:type="dxa"/>
            <w:tcBorders>
              <w:bottom w:val="nil"/>
            </w:tcBorders>
          </w:tcPr>
          <w:p w:rsidR="00C87334" w:rsidRPr="00036EE3" w:rsidRDefault="00C87334" w:rsidP="00A40FB6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C87334" w:rsidRPr="00036EE3" w:rsidRDefault="00C87334" w:rsidP="00A40FB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C87334" w:rsidRPr="004532F7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4532F7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4532F7" w:rsidRDefault="00C87334" w:rsidP="00A40FB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C87334" w:rsidRPr="0048629A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6B22C3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6B22C3" w:rsidRDefault="00C87334" w:rsidP="00A40FB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C87334" w:rsidRPr="00847DD5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847DD5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847DD5" w:rsidRDefault="00C87334" w:rsidP="00A40FB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C87334" w:rsidRPr="00ED2695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ED2695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021E8A" w:rsidRDefault="00C87334" w:rsidP="00A40FB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C87334" w:rsidRPr="00366CEE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366CEE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366CEE" w:rsidRDefault="00C87334" w:rsidP="00A40F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C87334" w:rsidRPr="0048629A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10336F" w:rsidRDefault="00C87334" w:rsidP="00A40FB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10336F" w:rsidRDefault="00C87334" w:rsidP="00A40FB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C87334" w:rsidRPr="0048629A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F95576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F95576" w:rsidRDefault="00C87334" w:rsidP="00A40FB6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C87334" w:rsidRPr="00DE71F7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C87334" w:rsidRPr="00DE71F7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C87334" w:rsidRPr="00DE71F7" w:rsidRDefault="00C87334" w:rsidP="00A40F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 astronomía</w:t>
            </w:r>
          </w:p>
        </w:tc>
      </w:tr>
      <w:tr w:rsidR="00C87334" w:rsidRPr="0048629A" w:rsidTr="00A40FB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C87334" w:rsidRPr="00DE71F7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DE71F7">
              <w:rPr>
                <w:b/>
                <w:bCs/>
                <w:color w:val="000080"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C87334" w:rsidRPr="00DE71F7" w:rsidRDefault="00C87334" w:rsidP="00A40FB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es-ES_tradnl"/>
              </w:rPr>
            </w:pPr>
            <w:r w:rsidRPr="00DE71F7">
              <w:rPr>
                <w:b/>
                <w:bCs/>
                <w:color w:val="000080"/>
                <w:sz w:val="20"/>
                <w:lang w:val="es-ES_tradnl"/>
              </w:rPr>
              <w:t>Sistemas de detección a distancia</w:t>
            </w:r>
          </w:p>
        </w:tc>
      </w:tr>
      <w:tr w:rsidR="00C87334" w:rsidRPr="00036EE3" w:rsidTr="00A40FB6">
        <w:tc>
          <w:tcPr>
            <w:tcW w:w="1140" w:type="dxa"/>
            <w:tcBorders>
              <w:top w:val="nil"/>
            </w:tcBorders>
          </w:tcPr>
          <w:p w:rsidR="00C87334" w:rsidRPr="00036EE3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</w:tcBorders>
          </w:tcPr>
          <w:p w:rsidR="00C87334" w:rsidRPr="00021E8A" w:rsidRDefault="00C87334" w:rsidP="00A40FB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C87334" w:rsidRPr="00036EE3" w:rsidTr="00A40FB6">
        <w:tc>
          <w:tcPr>
            <w:tcW w:w="1140" w:type="dxa"/>
          </w:tcPr>
          <w:p w:rsidR="00C87334" w:rsidRPr="00036EE3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C87334" w:rsidRPr="00021E8A" w:rsidRDefault="00C87334" w:rsidP="00A40FB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C87334" w:rsidRPr="0048629A" w:rsidTr="00A40FB6">
        <w:tc>
          <w:tcPr>
            <w:tcW w:w="1140" w:type="dxa"/>
          </w:tcPr>
          <w:p w:rsidR="00C87334" w:rsidRPr="00036EE3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C87334" w:rsidRPr="00021E8A" w:rsidRDefault="00C87334" w:rsidP="00A40FB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C87334" w:rsidRPr="00036EE3" w:rsidTr="00A40FB6">
        <w:tc>
          <w:tcPr>
            <w:tcW w:w="1140" w:type="dxa"/>
            <w:shd w:val="clear" w:color="auto" w:fill="auto"/>
          </w:tcPr>
          <w:p w:rsidR="00C87334" w:rsidRPr="001240BC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C87334" w:rsidRPr="001240BC" w:rsidRDefault="00C87334" w:rsidP="00A40FB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C87334" w:rsidRPr="00036EE3" w:rsidTr="00A40FB6">
        <w:tc>
          <w:tcPr>
            <w:tcW w:w="1140" w:type="dxa"/>
          </w:tcPr>
          <w:p w:rsidR="00C87334" w:rsidRPr="00036EE3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C87334" w:rsidRPr="00021E8A" w:rsidRDefault="00C87334" w:rsidP="00A40FB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C87334" w:rsidRPr="0048629A" w:rsidTr="00A40FB6">
        <w:tc>
          <w:tcPr>
            <w:tcW w:w="1140" w:type="dxa"/>
          </w:tcPr>
          <w:p w:rsidR="00C87334" w:rsidRPr="00036EE3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C87334" w:rsidRPr="00021E8A" w:rsidRDefault="00C87334" w:rsidP="00A40FB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C87334" w:rsidRPr="00036EE3" w:rsidTr="00A40FB6">
        <w:tc>
          <w:tcPr>
            <w:tcW w:w="1140" w:type="dxa"/>
          </w:tcPr>
          <w:p w:rsidR="00C87334" w:rsidRPr="00036EE3" w:rsidRDefault="00C87334" w:rsidP="00A40FB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C87334" w:rsidRPr="00021E8A" w:rsidRDefault="00C87334" w:rsidP="00A40FB6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C87334" w:rsidRPr="00036EE3" w:rsidRDefault="00C87334" w:rsidP="00C87334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87334" w:rsidTr="00A40FB6">
        <w:tc>
          <w:tcPr>
            <w:tcW w:w="720" w:type="dxa"/>
          </w:tcPr>
          <w:p w:rsidR="00C87334" w:rsidRDefault="00C87334" w:rsidP="00A40FB6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C87334" w:rsidRPr="0048629A" w:rsidTr="00A40FB6">
        <w:tc>
          <w:tcPr>
            <w:tcW w:w="9360" w:type="dxa"/>
          </w:tcPr>
          <w:p w:rsidR="00C87334" w:rsidRPr="00763D08" w:rsidRDefault="00C87334" w:rsidP="00A40FB6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C87334" w:rsidRPr="00763D08" w:rsidRDefault="00C87334" w:rsidP="00C87334">
      <w:pPr>
        <w:spacing w:before="0"/>
        <w:jc w:val="center"/>
        <w:rPr>
          <w:sz w:val="22"/>
          <w:lang w:val="es-ES_tradnl"/>
        </w:rPr>
      </w:pPr>
    </w:p>
    <w:p w:rsidR="00C87334" w:rsidRPr="00763D08" w:rsidRDefault="00C87334" w:rsidP="00C87334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C87334" w:rsidRPr="00763D08" w:rsidRDefault="00C87334" w:rsidP="00C87334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11</w:t>
      </w:r>
    </w:p>
    <w:p w:rsidR="00C87334" w:rsidRPr="00763D08" w:rsidRDefault="00C87334" w:rsidP="00C87334">
      <w:pPr>
        <w:spacing w:before="0"/>
        <w:jc w:val="center"/>
        <w:rPr>
          <w:sz w:val="22"/>
          <w:lang w:val="es-ES_tradnl"/>
        </w:rPr>
      </w:pPr>
    </w:p>
    <w:p w:rsidR="00C87334" w:rsidRPr="00763D08" w:rsidRDefault="00C87334" w:rsidP="00C87334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11</w:t>
      </w:r>
    </w:p>
    <w:p w:rsidR="00C87334" w:rsidRPr="006C718C" w:rsidRDefault="00C87334" w:rsidP="00C87334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C87334" w:rsidRPr="006C718C" w:rsidRDefault="00C87334" w:rsidP="00C87334">
      <w:pPr>
        <w:spacing w:before="160"/>
        <w:rPr>
          <w:i/>
          <w:sz w:val="20"/>
          <w:highlight w:val="yellow"/>
          <w:lang w:val="es-ES_tradnl"/>
        </w:rPr>
        <w:sectPr w:rsidR="00C87334" w:rsidRPr="006C718C" w:rsidSect="00A40FB6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55A6F" w:rsidRPr="00750831" w:rsidRDefault="00955A6F" w:rsidP="00955A6F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50831">
        <w:rPr>
          <w:lang w:val="es-ES_tradnl"/>
        </w:rPr>
        <w:lastRenderedPageBreak/>
        <w:t xml:space="preserve">RECOMENDACIÓN  </w:t>
      </w:r>
      <w:r w:rsidRPr="00750831">
        <w:rPr>
          <w:rStyle w:val="href"/>
          <w:lang w:val="es-ES_tradnl"/>
        </w:rPr>
        <w:t>UIT-R  RS.1881</w:t>
      </w:r>
    </w:p>
    <w:p w:rsidR="00955A6F" w:rsidRPr="00750831" w:rsidRDefault="00955A6F" w:rsidP="0048629A">
      <w:pPr>
        <w:pStyle w:val="Rectitle"/>
        <w:rPr>
          <w:lang w:val="es-ES_tradnl"/>
        </w:rPr>
      </w:pPr>
      <w:r w:rsidRPr="00750831">
        <w:rPr>
          <w:lang w:val="es-ES_tradnl"/>
        </w:rPr>
        <w:t>Criterios de protección de los receptores de diferencia del tiempo</w:t>
      </w:r>
      <w:r w:rsidR="0048629A">
        <w:rPr>
          <w:lang w:val="es-ES_tradnl"/>
        </w:rPr>
        <w:br/>
      </w:r>
      <w:r w:rsidRPr="00750831">
        <w:rPr>
          <w:lang w:val="es-ES_tradnl"/>
        </w:rPr>
        <w:t>de</w:t>
      </w:r>
      <w:r w:rsidR="0048629A">
        <w:rPr>
          <w:lang w:val="es-ES_tradnl"/>
        </w:rPr>
        <w:t xml:space="preserve"> </w:t>
      </w:r>
      <w:r w:rsidRPr="00750831">
        <w:rPr>
          <w:lang w:val="es-ES_tradnl"/>
        </w:rPr>
        <w:t>llegada del servicio de ayudas a la meteorología</w:t>
      </w:r>
      <w:r w:rsidR="0048629A">
        <w:rPr>
          <w:lang w:val="es-ES_tradnl"/>
        </w:rPr>
        <w:br/>
      </w:r>
      <w:r w:rsidRPr="00750831">
        <w:rPr>
          <w:lang w:val="es-ES_tradnl"/>
        </w:rPr>
        <w:t>en la banda de frecuencias 9</w:t>
      </w:r>
      <w:r w:rsidRPr="00750831">
        <w:rPr>
          <w:lang w:val="es-ES_tradnl"/>
        </w:rPr>
        <w:noBreakHyphen/>
        <w:t>11,3 kHz</w:t>
      </w:r>
      <w:r w:rsidRPr="00750831">
        <w:rPr>
          <w:rStyle w:val="FootnoteReference"/>
          <w:lang w:val="es-ES_tradnl"/>
        </w:rPr>
        <w:footnoteReference w:customMarkFollows="1" w:id="1"/>
        <w:t>*</w:t>
      </w:r>
    </w:p>
    <w:p w:rsidR="00F11434" w:rsidRDefault="00F11434" w:rsidP="00955A6F">
      <w:pPr>
        <w:pStyle w:val="Recdate"/>
        <w:rPr>
          <w:lang w:val="es-ES_tradnl"/>
        </w:rPr>
      </w:pPr>
    </w:p>
    <w:p w:rsidR="00955A6F" w:rsidRPr="00750831" w:rsidRDefault="00955A6F" w:rsidP="00955A6F">
      <w:pPr>
        <w:pStyle w:val="Recdate"/>
        <w:rPr>
          <w:lang w:val="es-ES_tradnl"/>
        </w:rPr>
      </w:pPr>
      <w:r w:rsidRPr="00750831">
        <w:rPr>
          <w:lang w:val="es-ES_tradnl"/>
        </w:rPr>
        <w:t>(2011)</w:t>
      </w:r>
    </w:p>
    <w:p w:rsidR="00955A6F" w:rsidRPr="00750831" w:rsidRDefault="00F11434" w:rsidP="00955A6F">
      <w:pPr>
        <w:pStyle w:val="HeadingSum"/>
      </w:pPr>
      <w:r>
        <w:t>Cometido</w:t>
      </w:r>
    </w:p>
    <w:p w:rsidR="00955A6F" w:rsidRPr="00750831" w:rsidRDefault="00955A6F" w:rsidP="00955A6F">
      <w:pPr>
        <w:pStyle w:val="Summary"/>
      </w:pPr>
      <w:r w:rsidRPr="00750831">
        <w:t>Esta Recomendación del UIT-R caracteriza las propiedades técnicas, las características operacionales y los criterios de protección del sistema de diferencia del tiempo de llegada (ATD) que funciona en el servicio de ayudas a la meteorología en la gama de frecuencias de 9 a 11,3 kHz.</w:t>
      </w:r>
    </w:p>
    <w:p w:rsidR="00955A6F" w:rsidRPr="00750831" w:rsidRDefault="00955A6F" w:rsidP="00955A6F">
      <w:pPr>
        <w:pStyle w:val="Normalaftertitle"/>
        <w:rPr>
          <w:lang w:val="es-ES_tradnl"/>
        </w:rPr>
      </w:pPr>
      <w:r w:rsidRPr="00750831">
        <w:rPr>
          <w:lang w:val="es-ES_tradnl"/>
        </w:rPr>
        <w:t>La Asamblea de Radiocomunicaciones de la UIT,</w:t>
      </w:r>
    </w:p>
    <w:p w:rsidR="00955A6F" w:rsidRPr="00750831" w:rsidRDefault="00955A6F" w:rsidP="00955A6F">
      <w:pPr>
        <w:pStyle w:val="Call"/>
        <w:rPr>
          <w:lang w:val="es-ES_tradnl"/>
        </w:rPr>
      </w:pPr>
      <w:r w:rsidRPr="00750831">
        <w:rPr>
          <w:lang w:val="es-ES_tradnl"/>
        </w:rPr>
        <w:t>considerando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a)</w:t>
      </w:r>
      <w:r w:rsidRPr="00750831">
        <w:rPr>
          <w:lang w:val="es-ES_tradnl"/>
        </w:rPr>
        <w:tab/>
        <w:t>que la detección del rayo a gran distancia mediante observaciones cercanas a la frecuencia de 10 kHz se ha estado realizando desde 1987, utilizando las diferencias de tiempo de las señales recibidas para obtener los emplazamientos de la descarga;</w:t>
      </w:r>
    </w:p>
    <w:p w:rsidR="00955A6F" w:rsidRPr="00750831" w:rsidRDefault="00955A6F" w:rsidP="0048629A">
      <w:pPr>
        <w:rPr>
          <w:lang w:val="es-ES_tradnl"/>
        </w:rPr>
      </w:pPr>
      <w:r w:rsidRPr="00750831">
        <w:rPr>
          <w:lang w:val="es-ES_tradnl"/>
        </w:rPr>
        <w:t>b)</w:t>
      </w:r>
      <w:r w:rsidRPr="00750831">
        <w:rPr>
          <w:lang w:val="es-ES_tradnl"/>
        </w:rPr>
        <w:tab/>
        <w:t>que las máximas emisiones espectrales procedentes de la descarga del rayo se centran entre 9 y 20</w:t>
      </w:r>
      <w:r w:rsidR="0048629A">
        <w:rPr>
          <w:lang w:val="es-ES_tradnl"/>
        </w:rPr>
        <w:t> </w:t>
      </w:r>
      <w:r w:rsidRPr="00750831">
        <w:rPr>
          <w:lang w:val="es-ES_tradnl"/>
        </w:rPr>
        <w:t>kHz. A estas frecuencias, las ondas reflejadas en la ionosfera se propagan a grandes distancias con una atenuación relativamente baja. Por consiguiente, es posible recibir emisiones causadas por la descarga de un rayo a miles de kilómetros de donde se produjo esa descarga;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c)</w:t>
      </w:r>
      <w:r w:rsidRPr="00750831">
        <w:rPr>
          <w:lang w:val="es-ES_tradnl"/>
        </w:rPr>
        <w:tab/>
        <w:t>que aunque actualmente existen sistemas nacionales y regionales de detección del rayo que funcionan en bandas de frecuencias más elevadas, dichos sistemas exigen un mayor número de estaciones receptoras debido a la notable reducción de la zona de cobertura de cada receptor. La detección con tales sistemas en grandes zonas oceánicas y masas terrestres, donde no existe infraestructura local, normalmente es difícil y muy costosa de llevar a cabo. Además, con estos sistemas no es posible cubrir grandes zonas oceánicas, por ejemplo la parte media del Atlántico;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d)</w:t>
      </w:r>
      <w:r w:rsidRPr="00750831">
        <w:rPr>
          <w:lang w:val="es-ES_tradnl"/>
        </w:rPr>
        <w:tab/>
        <w:t>que una de las ventajas principales que presenta el sistema de diferencia del tiempo de llegada (ATD) es la cobertura mundial proporcionada por un número limitado de receptores y estos receptores ofrecen un alto nivel de precisión con respecto a la detección a escala mundial;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e)</w:t>
      </w:r>
      <w:r w:rsidRPr="00750831">
        <w:rPr>
          <w:lang w:val="es-ES_tradnl"/>
        </w:rPr>
        <w:tab/>
        <w:t>que los datos proporcionados por el sistema ATD son utilizados por las organizaciones meteorológicas de todo el mundo y contribuyen a mejorar la seguridad de la vida humana, tanto en términos de previsiones para la seguridad pública como la seguridad de las operaciones de la aviación, especialmente en los océanos y en grandes extensiones de tierra donde no existen sistemas nacionales de detección del rayo. Además, este sistema tiene la posibilidad de ofrecer un servicio de apoyo a las iniciativas de reducción de riesgos en caso de catástrofe;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f)</w:t>
      </w:r>
      <w:r w:rsidRPr="00750831">
        <w:rPr>
          <w:lang w:val="es-ES_tradnl"/>
        </w:rPr>
        <w:tab/>
        <w:t>que cada vez hay más interés en todo el mundo en la capacidad de detección del rayo para reducir las consecuencias de las catástrofes, para la navegación y a efectos de previsiones meteorológicas;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lastRenderedPageBreak/>
        <w:t>g)</w:t>
      </w:r>
      <w:r w:rsidRPr="00750831">
        <w:rPr>
          <w:lang w:val="es-ES_tradnl"/>
        </w:rPr>
        <w:tab/>
        <w:t>que el sistema de detección del rayo ATD se basa en emisiones que se producen de forma natural causadas por las descargas del rayo y puede verse comprometido por la interferencia procedente de otras fuentes, incluidas las emisiones artificiales;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h)</w:t>
      </w:r>
      <w:r w:rsidRPr="00750831">
        <w:rPr>
          <w:lang w:val="es-ES_tradnl"/>
        </w:rPr>
        <w:tab/>
        <w:t>que debido a la propagación de gran alcance en esta banda de frecuencias, la interferencia puede afectar simultáneamente a muchas estaciones ATD y ello podría degradar fuertemente la calidad de funcionamiento del sistema incluyendo algunas veces la pérdida total de datos,</w:t>
      </w:r>
    </w:p>
    <w:p w:rsidR="00955A6F" w:rsidRPr="00750831" w:rsidRDefault="00955A6F" w:rsidP="00955A6F">
      <w:pPr>
        <w:pStyle w:val="Call"/>
        <w:rPr>
          <w:lang w:val="es-ES_tradnl"/>
        </w:rPr>
      </w:pPr>
      <w:r w:rsidRPr="00750831">
        <w:rPr>
          <w:lang w:val="es-ES_tradnl"/>
        </w:rPr>
        <w:t>reconociendo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a)</w:t>
      </w:r>
      <w:r w:rsidRPr="00750831">
        <w:rPr>
          <w:lang w:val="es-ES_tradnl"/>
        </w:rPr>
        <w:tab/>
        <w:t>que sólo hay un pequeño número de receptores ATD en todo el mundo;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b)</w:t>
      </w:r>
      <w:r w:rsidRPr="00750831">
        <w:rPr>
          <w:lang w:val="es-ES_tradnl"/>
        </w:rPr>
        <w:tab/>
        <w:t>que los receptores de la red ATD funcionan a una sola frecuencia con una anchura de banda de medición de 3 kHz,</w:t>
      </w:r>
    </w:p>
    <w:p w:rsidR="00955A6F" w:rsidRPr="00750831" w:rsidRDefault="00955A6F" w:rsidP="00955A6F">
      <w:pPr>
        <w:pStyle w:val="Call"/>
        <w:rPr>
          <w:lang w:val="es-ES_tradnl"/>
        </w:rPr>
      </w:pPr>
      <w:r w:rsidRPr="00750831">
        <w:rPr>
          <w:lang w:val="es-ES_tradnl"/>
        </w:rPr>
        <w:t>recomienda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b/>
          <w:bCs/>
          <w:lang w:val="es-ES_tradnl"/>
        </w:rPr>
        <w:t>1</w:t>
      </w:r>
      <w:r w:rsidRPr="00750831">
        <w:rPr>
          <w:lang w:val="es-ES_tradnl"/>
        </w:rPr>
        <w:tab/>
        <w:t>que se consulte el Anexo 1 para obtener información básica de referencia a fin de determinar los criterios de protección para los sensores ATD que funcionan en el servicio de ayudas a la meteorología en la banda de frecuencias 9-11,3 kHz;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b/>
          <w:bCs/>
          <w:lang w:val="es-ES_tradnl"/>
        </w:rPr>
        <w:t>2</w:t>
      </w:r>
      <w:r w:rsidRPr="00750831">
        <w:rPr>
          <w:lang w:val="es-ES_tradnl"/>
        </w:rPr>
        <w:tab/>
        <w:t>que se utilicen los criterios de protección indicados en el Anexo 1 para evaluar la compatibilidad entre las estaciones ATD pasivas del servicio de ayudas a la meteorología y las estaciones del servicio de radionavegación y de los servicios fijo y móvil.</w:t>
      </w:r>
    </w:p>
    <w:p w:rsidR="00955A6F" w:rsidRDefault="00955A6F" w:rsidP="00955A6F">
      <w:pPr>
        <w:rPr>
          <w:lang w:val="es-ES_tradnl"/>
        </w:rPr>
      </w:pPr>
    </w:p>
    <w:p w:rsidR="00955A6F" w:rsidRPr="00750831" w:rsidRDefault="00955A6F" w:rsidP="00955A6F">
      <w:pPr>
        <w:rPr>
          <w:lang w:val="es-ES_tradnl"/>
        </w:rPr>
      </w:pPr>
    </w:p>
    <w:p w:rsidR="00955A6F" w:rsidRPr="00750831" w:rsidRDefault="00955A6F" w:rsidP="00955A6F">
      <w:pPr>
        <w:pStyle w:val="AnnexNoTitle"/>
        <w:rPr>
          <w:lang w:val="es-ES_tradnl"/>
        </w:rPr>
      </w:pPr>
      <w:r w:rsidRPr="00750831">
        <w:rPr>
          <w:lang w:val="es-ES_tradnl"/>
        </w:rPr>
        <w:t>Anexo 1</w:t>
      </w:r>
      <w:r w:rsidRPr="00750831">
        <w:rPr>
          <w:lang w:val="es-ES_tradnl"/>
        </w:rPr>
        <w:br/>
      </w:r>
      <w:r w:rsidRPr="00750831">
        <w:rPr>
          <w:lang w:val="es-ES_tradnl"/>
        </w:rPr>
        <w:br/>
        <w:t>Criterios de protección ATD</w:t>
      </w:r>
    </w:p>
    <w:p w:rsidR="00955A6F" w:rsidRPr="00750831" w:rsidRDefault="00955A6F" w:rsidP="00955A6F">
      <w:pPr>
        <w:pStyle w:val="Heading1"/>
        <w:rPr>
          <w:lang w:val="es-ES_tradnl"/>
        </w:rPr>
      </w:pPr>
      <w:r w:rsidRPr="00750831">
        <w:rPr>
          <w:lang w:val="es-ES_tradnl"/>
        </w:rPr>
        <w:t>1</w:t>
      </w:r>
      <w:r w:rsidRPr="00750831">
        <w:rPr>
          <w:lang w:val="es-ES_tradnl"/>
        </w:rPr>
        <w:tab/>
        <w:t>Resumen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El presente Anexo establece los parámetros que deben considerarse en cualquier análisis de compatibilidad y compartición entre los receptores ATD y otros servicios en la banda de frecuencias 9-11,3 kHz.</w:t>
      </w:r>
    </w:p>
    <w:p w:rsidR="00955A6F" w:rsidRPr="00750831" w:rsidRDefault="00955A6F" w:rsidP="00955A6F">
      <w:pPr>
        <w:pStyle w:val="Heading1"/>
        <w:rPr>
          <w:lang w:val="es-ES_tradnl"/>
        </w:rPr>
      </w:pPr>
      <w:r w:rsidRPr="00750831">
        <w:rPr>
          <w:lang w:val="es-ES_tradnl"/>
        </w:rPr>
        <w:t>2</w:t>
      </w:r>
      <w:r w:rsidRPr="00750831">
        <w:rPr>
          <w:lang w:val="es-ES_tradnl"/>
        </w:rPr>
        <w:tab/>
        <w:t>Características de los receptores ATD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En el Cuadro 1 aparecen los parámetros típicos del receptor para el sensor ATD.</w:t>
      </w:r>
    </w:p>
    <w:p w:rsidR="00955A6F" w:rsidRPr="00750831" w:rsidRDefault="00955A6F" w:rsidP="00955A6F">
      <w:pPr>
        <w:pStyle w:val="Heading1"/>
        <w:rPr>
          <w:lang w:val="es-ES_tradnl"/>
        </w:rPr>
      </w:pPr>
      <w:r w:rsidRPr="00750831">
        <w:rPr>
          <w:lang w:val="es-ES_tradnl"/>
        </w:rPr>
        <w:t>3</w:t>
      </w:r>
      <w:r w:rsidRPr="00750831">
        <w:rPr>
          <w:lang w:val="es-ES_tradnl"/>
        </w:rPr>
        <w:tab/>
        <w:t>Niveles de protección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Basándose en el criterio de evento ATD Sferic</w:t>
      </w:r>
      <w:r w:rsidRPr="00750831">
        <w:rPr>
          <w:rStyle w:val="FootnoteReference"/>
          <w:lang w:val="es-ES_tradnl"/>
        </w:rPr>
        <w:footnoteReference w:id="2"/>
      </w:r>
      <w:r w:rsidRPr="00750831">
        <w:rPr>
          <w:lang w:val="es-ES_tradnl"/>
        </w:rPr>
        <w:t>, la forma de onda no puede actualizarse cuando se expone a varios niveles de interferencia; se han evaluado dos tipos de formas de onda de interferencia simuladas para diversos desplazamientos de frecuencia en la banda de medición; a saber, la onda continua (CW) y la onda continua (CW) impulsiva (ciclo de trabajo del 67%).</w:t>
      </w:r>
    </w:p>
    <w:p w:rsidR="00955A6F" w:rsidRPr="00750831" w:rsidRDefault="00955A6F" w:rsidP="00955A6F">
      <w:pPr>
        <w:pStyle w:val="TableNo"/>
        <w:rPr>
          <w:lang w:val="es-ES_tradnl"/>
        </w:rPr>
      </w:pPr>
      <w:r w:rsidRPr="00750831">
        <w:rPr>
          <w:lang w:val="es-ES_tradnl"/>
        </w:rPr>
        <w:lastRenderedPageBreak/>
        <w:t>CUADRO 1</w:t>
      </w:r>
    </w:p>
    <w:p w:rsidR="00955A6F" w:rsidRPr="00750831" w:rsidRDefault="00955A6F" w:rsidP="00955A6F">
      <w:pPr>
        <w:pStyle w:val="Tabletitle"/>
        <w:rPr>
          <w:lang w:val="es-ES_tradnl"/>
        </w:rPr>
      </w:pPr>
      <w:r w:rsidRPr="00750831">
        <w:rPr>
          <w:lang w:val="es-ES_tradnl"/>
        </w:rPr>
        <w:t>Parámetros típicos del sistema ATD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18"/>
        <w:gridCol w:w="5121"/>
      </w:tblGrid>
      <w:tr w:rsidR="00955A6F" w:rsidRPr="0048629A" w:rsidTr="00F11434">
        <w:trPr>
          <w:jc w:val="center"/>
        </w:trPr>
        <w:tc>
          <w:tcPr>
            <w:tcW w:w="9073" w:type="dxa"/>
            <w:gridSpan w:val="2"/>
          </w:tcPr>
          <w:p w:rsidR="00955A6F" w:rsidRPr="00750831" w:rsidRDefault="00955A6F" w:rsidP="00F11434">
            <w:pPr>
              <w:pStyle w:val="Tablehead"/>
              <w:rPr>
                <w:lang w:val="es-ES_tradnl"/>
              </w:rPr>
            </w:pPr>
            <w:r w:rsidRPr="00750831">
              <w:rPr>
                <w:lang w:val="es-ES_tradnl"/>
              </w:rPr>
              <w:t>Características técnicas del sistema ATD</w:t>
            </w:r>
          </w:p>
        </w:tc>
      </w:tr>
      <w:tr w:rsidR="00955A6F" w:rsidRPr="00750831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Frecuencia central de receptor</w:t>
            </w:r>
          </w:p>
        </w:tc>
        <w:tc>
          <w:tcPr>
            <w:tcW w:w="4820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9,766 kHz</w:t>
            </w:r>
          </w:p>
        </w:tc>
      </w:tr>
      <w:tr w:rsidR="00955A6F" w:rsidRPr="0048629A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Ganancia del amplificador (unidad del sensor) del receptor</w:t>
            </w:r>
          </w:p>
        </w:tc>
        <w:tc>
          <w:tcPr>
            <w:tcW w:w="4820" w:type="dxa"/>
          </w:tcPr>
          <w:p w:rsidR="00955A6F" w:rsidRPr="00750831" w:rsidRDefault="00955A6F" w:rsidP="00F11434">
            <w:pPr>
              <w:pStyle w:val="Tabletext"/>
              <w:jc w:val="left"/>
              <w:rPr>
                <w:vertAlign w:val="superscript"/>
                <w:lang w:val="es-ES_tradnl"/>
              </w:rPr>
            </w:pPr>
            <w:r w:rsidRPr="00750831">
              <w:rPr>
                <w:lang w:val="es-ES_tradnl"/>
              </w:rPr>
              <w:t>12 dB si se conmuta mediante software de central (como suele ser el caso), de no ser así cero</w:t>
            </w:r>
            <w:r w:rsidRPr="00750831">
              <w:rPr>
                <w:vertAlign w:val="superscript"/>
                <w:lang w:val="es-ES_tradnl"/>
              </w:rPr>
              <w:t>(1)</w:t>
            </w:r>
          </w:p>
        </w:tc>
      </w:tr>
      <w:tr w:rsidR="00955A6F" w:rsidRPr="00750831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Anchura de banda de medición</w:t>
            </w:r>
          </w:p>
        </w:tc>
        <w:tc>
          <w:tcPr>
            <w:tcW w:w="4820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3 kHz</w:t>
            </w:r>
          </w:p>
        </w:tc>
      </w:tr>
      <w:tr w:rsidR="00955A6F" w:rsidRPr="00750831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«Banda de paso» total</w:t>
            </w:r>
          </w:p>
        </w:tc>
        <w:tc>
          <w:tcPr>
            <w:tcW w:w="4820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6,87 a 20,6 kHz</w:t>
            </w:r>
          </w:p>
        </w:tc>
      </w:tr>
      <w:tr w:rsidR="00955A6F" w:rsidRPr="0048629A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Tipo de antena y directividad</w:t>
            </w:r>
          </w:p>
        </w:tc>
        <w:tc>
          <w:tcPr>
            <w:tcW w:w="4820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2 m, polarización vertical, antena de látigo omnidireccional</w:t>
            </w:r>
          </w:p>
        </w:tc>
      </w:tr>
      <w:tr w:rsidR="00955A6F" w:rsidRPr="0048629A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Filtro mediante software</w:t>
            </w:r>
          </w:p>
        </w:tc>
        <w:tc>
          <w:tcPr>
            <w:tcW w:w="4820" w:type="dxa"/>
          </w:tcPr>
          <w:p w:rsidR="00955A6F" w:rsidRPr="00750831" w:rsidRDefault="00955A6F" w:rsidP="0048629A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Filtro paso alto de banda ancha (3 dB a 2,0 kHz), conectado en cascada con un filtro paso bajo (límite de</w:t>
            </w:r>
            <w:r w:rsidR="0048629A">
              <w:rPr>
                <w:lang w:val="es-ES_tradnl"/>
              </w:rPr>
              <w:t> </w:t>
            </w:r>
            <w:r w:rsidRPr="00750831">
              <w:rPr>
                <w:lang w:val="es-ES_tradnl"/>
              </w:rPr>
              <w:t>la banda de paso de 0,28 dB a 17,75 kHz)</w:t>
            </w:r>
          </w:p>
        </w:tc>
      </w:tr>
      <w:tr w:rsidR="00955A6F" w:rsidRPr="0048629A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 xml:space="preserve">Filtro paso banda estrecha mediante software </w:t>
            </w:r>
          </w:p>
        </w:tc>
        <w:tc>
          <w:tcPr>
            <w:tcW w:w="4820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Anchura de banda a 3 dB 2,5 kHz</w:t>
            </w:r>
            <w:r w:rsidRPr="00750831">
              <w:rPr>
                <w:lang w:val="es-ES_tradnl"/>
              </w:rPr>
              <w:br/>
              <w:t>Anchura de banda a 10 dB 4,3 kHz</w:t>
            </w:r>
            <w:r w:rsidRPr="00750831">
              <w:rPr>
                <w:lang w:val="es-ES_tradnl"/>
              </w:rPr>
              <w:br/>
              <w:t>Anchura de banda a 20 dB 5,7 kHz</w:t>
            </w:r>
          </w:p>
        </w:tc>
      </w:tr>
      <w:tr w:rsidR="00955A6F" w:rsidRPr="0048629A" w:rsidTr="00F11434">
        <w:trPr>
          <w:jc w:val="center"/>
        </w:trPr>
        <w:tc>
          <w:tcPr>
            <w:tcW w:w="4253" w:type="dxa"/>
          </w:tcPr>
          <w:p w:rsidR="00955A6F" w:rsidRPr="00750831" w:rsidRDefault="00955A6F" w:rsidP="00F11434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Ruido de fondo típico del receptor</w:t>
            </w:r>
          </w:p>
        </w:tc>
        <w:tc>
          <w:tcPr>
            <w:tcW w:w="4820" w:type="dxa"/>
          </w:tcPr>
          <w:p w:rsidR="00955A6F" w:rsidRPr="00750831" w:rsidRDefault="00955A6F" w:rsidP="0048629A">
            <w:pPr>
              <w:pStyle w:val="Tabletext"/>
              <w:jc w:val="left"/>
              <w:rPr>
                <w:lang w:val="es-ES_tradnl"/>
              </w:rPr>
            </w:pPr>
            <w:r w:rsidRPr="00750831">
              <w:rPr>
                <w:lang w:val="es-ES_tradnl"/>
              </w:rPr>
              <w:t>−70,4 dBm en una anchura de banda de referencia de 5</w:t>
            </w:r>
            <w:r w:rsidR="0048629A">
              <w:rPr>
                <w:lang w:val="es-ES_tradnl"/>
              </w:rPr>
              <w:t> </w:t>
            </w:r>
            <w:r w:rsidRPr="00750831">
              <w:rPr>
                <w:lang w:val="es-ES_tradnl"/>
              </w:rPr>
              <w:t>kHz</w:t>
            </w:r>
          </w:p>
        </w:tc>
      </w:tr>
      <w:tr w:rsidR="00955A6F" w:rsidRPr="0048629A" w:rsidTr="00F11434">
        <w:trPr>
          <w:jc w:val="center"/>
        </w:trPr>
        <w:tc>
          <w:tcPr>
            <w:tcW w:w="9073" w:type="dxa"/>
            <w:gridSpan w:val="2"/>
            <w:tcBorders>
              <w:left w:val="nil"/>
              <w:bottom w:val="nil"/>
              <w:right w:val="nil"/>
            </w:tcBorders>
          </w:tcPr>
          <w:p w:rsidR="00955A6F" w:rsidRPr="00750831" w:rsidRDefault="00955A6F" w:rsidP="00F11434">
            <w:pPr>
              <w:pStyle w:val="Tablelegend"/>
              <w:rPr>
                <w:szCs w:val="24"/>
                <w:lang w:val="es-ES_tradnl"/>
              </w:rPr>
            </w:pPr>
            <w:r w:rsidRPr="00750831">
              <w:rPr>
                <w:vertAlign w:val="superscript"/>
                <w:lang w:val="es-ES_tradnl"/>
              </w:rPr>
              <w:t>(1)</w:t>
            </w:r>
            <w:r w:rsidRPr="00750831">
              <w:rPr>
                <w:vertAlign w:val="superscript"/>
                <w:lang w:val="es-ES_tradnl"/>
              </w:rPr>
              <w:tab/>
            </w:r>
            <w:r w:rsidRPr="00750831">
              <w:rPr>
                <w:lang w:val="es-ES_tradnl"/>
              </w:rPr>
              <w:t>La ganancia del amplificador de 12 dB se utiliza para la detección de largo alcance</w:t>
            </w:r>
            <w:r>
              <w:rPr>
                <w:lang w:val="es-ES_tradnl"/>
              </w:rPr>
              <w:t>;</w:t>
            </w:r>
            <w:r w:rsidRPr="00750831">
              <w:rPr>
                <w:lang w:val="es-ES_tradnl"/>
              </w:rPr>
              <w:t xml:space="preserve"> si la descarga del rayo se produce en las proximidades del receptor, la ganancia de entrada se reduce a cero.</w:t>
            </w:r>
          </w:p>
        </w:tc>
      </w:tr>
    </w:tbl>
    <w:p w:rsidR="00955A6F" w:rsidRPr="00750831" w:rsidRDefault="00955A6F" w:rsidP="00955A6F">
      <w:pPr>
        <w:pStyle w:val="Tablefin"/>
        <w:rPr>
          <w:lang w:val="es-ES_tradnl"/>
        </w:rPr>
      </w:pPr>
    </w:p>
    <w:p w:rsidR="00955A6F" w:rsidRPr="00750831" w:rsidRDefault="00955A6F" w:rsidP="00955A6F">
      <w:pPr>
        <w:pStyle w:val="Heading2"/>
        <w:rPr>
          <w:lang w:val="es-ES_tradnl"/>
        </w:rPr>
      </w:pPr>
      <w:r w:rsidRPr="00750831">
        <w:rPr>
          <w:lang w:val="es-ES_tradnl"/>
        </w:rPr>
        <w:t>3.1</w:t>
      </w:r>
      <w:r w:rsidRPr="00750831">
        <w:rPr>
          <w:lang w:val="es-ES_tradnl"/>
        </w:rPr>
        <w:tab/>
        <w:t>Ruido de fondo típico del receptor ATD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El ruido de fondo típico del receptor es –70,4 dBm en una anchura de banda de 5 kHz.</w:t>
      </w:r>
    </w:p>
    <w:p w:rsidR="00955A6F" w:rsidRPr="00750831" w:rsidRDefault="00955A6F" w:rsidP="00955A6F">
      <w:pPr>
        <w:pStyle w:val="Heading2"/>
        <w:rPr>
          <w:lang w:val="es-ES_tradnl"/>
        </w:rPr>
      </w:pPr>
      <w:r w:rsidRPr="00750831">
        <w:rPr>
          <w:lang w:val="es-ES_tradnl"/>
        </w:rPr>
        <w:t>3.2</w:t>
      </w:r>
      <w:r w:rsidRPr="00750831">
        <w:rPr>
          <w:lang w:val="es-ES_tradnl"/>
        </w:rPr>
        <w:tab/>
        <w:t xml:space="preserve">Sensibilidad del receptor </w:t>
      </w:r>
      <w:r>
        <w:rPr>
          <w:lang w:val="es-ES_tradnl"/>
        </w:rPr>
        <w:t>(</w:t>
      </w:r>
      <w:r w:rsidRPr="00750831">
        <w:rPr>
          <w:lang w:val="es-ES_tradnl"/>
        </w:rPr>
        <w:t>para una mínima relación señal/ruido de 15 dB)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La sensibilidad del receptor de un sensor ATD es –69,5 dBm.</w:t>
      </w:r>
    </w:p>
    <w:p w:rsidR="00955A6F" w:rsidRPr="00750831" w:rsidRDefault="00955A6F" w:rsidP="00955A6F">
      <w:pPr>
        <w:pStyle w:val="Heading2"/>
        <w:rPr>
          <w:lang w:val="es-ES_tradnl"/>
        </w:rPr>
      </w:pPr>
      <w:r w:rsidRPr="00750831">
        <w:rPr>
          <w:lang w:val="es-ES_tradnl"/>
        </w:rPr>
        <w:t>3.3</w:t>
      </w:r>
      <w:r w:rsidRPr="00750831">
        <w:rPr>
          <w:lang w:val="es-ES_tradnl"/>
        </w:rPr>
        <w:tab/>
      </w:r>
      <w:r w:rsidRPr="00750831">
        <w:rPr>
          <w:i/>
          <w:iCs/>
          <w:lang w:val="es-ES_tradnl"/>
        </w:rPr>
        <w:t>C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en función de la sensibilidad del receptor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 xml:space="preserve">La relación de protección </w:t>
      </w:r>
      <w:r w:rsidRPr="00750831">
        <w:rPr>
          <w:i/>
          <w:iCs/>
          <w:lang w:val="es-ES_tradnl"/>
        </w:rPr>
        <w:t>C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se midió en una anchura de banda de 5 kHz (véase el Cuadro 2).</w:t>
      </w:r>
    </w:p>
    <w:p w:rsidR="00955A6F" w:rsidRPr="00750831" w:rsidRDefault="00955A6F" w:rsidP="00955A6F">
      <w:pPr>
        <w:pStyle w:val="TableNo"/>
        <w:rPr>
          <w:lang w:val="es-ES_tradnl"/>
        </w:rPr>
      </w:pPr>
      <w:bookmarkStart w:id="4" w:name="_Ref233195736"/>
      <w:bookmarkStart w:id="5" w:name="_Toc233696984"/>
      <w:r w:rsidRPr="00750831">
        <w:rPr>
          <w:lang w:val="es-ES_tradnl"/>
        </w:rPr>
        <w:t>CUADRO 2</w:t>
      </w:r>
      <w:bookmarkEnd w:id="4"/>
    </w:p>
    <w:p w:rsidR="00955A6F" w:rsidRPr="00750831" w:rsidRDefault="00955A6F" w:rsidP="00955A6F">
      <w:pPr>
        <w:pStyle w:val="Tabletitle"/>
        <w:rPr>
          <w:lang w:val="es-ES_tradnl"/>
        </w:rPr>
      </w:pPr>
      <w:r w:rsidRPr="00750831">
        <w:rPr>
          <w:i/>
          <w:iCs/>
          <w:lang w:val="es-ES_tradnl"/>
        </w:rPr>
        <w:t>C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</w:t>
      </w:r>
      <w:bookmarkEnd w:id="5"/>
      <w:r w:rsidRPr="00750831">
        <w:rPr>
          <w:lang w:val="es-ES_tradnl"/>
        </w:rPr>
        <w:t>medida en función del mínimo nivel de portadora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</w:tblGrid>
      <w:tr w:rsidR="00955A6F" w:rsidRPr="00750831" w:rsidTr="00F11434">
        <w:trPr>
          <w:jc w:val="center"/>
        </w:trPr>
        <w:tc>
          <w:tcPr>
            <w:tcW w:w="2410" w:type="dxa"/>
            <w:vAlign w:val="center"/>
          </w:tcPr>
          <w:p w:rsidR="00955A6F" w:rsidRPr="00750831" w:rsidRDefault="00955A6F" w:rsidP="00F11434">
            <w:pPr>
              <w:pStyle w:val="Tablehead"/>
              <w:rPr>
                <w:lang w:val="es-ES_tradnl"/>
              </w:rPr>
            </w:pPr>
            <w:r w:rsidRPr="00750831">
              <w:rPr>
                <w:lang w:val="es-ES_tradnl"/>
              </w:rPr>
              <w:t>Mínima portadora</w:t>
            </w:r>
            <w:r w:rsidRPr="00750831">
              <w:rPr>
                <w:lang w:val="es-ES_tradnl"/>
              </w:rPr>
              <w:br/>
              <w:t>(dBm)</w:t>
            </w:r>
          </w:p>
        </w:tc>
        <w:tc>
          <w:tcPr>
            <w:tcW w:w="2410" w:type="dxa"/>
            <w:vAlign w:val="center"/>
          </w:tcPr>
          <w:p w:rsidR="00955A6F" w:rsidRPr="00750831" w:rsidRDefault="00955A6F" w:rsidP="00F11434">
            <w:pPr>
              <w:pStyle w:val="Tablehead"/>
              <w:rPr>
                <w:lang w:val="es-ES_tradnl"/>
              </w:rPr>
            </w:pPr>
            <w:r w:rsidRPr="00750831">
              <w:rPr>
                <w:lang w:val="es-ES_tradnl"/>
              </w:rPr>
              <w:t>Nivel de ruido</w:t>
            </w:r>
            <w:r w:rsidRPr="00750831">
              <w:rPr>
                <w:lang w:val="es-ES_tradnl"/>
              </w:rPr>
              <w:br/>
              <w:t>(dBm)</w:t>
            </w:r>
          </w:p>
        </w:tc>
        <w:tc>
          <w:tcPr>
            <w:tcW w:w="2410" w:type="dxa"/>
            <w:vAlign w:val="center"/>
          </w:tcPr>
          <w:p w:rsidR="00955A6F" w:rsidRPr="00750831" w:rsidRDefault="00955A6F" w:rsidP="00F11434">
            <w:pPr>
              <w:pStyle w:val="Tablehead"/>
              <w:rPr>
                <w:lang w:val="es-ES_tradnl"/>
              </w:rPr>
            </w:pPr>
            <w:r w:rsidRPr="00750831">
              <w:rPr>
                <w:i/>
                <w:iCs/>
                <w:lang w:val="es-ES_tradnl"/>
              </w:rPr>
              <w:t>C</w:t>
            </w:r>
            <w:r w:rsidRPr="00750831">
              <w:rPr>
                <w:lang w:val="es-ES_tradnl"/>
              </w:rPr>
              <w:t>/</w:t>
            </w:r>
            <w:r w:rsidRPr="00750831">
              <w:rPr>
                <w:i/>
                <w:iCs/>
                <w:lang w:val="es-ES_tradnl"/>
              </w:rPr>
              <w:t>N</w:t>
            </w:r>
            <w:r w:rsidRPr="00750831">
              <w:rPr>
                <w:lang w:val="es-ES_tradnl"/>
              </w:rPr>
              <w:br/>
              <w:t>(dB)</w:t>
            </w:r>
          </w:p>
        </w:tc>
      </w:tr>
      <w:tr w:rsidR="00955A6F" w:rsidRPr="00750831" w:rsidTr="00F11434">
        <w:trPr>
          <w:jc w:val="center"/>
        </w:trPr>
        <w:tc>
          <w:tcPr>
            <w:tcW w:w="2410" w:type="dxa"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−69,5</w:t>
            </w:r>
          </w:p>
        </w:tc>
        <w:tc>
          <w:tcPr>
            <w:tcW w:w="2410" w:type="dxa"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−70,4</w:t>
            </w:r>
          </w:p>
        </w:tc>
        <w:tc>
          <w:tcPr>
            <w:tcW w:w="2410" w:type="dxa"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0,9</w:t>
            </w:r>
          </w:p>
        </w:tc>
      </w:tr>
    </w:tbl>
    <w:p w:rsidR="00955A6F" w:rsidRPr="00750831" w:rsidRDefault="00955A6F" w:rsidP="00955A6F">
      <w:pPr>
        <w:pStyle w:val="Tablefin"/>
        <w:rPr>
          <w:lang w:val="es-ES_tradnl"/>
        </w:rPr>
      </w:pPr>
      <w:bookmarkStart w:id="6" w:name="_Ref233189363"/>
      <w:bookmarkStart w:id="7" w:name="_Toc233696985"/>
    </w:p>
    <w:bookmarkEnd w:id="6"/>
    <w:bookmarkEnd w:id="7"/>
    <w:p w:rsidR="00955A6F" w:rsidRPr="00750831" w:rsidRDefault="00955A6F" w:rsidP="00955A6F">
      <w:pPr>
        <w:pStyle w:val="Heading2"/>
        <w:rPr>
          <w:lang w:val="es-ES_tradnl"/>
        </w:rPr>
      </w:pPr>
      <w:r w:rsidRPr="00750831">
        <w:rPr>
          <w:lang w:val="es-ES_tradnl"/>
        </w:rPr>
        <w:t>3.4</w:t>
      </w:r>
      <w:r w:rsidRPr="00750831">
        <w:rPr>
          <w:lang w:val="es-ES_tradnl"/>
        </w:rPr>
        <w:tab/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en función del desplazamiento de frecuencia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 xml:space="preserve">La relación de protección </w:t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para varios desplazamientos de frecuencia con respecto a la frecuencia central de detección utilizando una fuente de interferencia de CW constante y de CW impulsiva basada en el criterio de presentación, no puede actualizar un evento de rayo.</w:t>
      </w:r>
    </w:p>
    <w:p w:rsidR="00955A6F" w:rsidRPr="00750831" w:rsidRDefault="00955A6F" w:rsidP="00F11434">
      <w:pPr>
        <w:pStyle w:val="Note"/>
        <w:rPr>
          <w:lang w:val="es-ES_tradnl"/>
        </w:rPr>
      </w:pPr>
      <w:r w:rsidRPr="00750831">
        <w:rPr>
          <w:lang w:val="es-ES_tradnl"/>
        </w:rPr>
        <w:t xml:space="preserve">NOTA 1 – Los valores de </w:t>
      </w:r>
      <w:r w:rsidRPr="00750831">
        <w:rPr>
          <w:i/>
          <w:iCs/>
          <w:lang w:val="es-ES_tradnl"/>
        </w:rPr>
        <w:t>I/N</w:t>
      </w:r>
      <w:r w:rsidRPr="00750831">
        <w:rPr>
          <w:lang w:val="es-ES_tradnl"/>
        </w:rPr>
        <w:t xml:space="preserve"> indicados en los puntos siguientes pueden reducirse si se realiza un filtrado de ranura adecuado, como se detalla en el § 4.</w:t>
      </w:r>
    </w:p>
    <w:p w:rsidR="00955A6F" w:rsidRPr="00750831" w:rsidRDefault="00955A6F" w:rsidP="00F11434">
      <w:pPr>
        <w:pStyle w:val="Heading3"/>
        <w:rPr>
          <w:lang w:val="es-ES_tradnl"/>
        </w:rPr>
      </w:pPr>
      <w:r w:rsidRPr="00750831">
        <w:rPr>
          <w:lang w:val="es-ES_tradnl"/>
        </w:rPr>
        <w:lastRenderedPageBreak/>
        <w:t>3.4.1</w:t>
      </w:r>
      <w:r w:rsidRPr="00750831">
        <w:rPr>
          <w:lang w:val="es-ES_tradnl"/>
        </w:rPr>
        <w:tab/>
        <w:t xml:space="preserve">Criterio de protección </w:t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para tipos de fuente interferente con CW constante</w:t>
      </w:r>
    </w:p>
    <w:p w:rsidR="00955A6F" w:rsidRPr="00750831" w:rsidRDefault="00955A6F" w:rsidP="00E725ED">
      <w:pPr>
        <w:rPr>
          <w:lang w:val="es-ES_tradnl"/>
        </w:rPr>
      </w:pPr>
      <w:r w:rsidRPr="00750831">
        <w:rPr>
          <w:lang w:val="es-ES_tradnl"/>
        </w:rPr>
        <w:t>La Fig.</w:t>
      </w:r>
      <w:r w:rsidR="00E725ED">
        <w:rPr>
          <w:lang w:val="es-ES_tradnl"/>
        </w:rPr>
        <w:t> </w:t>
      </w:r>
      <w:r w:rsidRPr="00750831">
        <w:rPr>
          <w:lang w:val="es-ES_tradnl"/>
        </w:rPr>
        <w:t xml:space="preserve">1 representa la mínima relación de protección </w:t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para tipos de fuentes de interferencia de CW con diversos desplazamientos de frecuencia con respecto a la frecuencia central de detección.</w:t>
      </w:r>
    </w:p>
    <w:p w:rsidR="00955A6F" w:rsidRPr="00750831" w:rsidRDefault="00955A6F" w:rsidP="00955A6F">
      <w:pPr>
        <w:pStyle w:val="FigureNo"/>
        <w:rPr>
          <w:lang w:val="es-ES_tradnl"/>
        </w:rPr>
      </w:pPr>
      <w:r w:rsidRPr="00750831">
        <w:rPr>
          <w:lang w:val="es-ES_tradnl"/>
        </w:rPr>
        <w:t xml:space="preserve">Figura </w:t>
      </w:r>
      <w:r w:rsidRPr="00750831">
        <w:rPr>
          <w:lang w:val="es-ES_tradnl"/>
        </w:rPr>
        <w:fldChar w:fldCharType="begin"/>
      </w:r>
      <w:r w:rsidRPr="00750831">
        <w:rPr>
          <w:lang w:val="es-ES_tradnl"/>
        </w:rPr>
        <w:instrText xml:space="preserve"> SEQ Figure \* ARABIC </w:instrText>
      </w:r>
      <w:r w:rsidRPr="00750831">
        <w:rPr>
          <w:lang w:val="es-ES_tradnl"/>
        </w:rPr>
        <w:fldChar w:fldCharType="separate"/>
      </w:r>
      <w:r w:rsidR="009142AF">
        <w:rPr>
          <w:noProof/>
          <w:lang w:val="es-ES_tradnl"/>
        </w:rPr>
        <w:t>1</w:t>
      </w:r>
      <w:r w:rsidRPr="00750831">
        <w:rPr>
          <w:noProof/>
          <w:lang w:val="es-ES_tradnl"/>
        </w:rPr>
        <w:fldChar w:fldCharType="end"/>
      </w:r>
    </w:p>
    <w:p w:rsidR="00955A6F" w:rsidRPr="00750831" w:rsidRDefault="00955A6F" w:rsidP="00955A6F">
      <w:pPr>
        <w:pStyle w:val="Figuretitle"/>
        <w:rPr>
          <w:lang w:val="es-ES_tradnl"/>
        </w:rPr>
      </w:pPr>
      <w:r w:rsidRPr="00750831">
        <w:rPr>
          <w:i/>
          <w:iCs/>
          <w:lang w:val="es-ES_tradnl"/>
        </w:rPr>
        <w:t>I</w:t>
      </w:r>
      <w:r w:rsidRPr="00750831">
        <w:rPr>
          <w:rFonts w:cs="Times New Roman Bold"/>
          <w:i/>
          <w:iCs/>
          <w:sz w:val="8"/>
          <w:lang w:val="es-ES_tradnl"/>
        </w:rPr>
        <w:t> 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en función del desplazamiento de frecuencia con interferencia de CW constante</w:t>
      </w:r>
    </w:p>
    <w:p w:rsidR="00955A6F" w:rsidRPr="00750831" w:rsidRDefault="009142AF" w:rsidP="00955A6F">
      <w:pPr>
        <w:pStyle w:val="Figure"/>
        <w:rPr>
          <w:lang w:val="es-ES_tradnl"/>
        </w:rPr>
      </w:pPr>
      <w:r>
        <w:object w:dxaOrig="8394" w:dyaOrig="6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18.7pt;height:332.15pt" o:ole="">
            <v:imagedata r:id="rId14" o:title=""/>
          </v:shape>
          <o:OLEObject Type="Embed" ProgID="CorelDRAW.Graphic.14" ShapeID="_x0000_i1066" DrawAspect="Content" ObjectID="_1373183967" r:id="rId15"/>
        </w:object>
      </w:r>
    </w:p>
    <w:p w:rsidR="00955A6F" w:rsidRPr="00750831" w:rsidRDefault="00955A6F" w:rsidP="00E725ED">
      <w:pPr>
        <w:pStyle w:val="Normalaftertitle"/>
        <w:rPr>
          <w:lang w:val="es-ES_tradnl"/>
        </w:rPr>
      </w:pPr>
      <w:r w:rsidRPr="00750831">
        <w:rPr>
          <w:lang w:val="es-ES_tradnl"/>
        </w:rPr>
        <w:t xml:space="preserve">El gráfico muestra que se necesita una relación de protección </w:t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cocanal de aproximadamente −3 dB en una anchura de banda de 5</w:t>
      </w:r>
      <w:r w:rsidR="00E725ED">
        <w:rPr>
          <w:lang w:val="es-ES_tradnl"/>
        </w:rPr>
        <w:t> </w:t>
      </w:r>
      <w:r w:rsidRPr="00750831">
        <w:rPr>
          <w:lang w:val="es-ES_tradnl"/>
        </w:rPr>
        <w:t>kHz. Se observa una mayor relación de protección (</w:t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> = +4</w:t>
      </w:r>
      <w:r>
        <w:rPr>
          <w:lang w:val="es-ES_tradnl"/>
        </w:rPr>
        <w:t> </w:t>
      </w:r>
      <w:r w:rsidRPr="00750831">
        <w:rPr>
          <w:lang w:val="es-ES_tradnl"/>
        </w:rPr>
        <w:t>a +5 dB) para separaciones de frecuencia de ±2 kHz. Para separaciones de frecuencia de</w:t>
      </w:r>
      <w:r>
        <w:rPr>
          <w:lang w:val="es-ES_tradnl"/>
        </w:rPr>
        <w:t> </w:t>
      </w:r>
      <w:r w:rsidRPr="00750831">
        <w:rPr>
          <w:lang w:val="es-ES_tradnl"/>
        </w:rPr>
        <w:t>±5 kHz, el nivel de protección requerido por el sistema ATD es de unos 44</w:t>
      </w:r>
      <w:r w:rsidR="00E725ED">
        <w:rPr>
          <w:lang w:val="es-ES_tradnl"/>
        </w:rPr>
        <w:t> </w:t>
      </w:r>
      <w:r w:rsidRPr="00750831">
        <w:rPr>
          <w:lang w:val="es-ES_tradnl"/>
        </w:rPr>
        <w:t>dB. Estos resultados aparecen con más detalle en el Cuadro 3.</w:t>
      </w:r>
    </w:p>
    <w:p w:rsidR="00955A6F" w:rsidRPr="00750831" w:rsidRDefault="00955A6F" w:rsidP="00F11434">
      <w:pPr>
        <w:pStyle w:val="TableNo"/>
        <w:rPr>
          <w:lang w:val="es-ES_tradnl"/>
        </w:rPr>
      </w:pPr>
      <w:r w:rsidRPr="00750831">
        <w:rPr>
          <w:lang w:val="es-ES_tradnl"/>
        </w:rPr>
        <w:t>CUADRO 3</w:t>
      </w:r>
    </w:p>
    <w:p w:rsidR="00955A6F" w:rsidRPr="00750831" w:rsidRDefault="00955A6F" w:rsidP="00955A6F">
      <w:pPr>
        <w:pStyle w:val="Tabletitle"/>
        <w:rPr>
          <w:szCs w:val="24"/>
          <w:lang w:val="es-ES_tradnl"/>
        </w:rPr>
      </w:pP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en función del desplazamiento de frecuencia</w:t>
      </w:r>
      <w:r w:rsidRPr="00750831">
        <w:rPr>
          <w:lang w:val="es-ES_tradnl"/>
        </w:rPr>
        <w:br/>
        <w:t>(interferencia de CW constante)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3969"/>
      </w:tblGrid>
      <w:tr w:rsidR="00955A6F" w:rsidRPr="0048629A" w:rsidTr="00482C13">
        <w:trPr>
          <w:jc w:val="center"/>
        </w:trPr>
        <w:tc>
          <w:tcPr>
            <w:tcW w:w="2835" w:type="dxa"/>
            <w:vAlign w:val="center"/>
          </w:tcPr>
          <w:p w:rsidR="00955A6F" w:rsidRPr="00750831" w:rsidRDefault="00955A6F" w:rsidP="009C3076">
            <w:pPr>
              <w:pStyle w:val="Tablehead"/>
              <w:spacing w:before="20" w:after="20"/>
              <w:rPr>
                <w:szCs w:val="22"/>
                <w:lang w:val="es-ES_tradnl" w:eastAsia="en-GB"/>
              </w:rPr>
            </w:pPr>
            <w:r w:rsidRPr="00750831">
              <w:rPr>
                <w:szCs w:val="22"/>
                <w:lang w:val="es-ES_tradnl" w:eastAsia="en-GB"/>
              </w:rPr>
              <w:t>Desplazamiento</w:t>
            </w:r>
            <w:r w:rsidRPr="00750831">
              <w:rPr>
                <w:szCs w:val="22"/>
                <w:lang w:val="es-ES_tradnl" w:eastAsia="en-GB"/>
              </w:rPr>
              <w:br/>
              <w:t>(kHz)</w:t>
            </w:r>
          </w:p>
        </w:tc>
        <w:tc>
          <w:tcPr>
            <w:tcW w:w="3969" w:type="dxa"/>
            <w:vAlign w:val="center"/>
          </w:tcPr>
          <w:p w:rsidR="00955A6F" w:rsidRPr="00750831" w:rsidRDefault="00955A6F" w:rsidP="009C3076">
            <w:pPr>
              <w:pStyle w:val="Tablehead"/>
              <w:spacing w:before="20" w:after="20"/>
              <w:rPr>
                <w:szCs w:val="22"/>
                <w:lang w:val="es-ES_tradnl" w:eastAsia="en-GB"/>
              </w:rPr>
            </w:pPr>
            <w:r w:rsidRPr="00750831">
              <w:rPr>
                <w:szCs w:val="22"/>
                <w:lang w:val="es-ES_tradnl" w:eastAsia="en-GB"/>
              </w:rPr>
              <w:t xml:space="preserve">Relación de protección </w:t>
            </w:r>
            <w:r w:rsidRPr="00750831">
              <w:rPr>
                <w:i/>
                <w:iCs/>
                <w:szCs w:val="22"/>
                <w:lang w:val="es-ES_tradnl" w:eastAsia="en-GB"/>
              </w:rPr>
              <w:t>I</w:t>
            </w:r>
            <w:r w:rsidRPr="00750831">
              <w:rPr>
                <w:szCs w:val="22"/>
                <w:lang w:val="es-ES_tradnl" w:eastAsia="en-GB"/>
              </w:rPr>
              <w:t>/</w:t>
            </w:r>
            <w:r w:rsidRPr="00750831">
              <w:rPr>
                <w:i/>
                <w:iCs/>
                <w:szCs w:val="22"/>
                <w:lang w:val="es-ES_tradnl" w:eastAsia="en-GB"/>
              </w:rPr>
              <w:t>N</w:t>
            </w:r>
            <w:r w:rsidRPr="00750831">
              <w:rPr>
                <w:szCs w:val="22"/>
                <w:lang w:val="es-ES_tradnl" w:eastAsia="en-GB"/>
              </w:rPr>
              <w:t xml:space="preserve"> </w:t>
            </w:r>
            <w:r w:rsidRPr="00750831">
              <w:rPr>
                <w:szCs w:val="22"/>
                <w:lang w:val="es-ES_tradnl" w:eastAsia="en-GB"/>
              </w:rPr>
              <w:br/>
              <w:t>(dB)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0</w:t>
            </w:r>
          </w:p>
        </w:tc>
        <w:tc>
          <w:tcPr>
            <w:tcW w:w="3969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−3,9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1</w:t>
            </w:r>
          </w:p>
        </w:tc>
        <w:tc>
          <w:tcPr>
            <w:tcW w:w="3969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−2,8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2</w:t>
            </w:r>
          </w:p>
        </w:tc>
        <w:tc>
          <w:tcPr>
            <w:tcW w:w="3969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5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3</w:t>
            </w:r>
          </w:p>
        </w:tc>
        <w:tc>
          <w:tcPr>
            <w:tcW w:w="3969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17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4</w:t>
            </w:r>
          </w:p>
        </w:tc>
        <w:tc>
          <w:tcPr>
            <w:tcW w:w="3969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32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5</w:t>
            </w:r>
          </w:p>
        </w:tc>
        <w:tc>
          <w:tcPr>
            <w:tcW w:w="3969" w:type="dxa"/>
            <w:noWrap/>
            <w:vAlign w:val="center"/>
          </w:tcPr>
          <w:p w:rsidR="00955A6F" w:rsidRPr="00750831" w:rsidRDefault="00955A6F" w:rsidP="009C3076">
            <w:pPr>
              <w:pStyle w:val="Tabletext"/>
              <w:spacing w:before="20" w:after="20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45</w:t>
            </w:r>
          </w:p>
        </w:tc>
      </w:tr>
    </w:tbl>
    <w:p w:rsidR="00955A6F" w:rsidRPr="00750831" w:rsidRDefault="00955A6F" w:rsidP="00955A6F">
      <w:pPr>
        <w:pStyle w:val="Tablefin"/>
        <w:rPr>
          <w:sz w:val="2"/>
          <w:lang w:val="es-ES_tradnl"/>
        </w:rPr>
      </w:pPr>
    </w:p>
    <w:p w:rsidR="00955A6F" w:rsidRPr="00750831" w:rsidRDefault="00955A6F" w:rsidP="009C3076">
      <w:pPr>
        <w:pStyle w:val="Heading3"/>
        <w:rPr>
          <w:lang w:val="es-ES_tradnl"/>
        </w:rPr>
      </w:pPr>
      <w:r w:rsidRPr="00750831">
        <w:rPr>
          <w:lang w:val="es-ES_tradnl"/>
        </w:rPr>
        <w:lastRenderedPageBreak/>
        <w:t>3.4.2</w:t>
      </w:r>
      <w:r w:rsidRPr="00750831">
        <w:rPr>
          <w:lang w:val="es-ES_tradnl"/>
        </w:rPr>
        <w:tab/>
        <w:t xml:space="preserve">Criterio de protección </w:t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para fuentes de interferencia del tipo CW impulsiva</w:t>
      </w:r>
    </w:p>
    <w:p w:rsidR="00955A6F" w:rsidRPr="00750831" w:rsidRDefault="00955A6F" w:rsidP="00E725ED">
      <w:pPr>
        <w:rPr>
          <w:lang w:val="es-ES_tradnl"/>
        </w:rPr>
      </w:pPr>
      <w:r w:rsidRPr="00750831">
        <w:rPr>
          <w:lang w:val="es-ES_tradnl"/>
        </w:rPr>
        <w:t>La Fig.</w:t>
      </w:r>
      <w:r w:rsidR="00E725ED">
        <w:rPr>
          <w:lang w:val="es-ES_tradnl"/>
        </w:rPr>
        <w:t> </w:t>
      </w:r>
      <w:r w:rsidRPr="00750831">
        <w:rPr>
          <w:lang w:val="es-ES_tradnl"/>
        </w:rPr>
        <w:t xml:space="preserve">2 representa la mínima relación de protección </w:t>
      </w:r>
      <w:r w:rsidRPr="006E7487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6E7487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para fuentes de interferencia del tipo CW impulsiva (ciclo de trabajo del 67%) para diversos desplazamientos de frecuencia con respecto a la frecuencia central de detección. Estos resultados aparecen con más detalle en el Cuadro 4.</w:t>
      </w:r>
    </w:p>
    <w:p w:rsidR="00955A6F" w:rsidRPr="00750831" w:rsidRDefault="00955A6F" w:rsidP="00955A6F">
      <w:pPr>
        <w:pStyle w:val="FigureNo"/>
        <w:rPr>
          <w:lang w:val="es-ES_tradnl"/>
        </w:rPr>
      </w:pPr>
      <w:r w:rsidRPr="00750831">
        <w:rPr>
          <w:lang w:val="es-ES_tradnl"/>
        </w:rPr>
        <w:t xml:space="preserve">FigurA </w:t>
      </w:r>
      <w:r w:rsidRPr="00750831">
        <w:rPr>
          <w:lang w:val="es-ES_tradnl"/>
        </w:rPr>
        <w:fldChar w:fldCharType="begin"/>
      </w:r>
      <w:r w:rsidRPr="00750831">
        <w:rPr>
          <w:lang w:val="es-ES_tradnl"/>
        </w:rPr>
        <w:instrText xml:space="preserve"> SEQ Figure \* ARABIC </w:instrText>
      </w:r>
      <w:r w:rsidRPr="00750831">
        <w:rPr>
          <w:lang w:val="es-ES_tradnl"/>
        </w:rPr>
        <w:fldChar w:fldCharType="separate"/>
      </w:r>
      <w:r w:rsidR="009142AF">
        <w:rPr>
          <w:noProof/>
          <w:lang w:val="es-ES_tradnl"/>
        </w:rPr>
        <w:t>2</w:t>
      </w:r>
      <w:r w:rsidRPr="00750831">
        <w:rPr>
          <w:noProof/>
          <w:lang w:val="es-ES_tradnl"/>
        </w:rPr>
        <w:fldChar w:fldCharType="end"/>
      </w:r>
    </w:p>
    <w:p w:rsidR="00955A6F" w:rsidRPr="00750831" w:rsidRDefault="00955A6F" w:rsidP="00955A6F">
      <w:pPr>
        <w:pStyle w:val="Figuretitle"/>
        <w:rPr>
          <w:lang w:val="es-ES_tradnl"/>
        </w:rPr>
      </w:pPr>
      <w:r w:rsidRPr="00750831">
        <w:rPr>
          <w:i/>
          <w:iCs/>
          <w:lang w:val="es-ES_tradnl"/>
        </w:rPr>
        <w:t>I</w:t>
      </w:r>
      <w:r w:rsidRPr="00750831">
        <w:rPr>
          <w:rFonts w:cs="Times New Roman Bold"/>
          <w:i/>
          <w:iCs/>
          <w:sz w:val="8"/>
          <w:lang w:val="es-ES_tradnl"/>
        </w:rPr>
        <w:t> 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en función del desplazamiento de frecuencia (interferencia de CW impulsiva)</w:t>
      </w:r>
    </w:p>
    <w:bookmarkStart w:id="8" w:name="_GoBack"/>
    <w:p w:rsidR="00955A6F" w:rsidRPr="00750831" w:rsidRDefault="00083485" w:rsidP="00955A6F">
      <w:pPr>
        <w:pStyle w:val="Figure"/>
        <w:rPr>
          <w:lang w:val="es-ES_tradnl"/>
        </w:rPr>
      </w:pPr>
      <w:r>
        <w:object w:dxaOrig="9533" w:dyaOrig="6766">
          <v:shape id="_x0000_i1090" type="#_x0000_t75" style="width:477.45pt;height:337.3pt" o:ole="">
            <v:imagedata r:id="rId16" o:title=""/>
          </v:shape>
          <o:OLEObject Type="Embed" ProgID="CorelDRAW.Graphic.14" ShapeID="_x0000_i1090" DrawAspect="Content" ObjectID="_1373183968" r:id="rId17"/>
        </w:object>
      </w:r>
      <w:bookmarkEnd w:id="8"/>
    </w:p>
    <w:p w:rsidR="00955A6F" w:rsidRPr="00750831" w:rsidRDefault="00955A6F" w:rsidP="00955A6F">
      <w:pPr>
        <w:pStyle w:val="TableNo"/>
        <w:rPr>
          <w:lang w:val="es-ES_tradnl"/>
        </w:rPr>
      </w:pPr>
      <w:r w:rsidRPr="00750831">
        <w:rPr>
          <w:lang w:val="es-ES_tradnl"/>
        </w:rPr>
        <w:t>CUADRO 4</w:t>
      </w:r>
    </w:p>
    <w:p w:rsidR="00955A6F" w:rsidRPr="00750831" w:rsidRDefault="00955A6F" w:rsidP="00955A6F">
      <w:pPr>
        <w:pStyle w:val="Tabletitle"/>
        <w:rPr>
          <w:lang w:val="es-ES_tradnl"/>
        </w:rPr>
      </w:pPr>
      <w:r w:rsidRPr="00750831">
        <w:rPr>
          <w:i/>
          <w:iCs/>
          <w:lang w:val="es-ES_tradnl"/>
        </w:rPr>
        <w:t>I</w:t>
      </w:r>
      <w:r w:rsidRPr="00750831">
        <w:rPr>
          <w:rFonts w:ascii="Times New Roman Bold" w:hAnsi="Times New Roman Bold" w:cs="Times New Roman Bold"/>
          <w:i/>
          <w:iCs/>
          <w:sz w:val="8"/>
          <w:lang w:val="es-ES_tradnl"/>
        </w:rPr>
        <w:t> 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en función del desplazamiento de frecuencia </w:t>
      </w:r>
      <w:r w:rsidRPr="00750831">
        <w:rPr>
          <w:lang w:val="es-ES_tradnl"/>
        </w:rPr>
        <w:br/>
        <w:t>(interferencia de CW impulsiva)</w:t>
      </w:r>
    </w:p>
    <w:tbl>
      <w:tblPr>
        <w:tblW w:w="0" w:type="auto"/>
        <w:jc w:val="center"/>
        <w:tblInd w:w="1064" w:type="dxa"/>
        <w:tblLayout w:type="fixed"/>
        <w:tblLook w:val="00A0" w:firstRow="1" w:lastRow="0" w:firstColumn="1" w:lastColumn="0" w:noHBand="0" w:noVBand="0"/>
      </w:tblPr>
      <w:tblGrid>
        <w:gridCol w:w="2835"/>
        <w:gridCol w:w="3969"/>
      </w:tblGrid>
      <w:tr w:rsidR="00955A6F" w:rsidRPr="0048629A" w:rsidTr="00482C13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A6F" w:rsidRPr="00750831" w:rsidRDefault="00955A6F" w:rsidP="00F11434">
            <w:pPr>
              <w:pStyle w:val="Tablehead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Desplazamiento</w:t>
            </w:r>
            <w:r w:rsidRPr="00750831">
              <w:rPr>
                <w:lang w:val="es-ES_tradnl" w:eastAsia="en-GB"/>
              </w:rPr>
              <w:br/>
              <w:t>(kHz)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55A6F" w:rsidRPr="00750831" w:rsidRDefault="00955A6F" w:rsidP="00F11434">
            <w:pPr>
              <w:pStyle w:val="Tablehead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 xml:space="preserve">Mínima relación </w:t>
            </w:r>
            <w:r w:rsidRPr="00750831">
              <w:rPr>
                <w:i/>
                <w:iCs/>
                <w:lang w:val="es-ES_tradnl" w:eastAsia="en-GB"/>
              </w:rPr>
              <w:t>I</w:t>
            </w:r>
            <w:r w:rsidRPr="00750831">
              <w:rPr>
                <w:rFonts w:ascii="Times New Roman Bold" w:hAnsi="Times New Roman Bold" w:cs="Times New Roman Bold"/>
                <w:i/>
                <w:iCs/>
                <w:sz w:val="8"/>
                <w:lang w:val="es-ES_tradnl" w:eastAsia="en-GB"/>
              </w:rPr>
              <w:t xml:space="preserve"> </w:t>
            </w:r>
            <w:r w:rsidRPr="00750831">
              <w:rPr>
                <w:lang w:val="es-ES_tradnl" w:eastAsia="en-GB"/>
              </w:rPr>
              <w:t>/</w:t>
            </w:r>
            <w:r w:rsidRPr="00750831">
              <w:rPr>
                <w:i/>
                <w:iCs/>
                <w:lang w:val="es-ES_tradnl" w:eastAsia="en-GB"/>
              </w:rPr>
              <w:t>N</w:t>
            </w:r>
            <w:r w:rsidRPr="00750831">
              <w:rPr>
                <w:lang w:val="es-ES_tradnl" w:eastAsia="en-GB"/>
              </w:rPr>
              <w:t xml:space="preserve"> </w:t>
            </w:r>
            <w:r w:rsidRPr="00750831">
              <w:rPr>
                <w:lang w:val="es-ES_tradnl" w:eastAsia="en-GB"/>
              </w:rPr>
              <w:br/>
              <w:t>(dB)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−4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−2,7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5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17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32</w:t>
            </w:r>
          </w:p>
        </w:tc>
      </w:tr>
      <w:tr w:rsidR="00955A6F" w:rsidRPr="00750831" w:rsidTr="00482C13">
        <w:trPr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 w:eastAsia="en-GB"/>
              </w:rPr>
            </w:pPr>
            <w:r w:rsidRPr="00750831">
              <w:rPr>
                <w:lang w:val="es-ES_tradnl" w:eastAsia="en-GB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55A6F" w:rsidRPr="00750831" w:rsidRDefault="00955A6F" w:rsidP="00F11434">
            <w:pPr>
              <w:pStyle w:val="Tabletext"/>
              <w:jc w:val="center"/>
              <w:rPr>
                <w:lang w:val="es-ES_tradnl"/>
              </w:rPr>
            </w:pPr>
            <w:r w:rsidRPr="00750831">
              <w:rPr>
                <w:lang w:val="es-ES_tradnl"/>
              </w:rPr>
              <w:t>45</w:t>
            </w:r>
          </w:p>
        </w:tc>
      </w:tr>
    </w:tbl>
    <w:p w:rsidR="00955A6F" w:rsidRPr="00750831" w:rsidRDefault="00955A6F" w:rsidP="00955A6F">
      <w:pPr>
        <w:pStyle w:val="Tablefin"/>
        <w:rPr>
          <w:lang w:val="es-ES_tradnl"/>
        </w:rPr>
      </w:pPr>
    </w:p>
    <w:p w:rsidR="00955A6F" w:rsidRPr="00750831" w:rsidRDefault="00955A6F" w:rsidP="009C3076">
      <w:pPr>
        <w:pStyle w:val="Heading1"/>
        <w:rPr>
          <w:lang w:val="es-ES_tradnl"/>
        </w:rPr>
      </w:pPr>
      <w:r w:rsidRPr="00750831">
        <w:rPr>
          <w:lang w:val="es-ES_tradnl"/>
        </w:rPr>
        <w:lastRenderedPageBreak/>
        <w:t>4</w:t>
      </w:r>
      <w:r w:rsidRPr="00750831">
        <w:rPr>
          <w:lang w:val="es-ES_tradnl"/>
        </w:rPr>
        <w:tab/>
        <w:t>Reducción de la interferencia</w:t>
      </w:r>
    </w:p>
    <w:p w:rsidR="00955A6F" w:rsidRPr="00750831" w:rsidRDefault="00955A6F" w:rsidP="00482C13">
      <w:pPr>
        <w:rPr>
          <w:lang w:val="es-ES_tradnl"/>
        </w:rPr>
      </w:pPr>
      <w:r w:rsidRPr="00750831">
        <w:rPr>
          <w:lang w:val="es-ES_tradnl"/>
        </w:rPr>
        <w:t xml:space="preserve">A la entrada de los sensores ATD pueden utilizarse filtros de ranura implementados por software a fin de eliminar los efectos de las transmisiones radioeléctricas interferentes en la banda de ondas miriamétricas. Cuando pueden instalarse filtros de ranura en los sensores ATD, los valores de </w:t>
      </w:r>
      <w:r w:rsidRPr="00750831">
        <w:rPr>
          <w:i/>
          <w:iCs/>
          <w:lang w:val="es-ES_tradnl"/>
        </w:rPr>
        <w:t>I</w:t>
      </w:r>
      <w:r w:rsidRPr="00750831">
        <w:rPr>
          <w:lang w:val="es-ES_tradnl"/>
        </w:rPr>
        <w:t>/</w:t>
      </w:r>
      <w:r w:rsidRPr="00750831">
        <w:rPr>
          <w:i/>
          <w:iCs/>
          <w:lang w:val="es-ES_tradnl"/>
        </w:rPr>
        <w:t>N</w:t>
      </w:r>
      <w:r w:rsidRPr="00750831">
        <w:rPr>
          <w:lang w:val="es-ES_tradnl"/>
        </w:rPr>
        <w:t xml:space="preserve"> mostrados en los §</w:t>
      </w:r>
      <w:r w:rsidR="00482C13">
        <w:rPr>
          <w:lang w:val="es-ES_tradnl"/>
        </w:rPr>
        <w:t> </w:t>
      </w:r>
      <w:r w:rsidRPr="00750831">
        <w:rPr>
          <w:lang w:val="es-ES_tradnl"/>
        </w:rPr>
        <w:t>3.4.1 y 3.4.2 pueden modificarse mediante la correspondiente atenuación resultante de los filtros de ranura.</w:t>
      </w: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Como indica la Fig. 3, la función del filtro de ranura de software tiene la forma:</w:t>
      </w:r>
    </w:p>
    <w:p w:rsidR="00955A6F" w:rsidRPr="00750831" w:rsidRDefault="00955A6F" w:rsidP="00955A6F">
      <w:pPr>
        <w:pStyle w:val="Blanc"/>
        <w:rPr>
          <w:lang w:val="es-ES_tradnl"/>
        </w:rPr>
      </w:pPr>
    </w:p>
    <w:p w:rsidR="00955A6F" w:rsidRPr="00750831" w:rsidRDefault="00955A6F" w:rsidP="00955A6F">
      <w:pPr>
        <w:pStyle w:val="Equation"/>
        <w:rPr>
          <w:i/>
          <w:lang w:val="es-ES_tradnl"/>
        </w:rPr>
      </w:pPr>
      <w:r w:rsidRPr="00750831">
        <w:rPr>
          <w:lang w:val="es-ES_tradnl"/>
        </w:rPr>
        <w:tab/>
      </w:r>
      <w:r w:rsidRPr="00750831">
        <w:rPr>
          <w:lang w:val="es-ES_tradnl"/>
        </w:rPr>
        <w:tab/>
        <w:t>1 − exp(−(Δ</w:t>
      </w:r>
      <w:r w:rsidRPr="00750831">
        <w:rPr>
          <w:i/>
          <w:lang w:val="es-ES_tradnl"/>
        </w:rPr>
        <w:t>f</w:t>
      </w:r>
      <w:r w:rsidRPr="00750831">
        <w:rPr>
          <w:lang w:val="es-ES_tradnl"/>
        </w:rPr>
        <w:t>/</w:t>
      </w:r>
      <w:r w:rsidRPr="00750831">
        <w:rPr>
          <w:i/>
          <w:lang w:val="es-ES_tradnl"/>
        </w:rPr>
        <w:t>w</w:t>
      </w:r>
      <w:r w:rsidRPr="00750831">
        <w:rPr>
          <w:lang w:val="es-ES_tradnl"/>
        </w:rPr>
        <w:t>)</w:t>
      </w:r>
      <w:r w:rsidRPr="00750831">
        <w:rPr>
          <w:vertAlign w:val="superscript"/>
          <w:lang w:val="es-ES_tradnl"/>
        </w:rPr>
        <w:t>2</w:t>
      </w:r>
      <w:r w:rsidRPr="00750831">
        <w:rPr>
          <w:lang w:val="es-ES_tradnl"/>
        </w:rPr>
        <w:t>)</w:t>
      </w:r>
    </w:p>
    <w:p w:rsidR="00955A6F" w:rsidRPr="00750831" w:rsidRDefault="00955A6F" w:rsidP="00955A6F">
      <w:pPr>
        <w:pStyle w:val="Blanc"/>
        <w:rPr>
          <w:lang w:val="es-ES_tradnl"/>
        </w:rPr>
      </w:pPr>
    </w:p>
    <w:p w:rsidR="00955A6F" w:rsidRPr="00750831" w:rsidRDefault="00955A6F" w:rsidP="00955A6F">
      <w:pPr>
        <w:rPr>
          <w:lang w:val="es-ES_tradnl"/>
        </w:rPr>
      </w:pPr>
      <w:r w:rsidRPr="00750831">
        <w:rPr>
          <w:lang w:val="es-ES_tradnl"/>
        </w:rPr>
        <w:t>donde:</w:t>
      </w:r>
    </w:p>
    <w:p w:rsidR="00955A6F" w:rsidRPr="00750831" w:rsidRDefault="00955A6F" w:rsidP="00955A6F">
      <w:pPr>
        <w:pStyle w:val="Equationlegend"/>
        <w:jc w:val="left"/>
        <w:rPr>
          <w:lang w:val="es-ES_tradnl"/>
        </w:rPr>
      </w:pPr>
      <w:r w:rsidRPr="00750831">
        <w:rPr>
          <w:i/>
          <w:lang w:val="es-ES_tradnl"/>
        </w:rPr>
        <w:tab/>
        <w:t>f</w:t>
      </w:r>
      <w:r w:rsidRPr="00750831">
        <w:rPr>
          <w:i/>
          <w:vertAlign w:val="subscript"/>
          <w:lang w:val="es-ES_tradnl"/>
        </w:rPr>
        <w:t>0</w:t>
      </w:r>
      <w:r w:rsidRPr="00750831">
        <w:rPr>
          <w:iCs/>
          <w:lang w:val="es-ES_tradnl"/>
        </w:rPr>
        <w:t>:</w:t>
      </w:r>
      <w:r w:rsidRPr="00750831">
        <w:rPr>
          <w:i/>
          <w:vertAlign w:val="subscript"/>
          <w:lang w:val="es-ES_tradnl"/>
        </w:rPr>
        <w:tab/>
      </w:r>
      <w:r w:rsidRPr="00750831">
        <w:rPr>
          <w:lang w:val="es-ES_tradnl"/>
        </w:rPr>
        <w:t>es la frecuencia nominal de la ranura</w:t>
      </w:r>
    </w:p>
    <w:p w:rsidR="00955A6F" w:rsidRPr="00750831" w:rsidRDefault="00955A6F" w:rsidP="00955A6F">
      <w:pPr>
        <w:pStyle w:val="Equationlegend"/>
        <w:jc w:val="left"/>
        <w:rPr>
          <w:iCs/>
          <w:lang w:val="es-ES_tradnl"/>
        </w:rPr>
      </w:pPr>
      <w:r w:rsidRPr="00750831">
        <w:rPr>
          <w:bCs/>
          <w:color w:val="000000"/>
          <w:lang w:val="es-ES_tradnl"/>
        </w:rPr>
        <w:tab/>
        <w:t>Δ</w:t>
      </w:r>
      <w:r w:rsidRPr="00750831">
        <w:rPr>
          <w:bCs/>
          <w:i/>
          <w:color w:val="000000"/>
          <w:lang w:val="es-ES_tradnl"/>
        </w:rPr>
        <w:t>f</w:t>
      </w:r>
      <w:r w:rsidRPr="00750831">
        <w:rPr>
          <w:lang w:val="es-ES_tradnl"/>
        </w:rPr>
        <w:t>:</w:t>
      </w:r>
      <w:r w:rsidRPr="00750831">
        <w:rPr>
          <w:lang w:val="es-ES_tradnl"/>
        </w:rPr>
        <w:tab/>
        <w:t xml:space="preserve">es el desplazamiento de la frecuencia </w:t>
      </w:r>
      <w:r w:rsidRPr="00750831">
        <w:rPr>
          <w:bCs/>
          <w:i/>
          <w:color w:val="000000"/>
          <w:lang w:val="es-ES_tradnl"/>
        </w:rPr>
        <w:t xml:space="preserve">f </w:t>
      </w:r>
      <w:r w:rsidRPr="00750831">
        <w:rPr>
          <w:lang w:val="es-ES_tradnl"/>
        </w:rPr>
        <w:t xml:space="preserve">con respecto a la frecuencia </w:t>
      </w:r>
      <w:r w:rsidRPr="00750831">
        <w:rPr>
          <w:i/>
          <w:lang w:val="es-ES_tradnl"/>
        </w:rPr>
        <w:t>f</w:t>
      </w:r>
      <w:r w:rsidRPr="00750831">
        <w:rPr>
          <w:iCs/>
          <w:vertAlign w:val="subscript"/>
          <w:lang w:val="es-ES_tradnl"/>
        </w:rPr>
        <w:t>0</w:t>
      </w:r>
    </w:p>
    <w:p w:rsidR="00955A6F" w:rsidRPr="00750831" w:rsidRDefault="00955A6F" w:rsidP="00955A6F">
      <w:pPr>
        <w:pStyle w:val="Equationlegend"/>
        <w:jc w:val="left"/>
        <w:rPr>
          <w:lang w:val="es-ES_tradnl"/>
        </w:rPr>
      </w:pPr>
      <w:r w:rsidRPr="00750831">
        <w:rPr>
          <w:lang w:val="es-ES_tradnl"/>
        </w:rPr>
        <w:tab/>
      </w:r>
      <w:r w:rsidRPr="00750831">
        <w:rPr>
          <w:i/>
          <w:lang w:val="es-ES_tradnl"/>
        </w:rPr>
        <w:t>w</w:t>
      </w:r>
      <w:r w:rsidRPr="00750831">
        <w:rPr>
          <w:iCs/>
          <w:lang w:val="es-ES_tradnl"/>
        </w:rPr>
        <w:t>:</w:t>
      </w:r>
      <w:r w:rsidRPr="00750831">
        <w:rPr>
          <w:i/>
          <w:lang w:val="es-ES_tradnl"/>
        </w:rPr>
        <w:tab/>
      </w:r>
      <w:r w:rsidRPr="00750831">
        <w:rPr>
          <w:lang w:val="es-ES_tradnl"/>
        </w:rPr>
        <w:t>es la anchura de banda mitad.</w:t>
      </w:r>
    </w:p>
    <w:p w:rsidR="00955A6F" w:rsidRPr="00750831" w:rsidRDefault="00955A6F" w:rsidP="009C3076">
      <w:pPr>
        <w:pStyle w:val="Note"/>
        <w:rPr>
          <w:lang w:val="es-ES_tradnl"/>
        </w:rPr>
      </w:pPr>
      <w:r w:rsidRPr="00750831">
        <w:rPr>
          <w:lang w:val="es-ES_tradnl"/>
        </w:rPr>
        <w:t>NOTA 1 – El filtrado de ranura sólo puede realizarse con separaciones de frecuencia mayores del doble de la anchura de banda del filtro de ranura con respecto a la frecuencia central de medición ATD, pues en tales casos la reducción en la amplitud de la señal deseada es mínima. Adicionalmente, el filtrado de ranura no puede llevarse a cabo para anchuras de banda de la fuente interferente mayores de 1 kHz.</w:t>
      </w:r>
    </w:p>
    <w:p w:rsidR="00955A6F" w:rsidRPr="00750831" w:rsidRDefault="00955A6F" w:rsidP="00955A6F">
      <w:pPr>
        <w:pStyle w:val="FigureNo"/>
        <w:rPr>
          <w:lang w:val="es-ES_tradnl"/>
        </w:rPr>
      </w:pPr>
      <w:r w:rsidRPr="00750831">
        <w:rPr>
          <w:lang w:val="es-ES_tradnl"/>
        </w:rPr>
        <w:t>Figura 3</w:t>
      </w:r>
    </w:p>
    <w:p w:rsidR="00955A6F" w:rsidRPr="00750831" w:rsidRDefault="00955A6F" w:rsidP="00955A6F">
      <w:pPr>
        <w:pStyle w:val="Figuretitle"/>
        <w:rPr>
          <w:lang w:val="es-ES_tradnl"/>
        </w:rPr>
      </w:pPr>
      <w:r w:rsidRPr="00750831">
        <w:rPr>
          <w:lang w:val="es-ES_tradnl"/>
        </w:rPr>
        <w:t>Función del filtro de ranura</w:t>
      </w:r>
    </w:p>
    <w:p w:rsidR="00955A6F" w:rsidRPr="00750831" w:rsidRDefault="00A40FB6" w:rsidP="00955A6F">
      <w:pPr>
        <w:pStyle w:val="Figure"/>
        <w:rPr>
          <w:lang w:val="es-ES_tradnl"/>
        </w:rPr>
      </w:pPr>
      <w:r w:rsidRPr="00750831">
        <w:rPr>
          <w:lang w:val="es-ES_tradnl"/>
        </w:rPr>
        <w:object w:dxaOrig="6769" w:dyaOrig="6420">
          <v:shape id="_x0000_i1042" type="#_x0000_t75" style="width:339pt;height:320.55pt" o:ole="">
            <v:imagedata r:id="rId18" o:title=""/>
          </v:shape>
          <o:OLEObject Type="Embed" ProgID="CorelDRAW.Graphic.14" ShapeID="_x0000_i1042" DrawAspect="Content" ObjectID="_1373183969" r:id="rId19"/>
        </w:object>
      </w:r>
    </w:p>
    <w:p w:rsidR="00955A6F" w:rsidRDefault="00955A6F" w:rsidP="00955A6F">
      <w:pPr>
        <w:rPr>
          <w:lang w:val="es-ES_tradnl"/>
        </w:rPr>
      </w:pPr>
    </w:p>
    <w:p w:rsidR="00955A6F" w:rsidRDefault="00955A6F" w:rsidP="009C3076">
      <w:pPr>
        <w:pStyle w:val="Line"/>
      </w:pPr>
    </w:p>
    <w:sectPr w:rsidR="00955A6F" w:rsidSect="000E0389">
      <w:headerReference w:type="even" r:id="rId20"/>
      <w:head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FB6" w:rsidRDefault="00A40FB6">
      <w:r>
        <w:separator/>
      </w:r>
    </w:p>
  </w:endnote>
  <w:endnote w:type="continuationSeparator" w:id="0">
    <w:p w:rsidR="00A40FB6" w:rsidRDefault="00A40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FB6" w:rsidRDefault="00A40FB6">
      <w:r>
        <w:separator/>
      </w:r>
    </w:p>
  </w:footnote>
  <w:footnote w:type="continuationSeparator" w:id="0">
    <w:p w:rsidR="00A40FB6" w:rsidRDefault="00A40FB6">
      <w:r>
        <w:continuationSeparator/>
      </w:r>
    </w:p>
  </w:footnote>
  <w:footnote w:id="1">
    <w:p w:rsidR="00A40FB6" w:rsidRDefault="00A40FB6" w:rsidP="00955A6F">
      <w:pPr>
        <w:pStyle w:val="FootnoteText"/>
        <w:jc w:val="left"/>
        <w:rPr>
          <w:lang w:val="es-ES_tradnl"/>
        </w:rPr>
      </w:pPr>
      <w:r>
        <w:rPr>
          <w:rStyle w:val="FootnoteReference"/>
          <w:lang w:val="es-ES_tradnl"/>
        </w:rPr>
        <w:t>*</w:t>
      </w:r>
      <w:r>
        <w:rPr>
          <w:lang w:val="es-ES_tradnl"/>
        </w:rPr>
        <w:t xml:space="preserve"> </w:t>
      </w:r>
      <w:r>
        <w:rPr>
          <w:lang w:val="es-ES_tradnl"/>
        </w:rPr>
        <w:tab/>
        <w:t>Las bandas atribuidas en el Reglamento de Radiocomunicaciones (edición 2008) comienzan en 9 kHz. Sin embargo, el sistema mencionado en esta Recomendación funciona entre 8,3 y 11,3 kHz.</w:t>
      </w:r>
    </w:p>
  </w:footnote>
  <w:footnote w:id="2">
    <w:p w:rsidR="00A40FB6" w:rsidRPr="00AF00AB" w:rsidRDefault="00A40FB6" w:rsidP="00955A6F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 w:rsidRPr="00AF00AB">
        <w:rPr>
          <w:lang w:val="es-ES_tradnl"/>
        </w:rPr>
        <w:t xml:space="preserve"> </w:t>
      </w:r>
      <w:r>
        <w:rPr>
          <w:lang w:val="es-ES_tradnl"/>
        </w:rPr>
        <w:tab/>
        <w:t>Sferic: señal electromagnética generada por un rayo (abreviatura de radioatmosférica).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B6" w:rsidRDefault="00A40FB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B6" w:rsidRDefault="00A40FB6" w:rsidP="00A40FB6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9264" behindDoc="1" locked="0" layoutInCell="1" allowOverlap="1" wp14:anchorId="7D4AEE60" wp14:editId="3EA7C6A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B6" w:rsidRDefault="00A40FB6" w:rsidP="00A40FB6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8348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9142AF" w:rsidRPr="009142AF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83485">
      <w:rPr>
        <w:b/>
        <w:bCs/>
        <w:noProof/>
      </w:rPr>
      <w:t>UIT-R  RS.1881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B6" w:rsidRDefault="00A40FB6">
    <w:pPr>
      <w:pStyle w:val="Header"/>
    </w:pPr>
    <w:r>
      <w:tab/>
    </w:r>
    <w:fldSimple w:instr=" DOCPROPERTY &quot;Header&quot; \* MERGEFORMAT ">
      <w:r w:rsidR="009142AF" w:rsidRPr="009142AF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9142AF">
      <w:rPr>
        <w:b/>
        <w:bCs/>
        <w:noProof/>
      </w:rPr>
      <w:t>UIT-R  RS.1881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vi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B6" w:rsidRDefault="00A40FB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8348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9142AF" w:rsidRPr="009142AF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083485">
      <w:rPr>
        <w:b/>
        <w:bCs/>
        <w:noProof/>
      </w:rPr>
      <w:t>UIT-R  RS.1881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FB6" w:rsidRDefault="00A40FB6">
    <w:pPr>
      <w:pStyle w:val="Header"/>
    </w:pPr>
    <w:r>
      <w:tab/>
    </w:r>
    <w:fldSimple w:instr=" DOCPROPERTY &quot;Header&quot; \* MERGEFORMAT ">
      <w:r w:rsidR="009142AF" w:rsidRPr="009142AF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83485">
      <w:rPr>
        <w:b/>
        <w:bCs/>
        <w:noProof/>
      </w:rPr>
      <w:t>UIT-R  RS.1881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83485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5E"/>
    <w:rsid w:val="000627A3"/>
    <w:rsid w:val="00083485"/>
    <w:rsid w:val="000E0389"/>
    <w:rsid w:val="00217EBF"/>
    <w:rsid w:val="002D76C4"/>
    <w:rsid w:val="00482C13"/>
    <w:rsid w:val="0048629A"/>
    <w:rsid w:val="00607D68"/>
    <w:rsid w:val="007468DA"/>
    <w:rsid w:val="007828AB"/>
    <w:rsid w:val="007D4E5E"/>
    <w:rsid w:val="00897C52"/>
    <w:rsid w:val="009142AF"/>
    <w:rsid w:val="00931699"/>
    <w:rsid w:val="00955A6F"/>
    <w:rsid w:val="009C3076"/>
    <w:rsid w:val="00A40FB6"/>
    <w:rsid w:val="00A6617B"/>
    <w:rsid w:val="00AB0DC8"/>
    <w:rsid w:val="00B44E24"/>
    <w:rsid w:val="00C47BF4"/>
    <w:rsid w:val="00C87334"/>
    <w:rsid w:val="00DF4176"/>
    <w:rsid w:val="00E725ED"/>
    <w:rsid w:val="00F1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5A6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955A6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55A6F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55A6F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955A6F"/>
    <w:rPr>
      <w:sz w:val="22"/>
      <w:lang w:val="fr-FR" w:eastAsia="en-US"/>
    </w:rPr>
  </w:style>
  <w:style w:type="character" w:customStyle="1" w:styleId="TableNo0">
    <w:name w:val="Table_No Знак"/>
    <w:link w:val="TableNo"/>
    <w:locked/>
    <w:rsid w:val="00955A6F"/>
    <w:rPr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955A6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955A6F"/>
    <w:rPr>
      <w:sz w:val="24"/>
      <w:lang w:val="fr-FR" w:eastAsia="en-US"/>
    </w:rPr>
  </w:style>
  <w:style w:type="character" w:customStyle="1" w:styleId="FiguretitleChar">
    <w:name w:val="Figure_title Char"/>
    <w:link w:val="Figuretitle"/>
    <w:locked/>
    <w:rsid w:val="00955A6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955A6F"/>
    <w:rPr>
      <w:caps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955A6F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87334"/>
    <w:rPr>
      <w:sz w:val="24"/>
      <w:lang w:val="fr-FR" w:eastAsia="en-US"/>
    </w:rPr>
  </w:style>
  <w:style w:type="character" w:styleId="Hyperlink">
    <w:name w:val="Hyperlink"/>
    <w:basedOn w:val="DefaultParagraphFont"/>
    <w:rsid w:val="00C87334"/>
    <w:rPr>
      <w:color w:val="0000FF"/>
      <w:u w:val="single"/>
    </w:rPr>
  </w:style>
  <w:style w:type="table" w:styleId="TableGrid">
    <w:name w:val="Table Grid"/>
    <w:basedOn w:val="TableNormal"/>
    <w:rsid w:val="00C8733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55A6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link w:val="FiguretitleChar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955A6F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55A6F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55A6F"/>
    <w:rPr>
      <w:b/>
      <w:sz w:val="24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955A6F"/>
    <w:rPr>
      <w:sz w:val="22"/>
      <w:lang w:val="fr-FR" w:eastAsia="en-US"/>
    </w:rPr>
  </w:style>
  <w:style w:type="character" w:customStyle="1" w:styleId="TableNo0">
    <w:name w:val="Table_No Знак"/>
    <w:link w:val="TableNo"/>
    <w:locked/>
    <w:rsid w:val="00955A6F"/>
    <w:rPr>
      <w:sz w:val="24"/>
      <w:lang w:val="fr-FR" w:eastAsia="en-US"/>
    </w:rPr>
  </w:style>
  <w:style w:type="character" w:customStyle="1" w:styleId="TabletextChar">
    <w:name w:val="Table_text Char"/>
    <w:link w:val="Tabletext"/>
    <w:locked/>
    <w:rsid w:val="00955A6F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955A6F"/>
    <w:rPr>
      <w:sz w:val="24"/>
      <w:lang w:val="fr-FR" w:eastAsia="en-US"/>
    </w:rPr>
  </w:style>
  <w:style w:type="character" w:customStyle="1" w:styleId="FiguretitleChar">
    <w:name w:val="Figure_title Char"/>
    <w:link w:val="Figuretitle"/>
    <w:locked/>
    <w:rsid w:val="00955A6F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955A6F"/>
    <w:rPr>
      <w:caps/>
      <w:sz w:val="18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955A6F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87334"/>
    <w:rPr>
      <w:sz w:val="24"/>
      <w:lang w:val="fr-FR" w:eastAsia="en-US"/>
    </w:rPr>
  </w:style>
  <w:style w:type="character" w:styleId="Hyperlink">
    <w:name w:val="Hyperlink"/>
    <w:basedOn w:val="DefaultParagraphFont"/>
    <w:rsid w:val="00C87334"/>
    <w:rPr>
      <w:color w:val="0000FF"/>
      <w:u w:val="single"/>
    </w:rPr>
  </w:style>
  <w:style w:type="table" w:styleId="TableGrid">
    <w:name w:val="Table Grid"/>
    <w:basedOn w:val="TableNormal"/>
    <w:rsid w:val="00C8733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3" Type="http://schemas.microsoft.com/office/2007/relationships/stylesWithEffects" Target="stylesWithEffect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C9861-0F29-47A8-BF68-8F90E078B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136</TotalTime>
  <Pages>8</Pages>
  <Words>1991</Words>
  <Characters>10654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Julia Marquez, Mari Carmen</dc:creator>
  <cp:keywords/>
  <dc:description/>
  <cp:lastModifiedBy>martiner</cp:lastModifiedBy>
  <cp:revision>15</cp:revision>
  <cp:lastPrinted>2011-07-26T09:00:00Z</cp:lastPrinted>
  <dcterms:created xsi:type="dcterms:W3CDTF">2011-06-29T14:06:00Z</dcterms:created>
  <dcterms:modified xsi:type="dcterms:W3CDTF">2011-07-26T09:11:00Z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