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254" w:rsidRPr="003E54EE" w:rsidRDefault="00CC6254">
      <w:pPr>
        <w:rPr>
          <w:lang w:val="fr-CH"/>
        </w:rPr>
      </w:pPr>
    </w:p>
    <w:p w:rsidR="00CC6254" w:rsidRPr="003E54EE" w:rsidRDefault="00CC6254">
      <w:pPr>
        <w:rPr>
          <w:lang w:val="fr-CH"/>
        </w:rPr>
      </w:pPr>
    </w:p>
    <w:p w:rsidR="00CC6254" w:rsidRPr="003E54EE" w:rsidRDefault="00CC6254">
      <w:pPr>
        <w:rPr>
          <w:lang w:val="fr-CH"/>
        </w:rPr>
      </w:pPr>
    </w:p>
    <w:p w:rsidR="00CC6254" w:rsidRPr="003E54EE" w:rsidRDefault="00CC6254">
      <w:pPr>
        <w:rPr>
          <w:lang w:val="fr-CH"/>
        </w:rPr>
      </w:pPr>
    </w:p>
    <w:p w:rsidR="00CC6254" w:rsidRPr="003E54EE" w:rsidRDefault="00CC6254">
      <w:pPr>
        <w:rPr>
          <w:lang w:val="fr-CH"/>
        </w:rPr>
      </w:pPr>
    </w:p>
    <w:p w:rsidR="00CC6254" w:rsidRPr="003E54EE" w:rsidRDefault="00CC6254">
      <w:pPr>
        <w:rPr>
          <w:lang w:val="fr-CH"/>
        </w:rPr>
      </w:pPr>
    </w:p>
    <w:p w:rsidR="00CC6254" w:rsidRPr="003E54EE" w:rsidRDefault="00CC6254">
      <w:pPr>
        <w:rPr>
          <w:lang w:val="fr-CH"/>
        </w:rPr>
      </w:pPr>
    </w:p>
    <w:p w:rsidR="00CC6254" w:rsidRPr="003E54EE" w:rsidRDefault="00CC6254">
      <w:pPr>
        <w:rPr>
          <w:lang w:val="fr-CH"/>
        </w:rPr>
      </w:pPr>
    </w:p>
    <w:p w:rsidR="00CC6254" w:rsidRPr="003E54EE" w:rsidRDefault="00CC6254">
      <w:pPr>
        <w:rPr>
          <w:lang w:val="fr-CH"/>
        </w:rPr>
      </w:pPr>
    </w:p>
    <w:p w:rsidR="00CC6254" w:rsidRPr="003E54EE" w:rsidRDefault="00CC6254">
      <w:pPr>
        <w:rPr>
          <w:lang w:val="fr-CH"/>
        </w:rPr>
      </w:pPr>
    </w:p>
    <w:p w:rsidR="00CC6254" w:rsidRPr="003E54EE" w:rsidRDefault="00CC6254">
      <w:pPr>
        <w:rPr>
          <w:lang w:val="fr-CH"/>
        </w:rPr>
      </w:pPr>
    </w:p>
    <w:p w:rsidR="00CC6254" w:rsidRPr="003E54EE" w:rsidRDefault="00CC6254">
      <w:pPr>
        <w:rPr>
          <w:lang w:val="fr-CH"/>
        </w:rPr>
      </w:pPr>
    </w:p>
    <w:tbl>
      <w:tblPr>
        <w:tblW w:w="10089" w:type="dxa"/>
        <w:tblLook w:val="01E0" w:firstRow="1" w:lastRow="1" w:firstColumn="1" w:lastColumn="1" w:noHBand="0" w:noVBand="0"/>
      </w:tblPr>
      <w:tblGrid>
        <w:gridCol w:w="10089"/>
      </w:tblGrid>
      <w:tr w:rsidR="00CC6254" w:rsidRPr="003E54EE">
        <w:tc>
          <w:tcPr>
            <w:tcW w:w="10089" w:type="dxa"/>
          </w:tcPr>
          <w:p w:rsidR="00CC6254" w:rsidRPr="003E54EE" w:rsidRDefault="00CC6254" w:rsidP="00D2153E">
            <w:pPr>
              <w:spacing w:before="380" w:line="280" w:lineRule="exact"/>
              <w:jc w:val="right"/>
              <w:rPr>
                <w:rFonts w:ascii="Tahoma" w:hAnsi="Tahoma" w:cs="Tahoma"/>
                <w:b/>
                <w:bCs/>
                <w:iCs/>
                <w:color w:val="243285"/>
                <w:sz w:val="32"/>
                <w:szCs w:val="32"/>
                <w:lang w:val="fr-CH"/>
              </w:rPr>
            </w:pPr>
          </w:p>
          <w:p w:rsidR="00CC6254" w:rsidRPr="003E54EE" w:rsidRDefault="00CC6254" w:rsidP="00F3347B">
            <w:pPr>
              <w:spacing w:before="380" w:line="280" w:lineRule="exact"/>
              <w:jc w:val="right"/>
              <w:rPr>
                <w:rFonts w:ascii="Tahoma" w:hAnsi="Tahoma" w:cs="Tahoma"/>
                <w:b/>
                <w:bCs/>
                <w:iCs/>
                <w:color w:val="243285"/>
                <w:sz w:val="36"/>
                <w:szCs w:val="36"/>
                <w:lang w:val="fr-CH"/>
              </w:rPr>
            </w:pPr>
            <w:r w:rsidRPr="003E54EE">
              <w:rPr>
                <w:rFonts w:ascii="Tahoma" w:hAnsi="Tahoma" w:cs="Tahoma"/>
                <w:b/>
                <w:bCs/>
                <w:iCs/>
                <w:color w:val="243285"/>
                <w:sz w:val="36"/>
                <w:szCs w:val="36"/>
                <w:lang w:val="fr-CH"/>
              </w:rPr>
              <w:t>Recommandation  UIT-R  RS.18</w:t>
            </w:r>
            <w:r w:rsidR="0043611E" w:rsidRPr="003E54EE">
              <w:rPr>
                <w:rFonts w:ascii="Tahoma" w:hAnsi="Tahoma" w:cs="Tahoma"/>
                <w:b/>
                <w:bCs/>
                <w:iCs/>
                <w:color w:val="243285"/>
                <w:sz w:val="36"/>
                <w:szCs w:val="36"/>
                <w:lang w:val="fr-CH"/>
              </w:rPr>
              <w:t>81</w:t>
            </w:r>
          </w:p>
          <w:p w:rsidR="00CC6254" w:rsidRPr="003E54EE" w:rsidRDefault="00CC6254" w:rsidP="0043611E">
            <w:pPr>
              <w:spacing w:before="80" w:line="280" w:lineRule="exact"/>
              <w:jc w:val="right"/>
              <w:rPr>
                <w:rFonts w:ascii="Tahoma" w:hAnsi="Tahoma" w:cs="Tahoma"/>
                <w:b/>
                <w:bCs/>
                <w:iCs/>
                <w:color w:val="243285"/>
                <w:szCs w:val="24"/>
                <w:lang w:val="fr-CH"/>
              </w:rPr>
            </w:pPr>
            <w:r w:rsidRPr="003E54EE">
              <w:rPr>
                <w:rFonts w:ascii="Tahoma" w:hAnsi="Tahoma" w:cs="Tahoma"/>
                <w:b/>
                <w:bCs/>
                <w:iCs/>
                <w:color w:val="243285"/>
                <w:szCs w:val="24"/>
                <w:lang w:val="fr-CH"/>
              </w:rPr>
              <w:t>(0</w:t>
            </w:r>
            <w:r w:rsidR="0043611E" w:rsidRPr="003E54EE">
              <w:rPr>
                <w:rFonts w:ascii="Tahoma" w:hAnsi="Tahoma" w:cs="Tahoma"/>
                <w:b/>
                <w:bCs/>
                <w:iCs/>
                <w:color w:val="243285"/>
                <w:szCs w:val="24"/>
                <w:lang w:val="fr-CH"/>
              </w:rPr>
              <w:t>2</w:t>
            </w:r>
            <w:r w:rsidRPr="003E54EE">
              <w:rPr>
                <w:rFonts w:ascii="Tahoma" w:hAnsi="Tahoma" w:cs="Tahoma"/>
                <w:b/>
                <w:bCs/>
                <w:iCs/>
                <w:color w:val="243285"/>
                <w:szCs w:val="24"/>
                <w:lang w:val="fr-CH"/>
              </w:rPr>
              <w:t>/2011)</w:t>
            </w:r>
          </w:p>
        </w:tc>
      </w:tr>
      <w:tr w:rsidR="00CC6254" w:rsidRPr="003E54EE">
        <w:tc>
          <w:tcPr>
            <w:tcW w:w="10089" w:type="dxa"/>
          </w:tcPr>
          <w:p w:rsidR="00CC6254" w:rsidRPr="003E54EE" w:rsidRDefault="00CC6254" w:rsidP="00D2153E">
            <w:pPr>
              <w:spacing w:before="80" w:line="500" w:lineRule="exact"/>
              <w:jc w:val="right"/>
              <w:rPr>
                <w:rFonts w:ascii="Tahoma" w:hAnsi="Tahoma" w:cs="Tahoma"/>
                <w:b/>
                <w:bCs/>
                <w:iCs/>
                <w:color w:val="243285"/>
                <w:sz w:val="44"/>
                <w:szCs w:val="44"/>
                <w:lang w:val="fr-CH"/>
              </w:rPr>
            </w:pPr>
          </w:p>
          <w:p w:rsidR="00CC6254" w:rsidRPr="003E54EE" w:rsidRDefault="0043611E" w:rsidP="0043611E">
            <w:pPr>
              <w:spacing w:before="80" w:line="500" w:lineRule="exact"/>
              <w:jc w:val="right"/>
              <w:rPr>
                <w:rFonts w:ascii="Tahoma" w:hAnsi="Tahoma" w:cs="Tahoma"/>
                <w:b/>
                <w:bCs/>
                <w:iCs/>
                <w:color w:val="243285"/>
                <w:sz w:val="44"/>
                <w:szCs w:val="44"/>
                <w:lang w:val="fr-CH"/>
              </w:rPr>
            </w:pPr>
            <w:r w:rsidRPr="003E54EE">
              <w:rPr>
                <w:rFonts w:ascii="Tahoma" w:hAnsi="Tahoma" w:cs="Tahoma"/>
                <w:b/>
                <w:bCs/>
                <w:color w:val="243285"/>
                <w:sz w:val="44"/>
                <w:szCs w:val="44"/>
                <w:lang w:val="fr-CH"/>
              </w:rPr>
              <w:t xml:space="preserve">Critères de protection des récepteurs utilisant la différence de temps d'arrivée (ATD) et fonctionnant dans le service des auxiliaires de la météorologie dans la </w:t>
            </w:r>
            <w:r w:rsidRPr="003E54EE">
              <w:rPr>
                <w:rFonts w:ascii="Tahoma" w:hAnsi="Tahoma" w:cs="Tahoma"/>
                <w:b/>
                <w:bCs/>
                <w:color w:val="243285"/>
                <w:sz w:val="44"/>
                <w:szCs w:val="44"/>
                <w:lang w:val="fr-CH"/>
              </w:rPr>
              <w:br/>
              <w:t>bande 9-11,3 kHz</w:t>
            </w:r>
          </w:p>
          <w:p w:rsidR="00CC6254" w:rsidRPr="003E54EE" w:rsidRDefault="00CC6254" w:rsidP="00D2153E">
            <w:pPr>
              <w:spacing w:before="80" w:line="500" w:lineRule="exact"/>
              <w:jc w:val="right"/>
              <w:rPr>
                <w:rFonts w:ascii="Tahoma" w:hAnsi="Tahoma" w:cs="Tahoma"/>
                <w:b/>
                <w:bCs/>
                <w:iCs/>
                <w:color w:val="243285"/>
                <w:sz w:val="44"/>
                <w:szCs w:val="44"/>
                <w:lang w:val="fr-CH"/>
              </w:rPr>
            </w:pPr>
          </w:p>
        </w:tc>
      </w:tr>
      <w:tr w:rsidR="00CC6254" w:rsidRPr="003E54EE">
        <w:tc>
          <w:tcPr>
            <w:tcW w:w="10089" w:type="dxa"/>
          </w:tcPr>
          <w:p w:rsidR="00CC6254" w:rsidRPr="003E54EE" w:rsidRDefault="00CC6254" w:rsidP="00D2153E">
            <w:pPr>
              <w:spacing w:before="80" w:line="280" w:lineRule="exact"/>
              <w:ind w:right="640"/>
              <w:rPr>
                <w:rFonts w:ascii="Tahoma" w:hAnsi="Tahoma" w:cs="Tahoma"/>
                <w:b/>
                <w:bCs/>
                <w:iCs/>
                <w:color w:val="243285"/>
                <w:sz w:val="32"/>
                <w:szCs w:val="32"/>
                <w:lang w:val="fr-CH"/>
              </w:rPr>
            </w:pPr>
          </w:p>
          <w:p w:rsidR="00CC6254" w:rsidRPr="003E54EE" w:rsidRDefault="00CC6254" w:rsidP="00D2153E">
            <w:pPr>
              <w:spacing w:before="80" w:line="280" w:lineRule="exact"/>
              <w:ind w:right="640"/>
              <w:rPr>
                <w:rFonts w:ascii="Tahoma" w:hAnsi="Tahoma" w:cs="Tahoma"/>
                <w:b/>
                <w:bCs/>
                <w:iCs/>
                <w:color w:val="243285"/>
                <w:sz w:val="32"/>
                <w:szCs w:val="32"/>
                <w:lang w:val="fr-CH"/>
              </w:rPr>
            </w:pPr>
          </w:p>
          <w:p w:rsidR="00CC6254" w:rsidRPr="003E54EE" w:rsidRDefault="00CC6254" w:rsidP="00D2153E">
            <w:pPr>
              <w:spacing w:before="80" w:after="180" w:line="360" w:lineRule="exact"/>
              <w:ind w:right="720"/>
              <w:rPr>
                <w:rFonts w:ascii="Tahoma" w:hAnsi="Tahoma" w:cs="Tahoma"/>
                <w:b/>
                <w:bCs/>
                <w:iCs/>
                <w:color w:val="243285"/>
                <w:sz w:val="36"/>
                <w:szCs w:val="36"/>
                <w:lang w:val="fr-CH"/>
              </w:rPr>
            </w:pPr>
          </w:p>
          <w:p w:rsidR="00CC6254" w:rsidRPr="003E54EE" w:rsidRDefault="00CC6254" w:rsidP="00D2153E">
            <w:pPr>
              <w:spacing w:before="80" w:after="180" w:line="360" w:lineRule="exact"/>
              <w:jc w:val="right"/>
              <w:rPr>
                <w:rFonts w:ascii="Tahoma" w:hAnsi="Tahoma" w:cs="Tahoma"/>
                <w:b/>
                <w:bCs/>
                <w:iCs/>
                <w:color w:val="243285"/>
                <w:sz w:val="36"/>
                <w:szCs w:val="36"/>
                <w:lang w:val="fr-CH"/>
              </w:rPr>
            </w:pPr>
            <w:r w:rsidRPr="003E54EE">
              <w:rPr>
                <w:rFonts w:ascii="Tahoma" w:hAnsi="Tahoma" w:cs="Tahoma"/>
                <w:b/>
                <w:bCs/>
                <w:iCs/>
                <w:color w:val="243285"/>
                <w:sz w:val="36"/>
                <w:szCs w:val="36"/>
                <w:lang w:val="fr-CH"/>
              </w:rPr>
              <w:t>Série RS</w:t>
            </w:r>
          </w:p>
          <w:p w:rsidR="00CC6254" w:rsidRPr="003E54EE" w:rsidRDefault="00CC6254" w:rsidP="00D2153E">
            <w:pPr>
              <w:spacing w:before="80" w:line="420" w:lineRule="exact"/>
              <w:jc w:val="right"/>
              <w:rPr>
                <w:rFonts w:ascii="Tahoma" w:hAnsi="Tahoma" w:cs="Tahoma"/>
                <w:b/>
                <w:bCs/>
                <w:iCs/>
                <w:color w:val="243285"/>
                <w:sz w:val="36"/>
                <w:szCs w:val="36"/>
                <w:lang w:val="fr-CH"/>
              </w:rPr>
            </w:pPr>
            <w:r w:rsidRPr="003E54EE">
              <w:rPr>
                <w:rFonts w:ascii="Tahoma" w:hAnsi="Tahoma" w:cs="Tahoma"/>
                <w:b/>
                <w:bCs/>
                <w:iCs/>
                <w:color w:val="243285"/>
                <w:sz w:val="36"/>
                <w:szCs w:val="36"/>
                <w:lang w:val="fr-CH"/>
              </w:rPr>
              <w:t>Systèmes de télédétection</w:t>
            </w:r>
          </w:p>
        </w:tc>
      </w:tr>
    </w:tbl>
    <w:p w:rsidR="00CC6254" w:rsidRPr="003E54EE" w:rsidRDefault="00CC6254" w:rsidP="00D2153E">
      <w:pPr>
        <w:spacing w:before="80"/>
        <w:rPr>
          <w:i/>
          <w:sz w:val="22"/>
          <w:lang w:val="fr-CH"/>
        </w:rPr>
      </w:pPr>
    </w:p>
    <w:p w:rsidR="00CC6254" w:rsidRPr="003E54EE" w:rsidRDefault="00CC6254" w:rsidP="00D2153E">
      <w:pPr>
        <w:spacing w:before="80"/>
        <w:rPr>
          <w:i/>
          <w:sz w:val="22"/>
          <w:lang w:val="fr-CH"/>
        </w:rPr>
      </w:pPr>
    </w:p>
    <w:p w:rsidR="00CC6254" w:rsidRPr="003E54EE" w:rsidRDefault="00CC6254" w:rsidP="00D2153E">
      <w:pPr>
        <w:spacing w:before="80"/>
        <w:rPr>
          <w:i/>
          <w:sz w:val="22"/>
          <w:lang w:val="fr-CH"/>
        </w:rPr>
      </w:pPr>
    </w:p>
    <w:p w:rsidR="00CC6254" w:rsidRPr="003E54EE" w:rsidRDefault="00CC6254" w:rsidP="00D2153E">
      <w:pPr>
        <w:spacing w:before="80"/>
        <w:rPr>
          <w:i/>
          <w:sz w:val="22"/>
          <w:lang w:val="fr-CH"/>
        </w:rPr>
      </w:pPr>
    </w:p>
    <w:p w:rsidR="00CC6254" w:rsidRPr="003E54EE" w:rsidRDefault="00CC6254" w:rsidP="00D2153E">
      <w:pPr>
        <w:spacing w:before="80"/>
        <w:rPr>
          <w:i/>
          <w:sz w:val="22"/>
          <w:lang w:val="fr-CH"/>
        </w:rPr>
      </w:pPr>
    </w:p>
    <w:p w:rsidR="00CC6254" w:rsidRPr="003E54EE" w:rsidRDefault="00CC6254" w:rsidP="00D2153E">
      <w:pPr>
        <w:pStyle w:val="Equation"/>
        <w:tabs>
          <w:tab w:val="clear" w:pos="4820"/>
          <w:tab w:val="clear" w:pos="9639"/>
          <w:tab w:val="left" w:pos="1191"/>
          <w:tab w:val="left" w:pos="1588"/>
          <w:tab w:val="left" w:pos="1985"/>
        </w:tabs>
        <w:rPr>
          <w:rFonts w:ascii="Palatino Linotype" w:hAnsi="Palatino Linotype"/>
          <w:lang w:val="fr-CH"/>
        </w:rPr>
        <w:sectPr w:rsidR="00CC6254" w:rsidRPr="003E54EE" w:rsidSect="00D2153E">
          <w:headerReference w:type="even" r:id="rId7"/>
          <w:headerReference w:type="default" r:id="rId8"/>
          <w:pgSz w:w="11907" w:h="16834" w:code="9"/>
          <w:pgMar w:top="1418" w:right="1134" w:bottom="1134" w:left="1134" w:header="720" w:footer="482" w:gutter="0"/>
          <w:paperSrc w:first="15" w:other="15"/>
          <w:cols w:space="720"/>
        </w:sectPr>
      </w:pPr>
    </w:p>
    <w:p w:rsidR="00CC6254" w:rsidRPr="003E54EE" w:rsidRDefault="00CC6254" w:rsidP="00D215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3E54EE">
        <w:rPr>
          <w:bCs/>
          <w:sz w:val="24"/>
          <w:szCs w:val="24"/>
          <w:lang w:val="fr-CH"/>
        </w:rPr>
        <w:lastRenderedPageBreak/>
        <w:t>Avant-propos</w:t>
      </w:r>
    </w:p>
    <w:p w:rsidR="00CC6254" w:rsidRPr="003E54EE" w:rsidRDefault="00CC6254" w:rsidP="00D2153E">
      <w:pPr>
        <w:spacing w:before="240"/>
        <w:rPr>
          <w:sz w:val="20"/>
          <w:lang w:val="fr-CH"/>
        </w:rPr>
      </w:pPr>
      <w:r w:rsidRPr="003E54EE">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CC6254" w:rsidRPr="003E54EE" w:rsidRDefault="00CC6254" w:rsidP="00D2153E">
      <w:pPr>
        <w:rPr>
          <w:sz w:val="20"/>
          <w:lang w:val="fr-CH"/>
        </w:rPr>
      </w:pPr>
      <w:r w:rsidRPr="003E54EE">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CC6254" w:rsidRPr="003E54EE" w:rsidRDefault="00CC6254" w:rsidP="00D2153E">
      <w:pPr>
        <w:pStyle w:val="Heading1"/>
        <w:spacing w:before="360"/>
        <w:jc w:val="center"/>
        <w:rPr>
          <w:szCs w:val="24"/>
          <w:lang w:val="fr-CH"/>
        </w:rPr>
      </w:pPr>
      <w:r w:rsidRPr="003E54EE">
        <w:rPr>
          <w:szCs w:val="24"/>
          <w:lang w:val="fr-CH"/>
        </w:rPr>
        <w:t>Politique en matière de droits de propriété intellectuelle (IPR)</w:t>
      </w:r>
    </w:p>
    <w:p w:rsidR="00CC6254" w:rsidRPr="003E54EE" w:rsidRDefault="00CC6254" w:rsidP="00D2153E">
      <w:pPr>
        <w:spacing w:before="240"/>
        <w:rPr>
          <w:sz w:val="20"/>
          <w:lang w:val="fr-CH"/>
        </w:rPr>
      </w:pPr>
      <w:r w:rsidRPr="003E54EE">
        <w:rPr>
          <w:sz w:val="20"/>
          <w:lang w:val="fr-CH"/>
        </w:rPr>
        <w:t>La politique de l'UIT</w:t>
      </w:r>
      <w:r w:rsidRPr="003E54EE">
        <w:rPr>
          <w:sz w:val="20"/>
          <w:lang w:val="fr-CH"/>
        </w:rPr>
        <w:noBreakHyphen/>
        <w:t>R en matière de droits de propriété intellectuelle est décrite dans la «Politique commune de l'UIT</w:t>
      </w:r>
      <w:r w:rsidRPr="003E54EE">
        <w:rPr>
          <w:sz w:val="20"/>
          <w:lang w:val="fr-CH"/>
        </w:rPr>
        <w:noBreakHyphen/>
        <w:t>T, l'UIT</w:t>
      </w:r>
      <w:r w:rsidRPr="003E54EE">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3E54EE">
          <w:rPr>
            <w:rStyle w:val="Hyperlink"/>
            <w:sz w:val="20"/>
            <w:lang w:val="fr-CH"/>
          </w:rPr>
          <w:t>http://www.itu.int/ITU-R/go/patents/fr</w:t>
        </w:r>
      </w:hyperlink>
      <w:r w:rsidRPr="003E54EE">
        <w:rPr>
          <w:sz w:val="20"/>
          <w:lang w:val="fr-CH"/>
        </w:rPr>
        <w:t>, où l'on trouvera également les Lignes directrices pour la mise en oeuvre de la politique commune en matière de brevets de l'UIT</w:t>
      </w:r>
      <w:r w:rsidRPr="003E54EE">
        <w:rPr>
          <w:sz w:val="20"/>
          <w:lang w:val="fr-CH"/>
        </w:rPr>
        <w:noBreakHyphen/>
        <w:t>T, l'UIT</w:t>
      </w:r>
      <w:r w:rsidRPr="003E54EE">
        <w:rPr>
          <w:sz w:val="20"/>
          <w:lang w:val="fr-CH"/>
        </w:rPr>
        <w:noBreakHyphen/>
        <w:t>R, l'ISO et la CEI</w:t>
      </w:r>
      <w:r w:rsidRPr="003E54EE" w:rsidDel="0061025C">
        <w:rPr>
          <w:sz w:val="20"/>
          <w:lang w:val="fr-CH"/>
        </w:rPr>
        <w:t xml:space="preserve"> </w:t>
      </w:r>
      <w:r w:rsidRPr="003E54EE">
        <w:rPr>
          <w:sz w:val="20"/>
          <w:lang w:val="fr-CH"/>
        </w:rPr>
        <w:t>et la base de données en matière de brevets de l'UIT-R.</w:t>
      </w:r>
    </w:p>
    <w:p w:rsidR="00CC6254" w:rsidRPr="003E54EE" w:rsidRDefault="00CC6254" w:rsidP="00D2153E">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C6254" w:rsidRPr="003E54EE">
        <w:tc>
          <w:tcPr>
            <w:tcW w:w="9360" w:type="dxa"/>
            <w:gridSpan w:val="2"/>
          </w:tcPr>
          <w:p w:rsidR="00CC6254" w:rsidRPr="003E54EE" w:rsidRDefault="00CC6254" w:rsidP="00D2153E">
            <w:pPr>
              <w:pStyle w:val="Chaptitle"/>
              <w:keepLines w:val="0"/>
              <w:tabs>
                <w:tab w:val="clear" w:pos="794"/>
                <w:tab w:val="clear" w:pos="1191"/>
                <w:tab w:val="clear" w:pos="1588"/>
                <w:tab w:val="clear" w:pos="1985"/>
              </w:tabs>
              <w:overflowPunct/>
              <w:spacing w:before="140"/>
              <w:textAlignment w:val="auto"/>
              <w:rPr>
                <w:sz w:val="22"/>
                <w:szCs w:val="22"/>
                <w:lang w:val="fr-CH"/>
              </w:rPr>
            </w:pPr>
            <w:r w:rsidRPr="003E54EE">
              <w:rPr>
                <w:sz w:val="22"/>
                <w:szCs w:val="22"/>
                <w:lang w:val="fr-CH"/>
              </w:rPr>
              <w:t xml:space="preserve">Séries des Recommandations UIT-R </w:t>
            </w:r>
          </w:p>
          <w:p w:rsidR="00CC6254" w:rsidRPr="003E54EE" w:rsidRDefault="00CC6254" w:rsidP="00D215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3E54EE">
              <w:rPr>
                <w:b w:val="0"/>
                <w:sz w:val="18"/>
                <w:szCs w:val="18"/>
                <w:lang w:val="fr-CH"/>
              </w:rPr>
              <w:t xml:space="preserve">(Egalement disponible en ligne: </w:t>
            </w:r>
            <w:hyperlink r:id="rId10" w:history="1">
              <w:r w:rsidRPr="003E54EE">
                <w:rPr>
                  <w:rStyle w:val="Hyperlink"/>
                  <w:b w:val="0"/>
                  <w:bCs/>
                  <w:sz w:val="18"/>
                  <w:szCs w:val="18"/>
                  <w:lang w:val="fr-CH"/>
                </w:rPr>
                <w:t>http://www.itu.int/publ/R-REC/fr</w:t>
              </w:r>
            </w:hyperlink>
            <w:r w:rsidRPr="003E54EE">
              <w:rPr>
                <w:b w:val="0"/>
                <w:bCs/>
                <w:sz w:val="18"/>
                <w:szCs w:val="18"/>
                <w:lang w:val="fr-CH"/>
              </w:rPr>
              <w:t>)</w:t>
            </w:r>
          </w:p>
        </w:tc>
      </w:tr>
      <w:tr w:rsidR="00CC6254" w:rsidRPr="003E54EE" w:rsidTr="00D2153E">
        <w:tc>
          <w:tcPr>
            <w:tcW w:w="1140" w:type="dxa"/>
            <w:tcBorders>
              <w:bottom w:val="nil"/>
            </w:tcBorders>
          </w:tcPr>
          <w:p w:rsidR="00CC6254" w:rsidRPr="003E54EE" w:rsidRDefault="00CC6254" w:rsidP="00D2153E">
            <w:pPr>
              <w:spacing w:before="90" w:after="100"/>
              <w:ind w:left="57"/>
              <w:rPr>
                <w:b/>
                <w:bCs/>
                <w:sz w:val="20"/>
                <w:lang w:val="fr-CH"/>
              </w:rPr>
            </w:pPr>
            <w:r w:rsidRPr="003E54EE">
              <w:rPr>
                <w:b/>
                <w:bCs/>
                <w:sz w:val="20"/>
                <w:lang w:val="fr-CH"/>
              </w:rPr>
              <w:t>Séries</w:t>
            </w:r>
          </w:p>
        </w:tc>
        <w:tc>
          <w:tcPr>
            <w:tcW w:w="8220" w:type="dxa"/>
            <w:tcBorders>
              <w:bottom w:val="nil"/>
            </w:tcBorders>
          </w:tcPr>
          <w:p w:rsidR="00CC6254" w:rsidRPr="003E54EE" w:rsidRDefault="00CC6254" w:rsidP="00D215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3E54EE">
              <w:rPr>
                <w:bCs/>
                <w:sz w:val="20"/>
                <w:lang w:val="fr-CH"/>
              </w:rPr>
              <w:t>Titre</w:t>
            </w:r>
          </w:p>
        </w:tc>
      </w:tr>
      <w:tr w:rsidR="00CC6254" w:rsidRPr="003E54EE" w:rsidTr="00D2153E">
        <w:tc>
          <w:tcPr>
            <w:tcW w:w="1140" w:type="dxa"/>
            <w:tcBorders>
              <w:top w:val="nil"/>
              <w:bottom w:val="nil"/>
            </w:tcBorders>
            <w:shd w:val="clear" w:color="auto" w:fill="auto"/>
          </w:tcPr>
          <w:p w:rsidR="00CC6254" w:rsidRPr="003E54EE" w:rsidRDefault="00CC6254" w:rsidP="00D2153E">
            <w:pPr>
              <w:spacing w:before="30" w:after="30"/>
              <w:ind w:left="57"/>
              <w:jc w:val="left"/>
              <w:rPr>
                <w:b/>
                <w:bCs/>
                <w:sz w:val="20"/>
                <w:lang w:val="fr-CH"/>
              </w:rPr>
            </w:pPr>
            <w:r w:rsidRPr="003E54EE">
              <w:rPr>
                <w:b/>
                <w:bCs/>
                <w:sz w:val="20"/>
                <w:lang w:val="fr-CH"/>
              </w:rPr>
              <w:t>BO</w:t>
            </w:r>
          </w:p>
        </w:tc>
        <w:tc>
          <w:tcPr>
            <w:tcW w:w="8220" w:type="dxa"/>
            <w:tcBorders>
              <w:top w:val="nil"/>
              <w:bottom w:val="nil"/>
            </w:tcBorders>
            <w:shd w:val="clear" w:color="auto" w:fill="auto"/>
          </w:tcPr>
          <w:p w:rsidR="00CC6254" w:rsidRPr="003E54EE" w:rsidRDefault="00CC6254" w:rsidP="00D215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3E54EE">
              <w:rPr>
                <w:b w:val="0"/>
                <w:sz w:val="20"/>
                <w:lang w:val="fr-CH"/>
              </w:rPr>
              <w:t>Diffusion par satellite</w:t>
            </w:r>
          </w:p>
        </w:tc>
      </w:tr>
      <w:tr w:rsidR="00CC6254" w:rsidRPr="003E54EE" w:rsidTr="00D2153E">
        <w:tc>
          <w:tcPr>
            <w:tcW w:w="1140" w:type="dxa"/>
            <w:tcBorders>
              <w:top w:val="nil"/>
              <w:bottom w:val="nil"/>
            </w:tcBorders>
          </w:tcPr>
          <w:p w:rsidR="00CC6254" w:rsidRPr="003E54EE" w:rsidRDefault="00CC6254" w:rsidP="00D2153E">
            <w:pPr>
              <w:spacing w:before="30" w:after="30"/>
              <w:ind w:left="57"/>
              <w:jc w:val="left"/>
              <w:rPr>
                <w:b/>
                <w:bCs/>
                <w:sz w:val="20"/>
                <w:lang w:val="fr-CH"/>
              </w:rPr>
            </w:pPr>
            <w:r w:rsidRPr="003E54EE">
              <w:rPr>
                <w:b/>
                <w:bCs/>
                <w:sz w:val="20"/>
                <w:lang w:val="fr-CH"/>
              </w:rPr>
              <w:t>BR</w:t>
            </w:r>
          </w:p>
        </w:tc>
        <w:tc>
          <w:tcPr>
            <w:tcW w:w="8220" w:type="dxa"/>
            <w:tcBorders>
              <w:top w:val="nil"/>
              <w:bottom w:val="nil"/>
            </w:tcBorders>
          </w:tcPr>
          <w:p w:rsidR="00CC6254" w:rsidRPr="003E54EE" w:rsidRDefault="00CC6254" w:rsidP="00D215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3E54EE">
              <w:rPr>
                <w:b w:val="0"/>
                <w:bCs/>
                <w:sz w:val="20"/>
                <w:lang w:val="fr-CH"/>
              </w:rPr>
              <w:t>Enregistrement pour la production, l'archivage et la diffusion; films pour la télévision</w:t>
            </w:r>
          </w:p>
        </w:tc>
      </w:tr>
      <w:tr w:rsidR="00CC6254" w:rsidRPr="003E54EE" w:rsidTr="00D2153E">
        <w:tc>
          <w:tcPr>
            <w:tcW w:w="1140" w:type="dxa"/>
            <w:tcBorders>
              <w:top w:val="nil"/>
              <w:bottom w:val="nil"/>
            </w:tcBorders>
            <w:shd w:val="clear" w:color="auto" w:fill="auto"/>
          </w:tcPr>
          <w:p w:rsidR="00CC6254" w:rsidRPr="003E54EE" w:rsidRDefault="00CC6254" w:rsidP="00D2153E">
            <w:pPr>
              <w:spacing w:before="30" w:after="30"/>
              <w:ind w:left="57"/>
              <w:jc w:val="left"/>
              <w:rPr>
                <w:b/>
                <w:bCs/>
                <w:sz w:val="20"/>
                <w:lang w:val="fr-CH"/>
              </w:rPr>
            </w:pPr>
            <w:r w:rsidRPr="003E54EE">
              <w:rPr>
                <w:b/>
                <w:bCs/>
                <w:sz w:val="20"/>
                <w:lang w:val="fr-CH"/>
              </w:rPr>
              <w:t>BS</w:t>
            </w:r>
          </w:p>
        </w:tc>
        <w:tc>
          <w:tcPr>
            <w:tcW w:w="8220" w:type="dxa"/>
            <w:tcBorders>
              <w:top w:val="nil"/>
              <w:bottom w:val="nil"/>
            </w:tcBorders>
            <w:shd w:val="clear" w:color="auto" w:fill="auto"/>
          </w:tcPr>
          <w:p w:rsidR="00CC6254" w:rsidRPr="003E54EE" w:rsidRDefault="00CC6254" w:rsidP="00D215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3E54EE">
              <w:rPr>
                <w:b w:val="0"/>
                <w:sz w:val="20"/>
                <w:lang w:val="fr-CH"/>
              </w:rPr>
              <w:t>Service de radiodiffusion sonore</w:t>
            </w:r>
          </w:p>
        </w:tc>
      </w:tr>
      <w:tr w:rsidR="00CC6254" w:rsidRPr="003E54EE" w:rsidTr="00D2153E">
        <w:tc>
          <w:tcPr>
            <w:tcW w:w="1140" w:type="dxa"/>
            <w:tcBorders>
              <w:top w:val="nil"/>
              <w:bottom w:val="nil"/>
            </w:tcBorders>
            <w:shd w:val="clear" w:color="auto" w:fill="auto"/>
          </w:tcPr>
          <w:p w:rsidR="00CC6254" w:rsidRPr="003E54EE" w:rsidRDefault="00CC6254" w:rsidP="00D2153E">
            <w:pPr>
              <w:spacing w:before="30" w:after="30"/>
              <w:ind w:left="57"/>
              <w:jc w:val="left"/>
              <w:rPr>
                <w:b/>
                <w:bCs/>
                <w:sz w:val="20"/>
                <w:lang w:val="fr-CH"/>
              </w:rPr>
            </w:pPr>
            <w:r w:rsidRPr="003E54EE">
              <w:rPr>
                <w:b/>
                <w:bCs/>
                <w:sz w:val="20"/>
                <w:lang w:val="fr-CH"/>
              </w:rPr>
              <w:t>BT</w:t>
            </w:r>
          </w:p>
        </w:tc>
        <w:tc>
          <w:tcPr>
            <w:tcW w:w="8220" w:type="dxa"/>
            <w:tcBorders>
              <w:top w:val="nil"/>
              <w:bottom w:val="nil"/>
            </w:tcBorders>
            <w:shd w:val="clear" w:color="auto" w:fill="auto"/>
          </w:tcPr>
          <w:p w:rsidR="00CC6254" w:rsidRPr="003E54EE" w:rsidRDefault="00CC6254" w:rsidP="00D215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3E54EE">
              <w:rPr>
                <w:b w:val="0"/>
                <w:bCs/>
                <w:sz w:val="20"/>
                <w:lang w:val="fr-CH"/>
              </w:rPr>
              <w:t>Service de radiodiffusion télévisuelle</w:t>
            </w:r>
          </w:p>
        </w:tc>
      </w:tr>
      <w:tr w:rsidR="00CC6254" w:rsidRPr="003E54EE" w:rsidTr="00D2153E">
        <w:tc>
          <w:tcPr>
            <w:tcW w:w="1140" w:type="dxa"/>
            <w:tcBorders>
              <w:top w:val="nil"/>
              <w:bottom w:val="nil"/>
            </w:tcBorders>
            <w:shd w:val="clear" w:color="auto" w:fill="auto"/>
          </w:tcPr>
          <w:p w:rsidR="00CC6254" w:rsidRPr="003E54EE" w:rsidRDefault="00CC6254" w:rsidP="00D2153E">
            <w:pPr>
              <w:spacing w:before="30" w:after="30"/>
              <w:ind w:left="57"/>
              <w:jc w:val="left"/>
              <w:rPr>
                <w:b/>
                <w:bCs/>
                <w:sz w:val="20"/>
                <w:lang w:val="fr-CH"/>
              </w:rPr>
            </w:pPr>
            <w:r w:rsidRPr="003E54EE">
              <w:rPr>
                <w:b/>
                <w:bCs/>
                <w:sz w:val="20"/>
                <w:lang w:val="fr-CH"/>
              </w:rPr>
              <w:t>F</w:t>
            </w:r>
          </w:p>
        </w:tc>
        <w:tc>
          <w:tcPr>
            <w:tcW w:w="8220" w:type="dxa"/>
            <w:tcBorders>
              <w:top w:val="nil"/>
              <w:bottom w:val="nil"/>
            </w:tcBorders>
            <w:shd w:val="clear" w:color="auto" w:fill="auto"/>
          </w:tcPr>
          <w:p w:rsidR="00CC6254" w:rsidRPr="003E54EE" w:rsidRDefault="00CC6254" w:rsidP="00D2153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E54EE">
              <w:rPr>
                <w:sz w:val="20"/>
                <w:lang w:val="fr-CH"/>
              </w:rPr>
              <w:t>Service fixe</w:t>
            </w:r>
          </w:p>
        </w:tc>
      </w:tr>
      <w:tr w:rsidR="00CC6254" w:rsidRPr="003E54EE" w:rsidTr="00D2153E">
        <w:tc>
          <w:tcPr>
            <w:tcW w:w="1140" w:type="dxa"/>
            <w:tcBorders>
              <w:top w:val="nil"/>
              <w:bottom w:val="nil"/>
            </w:tcBorders>
            <w:shd w:val="clear" w:color="auto" w:fill="auto"/>
          </w:tcPr>
          <w:p w:rsidR="00CC6254" w:rsidRPr="003E54EE" w:rsidRDefault="00CC6254" w:rsidP="00D2153E">
            <w:pPr>
              <w:spacing w:before="30" w:after="30"/>
              <w:ind w:left="57"/>
              <w:jc w:val="left"/>
              <w:rPr>
                <w:b/>
                <w:bCs/>
                <w:sz w:val="20"/>
                <w:lang w:val="fr-CH"/>
              </w:rPr>
            </w:pPr>
            <w:r w:rsidRPr="003E54EE">
              <w:rPr>
                <w:b/>
                <w:bCs/>
                <w:sz w:val="20"/>
                <w:lang w:val="fr-CH"/>
              </w:rPr>
              <w:t>M</w:t>
            </w:r>
          </w:p>
        </w:tc>
        <w:tc>
          <w:tcPr>
            <w:tcW w:w="8220" w:type="dxa"/>
            <w:tcBorders>
              <w:top w:val="nil"/>
              <w:bottom w:val="nil"/>
            </w:tcBorders>
            <w:shd w:val="clear" w:color="auto" w:fill="auto"/>
          </w:tcPr>
          <w:p w:rsidR="00CC6254" w:rsidRPr="003E54EE" w:rsidRDefault="00CC6254" w:rsidP="00D215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3E54EE">
              <w:rPr>
                <w:b w:val="0"/>
                <w:sz w:val="20"/>
                <w:lang w:val="fr-CH"/>
              </w:rPr>
              <w:t>Services mobile, de radiorepérage et d'amateur y compris les services par satellite associés</w:t>
            </w:r>
          </w:p>
        </w:tc>
      </w:tr>
      <w:tr w:rsidR="00CC6254" w:rsidRPr="003E54EE" w:rsidTr="00D2153E">
        <w:tc>
          <w:tcPr>
            <w:tcW w:w="1140" w:type="dxa"/>
            <w:tcBorders>
              <w:top w:val="nil"/>
              <w:bottom w:val="nil"/>
            </w:tcBorders>
            <w:shd w:val="clear" w:color="auto" w:fill="auto"/>
          </w:tcPr>
          <w:p w:rsidR="00CC6254" w:rsidRPr="003E54EE" w:rsidRDefault="00CC6254" w:rsidP="00D2153E">
            <w:pPr>
              <w:spacing w:before="30" w:after="30"/>
              <w:ind w:left="57"/>
              <w:jc w:val="left"/>
              <w:rPr>
                <w:b/>
                <w:bCs/>
                <w:sz w:val="20"/>
                <w:lang w:val="fr-CH"/>
              </w:rPr>
            </w:pPr>
            <w:r w:rsidRPr="003E54EE">
              <w:rPr>
                <w:b/>
                <w:bCs/>
                <w:sz w:val="20"/>
                <w:lang w:val="fr-CH"/>
              </w:rPr>
              <w:t>P</w:t>
            </w:r>
          </w:p>
        </w:tc>
        <w:tc>
          <w:tcPr>
            <w:tcW w:w="8220" w:type="dxa"/>
            <w:tcBorders>
              <w:top w:val="nil"/>
              <w:bottom w:val="nil"/>
            </w:tcBorders>
            <w:shd w:val="clear" w:color="auto" w:fill="auto"/>
          </w:tcPr>
          <w:p w:rsidR="00CC6254" w:rsidRPr="003E54EE" w:rsidRDefault="00CC6254" w:rsidP="00D2153E">
            <w:pPr>
              <w:spacing w:before="30" w:after="30"/>
              <w:jc w:val="left"/>
              <w:rPr>
                <w:sz w:val="20"/>
                <w:lang w:val="fr-CH"/>
              </w:rPr>
            </w:pPr>
            <w:r w:rsidRPr="003E54EE">
              <w:rPr>
                <w:sz w:val="20"/>
                <w:lang w:val="fr-CH"/>
              </w:rPr>
              <w:t>Propagation des ondes radioélectriques</w:t>
            </w:r>
          </w:p>
        </w:tc>
      </w:tr>
      <w:tr w:rsidR="00CC6254" w:rsidRPr="003E54EE" w:rsidTr="00D2153E">
        <w:tc>
          <w:tcPr>
            <w:tcW w:w="1140" w:type="dxa"/>
            <w:tcBorders>
              <w:top w:val="nil"/>
              <w:bottom w:val="nil"/>
            </w:tcBorders>
            <w:shd w:val="clear" w:color="auto" w:fill="auto"/>
          </w:tcPr>
          <w:p w:rsidR="00CC6254" w:rsidRPr="003E54EE" w:rsidRDefault="00CC6254" w:rsidP="00D2153E">
            <w:pPr>
              <w:spacing w:before="30" w:after="30"/>
              <w:ind w:left="57"/>
              <w:jc w:val="left"/>
              <w:rPr>
                <w:b/>
                <w:bCs/>
                <w:sz w:val="20"/>
                <w:lang w:val="fr-CH"/>
              </w:rPr>
            </w:pPr>
            <w:r w:rsidRPr="003E54EE">
              <w:rPr>
                <w:b/>
                <w:bCs/>
                <w:sz w:val="20"/>
                <w:lang w:val="fr-CH"/>
              </w:rPr>
              <w:t>RA</w:t>
            </w:r>
          </w:p>
        </w:tc>
        <w:tc>
          <w:tcPr>
            <w:tcW w:w="8220" w:type="dxa"/>
            <w:tcBorders>
              <w:top w:val="nil"/>
              <w:bottom w:val="nil"/>
            </w:tcBorders>
            <w:shd w:val="clear" w:color="auto" w:fill="auto"/>
          </w:tcPr>
          <w:p w:rsidR="00CC6254" w:rsidRPr="003E54EE" w:rsidRDefault="00CC6254" w:rsidP="00D2153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E54EE">
              <w:rPr>
                <w:sz w:val="20"/>
                <w:lang w:val="fr-CH"/>
              </w:rPr>
              <w:t>Radio astronomie</w:t>
            </w:r>
          </w:p>
        </w:tc>
      </w:tr>
      <w:tr w:rsidR="00CC6254" w:rsidRPr="003E54EE" w:rsidTr="00D2153E">
        <w:tc>
          <w:tcPr>
            <w:tcW w:w="1140" w:type="dxa"/>
            <w:tcBorders>
              <w:top w:val="nil"/>
              <w:bottom w:val="nil"/>
            </w:tcBorders>
            <w:shd w:val="clear" w:color="auto" w:fill="F3F3F3"/>
          </w:tcPr>
          <w:p w:rsidR="00CC6254" w:rsidRPr="003E54EE" w:rsidRDefault="00CC6254" w:rsidP="00D2153E">
            <w:pPr>
              <w:spacing w:before="30" w:after="30"/>
              <w:ind w:left="57"/>
              <w:jc w:val="left"/>
              <w:rPr>
                <w:b/>
                <w:bCs/>
                <w:color w:val="000080"/>
                <w:sz w:val="20"/>
                <w:lang w:val="fr-CH"/>
              </w:rPr>
            </w:pPr>
            <w:r w:rsidRPr="003E54EE">
              <w:rPr>
                <w:b/>
                <w:bCs/>
                <w:color w:val="000080"/>
                <w:sz w:val="20"/>
                <w:lang w:val="fr-CH"/>
              </w:rPr>
              <w:t>RS</w:t>
            </w:r>
          </w:p>
        </w:tc>
        <w:tc>
          <w:tcPr>
            <w:tcW w:w="8220" w:type="dxa"/>
            <w:tcBorders>
              <w:top w:val="nil"/>
              <w:bottom w:val="nil"/>
            </w:tcBorders>
            <w:shd w:val="clear" w:color="auto" w:fill="F3F3F3"/>
          </w:tcPr>
          <w:p w:rsidR="00CC6254" w:rsidRPr="003E54EE" w:rsidRDefault="00CC6254" w:rsidP="00D2153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3E54EE">
              <w:rPr>
                <w:b/>
                <w:bCs/>
                <w:color w:val="000080"/>
                <w:sz w:val="20"/>
                <w:lang w:val="fr-CH"/>
              </w:rPr>
              <w:t>Systèmes de télédétection</w:t>
            </w:r>
          </w:p>
        </w:tc>
      </w:tr>
      <w:tr w:rsidR="00CC6254" w:rsidRPr="003E54EE" w:rsidTr="00D2153E">
        <w:tc>
          <w:tcPr>
            <w:tcW w:w="1140" w:type="dxa"/>
            <w:tcBorders>
              <w:top w:val="nil"/>
            </w:tcBorders>
          </w:tcPr>
          <w:p w:rsidR="00CC6254" w:rsidRPr="003E54EE" w:rsidRDefault="00CC6254" w:rsidP="00D2153E">
            <w:pPr>
              <w:spacing w:before="30" w:after="30"/>
              <w:ind w:left="57"/>
              <w:jc w:val="left"/>
              <w:rPr>
                <w:b/>
                <w:bCs/>
                <w:sz w:val="20"/>
                <w:lang w:val="fr-CH"/>
              </w:rPr>
            </w:pPr>
            <w:r w:rsidRPr="003E54EE">
              <w:rPr>
                <w:b/>
                <w:bCs/>
                <w:sz w:val="20"/>
                <w:lang w:val="fr-CH"/>
              </w:rPr>
              <w:t>S</w:t>
            </w:r>
          </w:p>
        </w:tc>
        <w:tc>
          <w:tcPr>
            <w:tcW w:w="8220" w:type="dxa"/>
            <w:tcBorders>
              <w:top w:val="nil"/>
            </w:tcBorders>
          </w:tcPr>
          <w:p w:rsidR="00CC6254" w:rsidRPr="003E54EE" w:rsidRDefault="00CC6254" w:rsidP="00D2153E">
            <w:pPr>
              <w:spacing w:before="30" w:after="30"/>
              <w:jc w:val="left"/>
              <w:rPr>
                <w:sz w:val="20"/>
                <w:lang w:val="fr-CH"/>
              </w:rPr>
            </w:pPr>
            <w:r w:rsidRPr="003E54EE">
              <w:rPr>
                <w:sz w:val="20"/>
                <w:lang w:val="fr-CH"/>
              </w:rPr>
              <w:t>Service fixe par satellite</w:t>
            </w:r>
          </w:p>
        </w:tc>
      </w:tr>
      <w:tr w:rsidR="00CC6254" w:rsidRPr="003E54EE">
        <w:tc>
          <w:tcPr>
            <w:tcW w:w="1140" w:type="dxa"/>
          </w:tcPr>
          <w:p w:rsidR="00CC6254" w:rsidRPr="003E54EE" w:rsidRDefault="00CC6254" w:rsidP="00D2153E">
            <w:pPr>
              <w:spacing w:before="30" w:after="30"/>
              <w:ind w:left="57"/>
              <w:jc w:val="left"/>
              <w:rPr>
                <w:b/>
                <w:bCs/>
                <w:sz w:val="20"/>
                <w:lang w:val="fr-CH"/>
              </w:rPr>
            </w:pPr>
            <w:r w:rsidRPr="003E54EE">
              <w:rPr>
                <w:b/>
                <w:bCs/>
                <w:sz w:val="20"/>
                <w:lang w:val="fr-CH"/>
              </w:rPr>
              <w:t>SA</w:t>
            </w:r>
          </w:p>
        </w:tc>
        <w:tc>
          <w:tcPr>
            <w:tcW w:w="8220" w:type="dxa"/>
          </w:tcPr>
          <w:p w:rsidR="00CC6254" w:rsidRPr="003E54EE" w:rsidRDefault="00CC6254" w:rsidP="00D2153E">
            <w:pPr>
              <w:spacing w:before="30" w:after="30"/>
              <w:jc w:val="left"/>
              <w:rPr>
                <w:sz w:val="20"/>
                <w:lang w:val="fr-CH"/>
              </w:rPr>
            </w:pPr>
            <w:r w:rsidRPr="003E54EE">
              <w:rPr>
                <w:sz w:val="20"/>
                <w:lang w:val="fr-CH"/>
              </w:rPr>
              <w:t>Applications spatiales et météorologie</w:t>
            </w:r>
          </w:p>
        </w:tc>
      </w:tr>
      <w:tr w:rsidR="00CC6254" w:rsidRPr="003E54EE">
        <w:tc>
          <w:tcPr>
            <w:tcW w:w="1140" w:type="dxa"/>
          </w:tcPr>
          <w:p w:rsidR="00CC6254" w:rsidRPr="003E54EE" w:rsidRDefault="00CC6254" w:rsidP="00D2153E">
            <w:pPr>
              <w:spacing w:before="30" w:after="30"/>
              <w:ind w:left="57"/>
              <w:jc w:val="left"/>
              <w:rPr>
                <w:b/>
                <w:bCs/>
                <w:sz w:val="20"/>
                <w:lang w:val="fr-CH"/>
              </w:rPr>
            </w:pPr>
            <w:r w:rsidRPr="003E54EE">
              <w:rPr>
                <w:b/>
                <w:bCs/>
                <w:sz w:val="20"/>
                <w:lang w:val="fr-CH"/>
              </w:rPr>
              <w:t>SF</w:t>
            </w:r>
          </w:p>
        </w:tc>
        <w:tc>
          <w:tcPr>
            <w:tcW w:w="8220" w:type="dxa"/>
          </w:tcPr>
          <w:p w:rsidR="00CC6254" w:rsidRPr="003E54EE" w:rsidRDefault="00CC6254" w:rsidP="00D2153E">
            <w:pPr>
              <w:spacing w:before="30" w:after="30"/>
              <w:jc w:val="left"/>
              <w:rPr>
                <w:sz w:val="20"/>
                <w:lang w:val="fr-CH"/>
              </w:rPr>
            </w:pPr>
            <w:r w:rsidRPr="003E54EE">
              <w:rPr>
                <w:sz w:val="20"/>
                <w:lang w:val="fr-CH"/>
              </w:rPr>
              <w:t>Partage des fréquences et coordination entre les systèmes du service fixe par satellite et du service fixe</w:t>
            </w:r>
          </w:p>
        </w:tc>
      </w:tr>
      <w:tr w:rsidR="00CC6254" w:rsidRPr="003E54EE">
        <w:tc>
          <w:tcPr>
            <w:tcW w:w="1140" w:type="dxa"/>
            <w:shd w:val="clear" w:color="auto" w:fill="auto"/>
          </w:tcPr>
          <w:p w:rsidR="00CC6254" w:rsidRPr="003E54EE" w:rsidRDefault="00CC6254" w:rsidP="00D2153E">
            <w:pPr>
              <w:spacing w:before="30" w:after="30"/>
              <w:ind w:left="57"/>
              <w:jc w:val="left"/>
              <w:rPr>
                <w:b/>
                <w:bCs/>
                <w:sz w:val="20"/>
                <w:lang w:val="fr-CH"/>
              </w:rPr>
            </w:pPr>
            <w:r w:rsidRPr="003E54EE">
              <w:rPr>
                <w:b/>
                <w:bCs/>
                <w:sz w:val="20"/>
                <w:lang w:val="fr-CH"/>
              </w:rPr>
              <w:t>SM</w:t>
            </w:r>
          </w:p>
        </w:tc>
        <w:tc>
          <w:tcPr>
            <w:tcW w:w="8220" w:type="dxa"/>
            <w:shd w:val="clear" w:color="auto" w:fill="auto"/>
          </w:tcPr>
          <w:p w:rsidR="00CC6254" w:rsidRPr="003E54EE" w:rsidRDefault="00CC6254" w:rsidP="00D2153E">
            <w:pPr>
              <w:spacing w:before="30" w:after="30"/>
              <w:jc w:val="left"/>
              <w:rPr>
                <w:sz w:val="20"/>
                <w:lang w:val="fr-CH"/>
              </w:rPr>
            </w:pPr>
            <w:r w:rsidRPr="003E54EE">
              <w:rPr>
                <w:sz w:val="20"/>
                <w:lang w:val="fr-CH"/>
              </w:rPr>
              <w:t>Gestion du spectre</w:t>
            </w:r>
          </w:p>
        </w:tc>
      </w:tr>
      <w:tr w:rsidR="00CC6254" w:rsidRPr="003E54EE">
        <w:tc>
          <w:tcPr>
            <w:tcW w:w="1140" w:type="dxa"/>
          </w:tcPr>
          <w:p w:rsidR="00CC6254" w:rsidRPr="003E54EE" w:rsidRDefault="00CC6254" w:rsidP="00D2153E">
            <w:pPr>
              <w:spacing w:before="30" w:after="30"/>
              <w:ind w:left="57"/>
              <w:jc w:val="left"/>
              <w:rPr>
                <w:b/>
                <w:bCs/>
                <w:sz w:val="20"/>
                <w:lang w:val="fr-CH"/>
              </w:rPr>
            </w:pPr>
            <w:r w:rsidRPr="003E54EE">
              <w:rPr>
                <w:b/>
                <w:bCs/>
                <w:sz w:val="20"/>
                <w:lang w:val="fr-CH"/>
              </w:rPr>
              <w:t>SNG</w:t>
            </w:r>
          </w:p>
        </w:tc>
        <w:tc>
          <w:tcPr>
            <w:tcW w:w="8220" w:type="dxa"/>
          </w:tcPr>
          <w:p w:rsidR="00CC6254" w:rsidRPr="003E54EE" w:rsidRDefault="00CC6254" w:rsidP="00D2153E">
            <w:pPr>
              <w:spacing w:before="30" w:after="30"/>
              <w:jc w:val="left"/>
              <w:rPr>
                <w:sz w:val="20"/>
                <w:lang w:val="fr-CH"/>
              </w:rPr>
            </w:pPr>
            <w:r w:rsidRPr="003E54EE">
              <w:rPr>
                <w:sz w:val="20"/>
                <w:lang w:val="fr-CH"/>
              </w:rPr>
              <w:t>Reportage d'actualités par satellite</w:t>
            </w:r>
          </w:p>
        </w:tc>
      </w:tr>
      <w:tr w:rsidR="00CC6254" w:rsidRPr="003E54EE">
        <w:tc>
          <w:tcPr>
            <w:tcW w:w="1140" w:type="dxa"/>
          </w:tcPr>
          <w:p w:rsidR="00CC6254" w:rsidRPr="003E54EE" w:rsidRDefault="00CC6254" w:rsidP="00D2153E">
            <w:pPr>
              <w:spacing w:before="30" w:after="30"/>
              <w:ind w:left="57"/>
              <w:jc w:val="left"/>
              <w:rPr>
                <w:b/>
                <w:bCs/>
                <w:sz w:val="20"/>
                <w:lang w:val="fr-CH"/>
              </w:rPr>
            </w:pPr>
            <w:r w:rsidRPr="003E54EE">
              <w:rPr>
                <w:b/>
                <w:bCs/>
                <w:sz w:val="20"/>
                <w:lang w:val="fr-CH"/>
              </w:rPr>
              <w:t>TF</w:t>
            </w:r>
          </w:p>
        </w:tc>
        <w:tc>
          <w:tcPr>
            <w:tcW w:w="8220" w:type="dxa"/>
          </w:tcPr>
          <w:p w:rsidR="00CC6254" w:rsidRPr="003E54EE" w:rsidRDefault="00CC6254" w:rsidP="00D2153E">
            <w:pPr>
              <w:spacing w:before="30" w:after="30"/>
              <w:jc w:val="left"/>
              <w:rPr>
                <w:sz w:val="20"/>
                <w:lang w:val="fr-CH"/>
              </w:rPr>
            </w:pPr>
            <w:r w:rsidRPr="003E54EE">
              <w:rPr>
                <w:sz w:val="20"/>
                <w:lang w:val="fr-CH"/>
              </w:rPr>
              <w:t>Emissions de fréquences étalon et de signaux horaires</w:t>
            </w:r>
          </w:p>
        </w:tc>
      </w:tr>
      <w:tr w:rsidR="00CC6254" w:rsidRPr="003E54EE">
        <w:tc>
          <w:tcPr>
            <w:tcW w:w="1140" w:type="dxa"/>
          </w:tcPr>
          <w:p w:rsidR="00CC6254" w:rsidRPr="003E54EE" w:rsidRDefault="00CC6254" w:rsidP="00D2153E">
            <w:pPr>
              <w:spacing w:before="30" w:after="30"/>
              <w:ind w:left="57"/>
              <w:jc w:val="left"/>
              <w:rPr>
                <w:b/>
                <w:bCs/>
                <w:sz w:val="20"/>
                <w:lang w:val="fr-CH"/>
              </w:rPr>
            </w:pPr>
            <w:r w:rsidRPr="003E54EE">
              <w:rPr>
                <w:b/>
                <w:bCs/>
                <w:sz w:val="20"/>
                <w:lang w:val="fr-CH"/>
              </w:rPr>
              <w:t>V</w:t>
            </w:r>
          </w:p>
        </w:tc>
        <w:tc>
          <w:tcPr>
            <w:tcW w:w="8220" w:type="dxa"/>
          </w:tcPr>
          <w:p w:rsidR="00CC6254" w:rsidRPr="003E54EE" w:rsidRDefault="00CC6254" w:rsidP="00D2153E">
            <w:pPr>
              <w:spacing w:before="30" w:after="140"/>
              <w:jc w:val="left"/>
              <w:rPr>
                <w:sz w:val="20"/>
                <w:lang w:val="fr-CH"/>
              </w:rPr>
            </w:pPr>
            <w:r w:rsidRPr="003E54EE">
              <w:rPr>
                <w:sz w:val="20"/>
                <w:lang w:val="fr-CH"/>
              </w:rPr>
              <w:t>Vocabulaire et sujets associés</w:t>
            </w:r>
          </w:p>
        </w:tc>
      </w:tr>
    </w:tbl>
    <w:p w:rsidR="00CC6254" w:rsidRPr="003E54EE" w:rsidRDefault="00CC6254" w:rsidP="00D2153E">
      <w:pPr>
        <w:spacing w:before="0"/>
        <w:jc w:val="center"/>
        <w:rPr>
          <w:sz w:val="20"/>
          <w:lang w:val="fr-CH"/>
        </w:rPr>
      </w:pPr>
    </w:p>
    <w:p w:rsidR="00CC6254" w:rsidRPr="003E54EE" w:rsidRDefault="00CC6254" w:rsidP="00D2153E">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C6254" w:rsidRPr="003E54EE">
        <w:tc>
          <w:tcPr>
            <w:tcW w:w="9360" w:type="dxa"/>
          </w:tcPr>
          <w:p w:rsidR="00CC6254" w:rsidRPr="003E54EE" w:rsidRDefault="00CC6254" w:rsidP="00D2153E">
            <w:pPr>
              <w:spacing w:before="80" w:after="80"/>
              <w:jc w:val="left"/>
              <w:rPr>
                <w:i/>
                <w:iCs/>
                <w:sz w:val="20"/>
                <w:lang w:val="fr-CH"/>
              </w:rPr>
            </w:pPr>
            <w:r w:rsidRPr="003E54EE">
              <w:rPr>
                <w:b/>
                <w:bCs/>
                <w:i/>
                <w:iCs/>
                <w:sz w:val="20"/>
                <w:lang w:val="fr-CH"/>
              </w:rPr>
              <w:t xml:space="preserve">    Note</w:t>
            </w:r>
            <w:r w:rsidRPr="003E54EE">
              <w:rPr>
                <w:i/>
                <w:iCs/>
                <w:sz w:val="20"/>
                <w:lang w:val="fr-CH"/>
              </w:rPr>
              <w:t>: Cette Recommandation UIT-R a été approuvée en anglais aux termes de la procédure détaillée dans la</w:t>
            </w:r>
            <w:r w:rsidRPr="003E54EE">
              <w:rPr>
                <w:i/>
                <w:iCs/>
                <w:sz w:val="20"/>
                <w:lang w:val="fr-CH"/>
              </w:rPr>
              <w:br/>
              <w:t xml:space="preserve">   Résolution UIT-R 1. </w:t>
            </w:r>
          </w:p>
        </w:tc>
      </w:tr>
    </w:tbl>
    <w:p w:rsidR="00CC6254" w:rsidRPr="003E54EE" w:rsidRDefault="00CC6254" w:rsidP="00D2153E">
      <w:pPr>
        <w:spacing w:before="0"/>
        <w:jc w:val="center"/>
        <w:rPr>
          <w:sz w:val="22"/>
          <w:lang w:val="fr-CH"/>
        </w:rPr>
      </w:pPr>
    </w:p>
    <w:p w:rsidR="00CC6254" w:rsidRPr="003E54EE" w:rsidRDefault="00CC6254" w:rsidP="00D2153E">
      <w:pPr>
        <w:spacing w:before="100"/>
        <w:jc w:val="right"/>
        <w:rPr>
          <w:i/>
          <w:iCs/>
          <w:sz w:val="20"/>
          <w:lang w:val="fr-CH"/>
        </w:rPr>
      </w:pPr>
      <w:r w:rsidRPr="003E54EE">
        <w:rPr>
          <w:i/>
          <w:iCs/>
          <w:sz w:val="20"/>
          <w:lang w:val="fr-CH"/>
        </w:rPr>
        <w:t>Publication électronique</w:t>
      </w:r>
    </w:p>
    <w:p w:rsidR="00CC6254" w:rsidRPr="003E54EE" w:rsidRDefault="00CC6254" w:rsidP="00D2153E">
      <w:pPr>
        <w:spacing w:before="0"/>
        <w:jc w:val="right"/>
        <w:rPr>
          <w:sz w:val="20"/>
          <w:lang w:val="fr-CH"/>
        </w:rPr>
      </w:pPr>
      <w:r w:rsidRPr="003E54EE">
        <w:rPr>
          <w:sz w:val="20"/>
          <w:lang w:val="fr-CH"/>
        </w:rPr>
        <w:t>Genève, 2011</w:t>
      </w:r>
    </w:p>
    <w:p w:rsidR="00CC6254" w:rsidRPr="003E54EE" w:rsidRDefault="00CC6254" w:rsidP="00D2153E">
      <w:pPr>
        <w:spacing w:before="200"/>
        <w:jc w:val="center"/>
        <w:rPr>
          <w:sz w:val="20"/>
          <w:lang w:val="fr-CH"/>
        </w:rPr>
      </w:pPr>
      <w:r w:rsidRPr="003E54EE">
        <w:rPr>
          <w:sz w:val="20"/>
          <w:lang w:val="fr-CH"/>
        </w:rPr>
        <w:sym w:font="Symbol" w:char="F0E3"/>
      </w:r>
      <w:r w:rsidRPr="003E54EE">
        <w:rPr>
          <w:sz w:val="20"/>
          <w:lang w:val="fr-CH"/>
        </w:rPr>
        <w:t xml:space="preserve"> UIT </w:t>
      </w:r>
      <w:bookmarkStart w:id="1" w:name="iiannee"/>
      <w:bookmarkEnd w:id="1"/>
      <w:r w:rsidRPr="003E54EE">
        <w:rPr>
          <w:sz w:val="20"/>
          <w:lang w:val="fr-CH"/>
        </w:rPr>
        <w:t>2011</w:t>
      </w:r>
    </w:p>
    <w:p w:rsidR="00CC6254" w:rsidRPr="003E54EE" w:rsidRDefault="00CC6254" w:rsidP="00D2153E">
      <w:pPr>
        <w:rPr>
          <w:sz w:val="18"/>
          <w:szCs w:val="18"/>
          <w:lang w:val="fr-CH"/>
        </w:rPr>
      </w:pPr>
      <w:r w:rsidRPr="003E54EE">
        <w:rPr>
          <w:sz w:val="18"/>
          <w:szCs w:val="18"/>
          <w:lang w:val="fr-CH"/>
        </w:rPr>
        <w:t>Tous droits réservés. Aucune partie de cette publication ne peut être reproduite, par quelque procédé que ce soit, sans l’accord écrit préalable de l’UIT.</w:t>
      </w:r>
    </w:p>
    <w:p w:rsidR="00CC6254" w:rsidRPr="003E54EE" w:rsidRDefault="00CC6254" w:rsidP="00D2153E">
      <w:pPr>
        <w:spacing w:before="160"/>
        <w:rPr>
          <w:i/>
          <w:sz w:val="20"/>
          <w:highlight w:val="yellow"/>
          <w:lang w:val="fr-CH"/>
        </w:rPr>
        <w:sectPr w:rsidR="00CC6254" w:rsidRPr="003E54EE" w:rsidSect="00D2153E">
          <w:headerReference w:type="even" r:id="rId11"/>
          <w:headerReference w:type="default" r:id="rId12"/>
          <w:pgSz w:w="11907" w:h="16834" w:code="9"/>
          <w:pgMar w:top="1418" w:right="1134" w:bottom="1134" w:left="1134" w:header="720" w:footer="482" w:gutter="0"/>
          <w:pgNumType w:fmt="lowerRoman" w:start="2"/>
          <w:cols w:space="720"/>
        </w:sectPr>
      </w:pPr>
    </w:p>
    <w:p w:rsidR="00CC6254" w:rsidRPr="003E54EE" w:rsidRDefault="00CC6254" w:rsidP="0043611E">
      <w:pPr>
        <w:pStyle w:val="RecNo"/>
        <w:spacing w:before="0"/>
        <w:rPr>
          <w:lang w:val="fr-CH"/>
        </w:rPr>
      </w:pPr>
      <w:bookmarkStart w:id="2" w:name="irecnoe"/>
      <w:bookmarkEnd w:id="2"/>
      <w:r w:rsidRPr="003E54EE">
        <w:rPr>
          <w:lang w:val="fr-CH"/>
        </w:rPr>
        <w:lastRenderedPageBreak/>
        <w:t xml:space="preserve">RECOMMANDATION  </w:t>
      </w:r>
      <w:r w:rsidRPr="003E54EE">
        <w:rPr>
          <w:rStyle w:val="href"/>
          <w:lang w:val="fr-CH"/>
        </w:rPr>
        <w:t>UIT-R  RS.</w:t>
      </w:r>
      <w:r w:rsidR="0043611E" w:rsidRPr="003E54EE">
        <w:rPr>
          <w:rStyle w:val="href"/>
          <w:lang w:val="fr-CH"/>
        </w:rPr>
        <w:t>1881</w:t>
      </w:r>
    </w:p>
    <w:p w:rsidR="00CC6254" w:rsidRPr="003E54EE" w:rsidRDefault="00CC6254" w:rsidP="00CC6254">
      <w:pPr>
        <w:pStyle w:val="Rectitle"/>
        <w:rPr>
          <w:lang w:val="fr-CH"/>
        </w:rPr>
      </w:pPr>
      <w:r w:rsidRPr="003E54EE">
        <w:rPr>
          <w:lang w:val="fr-CH"/>
        </w:rPr>
        <w:t xml:space="preserve">Critères de protection des récepteurs utilisant la différence de temps </w:t>
      </w:r>
      <w:r w:rsidRPr="003E54EE">
        <w:rPr>
          <w:lang w:val="fr-CH"/>
        </w:rPr>
        <w:br/>
        <w:t xml:space="preserve">d'arrivée (ATD) et fonctionnant dans le service des auxiliaires </w:t>
      </w:r>
      <w:r w:rsidRPr="003E54EE">
        <w:rPr>
          <w:lang w:val="fr-CH"/>
        </w:rPr>
        <w:br/>
        <w:t>de la météorologie dans la bande 9-11,3 kHz</w:t>
      </w:r>
      <w:r w:rsidRPr="003E54EE">
        <w:rPr>
          <w:rStyle w:val="FootnoteReference"/>
          <w:lang w:val="fr-CH"/>
        </w:rPr>
        <w:footnoteReference w:customMarkFollows="1" w:id="1"/>
        <w:t>*</w:t>
      </w:r>
    </w:p>
    <w:p w:rsidR="00CC6254" w:rsidRPr="003E54EE" w:rsidRDefault="00CC6254" w:rsidP="00CC6254">
      <w:pPr>
        <w:pStyle w:val="Recdate"/>
        <w:spacing w:line="480" w:lineRule="auto"/>
        <w:rPr>
          <w:i/>
          <w:iCs/>
          <w:lang w:val="fr-CH"/>
        </w:rPr>
      </w:pPr>
      <w:r w:rsidRPr="003E54EE">
        <w:rPr>
          <w:iCs/>
          <w:lang w:val="fr-CH"/>
        </w:rPr>
        <w:t>(2011)</w:t>
      </w:r>
    </w:p>
    <w:p w:rsidR="00CC6254" w:rsidRPr="003E54EE" w:rsidRDefault="00CC6254" w:rsidP="0043611E">
      <w:pPr>
        <w:pStyle w:val="HeadingSum"/>
        <w:rPr>
          <w:lang w:val="fr-CH"/>
        </w:rPr>
      </w:pPr>
      <w:r w:rsidRPr="003E54EE">
        <w:rPr>
          <w:lang w:val="fr-CH"/>
        </w:rPr>
        <w:t xml:space="preserve">Domaine d'application </w:t>
      </w:r>
    </w:p>
    <w:p w:rsidR="00CC6254" w:rsidRPr="003E54EE" w:rsidRDefault="00CC6254" w:rsidP="00CC6254">
      <w:pPr>
        <w:pStyle w:val="Summary"/>
        <w:rPr>
          <w:lang w:val="fr-CH"/>
        </w:rPr>
      </w:pPr>
      <w:r w:rsidRPr="003E54EE">
        <w:rPr>
          <w:lang w:val="fr-CH"/>
        </w:rPr>
        <w:t>La présente Recommandation UIT-R définit les propriétés techniques, les caractéristiques opérationnelles et les critères de protection du système de différence de temps d'arrivée (ATD) fonctionnant dans le service des auxiliaires de la météorologie dans la gamme de fréquences 9</w:t>
      </w:r>
      <w:r w:rsidRPr="003E54EE">
        <w:rPr>
          <w:lang w:val="fr-CH"/>
        </w:rPr>
        <w:noBreakHyphen/>
        <w:t xml:space="preserve">11,3 kHz. </w:t>
      </w:r>
    </w:p>
    <w:p w:rsidR="00CC6254" w:rsidRPr="003E54EE" w:rsidRDefault="00CC6254" w:rsidP="00CC6254">
      <w:pPr>
        <w:pStyle w:val="Normalaftertitle"/>
        <w:rPr>
          <w:lang w:val="fr-CH"/>
        </w:rPr>
      </w:pPr>
      <w:r w:rsidRPr="003E54EE">
        <w:rPr>
          <w:lang w:val="fr-CH"/>
        </w:rPr>
        <w:t>L'Assemblée des radiocommunications de l'UIT,</w:t>
      </w:r>
    </w:p>
    <w:p w:rsidR="00CC6254" w:rsidRPr="003E54EE" w:rsidRDefault="00CC6254" w:rsidP="00CC6254">
      <w:pPr>
        <w:pStyle w:val="Call"/>
        <w:rPr>
          <w:lang w:val="fr-CH"/>
        </w:rPr>
      </w:pPr>
      <w:r w:rsidRPr="003E54EE">
        <w:rPr>
          <w:lang w:val="fr-CH"/>
        </w:rPr>
        <w:t>considérant</w:t>
      </w:r>
    </w:p>
    <w:p w:rsidR="00CC6254" w:rsidRPr="003E54EE" w:rsidRDefault="00CC6254" w:rsidP="00CC6254">
      <w:pPr>
        <w:rPr>
          <w:lang w:val="fr-CH"/>
        </w:rPr>
      </w:pPr>
      <w:r w:rsidRPr="003E54EE">
        <w:rPr>
          <w:lang w:val="fr-CH"/>
        </w:rPr>
        <w:t>a)</w:t>
      </w:r>
      <w:r w:rsidRPr="003E54EE">
        <w:rPr>
          <w:lang w:val="fr-CH"/>
        </w:rPr>
        <w:tab/>
        <w:t>que, depuis 1987, on procède à la détection de la foudre sur de grandes distances au moyen d'observations au voisinage de 10 kHz, en utilisant les différences de temps des signaux reçus pour calculer la position des éclairs;</w:t>
      </w:r>
    </w:p>
    <w:p w:rsidR="00CC6254" w:rsidRPr="003E54EE" w:rsidRDefault="00CC6254" w:rsidP="00CC6254">
      <w:pPr>
        <w:rPr>
          <w:lang w:val="fr-CH"/>
        </w:rPr>
      </w:pPr>
      <w:r w:rsidRPr="003E54EE">
        <w:rPr>
          <w:lang w:val="fr-CH"/>
        </w:rPr>
        <w:t>b)</w:t>
      </w:r>
      <w:r w:rsidRPr="003E54EE">
        <w:rPr>
          <w:lang w:val="fr-CH"/>
        </w:rPr>
        <w:tab/>
        <w:t>que les émissions spectrales maximales provenant des coups de foudre se situent entre 9 et 20 kHz. A ces fréquences, les ondes ionosphériques, réfléchies par l'ionosphère, se propagent sur de très grandes distances, moyennant un affaiblissement relativement faible. En conséquence, il est possible de recevoir les émissions en provenance d'un coup de foudre à des milliers de kilomètres de la position de l'éclair;</w:t>
      </w:r>
    </w:p>
    <w:p w:rsidR="00CC6254" w:rsidRPr="003E54EE" w:rsidRDefault="00CC6254" w:rsidP="00CC6254">
      <w:pPr>
        <w:rPr>
          <w:lang w:val="fr-CH"/>
        </w:rPr>
      </w:pPr>
      <w:r w:rsidRPr="003E54EE">
        <w:rPr>
          <w:lang w:val="fr-CH"/>
        </w:rPr>
        <w:t>c)</w:t>
      </w:r>
      <w:r w:rsidRPr="003E54EE">
        <w:rPr>
          <w:lang w:val="fr-CH"/>
        </w:rPr>
        <w:tab/>
        <w:t xml:space="preserve">que, bien que d'autres systèmes nationaux ou régionaux de détection de la foudre soient actuellement exploités dans des bandes de fréquences supérieures, ces systèmes nécessitent un plus grand nombre de stations de réception, en raison de la réduction importante de la zone de couverture de chaque récepteur. Avec de tels systèmes, la détection au-dessus de zones étendues de l'océan et de vastes étendues terrestres, où il n'existe pas d'infrastructures locales, est normalement difficile et très coûteuse à mettre en </w:t>
      </w:r>
      <w:r w:rsidR="003E54EE" w:rsidRPr="003E54EE">
        <w:rPr>
          <w:lang w:val="fr-CH"/>
        </w:rPr>
        <w:t>œuvre</w:t>
      </w:r>
      <w:r w:rsidRPr="003E54EE">
        <w:rPr>
          <w:lang w:val="fr-CH"/>
        </w:rPr>
        <w:t>. Par ailleurs, il n'est pas possible de couvrir de vastes zones océaniques, le milieu de l'Atlantique par exemple, avec ces systèmes;</w:t>
      </w:r>
    </w:p>
    <w:p w:rsidR="00CC6254" w:rsidRPr="003E54EE" w:rsidRDefault="00CC6254" w:rsidP="00CC6254">
      <w:pPr>
        <w:rPr>
          <w:lang w:val="fr-CH"/>
        </w:rPr>
      </w:pPr>
      <w:r w:rsidRPr="003E54EE">
        <w:rPr>
          <w:lang w:val="fr-CH"/>
        </w:rPr>
        <w:t>d)</w:t>
      </w:r>
      <w:r w:rsidRPr="003E54EE">
        <w:rPr>
          <w:lang w:val="fr-CH"/>
        </w:rPr>
        <w:tab/>
        <w:t xml:space="preserve">que l'un des principaux avantages du système de différence de temps d'arrivée (ATD) est qu'un petit nombre de récepteurs assurent une couverture mondiale et offrent une très grande précision pour la détection à l'échelle du globe; </w:t>
      </w:r>
    </w:p>
    <w:p w:rsidR="00CC6254" w:rsidRPr="003E54EE" w:rsidRDefault="00CC6254" w:rsidP="00CC6254">
      <w:pPr>
        <w:rPr>
          <w:lang w:val="fr-CH"/>
        </w:rPr>
      </w:pPr>
      <w:r w:rsidRPr="003E54EE">
        <w:rPr>
          <w:lang w:val="fr-CH"/>
        </w:rPr>
        <w:t>e)</w:t>
      </w:r>
      <w:r w:rsidRPr="003E54EE">
        <w:rPr>
          <w:lang w:val="fr-CH"/>
        </w:rPr>
        <w:tab/>
        <w:t>que les données fournies par le système ATD sont utilisées par des organisations météorologiques du monde entier et contribuent à la sécurité de la vie humaine, tant en ce qui concerne les prévisions aux fins de la sécurité publique que pour les prévisions destinées aux opérations aériennes, en particulier au-dessus des océans et des vastes étendues terrestres où il n'existe aucun système national de détection de la foudre. En outre, ce système permet de fournir un service pour appuyer les initiatives en matière de réduction des risques en cas de catastrophe;</w:t>
      </w:r>
    </w:p>
    <w:p w:rsidR="00CC6254" w:rsidRPr="003E54EE" w:rsidRDefault="00CC6254" w:rsidP="00CC6254">
      <w:pPr>
        <w:rPr>
          <w:lang w:val="fr-CH"/>
        </w:rPr>
      </w:pPr>
      <w:r w:rsidRPr="003E54EE">
        <w:rPr>
          <w:lang w:val="fr-CH"/>
        </w:rPr>
        <w:t>f)</w:t>
      </w:r>
      <w:r w:rsidRPr="003E54EE">
        <w:rPr>
          <w:lang w:val="fr-CH"/>
        </w:rPr>
        <w:tab/>
        <w:t>que les moyens de détection de la foudre aux fins de l'atténuation des effets des catastrophes, de la navigation et des prévisions météorologiques suscitent un intérêt grandissant dans le monde entier;</w:t>
      </w:r>
    </w:p>
    <w:p w:rsidR="00CC6254" w:rsidRPr="003E54EE" w:rsidRDefault="00CC6254" w:rsidP="00CC6254">
      <w:pPr>
        <w:rPr>
          <w:lang w:val="fr-CH"/>
        </w:rPr>
      </w:pPr>
      <w:r w:rsidRPr="003E54EE">
        <w:rPr>
          <w:lang w:val="fr-CH"/>
        </w:rPr>
        <w:lastRenderedPageBreak/>
        <w:t>g)</w:t>
      </w:r>
      <w:r w:rsidRPr="003E54EE">
        <w:rPr>
          <w:lang w:val="fr-CH"/>
        </w:rPr>
        <w:tab/>
        <w:t>que le système de détection de la foudre ATD s'appuie sur les émissions produites naturellement par des coups de foudre et qu'il risque de subir les brouillages causés par d'autres sources, notamment les émissions artificielles;</w:t>
      </w:r>
    </w:p>
    <w:p w:rsidR="00CC6254" w:rsidRPr="003E54EE" w:rsidRDefault="00CC6254" w:rsidP="00CC6254">
      <w:pPr>
        <w:rPr>
          <w:lang w:val="fr-CH"/>
        </w:rPr>
      </w:pPr>
      <w:r w:rsidRPr="003E54EE">
        <w:rPr>
          <w:lang w:val="fr-CH"/>
        </w:rPr>
        <w:t>h)</w:t>
      </w:r>
      <w:r w:rsidRPr="003E54EE">
        <w:rPr>
          <w:lang w:val="fr-CH"/>
        </w:rPr>
        <w:tab/>
        <w:t>que, en raison de la propagation sur de grandes distances dans cette bande de fréquences, les brouillages peuvent affecter simultanément de nombreuses stations ATD, ce qui risque de nuire gravement à la qualité de fonctionnement du système, voire entraîner dans certains cas une perte totale des données,</w:t>
      </w:r>
    </w:p>
    <w:p w:rsidR="00CC6254" w:rsidRPr="003E54EE" w:rsidRDefault="00CC6254" w:rsidP="00CC6254">
      <w:pPr>
        <w:pStyle w:val="Call"/>
        <w:rPr>
          <w:lang w:val="fr-CH"/>
        </w:rPr>
      </w:pPr>
      <w:r w:rsidRPr="003E54EE">
        <w:rPr>
          <w:lang w:val="fr-CH"/>
        </w:rPr>
        <w:t xml:space="preserve">reconnaissant </w:t>
      </w:r>
    </w:p>
    <w:p w:rsidR="00CC6254" w:rsidRPr="003E54EE" w:rsidRDefault="00CC6254" w:rsidP="00CC6254">
      <w:pPr>
        <w:rPr>
          <w:lang w:val="fr-CH"/>
        </w:rPr>
      </w:pPr>
      <w:r w:rsidRPr="003E54EE">
        <w:rPr>
          <w:lang w:val="fr-CH"/>
        </w:rPr>
        <w:t>a)</w:t>
      </w:r>
      <w:r w:rsidRPr="003E54EE">
        <w:rPr>
          <w:lang w:val="fr-CH"/>
        </w:rPr>
        <w:tab/>
        <w:t>qu'un petit nombre de récepteurs ATD sont déployés dans le monde entier;</w:t>
      </w:r>
    </w:p>
    <w:p w:rsidR="00CC6254" w:rsidRPr="003E54EE" w:rsidRDefault="00CC6254" w:rsidP="00CC6254">
      <w:pPr>
        <w:rPr>
          <w:lang w:val="fr-CH"/>
        </w:rPr>
      </w:pPr>
      <w:r w:rsidRPr="003E54EE">
        <w:rPr>
          <w:lang w:val="fr-CH"/>
        </w:rPr>
        <w:t>b)</w:t>
      </w:r>
      <w:r w:rsidRPr="003E54EE">
        <w:rPr>
          <w:lang w:val="fr-CH"/>
        </w:rPr>
        <w:tab/>
        <w:t>que les récepteurs de réseau ATD fonctionnent sur une seule fréquence, avec une largeur de bande de 3 kHz pour les mesures,</w:t>
      </w:r>
    </w:p>
    <w:p w:rsidR="00CC6254" w:rsidRPr="003E54EE" w:rsidRDefault="00CC6254" w:rsidP="00CC6254">
      <w:pPr>
        <w:pStyle w:val="Call"/>
        <w:rPr>
          <w:lang w:val="fr-CH"/>
        </w:rPr>
      </w:pPr>
      <w:r w:rsidRPr="003E54EE">
        <w:rPr>
          <w:lang w:val="fr-CH"/>
        </w:rPr>
        <w:t>recommande</w:t>
      </w:r>
    </w:p>
    <w:p w:rsidR="00CC6254" w:rsidRPr="003E54EE" w:rsidRDefault="00CC6254" w:rsidP="00CC6254">
      <w:pPr>
        <w:rPr>
          <w:lang w:val="fr-CH"/>
        </w:rPr>
      </w:pPr>
      <w:r w:rsidRPr="003E54EE">
        <w:rPr>
          <w:b/>
          <w:bCs/>
          <w:lang w:val="fr-CH"/>
        </w:rPr>
        <w:t>1</w:t>
      </w:r>
      <w:r w:rsidRPr="003E54EE">
        <w:rPr>
          <w:lang w:val="fr-CH"/>
        </w:rPr>
        <w:tab/>
        <w:t>que l'on se réfère à l'Annexe 1 pour obtenir des informations générales permettant de déterminer les critères de protection applicables aux détecteurs ATD fonctionnant dans le service des auxiliaires de la météorologie dans la bande 9-11,3 kHz;</w:t>
      </w:r>
    </w:p>
    <w:p w:rsidR="00CC6254" w:rsidRPr="003E54EE" w:rsidRDefault="00CC6254" w:rsidP="00CC6254">
      <w:pPr>
        <w:rPr>
          <w:lang w:val="fr-CH"/>
        </w:rPr>
      </w:pPr>
      <w:r w:rsidRPr="003E54EE">
        <w:rPr>
          <w:b/>
          <w:bCs/>
          <w:lang w:val="fr-CH"/>
        </w:rPr>
        <w:t>2</w:t>
      </w:r>
      <w:r w:rsidRPr="003E54EE">
        <w:rPr>
          <w:lang w:val="fr-CH"/>
        </w:rPr>
        <w:tab/>
        <w:t>d'utiliser les critères de protection indiqués dans l'Annexe 1, pour évaluer la compatibilité entre les stations ATD passives du service des auxiliaires de la météorologie et les stations des services de radionavigation, fixe et mobile.</w:t>
      </w:r>
    </w:p>
    <w:p w:rsidR="00CC6254" w:rsidRPr="003E54EE" w:rsidRDefault="00CC6254" w:rsidP="00CC6254">
      <w:pPr>
        <w:rPr>
          <w:lang w:val="fr-CH"/>
        </w:rPr>
      </w:pPr>
    </w:p>
    <w:p w:rsidR="00CC6254" w:rsidRPr="003E54EE" w:rsidRDefault="00CC6254" w:rsidP="00CC6254">
      <w:pPr>
        <w:rPr>
          <w:lang w:val="fr-CH"/>
        </w:rPr>
      </w:pPr>
    </w:p>
    <w:p w:rsidR="00CC6254" w:rsidRPr="003E54EE" w:rsidRDefault="00CC6254" w:rsidP="00CC6254">
      <w:pPr>
        <w:pStyle w:val="AnnexNoTitle"/>
        <w:rPr>
          <w:lang w:val="fr-CH"/>
        </w:rPr>
      </w:pPr>
      <w:r w:rsidRPr="003E54EE">
        <w:rPr>
          <w:lang w:val="fr-CH"/>
        </w:rPr>
        <w:t>Annexe 1</w:t>
      </w:r>
      <w:r w:rsidRPr="003E54EE">
        <w:rPr>
          <w:lang w:val="fr-CH"/>
        </w:rPr>
        <w:br/>
      </w:r>
      <w:r w:rsidRPr="003E54EE">
        <w:rPr>
          <w:lang w:val="fr-CH"/>
        </w:rPr>
        <w:br/>
        <w:t>Critères de protection des systèmes ATD</w:t>
      </w:r>
    </w:p>
    <w:p w:rsidR="00CC6254" w:rsidRPr="003E54EE" w:rsidRDefault="00CC6254" w:rsidP="00CC6254">
      <w:pPr>
        <w:pStyle w:val="Heading1"/>
        <w:rPr>
          <w:lang w:val="fr-CH"/>
        </w:rPr>
      </w:pPr>
      <w:r w:rsidRPr="003E54EE">
        <w:rPr>
          <w:lang w:val="fr-CH"/>
        </w:rPr>
        <w:t>1</w:t>
      </w:r>
      <w:r w:rsidRPr="003E54EE">
        <w:rPr>
          <w:lang w:val="fr-CH"/>
        </w:rPr>
        <w:tab/>
        <w:t>Résumé</w:t>
      </w:r>
    </w:p>
    <w:p w:rsidR="00CC6254" w:rsidRPr="003E54EE" w:rsidRDefault="00CC6254" w:rsidP="00CC6254">
      <w:pPr>
        <w:rPr>
          <w:lang w:val="fr-CH"/>
        </w:rPr>
      </w:pPr>
      <w:r w:rsidRPr="003E54EE">
        <w:rPr>
          <w:lang w:val="fr-CH"/>
        </w:rPr>
        <w:t>La présente Annexe expose les paramètres à prendre en compte dans les analyses de compatibilité et de partage entre les récepteurs ATD et les autres services dans la bande de fréquences 9</w:t>
      </w:r>
      <w:r w:rsidRPr="003E54EE">
        <w:rPr>
          <w:lang w:val="fr-CH"/>
        </w:rPr>
        <w:noBreakHyphen/>
        <w:t>11,3 kHz.</w:t>
      </w:r>
    </w:p>
    <w:p w:rsidR="00CC6254" w:rsidRPr="003E54EE" w:rsidRDefault="00CC6254" w:rsidP="00CC6254">
      <w:pPr>
        <w:pStyle w:val="Heading1"/>
        <w:rPr>
          <w:lang w:val="fr-CH"/>
        </w:rPr>
      </w:pPr>
      <w:r w:rsidRPr="003E54EE">
        <w:rPr>
          <w:lang w:val="fr-CH"/>
        </w:rPr>
        <w:t>2</w:t>
      </w:r>
      <w:r w:rsidRPr="003E54EE">
        <w:rPr>
          <w:lang w:val="fr-CH"/>
        </w:rPr>
        <w:tab/>
        <w:t>Caractéristiques des récepteurs ATD</w:t>
      </w:r>
    </w:p>
    <w:p w:rsidR="00CC6254" w:rsidRPr="003E54EE" w:rsidRDefault="00CC6254" w:rsidP="00CC6254">
      <w:pPr>
        <w:rPr>
          <w:lang w:val="fr-CH"/>
        </w:rPr>
      </w:pPr>
      <w:r w:rsidRPr="003E54EE">
        <w:rPr>
          <w:lang w:val="fr-CH"/>
        </w:rPr>
        <w:t>Les paramètres types des récepteurs pour les détecteurs ATD sont indiqués dans le Tableau 1.</w:t>
      </w:r>
    </w:p>
    <w:p w:rsidR="00CC6254" w:rsidRPr="003E54EE" w:rsidRDefault="00CC6254" w:rsidP="0051207D">
      <w:pPr>
        <w:pStyle w:val="Heading1"/>
        <w:rPr>
          <w:lang w:val="fr-CH"/>
        </w:rPr>
      </w:pPr>
      <w:r w:rsidRPr="003E54EE">
        <w:rPr>
          <w:lang w:val="fr-CH"/>
        </w:rPr>
        <w:lastRenderedPageBreak/>
        <w:t>3</w:t>
      </w:r>
      <w:r w:rsidRPr="003E54EE">
        <w:rPr>
          <w:lang w:val="fr-CH"/>
        </w:rPr>
        <w:tab/>
        <w:t>Niveaux de protection</w:t>
      </w:r>
    </w:p>
    <w:p w:rsidR="00CC6254" w:rsidRPr="003E54EE" w:rsidRDefault="00CC6254" w:rsidP="0051207D">
      <w:pPr>
        <w:keepNext/>
        <w:keepLines/>
        <w:rPr>
          <w:lang w:val="fr-CH"/>
        </w:rPr>
      </w:pPr>
      <w:r w:rsidRPr="003E54EE">
        <w:rPr>
          <w:lang w:val="fr-CH"/>
        </w:rPr>
        <w:t>En partant du principe que la forme d'onde de signaux Sferic</w:t>
      </w:r>
      <w:r w:rsidRPr="003E54EE">
        <w:rPr>
          <w:rStyle w:val="FootnoteReference"/>
          <w:lang w:val="fr-CH"/>
        </w:rPr>
        <w:footnoteReference w:id="2"/>
      </w:r>
      <w:r w:rsidRPr="003E54EE">
        <w:rPr>
          <w:lang w:val="fr-CH"/>
        </w:rPr>
        <w:t xml:space="preserve"> ATD ne peut pas être mise à jour lorsqu'ils sont exposés à différents niveaux de brouillages, on a analysé deux types de formes d'onde de brouillages simulées pour plusieurs décalages de fréquence par rapport à la bande utilisée pour les mesures, à savoir l'onde entretenue et l'onde entretenue à impulsions (facteur d'utilisation de 67%). </w:t>
      </w:r>
    </w:p>
    <w:p w:rsidR="00CC6254" w:rsidRPr="003E54EE" w:rsidRDefault="00752335" w:rsidP="004041C1">
      <w:pPr>
        <w:pStyle w:val="TableNo"/>
        <w:rPr>
          <w:lang w:val="fr-CH"/>
        </w:rPr>
      </w:pPr>
      <w:r w:rsidRPr="003E54EE">
        <w:rPr>
          <w:lang w:val="fr-CH"/>
        </w:rPr>
        <w:t xml:space="preserve">TABLEAU </w:t>
      </w:r>
      <w:r w:rsidR="00CC6254" w:rsidRPr="003E54EE">
        <w:rPr>
          <w:lang w:val="fr-CH"/>
        </w:rPr>
        <w:t>1</w:t>
      </w:r>
    </w:p>
    <w:p w:rsidR="00CC6254" w:rsidRPr="003E54EE" w:rsidRDefault="00CC6254" w:rsidP="00CC6254">
      <w:pPr>
        <w:pStyle w:val="Tabletitle"/>
        <w:rPr>
          <w:lang w:val="fr-CH"/>
        </w:rPr>
      </w:pPr>
      <w:r w:rsidRPr="003E54EE">
        <w:rPr>
          <w:lang w:val="fr-CH"/>
        </w:rPr>
        <w:t xml:space="preserve">Paramètres types d'un système ATD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820"/>
      </w:tblGrid>
      <w:tr w:rsidR="00CC6254" w:rsidRPr="003E54EE" w:rsidTr="00D2153E">
        <w:trPr>
          <w:jc w:val="center"/>
        </w:trPr>
        <w:tc>
          <w:tcPr>
            <w:tcW w:w="9073" w:type="dxa"/>
            <w:gridSpan w:val="2"/>
          </w:tcPr>
          <w:p w:rsidR="00CC6254" w:rsidRPr="003E54EE" w:rsidRDefault="00CC6254" w:rsidP="00D2153E">
            <w:pPr>
              <w:pStyle w:val="Tablehead"/>
              <w:rPr>
                <w:lang w:val="fr-CH"/>
              </w:rPr>
            </w:pPr>
            <w:r w:rsidRPr="003E54EE">
              <w:rPr>
                <w:lang w:val="fr-CH"/>
              </w:rPr>
              <w:t>Caractéristiques techniques du système ATD</w:t>
            </w:r>
          </w:p>
        </w:tc>
      </w:tr>
      <w:tr w:rsidR="00CC6254" w:rsidRPr="003E54EE" w:rsidTr="00D2153E">
        <w:trPr>
          <w:jc w:val="center"/>
        </w:trPr>
        <w:tc>
          <w:tcPr>
            <w:tcW w:w="4253" w:type="dxa"/>
          </w:tcPr>
          <w:p w:rsidR="00CC6254" w:rsidRPr="003E54EE" w:rsidRDefault="00CC6254" w:rsidP="00752335">
            <w:pPr>
              <w:pStyle w:val="Tabletext"/>
              <w:jc w:val="left"/>
              <w:rPr>
                <w:lang w:val="fr-CH"/>
              </w:rPr>
            </w:pPr>
            <w:r w:rsidRPr="003E54EE">
              <w:rPr>
                <w:lang w:val="fr-CH"/>
              </w:rPr>
              <w:t>Fréquence centrale du récepteur</w:t>
            </w:r>
          </w:p>
        </w:tc>
        <w:tc>
          <w:tcPr>
            <w:tcW w:w="4820" w:type="dxa"/>
          </w:tcPr>
          <w:p w:rsidR="00CC6254" w:rsidRPr="003E54EE" w:rsidRDefault="00CC6254" w:rsidP="00752335">
            <w:pPr>
              <w:pStyle w:val="Tabletext"/>
              <w:jc w:val="left"/>
              <w:rPr>
                <w:lang w:val="fr-CH"/>
              </w:rPr>
            </w:pPr>
            <w:r w:rsidRPr="003E54EE">
              <w:rPr>
                <w:lang w:val="fr-CH"/>
              </w:rPr>
              <w:t>9,766 kHz</w:t>
            </w:r>
          </w:p>
        </w:tc>
      </w:tr>
      <w:tr w:rsidR="00CC6254" w:rsidRPr="003E54EE" w:rsidTr="00D2153E">
        <w:trPr>
          <w:jc w:val="center"/>
        </w:trPr>
        <w:tc>
          <w:tcPr>
            <w:tcW w:w="4253" w:type="dxa"/>
          </w:tcPr>
          <w:p w:rsidR="00CC6254" w:rsidRPr="003E54EE" w:rsidRDefault="00CC6254" w:rsidP="00752335">
            <w:pPr>
              <w:pStyle w:val="Tabletext"/>
              <w:jc w:val="left"/>
              <w:rPr>
                <w:lang w:val="fr-CH"/>
              </w:rPr>
            </w:pPr>
            <w:r w:rsidRPr="003E54EE">
              <w:rPr>
                <w:lang w:val="fr-CH"/>
              </w:rPr>
              <w:t>Gain de l'amplificateur du récepteur (dispositif de détection)</w:t>
            </w:r>
          </w:p>
        </w:tc>
        <w:tc>
          <w:tcPr>
            <w:tcW w:w="4820" w:type="dxa"/>
          </w:tcPr>
          <w:p w:rsidR="00CC6254" w:rsidRPr="003E54EE" w:rsidRDefault="00CC6254" w:rsidP="00752335">
            <w:pPr>
              <w:pStyle w:val="Tabletext"/>
              <w:jc w:val="left"/>
              <w:rPr>
                <w:lang w:val="fr-CH"/>
              </w:rPr>
            </w:pPr>
            <w:r w:rsidRPr="003E54EE">
              <w:rPr>
                <w:lang w:val="fr-CH"/>
              </w:rPr>
              <w:t>12 dB en cas d'activation par un logiciel de commande (ce qui est normalement le cas), sinon zéro</w:t>
            </w:r>
            <w:r w:rsidRPr="003E54EE">
              <w:rPr>
                <w:vertAlign w:val="superscript"/>
                <w:lang w:val="fr-CH"/>
              </w:rPr>
              <w:t>(1)</w:t>
            </w:r>
          </w:p>
        </w:tc>
      </w:tr>
      <w:tr w:rsidR="00CC6254" w:rsidRPr="003E54EE" w:rsidTr="00D2153E">
        <w:trPr>
          <w:jc w:val="center"/>
        </w:trPr>
        <w:tc>
          <w:tcPr>
            <w:tcW w:w="4253" w:type="dxa"/>
          </w:tcPr>
          <w:p w:rsidR="00CC6254" w:rsidRPr="003E54EE" w:rsidRDefault="00CC6254" w:rsidP="00752335">
            <w:pPr>
              <w:pStyle w:val="Tabletext"/>
              <w:jc w:val="left"/>
              <w:rPr>
                <w:lang w:val="fr-CH"/>
              </w:rPr>
            </w:pPr>
            <w:r w:rsidRPr="003E54EE">
              <w:rPr>
                <w:lang w:val="fr-CH"/>
              </w:rPr>
              <w:t>Largeur de bande de la mesure</w:t>
            </w:r>
          </w:p>
        </w:tc>
        <w:tc>
          <w:tcPr>
            <w:tcW w:w="4820" w:type="dxa"/>
          </w:tcPr>
          <w:p w:rsidR="00CC6254" w:rsidRPr="003E54EE" w:rsidRDefault="00CC6254" w:rsidP="00752335">
            <w:pPr>
              <w:pStyle w:val="Tabletext"/>
              <w:jc w:val="left"/>
              <w:rPr>
                <w:lang w:val="fr-CH"/>
              </w:rPr>
            </w:pPr>
            <w:r w:rsidRPr="003E54EE">
              <w:rPr>
                <w:lang w:val="fr-CH"/>
              </w:rPr>
              <w:t>3 kHz</w:t>
            </w:r>
          </w:p>
        </w:tc>
      </w:tr>
      <w:tr w:rsidR="00CC6254" w:rsidRPr="003E54EE" w:rsidTr="00D2153E">
        <w:trPr>
          <w:jc w:val="center"/>
        </w:trPr>
        <w:tc>
          <w:tcPr>
            <w:tcW w:w="4253" w:type="dxa"/>
          </w:tcPr>
          <w:p w:rsidR="00CC6254" w:rsidRPr="003E54EE" w:rsidRDefault="00CC6254" w:rsidP="00752335">
            <w:pPr>
              <w:pStyle w:val="Tabletext"/>
              <w:jc w:val="left"/>
              <w:rPr>
                <w:lang w:val="fr-CH"/>
              </w:rPr>
            </w:pPr>
            <w:r w:rsidRPr="003E54EE">
              <w:rPr>
                <w:lang w:val="fr-CH"/>
              </w:rPr>
              <w:t>«Bande passante» totale</w:t>
            </w:r>
          </w:p>
        </w:tc>
        <w:tc>
          <w:tcPr>
            <w:tcW w:w="4820" w:type="dxa"/>
          </w:tcPr>
          <w:p w:rsidR="00CC6254" w:rsidRPr="003E54EE" w:rsidRDefault="00CC6254" w:rsidP="00752335">
            <w:pPr>
              <w:pStyle w:val="Tabletext"/>
              <w:jc w:val="left"/>
              <w:rPr>
                <w:lang w:val="fr-CH"/>
              </w:rPr>
            </w:pPr>
            <w:r w:rsidRPr="003E54EE">
              <w:rPr>
                <w:lang w:val="fr-CH"/>
              </w:rPr>
              <w:t>6,87 à 20,6 kHz</w:t>
            </w:r>
          </w:p>
        </w:tc>
      </w:tr>
      <w:tr w:rsidR="00CC6254" w:rsidRPr="003E54EE" w:rsidTr="00D2153E">
        <w:trPr>
          <w:jc w:val="center"/>
        </w:trPr>
        <w:tc>
          <w:tcPr>
            <w:tcW w:w="4253" w:type="dxa"/>
          </w:tcPr>
          <w:p w:rsidR="00CC6254" w:rsidRPr="003E54EE" w:rsidRDefault="00CC6254" w:rsidP="00752335">
            <w:pPr>
              <w:pStyle w:val="Tabletext"/>
              <w:jc w:val="left"/>
              <w:rPr>
                <w:lang w:val="fr-CH"/>
              </w:rPr>
            </w:pPr>
            <w:r w:rsidRPr="003E54EE">
              <w:rPr>
                <w:lang w:val="fr-CH"/>
              </w:rPr>
              <w:t>Types et directivités de l'antenne</w:t>
            </w:r>
          </w:p>
        </w:tc>
        <w:tc>
          <w:tcPr>
            <w:tcW w:w="4820" w:type="dxa"/>
          </w:tcPr>
          <w:p w:rsidR="00CC6254" w:rsidRPr="003E54EE" w:rsidRDefault="00CC6254" w:rsidP="00752335">
            <w:pPr>
              <w:pStyle w:val="Tabletext"/>
              <w:jc w:val="left"/>
              <w:rPr>
                <w:lang w:val="fr-CH"/>
              </w:rPr>
            </w:pPr>
            <w:r w:rsidRPr="003E54EE">
              <w:rPr>
                <w:lang w:val="fr-CH"/>
              </w:rPr>
              <w:t>Polarisation verticale de 2 m, antenne fouet équidirective</w:t>
            </w:r>
          </w:p>
        </w:tc>
      </w:tr>
      <w:tr w:rsidR="00CC6254" w:rsidRPr="003E54EE" w:rsidTr="00D2153E">
        <w:trPr>
          <w:jc w:val="center"/>
        </w:trPr>
        <w:tc>
          <w:tcPr>
            <w:tcW w:w="4253" w:type="dxa"/>
          </w:tcPr>
          <w:p w:rsidR="00CC6254" w:rsidRPr="003E54EE" w:rsidRDefault="00CC6254" w:rsidP="00752335">
            <w:pPr>
              <w:pStyle w:val="Tabletext"/>
              <w:jc w:val="left"/>
              <w:rPr>
                <w:lang w:val="fr-CH"/>
              </w:rPr>
            </w:pPr>
            <w:r w:rsidRPr="003E54EE">
              <w:rPr>
                <w:lang w:val="fr-CH"/>
              </w:rPr>
              <w:t>Filtre logiciel</w:t>
            </w:r>
          </w:p>
        </w:tc>
        <w:tc>
          <w:tcPr>
            <w:tcW w:w="4820" w:type="dxa"/>
          </w:tcPr>
          <w:p w:rsidR="00CC6254" w:rsidRPr="003E54EE" w:rsidRDefault="00CC6254" w:rsidP="00752335">
            <w:pPr>
              <w:pStyle w:val="Tabletext"/>
              <w:jc w:val="left"/>
              <w:rPr>
                <w:lang w:val="fr-CH"/>
              </w:rPr>
            </w:pPr>
            <w:r w:rsidRPr="003E54EE">
              <w:rPr>
                <w:lang w:val="fr-CH"/>
              </w:rPr>
              <w:t>Filtre passe-haut à large bande (3 dB à 2,0 kHz), utilisé successivement avec un filtre passe-bas (limite de la bande passante de 0,28 dB à 17,75 kHz)</w:t>
            </w:r>
          </w:p>
        </w:tc>
      </w:tr>
      <w:tr w:rsidR="00CC6254" w:rsidRPr="003E54EE" w:rsidTr="00D2153E">
        <w:trPr>
          <w:jc w:val="center"/>
        </w:trPr>
        <w:tc>
          <w:tcPr>
            <w:tcW w:w="4253" w:type="dxa"/>
          </w:tcPr>
          <w:p w:rsidR="00CC6254" w:rsidRPr="003E54EE" w:rsidRDefault="00CC6254" w:rsidP="00752335">
            <w:pPr>
              <w:pStyle w:val="Tabletext"/>
              <w:jc w:val="left"/>
              <w:rPr>
                <w:lang w:val="fr-CH"/>
              </w:rPr>
            </w:pPr>
            <w:r w:rsidRPr="003E54EE">
              <w:rPr>
                <w:lang w:val="fr-CH"/>
              </w:rPr>
              <w:t>Filtre logiciel passe-bande à bande étroite</w:t>
            </w:r>
          </w:p>
        </w:tc>
        <w:tc>
          <w:tcPr>
            <w:tcW w:w="4820" w:type="dxa"/>
          </w:tcPr>
          <w:p w:rsidR="00CC6254" w:rsidRPr="003E54EE" w:rsidRDefault="00CC6254" w:rsidP="00752335">
            <w:pPr>
              <w:pStyle w:val="Tabletext"/>
              <w:jc w:val="left"/>
              <w:rPr>
                <w:lang w:val="fr-CH"/>
              </w:rPr>
            </w:pPr>
            <w:r w:rsidRPr="003E54EE">
              <w:rPr>
                <w:lang w:val="fr-CH"/>
              </w:rPr>
              <w:t>Largeur de bande de 2,5 kHz à 3 dB</w:t>
            </w:r>
            <w:r w:rsidRPr="003E54EE">
              <w:rPr>
                <w:lang w:val="fr-CH"/>
              </w:rPr>
              <w:br/>
              <w:t xml:space="preserve">Largeur de bande de 4,3 kHz à 10 dB </w:t>
            </w:r>
            <w:r w:rsidRPr="003E54EE">
              <w:rPr>
                <w:lang w:val="fr-CH"/>
              </w:rPr>
              <w:br/>
              <w:t>Largeur de bande de 5,7 kHz à 20 dB</w:t>
            </w:r>
          </w:p>
        </w:tc>
      </w:tr>
      <w:tr w:rsidR="00CC6254" w:rsidRPr="003E54EE" w:rsidTr="00D2153E">
        <w:trPr>
          <w:jc w:val="center"/>
        </w:trPr>
        <w:tc>
          <w:tcPr>
            <w:tcW w:w="4253" w:type="dxa"/>
          </w:tcPr>
          <w:p w:rsidR="00CC6254" w:rsidRPr="003E54EE" w:rsidRDefault="00CC6254" w:rsidP="00752335">
            <w:pPr>
              <w:pStyle w:val="Tabletext"/>
              <w:jc w:val="left"/>
              <w:rPr>
                <w:lang w:val="fr-CH"/>
              </w:rPr>
            </w:pPr>
            <w:r w:rsidRPr="003E54EE">
              <w:rPr>
                <w:lang w:val="fr-CH"/>
              </w:rPr>
              <w:t>Bruit de fond d'un récepteur type</w:t>
            </w:r>
          </w:p>
        </w:tc>
        <w:tc>
          <w:tcPr>
            <w:tcW w:w="4820" w:type="dxa"/>
          </w:tcPr>
          <w:p w:rsidR="00CC6254" w:rsidRPr="003E54EE" w:rsidRDefault="00CC6254" w:rsidP="00752335">
            <w:pPr>
              <w:pStyle w:val="Tabletext"/>
              <w:jc w:val="left"/>
              <w:rPr>
                <w:lang w:val="fr-CH"/>
              </w:rPr>
            </w:pPr>
            <w:r w:rsidRPr="003E54EE">
              <w:rPr>
                <w:lang w:val="fr-CH"/>
              </w:rPr>
              <w:t>−70,4 dBm dans une largeur de bande de référence de 5 kHz</w:t>
            </w:r>
          </w:p>
        </w:tc>
      </w:tr>
      <w:tr w:rsidR="00CC6254" w:rsidRPr="003E54EE" w:rsidTr="00D2153E">
        <w:trPr>
          <w:jc w:val="center"/>
        </w:trPr>
        <w:tc>
          <w:tcPr>
            <w:tcW w:w="9072" w:type="dxa"/>
            <w:gridSpan w:val="2"/>
            <w:tcBorders>
              <w:left w:val="nil"/>
              <w:bottom w:val="nil"/>
              <w:right w:val="nil"/>
            </w:tcBorders>
          </w:tcPr>
          <w:p w:rsidR="00CC6254" w:rsidRPr="003E54EE" w:rsidRDefault="00CC6254" w:rsidP="0051207D">
            <w:pPr>
              <w:pStyle w:val="Tablelegend"/>
              <w:ind w:hanging="284"/>
              <w:jc w:val="left"/>
              <w:rPr>
                <w:b/>
                <w:bCs/>
                <w:szCs w:val="24"/>
                <w:lang w:val="fr-CH"/>
              </w:rPr>
            </w:pPr>
            <w:r w:rsidRPr="003E54EE">
              <w:rPr>
                <w:vertAlign w:val="superscript"/>
                <w:lang w:val="fr-CH"/>
              </w:rPr>
              <w:t>(1)</w:t>
            </w:r>
            <w:r w:rsidRPr="003E54EE">
              <w:rPr>
                <w:vertAlign w:val="superscript"/>
                <w:lang w:val="fr-CH"/>
              </w:rPr>
              <w:tab/>
            </w:r>
            <w:r w:rsidRPr="003E54EE">
              <w:rPr>
                <w:lang w:val="fr-CH"/>
              </w:rPr>
              <w:t>On utilise un gain de 12 dB de l'amplificateur pour la détection sur de longues distances; si les décharges se produisent à proximité du récepteur, le gain d'entrée est ramené à zéro.</w:t>
            </w:r>
          </w:p>
        </w:tc>
      </w:tr>
    </w:tbl>
    <w:p w:rsidR="0051207D" w:rsidRPr="003E54EE" w:rsidRDefault="0051207D" w:rsidP="0051207D">
      <w:pPr>
        <w:pStyle w:val="Tablefin"/>
        <w:rPr>
          <w:lang w:val="fr-CH"/>
        </w:rPr>
      </w:pPr>
    </w:p>
    <w:p w:rsidR="00CC6254" w:rsidRPr="003E54EE" w:rsidRDefault="00CC6254" w:rsidP="00CC6254">
      <w:pPr>
        <w:pStyle w:val="Heading2"/>
        <w:rPr>
          <w:lang w:val="fr-CH"/>
        </w:rPr>
      </w:pPr>
      <w:r w:rsidRPr="003E54EE">
        <w:rPr>
          <w:lang w:val="fr-CH"/>
        </w:rPr>
        <w:t>3.1</w:t>
      </w:r>
      <w:r w:rsidRPr="003E54EE">
        <w:rPr>
          <w:lang w:val="fr-CH"/>
        </w:rPr>
        <w:tab/>
        <w:t>Bruit de fond type d'un récepteur ATD</w:t>
      </w:r>
    </w:p>
    <w:p w:rsidR="00CC6254" w:rsidRPr="003E54EE" w:rsidRDefault="00CC6254" w:rsidP="00CC6254">
      <w:pPr>
        <w:rPr>
          <w:lang w:val="fr-CH"/>
        </w:rPr>
      </w:pPr>
      <w:r w:rsidRPr="003E54EE">
        <w:rPr>
          <w:lang w:val="fr-CH"/>
        </w:rPr>
        <w:t>Le bruit de fond type du récepteur est de −70,4 dBm dans une largeur de bande de 5 kHz.</w:t>
      </w:r>
    </w:p>
    <w:p w:rsidR="00CC6254" w:rsidRPr="003E54EE" w:rsidRDefault="00CC6254" w:rsidP="00CC6254">
      <w:pPr>
        <w:pStyle w:val="Heading2"/>
        <w:rPr>
          <w:lang w:val="fr-CH"/>
        </w:rPr>
      </w:pPr>
      <w:bookmarkStart w:id="3" w:name="_Toc233696967"/>
      <w:r w:rsidRPr="003E54EE">
        <w:rPr>
          <w:lang w:val="fr-CH"/>
        </w:rPr>
        <w:t>3.2</w:t>
      </w:r>
      <w:r w:rsidRPr="003E54EE">
        <w:rPr>
          <w:lang w:val="fr-CH"/>
        </w:rPr>
        <w:tab/>
        <w:t>Sensibilité du récepteur (rapport signal/bruit d'au moins 15 dB)</w:t>
      </w:r>
    </w:p>
    <w:p w:rsidR="00CC6254" w:rsidRPr="003E54EE" w:rsidRDefault="00CC6254" w:rsidP="00CC6254">
      <w:pPr>
        <w:rPr>
          <w:lang w:val="fr-CH"/>
        </w:rPr>
      </w:pPr>
      <w:r w:rsidRPr="003E54EE">
        <w:rPr>
          <w:lang w:val="fr-CH"/>
        </w:rPr>
        <w:t>La sensibilité du récepteur d'un capteur ATD est de −69,5 dBm.</w:t>
      </w:r>
    </w:p>
    <w:p w:rsidR="00CC6254" w:rsidRPr="003E54EE" w:rsidRDefault="00CC6254" w:rsidP="00CC6254">
      <w:pPr>
        <w:pStyle w:val="Heading2"/>
        <w:rPr>
          <w:lang w:val="fr-CH"/>
        </w:rPr>
      </w:pPr>
      <w:r w:rsidRPr="003E54EE">
        <w:rPr>
          <w:lang w:val="fr-CH"/>
        </w:rPr>
        <w:t>3.3</w:t>
      </w:r>
      <w:r w:rsidRPr="003E54EE">
        <w:rPr>
          <w:lang w:val="fr-CH"/>
        </w:rPr>
        <w:tab/>
        <w:t xml:space="preserve">Rapport </w:t>
      </w:r>
      <w:r w:rsidRPr="003E54EE">
        <w:rPr>
          <w:i/>
          <w:iCs/>
          <w:lang w:val="fr-CH"/>
        </w:rPr>
        <w:t>C</w:t>
      </w:r>
      <w:r w:rsidRPr="003E54EE">
        <w:rPr>
          <w:lang w:val="fr-CH"/>
        </w:rPr>
        <w:t>/</w:t>
      </w:r>
      <w:r w:rsidRPr="003E54EE">
        <w:rPr>
          <w:i/>
          <w:iCs/>
          <w:lang w:val="fr-CH"/>
        </w:rPr>
        <w:t>N</w:t>
      </w:r>
      <w:bookmarkEnd w:id="3"/>
      <w:r w:rsidRPr="003E54EE">
        <w:rPr>
          <w:lang w:val="fr-CH"/>
        </w:rPr>
        <w:t xml:space="preserve"> en fonction de la sensibilité du récepteur</w:t>
      </w:r>
    </w:p>
    <w:p w:rsidR="00CC6254" w:rsidRPr="003E54EE" w:rsidRDefault="00CC6254" w:rsidP="00752335">
      <w:pPr>
        <w:rPr>
          <w:lang w:val="fr-CH"/>
        </w:rPr>
      </w:pPr>
      <w:r w:rsidRPr="003E54EE">
        <w:rPr>
          <w:lang w:val="fr-CH"/>
        </w:rPr>
        <w:t>Le rapport de protection</w:t>
      </w:r>
      <w:r w:rsidRPr="003E54EE">
        <w:rPr>
          <w:i/>
          <w:iCs/>
          <w:lang w:val="fr-CH"/>
        </w:rPr>
        <w:t xml:space="preserve"> C</w:t>
      </w:r>
      <w:r w:rsidRPr="003E54EE">
        <w:rPr>
          <w:lang w:val="fr-CH"/>
        </w:rPr>
        <w:t>/</w:t>
      </w:r>
      <w:r w:rsidRPr="003E54EE">
        <w:rPr>
          <w:i/>
          <w:iCs/>
          <w:lang w:val="fr-CH"/>
        </w:rPr>
        <w:t>N</w:t>
      </w:r>
      <w:r w:rsidRPr="003E54EE">
        <w:rPr>
          <w:lang w:val="fr-CH"/>
        </w:rPr>
        <w:t xml:space="preserve"> a été mesuré dans une largeur de bande de 5 kHz (voir le Tableau</w:t>
      </w:r>
      <w:r w:rsidR="00752335" w:rsidRPr="003E54EE">
        <w:rPr>
          <w:lang w:val="fr-CH"/>
        </w:rPr>
        <w:t> </w:t>
      </w:r>
      <w:r w:rsidRPr="003E54EE">
        <w:rPr>
          <w:lang w:val="fr-CH"/>
        </w:rPr>
        <w:t>2).</w:t>
      </w:r>
    </w:p>
    <w:p w:rsidR="00CC6254" w:rsidRPr="003E54EE" w:rsidRDefault="00E65EA0" w:rsidP="004041C1">
      <w:pPr>
        <w:pStyle w:val="TableNo"/>
        <w:rPr>
          <w:lang w:val="fr-CH"/>
        </w:rPr>
      </w:pPr>
      <w:bookmarkStart w:id="4" w:name="_Ref233195736"/>
      <w:bookmarkStart w:id="5" w:name="_Toc233696984"/>
      <w:r w:rsidRPr="003E54EE">
        <w:rPr>
          <w:lang w:val="fr-CH"/>
        </w:rPr>
        <w:lastRenderedPageBreak/>
        <w:t>TABLEAU 2</w:t>
      </w:r>
      <w:bookmarkEnd w:id="4"/>
    </w:p>
    <w:p w:rsidR="00CC6254" w:rsidRPr="003E54EE" w:rsidRDefault="00CC6254" w:rsidP="00CC6254">
      <w:pPr>
        <w:pStyle w:val="Tabletitle"/>
        <w:rPr>
          <w:lang w:val="fr-CH"/>
        </w:rPr>
      </w:pPr>
      <w:r w:rsidRPr="003E54EE">
        <w:rPr>
          <w:lang w:val="fr-CH"/>
        </w:rPr>
        <w:t xml:space="preserve">Rapport </w:t>
      </w:r>
      <w:r w:rsidRPr="003E54EE">
        <w:rPr>
          <w:i/>
          <w:iCs/>
          <w:lang w:val="fr-CH"/>
        </w:rPr>
        <w:t>C</w:t>
      </w:r>
      <w:r w:rsidRPr="003E54EE">
        <w:rPr>
          <w:lang w:val="fr-CH"/>
        </w:rPr>
        <w:t>/</w:t>
      </w:r>
      <w:r w:rsidRPr="003E54EE">
        <w:rPr>
          <w:i/>
          <w:iCs/>
          <w:lang w:val="fr-CH"/>
        </w:rPr>
        <w:t>N</w:t>
      </w:r>
      <w:r w:rsidRPr="003E54EE">
        <w:rPr>
          <w:lang w:val="fr-CH"/>
        </w:rPr>
        <w:t xml:space="preserve"> mesuré en fonction du niveau minimal de la porteuse</w:t>
      </w:r>
      <w:bookmarkEnd w:id="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410"/>
        <w:gridCol w:w="2410"/>
      </w:tblGrid>
      <w:tr w:rsidR="00CC6254" w:rsidRPr="003E54EE" w:rsidTr="00D2153E">
        <w:trPr>
          <w:jc w:val="center"/>
        </w:trPr>
        <w:tc>
          <w:tcPr>
            <w:tcW w:w="2410" w:type="dxa"/>
            <w:vAlign w:val="center"/>
          </w:tcPr>
          <w:p w:rsidR="00CC6254" w:rsidRPr="003E54EE" w:rsidRDefault="00CC6254" w:rsidP="00D2153E">
            <w:pPr>
              <w:pStyle w:val="Tablehead"/>
              <w:rPr>
                <w:lang w:val="fr-CH"/>
              </w:rPr>
            </w:pPr>
            <w:r w:rsidRPr="003E54EE">
              <w:rPr>
                <w:lang w:val="fr-CH"/>
              </w:rPr>
              <w:t xml:space="preserve">Niveau minimal de </w:t>
            </w:r>
            <w:r w:rsidRPr="003E54EE">
              <w:rPr>
                <w:lang w:val="fr-CH"/>
              </w:rPr>
              <w:br/>
              <w:t xml:space="preserve">la porteuse </w:t>
            </w:r>
            <w:r w:rsidRPr="003E54EE">
              <w:rPr>
                <w:lang w:val="fr-CH"/>
              </w:rPr>
              <w:br/>
              <w:t>(dBm)</w:t>
            </w:r>
          </w:p>
        </w:tc>
        <w:tc>
          <w:tcPr>
            <w:tcW w:w="2410" w:type="dxa"/>
            <w:vAlign w:val="center"/>
          </w:tcPr>
          <w:p w:rsidR="00CC6254" w:rsidRPr="003E54EE" w:rsidRDefault="00CC6254" w:rsidP="00D2153E">
            <w:pPr>
              <w:pStyle w:val="Tablehead"/>
              <w:rPr>
                <w:lang w:val="fr-CH"/>
              </w:rPr>
            </w:pPr>
            <w:r w:rsidRPr="003E54EE">
              <w:rPr>
                <w:lang w:val="fr-CH"/>
              </w:rPr>
              <w:t>Niveau de bruit</w:t>
            </w:r>
            <w:r w:rsidRPr="003E54EE">
              <w:rPr>
                <w:lang w:val="fr-CH"/>
              </w:rPr>
              <w:br/>
              <w:t>(dBm)</w:t>
            </w:r>
          </w:p>
        </w:tc>
        <w:tc>
          <w:tcPr>
            <w:tcW w:w="2410" w:type="dxa"/>
            <w:vAlign w:val="center"/>
          </w:tcPr>
          <w:p w:rsidR="00CC6254" w:rsidRPr="003E54EE" w:rsidRDefault="00CC6254" w:rsidP="00D2153E">
            <w:pPr>
              <w:pStyle w:val="Tablehead"/>
              <w:rPr>
                <w:lang w:val="fr-CH"/>
              </w:rPr>
            </w:pPr>
            <w:r w:rsidRPr="003E54EE">
              <w:rPr>
                <w:lang w:val="fr-CH"/>
              </w:rPr>
              <w:t xml:space="preserve">Rapport </w:t>
            </w:r>
            <w:r w:rsidRPr="003E54EE">
              <w:rPr>
                <w:i/>
                <w:iCs/>
                <w:lang w:val="fr-CH"/>
              </w:rPr>
              <w:t>C</w:t>
            </w:r>
            <w:r w:rsidRPr="003E54EE">
              <w:rPr>
                <w:lang w:val="fr-CH"/>
              </w:rPr>
              <w:t>/</w:t>
            </w:r>
            <w:r w:rsidRPr="003E54EE">
              <w:rPr>
                <w:i/>
                <w:iCs/>
                <w:lang w:val="fr-CH"/>
              </w:rPr>
              <w:t>N</w:t>
            </w:r>
            <w:r w:rsidRPr="003E54EE">
              <w:rPr>
                <w:lang w:val="fr-CH"/>
              </w:rPr>
              <w:br/>
              <w:t>(dB)</w:t>
            </w:r>
          </w:p>
        </w:tc>
      </w:tr>
      <w:tr w:rsidR="00CC6254" w:rsidRPr="003E54EE" w:rsidTr="00D2153E">
        <w:trPr>
          <w:jc w:val="center"/>
        </w:trPr>
        <w:tc>
          <w:tcPr>
            <w:tcW w:w="2410" w:type="dxa"/>
            <w:vAlign w:val="center"/>
          </w:tcPr>
          <w:p w:rsidR="00CC6254" w:rsidRPr="003E54EE" w:rsidRDefault="00CC6254" w:rsidP="00D2153E">
            <w:pPr>
              <w:pStyle w:val="Tabletext"/>
              <w:jc w:val="center"/>
              <w:rPr>
                <w:lang w:val="fr-CH"/>
              </w:rPr>
            </w:pPr>
            <w:r w:rsidRPr="003E54EE">
              <w:rPr>
                <w:lang w:val="fr-CH"/>
              </w:rPr>
              <w:t>−69,5</w:t>
            </w:r>
          </w:p>
        </w:tc>
        <w:tc>
          <w:tcPr>
            <w:tcW w:w="2410" w:type="dxa"/>
            <w:vAlign w:val="center"/>
          </w:tcPr>
          <w:p w:rsidR="00CC6254" w:rsidRPr="003E54EE" w:rsidRDefault="00CC6254" w:rsidP="00D2153E">
            <w:pPr>
              <w:pStyle w:val="Tabletext"/>
              <w:jc w:val="center"/>
              <w:rPr>
                <w:lang w:val="fr-CH"/>
              </w:rPr>
            </w:pPr>
            <w:r w:rsidRPr="003E54EE">
              <w:rPr>
                <w:lang w:val="fr-CH"/>
              </w:rPr>
              <w:t>−70,4</w:t>
            </w:r>
          </w:p>
        </w:tc>
        <w:tc>
          <w:tcPr>
            <w:tcW w:w="2410" w:type="dxa"/>
            <w:vAlign w:val="center"/>
          </w:tcPr>
          <w:p w:rsidR="00CC6254" w:rsidRPr="003E54EE" w:rsidRDefault="00CC6254" w:rsidP="00D2153E">
            <w:pPr>
              <w:pStyle w:val="Tabletext"/>
              <w:jc w:val="center"/>
              <w:rPr>
                <w:lang w:val="fr-CH"/>
              </w:rPr>
            </w:pPr>
            <w:r w:rsidRPr="003E54EE">
              <w:rPr>
                <w:lang w:val="fr-CH"/>
              </w:rPr>
              <w:t>0,9</w:t>
            </w:r>
          </w:p>
        </w:tc>
      </w:tr>
    </w:tbl>
    <w:p w:rsidR="00CC6254" w:rsidRPr="003E54EE" w:rsidRDefault="00CC6254" w:rsidP="00CC6254">
      <w:pPr>
        <w:pStyle w:val="Tablefin"/>
        <w:rPr>
          <w:lang w:val="fr-CH"/>
        </w:rPr>
      </w:pPr>
      <w:bookmarkStart w:id="6" w:name="_Ref233189363"/>
      <w:bookmarkStart w:id="7" w:name="_Toc233696985"/>
    </w:p>
    <w:bookmarkEnd w:id="6"/>
    <w:bookmarkEnd w:id="7"/>
    <w:p w:rsidR="00CC6254" w:rsidRPr="003E54EE" w:rsidRDefault="00CC6254" w:rsidP="00CC6254">
      <w:pPr>
        <w:pStyle w:val="Heading2"/>
        <w:rPr>
          <w:lang w:val="fr-CH"/>
        </w:rPr>
      </w:pPr>
      <w:r w:rsidRPr="003E54EE">
        <w:rPr>
          <w:lang w:val="fr-CH"/>
        </w:rPr>
        <w:t>3.4</w:t>
      </w:r>
      <w:r w:rsidRPr="003E54EE">
        <w:rPr>
          <w:lang w:val="fr-CH"/>
        </w:rPr>
        <w:tab/>
        <w:t xml:space="preserve">Rapport </w:t>
      </w:r>
      <w:r w:rsidRPr="003E54EE">
        <w:rPr>
          <w:i/>
          <w:iCs/>
          <w:lang w:val="fr-CH"/>
        </w:rPr>
        <w:t>I</w:t>
      </w:r>
      <w:r w:rsidRPr="003E54EE">
        <w:rPr>
          <w:lang w:val="fr-CH"/>
        </w:rPr>
        <w:t>/</w:t>
      </w:r>
      <w:r w:rsidRPr="003E54EE">
        <w:rPr>
          <w:i/>
          <w:iCs/>
          <w:lang w:val="fr-CH"/>
        </w:rPr>
        <w:t>N</w:t>
      </w:r>
      <w:r w:rsidRPr="003E54EE">
        <w:rPr>
          <w:lang w:val="fr-CH"/>
        </w:rPr>
        <w:t xml:space="preserve"> en fonction du décalage de fréquence</w:t>
      </w:r>
    </w:p>
    <w:p w:rsidR="00CC6254" w:rsidRPr="003E54EE" w:rsidRDefault="00CC6254" w:rsidP="00CC6254">
      <w:pPr>
        <w:rPr>
          <w:lang w:val="fr-CH"/>
        </w:rPr>
      </w:pPr>
      <w:r w:rsidRPr="003E54EE">
        <w:rPr>
          <w:lang w:val="fr-CH"/>
        </w:rPr>
        <w:t xml:space="preserve">Pour les mesures du rapport de protection </w:t>
      </w:r>
      <w:r w:rsidRPr="003E54EE">
        <w:rPr>
          <w:i/>
          <w:iCs/>
          <w:lang w:val="fr-CH"/>
        </w:rPr>
        <w:t>I</w:t>
      </w:r>
      <w:r w:rsidRPr="003E54EE">
        <w:rPr>
          <w:lang w:val="fr-CH"/>
        </w:rPr>
        <w:t>/</w:t>
      </w:r>
      <w:r w:rsidRPr="003E54EE">
        <w:rPr>
          <w:i/>
          <w:iCs/>
          <w:lang w:val="fr-CH"/>
        </w:rPr>
        <w:t>N</w:t>
      </w:r>
      <w:r w:rsidRPr="003E54EE">
        <w:rPr>
          <w:lang w:val="fr-CH"/>
        </w:rPr>
        <w:t xml:space="preserve"> pour différents décalages de fréquence par rapport à la fréquence centrale de détection, en utilisant une source de brouillage à onde entretenue constante et à onde entretenue à impulsions, on part du principe que l'écran n'est pas en mesure de mettre à jour une décharge.</w:t>
      </w:r>
    </w:p>
    <w:p w:rsidR="00CC6254" w:rsidRPr="003E54EE" w:rsidRDefault="00CC6254" w:rsidP="00CC6254">
      <w:pPr>
        <w:pStyle w:val="Note"/>
        <w:rPr>
          <w:lang w:val="fr-CH"/>
        </w:rPr>
      </w:pPr>
      <w:r w:rsidRPr="003E54EE">
        <w:rPr>
          <w:lang w:val="fr-CH"/>
        </w:rPr>
        <w:t xml:space="preserve">NOTE 1 – Les valeurs du rapport </w:t>
      </w:r>
      <w:r w:rsidRPr="003E54EE">
        <w:rPr>
          <w:i/>
          <w:iCs/>
          <w:lang w:val="fr-CH"/>
        </w:rPr>
        <w:t>I</w:t>
      </w:r>
      <w:r w:rsidRPr="003E54EE">
        <w:rPr>
          <w:lang w:val="fr-CH"/>
        </w:rPr>
        <w:t>/</w:t>
      </w:r>
      <w:r w:rsidRPr="003E54EE">
        <w:rPr>
          <w:i/>
          <w:iCs/>
          <w:lang w:val="fr-CH"/>
        </w:rPr>
        <w:t>N</w:t>
      </w:r>
      <w:r w:rsidRPr="003E54EE">
        <w:rPr>
          <w:lang w:val="fr-CH"/>
        </w:rPr>
        <w:t xml:space="preserve"> indiquées dans les paragraphes qui suivent peuvent être réduites, au cas où on utilise des filtres réjecteurs appropriés, comme indiqué de manière détaillée au § 4.</w:t>
      </w:r>
    </w:p>
    <w:p w:rsidR="00CC6254" w:rsidRPr="003E54EE" w:rsidRDefault="00CC6254" w:rsidP="00CC6254">
      <w:pPr>
        <w:pStyle w:val="Heading3"/>
        <w:rPr>
          <w:lang w:val="fr-CH"/>
        </w:rPr>
      </w:pPr>
      <w:r w:rsidRPr="003E54EE">
        <w:rPr>
          <w:lang w:val="fr-CH"/>
        </w:rPr>
        <w:t>3.4.1</w:t>
      </w:r>
      <w:r w:rsidRPr="003E54EE">
        <w:rPr>
          <w:lang w:val="fr-CH"/>
        </w:rPr>
        <w:tab/>
        <w:t xml:space="preserve">Critère de protection </w:t>
      </w:r>
      <w:r w:rsidRPr="003E54EE">
        <w:rPr>
          <w:i/>
          <w:iCs/>
          <w:lang w:val="fr-CH"/>
        </w:rPr>
        <w:t>I</w:t>
      </w:r>
      <w:r w:rsidRPr="003E54EE">
        <w:rPr>
          <w:lang w:val="fr-CH"/>
        </w:rPr>
        <w:t>/</w:t>
      </w:r>
      <w:r w:rsidRPr="003E54EE">
        <w:rPr>
          <w:i/>
          <w:iCs/>
          <w:lang w:val="fr-CH"/>
        </w:rPr>
        <w:t>N</w:t>
      </w:r>
      <w:r w:rsidRPr="003E54EE">
        <w:rPr>
          <w:lang w:val="fr-CH"/>
        </w:rPr>
        <w:t xml:space="preserve"> pour des brouilleurs de type à onde entretenue constante </w:t>
      </w:r>
    </w:p>
    <w:p w:rsidR="00CC6254" w:rsidRPr="003E54EE" w:rsidRDefault="00CC6254" w:rsidP="00CC6254">
      <w:pPr>
        <w:rPr>
          <w:lang w:val="fr-CH"/>
        </w:rPr>
      </w:pPr>
      <w:r w:rsidRPr="003E54EE">
        <w:rPr>
          <w:lang w:val="fr-CH"/>
        </w:rPr>
        <w:t xml:space="preserve">La Fig. 1 représente le rapport de protection minimal </w:t>
      </w:r>
      <w:r w:rsidRPr="003E54EE">
        <w:rPr>
          <w:i/>
          <w:iCs/>
          <w:lang w:val="fr-CH"/>
        </w:rPr>
        <w:t>I</w:t>
      </w:r>
      <w:r w:rsidRPr="003E54EE">
        <w:rPr>
          <w:lang w:val="fr-CH"/>
        </w:rPr>
        <w:t>/</w:t>
      </w:r>
      <w:r w:rsidRPr="003E54EE">
        <w:rPr>
          <w:i/>
          <w:iCs/>
          <w:lang w:val="fr-CH"/>
        </w:rPr>
        <w:t>N</w:t>
      </w:r>
      <w:r w:rsidRPr="003E54EE">
        <w:rPr>
          <w:lang w:val="fr-CH"/>
        </w:rPr>
        <w:t xml:space="preserve"> pour des brouilleurs de type à onde entretenue, pour différents décalages de fréquence par rapport à la fréquence centrale de détection.</w:t>
      </w:r>
    </w:p>
    <w:p w:rsidR="00CC6254" w:rsidRPr="003E54EE" w:rsidRDefault="00CC6254" w:rsidP="00CC6254">
      <w:pPr>
        <w:pStyle w:val="FigureNo"/>
        <w:rPr>
          <w:lang w:val="fr-CH"/>
        </w:rPr>
      </w:pPr>
      <w:r w:rsidRPr="003E54EE">
        <w:rPr>
          <w:lang w:val="fr-CH"/>
        </w:rPr>
        <w:t xml:space="preserve">Figure </w:t>
      </w:r>
      <w:r w:rsidRPr="003E54EE">
        <w:rPr>
          <w:lang w:val="fr-CH"/>
        </w:rPr>
        <w:fldChar w:fldCharType="begin"/>
      </w:r>
      <w:r w:rsidRPr="003E54EE">
        <w:rPr>
          <w:lang w:val="fr-CH"/>
        </w:rPr>
        <w:instrText xml:space="preserve"> SEQ Figure \* ARABIC </w:instrText>
      </w:r>
      <w:r w:rsidRPr="003E54EE">
        <w:rPr>
          <w:lang w:val="fr-CH"/>
        </w:rPr>
        <w:fldChar w:fldCharType="separate"/>
      </w:r>
      <w:r w:rsidR="0074770C">
        <w:rPr>
          <w:noProof/>
          <w:lang w:val="fr-CH"/>
        </w:rPr>
        <w:t>1</w:t>
      </w:r>
      <w:r w:rsidRPr="003E54EE">
        <w:rPr>
          <w:noProof/>
          <w:lang w:val="fr-CH"/>
        </w:rPr>
        <w:fldChar w:fldCharType="end"/>
      </w:r>
    </w:p>
    <w:p w:rsidR="00CC6254" w:rsidRDefault="00CC6254" w:rsidP="00CC6254">
      <w:pPr>
        <w:pStyle w:val="Figuretitle"/>
        <w:rPr>
          <w:lang w:val="fr-CH"/>
        </w:rPr>
      </w:pPr>
      <w:r w:rsidRPr="003E54EE">
        <w:rPr>
          <w:lang w:val="fr-CH"/>
        </w:rPr>
        <w:t xml:space="preserve">Rapport </w:t>
      </w:r>
      <w:r w:rsidRPr="003E54EE">
        <w:rPr>
          <w:i/>
          <w:iCs/>
          <w:lang w:val="fr-CH"/>
        </w:rPr>
        <w:t>I</w:t>
      </w:r>
      <w:r w:rsidRPr="003E54EE">
        <w:rPr>
          <w:rFonts w:cs="Times New Roman Bold"/>
          <w:i/>
          <w:iCs/>
          <w:sz w:val="8"/>
          <w:lang w:val="fr-CH"/>
        </w:rPr>
        <w:t> </w:t>
      </w:r>
      <w:r w:rsidRPr="003E54EE">
        <w:rPr>
          <w:lang w:val="fr-CH"/>
        </w:rPr>
        <w:t>/</w:t>
      </w:r>
      <w:r w:rsidRPr="003E54EE">
        <w:rPr>
          <w:i/>
          <w:iCs/>
          <w:lang w:val="fr-CH"/>
        </w:rPr>
        <w:t>N</w:t>
      </w:r>
      <w:r w:rsidRPr="003E54EE">
        <w:rPr>
          <w:lang w:val="fr-CH"/>
        </w:rPr>
        <w:t xml:space="preserve"> en fonction du décalage de fréquence (brouillages à onde entretenue à impulsions)</w:t>
      </w:r>
    </w:p>
    <w:p w:rsidR="000F0175" w:rsidRPr="000F0175" w:rsidRDefault="000F0175" w:rsidP="000F0175">
      <w:pPr>
        <w:pStyle w:val="Figure"/>
        <w:rPr>
          <w:lang w:val="fr-CH"/>
        </w:rPr>
      </w:pPr>
      <w:r>
        <w:object w:dxaOrig="7001" w:dyaOrig="5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50.2pt;height:277.25pt" o:ole="">
            <v:imagedata r:id="rId13" o:title=""/>
          </v:shape>
          <o:OLEObject Type="Embed" ProgID="CorelDRAW.Graphic.14" ShapeID="_x0000_i1031" DrawAspect="Content" ObjectID="_1368615654" r:id="rId14"/>
        </w:object>
      </w:r>
    </w:p>
    <w:p w:rsidR="00CC6254" w:rsidRPr="003E54EE" w:rsidRDefault="00CC6254" w:rsidP="004526CB">
      <w:pPr>
        <w:pStyle w:val="Normalaftertitle"/>
        <w:rPr>
          <w:lang w:val="fr-CH"/>
        </w:rPr>
      </w:pPr>
      <w:r w:rsidRPr="003E54EE">
        <w:rPr>
          <w:lang w:val="fr-CH"/>
        </w:rPr>
        <w:t xml:space="preserve">Le graphique montre qu'un rapport de protection </w:t>
      </w:r>
      <w:r w:rsidRPr="003E54EE">
        <w:rPr>
          <w:i/>
          <w:iCs/>
          <w:lang w:val="fr-CH"/>
        </w:rPr>
        <w:t>I</w:t>
      </w:r>
      <w:r w:rsidRPr="003E54EE">
        <w:rPr>
          <w:lang w:val="fr-CH"/>
        </w:rPr>
        <w:t>/</w:t>
      </w:r>
      <w:r w:rsidRPr="003E54EE">
        <w:rPr>
          <w:i/>
          <w:iCs/>
          <w:lang w:val="fr-CH"/>
        </w:rPr>
        <w:t xml:space="preserve">N </w:t>
      </w:r>
      <w:r w:rsidRPr="003E54EE">
        <w:rPr>
          <w:lang w:val="fr-CH"/>
        </w:rPr>
        <w:t>cocanal d'environ −3 dB dans une largeur de bande de 5 kHz est nécessaire. On constate que le rapport de protection est plus élevé (</w:t>
      </w:r>
      <w:r w:rsidRPr="003E54EE">
        <w:rPr>
          <w:i/>
          <w:iCs/>
          <w:lang w:val="fr-CH"/>
        </w:rPr>
        <w:t>I</w:t>
      </w:r>
      <w:r w:rsidRPr="003E54EE">
        <w:rPr>
          <w:lang w:val="fr-CH"/>
        </w:rPr>
        <w:t>/</w:t>
      </w:r>
      <w:r w:rsidRPr="003E54EE">
        <w:rPr>
          <w:i/>
          <w:iCs/>
          <w:lang w:val="fr-CH"/>
        </w:rPr>
        <w:t>N</w:t>
      </w:r>
      <w:r w:rsidR="004526CB" w:rsidRPr="003E54EE">
        <w:rPr>
          <w:lang w:val="fr-CH"/>
        </w:rPr>
        <w:t> </w:t>
      </w:r>
      <w:r w:rsidRPr="003E54EE">
        <w:rPr>
          <w:lang w:val="fr-CH"/>
        </w:rPr>
        <w:t>=</w:t>
      </w:r>
      <w:r w:rsidR="004526CB" w:rsidRPr="003E54EE">
        <w:rPr>
          <w:lang w:val="fr-CH"/>
        </w:rPr>
        <w:t> </w:t>
      </w:r>
      <w:r w:rsidRPr="003E54EE">
        <w:rPr>
          <w:lang w:val="fr-CH"/>
        </w:rPr>
        <w:t>+4 à +5 dB) pour des espacements de fréquence de ±2 kHz. Pour des espacements de fréquence de ±5 kHz, le niveau de protection requis par le système ATD est d'environ 44 dB. Ces résultats sont présentés de manière plus détaillée dans le Tableau 3.</w:t>
      </w:r>
    </w:p>
    <w:p w:rsidR="00CC6254" w:rsidRPr="003E54EE" w:rsidRDefault="00E65EA0" w:rsidP="004041C1">
      <w:pPr>
        <w:pStyle w:val="TableNo"/>
        <w:rPr>
          <w:lang w:val="fr-CH"/>
        </w:rPr>
      </w:pPr>
      <w:r w:rsidRPr="003E54EE">
        <w:rPr>
          <w:lang w:val="fr-CH"/>
        </w:rPr>
        <w:lastRenderedPageBreak/>
        <w:t>TABLEAU 3</w:t>
      </w:r>
    </w:p>
    <w:p w:rsidR="00CC6254" w:rsidRPr="003E54EE" w:rsidRDefault="00CC6254" w:rsidP="00CC6254">
      <w:pPr>
        <w:pStyle w:val="Tabletitle"/>
        <w:rPr>
          <w:szCs w:val="24"/>
          <w:lang w:val="fr-CH"/>
        </w:rPr>
      </w:pPr>
      <w:r w:rsidRPr="003E54EE">
        <w:rPr>
          <w:lang w:val="fr-CH"/>
        </w:rPr>
        <w:t xml:space="preserve">Rapport </w:t>
      </w:r>
      <w:r w:rsidRPr="003E54EE">
        <w:rPr>
          <w:i/>
          <w:iCs/>
          <w:lang w:val="fr-CH"/>
        </w:rPr>
        <w:t>I</w:t>
      </w:r>
      <w:r w:rsidRPr="003E54EE">
        <w:rPr>
          <w:lang w:val="fr-CH"/>
        </w:rPr>
        <w:t>/</w:t>
      </w:r>
      <w:r w:rsidRPr="003E54EE">
        <w:rPr>
          <w:i/>
          <w:iCs/>
          <w:lang w:val="fr-CH"/>
        </w:rPr>
        <w:t>N</w:t>
      </w:r>
      <w:r w:rsidRPr="003E54EE">
        <w:rPr>
          <w:lang w:val="fr-CH"/>
        </w:rPr>
        <w:t xml:space="preserve"> en fonction du décalage de fréquence</w:t>
      </w:r>
      <w:r w:rsidRPr="003E54EE">
        <w:rPr>
          <w:lang w:val="fr-CH"/>
        </w:rPr>
        <w:br/>
        <w:t>(brouillages à onde entretenue constante)</w:t>
      </w:r>
    </w:p>
    <w:tbl>
      <w:tblPr>
        <w:tblW w:w="-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3119"/>
      </w:tblGrid>
      <w:tr w:rsidR="00CC6254" w:rsidRPr="003E54EE" w:rsidTr="00D2153E">
        <w:trPr>
          <w:jc w:val="center"/>
        </w:trPr>
        <w:tc>
          <w:tcPr>
            <w:tcW w:w="1985" w:type="dxa"/>
            <w:vAlign w:val="center"/>
          </w:tcPr>
          <w:p w:rsidR="00CC6254" w:rsidRPr="003E54EE" w:rsidRDefault="00CC6254" w:rsidP="00D2153E">
            <w:pPr>
              <w:pStyle w:val="Tablehead"/>
              <w:spacing w:before="40" w:after="40"/>
              <w:rPr>
                <w:szCs w:val="22"/>
                <w:lang w:val="fr-CH" w:eastAsia="en-GB"/>
              </w:rPr>
            </w:pPr>
            <w:r w:rsidRPr="003E54EE">
              <w:rPr>
                <w:szCs w:val="22"/>
                <w:lang w:val="fr-CH" w:eastAsia="en-GB"/>
              </w:rPr>
              <w:t>Décalage</w:t>
            </w:r>
            <w:r w:rsidRPr="003E54EE">
              <w:rPr>
                <w:szCs w:val="22"/>
                <w:lang w:val="fr-CH" w:eastAsia="en-GB"/>
              </w:rPr>
              <w:br/>
              <w:t>(kHz)</w:t>
            </w:r>
          </w:p>
        </w:tc>
        <w:tc>
          <w:tcPr>
            <w:tcW w:w="3119" w:type="dxa"/>
            <w:vAlign w:val="center"/>
          </w:tcPr>
          <w:p w:rsidR="00CC6254" w:rsidRPr="003E54EE" w:rsidRDefault="00CC6254" w:rsidP="00D2153E">
            <w:pPr>
              <w:pStyle w:val="Tablehead"/>
              <w:spacing w:before="40" w:after="40"/>
              <w:rPr>
                <w:szCs w:val="22"/>
                <w:lang w:val="fr-CH" w:eastAsia="en-GB"/>
              </w:rPr>
            </w:pPr>
            <w:r w:rsidRPr="003E54EE">
              <w:rPr>
                <w:szCs w:val="22"/>
                <w:lang w:val="fr-CH" w:eastAsia="en-GB"/>
              </w:rPr>
              <w:t>Rapport de protection</w:t>
            </w:r>
            <w:r w:rsidRPr="003E54EE">
              <w:rPr>
                <w:i/>
                <w:iCs/>
                <w:szCs w:val="22"/>
                <w:lang w:val="fr-CH" w:eastAsia="en-GB"/>
              </w:rPr>
              <w:t xml:space="preserve"> I</w:t>
            </w:r>
            <w:r w:rsidRPr="003E54EE">
              <w:rPr>
                <w:rFonts w:ascii="Times New Roman Bold" w:hAnsi="Times New Roman Bold" w:cs="Times New Roman Bold"/>
                <w:i/>
                <w:iCs/>
                <w:sz w:val="8"/>
                <w:szCs w:val="22"/>
                <w:lang w:val="fr-CH" w:eastAsia="en-GB"/>
              </w:rPr>
              <w:t> </w:t>
            </w:r>
            <w:r w:rsidRPr="003E54EE">
              <w:rPr>
                <w:szCs w:val="22"/>
                <w:lang w:val="fr-CH" w:eastAsia="en-GB"/>
              </w:rPr>
              <w:t>/</w:t>
            </w:r>
            <w:r w:rsidRPr="003E54EE">
              <w:rPr>
                <w:i/>
                <w:iCs/>
                <w:szCs w:val="22"/>
                <w:lang w:val="fr-CH" w:eastAsia="en-GB"/>
              </w:rPr>
              <w:t>N</w:t>
            </w:r>
            <w:r w:rsidRPr="003E54EE">
              <w:rPr>
                <w:szCs w:val="22"/>
                <w:lang w:val="fr-CH" w:eastAsia="en-GB"/>
              </w:rPr>
              <w:t xml:space="preserve"> </w:t>
            </w:r>
            <w:r w:rsidRPr="003E54EE">
              <w:rPr>
                <w:szCs w:val="22"/>
                <w:lang w:val="fr-CH" w:eastAsia="en-GB"/>
              </w:rPr>
              <w:br/>
              <w:t>(dB)</w:t>
            </w:r>
          </w:p>
        </w:tc>
      </w:tr>
      <w:tr w:rsidR="00CC6254" w:rsidRPr="003E54EE" w:rsidTr="00D2153E">
        <w:trPr>
          <w:jc w:val="center"/>
        </w:trPr>
        <w:tc>
          <w:tcPr>
            <w:tcW w:w="1985" w:type="dxa"/>
            <w:noWrap/>
            <w:vAlign w:val="center"/>
          </w:tcPr>
          <w:p w:rsidR="00CC6254" w:rsidRPr="003E54EE" w:rsidRDefault="00CC6254" w:rsidP="00D2153E">
            <w:pPr>
              <w:pStyle w:val="Tabletext"/>
              <w:jc w:val="center"/>
              <w:rPr>
                <w:lang w:val="fr-CH" w:eastAsia="en-GB"/>
              </w:rPr>
            </w:pPr>
            <w:r w:rsidRPr="003E54EE">
              <w:rPr>
                <w:lang w:val="fr-CH" w:eastAsia="en-GB"/>
              </w:rPr>
              <w:t>0</w:t>
            </w:r>
          </w:p>
        </w:tc>
        <w:tc>
          <w:tcPr>
            <w:tcW w:w="3119" w:type="dxa"/>
            <w:noWrap/>
            <w:vAlign w:val="center"/>
          </w:tcPr>
          <w:p w:rsidR="00CC6254" w:rsidRPr="003E54EE" w:rsidRDefault="00CC6254" w:rsidP="00D2153E">
            <w:pPr>
              <w:pStyle w:val="Tabletext"/>
              <w:jc w:val="center"/>
              <w:rPr>
                <w:lang w:val="fr-CH"/>
              </w:rPr>
            </w:pPr>
            <w:r w:rsidRPr="003E54EE">
              <w:rPr>
                <w:lang w:val="fr-CH"/>
              </w:rPr>
              <w:t>−3,9</w:t>
            </w:r>
          </w:p>
        </w:tc>
      </w:tr>
      <w:tr w:rsidR="00CC6254" w:rsidRPr="003E54EE" w:rsidTr="00D2153E">
        <w:trPr>
          <w:jc w:val="center"/>
        </w:trPr>
        <w:tc>
          <w:tcPr>
            <w:tcW w:w="1985" w:type="dxa"/>
            <w:noWrap/>
            <w:vAlign w:val="center"/>
          </w:tcPr>
          <w:p w:rsidR="00CC6254" w:rsidRPr="003E54EE" w:rsidRDefault="00CC6254" w:rsidP="00D2153E">
            <w:pPr>
              <w:pStyle w:val="Tabletext"/>
              <w:jc w:val="center"/>
              <w:rPr>
                <w:lang w:val="fr-CH" w:eastAsia="en-GB"/>
              </w:rPr>
            </w:pPr>
            <w:r w:rsidRPr="003E54EE">
              <w:rPr>
                <w:lang w:val="fr-CH" w:eastAsia="en-GB"/>
              </w:rPr>
              <w:t>1</w:t>
            </w:r>
          </w:p>
        </w:tc>
        <w:tc>
          <w:tcPr>
            <w:tcW w:w="3119" w:type="dxa"/>
            <w:noWrap/>
            <w:vAlign w:val="center"/>
          </w:tcPr>
          <w:p w:rsidR="00CC6254" w:rsidRPr="003E54EE" w:rsidRDefault="00CC6254" w:rsidP="00D2153E">
            <w:pPr>
              <w:pStyle w:val="Tabletext"/>
              <w:jc w:val="center"/>
              <w:rPr>
                <w:lang w:val="fr-CH"/>
              </w:rPr>
            </w:pPr>
            <w:r w:rsidRPr="003E54EE">
              <w:rPr>
                <w:lang w:val="fr-CH"/>
              </w:rPr>
              <w:t>−2,8</w:t>
            </w:r>
          </w:p>
        </w:tc>
      </w:tr>
      <w:tr w:rsidR="00CC6254" w:rsidRPr="003E54EE" w:rsidTr="00D2153E">
        <w:trPr>
          <w:jc w:val="center"/>
        </w:trPr>
        <w:tc>
          <w:tcPr>
            <w:tcW w:w="1985" w:type="dxa"/>
            <w:noWrap/>
            <w:vAlign w:val="center"/>
          </w:tcPr>
          <w:p w:rsidR="00CC6254" w:rsidRPr="003E54EE" w:rsidRDefault="00CC6254" w:rsidP="00D2153E">
            <w:pPr>
              <w:pStyle w:val="Tabletext"/>
              <w:jc w:val="center"/>
              <w:rPr>
                <w:lang w:val="fr-CH" w:eastAsia="en-GB"/>
              </w:rPr>
            </w:pPr>
            <w:r w:rsidRPr="003E54EE">
              <w:rPr>
                <w:lang w:val="fr-CH" w:eastAsia="en-GB"/>
              </w:rPr>
              <w:t>2</w:t>
            </w:r>
          </w:p>
        </w:tc>
        <w:tc>
          <w:tcPr>
            <w:tcW w:w="3119" w:type="dxa"/>
            <w:noWrap/>
            <w:vAlign w:val="center"/>
          </w:tcPr>
          <w:p w:rsidR="00CC6254" w:rsidRPr="003E54EE" w:rsidRDefault="00CC6254" w:rsidP="00D2153E">
            <w:pPr>
              <w:pStyle w:val="Tabletext"/>
              <w:jc w:val="center"/>
              <w:rPr>
                <w:lang w:val="fr-CH"/>
              </w:rPr>
            </w:pPr>
            <w:r w:rsidRPr="003E54EE">
              <w:rPr>
                <w:lang w:val="fr-CH"/>
              </w:rPr>
              <w:t>5</w:t>
            </w:r>
          </w:p>
        </w:tc>
      </w:tr>
      <w:tr w:rsidR="00CC6254" w:rsidRPr="003E54EE" w:rsidTr="00D2153E">
        <w:trPr>
          <w:jc w:val="center"/>
        </w:trPr>
        <w:tc>
          <w:tcPr>
            <w:tcW w:w="1985" w:type="dxa"/>
            <w:noWrap/>
            <w:vAlign w:val="center"/>
          </w:tcPr>
          <w:p w:rsidR="00CC6254" w:rsidRPr="003E54EE" w:rsidRDefault="00CC6254" w:rsidP="00D2153E">
            <w:pPr>
              <w:pStyle w:val="Tabletext"/>
              <w:jc w:val="center"/>
              <w:rPr>
                <w:lang w:val="fr-CH" w:eastAsia="en-GB"/>
              </w:rPr>
            </w:pPr>
            <w:r w:rsidRPr="003E54EE">
              <w:rPr>
                <w:lang w:val="fr-CH" w:eastAsia="en-GB"/>
              </w:rPr>
              <w:t>3</w:t>
            </w:r>
          </w:p>
        </w:tc>
        <w:tc>
          <w:tcPr>
            <w:tcW w:w="3119" w:type="dxa"/>
            <w:noWrap/>
            <w:vAlign w:val="center"/>
          </w:tcPr>
          <w:p w:rsidR="00CC6254" w:rsidRPr="003E54EE" w:rsidRDefault="00CC6254" w:rsidP="00D2153E">
            <w:pPr>
              <w:pStyle w:val="Tabletext"/>
              <w:jc w:val="center"/>
              <w:rPr>
                <w:lang w:val="fr-CH"/>
              </w:rPr>
            </w:pPr>
            <w:r w:rsidRPr="003E54EE">
              <w:rPr>
                <w:lang w:val="fr-CH"/>
              </w:rPr>
              <w:t>17</w:t>
            </w:r>
          </w:p>
        </w:tc>
      </w:tr>
      <w:tr w:rsidR="00CC6254" w:rsidRPr="003E54EE" w:rsidTr="00D2153E">
        <w:trPr>
          <w:jc w:val="center"/>
        </w:trPr>
        <w:tc>
          <w:tcPr>
            <w:tcW w:w="1985" w:type="dxa"/>
            <w:noWrap/>
            <w:vAlign w:val="center"/>
          </w:tcPr>
          <w:p w:rsidR="00CC6254" w:rsidRPr="003E54EE" w:rsidRDefault="00CC6254" w:rsidP="00D2153E">
            <w:pPr>
              <w:pStyle w:val="Tabletext"/>
              <w:jc w:val="center"/>
              <w:rPr>
                <w:lang w:val="fr-CH" w:eastAsia="en-GB"/>
              </w:rPr>
            </w:pPr>
            <w:r w:rsidRPr="003E54EE">
              <w:rPr>
                <w:lang w:val="fr-CH" w:eastAsia="en-GB"/>
              </w:rPr>
              <w:t>4</w:t>
            </w:r>
          </w:p>
        </w:tc>
        <w:tc>
          <w:tcPr>
            <w:tcW w:w="3119" w:type="dxa"/>
            <w:noWrap/>
            <w:vAlign w:val="center"/>
          </w:tcPr>
          <w:p w:rsidR="00CC6254" w:rsidRPr="003E54EE" w:rsidRDefault="00CC6254" w:rsidP="00D2153E">
            <w:pPr>
              <w:pStyle w:val="Tabletext"/>
              <w:jc w:val="center"/>
              <w:rPr>
                <w:lang w:val="fr-CH"/>
              </w:rPr>
            </w:pPr>
            <w:r w:rsidRPr="003E54EE">
              <w:rPr>
                <w:lang w:val="fr-CH"/>
              </w:rPr>
              <w:t>32</w:t>
            </w:r>
          </w:p>
        </w:tc>
      </w:tr>
      <w:tr w:rsidR="00CC6254" w:rsidRPr="003E54EE" w:rsidTr="00D2153E">
        <w:trPr>
          <w:jc w:val="center"/>
        </w:trPr>
        <w:tc>
          <w:tcPr>
            <w:tcW w:w="1985" w:type="dxa"/>
            <w:noWrap/>
            <w:vAlign w:val="center"/>
          </w:tcPr>
          <w:p w:rsidR="00CC6254" w:rsidRPr="003E54EE" w:rsidRDefault="00CC6254" w:rsidP="00D2153E">
            <w:pPr>
              <w:pStyle w:val="Tabletext"/>
              <w:jc w:val="center"/>
              <w:rPr>
                <w:lang w:val="fr-CH" w:eastAsia="en-GB"/>
              </w:rPr>
            </w:pPr>
            <w:r w:rsidRPr="003E54EE">
              <w:rPr>
                <w:lang w:val="fr-CH" w:eastAsia="en-GB"/>
              </w:rPr>
              <w:t>5</w:t>
            </w:r>
          </w:p>
        </w:tc>
        <w:tc>
          <w:tcPr>
            <w:tcW w:w="3119" w:type="dxa"/>
            <w:noWrap/>
            <w:vAlign w:val="center"/>
          </w:tcPr>
          <w:p w:rsidR="00CC6254" w:rsidRPr="003E54EE" w:rsidRDefault="00CC6254" w:rsidP="00D2153E">
            <w:pPr>
              <w:pStyle w:val="Tabletext"/>
              <w:jc w:val="center"/>
              <w:rPr>
                <w:lang w:val="fr-CH"/>
              </w:rPr>
            </w:pPr>
            <w:r w:rsidRPr="003E54EE">
              <w:rPr>
                <w:lang w:val="fr-CH"/>
              </w:rPr>
              <w:t>45</w:t>
            </w:r>
          </w:p>
        </w:tc>
      </w:tr>
    </w:tbl>
    <w:p w:rsidR="00CC6254" w:rsidRPr="003E54EE" w:rsidRDefault="00CC6254" w:rsidP="00CC6254">
      <w:pPr>
        <w:pStyle w:val="Tablefin"/>
        <w:rPr>
          <w:sz w:val="2"/>
          <w:lang w:val="fr-CH"/>
        </w:rPr>
      </w:pPr>
    </w:p>
    <w:p w:rsidR="0051207D" w:rsidRPr="003E54EE" w:rsidRDefault="0051207D" w:rsidP="0051207D">
      <w:pPr>
        <w:pStyle w:val="Tablefin"/>
        <w:rPr>
          <w:lang w:val="fr-CH"/>
        </w:rPr>
      </w:pPr>
    </w:p>
    <w:p w:rsidR="00CC6254" w:rsidRPr="003E54EE" w:rsidRDefault="00CC6254" w:rsidP="0051207D">
      <w:pPr>
        <w:pStyle w:val="Heading3"/>
        <w:rPr>
          <w:lang w:val="fr-CH"/>
        </w:rPr>
      </w:pPr>
      <w:r w:rsidRPr="003E54EE">
        <w:rPr>
          <w:lang w:val="fr-CH"/>
        </w:rPr>
        <w:t>3.4.2</w:t>
      </w:r>
      <w:r w:rsidRPr="003E54EE">
        <w:rPr>
          <w:lang w:val="fr-CH"/>
        </w:rPr>
        <w:tab/>
        <w:t xml:space="preserve">Critère de protection </w:t>
      </w:r>
      <w:r w:rsidRPr="003E54EE">
        <w:rPr>
          <w:i/>
          <w:iCs/>
          <w:lang w:val="fr-CH"/>
        </w:rPr>
        <w:t>I</w:t>
      </w:r>
      <w:r w:rsidRPr="003E54EE">
        <w:rPr>
          <w:lang w:val="fr-CH"/>
        </w:rPr>
        <w:t>/</w:t>
      </w:r>
      <w:r w:rsidRPr="003E54EE">
        <w:rPr>
          <w:i/>
          <w:iCs/>
          <w:lang w:val="fr-CH"/>
        </w:rPr>
        <w:t>N</w:t>
      </w:r>
      <w:r w:rsidRPr="003E54EE">
        <w:rPr>
          <w:lang w:val="fr-CH"/>
        </w:rPr>
        <w:t xml:space="preserve"> pour des brouilleurs de type à onde entretenue à impulsions</w:t>
      </w:r>
    </w:p>
    <w:p w:rsidR="00CC6254" w:rsidRPr="003E54EE" w:rsidRDefault="00CC6254" w:rsidP="0051207D">
      <w:pPr>
        <w:rPr>
          <w:lang w:val="fr-CH"/>
        </w:rPr>
      </w:pPr>
      <w:r w:rsidRPr="003E54EE">
        <w:rPr>
          <w:lang w:val="fr-CH"/>
        </w:rPr>
        <w:t xml:space="preserve">La Fig. 2 représente le rapport de protection </w:t>
      </w:r>
      <w:r w:rsidRPr="003E54EE">
        <w:rPr>
          <w:i/>
          <w:iCs/>
          <w:lang w:val="fr-CH"/>
        </w:rPr>
        <w:t>I</w:t>
      </w:r>
      <w:r w:rsidRPr="003E54EE">
        <w:rPr>
          <w:lang w:val="fr-CH"/>
        </w:rPr>
        <w:t>/</w:t>
      </w:r>
      <w:r w:rsidRPr="003E54EE">
        <w:rPr>
          <w:i/>
          <w:iCs/>
          <w:lang w:val="fr-CH"/>
        </w:rPr>
        <w:t xml:space="preserve">N </w:t>
      </w:r>
      <w:r w:rsidRPr="003E54EE">
        <w:rPr>
          <w:lang w:val="fr-CH"/>
        </w:rPr>
        <w:t>minimal pour des brouilleurs de type à onde entretenue à impulsions (facteur d'utilisation de 67%), pour différents décalages de fréquence par rapport à la fréquence cen</w:t>
      </w:r>
      <w:bookmarkStart w:id="8" w:name="_GoBack"/>
      <w:bookmarkEnd w:id="8"/>
      <w:r w:rsidRPr="003E54EE">
        <w:rPr>
          <w:lang w:val="fr-CH"/>
        </w:rPr>
        <w:t>trale de détection. Les résultats sont présentés de manière plus détaillée dans le Tableau 4.</w:t>
      </w:r>
    </w:p>
    <w:p w:rsidR="00CC6254" w:rsidRPr="003E54EE" w:rsidRDefault="00CC6254" w:rsidP="00CC6254">
      <w:pPr>
        <w:pStyle w:val="FigureNo"/>
        <w:rPr>
          <w:lang w:val="fr-CH"/>
        </w:rPr>
      </w:pPr>
      <w:r w:rsidRPr="003E54EE">
        <w:rPr>
          <w:lang w:val="fr-CH"/>
        </w:rPr>
        <w:t xml:space="preserve">Figure </w:t>
      </w:r>
      <w:r w:rsidRPr="003E54EE">
        <w:rPr>
          <w:lang w:val="fr-CH"/>
        </w:rPr>
        <w:fldChar w:fldCharType="begin"/>
      </w:r>
      <w:r w:rsidRPr="003E54EE">
        <w:rPr>
          <w:lang w:val="fr-CH"/>
        </w:rPr>
        <w:instrText xml:space="preserve"> SEQ Figure \* ARABIC </w:instrText>
      </w:r>
      <w:r w:rsidRPr="003E54EE">
        <w:rPr>
          <w:lang w:val="fr-CH"/>
        </w:rPr>
        <w:fldChar w:fldCharType="separate"/>
      </w:r>
      <w:r w:rsidR="0074770C">
        <w:rPr>
          <w:noProof/>
          <w:lang w:val="fr-CH"/>
        </w:rPr>
        <w:t>2</w:t>
      </w:r>
      <w:r w:rsidRPr="003E54EE">
        <w:rPr>
          <w:noProof/>
          <w:lang w:val="fr-CH"/>
        </w:rPr>
        <w:fldChar w:fldCharType="end"/>
      </w:r>
    </w:p>
    <w:p w:rsidR="00CC6254" w:rsidRDefault="00CC6254" w:rsidP="00CC6254">
      <w:pPr>
        <w:pStyle w:val="Figuretitle"/>
        <w:rPr>
          <w:lang w:val="fr-CH"/>
        </w:rPr>
      </w:pPr>
      <w:r w:rsidRPr="003E54EE">
        <w:rPr>
          <w:lang w:val="fr-CH"/>
        </w:rPr>
        <w:t>Rapport I/N en fonction du décalage de fréquence (brouillages à onde entretenue à impulsions)</w:t>
      </w:r>
    </w:p>
    <w:p w:rsidR="002128B6" w:rsidRPr="002128B6" w:rsidRDefault="002128B6" w:rsidP="002128B6">
      <w:pPr>
        <w:pStyle w:val="Figure"/>
        <w:rPr>
          <w:lang w:val="fr-CH"/>
        </w:rPr>
      </w:pPr>
      <w:r>
        <w:object w:dxaOrig="7955" w:dyaOrig="5643">
          <v:shape id="_x0000_i1036" type="#_x0000_t75" style="width:397.85pt;height:281.9pt" o:ole="">
            <v:imagedata r:id="rId15" o:title=""/>
          </v:shape>
          <o:OLEObject Type="Embed" ProgID="CorelDRAW.Graphic.14" ShapeID="_x0000_i1036" DrawAspect="Content" ObjectID="_1368615655" r:id="rId16"/>
        </w:object>
      </w:r>
    </w:p>
    <w:p w:rsidR="00CC6254" w:rsidRPr="003E54EE" w:rsidRDefault="00E65EA0" w:rsidP="004041C1">
      <w:pPr>
        <w:pStyle w:val="TableNo"/>
        <w:rPr>
          <w:lang w:val="fr-CH"/>
        </w:rPr>
      </w:pPr>
      <w:r w:rsidRPr="003E54EE">
        <w:rPr>
          <w:lang w:val="fr-CH"/>
        </w:rPr>
        <w:lastRenderedPageBreak/>
        <w:t>TABLEAU 4</w:t>
      </w:r>
    </w:p>
    <w:p w:rsidR="00CC6254" w:rsidRPr="003E54EE" w:rsidRDefault="00CC6254" w:rsidP="00CC6254">
      <w:pPr>
        <w:pStyle w:val="Tabletitle"/>
        <w:rPr>
          <w:lang w:val="fr-CH"/>
        </w:rPr>
      </w:pPr>
      <w:r w:rsidRPr="003E54EE">
        <w:rPr>
          <w:lang w:val="fr-CH"/>
        </w:rPr>
        <w:t xml:space="preserve">Rapport </w:t>
      </w:r>
      <w:r w:rsidRPr="003E54EE">
        <w:rPr>
          <w:i/>
          <w:iCs/>
          <w:lang w:val="fr-CH"/>
        </w:rPr>
        <w:t>I</w:t>
      </w:r>
      <w:r w:rsidRPr="003E54EE">
        <w:rPr>
          <w:lang w:val="fr-CH"/>
        </w:rPr>
        <w:t>/</w:t>
      </w:r>
      <w:r w:rsidRPr="003E54EE">
        <w:rPr>
          <w:i/>
          <w:iCs/>
          <w:lang w:val="fr-CH"/>
        </w:rPr>
        <w:t>N</w:t>
      </w:r>
      <w:r w:rsidRPr="003E54EE">
        <w:rPr>
          <w:lang w:val="fr-CH"/>
        </w:rPr>
        <w:t xml:space="preserve"> en fonction du décalage de fréquence</w:t>
      </w:r>
      <w:r w:rsidRPr="003E54EE">
        <w:rPr>
          <w:lang w:val="fr-CH"/>
        </w:rPr>
        <w:br/>
        <w:t>(brouillages à onde entretenue à impulsions)</w:t>
      </w:r>
    </w:p>
    <w:tbl>
      <w:tblPr>
        <w:tblW w:w="0" w:type="auto"/>
        <w:jc w:val="center"/>
        <w:tblLayout w:type="fixed"/>
        <w:tblLook w:val="00A0" w:firstRow="1" w:lastRow="0" w:firstColumn="1" w:lastColumn="0" w:noHBand="0" w:noVBand="0"/>
      </w:tblPr>
      <w:tblGrid>
        <w:gridCol w:w="1985"/>
        <w:gridCol w:w="3119"/>
      </w:tblGrid>
      <w:tr w:rsidR="00CC6254" w:rsidRPr="003E54EE" w:rsidTr="00D2153E">
        <w:trPr>
          <w:jc w:val="center"/>
        </w:trPr>
        <w:tc>
          <w:tcPr>
            <w:tcW w:w="1985" w:type="dxa"/>
            <w:tcBorders>
              <w:top w:val="single" w:sz="4" w:space="0" w:color="auto"/>
              <w:left w:val="single" w:sz="4" w:space="0" w:color="auto"/>
              <w:bottom w:val="single" w:sz="4" w:space="0" w:color="auto"/>
              <w:right w:val="single" w:sz="4" w:space="0" w:color="auto"/>
            </w:tcBorders>
            <w:vAlign w:val="center"/>
          </w:tcPr>
          <w:p w:rsidR="00CC6254" w:rsidRPr="003E54EE" w:rsidRDefault="00CC6254" w:rsidP="00D2153E">
            <w:pPr>
              <w:pStyle w:val="Tablehead"/>
              <w:rPr>
                <w:lang w:val="fr-CH" w:eastAsia="en-GB"/>
              </w:rPr>
            </w:pPr>
            <w:r w:rsidRPr="003E54EE">
              <w:rPr>
                <w:szCs w:val="22"/>
                <w:lang w:val="fr-CH" w:eastAsia="en-GB"/>
              </w:rPr>
              <w:t>Décalage</w:t>
            </w:r>
            <w:r w:rsidRPr="003E54EE">
              <w:rPr>
                <w:lang w:val="fr-CH" w:eastAsia="en-GB"/>
              </w:rPr>
              <w:br/>
              <w:t>(kHz)</w:t>
            </w:r>
          </w:p>
        </w:tc>
        <w:tc>
          <w:tcPr>
            <w:tcW w:w="3119" w:type="dxa"/>
            <w:tcBorders>
              <w:top w:val="single" w:sz="4" w:space="0" w:color="auto"/>
              <w:left w:val="nil"/>
              <w:bottom w:val="single" w:sz="4" w:space="0" w:color="auto"/>
              <w:right w:val="single" w:sz="4" w:space="0" w:color="auto"/>
            </w:tcBorders>
            <w:vAlign w:val="center"/>
          </w:tcPr>
          <w:p w:rsidR="00CC6254" w:rsidRPr="003E54EE" w:rsidRDefault="00CC6254" w:rsidP="00D2153E">
            <w:pPr>
              <w:pStyle w:val="Tablehead"/>
              <w:rPr>
                <w:lang w:val="fr-CH" w:eastAsia="en-GB"/>
              </w:rPr>
            </w:pPr>
            <w:r w:rsidRPr="003E54EE">
              <w:rPr>
                <w:szCs w:val="22"/>
                <w:lang w:val="fr-CH" w:eastAsia="en-GB"/>
              </w:rPr>
              <w:t xml:space="preserve">Valeur minimale du </w:t>
            </w:r>
            <w:r w:rsidRPr="003E54EE">
              <w:rPr>
                <w:szCs w:val="22"/>
                <w:lang w:val="fr-CH" w:eastAsia="en-GB"/>
              </w:rPr>
              <w:br/>
              <w:t xml:space="preserve">rapport </w:t>
            </w:r>
            <w:r w:rsidRPr="003E54EE">
              <w:rPr>
                <w:i/>
                <w:iCs/>
                <w:szCs w:val="22"/>
                <w:lang w:val="fr-CH" w:eastAsia="en-GB"/>
              </w:rPr>
              <w:t>I</w:t>
            </w:r>
            <w:r w:rsidRPr="003E54EE">
              <w:rPr>
                <w:rFonts w:ascii="Times New Roman Bold" w:hAnsi="Times New Roman Bold" w:cs="Times New Roman Bold"/>
                <w:i/>
                <w:iCs/>
                <w:sz w:val="8"/>
                <w:szCs w:val="22"/>
                <w:lang w:val="fr-CH" w:eastAsia="en-GB"/>
              </w:rPr>
              <w:t> </w:t>
            </w:r>
            <w:r w:rsidRPr="003E54EE">
              <w:rPr>
                <w:szCs w:val="22"/>
                <w:lang w:val="fr-CH" w:eastAsia="en-GB"/>
              </w:rPr>
              <w:t>/</w:t>
            </w:r>
            <w:r w:rsidRPr="003E54EE">
              <w:rPr>
                <w:i/>
                <w:iCs/>
                <w:szCs w:val="22"/>
                <w:lang w:val="fr-CH" w:eastAsia="en-GB"/>
              </w:rPr>
              <w:t>N</w:t>
            </w:r>
            <w:r w:rsidRPr="003E54EE">
              <w:rPr>
                <w:szCs w:val="22"/>
                <w:lang w:val="fr-CH" w:eastAsia="en-GB"/>
              </w:rPr>
              <w:t xml:space="preserve"> </w:t>
            </w:r>
            <w:r w:rsidRPr="003E54EE">
              <w:rPr>
                <w:lang w:val="fr-CH" w:eastAsia="en-GB"/>
              </w:rPr>
              <w:br/>
              <w:t>(dB)</w:t>
            </w:r>
          </w:p>
        </w:tc>
      </w:tr>
      <w:tr w:rsidR="00CC6254" w:rsidRPr="003E54EE" w:rsidTr="00D2153E">
        <w:trPr>
          <w:jc w:val="center"/>
        </w:trPr>
        <w:tc>
          <w:tcPr>
            <w:tcW w:w="1985" w:type="dxa"/>
            <w:tcBorders>
              <w:top w:val="nil"/>
              <w:left w:val="single" w:sz="4" w:space="0" w:color="auto"/>
              <w:bottom w:val="single" w:sz="4" w:space="0" w:color="auto"/>
              <w:right w:val="single" w:sz="4" w:space="0" w:color="auto"/>
            </w:tcBorders>
            <w:noWrap/>
            <w:vAlign w:val="center"/>
          </w:tcPr>
          <w:p w:rsidR="00CC6254" w:rsidRPr="003E54EE" w:rsidRDefault="00CC6254" w:rsidP="00D2153E">
            <w:pPr>
              <w:pStyle w:val="Tabletext"/>
              <w:jc w:val="center"/>
              <w:rPr>
                <w:lang w:val="fr-CH" w:eastAsia="en-GB"/>
              </w:rPr>
            </w:pPr>
            <w:r w:rsidRPr="003E54EE">
              <w:rPr>
                <w:lang w:val="fr-CH" w:eastAsia="en-GB"/>
              </w:rPr>
              <w:t>0</w:t>
            </w:r>
          </w:p>
        </w:tc>
        <w:tc>
          <w:tcPr>
            <w:tcW w:w="3119" w:type="dxa"/>
            <w:tcBorders>
              <w:top w:val="nil"/>
              <w:left w:val="nil"/>
              <w:bottom w:val="single" w:sz="4" w:space="0" w:color="auto"/>
              <w:right w:val="single" w:sz="4" w:space="0" w:color="auto"/>
            </w:tcBorders>
            <w:noWrap/>
            <w:vAlign w:val="center"/>
          </w:tcPr>
          <w:p w:rsidR="00CC6254" w:rsidRPr="003E54EE" w:rsidRDefault="00CC6254" w:rsidP="00D2153E">
            <w:pPr>
              <w:pStyle w:val="Tabletext"/>
              <w:jc w:val="center"/>
              <w:rPr>
                <w:lang w:val="fr-CH"/>
              </w:rPr>
            </w:pPr>
            <w:r w:rsidRPr="003E54EE">
              <w:rPr>
                <w:lang w:val="fr-CH"/>
              </w:rPr>
              <w:t>−4</w:t>
            </w:r>
          </w:p>
        </w:tc>
      </w:tr>
      <w:tr w:rsidR="00CC6254" w:rsidRPr="003E54EE" w:rsidTr="00D2153E">
        <w:trPr>
          <w:jc w:val="center"/>
        </w:trPr>
        <w:tc>
          <w:tcPr>
            <w:tcW w:w="1985" w:type="dxa"/>
            <w:tcBorders>
              <w:top w:val="nil"/>
              <w:left w:val="single" w:sz="4" w:space="0" w:color="auto"/>
              <w:bottom w:val="single" w:sz="4" w:space="0" w:color="auto"/>
              <w:right w:val="single" w:sz="4" w:space="0" w:color="auto"/>
            </w:tcBorders>
            <w:noWrap/>
            <w:vAlign w:val="center"/>
          </w:tcPr>
          <w:p w:rsidR="00CC6254" w:rsidRPr="003E54EE" w:rsidRDefault="00CC6254" w:rsidP="00D2153E">
            <w:pPr>
              <w:pStyle w:val="Tabletext"/>
              <w:jc w:val="center"/>
              <w:rPr>
                <w:lang w:val="fr-CH" w:eastAsia="en-GB"/>
              </w:rPr>
            </w:pPr>
            <w:r w:rsidRPr="003E54EE">
              <w:rPr>
                <w:lang w:val="fr-CH" w:eastAsia="en-GB"/>
              </w:rPr>
              <w:t>1</w:t>
            </w:r>
          </w:p>
        </w:tc>
        <w:tc>
          <w:tcPr>
            <w:tcW w:w="3119" w:type="dxa"/>
            <w:tcBorders>
              <w:top w:val="nil"/>
              <w:left w:val="nil"/>
              <w:bottom w:val="single" w:sz="4" w:space="0" w:color="auto"/>
              <w:right w:val="single" w:sz="4" w:space="0" w:color="auto"/>
            </w:tcBorders>
            <w:noWrap/>
            <w:vAlign w:val="center"/>
          </w:tcPr>
          <w:p w:rsidR="00CC6254" w:rsidRPr="003E54EE" w:rsidRDefault="00CC6254" w:rsidP="00D2153E">
            <w:pPr>
              <w:pStyle w:val="Tabletext"/>
              <w:jc w:val="center"/>
              <w:rPr>
                <w:lang w:val="fr-CH"/>
              </w:rPr>
            </w:pPr>
            <w:r w:rsidRPr="003E54EE">
              <w:rPr>
                <w:lang w:val="fr-CH"/>
              </w:rPr>
              <w:t>−2,7</w:t>
            </w:r>
          </w:p>
        </w:tc>
      </w:tr>
      <w:tr w:rsidR="00CC6254" w:rsidRPr="003E54EE" w:rsidTr="00D2153E">
        <w:trPr>
          <w:jc w:val="center"/>
        </w:trPr>
        <w:tc>
          <w:tcPr>
            <w:tcW w:w="1985" w:type="dxa"/>
            <w:tcBorders>
              <w:top w:val="nil"/>
              <w:left w:val="single" w:sz="4" w:space="0" w:color="auto"/>
              <w:bottom w:val="single" w:sz="4" w:space="0" w:color="auto"/>
              <w:right w:val="single" w:sz="4" w:space="0" w:color="auto"/>
            </w:tcBorders>
            <w:noWrap/>
            <w:vAlign w:val="center"/>
          </w:tcPr>
          <w:p w:rsidR="00CC6254" w:rsidRPr="003E54EE" w:rsidRDefault="00CC6254" w:rsidP="00D2153E">
            <w:pPr>
              <w:pStyle w:val="Tabletext"/>
              <w:jc w:val="center"/>
              <w:rPr>
                <w:lang w:val="fr-CH" w:eastAsia="en-GB"/>
              </w:rPr>
            </w:pPr>
            <w:r w:rsidRPr="003E54EE">
              <w:rPr>
                <w:lang w:val="fr-CH" w:eastAsia="en-GB"/>
              </w:rPr>
              <w:t>2</w:t>
            </w:r>
          </w:p>
        </w:tc>
        <w:tc>
          <w:tcPr>
            <w:tcW w:w="3119" w:type="dxa"/>
            <w:tcBorders>
              <w:top w:val="nil"/>
              <w:left w:val="nil"/>
              <w:bottom w:val="single" w:sz="4" w:space="0" w:color="auto"/>
              <w:right w:val="single" w:sz="4" w:space="0" w:color="auto"/>
            </w:tcBorders>
            <w:noWrap/>
            <w:vAlign w:val="center"/>
          </w:tcPr>
          <w:p w:rsidR="00CC6254" w:rsidRPr="003E54EE" w:rsidRDefault="00CC6254" w:rsidP="00D2153E">
            <w:pPr>
              <w:pStyle w:val="Tabletext"/>
              <w:jc w:val="center"/>
              <w:rPr>
                <w:lang w:val="fr-CH"/>
              </w:rPr>
            </w:pPr>
            <w:r w:rsidRPr="003E54EE">
              <w:rPr>
                <w:lang w:val="fr-CH"/>
              </w:rPr>
              <w:t>5</w:t>
            </w:r>
          </w:p>
        </w:tc>
      </w:tr>
      <w:tr w:rsidR="00CC6254" w:rsidRPr="003E54EE" w:rsidTr="00D2153E">
        <w:trPr>
          <w:jc w:val="center"/>
        </w:trPr>
        <w:tc>
          <w:tcPr>
            <w:tcW w:w="1985" w:type="dxa"/>
            <w:tcBorders>
              <w:top w:val="nil"/>
              <w:left w:val="single" w:sz="4" w:space="0" w:color="auto"/>
              <w:bottom w:val="single" w:sz="4" w:space="0" w:color="auto"/>
              <w:right w:val="single" w:sz="4" w:space="0" w:color="auto"/>
            </w:tcBorders>
            <w:noWrap/>
            <w:vAlign w:val="center"/>
          </w:tcPr>
          <w:p w:rsidR="00CC6254" w:rsidRPr="003E54EE" w:rsidRDefault="00CC6254" w:rsidP="00D2153E">
            <w:pPr>
              <w:pStyle w:val="Tabletext"/>
              <w:jc w:val="center"/>
              <w:rPr>
                <w:lang w:val="fr-CH" w:eastAsia="en-GB"/>
              </w:rPr>
            </w:pPr>
            <w:r w:rsidRPr="003E54EE">
              <w:rPr>
                <w:lang w:val="fr-CH" w:eastAsia="en-GB"/>
              </w:rPr>
              <w:t>3</w:t>
            </w:r>
          </w:p>
        </w:tc>
        <w:tc>
          <w:tcPr>
            <w:tcW w:w="3119" w:type="dxa"/>
            <w:tcBorders>
              <w:top w:val="nil"/>
              <w:left w:val="nil"/>
              <w:bottom w:val="single" w:sz="4" w:space="0" w:color="auto"/>
              <w:right w:val="single" w:sz="4" w:space="0" w:color="auto"/>
            </w:tcBorders>
            <w:noWrap/>
            <w:vAlign w:val="center"/>
          </w:tcPr>
          <w:p w:rsidR="00CC6254" w:rsidRPr="003E54EE" w:rsidRDefault="00CC6254" w:rsidP="00D2153E">
            <w:pPr>
              <w:pStyle w:val="Tabletext"/>
              <w:jc w:val="center"/>
              <w:rPr>
                <w:lang w:val="fr-CH"/>
              </w:rPr>
            </w:pPr>
            <w:r w:rsidRPr="003E54EE">
              <w:rPr>
                <w:lang w:val="fr-CH"/>
              </w:rPr>
              <w:t>17</w:t>
            </w:r>
          </w:p>
        </w:tc>
      </w:tr>
      <w:tr w:rsidR="00CC6254" w:rsidRPr="003E54EE" w:rsidTr="00D2153E">
        <w:trPr>
          <w:jc w:val="center"/>
        </w:trPr>
        <w:tc>
          <w:tcPr>
            <w:tcW w:w="1985" w:type="dxa"/>
            <w:tcBorders>
              <w:top w:val="nil"/>
              <w:left w:val="single" w:sz="4" w:space="0" w:color="auto"/>
              <w:bottom w:val="single" w:sz="4" w:space="0" w:color="auto"/>
              <w:right w:val="single" w:sz="4" w:space="0" w:color="auto"/>
            </w:tcBorders>
            <w:noWrap/>
            <w:vAlign w:val="center"/>
          </w:tcPr>
          <w:p w:rsidR="00CC6254" w:rsidRPr="003E54EE" w:rsidRDefault="00CC6254" w:rsidP="00D2153E">
            <w:pPr>
              <w:pStyle w:val="Tabletext"/>
              <w:jc w:val="center"/>
              <w:rPr>
                <w:lang w:val="fr-CH" w:eastAsia="en-GB"/>
              </w:rPr>
            </w:pPr>
            <w:r w:rsidRPr="003E54EE">
              <w:rPr>
                <w:lang w:val="fr-CH" w:eastAsia="en-GB"/>
              </w:rPr>
              <w:t>4</w:t>
            </w:r>
          </w:p>
        </w:tc>
        <w:tc>
          <w:tcPr>
            <w:tcW w:w="3119" w:type="dxa"/>
            <w:tcBorders>
              <w:top w:val="nil"/>
              <w:left w:val="nil"/>
              <w:bottom w:val="single" w:sz="4" w:space="0" w:color="auto"/>
              <w:right w:val="single" w:sz="4" w:space="0" w:color="auto"/>
            </w:tcBorders>
            <w:noWrap/>
            <w:vAlign w:val="center"/>
          </w:tcPr>
          <w:p w:rsidR="00CC6254" w:rsidRPr="003E54EE" w:rsidRDefault="00CC6254" w:rsidP="00D2153E">
            <w:pPr>
              <w:pStyle w:val="Tabletext"/>
              <w:jc w:val="center"/>
              <w:rPr>
                <w:lang w:val="fr-CH"/>
              </w:rPr>
            </w:pPr>
            <w:r w:rsidRPr="003E54EE">
              <w:rPr>
                <w:lang w:val="fr-CH"/>
              </w:rPr>
              <w:t>32</w:t>
            </w:r>
          </w:p>
        </w:tc>
      </w:tr>
      <w:tr w:rsidR="00CC6254" w:rsidRPr="003E54EE" w:rsidTr="00D2153E">
        <w:trPr>
          <w:jc w:val="center"/>
        </w:trPr>
        <w:tc>
          <w:tcPr>
            <w:tcW w:w="1985" w:type="dxa"/>
            <w:tcBorders>
              <w:top w:val="nil"/>
              <w:left w:val="single" w:sz="4" w:space="0" w:color="auto"/>
              <w:bottom w:val="single" w:sz="4" w:space="0" w:color="auto"/>
              <w:right w:val="single" w:sz="4" w:space="0" w:color="auto"/>
            </w:tcBorders>
            <w:noWrap/>
            <w:vAlign w:val="center"/>
          </w:tcPr>
          <w:p w:rsidR="00CC6254" w:rsidRPr="003E54EE" w:rsidRDefault="00CC6254" w:rsidP="00D2153E">
            <w:pPr>
              <w:pStyle w:val="Tabletext"/>
              <w:jc w:val="center"/>
              <w:rPr>
                <w:lang w:val="fr-CH" w:eastAsia="en-GB"/>
              </w:rPr>
            </w:pPr>
            <w:r w:rsidRPr="003E54EE">
              <w:rPr>
                <w:lang w:val="fr-CH" w:eastAsia="en-GB"/>
              </w:rPr>
              <w:t>5</w:t>
            </w:r>
          </w:p>
        </w:tc>
        <w:tc>
          <w:tcPr>
            <w:tcW w:w="3119" w:type="dxa"/>
            <w:tcBorders>
              <w:top w:val="nil"/>
              <w:left w:val="nil"/>
              <w:bottom w:val="single" w:sz="4" w:space="0" w:color="auto"/>
              <w:right w:val="single" w:sz="4" w:space="0" w:color="auto"/>
            </w:tcBorders>
            <w:noWrap/>
            <w:vAlign w:val="center"/>
          </w:tcPr>
          <w:p w:rsidR="00CC6254" w:rsidRPr="003E54EE" w:rsidRDefault="00CC6254" w:rsidP="00D2153E">
            <w:pPr>
              <w:pStyle w:val="Tabletext"/>
              <w:jc w:val="center"/>
              <w:rPr>
                <w:lang w:val="fr-CH"/>
              </w:rPr>
            </w:pPr>
            <w:r w:rsidRPr="003E54EE">
              <w:rPr>
                <w:lang w:val="fr-CH"/>
              </w:rPr>
              <w:t>45</w:t>
            </w:r>
          </w:p>
        </w:tc>
      </w:tr>
    </w:tbl>
    <w:p w:rsidR="0051207D" w:rsidRPr="003E54EE" w:rsidRDefault="0051207D" w:rsidP="0051207D">
      <w:pPr>
        <w:pStyle w:val="Tablefin"/>
        <w:rPr>
          <w:lang w:val="fr-CH"/>
        </w:rPr>
      </w:pPr>
    </w:p>
    <w:p w:rsidR="00CC6254" w:rsidRPr="003E54EE" w:rsidRDefault="00CC6254" w:rsidP="00CC6254">
      <w:pPr>
        <w:pStyle w:val="Heading1"/>
        <w:rPr>
          <w:lang w:val="fr-CH"/>
        </w:rPr>
      </w:pPr>
      <w:r w:rsidRPr="003E54EE">
        <w:rPr>
          <w:lang w:val="fr-CH"/>
        </w:rPr>
        <w:t>4</w:t>
      </w:r>
      <w:r w:rsidRPr="003E54EE">
        <w:rPr>
          <w:lang w:val="fr-CH"/>
        </w:rPr>
        <w:tab/>
        <w:t>Réduction des brouillages</w:t>
      </w:r>
    </w:p>
    <w:p w:rsidR="00CC6254" w:rsidRPr="003E54EE" w:rsidRDefault="00CC6254" w:rsidP="00CC6254">
      <w:pPr>
        <w:rPr>
          <w:lang w:val="fr-CH"/>
        </w:rPr>
      </w:pPr>
      <w:r w:rsidRPr="003E54EE">
        <w:rPr>
          <w:lang w:val="fr-CH"/>
        </w:rPr>
        <w:t xml:space="preserve">On peut utiliser des filtres réjecteurs logiciels à l'entrée des capteurs ATD pour supprimer les effets des émissions radioélectriques brouilleuses en ondes myriamétriques. Dans les cas où des filtres réjecteurs peuvent être déployés sur des capteurs ATD, les valeurs du rapport </w:t>
      </w:r>
      <w:r w:rsidRPr="003E54EE">
        <w:rPr>
          <w:i/>
          <w:iCs/>
          <w:lang w:val="fr-CH"/>
        </w:rPr>
        <w:t>I</w:t>
      </w:r>
      <w:r w:rsidRPr="003E54EE">
        <w:rPr>
          <w:lang w:val="fr-CH"/>
        </w:rPr>
        <w:t>/</w:t>
      </w:r>
      <w:r w:rsidRPr="003E54EE">
        <w:rPr>
          <w:i/>
          <w:iCs/>
          <w:lang w:val="fr-CH"/>
        </w:rPr>
        <w:t xml:space="preserve">N </w:t>
      </w:r>
      <w:r w:rsidRPr="003E54EE">
        <w:rPr>
          <w:lang w:val="fr-CH"/>
        </w:rPr>
        <w:t>indiquées aux § 3.4.1 et 3.4.2 peuvent être modifiées par l'affaiblissement résultant des filtres réjecteurs correspondants.</w:t>
      </w:r>
    </w:p>
    <w:p w:rsidR="00CC6254" w:rsidRPr="003E54EE" w:rsidRDefault="00CC6254" w:rsidP="00CC6254">
      <w:pPr>
        <w:rPr>
          <w:lang w:val="fr-CH"/>
        </w:rPr>
      </w:pPr>
      <w:r w:rsidRPr="003E54EE">
        <w:rPr>
          <w:lang w:val="fr-CH"/>
        </w:rPr>
        <w:t xml:space="preserve">Comme indiqué sur la Fig. 3, la fonction du filtre réjecteur logiciel a la forme suivante: </w:t>
      </w:r>
    </w:p>
    <w:p w:rsidR="0051207D" w:rsidRPr="003E54EE" w:rsidRDefault="0051207D" w:rsidP="0051207D">
      <w:pPr>
        <w:pStyle w:val="Blanc"/>
        <w:rPr>
          <w:lang w:val="fr-CH"/>
        </w:rPr>
      </w:pPr>
    </w:p>
    <w:p w:rsidR="00CC6254" w:rsidRPr="003E54EE" w:rsidRDefault="00CC6254" w:rsidP="00CC6254">
      <w:pPr>
        <w:pStyle w:val="Equation"/>
        <w:rPr>
          <w:i/>
          <w:lang w:val="fr-CH"/>
        </w:rPr>
      </w:pPr>
      <w:r w:rsidRPr="003E54EE">
        <w:rPr>
          <w:lang w:val="fr-CH"/>
        </w:rPr>
        <w:tab/>
      </w:r>
      <w:r w:rsidRPr="003E54EE">
        <w:rPr>
          <w:lang w:val="fr-CH"/>
        </w:rPr>
        <w:tab/>
        <w:t>1 − exp(−(Δ</w:t>
      </w:r>
      <w:r w:rsidRPr="003E54EE">
        <w:rPr>
          <w:i/>
          <w:lang w:val="fr-CH"/>
        </w:rPr>
        <w:t>f</w:t>
      </w:r>
      <w:r w:rsidRPr="003E54EE">
        <w:rPr>
          <w:lang w:val="fr-CH"/>
        </w:rPr>
        <w:t>/</w:t>
      </w:r>
      <w:r w:rsidRPr="003E54EE">
        <w:rPr>
          <w:i/>
          <w:lang w:val="fr-CH"/>
        </w:rPr>
        <w:t>w</w:t>
      </w:r>
      <w:r w:rsidRPr="003E54EE">
        <w:rPr>
          <w:lang w:val="fr-CH"/>
        </w:rPr>
        <w:t>)</w:t>
      </w:r>
      <w:r w:rsidRPr="003E54EE">
        <w:rPr>
          <w:vertAlign w:val="superscript"/>
          <w:lang w:val="fr-CH"/>
        </w:rPr>
        <w:t>2</w:t>
      </w:r>
      <w:r w:rsidRPr="003E54EE">
        <w:rPr>
          <w:lang w:val="fr-CH"/>
        </w:rPr>
        <w:t>)</w:t>
      </w:r>
    </w:p>
    <w:p w:rsidR="0051207D" w:rsidRPr="003E54EE" w:rsidRDefault="0051207D" w:rsidP="0051207D">
      <w:pPr>
        <w:pStyle w:val="Blanc"/>
        <w:rPr>
          <w:lang w:val="fr-CH"/>
        </w:rPr>
      </w:pPr>
    </w:p>
    <w:p w:rsidR="00CC6254" w:rsidRPr="003E54EE" w:rsidRDefault="00CC6254" w:rsidP="00CC6254">
      <w:pPr>
        <w:rPr>
          <w:lang w:val="fr-CH"/>
        </w:rPr>
      </w:pPr>
      <w:r w:rsidRPr="003E54EE">
        <w:rPr>
          <w:lang w:val="fr-CH"/>
        </w:rPr>
        <w:t>où</w:t>
      </w:r>
    </w:p>
    <w:p w:rsidR="00CC6254" w:rsidRPr="003E54EE" w:rsidRDefault="00CC6254" w:rsidP="00CC6254">
      <w:pPr>
        <w:pStyle w:val="Equationlegend"/>
        <w:rPr>
          <w:lang w:val="fr-CH"/>
        </w:rPr>
      </w:pPr>
      <w:r w:rsidRPr="003E54EE">
        <w:rPr>
          <w:i/>
          <w:lang w:val="fr-CH"/>
        </w:rPr>
        <w:tab/>
        <w:t>f</w:t>
      </w:r>
      <w:r w:rsidRPr="003E54EE">
        <w:rPr>
          <w:i/>
          <w:vertAlign w:val="subscript"/>
          <w:lang w:val="fr-CH"/>
        </w:rPr>
        <w:t>0</w:t>
      </w:r>
      <w:r w:rsidRPr="003E54EE">
        <w:rPr>
          <w:iCs/>
          <w:lang w:val="fr-CH"/>
        </w:rPr>
        <w:t>:</w:t>
      </w:r>
      <w:r w:rsidRPr="003E54EE">
        <w:rPr>
          <w:i/>
          <w:vertAlign w:val="subscript"/>
          <w:lang w:val="fr-CH"/>
        </w:rPr>
        <w:tab/>
      </w:r>
      <w:r w:rsidRPr="003E54EE">
        <w:rPr>
          <w:lang w:val="fr-CH"/>
        </w:rPr>
        <w:t>fréquence nominale de la coupure</w:t>
      </w:r>
    </w:p>
    <w:p w:rsidR="00CC6254" w:rsidRPr="003E54EE" w:rsidRDefault="00CC6254" w:rsidP="00CC6254">
      <w:pPr>
        <w:pStyle w:val="Equationlegend"/>
        <w:rPr>
          <w:iCs/>
          <w:lang w:val="fr-CH"/>
        </w:rPr>
      </w:pPr>
      <w:r w:rsidRPr="003E54EE">
        <w:rPr>
          <w:bCs/>
          <w:color w:val="000000"/>
          <w:lang w:val="fr-CH"/>
        </w:rPr>
        <w:tab/>
        <w:t>Δ</w:t>
      </w:r>
      <w:r w:rsidRPr="003E54EE">
        <w:rPr>
          <w:bCs/>
          <w:i/>
          <w:color w:val="000000"/>
          <w:lang w:val="fr-CH"/>
        </w:rPr>
        <w:t>f</w:t>
      </w:r>
      <w:r w:rsidRPr="003E54EE">
        <w:rPr>
          <w:lang w:val="fr-CH"/>
        </w:rPr>
        <w:t>:</w:t>
      </w:r>
      <w:r w:rsidRPr="003E54EE">
        <w:rPr>
          <w:lang w:val="fr-CH"/>
        </w:rPr>
        <w:tab/>
        <w:t xml:space="preserve">déplacement de la fréquence </w:t>
      </w:r>
      <w:r w:rsidRPr="003E54EE">
        <w:rPr>
          <w:bCs/>
          <w:i/>
          <w:color w:val="000000"/>
          <w:lang w:val="fr-CH"/>
        </w:rPr>
        <w:t xml:space="preserve">f </w:t>
      </w:r>
      <w:r w:rsidRPr="003E54EE">
        <w:rPr>
          <w:lang w:val="fr-CH"/>
        </w:rPr>
        <w:t xml:space="preserve">par rapport à </w:t>
      </w:r>
      <w:r w:rsidRPr="003E54EE">
        <w:rPr>
          <w:i/>
          <w:lang w:val="fr-CH"/>
        </w:rPr>
        <w:t>f</w:t>
      </w:r>
      <w:r w:rsidRPr="003E54EE">
        <w:rPr>
          <w:iCs/>
          <w:vertAlign w:val="subscript"/>
          <w:lang w:val="fr-CH"/>
        </w:rPr>
        <w:t>0</w:t>
      </w:r>
    </w:p>
    <w:p w:rsidR="00CC6254" w:rsidRPr="003E54EE" w:rsidRDefault="00CC6254" w:rsidP="00CC6254">
      <w:pPr>
        <w:pStyle w:val="Equationlegend"/>
        <w:rPr>
          <w:lang w:val="fr-CH"/>
        </w:rPr>
      </w:pPr>
      <w:r w:rsidRPr="003E54EE">
        <w:rPr>
          <w:lang w:val="fr-CH"/>
        </w:rPr>
        <w:tab/>
      </w:r>
      <w:r w:rsidRPr="003E54EE">
        <w:rPr>
          <w:i/>
          <w:lang w:val="fr-CH"/>
        </w:rPr>
        <w:t>w</w:t>
      </w:r>
      <w:r w:rsidRPr="003E54EE">
        <w:rPr>
          <w:iCs/>
          <w:lang w:val="fr-CH"/>
        </w:rPr>
        <w:t>:</w:t>
      </w:r>
      <w:r w:rsidRPr="003E54EE">
        <w:rPr>
          <w:i/>
          <w:lang w:val="fr-CH"/>
        </w:rPr>
        <w:tab/>
      </w:r>
      <w:r w:rsidRPr="003E54EE">
        <w:rPr>
          <w:iCs/>
          <w:lang w:val="fr-CH"/>
        </w:rPr>
        <w:t>demi-largeur de bande.</w:t>
      </w:r>
    </w:p>
    <w:p w:rsidR="00CC6254" w:rsidRPr="003E54EE" w:rsidRDefault="00CC6254" w:rsidP="00CC6254">
      <w:pPr>
        <w:pStyle w:val="Note"/>
        <w:rPr>
          <w:lang w:val="fr-CH"/>
        </w:rPr>
      </w:pPr>
      <w:r w:rsidRPr="003E54EE">
        <w:rPr>
          <w:lang w:val="fr-CH"/>
        </w:rPr>
        <w:t>NOTE 1 – On ne peut utiliser des filtres réjecteurs que pour des espacements de fréquences deux fois plus grands que la largeur de bande du filtre réjecteur par rapport à la fréquence centrale de mesure ATD, étant donné qu'en pareils cas, la réduction de l'amplitude du signal utile est minime. En outre, on ne peut pas utiliser des filtres réjecteurs pour des largeurs de bande de signaux brouilleurs supérieurs à 1 kHz.</w:t>
      </w:r>
    </w:p>
    <w:p w:rsidR="00CC6254" w:rsidRPr="003E54EE" w:rsidRDefault="00CC6254" w:rsidP="00CC6254">
      <w:pPr>
        <w:pStyle w:val="FigureNo"/>
        <w:rPr>
          <w:lang w:val="fr-CH"/>
        </w:rPr>
      </w:pPr>
      <w:r w:rsidRPr="003E54EE">
        <w:rPr>
          <w:lang w:val="fr-CH"/>
        </w:rPr>
        <w:lastRenderedPageBreak/>
        <w:t>Figure 3</w:t>
      </w:r>
    </w:p>
    <w:p w:rsidR="00CC6254" w:rsidRPr="003E54EE" w:rsidRDefault="00CC6254" w:rsidP="00CC6254">
      <w:pPr>
        <w:pStyle w:val="Figuretitle"/>
        <w:rPr>
          <w:lang w:val="fr-CH"/>
        </w:rPr>
      </w:pPr>
      <w:r w:rsidRPr="003E54EE">
        <w:rPr>
          <w:lang w:val="fr-CH"/>
        </w:rPr>
        <w:t>Fonction du filtre réjecteur</w:t>
      </w:r>
    </w:p>
    <w:p w:rsidR="00CC6254" w:rsidRPr="003E54EE" w:rsidRDefault="0074770C" w:rsidP="00CC6254">
      <w:pPr>
        <w:pStyle w:val="Figure"/>
        <w:rPr>
          <w:lang w:val="fr-CH"/>
        </w:rPr>
      </w:pPr>
      <w:r w:rsidRPr="003E54EE">
        <w:rPr>
          <w:lang w:val="fr-CH"/>
        </w:rPr>
        <w:object w:dxaOrig="5641" w:dyaOrig="5350">
          <v:shape id="_x0000_i1027" type="#_x0000_t75" style="width:317pt;height:300.6pt" o:ole="">
            <v:imagedata r:id="rId17" o:title=""/>
          </v:shape>
          <o:OLEObject Type="Embed" ProgID="CorelDRAW.Graphic.14" ShapeID="_x0000_i1027" DrawAspect="Content" ObjectID="_1368615656" r:id="rId18"/>
        </w:object>
      </w:r>
    </w:p>
    <w:p w:rsidR="0051207D" w:rsidRPr="003E54EE" w:rsidRDefault="0051207D" w:rsidP="0051207D">
      <w:pPr>
        <w:rPr>
          <w:lang w:val="fr-CH"/>
        </w:rPr>
      </w:pPr>
    </w:p>
    <w:p w:rsidR="00A6617B" w:rsidRPr="003E54EE" w:rsidRDefault="00A6617B" w:rsidP="00D2153E">
      <w:pPr>
        <w:pStyle w:val="Line"/>
        <w:rPr>
          <w:lang w:val="fr-CH"/>
        </w:rPr>
      </w:pPr>
    </w:p>
    <w:p w:rsidR="00CC6254" w:rsidRPr="003E54EE" w:rsidRDefault="00CC6254" w:rsidP="00A6617B">
      <w:pPr>
        <w:rPr>
          <w:lang w:val="fr-CH"/>
        </w:rPr>
      </w:pPr>
    </w:p>
    <w:sectPr w:rsidR="00CC6254" w:rsidRPr="003E54EE" w:rsidSect="0051207D">
      <w:headerReference w:type="even" r:id="rId19"/>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510" w:rsidRDefault="00094510">
      <w:r>
        <w:separator/>
      </w:r>
    </w:p>
  </w:endnote>
  <w:endnote w:type="continuationSeparator" w:id="0">
    <w:p w:rsidR="00094510" w:rsidRDefault="00094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510" w:rsidRDefault="00094510">
      <w:r>
        <w:separator/>
      </w:r>
    </w:p>
  </w:footnote>
  <w:footnote w:type="continuationSeparator" w:id="0">
    <w:p w:rsidR="00094510" w:rsidRDefault="00094510">
      <w:r>
        <w:continuationSeparator/>
      </w:r>
    </w:p>
  </w:footnote>
  <w:footnote w:id="1">
    <w:p w:rsidR="00094510" w:rsidRPr="00D50616" w:rsidRDefault="00094510" w:rsidP="00CC6254">
      <w:pPr>
        <w:pStyle w:val="FootnoteText"/>
        <w:rPr>
          <w:lang w:val="fr-CH"/>
        </w:rPr>
      </w:pPr>
      <w:r>
        <w:rPr>
          <w:rStyle w:val="FootnoteReference"/>
        </w:rPr>
        <w:t>*</w:t>
      </w:r>
      <w:r>
        <w:tab/>
        <w:t>Conformément au Règlement des radiocommunications (édition de 2008), des bandes sont attribuées à partir de 9 kHz. Toutefois, le système dont il est question dans la présente Recommandation fonctionne entre 8,3 kHz et 11,3 kHz.</w:t>
      </w:r>
    </w:p>
  </w:footnote>
  <w:footnote w:id="2">
    <w:p w:rsidR="00094510" w:rsidRPr="004F1093" w:rsidRDefault="00094510" w:rsidP="00CC6254">
      <w:pPr>
        <w:pStyle w:val="FootnoteText"/>
      </w:pPr>
      <w:r>
        <w:rPr>
          <w:rStyle w:val="FootnoteReference"/>
        </w:rPr>
        <w:footnoteRef/>
      </w:r>
      <w:r w:rsidRPr="00FC2DAA">
        <w:tab/>
        <w:t>* Sferic: Signal électromagnétique généré par un éclair (abréviation de radio-atmosphérique)</w:t>
      </w:r>
      <w:r>
        <w:t xml:space="preserve"> (signaux siffleurs)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510" w:rsidRDefault="0009451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510" w:rsidRDefault="00094510" w:rsidP="00D2153E">
    <w:pPr>
      <w:pStyle w:val="Header"/>
      <w:ind w:right="360" w:firstLine="360"/>
    </w:pPr>
    <w:r>
      <w:rPr>
        <w:noProof/>
        <w:lang w:val="en-US" w:eastAsia="zh-CN"/>
      </w:rPr>
      <w:drawing>
        <wp:anchor distT="0" distB="0" distL="114300" distR="114300" simplePos="0" relativeHeight="251658240" behindDoc="1" locked="0" layoutInCell="1" allowOverlap="1" wp14:anchorId="37DF8553" wp14:editId="150A8C16">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510" w:rsidRPr="00837CB5" w:rsidRDefault="00094510">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2128B6">
      <w:rPr>
        <w:rStyle w:val="PageNumber"/>
        <w:b/>
        <w:bCs/>
        <w:noProof/>
      </w:rPr>
      <w:t>ii</w:t>
    </w:r>
    <w:r>
      <w:rPr>
        <w:rStyle w:val="PageNumber"/>
        <w:b/>
        <w:bCs/>
      </w:rPr>
      <w:fldChar w:fldCharType="end"/>
    </w:r>
    <w:r w:rsidRPr="00837CB5">
      <w:tab/>
    </w:r>
    <w:fldSimple w:instr=" DOCPROPERTY &quot;Header&quot; \* MERGEFORMAT ">
      <w:r w:rsidR="0074770C" w:rsidRPr="0074770C">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2128B6">
      <w:rPr>
        <w:b/>
        <w:bCs/>
        <w:noProof/>
      </w:rPr>
      <w:t>UIT-R  RS.1881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510" w:rsidRDefault="00094510" w:rsidP="00D2153E">
    <w:pPr>
      <w:pStyle w:val="Header"/>
    </w:pPr>
    <w:r>
      <w:tab/>
    </w:r>
    <w:fldSimple w:instr=" DOCPROPERTY &quot;Header&quot; \* MERGEFORMAT ">
      <w:r w:rsidR="0074770C" w:rsidRPr="0074770C">
        <w:rPr>
          <w:b/>
          <w:bCs/>
        </w:rPr>
        <w:t xml:space="preserve">Rec. </w:t>
      </w:r>
    </w:fldSimple>
    <w:r>
      <w:rPr>
        <w:b/>
        <w:bCs/>
      </w:rPr>
      <w:t xml:space="preserve"> UIT-R  RS.1813-1</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510" w:rsidRDefault="0009451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128B6">
      <w:rPr>
        <w:rStyle w:val="PageNumber"/>
        <w:b/>
        <w:bCs/>
        <w:noProof/>
        <w:lang w:val="en-US"/>
      </w:rPr>
      <w:t>6</w:t>
    </w:r>
    <w:r>
      <w:rPr>
        <w:rStyle w:val="PageNumber"/>
        <w:b/>
        <w:bCs/>
      </w:rPr>
      <w:fldChar w:fldCharType="end"/>
    </w:r>
    <w:r>
      <w:rPr>
        <w:lang w:val="en-US"/>
      </w:rPr>
      <w:tab/>
    </w:r>
    <w:fldSimple w:instr=" DOCPROPERTY &quot;Header&quot; \* MERGEFORMAT ">
      <w:r w:rsidR="0074770C" w:rsidRPr="0074770C">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2128B6">
      <w:rPr>
        <w:b/>
        <w:bCs/>
        <w:noProof/>
      </w:rPr>
      <w:t>UIT-R  RS.1881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510" w:rsidRDefault="00094510">
    <w:pPr>
      <w:pStyle w:val="Header"/>
    </w:pPr>
    <w:r>
      <w:tab/>
    </w:r>
    <w:fldSimple w:instr=" DOCPROPERTY &quot;Header&quot; \* MERGEFORMAT ">
      <w:r w:rsidR="0074770C" w:rsidRPr="0074770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128B6">
      <w:rPr>
        <w:b/>
        <w:bCs/>
        <w:noProof/>
      </w:rPr>
      <w:t>UIT-R  RS.1881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128B6">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6254"/>
    <w:rsid w:val="00094510"/>
    <w:rsid w:val="000F0175"/>
    <w:rsid w:val="002128B6"/>
    <w:rsid w:val="00217EBF"/>
    <w:rsid w:val="002D76C4"/>
    <w:rsid w:val="003E54EE"/>
    <w:rsid w:val="004041C1"/>
    <w:rsid w:val="0043611E"/>
    <w:rsid w:val="004526CB"/>
    <w:rsid w:val="0051207D"/>
    <w:rsid w:val="005553A1"/>
    <w:rsid w:val="00607D68"/>
    <w:rsid w:val="007468DA"/>
    <w:rsid w:val="0074770C"/>
    <w:rsid w:val="00752335"/>
    <w:rsid w:val="00A6617B"/>
    <w:rsid w:val="00AB0DC8"/>
    <w:rsid w:val="00B44E24"/>
    <w:rsid w:val="00CC6254"/>
    <w:rsid w:val="00D2153E"/>
    <w:rsid w:val="00DF4176"/>
    <w:rsid w:val="00E65EA0"/>
    <w:rsid w:val="00F334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C6254"/>
    <w:rPr>
      <w:color w:val="0000FF"/>
      <w:u w:val="single"/>
    </w:rPr>
  </w:style>
  <w:style w:type="character" w:customStyle="1" w:styleId="FootnoteTextChar">
    <w:name w:val="Footnote Text Char"/>
    <w:basedOn w:val="DefaultParagraphFont"/>
    <w:link w:val="FootnoteText"/>
    <w:rsid w:val="00CC6254"/>
    <w:rPr>
      <w:sz w:val="22"/>
      <w:lang w:val="fr-FR" w:eastAsia="en-US"/>
    </w:rPr>
  </w:style>
  <w:style w:type="character" w:customStyle="1" w:styleId="TabletitleChar">
    <w:name w:val="Table_title Char"/>
    <w:basedOn w:val="DefaultParagraphFont"/>
    <w:link w:val="Tabletitle"/>
    <w:locked/>
    <w:rsid w:val="00CC6254"/>
    <w:rPr>
      <w:b/>
      <w:sz w:val="24"/>
      <w:lang w:val="fr-FR" w:eastAsia="en-US"/>
    </w:rPr>
  </w:style>
  <w:style w:type="character" w:customStyle="1" w:styleId="FiguretitleChar">
    <w:name w:val="Figure_title Char"/>
    <w:basedOn w:val="DefaultParagraphFont"/>
    <w:link w:val="Figuretitle"/>
    <w:locked/>
    <w:rsid w:val="00CC6254"/>
    <w:rPr>
      <w:rFonts w:ascii="Times New Roman Bold" w:hAnsi="Times New Roman Bold"/>
      <w:b/>
      <w:sz w:val="18"/>
      <w:lang w:val="fr-FR" w:eastAsia="en-US"/>
    </w:rPr>
  </w:style>
  <w:style w:type="character" w:customStyle="1" w:styleId="TabletextChar">
    <w:name w:val="Table_text Char"/>
    <w:basedOn w:val="DefaultParagraphFont"/>
    <w:link w:val="Tabletext"/>
    <w:locked/>
    <w:rsid w:val="00CC6254"/>
    <w:rPr>
      <w:sz w:val="22"/>
      <w:lang w:val="fr-FR" w:eastAsia="en-US"/>
    </w:rPr>
  </w:style>
  <w:style w:type="character" w:customStyle="1" w:styleId="CallChar">
    <w:name w:val="Call Char"/>
    <w:basedOn w:val="DefaultParagraphFont"/>
    <w:link w:val="Call"/>
    <w:locked/>
    <w:rsid w:val="00CC6254"/>
    <w:rPr>
      <w:i/>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C6254"/>
    <w:rPr>
      <w:color w:val="0000FF"/>
      <w:u w:val="single"/>
    </w:rPr>
  </w:style>
  <w:style w:type="character" w:customStyle="1" w:styleId="FootnoteTextChar">
    <w:name w:val="Footnote Text Char"/>
    <w:basedOn w:val="DefaultParagraphFont"/>
    <w:link w:val="FootnoteText"/>
    <w:rsid w:val="00CC6254"/>
    <w:rPr>
      <w:sz w:val="22"/>
      <w:lang w:val="fr-FR" w:eastAsia="en-US"/>
    </w:rPr>
  </w:style>
  <w:style w:type="character" w:customStyle="1" w:styleId="TabletitleChar">
    <w:name w:val="Table_title Char"/>
    <w:basedOn w:val="DefaultParagraphFont"/>
    <w:link w:val="Tabletitle"/>
    <w:locked/>
    <w:rsid w:val="00CC6254"/>
    <w:rPr>
      <w:b/>
      <w:sz w:val="24"/>
      <w:lang w:val="fr-FR" w:eastAsia="en-US"/>
    </w:rPr>
  </w:style>
  <w:style w:type="character" w:customStyle="1" w:styleId="FiguretitleChar">
    <w:name w:val="Figure_title Char"/>
    <w:basedOn w:val="DefaultParagraphFont"/>
    <w:link w:val="Figuretitle"/>
    <w:locked/>
    <w:rsid w:val="00CC6254"/>
    <w:rPr>
      <w:rFonts w:ascii="Times New Roman Bold" w:hAnsi="Times New Roman Bold"/>
      <w:b/>
      <w:sz w:val="18"/>
      <w:lang w:val="fr-FR" w:eastAsia="en-US"/>
    </w:rPr>
  </w:style>
  <w:style w:type="character" w:customStyle="1" w:styleId="TabletextChar">
    <w:name w:val="Table_text Char"/>
    <w:basedOn w:val="DefaultParagraphFont"/>
    <w:link w:val="Tabletext"/>
    <w:locked/>
    <w:rsid w:val="00CC6254"/>
    <w:rPr>
      <w:sz w:val="22"/>
      <w:lang w:val="fr-FR" w:eastAsia="en-US"/>
    </w:rPr>
  </w:style>
  <w:style w:type="character" w:customStyle="1" w:styleId="CallChar">
    <w:name w:val="Call Char"/>
    <w:basedOn w:val="DefaultParagraphFont"/>
    <w:link w:val="Call"/>
    <w:locked/>
    <w:rsid w:val="00CC6254"/>
    <w:rPr>
      <w: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 Type="http://schemas.microsoft.com/office/2007/relationships/stylesWithEffects" Target="stylesWithEffects.xml"/><Relationship Id="rId16" Type="http://schemas.openxmlformats.org/officeDocument/2006/relationships/oleObject" Target="embeddings/oleObject2.bin"/><Relationship Id="rId20" Type="http://schemas.openxmlformats.org/officeDocument/2006/relationships/header" Target="header6.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yperlink" Target="http://www.itu.int/publ/R-REC/fr" TargetMode="Externa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232</TotalTime>
  <Pages>9</Pages>
  <Words>2030</Words>
  <Characters>11117</Characters>
  <Application>Microsoft Office Word</Application>
  <DocSecurity>0</DocSecurity>
  <Lines>336</Lines>
  <Paragraphs>49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12</cp:revision>
  <cp:lastPrinted>2005-02-10T15:54:00Z</cp:lastPrinted>
  <dcterms:created xsi:type="dcterms:W3CDTF">2011-05-02T08:25:00Z</dcterms:created>
  <dcterms:modified xsi:type="dcterms:W3CDTF">2011-06-03T12:12:00Z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