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06441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06441E">
              <w:rPr>
                <w:rFonts w:ascii="Tahoma" w:hAnsi="Tahoma" w:cs="Tahoma"/>
                <w:b/>
                <w:bCs/>
                <w:iCs/>
                <w:color w:val="243285"/>
                <w:sz w:val="36"/>
                <w:szCs w:val="36"/>
                <w:lang w:val="es-ES_tradnl"/>
              </w:rPr>
              <w:t>1858</w:t>
            </w:r>
          </w:p>
          <w:p w:rsidR="00B1717A" w:rsidRPr="0010336F" w:rsidRDefault="00B1717A" w:rsidP="0006441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6441E">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06441E">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1717A" w:rsidRPr="0088795E"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06441E" w:rsidP="0006441E">
            <w:pPr>
              <w:spacing w:before="80" w:line="500" w:lineRule="exact"/>
              <w:jc w:val="right"/>
              <w:rPr>
                <w:rFonts w:ascii="Tahoma" w:hAnsi="Tahoma" w:cs="Tahoma"/>
                <w:b/>
                <w:bCs/>
                <w:color w:val="243285"/>
                <w:sz w:val="44"/>
                <w:szCs w:val="44"/>
                <w:lang w:val="es-ES_tradnl"/>
              </w:rPr>
            </w:pPr>
            <w:r w:rsidRPr="0006441E">
              <w:rPr>
                <w:rFonts w:ascii="Tahoma" w:hAnsi="Tahoma" w:cs="Tahoma"/>
                <w:b/>
                <w:bCs/>
                <w:iCs/>
                <w:color w:val="243285"/>
                <w:sz w:val="44"/>
                <w:szCs w:val="44"/>
                <w:lang w:val="es-ES_tradnl"/>
              </w:rPr>
              <w:t xml:space="preserve">Caracterización y evaluación de la interferencia combinada causada </w:t>
            </w:r>
            <w:r>
              <w:rPr>
                <w:rFonts w:ascii="Tahoma" w:hAnsi="Tahoma" w:cs="Tahoma"/>
                <w:b/>
                <w:bCs/>
                <w:iCs/>
                <w:color w:val="243285"/>
                <w:sz w:val="44"/>
                <w:szCs w:val="44"/>
                <w:lang w:val="es-ES_tradnl"/>
              </w:rPr>
              <w:t>a</w:t>
            </w:r>
            <w:r w:rsidRPr="0006441E">
              <w:rPr>
                <w:rFonts w:ascii="Tahoma" w:hAnsi="Tahoma" w:cs="Tahoma"/>
                <w:b/>
                <w:bCs/>
                <w:iCs/>
                <w:color w:val="243285"/>
                <w:sz w:val="44"/>
                <w:szCs w:val="44"/>
                <w:lang w:val="es-ES_tradnl"/>
              </w:rPr>
              <w:t xml:space="preserve"> los sensores del servicio de exploración de la tierra por satélite (pasivo) por múltiples</w:t>
            </w:r>
            <w:r w:rsidRPr="0006441E">
              <w:rPr>
                <w:rFonts w:ascii="Tahoma" w:hAnsi="Tahoma" w:cs="Tahoma"/>
                <w:b/>
                <w:bCs/>
                <w:iCs/>
                <w:color w:val="243285"/>
                <w:sz w:val="44"/>
                <w:szCs w:val="44"/>
                <w:lang w:val="es-ES_tradnl"/>
              </w:rPr>
              <w:br/>
              <w:t>fuentes de emisiones artificiales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88795E"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E71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p>
          <w:p w:rsidR="00B1717A" w:rsidRPr="0010336F" w:rsidRDefault="00DE71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88795E"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88795E"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88795E"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88795E"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E71F7">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88795E" w:rsidTr="00DE71F7">
        <w:tc>
          <w:tcPr>
            <w:tcW w:w="1140" w:type="dxa"/>
            <w:tcBorders>
              <w:top w:val="nil"/>
              <w:bottom w:val="nil"/>
            </w:tcBorders>
            <w:shd w:val="clear" w:color="auto" w:fill="F3F3F3"/>
          </w:tcPr>
          <w:p w:rsidR="00B1717A" w:rsidRPr="00DE71F7" w:rsidRDefault="00B1717A" w:rsidP="00D62884">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B1717A" w:rsidRPr="00036EE3" w:rsidTr="00DE71F7">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88795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88795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88795E"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72628">
      <w:pPr>
        <w:spacing w:before="0" w:after="40"/>
        <w:jc w:val="right"/>
        <w:rPr>
          <w:sz w:val="20"/>
          <w:lang w:val="es-ES_tradnl"/>
        </w:rPr>
      </w:pPr>
      <w:r w:rsidRPr="00763D08">
        <w:rPr>
          <w:sz w:val="20"/>
          <w:lang w:val="es-ES_tradnl"/>
        </w:rPr>
        <w:t>Ginebra, 20</w:t>
      </w:r>
      <w:r w:rsidR="00872628">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7262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872628">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06441E" w:rsidRDefault="0006441E" w:rsidP="0006441E">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RS</w:t>
      </w:r>
      <w:r w:rsidRPr="0010336F">
        <w:rPr>
          <w:rStyle w:val="href"/>
          <w:lang w:val="es-ES_tradnl"/>
        </w:rPr>
        <w:t>.1</w:t>
      </w:r>
      <w:r w:rsidR="006D3337">
        <w:rPr>
          <w:rStyle w:val="href"/>
          <w:lang w:val="es-ES_tradnl"/>
        </w:rPr>
        <w:t>85</w:t>
      </w:r>
      <w:r>
        <w:rPr>
          <w:rStyle w:val="href"/>
          <w:lang w:val="es-ES_tradnl"/>
        </w:rPr>
        <w:t>8</w:t>
      </w:r>
    </w:p>
    <w:p w:rsidR="0006441E" w:rsidRPr="00A56509" w:rsidRDefault="0006441E" w:rsidP="00A2741D">
      <w:pPr>
        <w:pStyle w:val="Rectitle"/>
        <w:rPr>
          <w:lang w:val="es-ES_tradnl"/>
        </w:rPr>
      </w:pPr>
      <w:r w:rsidRPr="00A56509">
        <w:rPr>
          <w:lang w:val="es-ES_tradnl"/>
        </w:rPr>
        <w:t>Caracterización y evaluación de la interferencia combinada causada</w:t>
      </w:r>
      <w:r w:rsidR="00A2741D">
        <w:rPr>
          <w:lang w:val="es-ES_tradnl"/>
        </w:rPr>
        <w:t xml:space="preserve"> a los</w:t>
      </w:r>
      <w:r w:rsidR="003964AC" w:rsidRPr="00A56509">
        <w:rPr>
          <w:lang w:val="es-ES_tradnl"/>
        </w:rPr>
        <w:br/>
      </w:r>
      <w:r w:rsidRPr="00A56509">
        <w:rPr>
          <w:lang w:val="es-ES_tradnl"/>
        </w:rPr>
        <w:t xml:space="preserve">sensores del servicio de exploración de la </w:t>
      </w:r>
      <w:r w:rsidR="003964AC" w:rsidRPr="00A56509">
        <w:rPr>
          <w:lang w:val="es-ES_tradnl"/>
        </w:rPr>
        <w:t>T</w:t>
      </w:r>
      <w:r w:rsidRPr="00A56509">
        <w:rPr>
          <w:lang w:val="es-ES_tradnl"/>
        </w:rPr>
        <w:t>ierra</w:t>
      </w:r>
      <w:r w:rsidR="00A2741D">
        <w:rPr>
          <w:lang w:val="es-ES_tradnl"/>
        </w:rPr>
        <w:t xml:space="preserve"> </w:t>
      </w:r>
      <w:r w:rsidRPr="00A56509">
        <w:rPr>
          <w:lang w:val="es-ES_tradnl"/>
        </w:rPr>
        <w:t>por satélite (pasivo</w:t>
      </w:r>
      <w:r w:rsidR="00A2741D">
        <w:rPr>
          <w:lang w:val="es-ES_tradnl"/>
        </w:rPr>
        <w:t>)</w:t>
      </w:r>
      <w:r w:rsidR="00A2741D">
        <w:rPr>
          <w:lang w:val="es-ES_tradnl"/>
        </w:rPr>
        <w:br/>
      </w:r>
      <w:r w:rsidRPr="00A56509">
        <w:rPr>
          <w:lang w:val="es-ES_tradnl"/>
        </w:rPr>
        <w:t>por múltiples fuentes</w:t>
      </w:r>
      <w:r w:rsidR="00A2741D">
        <w:rPr>
          <w:lang w:val="es-ES_tradnl"/>
        </w:rPr>
        <w:t xml:space="preserve"> </w:t>
      </w:r>
      <w:r w:rsidRPr="00A56509">
        <w:rPr>
          <w:lang w:val="es-ES_tradnl"/>
        </w:rPr>
        <w:t>de emisiones artificiales</w:t>
      </w:r>
    </w:p>
    <w:p w:rsidR="0006441E" w:rsidRPr="00A56509" w:rsidRDefault="0006441E" w:rsidP="0006441E">
      <w:pPr>
        <w:pStyle w:val="Recref"/>
        <w:rPr>
          <w:lang w:val="es-ES_tradnl"/>
        </w:rPr>
      </w:pPr>
      <w:r w:rsidRPr="00A56509">
        <w:rPr>
          <w:lang w:val="es-ES_tradnl"/>
        </w:rPr>
        <w:t>(Cuestión UIT-R 243/7)</w:t>
      </w:r>
    </w:p>
    <w:p w:rsidR="0006441E" w:rsidRPr="00A56509" w:rsidRDefault="0006441E" w:rsidP="0006441E">
      <w:pPr>
        <w:pStyle w:val="Recdate"/>
        <w:rPr>
          <w:lang w:val="es-ES_tradnl"/>
        </w:rPr>
      </w:pPr>
      <w:r w:rsidRPr="00A56509">
        <w:rPr>
          <w:lang w:val="es-ES_tradnl"/>
        </w:rPr>
        <w:t>(2010)</w:t>
      </w:r>
    </w:p>
    <w:p w:rsidR="0006441E" w:rsidRPr="00A56509" w:rsidRDefault="006D3337" w:rsidP="0006441E">
      <w:pPr>
        <w:pStyle w:val="HeadingSum"/>
      </w:pPr>
      <w:r>
        <w:t>Cometido</w:t>
      </w:r>
    </w:p>
    <w:p w:rsidR="0006441E" w:rsidRPr="00A56509" w:rsidRDefault="0006441E" w:rsidP="003964AC">
      <w:pPr>
        <w:pStyle w:val="Summary"/>
      </w:pPr>
      <w:r w:rsidRPr="00A56509">
        <w:t>Esta Recomendación informa sobre la</w:t>
      </w:r>
      <w:r w:rsidR="003964AC" w:rsidRPr="00A56509">
        <w:t>s</w:t>
      </w:r>
      <w:r w:rsidRPr="00A56509">
        <w:t xml:space="preserve"> caracter</w:t>
      </w:r>
      <w:r w:rsidR="003964AC" w:rsidRPr="00A56509">
        <w:t>ísticas</w:t>
      </w:r>
      <w:r w:rsidRPr="00A56509">
        <w:t xml:space="preserve"> y </w:t>
      </w:r>
      <w:r w:rsidR="003964AC" w:rsidRPr="00A56509">
        <w:t xml:space="preserve">la </w:t>
      </w:r>
      <w:r w:rsidR="006D3337">
        <w:t>eva</w:t>
      </w:r>
      <w:r w:rsidRPr="00A56509">
        <w:t xml:space="preserve">lución de la interferencia combinada causada a </w:t>
      </w:r>
      <w:r w:rsidR="006D3337">
        <w:t>los sensores pasivos procedente</w:t>
      </w:r>
      <w:r w:rsidRPr="00A56509">
        <w:t xml:space="preserve"> de múltiples fuentes de emisiones artificiales. En primer lugar, se enumeran varias fuentes de interferencia. A continuación, se determinan los </w:t>
      </w:r>
      <w:r w:rsidR="003964AC" w:rsidRPr="00A56509">
        <w:t>parámetros</w:t>
      </w:r>
      <w:r w:rsidRPr="00A56509">
        <w:t xml:space="preserve"> estadísticos de la interferencia combinada. Por último</w:t>
      </w:r>
      <w:r w:rsidR="006D3337">
        <w:t>,</w:t>
      </w:r>
      <w:r w:rsidRPr="00A56509">
        <w:t xml:space="preserve"> se discuten los resultados de una simulación dinámica realizada para validar la metodología de combinación.</w:t>
      </w:r>
    </w:p>
    <w:p w:rsidR="0006441E" w:rsidRPr="00A56509" w:rsidRDefault="0006441E" w:rsidP="003964AC">
      <w:pPr>
        <w:pStyle w:val="Normalaftertitle"/>
        <w:rPr>
          <w:lang w:val="es-ES_tradnl"/>
        </w:rPr>
      </w:pPr>
      <w:r w:rsidRPr="00A56509">
        <w:rPr>
          <w:lang w:val="es-ES_tradnl"/>
        </w:rPr>
        <w:t xml:space="preserve">La Asamblea de </w:t>
      </w:r>
      <w:r w:rsidR="003964AC" w:rsidRPr="00A56509">
        <w:rPr>
          <w:lang w:val="es-ES_tradnl"/>
        </w:rPr>
        <w:t>R</w:t>
      </w:r>
      <w:r w:rsidRPr="00A56509">
        <w:rPr>
          <w:lang w:val="es-ES_tradnl"/>
        </w:rPr>
        <w:t>adiocomunicaciones de la UIT,</w:t>
      </w:r>
    </w:p>
    <w:p w:rsidR="0006441E" w:rsidRPr="00A56509" w:rsidRDefault="0006441E" w:rsidP="0006441E">
      <w:pPr>
        <w:pStyle w:val="Call"/>
        <w:rPr>
          <w:lang w:val="es-ES_tradnl"/>
        </w:rPr>
      </w:pPr>
      <w:r w:rsidRPr="00A56509">
        <w:rPr>
          <w:lang w:val="es-ES_tradnl"/>
        </w:rPr>
        <w:t>considerando</w:t>
      </w:r>
    </w:p>
    <w:p w:rsidR="0006441E" w:rsidRPr="00A56509" w:rsidRDefault="0006441E" w:rsidP="003964AC">
      <w:pPr>
        <w:rPr>
          <w:lang w:val="es-ES_tradnl"/>
        </w:rPr>
      </w:pPr>
      <w:r w:rsidRPr="00A56509">
        <w:rPr>
          <w:lang w:val="es-ES_tradnl"/>
        </w:rPr>
        <w:t>a)</w:t>
      </w:r>
      <w:r w:rsidRPr="00A56509">
        <w:rPr>
          <w:lang w:val="es-ES_tradnl"/>
        </w:rPr>
        <w:tab/>
        <w:t xml:space="preserve">que los sensores pasivos se utilizan en la </w:t>
      </w:r>
      <w:r w:rsidR="003964AC" w:rsidRPr="00A56509">
        <w:rPr>
          <w:lang w:val="es-ES_tradnl"/>
        </w:rPr>
        <w:t>teledetec</w:t>
      </w:r>
      <w:r w:rsidRPr="00A56509">
        <w:rPr>
          <w:lang w:val="es-ES_tradnl"/>
        </w:rPr>
        <w:t>ción</w:t>
      </w:r>
      <w:r w:rsidR="003964AC" w:rsidRPr="00A56509">
        <w:rPr>
          <w:lang w:val="es-ES_tradnl"/>
        </w:rPr>
        <w:t xml:space="preserve"> de las </w:t>
      </w:r>
      <w:r w:rsidR="00A56509" w:rsidRPr="00A56509">
        <w:rPr>
          <w:lang w:val="es-ES_tradnl"/>
        </w:rPr>
        <w:t>características</w:t>
      </w:r>
      <w:r w:rsidRPr="00A56509">
        <w:rPr>
          <w:lang w:val="es-ES_tradnl"/>
        </w:rPr>
        <w:t xml:space="preserve"> de la </w:t>
      </w:r>
      <w:r w:rsidR="003964AC" w:rsidRPr="00A56509">
        <w:rPr>
          <w:lang w:val="es-ES_tradnl"/>
        </w:rPr>
        <w:t>T</w:t>
      </w:r>
      <w:r w:rsidRPr="00A56509">
        <w:rPr>
          <w:lang w:val="es-ES_tradnl"/>
        </w:rPr>
        <w:t>ierra y su atmósfera por los satélites de exploración</w:t>
      </w:r>
      <w:r w:rsidR="003964AC" w:rsidRPr="00A56509">
        <w:rPr>
          <w:lang w:val="es-ES_tradnl"/>
        </w:rPr>
        <w:t xml:space="preserve"> de la</w:t>
      </w:r>
      <w:r w:rsidRPr="00A56509">
        <w:rPr>
          <w:lang w:val="es-ES_tradnl"/>
        </w:rPr>
        <w:t xml:space="preserve"> </w:t>
      </w:r>
      <w:r w:rsidR="003964AC" w:rsidRPr="00A56509">
        <w:rPr>
          <w:lang w:val="es-ES_tradnl"/>
        </w:rPr>
        <w:t>T</w:t>
      </w:r>
      <w:r w:rsidRPr="00A56509">
        <w:rPr>
          <w:lang w:val="es-ES_tradnl"/>
        </w:rPr>
        <w:t xml:space="preserve">ierra y </w:t>
      </w:r>
      <w:r w:rsidR="003964AC" w:rsidRPr="00A56509">
        <w:rPr>
          <w:lang w:val="es-ES_tradnl"/>
        </w:rPr>
        <w:t>de meteorología</w:t>
      </w:r>
      <w:r w:rsidRPr="00A56509">
        <w:rPr>
          <w:lang w:val="es-ES_tradnl"/>
        </w:rPr>
        <w:t xml:space="preserve"> en ciertas bandas de frecuencias atribuidas al servicio de exploración de la </w:t>
      </w:r>
      <w:r w:rsidR="006D3337" w:rsidRPr="00A56509">
        <w:rPr>
          <w:lang w:val="es-ES_tradnl"/>
        </w:rPr>
        <w:t xml:space="preserve">Tierra </w:t>
      </w:r>
      <w:r w:rsidRPr="00A56509">
        <w:rPr>
          <w:lang w:val="es-ES_tradnl"/>
        </w:rPr>
        <w:t>por satélite (SETS) (pasivo);</w:t>
      </w:r>
    </w:p>
    <w:p w:rsidR="0006441E" w:rsidRPr="00A56509" w:rsidRDefault="0006441E" w:rsidP="0006441E">
      <w:pPr>
        <w:rPr>
          <w:lang w:val="es-ES_tradnl"/>
        </w:rPr>
      </w:pPr>
      <w:r w:rsidRPr="00A56509">
        <w:rPr>
          <w:lang w:val="es-ES_tradnl"/>
        </w:rPr>
        <w:t>b)</w:t>
      </w:r>
      <w:r w:rsidRPr="00A56509">
        <w:rPr>
          <w:lang w:val="es-ES_tradnl"/>
        </w:rPr>
        <w:tab/>
        <w:t xml:space="preserve">que los productos </w:t>
      </w:r>
      <w:r w:rsidR="003964AC" w:rsidRPr="00A56509">
        <w:rPr>
          <w:lang w:val="es-ES_tradnl"/>
        </w:rPr>
        <w:t xml:space="preserve">obtenidos </w:t>
      </w:r>
      <w:r w:rsidRPr="00A56509">
        <w:rPr>
          <w:lang w:val="es-ES_tradnl"/>
        </w:rPr>
        <w:t xml:space="preserve">del funcionamiento de estos sensores pasivos son esenciales y se utilizan ampliamente para la meteorología, la climatología y otras disciplinas a efectos operacionales y científicos; </w:t>
      </w:r>
    </w:p>
    <w:p w:rsidR="0006441E" w:rsidRPr="00A56509" w:rsidRDefault="0006441E" w:rsidP="0006441E">
      <w:pPr>
        <w:rPr>
          <w:lang w:val="es-ES_tradnl"/>
        </w:rPr>
      </w:pPr>
      <w:r w:rsidRPr="00A56509">
        <w:rPr>
          <w:lang w:val="es-ES_tradnl"/>
        </w:rPr>
        <w:t>c)</w:t>
      </w:r>
      <w:r w:rsidRPr="00A56509">
        <w:rPr>
          <w:lang w:val="es-ES_tradnl"/>
        </w:rPr>
        <w:tab/>
        <w:t>que los sensores pasivos que funcionan en el SETS (pasivo) son sensibles a cualquier emisión que se produzca dentro de su banda atribuida;</w:t>
      </w:r>
    </w:p>
    <w:p w:rsidR="0006441E" w:rsidRPr="00A56509" w:rsidRDefault="0006441E" w:rsidP="0006441E">
      <w:pPr>
        <w:rPr>
          <w:lang w:val="es-ES_tradnl"/>
        </w:rPr>
      </w:pPr>
      <w:r w:rsidRPr="00A56509">
        <w:rPr>
          <w:lang w:val="es-ES_tradnl"/>
        </w:rPr>
        <w:t>d)</w:t>
      </w:r>
      <w:r w:rsidRPr="00A56509">
        <w:rPr>
          <w:lang w:val="es-ES_tradnl"/>
        </w:rPr>
        <w:tab/>
        <w:t>que todas la emisiones artificiales en bandas atribuidas al SETS (pasivo) pueden provocar una degradación en los sensores pasivos que utilizan estas bandas y, en consecuencia, pueden tener repercusiones negativas en su correcto funcionamiento;</w:t>
      </w:r>
    </w:p>
    <w:p w:rsidR="0006441E" w:rsidRPr="00A56509" w:rsidRDefault="0006441E" w:rsidP="003964AC">
      <w:pPr>
        <w:rPr>
          <w:lang w:val="es-ES_tradnl"/>
        </w:rPr>
      </w:pPr>
      <w:r w:rsidRPr="00A56509">
        <w:rPr>
          <w:lang w:val="es-ES_tradnl"/>
        </w:rPr>
        <w:t>e)</w:t>
      </w:r>
      <w:r w:rsidRPr="00A56509">
        <w:rPr>
          <w:lang w:val="es-ES_tradnl"/>
        </w:rPr>
        <w:tab/>
        <w:t xml:space="preserve">que </w:t>
      </w:r>
      <w:r w:rsidR="003964AC" w:rsidRPr="00A56509">
        <w:rPr>
          <w:lang w:val="es-ES_tradnl"/>
        </w:rPr>
        <w:t xml:space="preserve">puede que </w:t>
      </w:r>
      <w:r w:rsidRPr="00A56509">
        <w:rPr>
          <w:lang w:val="es-ES_tradnl"/>
        </w:rPr>
        <w:t>los sensores pasivos no se</w:t>
      </w:r>
      <w:r w:rsidR="003964AC" w:rsidRPr="00A56509">
        <w:rPr>
          <w:lang w:val="es-ES_tradnl"/>
        </w:rPr>
        <w:t>an</w:t>
      </w:r>
      <w:r w:rsidRPr="00A56509">
        <w:rPr>
          <w:lang w:val="es-ES_tradnl"/>
        </w:rPr>
        <w:t xml:space="preserve"> capaces de diferenciar entre emisiones naturales y emisiones artificiales</w:t>
      </w:r>
      <w:r w:rsidR="003964AC" w:rsidRPr="00A56509">
        <w:rPr>
          <w:lang w:val="es-ES_tradnl"/>
        </w:rPr>
        <w:t>, y</w:t>
      </w:r>
      <w:r w:rsidRPr="00A56509">
        <w:rPr>
          <w:lang w:val="es-ES_tradnl"/>
        </w:rPr>
        <w:t xml:space="preserve"> que la potencia de estas últimas puede que no sea identificable en los productos del sensor pasivo;</w:t>
      </w:r>
    </w:p>
    <w:p w:rsidR="0006441E" w:rsidRPr="00A56509" w:rsidRDefault="0006441E" w:rsidP="0006441E">
      <w:pPr>
        <w:rPr>
          <w:lang w:val="es-ES_tradnl"/>
        </w:rPr>
      </w:pPr>
      <w:r w:rsidRPr="00A56509">
        <w:rPr>
          <w:lang w:val="es-ES_tradnl"/>
        </w:rPr>
        <w:t>f)</w:t>
      </w:r>
      <w:r w:rsidRPr="00A56509">
        <w:rPr>
          <w:lang w:val="es-ES_tradnl"/>
        </w:rPr>
        <w:tab/>
        <w:t>que es necesario caracterizar las fuentes de degradación de los sensores pasivos;</w:t>
      </w:r>
    </w:p>
    <w:p w:rsidR="0006441E" w:rsidRPr="00A56509" w:rsidRDefault="0006441E" w:rsidP="0006441E">
      <w:pPr>
        <w:rPr>
          <w:lang w:val="es-ES_tradnl"/>
        </w:rPr>
      </w:pPr>
      <w:r w:rsidRPr="00A56509">
        <w:rPr>
          <w:lang w:val="es-ES_tradnl"/>
        </w:rPr>
        <w:t>g)</w:t>
      </w:r>
      <w:r w:rsidRPr="00A56509">
        <w:rPr>
          <w:lang w:val="es-ES_tradnl"/>
        </w:rPr>
        <w:tab/>
        <w:t>que es necesario elaborar metodologías adecuadas para evaluar la repercusión combinada de la interferencia causada al funcionamiento de los sensores pasivos,</w:t>
      </w:r>
    </w:p>
    <w:p w:rsidR="0006441E" w:rsidRPr="00A56509" w:rsidRDefault="0006441E" w:rsidP="0006441E">
      <w:pPr>
        <w:pStyle w:val="Call"/>
        <w:rPr>
          <w:lang w:val="es-ES_tradnl"/>
        </w:rPr>
      </w:pPr>
      <w:r w:rsidRPr="00A56509">
        <w:rPr>
          <w:lang w:val="es-ES_tradnl"/>
        </w:rPr>
        <w:t>observando</w:t>
      </w:r>
    </w:p>
    <w:p w:rsidR="0006441E" w:rsidRPr="00A56509" w:rsidRDefault="0006441E" w:rsidP="003964AC">
      <w:pPr>
        <w:rPr>
          <w:lang w:val="es-ES_tradnl"/>
        </w:rPr>
      </w:pPr>
      <w:r w:rsidRPr="00A56509">
        <w:rPr>
          <w:lang w:val="es-ES_tradnl"/>
        </w:rPr>
        <w:t>a)</w:t>
      </w:r>
      <w:r w:rsidRPr="00A56509">
        <w:rPr>
          <w:lang w:val="es-ES_tradnl"/>
        </w:rPr>
        <w:tab/>
        <w:t>que las Recomendaciones</w:t>
      </w:r>
      <w:r w:rsidR="003964AC" w:rsidRPr="00A56509">
        <w:rPr>
          <w:lang w:val="es-ES_tradnl"/>
        </w:rPr>
        <w:t xml:space="preserve"> </w:t>
      </w:r>
      <w:r w:rsidRPr="00A56509">
        <w:rPr>
          <w:lang w:val="es-ES_tradnl"/>
        </w:rPr>
        <w:t xml:space="preserve">UIT-R RS.515, RS.1028 y RS.1029 proporcionan las características </w:t>
      </w:r>
      <w:r w:rsidR="003964AC" w:rsidRPr="00A56509">
        <w:rPr>
          <w:lang w:val="es-ES_tradnl"/>
        </w:rPr>
        <w:t>operacionales generales</w:t>
      </w:r>
      <w:r w:rsidRPr="00A56509">
        <w:rPr>
          <w:lang w:val="es-ES_tradnl"/>
        </w:rPr>
        <w:t>, la calidad de funcionamiento y los criterios de protección del SETS (pasivo);</w:t>
      </w:r>
    </w:p>
    <w:p w:rsidR="0006441E" w:rsidRPr="00A56509" w:rsidRDefault="0006441E" w:rsidP="003964AC">
      <w:pPr>
        <w:rPr>
          <w:lang w:val="es-ES_tradnl"/>
        </w:rPr>
      </w:pPr>
      <w:r w:rsidRPr="00A56509">
        <w:rPr>
          <w:lang w:val="es-ES_tradnl"/>
        </w:rPr>
        <w:t>b)</w:t>
      </w:r>
      <w:r w:rsidRPr="00A56509">
        <w:rPr>
          <w:lang w:val="es-ES_tradnl"/>
        </w:rPr>
        <w:tab/>
        <w:t>que la Recomendación</w:t>
      </w:r>
      <w:r w:rsidR="003964AC" w:rsidRPr="00A56509">
        <w:rPr>
          <w:lang w:val="es-ES_tradnl"/>
        </w:rPr>
        <w:t xml:space="preserve"> </w:t>
      </w:r>
      <w:r w:rsidRPr="00A56509">
        <w:rPr>
          <w:lang w:val="es-ES_tradnl"/>
        </w:rPr>
        <w:t xml:space="preserve">UIT-R SM.1633 considera la influencia de las emisiones artificiales en el SETS (pasivo) en </w:t>
      </w:r>
      <w:r w:rsidR="003964AC" w:rsidRPr="00A56509">
        <w:rPr>
          <w:lang w:val="es-ES_tradnl"/>
        </w:rPr>
        <w:t>algun</w:t>
      </w:r>
      <w:r w:rsidRPr="00A56509">
        <w:rPr>
          <w:lang w:val="es-ES_tradnl"/>
        </w:rPr>
        <w:t xml:space="preserve">as bandas </w:t>
      </w:r>
      <w:r w:rsidR="003964AC" w:rsidRPr="00A56509">
        <w:rPr>
          <w:lang w:val="es-ES_tradnl"/>
        </w:rPr>
        <w:t>de</w:t>
      </w:r>
      <w:r w:rsidRPr="00A56509">
        <w:rPr>
          <w:lang w:val="es-ES_tradnl"/>
        </w:rPr>
        <w:t xml:space="preserve"> la gama de 1,4</w:t>
      </w:r>
      <w:r w:rsidR="003964AC" w:rsidRPr="00A56509">
        <w:rPr>
          <w:lang w:val="es-ES_tradnl"/>
        </w:rPr>
        <w:t>-</w:t>
      </w:r>
      <w:r w:rsidRPr="00A56509">
        <w:rPr>
          <w:lang w:val="es-ES_tradnl"/>
        </w:rPr>
        <w:t>60 GHz</w:t>
      </w:r>
      <w:r w:rsidR="003964AC" w:rsidRPr="00A56509">
        <w:rPr>
          <w:lang w:val="es-ES_tradnl"/>
        </w:rPr>
        <w:t>,</w:t>
      </w:r>
      <w:r w:rsidRPr="00A56509">
        <w:rPr>
          <w:lang w:val="es-ES_tradnl"/>
        </w:rPr>
        <w:t xml:space="preserve"> resultante de ciertos servicios activos en bandas adyacentes o cercanas específicas;</w:t>
      </w:r>
    </w:p>
    <w:p w:rsidR="0006441E" w:rsidRPr="00A56509" w:rsidRDefault="0006441E" w:rsidP="0006441E">
      <w:pPr>
        <w:rPr>
          <w:lang w:val="es-ES_tradnl"/>
        </w:rPr>
      </w:pPr>
      <w:r w:rsidRPr="00A56509">
        <w:rPr>
          <w:lang w:val="es-ES_tradnl"/>
        </w:rPr>
        <w:t>c)</w:t>
      </w:r>
      <w:r w:rsidRPr="00A56509">
        <w:rPr>
          <w:lang w:val="es-ES_tradnl"/>
        </w:rPr>
        <w:tab/>
      </w:r>
      <w:r w:rsidR="003964AC" w:rsidRPr="00A56509">
        <w:rPr>
          <w:lang w:val="es-ES_tradnl"/>
        </w:rPr>
        <w:t>q</w:t>
      </w:r>
      <w:r w:rsidRPr="00A56509">
        <w:rPr>
          <w:lang w:val="es-ES_tradnl"/>
        </w:rPr>
        <w:t>ue la Recomendación UIT-R SM.1542 proporciona cierta información sobre técnicas que pueden utilizar los sensores del SETS (pasivo) para reducir los efectos de las emisiones no deseadas,</w:t>
      </w:r>
    </w:p>
    <w:p w:rsidR="0006441E" w:rsidRPr="00A56509" w:rsidRDefault="0006441E" w:rsidP="0006441E">
      <w:pPr>
        <w:pStyle w:val="Call"/>
        <w:rPr>
          <w:lang w:val="es-ES_tradnl"/>
        </w:rPr>
      </w:pPr>
      <w:r w:rsidRPr="00A56509">
        <w:rPr>
          <w:lang w:val="es-ES_tradnl"/>
        </w:rPr>
        <w:lastRenderedPageBreak/>
        <w:t>recomienda</w:t>
      </w:r>
    </w:p>
    <w:p w:rsidR="0006441E" w:rsidRPr="00A56509" w:rsidRDefault="0006441E" w:rsidP="003964AC">
      <w:pPr>
        <w:rPr>
          <w:lang w:val="es-ES_tradnl"/>
        </w:rPr>
      </w:pPr>
      <w:r w:rsidRPr="00A56509">
        <w:rPr>
          <w:b/>
          <w:lang w:val="es-ES_tradnl"/>
        </w:rPr>
        <w:t>1</w:t>
      </w:r>
      <w:r w:rsidRPr="00A56509">
        <w:rPr>
          <w:lang w:val="es-ES_tradnl"/>
        </w:rPr>
        <w:tab/>
        <w:t>que se utili</w:t>
      </w:r>
      <w:r w:rsidR="003964AC" w:rsidRPr="00A56509">
        <w:rPr>
          <w:lang w:val="es-ES_tradnl"/>
        </w:rPr>
        <w:t>ce</w:t>
      </w:r>
      <w:r w:rsidRPr="00A56509">
        <w:rPr>
          <w:lang w:val="es-ES_tradnl"/>
        </w:rPr>
        <w:t xml:space="preserve"> la metodología descrita en el Anexo 1 para evaluar la interferencia combinada causada a los sensores pasivos procedente de fuentes múltiples de emisiones artificiales.</w:t>
      </w:r>
    </w:p>
    <w:p w:rsidR="0006441E" w:rsidRDefault="0006441E" w:rsidP="0006441E">
      <w:pPr>
        <w:rPr>
          <w:lang w:val="es-ES_tradnl"/>
        </w:rPr>
      </w:pPr>
    </w:p>
    <w:p w:rsidR="00A2741D" w:rsidRDefault="00A2741D" w:rsidP="0006441E">
      <w:pPr>
        <w:rPr>
          <w:lang w:val="es-ES_tradnl"/>
        </w:rPr>
      </w:pPr>
    </w:p>
    <w:p w:rsidR="00D41B00" w:rsidRPr="00A56509" w:rsidRDefault="00D41B00" w:rsidP="0006441E">
      <w:pPr>
        <w:rPr>
          <w:lang w:val="es-ES_tradnl"/>
        </w:rPr>
      </w:pPr>
    </w:p>
    <w:p w:rsidR="0006441E" w:rsidRPr="00A56509" w:rsidRDefault="0006441E" w:rsidP="0006441E">
      <w:pPr>
        <w:rPr>
          <w:lang w:val="es-ES_tradnl"/>
        </w:rPr>
      </w:pPr>
    </w:p>
    <w:p w:rsidR="0006441E" w:rsidRPr="00A56509" w:rsidRDefault="0006441E" w:rsidP="001133E7">
      <w:pPr>
        <w:pStyle w:val="AnnexNoTitle"/>
        <w:rPr>
          <w:lang w:val="es-ES_tradnl"/>
        </w:rPr>
      </w:pPr>
      <w:r w:rsidRPr="00A56509">
        <w:rPr>
          <w:lang w:val="es-ES_tradnl"/>
        </w:rPr>
        <w:t>Anexo 1</w:t>
      </w:r>
      <w:r w:rsidRPr="00A56509">
        <w:rPr>
          <w:lang w:val="es-ES_tradnl"/>
        </w:rPr>
        <w:br/>
      </w:r>
      <w:r w:rsidRPr="00A56509">
        <w:rPr>
          <w:lang w:val="es-ES_tradnl"/>
        </w:rPr>
        <w:br/>
        <w:t>Caracterización de la interferencia causada a los sensores</w:t>
      </w:r>
      <w:r w:rsidR="001133E7">
        <w:rPr>
          <w:lang w:val="es-ES_tradnl"/>
        </w:rPr>
        <w:t xml:space="preserve"> </w:t>
      </w:r>
      <w:r w:rsidRPr="00A56509">
        <w:rPr>
          <w:lang w:val="es-ES_tradnl"/>
        </w:rPr>
        <w:t>del SETS (pasivo)</w:t>
      </w:r>
      <w:r w:rsidR="001133E7">
        <w:rPr>
          <w:lang w:val="es-ES_tradnl"/>
        </w:rPr>
        <w:br/>
      </w:r>
      <w:r w:rsidRPr="00A56509">
        <w:rPr>
          <w:lang w:val="es-ES_tradnl"/>
        </w:rPr>
        <w:t>por múltiples fuentes de emisiones</w:t>
      </w:r>
      <w:r w:rsidR="001133E7">
        <w:rPr>
          <w:lang w:val="es-ES_tradnl"/>
        </w:rPr>
        <w:t xml:space="preserve"> </w:t>
      </w:r>
      <w:r w:rsidRPr="00A56509">
        <w:rPr>
          <w:lang w:val="es-ES_tradnl"/>
        </w:rPr>
        <w:t>artificiales</w:t>
      </w:r>
      <w:r w:rsidR="001133E7">
        <w:rPr>
          <w:lang w:val="es-ES_tradnl"/>
        </w:rPr>
        <w:t xml:space="preserve"> </w:t>
      </w:r>
      <w:r w:rsidR="003964AC" w:rsidRPr="00A56509">
        <w:rPr>
          <w:lang w:val="es-ES_tradnl"/>
        </w:rPr>
        <w:t>y</w:t>
      </w:r>
      <w:r w:rsidR="001133E7">
        <w:rPr>
          <w:lang w:val="es-ES_tradnl"/>
        </w:rPr>
        <w:br/>
      </w:r>
      <w:r w:rsidRPr="00A56509">
        <w:rPr>
          <w:lang w:val="es-ES_tradnl"/>
        </w:rPr>
        <w:t>metodología</w:t>
      </w:r>
      <w:r w:rsidR="001133E7">
        <w:rPr>
          <w:lang w:val="es-ES_tradnl"/>
        </w:rPr>
        <w:t xml:space="preserve"> </w:t>
      </w:r>
      <w:r w:rsidRPr="00A56509">
        <w:rPr>
          <w:lang w:val="es-ES_tradnl"/>
        </w:rPr>
        <w:t>para evaluar la interferencia</w:t>
      </w:r>
    </w:p>
    <w:p w:rsidR="0006441E" w:rsidRPr="00A56509" w:rsidRDefault="0006441E" w:rsidP="0006441E">
      <w:pPr>
        <w:pStyle w:val="Heading1"/>
        <w:rPr>
          <w:lang w:val="es-ES_tradnl"/>
        </w:rPr>
      </w:pPr>
      <w:r w:rsidRPr="00A56509">
        <w:rPr>
          <w:lang w:val="es-ES_tradnl"/>
        </w:rPr>
        <w:t>1</w:t>
      </w:r>
      <w:r w:rsidRPr="00A56509">
        <w:rPr>
          <w:lang w:val="es-ES_tradnl"/>
        </w:rPr>
        <w:tab/>
        <w:t>Introducción</w:t>
      </w:r>
    </w:p>
    <w:p w:rsidR="0006441E" w:rsidRPr="00A56509" w:rsidRDefault="0006441E" w:rsidP="003964AC">
      <w:pPr>
        <w:rPr>
          <w:lang w:val="es-ES_tradnl"/>
        </w:rPr>
      </w:pPr>
      <w:r w:rsidRPr="00A56509">
        <w:rPr>
          <w:lang w:val="es-ES_tradnl"/>
        </w:rPr>
        <w:t>El sensor del SETS (pasivo) es fundamentalmente un radiómetro diseñado para medir emisiones naturales en la gama de frecuencias de interés. Los sensores del SETS (pasivo) son vulnerables a la potencia</w:t>
      </w:r>
      <w:r w:rsidR="003964AC" w:rsidRPr="00A56509">
        <w:rPr>
          <w:lang w:val="es-ES_tradnl"/>
        </w:rPr>
        <w:t>s</w:t>
      </w:r>
      <w:r w:rsidRPr="00A56509">
        <w:rPr>
          <w:lang w:val="es-ES_tradnl"/>
        </w:rPr>
        <w:t xml:space="preserve"> de la</w:t>
      </w:r>
      <w:r w:rsidR="003964AC" w:rsidRPr="00A56509">
        <w:rPr>
          <w:lang w:val="es-ES_tradnl"/>
        </w:rPr>
        <w:t>s</w:t>
      </w:r>
      <w:r w:rsidRPr="00A56509">
        <w:rPr>
          <w:lang w:val="es-ES_tradnl"/>
        </w:rPr>
        <w:t xml:space="preserve"> emisi</w:t>
      </w:r>
      <w:r w:rsidR="003964AC" w:rsidRPr="00A56509">
        <w:rPr>
          <w:lang w:val="es-ES_tradnl"/>
        </w:rPr>
        <w:t>ones</w:t>
      </w:r>
      <w:r w:rsidRPr="00A56509">
        <w:rPr>
          <w:lang w:val="es-ES_tradnl"/>
        </w:rPr>
        <w:t xml:space="preserve"> procedente</w:t>
      </w:r>
      <w:r w:rsidR="003964AC" w:rsidRPr="00A56509">
        <w:rPr>
          <w:lang w:val="es-ES_tradnl"/>
        </w:rPr>
        <w:t>s</w:t>
      </w:r>
      <w:r w:rsidRPr="00A56509">
        <w:rPr>
          <w:lang w:val="es-ES_tradnl"/>
        </w:rPr>
        <w:t xml:space="preserve"> de transmisores terrenales, incluidos los transmisores aislados de alta potencia, y de las emisiones combinadas</w:t>
      </w:r>
      <w:r w:rsidR="003964AC" w:rsidRPr="00A56509">
        <w:rPr>
          <w:lang w:val="es-ES_tradnl"/>
        </w:rPr>
        <w:t xml:space="preserve"> procedentes</w:t>
      </w:r>
      <w:r w:rsidRPr="00A56509">
        <w:rPr>
          <w:lang w:val="es-ES_tradnl"/>
        </w:rPr>
        <w:t xml:space="preserve"> de transmisores de baja potencia </w:t>
      </w:r>
      <w:r w:rsidR="003964AC" w:rsidRPr="00A56509">
        <w:rPr>
          <w:lang w:val="es-ES_tradnl"/>
        </w:rPr>
        <w:t>con una alta densidad de instalación</w:t>
      </w:r>
      <w:r w:rsidRPr="00A56509">
        <w:rPr>
          <w:lang w:val="es-ES_tradnl"/>
        </w:rPr>
        <w:t xml:space="preserve">. </w:t>
      </w:r>
      <w:r w:rsidR="003964AC" w:rsidRPr="00A56509">
        <w:rPr>
          <w:lang w:val="es-ES_tradnl"/>
        </w:rPr>
        <w:t>Las transmisiones procedentes de l</w:t>
      </w:r>
      <w:r w:rsidRPr="00A56509">
        <w:rPr>
          <w:lang w:val="es-ES_tradnl"/>
        </w:rPr>
        <w:t xml:space="preserve">os transmisores a bordo de vehículos espaciales pueden </w:t>
      </w:r>
      <w:r w:rsidR="003964AC" w:rsidRPr="00A56509">
        <w:rPr>
          <w:lang w:val="es-ES_tradnl"/>
        </w:rPr>
        <w:t>añadirse</w:t>
      </w:r>
      <w:r w:rsidRPr="00A56509">
        <w:rPr>
          <w:lang w:val="es-ES_tradnl"/>
        </w:rPr>
        <w:t xml:space="preserve"> indirectamente </w:t>
      </w:r>
      <w:r w:rsidR="003964AC" w:rsidRPr="00A56509">
        <w:rPr>
          <w:lang w:val="es-ES_tradnl"/>
        </w:rPr>
        <w:t>a</w:t>
      </w:r>
      <w:r w:rsidRPr="00A56509">
        <w:rPr>
          <w:lang w:val="es-ES_tradnl"/>
        </w:rPr>
        <w:t xml:space="preserve"> la energía recibida por el sensor a través de las reflexiones </w:t>
      </w:r>
      <w:r w:rsidR="003964AC" w:rsidRPr="00A56509">
        <w:rPr>
          <w:lang w:val="es-ES_tradnl"/>
        </w:rPr>
        <w:t xml:space="preserve">que se producen </w:t>
      </w:r>
      <w:r w:rsidRPr="00A56509">
        <w:rPr>
          <w:lang w:val="es-ES_tradnl"/>
        </w:rPr>
        <w:t xml:space="preserve">fuera de la </w:t>
      </w:r>
      <w:r w:rsidR="003964AC" w:rsidRPr="00A56509">
        <w:rPr>
          <w:lang w:val="es-ES_tradnl"/>
        </w:rPr>
        <w:t>T</w:t>
      </w:r>
      <w:r w:rsidRPr="00A56509">
        <w:rPr>
          <w:lang w:val="es-ES_tradnl"/>
        </w:rPr>
        <w:t xml:space="preserve">ierra </w:t>
      </w:r>
      <w:r w:rsidR="003964AC" w:rsidRPr="00A56509">
        <w:rPr>
          <w:lang w:val="es-ES_tradnl"/>
        </w:rPr>
        <w:t>captadas por</w:t>
      </w:r>
      <w:r w:rsidRPr="00A56509">
        <w:rPr>
          <w:lang w:val="es-ES_tradnl"/>
        </w:rPr>
        <w:t xml:space="preserve"> la antena del sensor o directamente a través de</w:t>
      </w:r>
      <w:r w:rsidR="003964AC" w:rsidRPr="00A56509">
        <w:rPr>
          <w:lang w:val="es-ES_tradnl"/>
        </w:rPr>
        <w:t>l haz</w:t>
      </w:r>
      <w:r w:rsidRPr="00A56509">
        <w:rPr>
          <w:lang w:val="es-ES_tradnl"/>
        </w:rPr>
        <w:t xml:space="preserve"> principal y</w:t>
      </w:r>
      <w:r w:rsidR="003964AC" w:rsidRPr="00A56509">
        <w:rPr>
          <w:lang w:val="es-ES_tradnl"/>
        </w:rPr>
        <w:t xml:space="preserve"> de</w:t>
      </w:r>
      <w:r w:rsidRPr="00A56509">
        <w:rPr>
          <w:lang w:val="es-ES_tradnl"/>
        </w:rPr>
        <w:t xml:space="preserve"> los lóbulos laterales de la antena. La emisiones artificiales presentan varias características que las diferencian de las emisiones de microondas naturales. Aunque estas características están presentes en fuentes individuales en diversos grados, la combinación de un gran número de fuentes puede que no posea las características que les permite distinguirse de las emisiones planetarias.</w:t>
      </w:r>
    </w:p>
    <w:p w:rsidR="0006441E" w:rsidRPr="00A56509" w:rsidRDefault="0006441E" w:rsidP="0006441E">
      <w:pPr>
        <w:rPr>
          <w:lang w:val="es-ES_tradnl"/>
        </w:rPr>
      </w:pPr>
      <w:r w:rsidRPr="00A56509">
        <w:rPr>
          <w:lang w:val="es-ES_tradnl"/>
        </w:rPr>
        <w:t>A continuación se indican los parámetros necesarios para caracterizar la interferencia causada a los sensores del SETS (pasivo):</w:t>
      </w:r>
    </w:p>
    <w:p w:rsidR="0006441E" w:rsidRPr="00A56509" w:rsidRDefault="0006441E" w:rsidP="003964AC">
      <w:pPr>
        <w:pStyle w:val="enumlev1"/>
        <w:rPr>
          <w:lang w:val="es-ES_tradnl"/>
        </w:rPr>
      </w:pPr>
      <w:r w:rsidRPr="00A56509">
        <w:rPr>
          <w:lang w:val="es-ES_tradnl"/>
        </w:rPr>
        <w:t>–</w:t>
      </w:r>
      <w:r w:rsidRPr="00A56509">
        <w:rPr>
          <w:lang w:val="es-ES_tradnl"/>
        </w:rPr>
        <w:tab/>
        <w:t xml:space="preserve">gama de frecuencias </w:t>
      </w:r>
      <w:r w:rsidR="003964AC" w:rsidRPr="00A56509">
        <w:rPr>
          <w:lang w:val="es-ES_tradnl"/>
        </w:rPr>
        <w:t>de</w:t>
      </w:r>
      <w:r w:rsidRPr="00A56509">
        <w:rPr>
          <w:lang w:val="es-ES_tradnl"/>
        </w:rPr>
        <w:t xml:space="preserve"> funcionamiento del sensor del SETS (pasivo);</w:t>
      </w:r>
    </w:p>
    <w:p w:rsidR="0006441E" w:rsidRPr="00A56509" w:rsidRDefault="0006441E" w:rsidP="0006441E">
      <w:pPr>
        <w:pStyle w:val="enumlev1"/>
        <w:rPr>
          <w:lang w:val="es-ES_tradnl"/>
        </w:rPr>
      </w:pPr>
      <w:r w:rsidRPr="00A56509">
        <w:rPr>
          <w:lang w:val="es-ES_tradnl"/>
        </w:rPr>
        <w:t>–</w:t>
      </w:r>
      <w:r w:rsidRPr="00A56509">
        <w:rPr>
          <w:lang w:val="es-ES_tradnl"/>
        </w:rPr>
        <w:tab/>
        <w:t>potencia procedente de todas las fuentes de emisión artificial dirigidas hacia el sensor;</w:t>
      </w:r>
    </w:p>
    <w:p w:rsidR="0006441E" w:rsidRPr="00A56509" w:rsidRDefault="0006441E" w:rsidP="0006441E">
      <w:pPr>
        <w:pStyle w:val="enumlev1"/>
        <w:rPr>
          <w:lang w:val="es-ES_tradnl"/>
        </w:rPr>
      </w:pPr>
      <w:r w:rsidRPr="00A56509">
        <w:rPr>
          <w:lang w:val="es-ES_tradnl"/>
        </w:rPr>
        <w:t>–</w:t>
      </w:r>
      <w:r w:rsidRPr="00A56509">
        <w:rPr>
          <w:lang w:val="es-ES_tradnl"/>
        </w:rPr>
        <w:tab/>
        <w:t>receptividad del funcionamiento del sensor del SETS (pasivo) a la potencia de la emisión artificial presente;</w:t>
      </w:r>
    </w:p>
    <w:p w:rsidR="0006441E" w:rsidRPr="00A56509" w:rsidRDefault="0006441E" w:rsidP="003964AC">
      <w:pPr>
        <w:pStyle w:val="enumlev1"/>
        <w:rPr>
          <w:lang w:val="es-ES_tradnl"/>
        </w:rPr>
      </w:pPr>
      <w:r w:rsidRPr="00A56509">
        <w:rPr>
          <w:lang w:val="es-ES_tradnl"/>
        </w:rPr>
        <w:t>–</w:t>
      </w:r>
      <w:r w:rsidRPr="00A56509">
        <w:rPr>
          <w:lang w:val="es-ES_tradnl"/>
        </w:rPr>
        <w:tab/>
      </w:r>
      <w:r w:rsidR="003964AC" w:rsidRPr="00A56509">
        <w:rPr>
          <w:lang w:val="es-ES_tradnl"/>
        </w:rPr>
        <w:t>dis</w:t>
      </w:r>
      <w:r w:rsidRPr="00A56509">
        <w:rPr>
          <w:lang w:val="es-ES_tradnl"/>
        </w:rPr>
        <w:t xml:space="preserve">persión en la superficie de la </w:t>
      </w:r>
      <w:r w:rsidR="003964AC" w:rsidRPr="00A56509">
        <w:rPr>
          <w:lang w:val="es-ES_tradnl"/>
        </w:rPr>
        <w:t>T</w:t>
      </w:r>
      <w:r w:rsidRPr="00A56509">
        <w:rPr>
          <w:lang w:val="es-ES_tradnl"/>
        </w:rPr>
        <w:t>ierra</w:t>
      </w:r>
      <w:r w:rsidR="003964AC" w:rsidRPr="00A56509">
        <w:rPr>
          <w:lang w:val="es-ES_tradnl"/>
        </w:rPr>
        <w:t>,</w:t>
      </w:r>
      <w:r w:rsidRPr="00A56509">
        <w:rPr>
          <w:lang w:val="es-ES_tradnl"/>
        </w:rPr>
        <w:t xml:space="preserve"> </w:t>
      </w:r>
      <w:r w:rsidR="003964AC" w:rsidRPr="00A56509">
        <w:rPr>
          <w:lang w:val="es-ES_tradnl"/>
        </w:rPr>
        <w:t>en</w:t>
      </w:r>
      <w:r w:rsidRPr="00A56509">
        <w:rPr>
          <w:lang w:val="es-ES_tradnl"/>
        </w:rPr>
        <w:t xml:space="preserve"> los componentes atmosféricos y </w:t>
      </w:r>
      <w:r w:rsidR="003964AC" w:rsidRPr="00A56509">
        <w:rPr>
          <w:lang w:val="es-ES_tradnl"/>
        </w:rPr>
        <w:t>en</w:t>
      </w:r>
      <w:r w:rsidRPr="00A56509">
        <w:rPr>
          <w:lang w:val="es-ES_tradnl"/>
        </w:rPr>
        <w:t xml:space="preserve"> otros objetos; absorción atmosférica y pérdidas en el espacio.</w:t>
      </w:r>
    </w:p>
    <w:p w:rsidR="0006441E" w:rsidRPr="00A56509" w:rsidRDefault="0006441E" w:rsidP="0006441E">
      <w:pPr>
        <w:rPr>
          <w:lang w:val="es-ES_tradnl"/>
        </w:rPr>
      </w:pPr>
      <w:r w:rsidRPr="00A56509">
        <w:rPr>
          <w:lang w:val="es-ES_tradnl"/>
        </w:rPr>
        <w:t>Con objeto de caracterizar la degradación causada al funcionamiento de</w:t>
      </w:r>
      <w:r w:rsidR="003964AC" w:rsidRPr="00A56509">
        <w:rPr>
          <w:lang w:val="es-ES_tradnl"/>
        </w:rPr>
        <w:t xml:space="preserve"> </w:t>
      </w:r>
      <w:r w:rsidR="00A56509" w:rsidRPr="00A56509">
        <w:rPr>
          <w:lang w:val="es-ES_tradnl"/>
        </w:rPr>
        <w:t>los</w:t>
      </w:r>
      <w:r w:rsidRPr="00A56509">
        <w:rPr>
          <w:lang w:val="es-ES_tradnl"/>
        </w:rPr>
        <w:t xml:space="preserve"> sensor</w:t>
      </w:r>
      <w:r w:rsidR="003964AC" w:rsidRPr="00A56509">
        <w:rPr>
          <w:lang w:val="es-ES_tradnl"/>
        </w:rPr>
        <w:t>es</w:t>
      </w:r>
      <w:r w:rsidRPr="00A56509">
        <w:rPr>
          <w:lang w:val="es-ES_tradnl"/>
        </w:rPr>
        <w:t xml:space="preserve"> del SETS (pasivo) por todas las fuentes de emisiones artificiales es necesario:</w:t>
      </w:r>
    </w:p>
    <w:p w:rsidR="0006441E" w:rsidRPr="00A56509" w:rsidRDefault="0006441E" w:rsidP="003964AC">
      <w:pPr>
        <w:pStyle w:val="enumlev1"/>
        <w:rPr>
          <w:lang w:val="es-ES_tradnl"/>
        </w:rPr>
      </w:pPr>
      <w:r w:rsidRPr="00A56509">
        <w:rPr>
          <w:lang w:val="es-ES_tradnl"/>
        </w:rPr>
        <w:t>–</w:t>
      </w:r>
      <w:r w:rsidRPr="00A56509">
        <w:rPr>
          <w:lang w:val="es-ES_tradnl"/>
        </w:rPr>
        <w:tab/>
        <w:t xml:space="preserve">establecer </w:t>
      </w:r>
      <w:r w:rsidR="003964AC" w:rsidRPr="00A56509">
        <w:rPr>
          <w:lang w:val="es-ES_tradnl"/>
        </w:rPr>
        <w:t>un</w:t>
      </w:r>
      <w:r w:rsidRPr="00A56509">
        <w:rPr>
          <w:lang w:val="es-ES_tradnl"/>
        </w:rPr>
        <w:t xml:space="preserve">a referencia para medir la degradación </w:t>
      </w:r>
      <w:r w:rsidR="003964AC" w:rsidRPr="00A56509">
        <w:rPr>
          <w:lang w:val="es-ES_tradnl"/>
        </w:rPr>
        <w:t>provoc</w:t>
      </w:r>
      <w:r w:rsidRPr="00A56509">
        <w:rPr>
          <w:lang w:val="es-ES_tradnl"/>
        </w:rPr>
        <w:t>ada al funcionamiento de los sensores del SETS (pasivo);</w:t>
      </w:r>
    </w:p>
    <w:p w:rsidR="0006441E" w:rsidRPr="00A56509" w:rsidRDefault="0006441E" w:rsidP="003964AC">
      <w:pPr>
        <w:pStyle w:val="enumlev1"/>
        <w:rPr>
          <w:lang w:val="es-ES_tradnl"/>
        </w:rPr>
      </w:pPr>
      <w:r w:rsidRPr="00A56509">
        <w:rPr>
          <w:lang w:val="es-ES_tradnl"/>
        </w:rPr>
        <w:t>–</w:t>
      </w:r>
      <w:r w:rsidRPr="00A56509">
        <w:rPr>
          <w:lang w:val="es-ES_tradnl"/>
        </w:rPr>
        <w:tab/>
        <w:t xml:space="preserve">caracterizar las fuentes de las emisiones artificiales de acuerdo con su clasificación y características de </w:t>
      </w:r>
      <w:r w:rsidR="003964AC" w:rsidRPr="00A56509">
        <w:rPr>
          <w:lang w:val="es-ES_tradnl"/>
        </w:rPr>
        <w:t>trans</w:t>
      </w:r>
      <w:r w:rsidRPr="00A56509">
        <w:rPr>
          <w:lang w:val="es-ES_tradnl"/>
        </w:rPr>
        <w:t>misión;</w:t>
      </w:r>
    </w:p>
    <w:p w:rsidR="0006441E" w:rsidRPr="00A56509" w:rsidRDefault="0006441E" w:rsidP="003964AC">
      <w:pPr>
        <w:pStyle w:val="enumlev1"/>
        <w:rPr>
          <w:lang w:val="es-ES_tradnl"/>
        </w:rPr>
      </w:pPr>
      <w:r w:rsidRPr="00A56509">
        <w:rPr>
          <w:lang w:val="es-ES_tradnl"/>
        </w:rPr>
        <w:t>–</w:t>
      </w:r>
      <w:r w:rsidRPr="00A56509">
        <w:rPr>
          <w:lang w:val="es-ES_tradnl"/>
        </w:rPr>
        <w:tab/>
        <w:t xml:space="preserve">evaluar las fuentes de clasificación de las emisiones </w:t>
      </w:r>
      <w:r w:rsidR="003964AC" w:rsidRPr="00A56509">
        <w:rPr>
          <w:lang w:val="es-ES_tradnl"/>
        </w:rPr>
        <w:t>artifi</w:t>
      </w:r>
      <w:r w:rsidRPr="00A56509">
        <w:rPr>
          <w:lang w:val="es-ES_tradnl"/>
        </w:rPr>
        <w:t>ciales con respecto a la importancia de su influencia en el funcionamiento de los sensores del SETS (pasivo);</w:t>
      </w:r>
    </w:p>
    <w:p w:rsidR="0006441E" w:rsidRPr="00A56509" w:rsidRDefault="0006441E" w:rsidP="0006441E">
      <w:pPr>
        <w:pStyle w:val="enumlev1"/>
        <w:rPr>
          <w:lang w:val="es-ES_tradnl"/>
        </w:rPr>
      </w:pPr>
      <w:r w:rsidRPr="00A56509">
        <w:rPr>
          <w:lang w:val="es-ES_tradnl"/>
        </w:rPr>
        <w:lastRenderedPageBreak/>
        <w:t>–</w:t>
      </w:r>
      <w:r w:rsidRPr="00A56509">
        <w:rPr>
          <w:lang w:val="es-ES_tradnl"/>
        </w:rPr>
        <w:tab/>
        <w:t>evaluar la degradación causada por cada clase de emisión significativa y su efecto combinado sobre el funcionamiento del sensor pasivo.</w:t>
      </w:r>
    </w:p>
    <w:p w:rsidR="0006441E" w:rsidRPr="00A56509" w:rsidRDefault="0006441E" w:rsidP="0006441E">
      <w:pPr>
        <w:pStyle w:val="Heading1"/>
        <w:rPr>
          <w:lang w:val="es-ES_tradnl"/>
        </w:rPr>
      </w:pPr>
      <w:r w:rsidRPr="00A56509">
        <w:rPr>
          <w:lang w:val="es-ES_tradnl"/>
        </w:rPr>
        <w:t>2</w:t>
      </w:r>
      <w:r w:rsidRPr="00A56509">
        <w:rPr>
          <w:lang w:val="es-ES_tradnl"/>
        </w:rPr>
        <w:tab/>
        <w:t>Caracterización de las fuentes de interferencia</w:t>
      </w:r>
    </w:p>
    <w:p w:rsidR="0006441E" w:rsidRPr="00A56509" w:rsidRDefault="0006441E" w:rsidP="003964AC">
      <w:pPr>
        <w:rPr>
          <w:lang w:val="es-ES_tradnl"/>
        </w:rPr>
      </w:pPr>
      <w:r w:rsidRPr="00A56509">
        <w:rPr>
          <w:lang w:val="es-ES_tradnl"/>
        </w:rPr>
        <w:t xml:space="preserve">Una característica importante de las </w:t>
      </w:r>
      <w:r w:rsidR="003964AC" w:rsidRPr="00A56509">
        <w:rPr>
          <w:lang w:val="es-ES_tradnl"/>
        </w:rPr>
        <w:t xml:space="preserve">fuentes de </w:t>
      </w:r>
      <w:r w:rsidRPr="00A56509">
        <w:rPr>
          <w:lang w:val="es-ES_tradnl"/>
        </w:rPr>
        <w:t>emisi</w:t>
      </w:r>
      <w:r w:rsidR="003964AC" w:rsidRPr="00A56509">
        <w:rPr>
          <w:lang w:val="es-ES_tradnl"/>
        </w:rPr>
        <w:t>ones</w:t>
      </w:r>
      <w:r w:rsidRPr="00A56509">
        <w:rPr>
          <w:lang w:val="es-ES_tradnl"/>
        </w:rPr>
        <w:t xml:space="preserve"> artificiales con respecto a la degradación de los datos del sensor del SETS (pasivo) es la cantidad y variabilidad de potencia que esas fuentes emiten en la banda de paso del sensor del SETS (pasivo). La degradación del funcionamiento del sensor del SETS (pasivo) causada por señales artificiales puede caracterizarse </w:t>
      </w:r>
      <w:r w:rsidR="003964AC" w:rsidRPr="00A56509">
        <w:rPr>
          <w:lang w:val="es-ES_tradnl"/>
        </w:rPr>
        <w:t>medi</w:t>
      </w:r>
      <w:r w:rsidRPr="00A56509">
        <w:rPr>
          <w:lang w:val="es-ES_tradnl"/>
        </w:rPr>
        <w:t>ante la combinación de las fuentes de emisiones artificiales en relación con la receptividad del sensor del SETS (pasivo) a las características de la potencia de emisión presente. La receptividad del sensor pasivo a</w:t>
      </w:r>
      <w:r w:rsidR="003964AC" w:rsidRPr="00A56509">
        <w:rPr>
          <w:lang w:val="es-ES_tradnl"/>
        </w:rPr>
        <w:t xml:space="preserve"> </w:t>
      </w:r>
      <w:r w:rsidRPr="00A56509">
        <w:rPr>
          <w:lang w:val="es-ES_tradnl"/>
        </w:rPr>
        <w:t>la potencia de</w:t>
      </w:r>
      <w:r w:rsidR="003964AC" w:rsidRPr="00A56509">
        <w:rPr>
          <w:lang w:val="es-ES_tradnl"/>
        </w:rPr>
        <w:t xml:space="preserve"> las</w:t>
      </w:r>
      <w:r w:rsidRPr="00A56509">
        <w:rPr>
          <w:lang w:val="es-ES_tradnl"/>
        </w:rPr>
        <w:t xml:space="preserve"> emisi</w:t>
      </w:r>
      <w:r w:rsidR="003964AC" w:rsidRPr="00A56509">
        <w:rPr>
          <w:lang w:val="es-ES_tradnl"/>
        </w:rPr>
        <w:t>o</w:t>
      </w:r>
      <w:r w:rsidRPr="00A56509">
        <w:rPr>
          <w:lang w:val="es-ES_tradnl"/>
        </w:rPr>
        <w:t>n</w:t>
      </w:r>
      <w:r w:rsidR="003964AC" w:rsidRPr="00A56509">
        <w:rPr>
          <w:lang w:val="es-ES_tradnl"/>
        </w:rPr>
        <w:t>es</w:t>
      </w:r>
      <w:r w:rsidRPr="00A56509">
        <w:rPr>
          <w:lang w:val="es-ES_tradnl"/>
        </w:rPr>
        <w:t xml:space="preserve"> artificial</w:t>
      </w:r>
      <w:r w:rsidR="003964AC" w:rsidRPr="00A56509">
        <w:rPr>
          <w:lang w:val="es-ES_tradnl"/>
        </w:rPr>
        <w:t>es</w:t>
      </w:r>
      <w:r w:rsidRPr="00A56509">
        <w:rPr>
          <w:lang w:val="es-ES_tradnl"/>
        </w:rPr>
        <w:t xml:space="preserve"> depende de los parámetros operacionales del sensor en relación con las características especificas de la potencia de la emisión artificial. La potencia de emisión </w:t>
      </w:r>
      <w:r w:rsidRPr="00A56509">
        <w:rPr>
          <w:i/>
          <w:lang w:val="es-ES_tradnl"/>
        </w:rPr>
        <w:t>admisible</w:t>
      </w:r>
      <w:r w:rsidRPr="00A56509">
        <w:rPr>
          <w:lang w:val="es-ES_tradnl"/>
        </w:rPr>
        <w:t xml:space="preserve"> total en el sensor, dada por la Recomendación UIT-R RS.1029, puede utilizarse como referencia para evaluar la interferencia. </w:t>
      </w:r>
    </w:p>
    <w:p w:rsidR="0006441E" w:rsidRPr="00A56509" w:rsidRDefault="0006441E" w:rsidP="003964AC">
      <w:pPr>
        <w:rPr>
          <w:lang w:val="es-ES_tradnl"/>
        </w:rPr>
      </w:pPr>
      <w:r w:rsidRPr="00A56509">
        <w:rPr>
          <w:rFonts w:ascii="Times" w:hAnsi="Times" w:cs="Times"/>
          <w:szCs w:val="18"/>
          <w:lang w:val="es-ES_tradnl"/>
        </w:rPr>
        <w:t>La fuentes individuales se caracterizan en primer lugar con respecto a sus clasificaciones de</w:t>
      </w:r>
      <w:r w:rsidR="001133E7">
        <w:rPr>
          <w:rFonts w:ascii="Times" w:hAnsi="Times" w:cs="Times"/>
          <w:szCs w:val="18"/>
          <w:lang w:val="es-ES_tradnl"/>
        </w:rPr>
        <w:t>l</w:t>
      </w:r>
      <w:r w:rsidRPr="00A56509">
        <w:rPr>
          <w:rFonts w:ascii="Times" w:hAnsi="Times" w:cs="Times"/>
          <w:szCs w:val="18"/>
          <w:lang w:val="es-ES_tradnl"/>
        </w:rPr>
        <w:t xml:space="preserve"> servicio y en segundo lugar por los tipos de emisiones. En lo que se refiere a la clasificación del servicio, las fuentes de todas las potencias de emisi</w:t>
      </w:r>
      <w:r w:rsidR="003964AC" w:rsidRPr="00A56509">
        <w:rPr>
          <w:rFonts w:ascii="Times" w:hAnsi="Times" w:cs="Times"/>
          <w:szCs w:val="18"/>
          <w:lang w:val="es-ES_tradnl"/>
        </w:rPr>
        <w:t>ones</w:t>
      </w:r>
      <w:r w:rsidRPr="00A56509">
        <w:rPr>
          <w:rFonts w:ascii="Times" w:hAnsi="Times" w:cs="Times"/>
          <w:szCs w:val="18"/>
          <w:lang w:val="es-ES_tradnl"/>
        </w:rPr>
        <w:t xml:space="preserve"> artificial</w:t>
      </w:r>
      <w:r w:rsidR="003964AC" w:rsidRPr="00A56509">
        <w:rPr>
          <w:rFonts w:ascii="Times" w:hAnsi="Times" w:cs="Times"/>
          <w:szCs w:val="18"/>
          <w:lang w:val="es-ES_tradnl"/>
        </w:rPr>
        <w:t>es</w:t>
      </w:r>
      <w:r w:rsidRPr="00A56509">
        <w:rPr>
          <w:rFonts w:ascii="Times" w:hAnsi="Times" w:cs="Times"/>
          <w:szCs w:val="18"/>
          <w:lang w:val="es-ES_tradnl"/>
        </w:rPr>
        <w:t xml:space="preserve"> se subdividen en un conjunto de grupos claramente definidos</w:t>
      </w:r>
      <w:r w:rsidRPr="00A56509">
        <w:rPr>
          <w:lang w:val="es-ES_tradnl"/>
        </w:rPr>
        <w:t>:</w:t>
      </w:r>
    </w:p>
    <w:p w:rsidR="0006441E" w:rsidRPr="00A56509" w:rsidRDefault="0006441E" w:rsidP="003964AC">
      <w:pPr>
        <w:pStyle w:val="enumlev1"/>
        <w:rPr>
          <w:lang w:val="es-ES_tradnl"/>
        </w:rPr>
      </w:pPr>
      <w:r w:rsidRPr="00A56509">
        <w:rPr>
          <w:lang w:val="es-ES_tradnl"/>
        </w:rPr>
        <w:t>–</w:t>
      </w:r>
      <w:r w:rsidRPr="00A56509">
        <w:rPr>
          <w:lang w:val="es-ES_tradnl"/>
        </w:rPr>
        <w:tab/>
        <w:t>servicios de radiocomunicaci</w:t>
      </w:r>
      <w:r w:rsidR="003964AC" w:rsidRPr="00A56509">
        <w:rPr>
          <w:lang w:val="es-ES_tradnl"/>
        </w:rPr>
        <w:t>ones</w:t>
      </w:r>
      <w:r w:rsidRPr="00A56509">
        <w:rPr>
          <w:lang w:val="es-ES_tradnl"/>
        </w:rPr>
        <w:t xml:space="preserve"> y de radiodeterminación;</w:t>
      </w:r>
    </w:p>
    <w:p w:rsidR="0006441E" w:rsidRPr="00A56509" w:rsidRDefault="0006441E" w:rsidP="0006441E">
      <w:pPr>
        <w:pStyle w:val="enumlev1"/>
        <w:rPr>
          <w:lang w:val="es-ES_tradnl"/>
        </w:rPr>
      </w:pPr>
      <w:r w:rsidRPr="00A56509">
        <w:rPr>
          <w:lang w:val="es-ES_tradnl"/>
        </w:rPr>
        <w:t>–</w:t>
      </w:r>
      <w:r w:rsidRPr="00A56509">
        <w:rPr>
          <w:lang w:val="es-ES_tradnl"/>
        </w:rPr>
        <w:tab/>
        <w:t>otras fuentes.</w:t>
      </w:r>
    </w:p>
    <w:p w:rsidR="0006441E" w:rsidRPr="00A56509" w:rsidRDefault="0006441E" w:rsidP="003964AC">
      <w:pPr>
        <w:rPr>
          <w:lang w:val="es-ES_tradnl"/>
        </w:rPr>
      </w:pPr>
      <w:r w:rsidRPr="00A56509">
        <w:rPr>
          <w:lang w:val="es-ES_tradnl"/>
        </w:rPr>
        <w:t>Los servicios de radiocomunicaci</w:t>
      </w:r>
      <w:r w:rsidR="003964AC" w:rsidRPr="00A56509">
        <w:rPr>
          <w:lang w:val="es-ES_tradnl"/>
        </w:rPr>
        <w:t>ones</w:t>
      </w:r>
      <w:r w:rsidRPr="00A56509">
        <w:rPr>
          <w:lang w:val="es-ES_tradnl"/>
        </w:rPr>
        <w:t xml:space="preserve"> y </w:t>
      </w:r>
      <w:r w:rsidR="00A56509" w:rsidRPr="00A56509">
        <w:rPr>
          <w:lang w:val="es-ES_tradnl"/>
        </w:rPr>
        <w:t>radiodeterminación</w:t>
      </w:r>
      <w:r w:rsidRPr="00A56509">
        <w:rPr>
          <w:lang w:val="es-ES_tradnl"/>
        </w:rPr>
        <w:t xml:space="preserve"> son los que figuran en el </w:t>
      </w:r>
      <w:r w:rsidRPr="00A56509">
        <w:rPr>
          <w:bCs/>
          <w:lang w:val="es-ES_tradnl"/>
        </w:rPr>
        <w:t>Artículo 1</w:t>
      </w:r>
      <w:r w:rsidRPr="00A56509">
        <w:rPr>
          <w:b/>
          <w:lang w:val="es-ES_tradnl"/>
        </w:rPr>
        <w:t xml:space="preserve"> </w:t>
      </w:r>
      <w:r w:rsidRPr="00A56509">
        <w:rPr>
          <w:bCs/>
          <w:lang w:val="es-ES_tradnl"/>
        </w:rPr>
        <w:t>del Reglamento de Radiocomunicaciones (RR)</w:t>
      </w:r>
      <w:r w:rsidRPr="00A56509">
        <w:rPr>
          <w:lang w:val="es-ES_tradnl"/>
        </w:rPr>
        <w:t>. Para facilitar el análisis, los servicios de radiocomunicación se agrupan bajo los siguientes encabezamientos:</w:t>
      </w:r>
    </w:p>
    <w:p w:rsidR="0006441E" w:rsidRPr="00A56509" w:rsidRDefault="00EA7E0A" w:rsidP="0006441E">
      <w:pPr>
        <w:pStyle w:val="enumlev1"/>
        <w:rPr>
          <w:lang w:val="es-ES_tradnl"/>
        </w:rPr>
      </w:pPr>
      <w:r>
        <w:rPr>
          <w:lang w:val="es-ES_tradnl"/>
        </w:rPr>
        <w:t>1</w:t>
      </w:r>
      <w:r>
        <w:rPr>
          <w:lang w:val="es-ES_tradnl"/>
        </w:rPr>
        <w:tab/>
        <w:t>terrenales;</w:t>
      </w:r>
    </w:p>
    <w:p w:rsidR="0006441E" w:rsidRPr="00A56509" w:rsidRDefault="0006441E" w:rsidP="0006441E">
      <w:pPr>
        <w:pStyle w:val="enumlev1"/>
        <w:rPr>
          <w:lang w:val="es-ES_tradnl"/>
        </w:rPr>
      </w:pPr>
      <w:r w:rsidRPr="00A56509">
        <w:rPr>
          <w:lang w:val="es-ES_tradnl"/>
        </w:rPr>
        <w:t>2</w:t>
      </w:r>
      <w:r w:rsidRPr="00A56509">
        <w:rPr>
          <w:lang w:val="es-ES_tradnl"/>
        </w:rPr>
        <w:tab/>
        <w:t>espaciales.</w:t>
      </w:r>
    </w:p>
    <w:p w:rsidR="0006441E" w:rsidRPr="00A56509" w:rsidRDefault="0006441E" w:rsidP="0006441E">
      <w:pPr>
        <w:rPr>
          <w:lang w:val="es-ES_tradnl"/>
        </w:rPr>
      </w:pPr>
      <w:r w:rsidRPr="00A56509">
        <w:rPr>
          <w:lang w:val="es-ES_tradnl"/>
        </w:rPr>
        <w:t>Mientras que otras fuentes de emisiones artificiales se agrupan bajo los tres siguientes encabezamientos:</w:t>
      </w:r>
    </w:p>
    <w:p w:rsidR="0006441E" w:rsidRPr="00A56509" w:rsidRDefault="0006441E" w:rsidP="0006441E">
      <w:pPr>
        <w:pStyle w:val="enumlev1"/>
        <w:rPr>
          <w:lang w:val="es-ES_tradnl"/>
        </w:rPr>
      </w:pPr>
      <w:r w:rsidRPr="00A56509">
        <w:rPr>
          <w:lang w:val="es-ES_tradnl"/>
        </w:rPr>
        <w:t>1</w:t>
      </w:r>
      <w:r w:rsidRPr="00A56509">
        <w:rPr>
          <w:lang w:val="es-ES_tradnl"/>
        </w:rPr>
        <w:tab/>
        <w:t>dispositivos de radiocomunicaciones de corto alcance</w:t>
      </w:r>
      <w:r w:rsidRPr="00A56509">
        <w:rPr>
          <w:rStyle w:val="FootnoteReference"/>
          <w:lang w:val="es-ES_tradnl"/>
        </w:rPr>
        <w:footnoteReference w:id="1"/>
      </w:r>
      <w:r w:rsidR="00EA7E0A">
        <w:rPr>
          <w:lang w:val="es-ES_tradnl"/>
        </w:rPr>
        <w:t xml:space="preserve"> (SRDs);</w:t>
      </w:r>
    </w:p>
    <w:p w:rsidR="0006441E" w:rsidRPr="00A56509" w:rsidRDefault="0006441E" w:rsidP="003964AC">
      <w:pPr>
        <w:pStyle w:val="enumlev1"/>
        <w:rPr>
          <w:lang w:val="es-ES_tradnl"/>
        </w:rPr>
      </w:pPr>
      <w:r w:rsidRPr="00A56509">
        <w:rPr>
          <w:lang w:val="es-ES_tradnl"/>
        </w:rPr>
        <w:t>2</w:t>
      </w:r>
      <w:r w:rsidRPr="00A56509">
        <w:rPr>
          <w:lang w:val="es-ES_tradnl"/>
        </w:rPr>
        <w:tab/>
        <w:t>I</w:t>
      </w:r>
      <w:r w:rsidR="003964AC" w:rsidRPr="00A56509">
        <w:rPr>
          <w:lang w:val="es-ES_tradnl"/>
        </w:rPr>
        <w:t>C</w:t>
      </w:r>
      <w:r w:rsidRPr="00A56509">
        <w:rPr>
          <w:lang w:val="es-ES_tradnl"/>
        </w:rPr>
        <w:t>M</w:t>
      </w:r>
      <w:r w:rsidRPr="00A56509">
        <w:rPr>
          <w:rStyle w:val="FootnoteReference"/>
          <w:lang w:val="es-ES_tradnl"/>
        </w:rPr>
        <w:footnoteReference w:id="2"/>
      </w:r>
      <w:r w:rsidR="00EA7E0A">
        <w:rPr>
          <w:lang w:val="es-ES_tradnl"/>
        </w:rPr>
        <w:t>;</w:t>
      </w:r>
    </w:p>
    <w:p w:rsidR="0006441E" w:rsidRPr="00A56509" w:rsidRDefault="0006441E" w:rsidP="0006441E">
      <w:pPr>
        <w:pStyle w:val="enumlev1"/>
        <w:rPr>
          <w:lang w:val="es-ES_tradnl"/>
        </w:rPr>
      </w:pPr>
      <w:r w:rsidRPr="00A56509">
        <w:rPr>
          <w:lang w:val="es-ES_tradnl"/>
        </w:rPr>
        <w:t>3</w:t>
      </w:r>
      <w:r w:rsidRPr="00A56509">
        <w:rPr>
          <w:lang w:val="es-ES_tradnl"/>
        </w:rPr>
        <w:tab/>
        <w:t>aparatos eléctricos o instalaciones eléctricas</w:t>
      </w:r>
      <w:r w:rsidRPr="00A56509">
        <w:rPr>
          <w:rStyle w:val="FootnoteReference"/>
          <w:lang w:val="es-ES_tradnl"/>
        </w:rPr>
        <w:footnoteReference w:id="3"/>
      </w:r>
      <w:r w:rsidRPr="00A56509">
        <w:rPr>
          <w:lang w:val="es-ES_tradnl"/>
        </w:rPr>
        <w:t>.</w:t>
      </w:r>
    </w:p>
    <w:p w:rsidR="0006441E" w:rsidRPr="00A56509" w:rsidRDefault="0006441E" w:rsidP="00D41B00">
      <w:pPr>
        <w:keepNext/>
        <w:rPr>
          <w:lang w:val="es-ES_tradnl"/>
        </w:rPr>
      </w:pPr>
      <w:r w:rsidRPr="00A56509">
        <w:rPr>
          <w:lang w:val="es-ES_tradnl"/>
        </w:rPr>
        <w:t>Con respecto a los tipos de emisión, los servicios de radiocomunicaciones y otras fuentes se organizan como define el RR:</w:t>
      </w:r>
    </w:p>
    <w:p w:rsidR="0006441E" w:rsidRPr="00A56509" w:rsidRDefault="0006441E" w:rsidP="003964AC">
      <w:pPr>
        <w:pStyle w:val="enumlev1"/>
        <w:rPr>
          <w:lang w:val="es-ES_tradnl"/>
        </w:rPr>
      </w:pPr>
      <w:r w:rsidRPr="00A56509">
        <w:rPr>
          <w:lang w:val="es-ES_tradnl"/>
        </w:rPr>
        <w:t>1</w:t>
      </w:r>
      <w:r w:rsidRPr="00A56509">
        <w:rPr>
          <w:lang w:val="es-ES_tradnl"/>
        </w:rPr>
        <w:tab/>
        <w:t>potencia procedente de emisiones dentro de</w:t>
      </w:r>
      <w:r w:rsidR="003964AC" w:rsidRPr="00A56509">
        <w:rPr>
          <w:lang w:val="es-ES_tradnl"/>
        </w:rPr>
        <w:t xml:space="preserve"> </w:t>
      </w:r>
      <w:r w:rsidRPr="00A56509">
        <w:rPr>
          <w:lang w:val="es-ES_tradnl"/>
        </w:rPr>
        <w:t>l</w:t>
      </w:r>
      <w:r w:rsidR="003964AC" w:rsidRPr="00A56509">
        <w:rPr>
          <w:lang w:val="es-ES_tradnl"/>
        </w:rPr>
        <w:t xml:space="preserve">a achura </w:t>
      </w:r>
      <w:r w:rsidRPr="00A56509">
        <w:rPr>
          <w:lang w:val="es-ES_tradnl"/>
        </w:rPr>
        <w:t>de banda necesaria</w:t>
      </w:r>
      <w:r w:rsidRPr="00A56509">
        <w:rPr>
          <w:rStyle w:val="FootnoteReference"/>
          <w:lang w:val="es-ES_tradnl"/>
        </w:rPr>
        <w:footnoteReference w:id="4"/>
      </w:r>
      <w:r w:rsidR="00EA7E0A">
        <w:rPr>
          <w:lang w:val="es-ES_tradnl"/>
        </w:rPr>
        <w:t>;</w:t>
      </w:r>
    </w:p>
    <w:p w:rsidR="0006441E" w:rsidRPr="00A56509" w:rsidRDefault="0006441E" w:rsidP="003964AC">
      <w:pPr>
        <w:pStyle w:val="enumlev1"/>
        <w:rPr>
          <w:lang w:val="es-ES_tradnl"/>
        </w:rPr>
      </w:pPr>
      <w:r w:rsidRPr="00A56509">
        <w:rPr>
          <w:lang w:val="es-ES_tradnl"/>
        </w:rPr>
        <w:t>2</w:t>
      </w:r>
      <w:r w:rsidRPr="00A56509">
        <w:rPr>
          <w:lang w:val="es-ES_tradnl"/>
        </w:rPr>
        <w:tab/>
        <w:t xml:space="preserve">potencia </w:t>
      </w:r>
      <w:r w:rsidR="003964AC" w:rsidRPr="00A56509">
        <w:rPr>
          <w:lang w:val="es-ES_tradnl"/>
        </w:rPr>
        <w:t>procedente</w:t>
      </w:r>
      <w:r w:rsidRPr="00A56509">
        <w:rPr>
          <w:lang w:val="es-ES_tradnl"/>
        </w:rPr>
        <w:t xml:space="preserve"> de emisiones </w:t>
      </w:r>
      <w:r w:rsidR="003964AC" w:rsidRPr="00A56509">
        <w:rPr>
          <w:lang w:val="es-ES_tradnl"/>
        </w:rPr>
        <w:t xml:space="preserve">en </w:t>
      </w:r>
      <w:r w:rsidRPr="00A56509">
        <w:rPr>
          <w:lang w:val="es-ES_tradnl"/>
        </w:rPr>
        <w:t>el dominio fuera de banda</w:t>
      </w:r>
      <w:r w:rsidRPr="00A56509">
        <w:rPr>
          <w:rStyle w:val="FootnoteReference"/>
          <w:lang w:val="es-ES_tradnl"/>
        </w:rPr>
        <w:footnoteReference w:id="5"/>
      </w:r>
      <w:r w:rsidR="00EA7E0A">
        <w:rPr>
          <w:lang w:val="es-ES_tradnl"/>
        </w:rPr>
        <w:t>; y</w:t>
      </w:r>
    </w:p>
    <w:p w:rsidR="0006441E" w:rsidRPr="00A56509" w:rsidRDefault="0006441E" w:rsidP="003964AC">
      <w:pPr>
        <w:pStyle w:val="enumlev1"/>
        <w:rPr>
          <w:lang w:val="es-ES_tradnl"/>
        </w:rPr>
      </w:pPr>
      <w:r w:rsidRPr="00A56509">
        <w:rPr>
          <w:lang w:val="es-ES_tradnl"/>
        </w:rPr>
        <w:t>3</w:t>
      </w:r>
      <w:r w:rsidRPr="00A56509">
        <w:rPr>
          <w:lang w:val="es-ES_tradnl"/>
        </w:rPr>
        <w:tab/>
        <w:t xml:space="preserve">potencia procedente de emisiones </w:t>
      </w:r>
      <w:r w:rsidR="003964AC" w:rsidRPr="00A56509">
        <w:rPr>
          <w:lang w:val="es-ES_tradnl"/>
        </w:rPr>
        <w:t xml:space="preserve">en </w:t>
      </w:r>
      <w:r w:rsidRPr="00A56509">
        <w:rPr>
          <w:lang w:val="es-ES_tradnl"/>
        </w:rPr>
        <w:t xml:space="preserve">el dominio </w:t>
      </w:r>
      <w:r w:rsidR="003964AC" w:rsidRPr="00A56509">
        <w:rPr>
          <w:lang w:val="es-ES_tradnl"/>
        </w:rPr>
        <w:t xml:space="preserve">no </w:t>
      </w:r>
      <w:r w:rsidRPr="00A56509">
        <w:rPr>
          <w:lang w:val="es-ES_tradnl"/>
        </w:rPr>
        <w:t>esencial</w:t>
      </w:r>
      <w:r w:rsidRPr="00A56509">
        <w:rPr>
          <w:szCs w:val="24"/>
          <w:vertAlign w:val="superscript"/>
          <w:lang w:val="es-ES_tradnl"/>
        </w:rPr>
        <w:t>5</w:t>
      </w:r>
      <w:r w:rsidRPr="00A56509">
        <w:rPr>
          <w:szCs w:val="24"/>
          <w:lang w:val="es-ES_tradnl"/>
        </w:rPr>
        <w:t>.</w:t>
      </w:r>
    </w:p>
    <w:p w:rsidR="00B1717A" w:rsidRPr="00A56509" w:rsidRDefault="0006441E" w:rsidP="00A2741D">
      <w:pPr>
        <w:keepNext/>
        <w:keepLines/>
        <w:rPr>
          <w:lang w:val="es-ES_tradnl"/>
        </w:rPr>
      </w:pPr>
      <w:r w:rsidRPr="00A56509">
        <w:rPr>
          <w:lang w:val="es-ES_tradnl"/>
        </w:rPr>
        <w:lastRenderedPageBreak/>
        <w:t>Debe considerarse el funcionamiento de</w:t>
      </w:r>
      <w:r w:rsidR="003964AC" w:rsidRPr="00A56509">
        <w:rPr>
          <w:lang w:val="es-ES_tradnl"/>
        </w:rPr>
        <w:t xml:space="preserve"> </w:t>
      </w:r>
      <w:r w:rsidRPr="00A56509">
        <w:rPr>
          <w:lang w:val="es-ES_tradnl"/>
        </w:rPr>
        <w:t>l</w:t>
      </w:r>
      <w:r w:rsidR="003964AC" w:rsidRPr="00A56509">
        <w:rPr>
          <w:lang w:val="es-ES_tradnl"/>
        </w:rPr>
        <w:t>os</w:t>
      </w:r>
      <w:r w:rsidRPr="00A56509">
        <w:rPr>
          <w:lang w:val="es-ES_tradnl"/>
        </w:rPr>
        <w:t xml:space="preserve"> sensor</w:t>
      </w:r>
      <w:r w:rsidR="003964AC" w:rsidRPr="00A56509">
        <w:rPr>
          <w:lang w:val="es-ES_tradnl"/>
        </w:rPr>
        <w:t>es</w:t>
      </w:r>
      <w:r w:rsidRPr="00A56509">
        <w:rPr>
          <w:lang w:val="es-ES_tradnl"/>
        </w:rPr>
        <w:t xml:space="preserve"> en una banda puramente pasiva, el funcionamiento de</w:t>
      </w:r>
      <w:r w:rsidR="003964AC" w:rsidRPr="00A56509">
        <w:rPr>
          <w:lang w:val="es-ES_tradnl"/>
        </w:rPr>
        <w:t xml:space="preserve"> </w:t>
      </w:r>
      <w:r w:rsidRPr="00A56509">
        <w:rPr>
          <w:lang w:val="es-ES_tradnl"/>
        </w:rPr>
        <w:t>l</w:t>
      </w:r>
      <w:r w:rsidR="003964AC" w:rsidRPr="00A56509">
        <w:rPr>
          <w:lang w:val="es-ES_tradnl"/>
        </w:rPr>
        <w:t>os</w:t>
      </w:r>
      <w:r w:rsidRPr="00A56509">
        <w:rPr>
          <w:lang w:val="es-ES_tradnl"/>
        </w:rPr>
        <w:t xml:space="preserve"> sensor</w:t>
      </w:r>
      <w:r w:rsidR="003964AC" w:rsidRPr="00A56509">
        <w:rPr>
          <w:lang w:val="es-ES_tradnl"/>
        </w:rPr>
        <w:t>es</w:t>
      </w:r>
      <w:r w:rsidRPr="00A56509">
        <w:rPr>
          <w:lang w:val="es-ES_tradnl"/>
        </w:rPr>
        <w:t xml:space="preserve"> en </w:t>
      </w:r>
      <w:r w:rsidR="003964AC" w:rsidRPr="00A56509">
        <w:rPr>
          <w:lang w:val="es-ES_tradnl"/>
        </w:rPr>
        <w:t>un</w:t>
      </w:r>
      <w:r w:rsidRPr="00A56509">
        <w:rPr>
          <w:lang w:val="es-ES_tradnl"/>
        </w:rPr>
        <w:t xml:space="preserve">a banda </w:t>
      </w:r>
      <w:r w:rsidR="003964AC" w:rsidRPr="00A56509">
        <w:rPr>
          <w:lang w:val="es-ES_tradnl"/>
        </w:rPr>
        <w:t>combinada pasiva</w:t>
      </w:r>
      <w:r w:rsidRPr="00A56509">
        <w:rPr>
          <w:lang w:val="es-ES_tradnl"/>
        </w:rPr>
        <w:t>-activa, la aplicación de técnicas de reducción de la interferencia u otras circunstancias adecuadas para evalua</w:t>
      </w:r>
      <w:r w:rsidR="003964AC" w:rsidRPr="00A56509">
        <w:rPr>
          <w:lang w:val="es-ES_tradnl"/>
        </w:rPr>
        <w:t>r</w:t>
      </w:r>
      <w:r w:rsidRPr="00A56509">
        <w:rPr>
          <w:lang w:val="es-ES_tradnl"/>
        </w:rPr>
        <w:t xml:space="preserve"> la repercusión de las emisiones artificiales sobre el funcionamiento de los sensores. Las bandas puramente pasivas figuran en el N.</w:t>
      </w:r>
      <w:r w:rsidR="00FF0599">
        <w:rPr>
          <w:lang w:val="es-ES_tradnl"/>
        </w:rPr>
        <w:t>°</w:t>
      </w:r>
      <w:r w:rsidRPr="00A56509">
        <w:rPr>
          <w:lang w:val="es-ES_tradnl"/>
        </w:rPr>
        <w:t> 5.340 del RR. Obsérvese, sin embargo, que algunas de las bandas señaladas en dicho número permiten</w:t>
      </w:r>
      <w:r w:rsidR="003964AC" w:rsidRPr="00A56509">
        <w:rPr>
          <w:lang w:val="es-ES_tradnl"/>
        </w:rPr>
        <w:t xml:space="preserve"> realizar</w:t>
      </w:r>
      <w:r w:rsidRPr="00A56509">
        <w:rPr>
          <w:lang w:val="es-ES_tradnl"/>
        </w:rPr>
        <w:t xml:space="preserve"> notificaciones de</w:t>
      </w:r>
      <w:r w:rsidR="003964AC" w:rsidRPr="00A56509">
        <w:rPr>
          <w:lang w:val="es-ES_tradnl"/>
        </w:rPr>
        <w:t>l</w:t>
      </w:r>
      <w:r w:rsidRPr="00A56509">
        <w:rPr>
          <w:lang w:val="es-ES_tradnl"/>
        </w:rPr>
        <w:t xml:space="preserve"> servicio activo específico</w:t>
      </w:r>
      <w:r w:rsidR="003964AC" w:rsidRPr="00A56509">
        <w:rPr>
          <w:lang w:val="es-ES_tradnl"/>
        </w:rPr>
        <w:t>,</w:t>
      </w:r>
      <w:r w:rsidRPr="00A56509">
        <w:rPr>
          <w:lang w:val="es-ES_tradnl"/>
        </w:rPr>
        <w:t xml:space="preserve"> como indica la nota. Por consiguiente, debe tomarse la precaución de reflejar con </w:t>
      </w:r>
      <w:r w:rsidR="003964AC" w:rsidRPr="00A56509">
        <w:rPr>
          <w:lang w:val="es-ES_tradnl"/>
        </w:rPr>
        <w:t>exactitud</w:t>
      </w:r>
      <w:r w:rsidRPr="00A56509">
        <w:rPr>
          <w:lang w:val="es-ES_tradnl"/>
        </w:rPr>
        <w:t xml:space="preserve"> las condiciones presentes para ese sensor específico.</w:t>
      </w:r>
    </w:p>
    <w:p w:rsidR="0006441E" w:rsidRPr="00A56509" w:rsidRDefault="0006441E" w:rsidP="0006441E">
      <w:pPr>
        <w:pStyle w:val="Heading1"/>
        <w:rPr>
          <w:lang w:val="es-ES_tradnl"/>
        </w:rPr>
      </w:pPr>
      <w:r w:rsidRPr="00A56509">
        <w:rPr>
          <w:lang w:val="es-ES_tradnl"/>
        </w:rPr>
        <w:t>3</w:t>
      </w:r>
      <w:r w:rsidRPr="00A56509">
        <w:rPr>
          <w:lang w:val="es-ES_tradnl"/>
        </w:rPr>
        <w:tab/>
        <w:t>Metodología para la combinación de la interferencia</w:t>
      </w:r>
    </w:p>
    <w:p w:rsidR="0006441E" w:rsidRPr="00A56509" w:rsidRDefault="0006441E" w:rsidP="0006441E">
      <w:pPr>
        <w:rPr>
          <w:lang w:val="es-ES_tradnl"/>
        </w:rPr>
      </w:pPr>
      <w:r w:rsidRPr="00A56509">
        <w:rPr>
          <w:lang w:val="es-ES_tradnl"/>
        </w:rPr>
        <w:t>En los estudios del UIT-R en que intervienen múltiples servicios de radiocomunicaciones que afectan al SETS (pasivo), se aplican los siguientes principios generales:</w:t>
      </w:r>
    </w:p>
    <w:p w:rsidR="0006441E" w:rsidRPr="00A56509" w:rsidRDefault="0006441E" w:rsidP="0006441E">
      <w:pPr>
        <w:pStyle w:val="enumlev1"/>
        <w:rPr>
          <w:lang w:val="es-ES_tradnl"/>
        </w:rPr>
      </w:pPr>
      <w:r w:rsidRPr="00A56509">
        <w:rPr>
          <w:lang w:val="es-ES_tradnl"/>
        </w:rPr>
        <w:t>–</w:t>
      </w:r>
      <w:r w:rsidRPr="00A56509">
        <w:rPr>
          <w:lang w:val="es-ES_tradnl"/>
        </w:rPr>
        <w:tab/>
        <w:t>Todas las disposiciones del RR y Recomendaciones UIT-R pertinentes deben tenerse en cuenta:</w:t>
      </w:r>
    </w:p>
    <w:p w:rsidR="0006441E" w:rsidRPr="00A56509" w:rsidRDefault="0006441E" w:rsidP="003964AC">
      <w:pPr>
        <w:pStyle w:val="enumlev2"/>
        <w:rPr>
          <w:lang w:val="es-ES_tradnl"/>
        </w:rPr>
      </w:pPr>
      <w:r w:rsidRPr="00A56509">
        <w:rPr>
          <w:lang w:val="es-ES_tradnl"/>
        </w:rPr>
        <w:t>a)</w:t>
      </w:r>
      <w:r w:rsidRPr="00A56509">
        <w:rPr>
          <w:lang w:val="es-ES_tradnl"/>
        </w:rPr>
        <w:tab/>
        <w:t xml:space="preserve">deben considerarse todos los criterios </w:t>
      </w:r>
      <w:r w:rsidR="003964AC" w:rsidRPr="00A56509">
        <w:rPr>
          <w:lang w:val="es-ES_tradnl"/>
        </w:rPr>
        <w:t>correspondientes relativos a</w:t>
      </w:r>
      <w:r w:rsidRPr="00A56509">
        <w:rPr>
          <w:lang w:val="es-ES_tradnl"/>
        </w:rPr>
        <w:t xml:space="preserve"> la interferencia, especialmente las diferencias entre emisiones en banda y emisiones no deseadas de los servicios de radiocomunicaciones afectados; </w:t>
      </w:r>
    </w:p>
    <w:p w:rsidR="0006441E" w:rsidRPr="00A56509" w:rsidRDefault="0006441E" w:rsidP="003964AC">
      <w:pPr>
        <w:pStyle w:val="enumlev2"/>
        <w:rPr>
          <w:lang w:val="es-ES_tradnl"/>
        </w:rPr>
      </w:pPr>
      <w:r w:rsidRPr="00A56509">
        <w:rPr>
          <w:lang w:val="es-ES_tradnl"/>
        </w:rPr>
        <w:t>b)</w:t>
      </w:r>
      <w:r w:rsidRPr="00A56509">
        <w:rPr>
          <w:lang w:val="es-ES_tradnl"/>
        </w:rPr>
        <w:tab/>
        <w:t>debe considerarse banda a banda la influencia relativa de cada servicio de radiocomunicaci</w:t>
      </w:r>
      <w:r w:rsidR="003964AC" w:rsidRPr="00A56509">
        <w:rPr>
          <w:lang w:val="es-ES_tradnl"/>
        </w:rPr>
        <w:t>ones</w:t>
      </w:r>
      <w:r w:rsidRPr="00A56509">
        <w:rPr>
          <w:lang w:val="es-ES_tradnl"/>
        </w:rPr>
        <w:t xml:space="preserve"> afectado</w:t>
      </w:r>
      <w:r w:rsidR="003964AC" w:rsidRPr="00A56509">
        <w:rPr>
          <w:lang w:val="es-ES_tradnl"/>
        </w:rPr>
        <w:t>,</w:t>
      </w:r>
      <w:r w:rsidRPr="00A56509">
        <w:rPr>
          <w:lang w:val="es-ES_tradnl"/>
        </w:rPr>
        <w:t xml:space="preserve"> en relación con los otros servicios de radiocomunicaciones afectados</w:t>
      </w:r>
      <w:r w:rsidR="003964AC" w:rsidRPr="00A56509">
        <w:rPr>
          <w:lang w:val="es-ES_tradnl"/>
        </w:rPr>
        <w:t>,</w:t>
      </w:r>
      <w:r w:rsidRPr="00A56509">
        <w:rPr>
          <w:lang w:val="es-ES_tradnl"/>
        </w:rPr>
        <w:t xml:space="preserve"> </w:t>
      </w:r>
      <w:r w:rsidR="003964AC" w:rsidRPr="00A56509">
        <w:rPr>
          <w:lang w:val="es-ES_tradnl"/>
        </w:rPr>
        <w:t>sobre</w:t>
      </w:r>
      <w:r w:rsidRPr="00A56509">
        <w:rPr>
          <w:lang w:val="es-ES_tradnl"/>
        </w:rPr>
        <w:t xml:space="preserve"> el servicio pasivo;</w:t>
      </w:r>
    </w:p>
    <w:p w:rsidR="0006441E" w:rsidRPr="00A56509" w:rsidRDefault="0006441E" w:rsidP="00FF0599">
      <w:pPr>
        <w:pStyle w:val="enumlev1"/>
        <w:rPr>
          <w:bCs/>
          <w:lang w:val="es-ES_tradnl"/>
        </w:rPr>
      </w:pPr>
      <w:r w:rsidRPr="00A56509">
        <w:rPr>
          <w:lang w:val="es-ES_tradnl"/>
        </w:rPr>
        <w:t>–</w:t>
      </w:r>
      <w:r w:rsidRPr="00A56509">
        <w:rPr>
          <w:lang w:val="es-ES_tradnl"/>
        </w:rPr>
        <w:tab/>
        <w:t xml:space="preserve">para las bandas pasivas enumeradas en el </w:t>
      </w:r>
      <w:r w:rsidR="00FF0599" w:rsidRPr="00A56509">
        <w:rPr>
          <w:lang w:val="es-ES_tradnl"/>
        </w:rPr>
        <w:t>N.</w:t>
      </w:r>
      <w:r w:rsidR="00FF0599">
        <w:rPr>
          <w:lang w:val="es-ES_tradnl"/>
        </w:rPr>
        <w:t>°</w:t>
      </w:r>
      <w:r w:rsidR="00FF0599" w:rsidRPr="00A56509">
        <w:rPr>
          <w:lang w:val="es-ES_tradnl"/>
        </w:rPr>
        <w:t> </w:t>
      </w:r>
      <w:r w:rsidRPr="00A56509">
        <w:rPr>
          <w:lang w:val="es-ES_tradnl"/>
        </w:rPr>
        <w:t>5</w:t>
      </w:r>
      <w:r w:rsidR="00FF0599">
        <w:rPr>
          <w:lang w:val="es-ES_tradnl"/>
        </w:rPr>
        <w:t>.</w:t>
      </w:r>
      <w:r w:rsidRPr="00A56509">
        <w:rPr>
          <w:lang w:val="es-ES_tradnl"/>
        </w:rPr>
        <w:t>340 del RR la disposición indica que «</w:t>
      </w:r>
      <w:r w:rsidR="003964AC" w:rsidRPr="00A56509">
        <w:rPr>
          <w:lang w:val="es-ES_tradnl"/>
        </w:rPr>
        <w:t xml:space="preserve">se </w:t>
      </w:r>
      <w:r w:rsidR="00A56509" w:rsidRPr="00A56509">
        <w:rPr>
          <w:lang w:val="es-ES_tradnl"/>
        </w:rPr>
        <w:t>prohíben</w:t>
      </w:r>
      <w:r w:rsidR="003964AC" w:rsidRPr="00A56509">
        <w:rPr>
          <w:lang w:val="es-ES_tradnl"/>
        </w:rPr>
        <w:t xml:space="preserve"> </w:t>
      </w:r>
      <w:r w:rsidRPr="00A56509">
        <w:rPr>
          <w:lang w:val="es-ES_tradnl"/>
        </w:rPr>
        <w:t>todas las emisiones</w:t>
      </w:r>
      <w:r w:rsidR="003964AC" w:rsidRPr="00A56509">
        <w:rPr>
          <w:lang w:val="es-ES_tradnl"/>
        </w:rPr>
        <w:t xml:space="preserve"> </w:t>
      </w:r>
      <w:r w:rsidRPr="00A56509">
        <w:rPr>
          <w:lang w:val="es-ES_tradnl"/>
        </w:rPr>
        <w:t>»</w:t>
      </w:r>
      <w:r w:rsidRPr="00A56509">
        <w:rPr>
          <w:bCs/>
          <w:lang w:val="es-ES_tradnl"/>
        </w:rPr>
        <w:t>.</w:t>
      </w:r>
    </w:p>
    <w:p w:rsidR="0006441E" w:rsidRPr="00A56509" w:rsidRDefault="0006441E" w:rsidP="003964AC">
      <w:pPr>
        <w:rPr>
          <w:lang w:val="es-ES_tradnl"/>
        </w:rPr>
      </w:pPr>
      <w:r w:rsidRPr="00A56509">
        <w:rPr>
          <w:lang w:val="es-ES_tradnl"/>
        </w:rPr>
        <w:t>Los criterios de interferencia de la Recomendación UIT-R RS.1029 determinan un umbral de interferencia y un porcentaje de zona o</w:t>
      </w:r>
      <w:r w:rsidR="003964AC" w:rsidRPr="00A56509">
        <w:rPr>
          <w:lang w:val="es-ES_tradnl"/>
        </w:rPr>
        <w:t xml:space="preserve"> de</w:t>
      </w:r>
      <w:r w:rsidRPr="00A56509">
        <w:rPr>
          <w:lang w:val="es-ES_tradnl"/>
        </w:rPr>
        <w:t xml:space="preserve"> tiempo </w:t>
      </w:r>
      <w:r w:rsidR="003964AC" w:rsidRPr="00A56509">
        <w:rPr>
          <w:lang w:val="es-ES_tradnl"/>
        </w:rPr>
        <w:t xml:space="preserve">en el cual, o </w:t>
      </w:r>
      <w:r w:rsidRPr="00A56509">
        <w:rPr>
          <w:lang w:val="es-ES_tradnl"/>
        </w:rPr>
        <w:t>durante el cual</w:t>
      </w:r>
      <w:r w:rsidR="003964AC" w:rsidRPr="00A56509">
        <w:rPr>
          <w:lang w:val="es-ES_tradnl"/>
        </w:rPr>
        <w:t>,</w:t>
      </w:r>
      <w:r w:rsidRPr="00A56509">
        <w:rPr>
          <w:lang w:val="es-ES_tradnl"/>
        </w:rPr>
        <w:t xml:space="preserve"> no debe rebasarse</w:t>
      </w:r>
      <w:r w:rsidR="003964AC" w:rsidRPr="00A56509">
        <w:rPr>
          <w:lang w:val="es-ES_tradnl"/>
        </w:rPr>
        <w:t xml:space="preserve"> el valor umbral</w:t>
      </w:r>
      <w:r w:rsidRPr="00A56509">
        <w:rPr>
          <w:lang w:val="es-ES_tradnl"/>
        </w:rPr>
        <w:t>. Este porcentaje se denomina criterio de disponibilidad de datos. Generalmente el primer paso en la evaluación de la interferencia consiste en calcular la interferencia combinada dentro de la huella de</w:t>
      </w:r>
      <w:r w:rsidR="003964AC" w:rsidRPr="00A56509">
        <w:rPr>
          <w:lang w:val="es-ES_tradnl"/>
        </w:rPr>
        <w:t xml:space="preserve"> </w:t>
      </w:r>
      <w:r w:rsidRPr="00A56509">
        <w:rPr>
          <w:lang w:val="es-ES_tradnl"/>
        </w:rPr>
        <w:t>la</w:t>
      </w:r>
      <w:r w:rsidR="003964AC" w:rsidRPr="00A56509">
        <w:rPr>
          <w:lang w:val="es-ES_tradnl"/>
        </w:rPr>
        <w:t xml:space="preserve"> antena</w:t>
      </w:r>
      <w:r w:rsidRPr="00A56509">
        <w:rPr>
          <w:lang w:val="es-ES_tradnl"/>
        </w:rPr>
        <w:t xml:space="preserve"> del sensor que se estima que producirá la mayor cantidad</w:t>
      </w:r>
      <w:r w:rsidR="00EA7E0A">
        <w:rPr>
          <w:lang w:val="es-ES_tradnl"/>
        </w:rPr>
        <w:t xml:space="preserve"> de interferencia. Normalmente e</w:t>
      </w:r>
      <w:r w:rsidRPr="00A56509">
        <w:rPr>
          <w:lang w:val="es-ES_tradnl"/>
        </w:rPr>
        <w:t>st</w:t>
      </w:r>
      <w:r w:rsidR="003964AC" w:rsidRPr="00A56509">
        <w:rPr>
          <w:lang w:val="es-ES_tradnl"/>
        </w:rPr>
        <w:t>o</w:t>
      </w:r>
      <w:r w:rsidRPr="00A56509">
        <w:rPr>
          <w:lang w:val="es-ES_tradnl"/>
        </w:rPr>
        <w:t xml:space="preserve"> se realiza mediante un cálculo estático del caso más desfavorable. Si</w:t>
      </w:r>
      <w:r w:rsidR="003964AC" w:rsidRPr="00A56509">
        <w:rPr>
          <w:lang w:val="es-ES_tradnl"/>
        </w:rPr>
        <w:t xml:space="preserve"> de</w:t>
      </w:r>
      <w:r w:rsidRPr="00A56509">
        <w:rPr>
          <w:lang w:val="es-ES_tradnl"/>
        </w:rPr>
        <w:t xml:space="preserve"> este cálculo </w:t>
      </w:r>
      <w:r w:rsidR="003964AC" w:rsidRPr="00A56509">
        <w:rPr>
          <w:lang w:val="es-ES_tradnl"/>
        </w:rPr>
        <w:t>se obtiene</w:t>
      </w:r>
      <w:r w:rsidRPr="00A56509">
        <w:rPr>
          <w:lang w:val="es-ES_tradnl"/>
        </w:rPr>
        <w:t xml:space="preserve"> un nivel de interferencia que rebasa el valor admisible, se llevan a cabo simulaciones dinámicas para determinar si la interferencia combinada cumple con el criterio de disponibilidad de datos de manera mundial o regional. Sin embargo, no sólo </w:t>
      </w:r>
      <w:r w:rsidR="003964AC" w:rsidRPr="00A56509">
        <w:rPr>
          <w:lang w:val="es-ES_tradnl"/>
        </w:rPr>
        <w:t xml:space="preserve">revisten </w:t>
      </w:r>
      <w:r w:rsidR="00A56509" w:rsidRPr="00A56509">
        <w:rPr>
          <w:lang w:val="es-ES_tradnl"/>
        </w:rPr>
        <w:t>importancia</w:t>
      </w:r>
      <w:r w:rsidRPr="00A56509">
        <w:rPr>
          <w:lang w:val="es-ES_tradnl"/>
        </w:rPr>
        <w:t xml:space="preserve"> las estadísticas a nivel mundial o regional sino también las estadísticas de la interferencia procedente de la huella de</w:t>
      </w:r>
      <w:r w:rsidR="003964AC" w:rsidRPr="00A56509">
        <w:rPr>
          <w:lang w:val="es-ES_tradnl"/>
        </w:rPr>
        <w:t xml:space="preserve"> </w:t>
      </w:r>
      <w:r w:rsidRPr="00A56509">
        <w:rPr>
          <w:lang w:val="es-ES_tradnl"/>
        </w:rPr>
        <w:t>la</w:t>
      </w:r>
      <w:r w:rsidR="003964AC" w:rsidRPr="00A56509">
        <w:rPr>
          <w:lang w:val="es-ES_tradnl"/>
        </w:rPr>
        <w:t xml:space="preserve"> antena</w:t>
      </w:r>
      <w:r w:rsidRPr="00A56509">
        <w:rPr>
          <w:lang w:val="es-ES_tradnl"/>
        </w:rPr>
        <w:t xml:space="preserve"> de caso más desfavorable. Por ejemplo, los emisores en dicha huella pueden estar funcionando intermitentemente o pueden variar las direcciones a las que apuntan sus antenas. Por consiguiente, la potencia de interferencia procedente de la huella de caso más desfavorable tendrá una distribución de probabilidad</w:t>
      </w:r>
      <w:r w:rsidR="003964AC" w:rsidRPr="00A56509">
        <w:rPr>
          <w:lang w:val="es-ES_tradnl"/>
        </w:rPr>
        <w:t>,</w:t>
      </w:r>
      <w:r w:rsidRPr="00A56509">
        <w:rPr>
          <w:lang w:val="es-ES_tradnl"/>
        </w:rPr>
        <w:t xml:space="preserve"> al igual que la interferencia determinada a escala mundial o regional tendrá una dis</w:t>
      </w:r>
      <w:r w:rsidR="003964AC" w:rsidRPr="00A56509">
        <w:rPr>
          <w:lang w:val="es-ES_tradnl"/>
        </w:rPr>
        <w:t xml:space="preserve">tribución de probabilidad debida </w:t>
      </w:r>
      <w:r w:rsidRPr="00A56509">
        <w:rPr>
          <w:lang w:val="es-ES_tradnl"/>
        </w:rPr>
        <w:t xml:space="preserve">a la variación geográfica en la instalación de los emisores. La diferencia principal es que la interferencia a escala mundial se analizaría utilizando la simulación dinámica y la interferencia procedente de la huella de caso más desfavorable también podría analizarse empleando el método de Monte Carlo en los casos en que es difícil </w:t>
      </w:r>
      <w:r w:rsidR="003964AC" w:rsidRPr="00A56509">
        <w:rPr>
          <w:lang w:val="es-ES_tradnl"/>
        </w:rPr>
        <w:t>recopi</w:t>
      </w:r>
      <w:r w:rsidRPr="00A56509">
        <w:rPr>
          <w:lang w:val="es-ES_tradnl"/>
        </w:rPr>
        <w:t xml:space="preserve">lar datos suficientes en un periodo de tiempo razonable utilizando simulación dinámica. </w:t>
      </w:r>
    </w:p>
    <w:p w:rsidR="0006441E" w:rsidRPr="00A56509" w:rsidRDefault="0006441E" w:rsidP="0006441E">
      <w:pPr>
        <w:rPr>
          <w:lang w:val="es-ES_tradnl"/>
        </w:rPr>
      </w:pPr>
      <w:r w:rsidRPr="00A56509">
        <w:rPr>
          <w:lang w:val="es-ES_tradnl"/>
        </w:rPr>
        <w:t>Estas simulaciones, ya sea</w:t>
      </w:r>
      <w:r w:rsidR="003964AC" w:rsidRPr="00A56509">
        <w:rPr>
          <w:lang w:val="es-ES_tradnl"/>
        </w:rPr>
        <w:t>n</w:t>
      </w:r>
      <w:r w:rsidRPr="00A56509">
        <w:rPr>
          <w:lang w:val="es-ES_tradnl"/>
        </w:rPr>
        <w:t xml:space="preserve"> dinámica</w:t>
      </w:r>
      <w:r w:rsidR="003964AC" w:rsidRPr="00A56509">
        <w:rPr>
          <w:lang w:val="es-ES_tradnl"/>
        </w:rPr>
        <w:t>s</w:t>
      </w:r>
      <w:r w:rsidRPr="00A56509">
        <w:rPr>
          <w:lang w:val="es-ES_tradnl"/>
        </w:rPr>
        <w:t xml:space="preserve"> o de Monte Carlo, se llevan a cabo normalmente cuando hay sólo un tipo de servicio interferente implicado. La cuestión que se plantea es la forma de proceder cuando existen múltiples servicios interferentes</w:t>
      </w:r>
      <w:r w:rsidR="003964AC" w:rsidRPr="00A56509">
        <w:rPr>
          <w:lang w:val="es-ES_tradnl"/>
        </w:rPr>
        <w:t>,</w:t>
      </w:r>
      <w:r w:rsidRPr="00A56509">
        <w:rPr>
          <w:lang w:val="es-ES_tradnl"/>
        </w:rPr>
        <w:t xml:space="preserve"> </w:t>
      </w:r>
      <w:r w:rsidR="003964AC" w:rsidRPr="00A56509">
        <w:rPr>
          <w:lang w:val="es-ES_tradnl"/>
        </w:rPr>
        <w:t>por</w:t>
      </w:r>
      <w:r w:rsidRPr="00A56509">
        <w:rPr>
          <w:lang w:val="es-ES_tradnl"/>
        </w:rPr>
        <w:t>que no siempre es posible incorporar todos los servicios interferentes en una sola simulación.</w:t>
      </w:r>
    </w:p>
    <w:p w:rsidR="0006441E" w:rsidRPr="00A56509" w:rsidRDefault="0006441E" w:rsidP="00A2741D">
      <w:pPr>
        <w:keepNext/>
        <w:keepLines/>
        <w:rPr>
          <w:lang w:val="es-ES_tradnl"/>
        </w:rPr>
      </w:pPr>
      <w:r w:rsidRPr="00A56509">
        <w:rPr>
          <w:lang w:val="es-ES_tradnl"/>
        </w:rPr>
        <w:lastRenderedPageBreak/>
        <w:t xml:space="preserve">Una forma de proceder es suponer que la interferencia combinada variable en el tiempo procedente de cualquier servicio de radiocomunicaciones consta de componentes tanto a largo plazo como a corto plazo. Los eventos de interferencia a corto plazo procedentes de servicios diferentes generalmente no están correlados ni se producen </w:t>
      </w:r>
      <w:r w:rsidR="003964AC" w:rsidRPr="00A56509">
        <w:rPr>
          <w:lang w:val="es-ES_tradnl"/>
        </w:rPr>
        <w:t>simultáneamente</w:t>
      </w:r>
      <w:r w:rsidRPr="00A56509">
        <w:rPr>
          <w:lang w:val="es-ES_tradnl"/>
        </w:rPr>
        <w:t>. En consecuencia, la interferencia a corto plazo no se combina en potencia sino en tiempo. Por otro lado, la interferencia a largo plazo se combina en potencia en vez de en tiempo. El problema con este enfoque es el hecho de que no existe un criterio de interferencia a largo plazo para la teledetección pasiva</w:t>
      </w:r>
      <w:r w:rsidR="003964AC" w:rsidRPr="00A56509">
        <w:rPr>
          <w:lang w:val="es-ES_tradnl"/>
        </w:rPr>
        <w:t>,</w:t>
      </w:r>
      <w:r w:rsidRPr="00A56509">
        <w:rPr>
          <w:lang w:val="es-ES_tradnl"/>
        </w:rPr>
        <w:t xml:space="preserve"> y por consiguiente</w:t>
      </w:r>
      <w:r w:rsidR="003964AC" w:rsidRPr="00A56509">
        <w:rPr>
          <w:lang w:val="es-ES_tradnl"/>
        </w:rPr>
        <w:t>,</w:t>
      </w:r>
      <w:r w:rsidRPr="00A56509">
        <w:rPr>
          <w:lang w:val="es-ES_tradnl"/>
        </w:rPr>
        <w:t xml:space="preserve"> no hay forma de determinar si la componente a largo plazo de la interferencia combinada es excesiva. Además, como se verá más adelante, cualquier hipótesis de interferencia generalmente presenta componentes a corto plazo y a largo plazo</w:t>
      </w:r>
      <w:r w:rsidR="003964AC" w:rsidRPr="00A56509">
        <w:rPr>
          <w:lang w:val="es-ES_tradnl"/>
        </w:rPr>
        <w:t>,</w:t>
      </w:r>
      <w:r w:rsidRPr="00A56509">
        <w:rPr>
          <w:lang w:val="es-ES_tradnl"/>
        </w:rPr>
        <w:t xml:space="preserve"> lo que significa que la interferencia se combina tanto en potencia como en tiempo.</w:t>
      </w:r>
    </w:p>
    <w:p w:rsidR="0006441E" w:rsidRPr="00A56509" w:rsidRDefault="0006441E" w:rsidP="0006441E">
      <w:pPr>
        <w:rPr>
          <w:lang w:val="es-ES_tradnl"/>
        </w:rPr>
      </w:pPr>
      <w:r w:rsidRPr="00A56509">
        <w:rPr>
          <w:lang w:val="es-ES_tradnl"/>
        </w:rPr>
        <w:t xml:space="preserve">Otra forma de proceder, que no requiere una distinción entre la interferencia a corto plazo y a largo plazo es utilizar </w:t>
      </w:r>
      <w:r w:rsidR="003964AC" w:rsidRPr="00A56509">
        <w:rPr>
          <w:lang w:val="es-ES_tradnl"/>
        </w:rPr>
        <w:t xml:space="preserve">el </w:t>
      </w:r>
      <w:r w:rsidRPr="00A56509">
        <w:rPr>
          <w:lang w:val="es-ES_tradnl"/>
        </w:rPr>
        <w:t xml:space="preserve">método de momentos estadísticos, que es el tema tratado en el resto de este </w:t>
      </w:r>
      <w:r w:rsidR="005A2119" w:rsidRPr="00A56509">
        <w:rPr>
          <w:lang w:val="es-ES_tradnl"/>
        </w:rPr>
        <w:t>Anexo</w:t>
      </w:r>
      <w:r w:rsidRPr="00A56509">
        <w:rPr>
          <w:lang w:val="es-ES_tradnl"/>
        </w:rPr>
        <w:t>. Para determinar el nivel de interferencia combinada dentro de la banda del sensor, puede comenzarse con una descripción estadística de la interferencia procedente de cada servicio. El objetivo definitivo es determinar el nivel de interferencia combinada rebasado durante un pequeño porcentaje de tiempo.</w:t>
      </w:r>
    </w:p>
    <w:p w:rsidR="0006441E" w:rsidRPr="00A56509" w:rsidRDefault="0006441E" w:rsidP="00980E98">
      <w:pPr>
        <w:rPr>
          <w:lang w:val="es-ES_tradnl"/>
        </w:rPr>
      </w:pPr>
      <w:r w:rsidRPr="00A56509">
        <w:rPr>
          <w:lang w:val="es-ES_tradnl"/>
        </w:rPr>
        <w:t xml:space="preserve">Sean </w:t>
      </w:r>
      <w:r w:rsidR="003964AC" w:rsidRPr="00A56509">
        <w:rPr>
          <w:lang w:val="es-ES_tradnl"/>
        </w:rPr>
        <w:sym w:font="Symbol" w:char="F06D"/>
      </w:r>
      <w:r w:rsidRPr="00A56509">
        <w:rPr>
          <w:i/>
          <w:vertAlign w:val="subscript"/>
          <w:lang w:val="es-ES_tradnl"/>
        </w:rPr>
        <w:t>k</w:t>
      </w:r>
      <w:r w:rsidRPr="00A56509">
        <w:rPr>
          <w:lang w:val="es-ES_tradnl"/>
        </w:rPr>
        <w:t xml:space="preserve"> y </w:t>
      </w:r>
      <w:r w:rsidR="003964AC" w:rsidRPr="00A56509">
        <w:rPr>
          <w:lang w:val="es-ES_tradnl"/>
        </w:rPr>
        <w:sym w:font="Symbol" w:char="F073"/>
      </w:r>
      <w:r w:rsidRPr="00A56509">
        <w:rPr>
          <w:i/>
          <w:vertAlign w:val="subscript"/>
          <w:lang w:val="es-ES_tradnl"/>
        </w:rPr>
        <w:t>k</w:t>
      </w:r>
      <w:r w:rsidRPr="00A56509">
        <w:rPr>
          <w:iCs/>
          <w:vertAlign w:val="superscript"/>
          <w:lang w:val="es-ES_tradnl"/>
        </w:rPr>
        <w:t>2</w:t>
      </w:r>
      <w:r w:rsidRPr="00A56509">
        <w:rPr>
          <w:lang w:val="es-ES_tradnl"/>
        </w:rPr>
        <w:t xml:space="preserve"> la media (W) y la varianza </w:t>
      </w:r>
      <w:r w:rsidR="003964AC" w:rsidRPr="00A56509">
        <w:rPr>
          <w:lang w:val="es-ES_tradnl"/>
        </w:rPr>
        <w:t>(</w:t>
      </w:r>
      <w:r w:rsidRPr="00A56509">
        <w:rPr>
          <w:lang w:val="es-ES_tradnl"/>
        </w:rPr>
        <w:t>W</w:t>
      </w:r>
      <w:r w:rsidRPr="00A56509">
        <w:rPr>
          <w:szCs w:val="24"/>
          <w:vertAlign w:val="superscript"/>
          <w:lang w:val="es-ES_tradnl"/>
        </w:rPr>
        <w:t>2</w:t>
      </w:r>
      <w:r w:rsidRPr="00A56509">
        <w:rPr>
          <w:szCs w:val="24"/>
          <w:lang w:val="es-ES_tradnl"/>
        </w:rPr>
        <w:t>)</w:t>
      </w:r>
      <w:r w:rsidRPr="00A56509">
        <w:rPr>
          <w:lang w:val="es-ES_tradnl"/>
        </w:rPr>
        <w:t xml:space="preserve"> del nivel de interferencia en el sensor pasivo procedente del </w:t>
      </w:r>
      <w:r w:rsidRPr="00A56509">
        <w:rPr>
          <w:i/>
          <w:lang w:val="es-ES_tradnl"/>
        </w:rPr>
        <w:t>k</w:t>
      </w:r>
      <w:r w:rsidRPr="00A56509">
        <w:rPr>
          <w:i/>
          <w:lang w:val="es-ES_tradnl"/>
        </w:rPr>
        <w:noBreakHyphen/>
      </w:r>
      <w:r w:rsidRPr="00A56509">
        <w:rPr>
          <w:lang w:val="es-ES_tradnl"/>
        </w:rPr>
        <w:t xml:space="preserve">ésimo servicio. En una simulación dinámica o de Monte Carlo, </w:t>
      </w:r>
      <w:r w:rsidRPr="00A56509">
        <w:rPr>
          <w:rFonts w:ascii="Symbol" w:hAnsi="Symbol"/>
          <w:lang w:val="es-ES_tradnl"/>
        </w:rPr>
        <w:t></w:t>
      </w:r>
      <w:r w:rsidRPr="00A56509">
        <w:rPr>
          <w:i/>
          <w:vertAlign w:val="subscript"/>
          <w:lang w:val="es-ES_tradnl"/>
        </w:rPr>
        <w:t>k</w:t>
      </w:r>
      <w:r w:rsidRPr="00A56509">
        <w:rPr>
          <w:lang w:val="es-ES_tradnl"/>
        </w:rPr>
        <w:t xml:space="preserve"> sería la suma de los niveles de interferencia obtenidos de un gran número de muestras de potencia de interferencia a la entrada del sensor pasivo dividid</w:t>
      </w:r>
      <w:r w:rsidR="003964AC" w:rsidRPr="00A56509">
        <w:rPr>
          <w:lang w:val="es-ES_tradnl"/>
        </w:rPr>
        <w:t>a</w:t>
      </w:r>
      <w:r w:rsidRPr="00A56509">
        <w:rPr>
          <w:lang w:val="es-ES_tradnl"/>
        </w:rPr>
        <w:t xml:space="preserve"> por el número de muestras para el </w:t>
      </w:r>
      <w:r w:rsidRPr="00A56509">
        <w:rPr>
          <w:i/>
          <w:lang w:val="es-ES_tradnl"/>
        </w:rPr>
        <w:t>k</w:t>
      </w:r>
      <w:r w:rsidRPr="00A56509">
        <w:rPr>
          <w:i/>
          <w:lang w:val="es-ES_tradnl"/>
        </w:rPr>
        <w:noBreakHyphen/>
      </w:r>
      <w:r w:rsidRPr="00A56509">
        <w:rPr>
          <w:lang w:val="es-ES_tradnl"/>
        </w:rPr>
        <w:t>ésimo servicio</w:t>
      </w:r>
      <w:r w:rsidR="003964AC" w:rsidRPr="00A56509">
        <w:rPr>
          <w:lang w:val="es-ES_tradnl"/>
        </w:rPr>
        <w:t xml:space="preserve"> y</w:t>
      </w:r>
      <w:r w:rsidRPr="00A56509">
        <w:rPr>
          <w:lang w:val="es-ES_tradnl"/>
        </w:rPr>
        <w:t xml:space="preserve"> </w:t>
      </w:r>
      <w:r w:rsidR="003964AC" w:rsidRPr="00A56509">
        <w:rPr>
          <w:lang w:val="es-ES_tradnl"/>
        </w:rPr>
        <w:sym w:font="Symbol" w:char="F073"/>
      </w:r>
      <w:r w:rsidRPr="00A56509">
        <w:rPr>
          <w:i/>
          <w:vertAlign w:val="subscript"/>
          <w:lang w:val="es-ES_tradnl"/>
        </w:rPr>
        <w:t>k</w:t>
      </w:r>
      <w:r w:rsidRPr="00A56509">
        <w:rPr>
          <w:iCs/>
          <w:vertAlign w:val="superscript"/>
          <w:lang w:val="es-ES_tradnl"/>
        </w:rPr>
        <w:t>2</w:t>
      </w:r>
      <w:r w:rsidRPr="00A56509">
        <w:rPr>
          <w:szCs w:val="24"/>
          <w:lang w:val="es-ES_tradnl"/>
        </w:rPr>
        <w:t xml:space="preserve"> la suma de los cuadrados de las desviaciones de las muestras de interferencia de la potencia interferente a la entrada del sensor pasivo de </w:t>
      </w:r>
      <w:r w:rsidRPr="00A56509">
        <w:rPr>
          <w:rFonts w:ascii="Symbol" w:hAnsi="Symbol"/>
          <w:iCs/>
          <w:lang w:val="es-ES_tradnl"/>
        </w:rPr>
        <w:t></w:t>
      </w:r>
      <w:r w:rsidRPr="00A56509">
        <w:rPr>
          <w:i/>
          <w:vertAlign w:val="subscript"/>
          <w:lang w:val="es-ES_tradnl"/>
        </w:rPr>
        <w:t>k</w:t>
      </w:r>
      <w:r w:rsidRPr="00A56509">
        <w:rPr>
          <w:szCs w:val="24"/>
          <w:lang w:val="es-ES_tradnl"/>
        </w:rPr>
        <w:t>, dividida por el número de muestras. No es necesario conocer la distribución de probabilidad de la interferencia para cada servicio individual</w:t>
      </w:r>
      <w:r w:rsidRPr="00A56509">
        <w:rPr>
          <w:lang w:val="es-ES_tradnl"/>
        </w:rPr>
        <w:t xml:space="preserve">. </w:t>
      </w:r>
    </w:p>
    <w:p w:rsidR="0006441E" w:rsidRDefault="0006441E" w:rsidP="003964AC">
      <w:pPr>
        <w:rPr>
          <w:lang w:val="es-ES_tradnl"/>
        </w:rPr>
      </w:pPr>
      <w:r w:rsidRPr="00A56509">
        <w:rPr>
          <w:lang w:val="es-ES_tradnl"/>
        </w:rPr>
        <w:t xml:space="preserve">Bajo la hipótesis de que las contribuciones de interferencia </w:t>
      </w:r>
      <w:r w:rsidR="003964AC" w:rsidRPr="00A56509">
        <w:rPr>
          <w:lang w:val="es-ES_tradnl"/>
        </w:rPr>
        <w:t>proced</w:t>
      </w:r>
      <w:r w:rsidRPr="00A56509">
        <w:rPr>
          <w:lang w:val="es-ES_tradnl"/>
        </w:rPr>
        <w:t xml:space="preserve">ente de los distintos servicios activos son independientes entre sí, los momentos de la distribución combinada </w:t>
      </w:r>
      <w:r w:rsidR="003964AC" w:rsidRPr="00A56509">
        <w:rPr>
          <w:lang w:val="es-ES_tradnl"/>
        </w:rPr>
        <w:t>se calculan</w:t>
      </w:r>
      <w:r w:rsidRPr="00A56509">
        <w:rPr>
          <w:lang w:val="es-ES_tradnl"/>
        </w:rPr>
        <w:t xml:space="preserve"> como sigue:</w:t>
      </w:r>
    </w:p>
    <w:p w:rsidR="00A2741D" w:rsidRPr="0088795E" w:rsidRDefault="00A2741D" w:rsidP="00A2741D">
      <w:pPr>
        <w:pStyle w:val="Blanc"/>
        <w:rPr>
          <w:lang w:val="es-ES_tradnl"/>
        </w:rPr>
      </w:pPr>
    </w:p>
    <w:p w:rsidR="0006441E" w:rsidRPr="00A56509" w:rsidRDefault="0006441E" w:rsidP="0006441E">
      <w:pPr>
        <w:pStyle w:val="Equation"/>
        <w:rPr>
          <w:lang w:val="es-ES_tradnl"/>
        </w:rPr>
      </w:pPr>
      <w:r w:rsidRPr="00A56509">
        <w:rPr>
          <w:lang w:val="es-ES_tradnl"/>
        </w:rPr>
        <w:tab/>
      </w:r>
      <w:r w:rsidRPr="00A56509">
        <w:rPr>
          <w:lang w:val="es-ES_tradnl"/>
        </w:rPr>
        <w:tab/>
      </w:r>
      <w:r w:rsidR="003964AC" w:rsidRPr="00A56509">
        <w:rPr>
          <w:position w:val="-32"/>
          <w:lang w:val="es-ES_tradnl"/>
        </w:rPr>
        <w:object w:dxaOrig="999"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45pt" o:ole="">
            <v:imagedata r:id="rId12" o:title=""/>
          </v:shape>
          <o:OLEObject Type="Embed" ProgID="Equation.3" ShapeID="_x0000_i1025" DrawAspect="Content" ObjectID="_1339849935" r:id="rId13"/>
        </w:object>
      </w:r>
      <w:r w:rsidRPr="00A56509">
        <w:rPr>
          <w:lang w:val="es-ES_tradnl"/>
        </w:rPr>
        <w:t>     y     </w:t>
      </w:r>
      <w:r w:rsidR="003964AC" w:rsidRPr="00A56509">
        <w:rPr>
          <w:position w:val="-32"/>
          <w:lang w:val="es-ES_tradnl"/>
        </w:rPr>
        <w:object w:dxaOrig="1140" w:dyaOrig="900">
          <v:shape id="_x0000_i1026" type="#_x0000_t75" style="width:57pt;height:45pt" o:ole="">
            <v:imagedata r:id="rId14" o:title=""/>
          </v:shape>
          <o:OLEObject Type="Embed" ProgID="Equation.3" ShapeID="_x0000_i1026" DrawAspect="Content" ObjectID="_1339849936" r:id="rId15"/>
        </w:object>
      </w:r>
      <w:r w:rsidRPr="00A56509">
        <w:rPr>
          <w:lang w:val="es-ES_tradnl"/>
        </w:rPr>
        <w:tab/>
        <w:t>(1)</w:t>
      </w:r>
    </w:p>
    <w:p w:rsidR="00A2741D" w:rsidRPr="0088795E" w:rsidRDefault="00A2741D" w:rsidP="00A2741D">
      <w:pPr>
        <w:pStyle w:val="Blanc"/>
        <w:rPr>
          <w:lang w:val="es-ES_tradnl"/>
        </w:rPr>
      </w:pPr>
    </w:p>
    <w:p w:rsidR="0006441E" w:rsidRPr="00A56509" w:rsidRDefault="003964AC" w:rsidP="00980E98">
      <w:pPr>
        <w:spacing w:before="240"/>
        <w:rPr>
          <w:lang w:val="es-ES_tradnl"/>
        </w:rPr>
      </w:pPr>
      <w:r w:rsidRPr="00A56509">
        <w:rPr>
          <w:lang w:val="es-ES_tradnl"/>
        </w:rPr>
        <w:t>s</w:t>
      </w:r>
      <w:r w:rsidR="0006441E" w:rsidRPr="00A56509">
        <w:rPr>
          <w:lang w:val="es-ES_tradnl"/>
        </w:rPr>
        <w:t xml:space="preserve">iendo </w:t>
      </w:r>
      <w:r w:rsidR="0006441E" w:rsidRPr="00A56509">
        <w:rPr>
          <w:i/>
          <w:lang w:val="es-ES_tradnl"/>
        </w:rPr>
        <w:t>K</w:t>
      </w:r>
      <w:r w:rsidR="0006441E" w:rsidRPr="00A56509">
        <w:rPr>
          <w:lang w:val="es-ES_tradnl"/>
        </w:rPr>
        <w:t xml:space="preserve"> el número de servicios interferentes. Esto se cumple independientemente de la distribución de probabilidad de la interferencia procedente de cada </w:t>
      </w:r>
      <w:r w:rsidRPr="00A56509">
        <w:rPr>
          <w:lang w:val="es-ES_tradnl"/>
        </w:rPr>
        <w:t xml:space="preserve">uno de los </w:t>
      </w:r>
      <w:r w:rsidR="0006441E" w:rsidRPr="00A56509">
        <w:rPr>
          <w:lang w:val="es-ES_tradnl"/>
        </w:rPr>
        <w:t>servicio</w:t>
      </w:r>
      <w:r w:rsidRPr="00A56509">
        <w:rPr>
          <w:lang w:val="es-ES_tradnl"/>
        </w:rPr>
        <w:t>s</w:t>
      </w:r>
      <w:r w:rsidR="0006441E" w:rsidRPr="00A56509">
        <w:rPr>
          <w:lang w:val="es-ES_tradnl"/>
        </w:rPr>
        <w:t xml:space="preserve">. De hecho, si los servicios interferentes son estadísticamente independientes, las medias y </w:t>
      </w:r>
      <w:r w:rsidRPr="00A56509">
        <w:rPr>
          <w:lang w:val="es-ES_tradnl"/>
        </w:rPr>
        <w:t xml:space="preserve">las </w:t>
      </w:r>
      <w:r w:rsidR="0006441E" w:rsidRPr="00A56509">
        <w:rPr>
          <w:lang w:val="es-ES_tradnl"/>
        </w:rPr>
        <w:t xml:space="preserve">varianzas de los niveles de interferencia son las únicas cantidades aditivas que existen en sentido estadístico. Los </w:t>
      </w:r>
      <w:r w:rsidRPr="00A56509">
        <w:rPr>
          <w:lang w:val="es-ES_tradnl"/>
        </w:rPr>
        <w:t>valores</w:t>
      </w:r>
      <w:r w:rsidR="0006441E" w:rsidRPr="00A56509">
        <w:rPr>
          <w:lang w:val="es-ES_tradnl"/>
        </w:rPr>
        <w:t xml:space="preserve"> de los propios momentos no revisten mayor interés. Lo que se necesita conocer es el nivel combinado</w:t>
      </w:r>
      <w:r w:rsidR="00980E98">
        <w:rPr>
          <w:lang w:val="es-ES_tradnl"/>
        </w:rPr>
        <w:t> </w:t>
      </w:r>
      <w:r w:rsidR="0006441E" w:rsidRPr="00A56509">
        <w:rPr>
          <w:i/>
          <w:lang w:val="es-ES_tradnl"/>
        </w:rPr>
        <w:t>P</w:t>
      </w:r>
      <w:r w:rsidR="0006441E" w:rsidRPr="00A56509">
        <w:rPr>
          <w:lang w:val="es-ES_tradnl"/>
        </w:rPr>
        <w:t xml:space="preserve"> rebasado durante un pequeño porcentaje de tiempo, por</w:t>
      </w:r>
      <w:r w:rsidRPr="00A56509">
        <w:rPr>
          <w:lang w:val="es-ES_tradnl"/>
        </w:rPr>
        <w:t xml:space="preserve"> </w:t>
      </w:r>
      <w:r w:rsidR="0006441E" w:rsidRPr="00A56509">
        <w:rPr>
          <w:lang w:val="es-ES_tradnl"/>
        </w:rPr>
        <w:t>ejemplo el 0</w:t>
      </w:r>
      <w:r w:rsidRPr="00A56509">
        <w:rPr>
          <w:lang w:val="es-ES_tradnl"/>
        </w:rPr>
        <w:t>,</w:t>
      </w:r>
      <w:r w:rsidR="0006441E" w:rsidRPr="00A56509">
        <w:rPr>
          <w:lang w:val="es-ES_tradnl"/>
        </w:rPr>
        <w:t>1 o el 0</w:t>
      </w:r>
      <w:r w:rsidRPr="00A56509">
        <w:rPr>
          <w:lang w:val="es-ES_tradnl"/>
        </w:rPr>
        <w:t>,</w:t>
      </w:r>
      <w:r w:rsidR="0006441E" w:rsidRPr="00A56509">
        <w:rPr>
          <w:lang w:val="es-ES_tradnl"/>
        </w:rPr>
        <w:t xml:space="preserve">01%. El nivel rebasado durante un pequeño porcentaje de tiempo es el nivel medio más un cierto número de desviaciones típicas con respecto a la media. </w:t>
      </w:r>
    </w:p>
    <w:p w:rsidR="0006441E" w:rsidRPr="00A56509" w:rsidRDefault="0006441E" w:rsidP="00D41B00">
      <w:pPr>
        <w:rPr>
          <w:szCs w:val="24"/>
          <w:lang w:val="es-ES_tradnl"/>
        </w:rPr>
      </w:pPr>
      <w:r w:rsidRPr="00A56509">
        <w:rPr>
          <w:lang w:val="es-ES_tradnl"/>
        </w:rPr>
        <w:t xml:space="preserve">Por consiguiente, </w:t>
      </w:r>
      <w:r w:rsidRPr="00A56509">
        <w:rPr>
          <w:i/>
          <w:lang w:val="es-ES_tradnl"/>
        </w:rPr>
        <w:t>P</w:t>
      </w:r>
      <w:r w:rsidRPr="00A56509">
        <w:rPr>
          <w:lang w:val="es-ES_tradnl"/>
        </w:rPr>
        <w:t xml:space="preserve"> puede expresarse como </w:t>
      </w:r>
      <w:r w:rsidRPr="00A56509">
        <w:rPr>
          <w:rFonts w:ascii="Symbol" w:hAnsi="Symbol"/>
          <w:iCs/>
          <w:lang w:val="es-ES_tradnl"/>
        </w:rPr>
        <w:t></w:t>
      </w:r>
      <w:r w:rsidRPr="00A56509">
        <w:rPr>
          <w:lang w:val="es-ES_tradnl"/>
        </w:rPr>
        <w:t xml:space="preserve"> + </w:t>
      </w:r>
      <w:r w:rsidRPr="00A56509">
        <w:rPr>
          <w:i/>
          <w:lang w:val="es-ES_tradnl"/>
        </w:rPr>
        <w:t>c</w:t>
      </w:r>
      <w:r w:rsidRPr="00A56509">
        <w:rPr>
          <w:rFonts w:ascii="Symbol" w:hAnsi="Symbol"/>
          <w:iCs/>
          <w:lang w:val="es-ES_tradnl"/>
        </w:rPr>
        <w:t></w:t>
      </w:r>
      <w:r w:rsidRPr="00A56509">
        <w:rPr>
          <w:rFonts w:ascii="Symbol" w:hAnsi="Symbol"/>
          <w:lang w:val="es-ES_tradnl"/>
        </w:rPr>
        <w:t></w:t>
      </w:r>
      <w:r w:rsidRPr="00A56509">
        <w:rPr>
          <w:lang w:val="es-ES_tradnl"/>
        </w:rPr>
        <w:t xml:space="preserve"> siendo </w:t>
      </w:r>
      <w:r w:rsidRPr="00A56509">
        <w:rPr>
          <w:i/>
          <w:lang w:val="es-ES_tradnl"/>
        </w:rPr>
        <w:t>c</w:t>
      </w:r>
      <w:r w:rsidRPr="00A56509">
        <w:rPr>
          <w:lang w:val="es-ES_tradnl"/>
        </w:rPr>
        <w:t xml:space="preserve"> una constante que se determina utilizando toda la información estadística obtenida de la simulación dinámica de cada servicio. Para el </w:t>
      </w:r>
      <w:r w:rsidRPr="00A56509">
        <w:rPr>
          <w:i/>
          <w:lang w:val="es-ES_tradnl"/>
        </w:rPr>
        <w:t>k</w:t>
      </w:r>
      <w:r w:rsidRPr="00A56509">
        <w:rPr>
          <w:lang w:val="es-ES_tradnl"/>
        </w:rPr>
        <w:noBreakHyphen/>
        <w:t>ésimo</w:t>
      </w:r>
      <w:r w:rsidRPr="00A56509">
        <w:rPr>
          <w:szCs w:val="24"/>
          <w:lang w:val="es-ES_tradnl"/>
        </w:rPr>
        <w:t xml:space="preserve"> servicio, se determina</w:t>
      </w:r>
      <w:r w:rsidR="003964AC" w:rsidRPr="00A56509">
        <w:rPr>
          <w:szCs w:val="24"/>
          <w:lang w:val="es-ES_tradnl"/>
        </w:rPr>
        <w:t>n</w:t>
      </w:r>
      <w:r w:rsidRPr="00A56509">
        <w:rPr>
          <w:szCs w:val="24"/>
          <w:lang w:val="es-ES_tradnl"/>
        </w:rPr>
        <w:t xml:space="preserve"> los momentos y la distribución acumulativa de la interferencia y se calcula </w:t>
      </w:r>
    </w:p>
    <w:p w:rsidR="00A2741D" w:rsidRPr="0088795E" w:rsidRDefault="00A2741D" w:rsidP="00A2741D">
      <w:pPr>
        <w:pStyle w:val="Blanc"/>
        <w:rPr>
          <w:lang w:val="es-ES_tradnl"/>
        </w:rPr>
      </w:pPr>
    </w:p>
    <w:p w:rsidR="0006441E" w:rsidRPr="00A56509" w:rsidRDefault="0006441E" w:rsidP="0006441E">
      <w:pPr>
        <w:pStyle w:val="Equation"/>
        <w:rPr>
          <w:lang w:val="es-ES_tradnl"/>
        </w:rPr>
      </w:pPr>
      <w:r w:rsidRPr="00A56509">
        <w:rPr>
          <w:lang w:val="es-ES_tradnl"/>
        </w:rPr>
        <w:tab/>
      </w:r>
      <w:r w:rsidRPr="00A56509">
        <w:rPr>
          <w:lang w:val="es-ES_tradnl"/>
        </w:rPr>
        <w:tab/>
      </w:r>
      <w:r w:rsidR="003964AC" w:rsidRPr="00A56509">
        <w:rPr>
          <w:position w:val="-30"/>
          <w:lang w:val="es-ES_tradnl"/>
        </w:rPr>
        <w:object w:dxaOrig="1280" w:dyaOrig="680">
          <v:shape id="_x0000_i1027" type="#_x0000_t75" style="width:64.2pt;height:33.6pt" o:ole="">
            <v:imagedata r:id="rId16" o:title=""/>
          </v:shape>
          <o:OLEObject Type="Embed" ProgID="Equation.3" ShapeID="_x0000_i1027" DrawAspect="Content" ObjectID="_1339849937" r:id="rId17"/>
        </w:object>
      </w:r>
      <w:r w:rsidRPr="00A56509">
        <w:rPr>
          <w:lang w:val="es-ES_tradnl"/>
        </w:rPr>
        <w:tab/>
        <w:t>(2)</w:t>
      </w:r>
    </w:p>
    <w:p w:rsidR="0006441E" w:rsidRPr="00A56509" w:rsidRDefault="0006441E" w:rsidP="00A2741D">
      <w:pPr>
        <w:rPr>
          <w:lang w:val="es-ES_tradnl"/>
        </w:rPr>
      </w:pPr>
      <w:r w:rsidRPr="00A56509">
        <w:rPr>
          <w:lang w:val="es-ES_tradnl"/>
        </w:rPr>
        <w:lastRenderedPageBreak/>
        <w:t xml:space="preserve">donde </w:t>
      </w:r>
      <w:r w:rsidRPr="00A56509">
        <w:rPr>
          <w:i/>
          <w:lang w:val="es-ES_tradnl"/>
        </w:rPr>
        <w:t>P</w:t>
      </w:r>
      <w:r w:rsidRPr="00A56509">
        <w:rPr>
          <w:i/>
          <w:vertAlign w:val="subscript"/>
          <w:lang w:val="es-ES_tradnl"/>
        </w:rPr>
        <w:t>k</w:t>
      </w:r>
      <w:r w:rsidRPr="00A56509">
        <w:rPr>
          <w:lang w:val="es-ES_tradnl"/>
        </w:rPr>
        <w:t xml:space="preserve"> es el nivel de interferencia procedente del </w:t>
      </w:r>
      <w:r w:rsidRPr="00A56509">
        <w:rPr>
          <w:i/>
          <w:lang w:val="es-ES_tradnl"/>
        </w:rPr>
        <w:t>k</w:t>
      </w:r>
      <w:r w:rsidRPr="00A56509">
        <w:rPr>
          <w:i/>
          <w:lang w:val="es-ES_tradnl"/>
        </w:rPr>
        <w:noBreakHyphen/>
      </w:r>
      <w:r w:rsidRPr="00A56509">
        <w:rPr>
          <w:lang w:val="es-ES_tradnl"/>
        </w:rPr>
        <w:t xml:space="preserve">ésimo servicio rebasado durante un pequeño porcentaje del tiempo. Se calcula </w:t>
      </w:r>
      <w:r w:rsidRPr="00A56509">
        <w:rPr>
          <w:i/>
          <w:lang w:val="es-ES_tradnl"/>
        </w:rPr>
        <w:t>c</w:t>
      </w:r>
      <w:r w:rsidRPr="00A56509">
        <w:rPr>
          <w:i/>
          <w:vertAlign w:val="subscript"/>
          <w:lang w:val="es-ES_tradnl"/>
        </w:rPr>
        <w:t>k</w:t>
      </w:r>
      <w:r w:rsidRPr="00A56509">
        <w:rPr>
          <w:lang w:val="es-ES_tradnl"/>
        </w:rPr>
        <w:t xml:space="preserve"> de esta forma para cada servicio. Una estimación razonable de </w:t>
      </w:r>
      <w:r w:rsidRPr="00A56509">
        <w:rPr>
          <w:i/>
          <w:lang w:val="es-ES_tradnl"/>
        </w:rPr>
        <w:t>c</w:t>
      </w:r>
      <w:r w:rsidRPr="00A56509">
        <w:rPr>
          <w:lang w:val="es-ES_tradnl"/>
        </w:rPr>
        <w:t xml:space="preserve"> para la distribución combinada es una media ponderada de cada </w:t>
      </w:r>
      <w:r w:rsidRPr="00A56509">
        <w:rPr>
          <w:i/>
          <w:lang w:val="es-ES_tradnl"/>
        </w:rPr>
        <w:t>c</w:t>
      </w:r>
      <w:r w:rsidRPr="00A56509">
        <w:rPr>
          <w:i/>
          <w:vertAlign w:val="subscript"/>
          <w:lang w:val="es-ES_tradnl"/>
        </w:rPr>
        <w:t>k</w:t>
      </w:r>
      <w:r w:rsidRPr="00A56509">
        <w:rPr>
          <w:iCs/>
          <w:vertAlign w:val="subscript"/>
          <w:lang w:val="es-ES_tradnl"/>
        </w:rPr>
        <w:t xml:space="preserve"> </w:t>
      </w:r>
      <w:r w:rsidRPr="00A56509">
        <w:rPr>
          <w:lang w:val="es-ES_tradnl"/>
        </w:rPr>
        <w:t>individual:</w:t>
      </w:r>
    </w:p>
    <w:p w:rsidR="0006441E" w:rsidRPr="00A56509" w:rsidRDefault="0006441E" w:rsidP="0006441E">
      <w:pPr>
        <w:pStyle w:val="Equation"/>
        <w:jc w:val="center"/>
        <w:rPr>
          <w:lang w:val="es-ES_tradnl"/>
        </w:rPr>
      </w:pPr>
      <w:r w:rsidRPr="00A56509">
        <w:rPr>
          <w:lang w:val="es-ES_tradnl"/>
        </w:rPr>
        <w:tab/>
      </w:r>
      <w:r w:rsidRPr="00A56509">
        <w:rPr>
          <w:lang w:val="es-ES_tradnl"/>
        </w:rPr>
        <w:tab/>
      </w:r>
      <w:r w:rsidR="003964AC" w:rsidRPr="00A56509">
        <w:rPr>
          <w:position w:val="-42"/>
          <w:lang w:val="es-ES_tradnl"/>
        </w:rPr>
        <w:object w:dxaOrig="1100" w:dyaOrig="960">
          <v:shape id="_x0000_i1028" type="#_x0000_t75" style="width:55.2pt;height:48pt" o:ole="">
            <v:imagedata r:id="rId18" o:title=""/>
          </v:shape>
          <o:OLEObject Type="Embed" ProgID="Equation.3" ShapeID="_x0000_i1028" DrawAspect="Content" ObjectID="_1339849938" r:id="rId19"/>
        </w:object>
      </w:r>
      <w:r w:rsidRPr="00A56509">
        <w:rPr>
          <w:lang w:val="es-ES_tradnl"/>
        </w:rPr>
        <w:tab/>
        <w:t>(3)</w:t>
      </w:r>
    </w:p>
    <w:p w:rsidR="0006441E" w:rsidRPr="00A56509" w:rsidRDefault="0006441E" w:rsidP="00D41B00">
      <w:pPr>
        <w:rPr>
          <w:lang w:val="es-ES_tradnl"/>
        </w:rPr>
      </w:pPr>
      <w:r w:rsidRPr="00A56509">
        <w:rPr>
          <w:lang w:val="es-ES_tradnl"/>
        </w:rPr>
        <w:t xml:space="preserve">Por </w:t>
      </w:r>
      <w:r w:rsidR="003964AC" w:rsidRPr="00A56509">
        <w:rPr>
          <w:lang w:val="es-ES_tradnl"/>
        </w:rPr>
        <w:t>lo tanto</w:t>
      </w:r>
      <w:r w:rsidRPr="00A56509">
        <w:rPr>
          <w:lang w:val="es-ES_tradnl"/>
        </w:rPr>
        <w:t xml:space="preserve">, el servicio interferente dominante, definido como el servicio </w:t>
      </w:r>
      <w:r w:rsidR="003964AC" w:rsidRPr="00A56509">
        <w:rPr>
          <w:lang w:val="es-ES_tradnl"/>
        </w:rPr>
        <w:t>con</w:t>
      </w:r>
      <w:r w:rsidRPr="00A56509">
        <w:rPr>
          <w:lang w:val="es-ES_tradnl"/>
        </w:rPr>
        <w:t xml:space="preserve"> mayor valor de </w:t>
      </w:r>
      <w:r w:rsidRPr="00A56509">
        <w:rPr>
          <w:i/>
          <w:lang w:val="es-ES_tradnl"/>
        </w:rPr>
        <w:t>P</w:t>
      </w:r>
      <w:r w:rsidRPr="00A56509">
        <w:rPr>
          <w:i/>
          <w:vertAlign w:val="subscript"/>
          <w:lang w:val="es-ES_tradnl"/>
        </w:rPr>
        <w:t>k</w:t>
      </w:r>
      <w:r w:rsidRPr="00A56509">
        <w:rPr>
          <w:i/>
          <w:lang w:val="es-ES_tradnl"/>
        </w:rPr>
        <w:t>,</w:t>
      </w:r>
      <w:r w:rsidRPr="00A56509">
        <w:rPr>
          <w:lang w:val="es-ES_tradnl"/>
        </w:rPr>
        <w:t xml:space="preserve"> tiene el mayor peso a la hora de determinar </w:t>
      </w:r>
      <w:r w:rsidRPr="00A56509">
        <w:rPr>
          <w:i/>
          <w:lang w:val="es-ES_tradnl"/>
        </w:rPr>
        <w:t>c</w:t>
      </w:r>
      <w:r w:rsidRPr="00A56509">
        <w:rPr>
          <w:lang w:val="es-ES_tradnl"/>
        </w:rPr>
        <w:t xml:space="preserve">. El valor de </w:t>
      </w:r>
      <w:r w:rsidRPr="00A56509">
        <w:rPr>
          <w:i/>
          <w:lang w:val="es-ES_tradnl"/>
        </w:rPr>
        <w:t>c</w:t>
      </w:r>
      <w:r w:rsidRPr="00A56509">
        <w:rPr>
          <w:lang w:val="es-ES_tradnl"/>
        </w:rPr>
        <w:t xml:space="preserve"> de la ecuación (3) puede utilizarse a continuación para estimar el nivel de interferencia combinada rebasada durante un pequeño porcentaje de tiempo.</w:t>
      </w:r>
    </w:p>
    <w:p w:rsidR="0006441E" w:rsidRPr="00A56509" w:rsidRDefault="0006441E" w:rsidP="00980E98">
      <w:pPr>
        <w:rPr>
          <w:lang w:val="es-ES_tradnl"/>
        </w:rPr>
      </w:pPr>
      <w:r w:rsidRPr="00A56509">
        <w:rPr>
          <w:lang w:val="es-ES_tradnl"/>
        </w:rPr>
        <w:t>Cuando en la combinación</w:t>
      </w:r>
      <w:r w:rsidR="003964AC" w:rsidRPr="00A56509">
        <w:rPr>
          <w:lang w:val="es-ES_tradnl"/>
        </w:rPr>
        <w:t xml:space="preserve"> se incluyen</w:t>
      </w:r>
      <w:r w:rsidRPr="00A56509">
        <w:rPr>
          <w:lang w:val="es-ES_tradnl"/>
        </w:rPr>
        <w:t xml:space="preserve"> los servicios interferentes fuera de banda, es más conveniente </w:t>
      </w:r>
      <w:r w:rsidR="00980E98">
        <w:rPr>
          <w:lang w:val="es-ES_tradnl"/>
        </w:rPr>
        <w:t>b</w:t>
      </w:r>
      <w:r w:rsidRPr="00A56509">
        <w:rPr>
          <w:lang w:val="es-ES_tradnl"/>
        </w:rPr>
        <w:t xml:space="preserve">asar el margen calculado en los niveles de interferencia cocanal y considerar la supresión fuera de banda que ya existe como una parte de cualquier técnica de reducción de la interferencia que pueda ofrecerse estos servicios. </w:t>
      </w:r>
    </w:p>
    <w:p w:rsidR="0006441E" w:rsidRPr="00A56509" w:rsidRDefault="0006441E" w:rsidP="003964AC">
      <w:pPr>
        <w:rPr>
          <w:lang w:val="es-ES_tradnl"/>
        </w:rPr>
      </w:pPr>
      <w:r w:rsidRPr="00A56509">
        <w:rPr>
          <w:lang w:val="es-ES_tradnl"/>
        </w:rPr>
        <w:t>Para que esta metodología funcione en la práctica, es necesario modificar los programas de simulación dinámica o de Monte Carlo actualmente utilizados</w:t>
      </w:r>
      <w:r w:rsidR="003964AC" w:rsidRPr="00A56509">
        <w:rPr>
          <w:lang w:val="es-ES_tradnl"/>
        </w:rPr>
        <w:t>,</w:t>
      </w:r>
      <w:r w:rsidRPr="00A56509">
        <w:rPr>
          <w:lang w:val="es-ES_tradnl"/>
        </w:rPr>
        <w:t xml:space="preserve"> de manera que calculen no sólo las distribuciones acumulativas de la interferencia sino también los momentos antes descritos. Si no se hace así, el cálculo de los momentos puede ser muy laborioso. Evidentemente, si se </w:t>
      </w:r>
      <w:r w:rsidR="003964AC" w:rsidRPr="00A56509">
        <w:rPr>
          <w:lang w:val="es-ES_tradnl"/>
        </w:rPr>
        <w:t>llevan a cabo</w:t>
      </w:r>
      <w:r w:rsidRPr="00A56509">
        <w:rPr>
          <w:lang w:val="es-ES_tradnl"/>
        </w:rPr>
        <w:t xml:space="preserve"> simulaciones que ya incluyen todos los servicios interferentes potenciales, el nivel de interferencia combinada rebasada durante un pequeño porcentaje de tiempo puede determinarse directamente sin necesidad de calcular los momentos estadísticos. Esto </w:t>
      </w:r>
      <w:r w:rsidR="003964AC" w:rsidRPr="00A56509">
        <w:rPr>
          <w:lang w:val="es-ES_tradnl"/>
        </w:rPr>
        <w:t>se cumple</w:t>
      </w:r>
      <w:r w:rsidRPr="00A56509">
        <w:rPr>
          <w:lang w:val="es-ES_tradnl"/>
        </w:rPr>
        <w:t xml:space="preserve"> tanto en el caso de que los servicios interferentes sean independientes entre sí como en el caso de que no lo sean.</w:t>
      </w:r>
    </w:p>
    <w:p w:rsidR="0006441E" w:rsidRPr="00A56509" w:rsidRDefault="0006441E" w:rsidP="0006441E">
      <w:pPr>
        <w:pStyle w:val="Heading1"/>
        <w:rPr>
          <w:i/>
          <w:lang w:val="es-ES_tradnl"/>
        </w:rPr>
      </w:pPr>
      <w:r w:rsidRPr="00A56509">
        <w:rPr>
          <w:lang w:val="es-ES_tradnl"/>
        </w:rPr>
        <w:t>4</w:t>
      </w:r>
      <w:r w:rsidRPr="00A56509">
        <w:rPr>
          <w:lang w:val="es-ES_tradnl"/>
        </w:rPr>
        <w:tab/>
        <w:t xml:space="preserve">Ejemplo que supone estadísticas compuestas normales </w:t>
      </w:r>
    </w:p>
    <w:p w:rsidR="0006441E" w:rsidRPr="00A56509" w:rsidRDefault="0006441E" w:rsidP="003964AC">
      <w:pPr>
        <w:rPr>
          <w:lang w:val="es-ES_tradnl"/>
        </w:rPr>
      </w:pPr>
      <w:r w:rsidRPr="00A56509">
        <w:rPr>
          <w:lang w:val="es-ES_tradnl"/>
        </w:rPr>
        <w:t xml:space="preserve">La situación más sencilla se produce cuando </w:t>
      </w:r>
      <w:r w:rsidR="003964AC" w:rsidRPr="00A56509">
        <w:rPr>
          <w:lang w:val="es-ES_tradnl"/>
        </w:rPr>
        <w:t xml:space="preserve">se supone que </w:t>
      </w:r>
      <w:r w:rsidRPr="00A56509">
        <w:rPr>
          <w:lang w:val="es-ES_tradnl"/>
        </w:rPr>
        <w:t xml:space="preserve">la distribución de probabilidad para el nivel de interferencia combinada procedente de todos los servicios que se aproxima a una distribución normal a medida que aumenta el número de servicios interferentes. Con esta hipótesis, y si </w:t>
      </w:r>
      <w:r w:rsidRPr="00A56509">
        <w:rPr>
          <w:i/>
          <w:lang w:val="es-ES_tradnl"/>
        </w:rPr>
        <w:t>P</w:t>
      </w:r>
      <w:r w:rsidRPr="00A56509">
        <w:rPr>
          <w:lang w:val="es-ES_tradnl"/>
        </w:rPr>
        <w:t xml:space="preserve"> es el nivel combinado rebasado durante no más del 1% del tiempo, de los cuadros de la integral de la distribución de probabilidad normal se obtiene </w:t>
      </w:r>
      <w:r w:rsidRPr="00A56509">
        <w:rPr>
          <w:i/>
          <w:lang w:val="es-ES_tradnl"/>
        </w:rPr>
        <w:t>P</w:t>
      </w:r>
      <w:r w:rsidRPr="00A56509">
        <w:rPr>
          <w:lang w:val="es-ES_tradnl"/>
        </w:rPr>
        <w:t xml:space="preserve"> = </w:t>
      </w:r>
      <w:r w:rsidR="003964AC" w:rsidRPr="00A56509">
        <w:rPr>
          <w:lang w:val="es-ES_tradnl"/>
        </w:rPr>
        <w:sym w:font="Symbol" w:char="F06D"/>
      </w:r>
      <w:r w:rsidRPr="00A56509">
        <w:rPr>
          <w:iCs/>
          <w:lang w:val="es-ES_tradnl"/>
        </w:rPr>
        <w:t xml:space="preserve"> </w:t>
      </w:r>
      <w:r w:rsidRPr="00A56509">
        <w:rPr>
          <w:lang w:val="es-ES_tradnl"/>
        </w:rPr>
        <w:t>+ 2</w:t>
      </w:r>
      <w:r w:rsidR="003964AC" w:rsidRPr="00A56509">
        <w:rPr>
          <w:lang w:val="es-ES_tradnl"/>
        </w:rPr>
        <w:t>,</w:t>
      </w:r>
      <w:r w:rsidRPr="00A56509">
        <w:rPr>
          <w:lang w:val="es-ES_tradnl"/>
        </w:rPr>
        <w:t>33</w:t>
      </w:r>
      <w:r w:rsidR="003964AC" w:rsidRPr="00A56509">
        <w:rPr>
          <w:lang w:val="es-ES_tradnl"/>
        </w:rPr>
        <w:sym w:font="Symbol" w:char="F073"/>
      </w:r>
      <w:r w:rsidRPr="00A56509">
        <w:rPr>
          <w:lang w:val="es-ES_tradnl"/>
        </w:rPr>
        <w:t>. Si, en lugar de eso</w:t>
      </w:r>
      <w:r w:rsidR="003964AC" w:rsidRPr="00A56509">
        <w:rPr>
          <w:lang w:val="es-ES_tradnl"/>
        </w:rPr>
        <w:t>,</w:t>
      </w:r>
      <w:r w:rsidRPr="00A56509">
        <w:rPr>
          <w:lang w:val="es-ES_tradnl"/>
        </w:rPr>
        <w:t xml:space="preserve"> el requisito de disponibilidad de datos es </w:t>
      </w:r>
      <w:r w:rsidR="003964AC" w:rsidRPr="00A56509">
        <w:rPr>
          <w:lang w:val="es-ES_tradnl"/>
        </w:rPr>
        <w:t xml:space="preserve">el </w:t>
      </w:r>
      <w:r w:rsidRPr="00A56509">
        <w:rPr>
          <w:lang w:val="es-ES_tradnl"/>
        </w:rPr>
        <w:t xml:space="preserve">0,1% o </w:t>
      </w:r>
      <w:r w:rsidR="003964AC" w:rsidRPr="00A56509">
        <w:rPr>
          <w:lang w:val="es-ES_tradnl"/>
        </w:rPr>
        <w:t xml:space="preserve">el </w:t>
      </w:r>
      <w:r w:rsidRPr="00A56509">
        <w:rPr>
          <w:lang w:val="es-ES_tradnl"/>
        </w:rPr>
        <w:t>0,01%, de los cuadros de la integral de la distribución de probabilidad normal</w:t>
      </w:r>
      <w:r w:rsidR="003964AC" w:rsidRPr="00A56509">
        <w:rPr>
          <w:lang w:val="es-ES_tradnl"/>
        </w:rPr>
        <w:t xml:space="preserve"> se deduce que</w:t>
      </w:r>
      <w:r w:rsidRPr="00A56509">
        <w:rPr>
          <w:lang w:val="es-ES_tradnl"/>
        </w:rPr>
        <w:t xml:space="preserve"> </w:t>
      </w:r>
      <w:r w:rsidRPr="00A56509">
        <w:rPr>
          <w:i/>
          <w:lang w:val="es-ES_tradnl"/>
        </w:rPr>
        <w:t>c</w:t>
      </w:r>
      <w:r w:rsidRPr="00A56509">
        <w:rPr>
          <w:iCs/>
          <w:lang w:val="es-ES_tradnl"/>
        </w:rPr>
        <w:t xml:space="preserve"> tomaría un valor de</w:t>
      </w:r>
      <w:r w:rsidRPr="00A56509">
        <w:rPr>
          <w:lang w:val="es-ES_tradnl"/>
        </w:rPr>
        <w:t xml:space="preserve"> 3,09 </w:t>
      </w:r>
      <w:r w:rsidR="003964AC" w:rsidRPr="00A56509">
        <w:rPr>
          <w:lang w:val="es-ES_tradnl"/>
        </w:rPr>
        <w:t>ó</w:t>
      </w:r>
      <w:r w:rsidRPr="00A56509">
        <w:rPr>
          <w:lang w:val="es-ES_tradnl"/>
        </w:rPr>
        <w:t xml:space="preserve"> 3,72 respectivamente. </w:t>
      </w:r>
    </w:p>
    <w:p w:rsidR="0006441E" w:rsidRPr="00A56509" w:rsidRDefault="0006441E" w:rsidP="00EA7E0A">
      <w:pPr>
        <w:rPr>
          <w:lang w:val="es-ES_tradnl"/>
        </w:rPr>
      </w:pPr>
      <w:r w:rsidRPr="00A56509">
        <w:rPr>
          <w:lang w:val="es-ES_tradnl"/>
        </w:rPr>
        <w:t>Supóngase que el servicio pasivo tiene un criterio de interferencia de</w:t>
      </w:r>
      <w:r w:rsidR="003964AC" w:rsidRPr="00A56509">
        <w:rPr>
          <w:lang w:val="es-ES_tradnl"/>
        </w:rPr>
        <w:t xml:space="preserve"> </w:t>
      </w:r>
      <w:r w:rsidRPr="00A56509">
        <w:rPr>
          <w:lang w:val="es-ES_tradnl"/>
        </w:rPr>
        <w:t>−160 dB(W/100 MHz) (</w:t>
      </w:r>
      <w:r w:rsidR="003964AC" w:rsidRPr="00A56509">
        <w:rPr>
          <w:lang w:val="es-ES_tradnl"/>
        </w:rPr>
        <w:t xml:space="preserve">ó </w:t>
      </w:r>
      <w:r w:rsidRPr="00A56509">
        <w:rPr>
          <w:szCs w:val="24"/>
          <w:lang w:val="es-ES_tradnl"/>
        </w:rPr>
        <w:t>10</w:t>
      </w:r>
      <w:r w:rsidRPr="00A56509">
        <w:rPr>
          <w:szCs w:val="24"/>
          <w:vertAlign w:val="superscript"/>
          <w:lang w:val="es-ES_tradnl"/>
        </w:rPr>
        <w:t>−16</w:t>
      </w:r>
      <w:r w:rsidR="003964AC" w:rsidRPr="00A56509">
        <w:rPr>
          <w:szCs w:val="24"/>
          <w:lang w:val="es-ES_tradnl"/>
        </w:rPr>
        <w:t xml:space="preserve"> </w:t>
      </w:r>
      <w:r w:rsidRPr="00A56509">
        <w:rPr>
          <w:szCs w:val="24"/>
          <w:lang w:val="es-ES_tradnl"/>
        </w:rPr>
        <w:t>(W/100 MHz))</w:t>
      </w:r>
      <w:r w:rsidRPr="00A56509">
        <w:rPr>
          <w:lang w:val="es-ES_tradnl"/>
        </w:rPr>
        <w:t xml:space="preserve"> con un requisito de disponibilidad de datos del 0,1%. Existen inicialmente dos servicios interferentes y las simulaciones dinámicas han determinado que los valores medios y de desviación típica de los niveles de interferencia procedente de estos dos servicios (que se suponen cocanal con el sensor) son </w:t>
      </w:r>
      <w:r w:rsidR="003964AC" w:rsidRPr="00A56509">
        <w:rPr>
          <w:lang w:val="es-ES_tradnl"/>
        </w:rPr>
        <w:sym w:font="Symbol" w:char="F06D"/>
      </w:r>
      <w:r w:rsidRPr="00A56509">
        <w:rPr>
          <w:szCs w:val="24"/>
          <w:vertAlign w:val="subscript"/>
          <w:lang w:val="es-ES_tradnl"/>
        </w:rPr>
        <w:t>1</w:t>
      </w:r>
      <w:r w:rsidR="00EA7E0A">
        <w:rPr>
          <w:szCs w:val="24"/>
          <w:lang w:val="es-ES_tradnl"/>
        </w:rPr>
        <w:t> </w:t>
      </w:r>
      <w:r w:rsidRPr="00A56509">
        <w:rPr>
          <w:szCs w:val="24"/>
          <w:lang w:val="es-ES_tradnl"/>
        </w:rPr>
        <w:t>=</w:t>
      </w:r>
      <w:r w:rsidR="00EA7E0A">
        <w:rPr>
          <w:szCs w:val="24"/>
          <w:lang w:val="es-ES_tradnl"/>
        </w:rPr>
        <w:t> </w:t>
      </w:r>
      <w:r w:rsidR="003964AC" w:rsidRPr="00A56509">
        <w:rPr>
          <w:szCs w:val="24"/>
          <w:lang w:val="es-ES_tradnl"/>
        </w:rPr>
        <w:sym w:font="Symbol" w:char="F073"/>
      </w:r>
      <w:r w:rsidRPr="00A56509">
        <w:rPr>
          <w:szCs w:val="24"/>
          <w:vertAlign w:val="subscript"/>
          <w:lang w:val="es-ES_tradnl"/>
        </w:rPr>
        <w:t>1</w:t>
      </w:r>
      <w:r w:rsidR="00EA7E0A">
        <w:rPr>
          <w:szCs w:val="24"/>
          <w:lang w:val="es-ES_tradnl"/>
        </w:rPr>
        <w:t> </w:t>
      </w:r>
      <w:r w:rsidRPr="00A56509">
        <w:rPr>
          <w:szCs w:val="24"/>
          <w:lang w:val="es-ES_tradnl"/>
        </w:rPr>
        <w:t>=</w:t>
      </w:r>
      <w:r w:rsidR="00EA7E0A">
        <w:rPr>
          <w:szCs w:val="24"/>
          <w:lang w:val="es-ES_tradnl"/>
        </w:rPr>
        <w:t> </w:t>
      </w:r>
      <w:r w:rsidRPr="00A56509">
        <w:rPr>
          <w:szCs w:val="24"/>
          <w:lang w:val="es-ES_tradnl"/>
        </w:rPr>
        <w:t>10</w:t>
      </w:r>
      <w:r w:rsidRPr="00A56509">
        <w:rPr>
          <w:szCs w:val="24"/>
          <w:vertAlign w:val="superscript"/>
          <w:lang w:val="es-ES_tradnl"/>
        </w:rPr>
        <w:t>−17</w:t>
      </w:r>
      <w:r w:rsidRPr="00A56509">
        <w:rPr>
          <w:szCs w:val="24"/>
          <w:lang w:val="es-ES_tradnl"/>
        </w:rPr>
        <w:t xml:space="preserve"> (W/100 MHz) y </w:t>
      </w:r>
      <w:r w:rsidR="003964AC" w:rsidRPr="00A56509">
        <w:rPr>
          <w:szCs w:val="24"/>
          <w:lang w:val="es-ES_tradnl"/>
        </w:rPr>
        <w:sym w:font="Symbol" w:char="F06D"/>
      </w:r>
      <w:r w:rsidRPr="00A56509">
        <w:rPr>
          <w:szCs w:val="24"/>
          <w:vertAlign w:val="subscript"/>
          <w:lang w:val="es-ES_tradnl"/>
        </w:rPr>
        <w:t>2</w:t>
      </w:r>
      <w:r w:rsidR="00EA7E0A">
        <w:rPr>
          <w:szCs w:val="24"/>
          <w:lang w:val="es-ES_tradnl"/>
        </w:rPr>
        <w:t> </w:t>
      </w:r>
      <w:r w:rsidRPr="00A56509">
        <w:rPr>
          <w:szCs w:val="24"/>
          <w:lang w:val="es-ES_tradnl"/>
        </w:rPr>
        <w:t>=</w:t>
      </w:r>
      <w:r w:rsidR="00EA7E0A">
        <w:rPr>
          <w:szCs w:val="24"/>
          <w:lang w:val="es-ES_tradnl"/>
        </w:rPr>
        <w:t> </w:t>
      </w:r>
      <w:r w:rsidR="003964AC" w:rsidRPr="00A56509">
        <w:rPr>
          <w:szCs w:val="24"/>
          <w:lang w:val="es-ES_tradnl"/>
        </w:rPr>
        <w:sym w:font="Symbol" w:char="F073"/>
      </w:r>
      <w:r w:rsidRPr="00A56509">
        <w:rPr>
          <w:szCs w:val="24"/>
          <w:vertAlign w:val="subscript"/>
          <w:lang w:val="es-ES_tradnl"/>
        </w:rPr>
        <w:t>2</w:t>
      </w:r>
      <w:r w:rsidR="00EA7E0A">
        <w:rPr>
          <w:szCs w:val="24"/>
          <w:lang w:val="es-ES_tradnl"/>
        </w:rPr>
        <w:t> </w:t>
      </w:r>
      <w:r w:rsidRPr="00A56509">
        <w:rPr>
          <w:szCs w:val="24"/>
          <w:lang w:val="es-ES_tradnl"/>
        </w:rPr>
        <w:t>=</w:t>
      </w:r>
      <w:r w:rsidR="00EA7E0A">
        <w:rPr>
          <w:szCs w:val="24"/>
          <w:lang w:val="es-ES_tradnl"/>
        </w:rPr>
        <w:t> </w:t>
      </w:r>
      <w:r w:rsidRPr="00A56509">
        <w:rPr>
          <w:szCs w:val="24"/>
          <w:lang w:val="es-ES_tradnl"/>
        </w:rPr>
        <w:t>2</w:t>
      </w:r>
      <w:r w:rsidR="00EA7E0A">
        <w:rPr>
          <w:szCs w:val="24"/>
          <w:lang w:val="es-ES_tradnl"/>
        </w:rPr>
        <w:t> </w:t>
      </w:r>
      <w:r w:rsidRPr="00A56509">
        <w:rPr>
          <w:szCs w:val="24"/>
          <w:lang w:val="es-ES_tradnl"/>
        </w:rPr>
        <w:sym w:font="Symbol" w:char="F0B4"/>
      </w:r>
      <w:r w:rsidR="00EA7E0A">
        <w:rPr>
          <w:szCs w:val="24"/>
          <w:lang w:val="es-ES_tradnl"/>
        </w:rPr>
        <w:t> </w:t>
      </w:r>
      <w:r w:rsidRPr="00A56509">
        <w:rPr>
          <w:szCs w:val="24"/>
          <w:lang w:val="es-ES_tradnl"/>
        </w:rPr>
        <w:t>10</w:t>
      </w:r>
      <w:r w:rsidRPr="00A56509">
        <w:rPr>
          <w:szCs w:val="24"/>
          <w:vertAlign w:val="superscript"/>
          <w:lang w:val="es-ES_tradnl"/>
        </w:rPr>
        <w:t>−17</w:t>
      </w:r>
      <w:r w:rsidRPr="0088795E">
        <w:rPr>
          <w:lang w:val="es-ES_tradnl"/>
        </w:rPr>
        <w:t xml:space="preserve"> </w:t>
      </w:r>
      <w:r w:rsidRPr="00A56509">
        <w:rPr>
          <w:szCs w:val="24"/>
          <w:lang w:val="es-ES_tradnl"/>
        </w:rPr>
        <w:t>(W/100</w:t>
      </w:r>
      <w:r w:rsidR="003964AC" w:rsidRPr="00A56509">
        <w:rPr>
          <w:szCs w:val="24"/>
          <w:lang w:val="es-ES_tradnl"/>
        </w:rPr>
        <w:t> </w:t>
      </w:r>
      <w:r w:rsidRPr="00A56509">
        <w:rPr>
          <w:szCs w:val="24"/>
          <w:lang w:val="es-ES_tradnl"/>
        </w:rPr>
        <w:t>MHz)</w:t>
      </w:r>
      <w:r w:rsidR="003964AC" w:rsidRPr="00A56509">
        <w:rPr>
          <w:szCs w:val="24"/>
          <w:lang w:val="es-ES_tradnl"/>
        </w:rPr>
        <w:t>,</w:t>
      </w:r>
      <w:r w:rsidRPr="00A56509">
        <w:rPr>
          <w:szCs w:val="24"/>
          <w:lang w:val="es-ES_tradnl"/>
        </w:rPr>
        <w:t xml:space="preserve"> respectivamente. A partir de la ecuación (1), se determina que los momentos combinados son </w:t>
      </w:r>
      <w:r w:rsidR="003964AC" w:rsidRPr="00A56509">
        <w:rPr>
          <w:szCs w:val="24"/>
          <w:lang w:val="es-ES_tradnl"/>
        </w:rPr>
        <w:sym w:font="Symbol" w:char="F06D"/>
      </w:r>
      <w:r w:rsidRPr="00A56509">
        <w:rPr>
          <w:lang w:val="es-ES_tradnl"/>
        </w:rPr>
        <w:t> = 3</w:t>
      </w:r>
      <w:r w:rsidRPr="00A56509">
        <w:rPr>
          <w:szCs w:val="24"/>
          <w:lang w:val="es-ES_tradnl"/>
        </w:rPr>
        <w:t> </w:t>
      </w:r>
      <w:r w:rsidRPr="00A56509">
        <w:rPr>
          <w:szCs w:val="24"/>
          <w:lang w:val="es-ES_tradnl"/>
        </w:rPr>
        <w:sym w:font="Symbol" w:char="F0B4"/>
      </w:r>
      <w:r w:rsidRPr="00A56509">
        <w:rPr>
          <w:szCs w:val="24"/>
          <w:lang w:val="es-ES_tradnl"/>
        </w:rPr>
        <w:t> 10</w:t>
      </w:r>
      <w:r w:rsidRPr="00A56509">
        <w:rPr>
          <w:szCs w:val="24"/>
          <w:vertAlign w:val="superscript"/>
          <w:lang w:val="es-ES_tradnl"/>
        </w:rPr>
        <w:t>−17</w:t>
      </w:r>
      <w:r w:rsidRPr="00A56509">
        <w:rPr>
          <w:szCs w:val="24"/>
          <w:lang w:val="es-ES_tradnl"/>
        </w:rPr>
        <w:t xml:space="preserve"> (W/100 MHz) y </w:t>
      </w:r>
      <w:r w:rsidR="003964AC" w:rsidRPr="00A56509">
        <w:rPr>
          <w:szCs w:val="24"/>
          <w:lang w:val="es-ES_tradnl"/>
        </w:rPr>
        <w:sym w:font="Symbol" w:char="F073"/>
      </w:r>
      <w:r w:rsidRPr="00A56509">
        <w:rPr>
          <w:szCs w:val="24"/>
          <w:lang w:val="es-ES_tradnl"/>
        </w:rPr>
        <w:t> = 2,24 </w:t>
      </w:r>
      <w:r w:rsidRPr="00A56509">
        <w:rPr>
          <w:szCs w:val="24"/>
          <w:lang w:val="es-ES_tradnl"/>
        </w:rPr>
        <w:sym w:font="Symbol" w:char="F0B4"/>
      </w:r>
      <w:r w:rsidRPr="00A56509">
        <w:rPr>
          <w:szCs w:val="24"/>
          <w:lang w:val="es-ES_tradnl"/>
        </w:rPr>
        <w:t> 10</w:t>
      </w:r>
      <w:r w:rsidRPr="00A56509">
        <w:rPr>
          <w:szCs w:val="24"/>
          <w:vertAlign w:val="superscript"/>
          <w:lang w:val="es-ES_tradnl"/>
        </w:rPr>
        <w:t>−17</w:t>
      </w:r>
      <w:r w:rsidR="00EA7E0A" w:rsidRPr="00EA7E0A">
        <w:rPr>
          <w:lang w:val="es-ES_tradnl"/>
        </w:rPr>
        <w:t xml:space="preserve"> </w:t>
      </w:r>
      <w:r w:rsidRPr="00A56509">
        <w:rPr>
          <w:szCs w:val="24"/>
          <w:lang w:val="es-ES_tradnl"/>
        </w:rPr>
        <w:t>(W/100 MHz). Con la hipótesis de que las estadísticas de la interferencia combinada son normales, el nivel combinado rebasado durante no más del 0</w:t>
      </w:r>
      <w:r w:rsidR="003964AC" w:rsidRPr="00A56509">
        <w:rPr>
          <w:szCs w:val="24"/>
          <w:lang w:val="es-ES_tradnl"/>
        </w:rPr>
        <w:t>,</w:t>
      </w:r>
      <w:r w:rsidRPr="00A56509">
        <w:rPr>
          <w:szCs w:val="24"/>
          <w:lang w:val="es-ES_tradnl"/>
        </w:rPr>
        <w:t>1% del tiempo es:</w:t>
      </w:r>
    </w:p>
    <w:p w:rsidR="0006441E" w:rsidRPr="00A56509" w:rsidRDefault="0006441E" w:rsidP="0006441E">
      <w:pPr>
        <w:pStyle w:val="Equation"/>
        <w:rPr>
          <w:lang w:val="es-ES_tradnl"/>
        </w:rPr>
      </w:pPr>
      <w:r w:rsidRPr="00A56509">
        <w:rPr>
          <w:lang w:val="es-ES_tradnl"/>
        </w:rPr>
        <w:tab/>
      </w:r>
      <w:r w:rsidRPr="00A56509">
        <w:rPr>
          <w:lang w:val="es-ES_tradnl"/>
        </w:rPr>
        <w:tab/>
      </w:r>
      <w:r w:rsidR="003964AC" w:rsidRPr="00A56509">
        <w:rPr>
          <w:position w:val="-10"/>
          <w:lang w:val="es-ES_tradnl"/>
        </w:rPr>
        <w:object w:dxaOrig="5120" w:dyaOrig="400">
          <v:shape id="_x0000_i1029" type="#_x0000_t75" style="width:256.2pt;height:19.8pt" o:ole="">
            <v:imagedata r:id="rId20" o:title=""/>
          </v:shape>
          <o:OLEObject Type="Embed" ProgID="Equation.3" ShapeID="_x0000_i1029" DrawAspect="Content" ObjectID="_1339849939" r:id="rId21"/>
        </w:object>
      </w:r>
      <w:r w:rsidRPr="00A56509">
        <w:rPr>
          <w:lang w:val="es-ES_tradnl"/>
        </w:rPr>
        <w:tab/>
        <w:t>(4)</w:t>
      </w:r>
    </w:p>
    <w:p w:rsidR="0006441E" w:rsidRPr="00A56509" w:rsidRDefault="003964AC" w:rsidP="00EA7E0A">
      <w:pPr>
        <w:rPr>
          <w:lang w:val="es-ES_tradnl"/>
        </w:rPr>
      </w:pPr>
      <w:r w:rsidRPr="00A56509">
        <w:rPr>
          <w:lang w:val="es-ES_tradnl"/>
        </w:rPr>
        <w:t>valor que s</w:t>
      </w:r>
      <w:r w:rsidR="0006441E" w:rsidRPr="00A56509">
        <w:rPr>
          <w:lang w:val="es-ES_tradnl"/>
        </w:rPr>
        <w:t xml:space="preserve">e encuentra inmediatamente por debajo del criterio de interferencia supuesto del sensor. Supóngase ahora que entra en juego un tercer servicio y que la simulación dinámica determina que el valor medio y la desviación típica de su nivel de interferencia causada al sensor son </w:t>
      </w:r>
      <w:r w:rsidRPr="00A56509">
        <w:rPr>
          <w:lang w:val="es-ES_tradnl"/>
        </w:rPr>
        <w:sym w:font="Symbol" w:char="F06D"/>
      </w:r>
      <w:r w:rsidR="0006441E" w:rsidRPr="00A56509">
        <w:rPr>
          <w:vertAlign w:val="subscript"/>
          <w:lang w:val="es-ES_tradnl"/>
        </w:rPr>
        <w:t>3</w:t>
      </w:r>
      <w:r w:rsidRPr="00A56509">
        <w:rPr>
          <w:lang w:val="es-ES_tradnl"/>
        </w:rPr>
        <w:t> </w:t>
      </w:r>
      <w:r w:rsidR="0006441E" w:rsidRPr="00A56509">
        <w:rPr>
          <w:lang w:val="es-ES_tradnl"/>
        </w:rPr>
        <w:t>=</w:t>
      </w:r>
      <w:r w:rsidRPr="00A56509">
        <w:rPr>
          <w:lang w:val="es-ES_tradnl"/>
        </w:rPr>
        <w:t> </w:t>
      </w:r>
      <w:r w:rsidRPr="00A56509">
        <w:rPr>
          <w:lang w:val="es-ES_tradnl"/>
        </w:rPr>
        <w:sym w:font="Symbol" w:char="F073"/>
      </w:r>
      <w:r w:rsidR="0006441E" w:rsidRPr="00A56509">
        <w:rPr>
          <w:vertAlign w:val="subscript"/>
          <w:lang w:val="es-ES_tradnl"/>
        </w:rPr>
        <w:t>3</w:t>
      </w:r>
      <w:r w:rsidRPr="00A56509">
        <w:rPr>
          <w:lang w:val="es-ES_tradnl"/>
        </w:rPr>
        <w:t> </w:t>
      </w:r>
      <w:r w:rsidR="0006441E" w:rsidRPr="00A56509">
        <w:rPr>
          <w:lang w:val="es-ES_tradnl"/>
        </w:rPr>
        <w:t>=</w:t>
      </w:r>
      <w:r w:rsidRPr="00A56509">
        <w:rPr>
          <w:lang w:val="es-ES_tradnl"/>
        </w:rPr>
        <w:t> </w:t>
      </w:r>
      <w:r w:rsidR="0006441E" w:rsidRPr="00A56509">
        <w:rPr>
          <w:lang w:val="es-ES_tradnl"/>
        </w:rPr>
        <w:t>3</w:t>
      </w:r>
      <w:r w:rsidRPr="00A56509">
        <w:rPr>
          <w:lang w:val="es-ES_tradnl"/>
        </w:rPr>
        <w:t> </w:t>
      </w:r>
      <w:r w:rsidRPr="00A56509">
        <w:rPr>
          <w:lang w:val="es-ES_tradnl"/>
        </w:rPr>
        <w:sym w:font="Symbol" w:char="F0B4"/>
      </w:r>
      <w:r w:rsidRPr="00A56509">
        <w:rPr>
          <w:szCs w:val="24"/>
          <w:lang w:val="es-ES_tradnl"/>
        </w:rPr>
        <w:t> </w:t>
      </w:r>
      <w:r w:rsidR="0006441E" w:rsidRPr="00A56509">
        <w:rPr>
          <w:lang w:val="es-ES_tradnl"/>
        </w:rPr>
        <w:t>10</w:t>
      </w:r>
      <w:r w:rsidR="0006441E" w:rsidRPr="00A56509">
        <w:rPr>
          <w:vertAlign w:val="superscript"/>
          <w:lang w:val="es-ES_tradnl"/>
        </w:rPr>
        <w:t>–17</w:t>
      </w:r>
      <w:r w:rsidR="00EA7E0A">
        <w:rPr>
          <w:lang w:val="es-ES_tradnl"/>
        </w:rPr>
        <w:t xml:space="preserve"> </w:t>
      </w:r>
      <w:r w:rsidR="0006441E" w:rsidRPr="00A56509">
        <w:rPr>
          <w:lang w:val="es-ES_tradnl"/>
        </w:rPr>
        <w:t xml:space="preserve">(W/100 MHz). Con la hipótesis de que las estadísticas de la interferencia </w:t>
      </w:r>
      <w:r w:rsidR="0006441E" w:rsidRPr="00A56509">
        <w:rPr>
          <w:lang w:val="es-ES_tradnl"/>
        </w:rPr>
        <w:lastRenderedPageBreak/>
        <w:t>combinada son normales, el nuevo nivel combinado rebasado durante no más del 0,1% del tiempo es entonces 1,76</w:t>
      </w:r>
      <w:r w:rsidR="00EA7E0A">
        <w:rPr>
          <w:lang w:val="es-ES_tradnl"/>
        </w:rPr>
        <w:t> </w:t>
      </w:r>
      <w:r w:rsidR="0006441E" w:rsidRPr="00A56509">
        <w:rPr>
          <w:szCs w:val="24"/>
          <w:lang w:val="es-ES_tradnl"/>
        </w:rPr>
        <w:sym w:font="Symbol" w:char="F0B4"/>
      </w:r>
      <w:r w:rsidR="00EA7E0A">
        <w:rPr>
          <w:szCs w:val="24"/>
          <w:lang w:val="es-ES_tradnl"/>
        </w:rPr>
        <w:t> </w:t>
      </w:r>
      <w:r w:rsidR="0006441E" w:rsidRPr="00A56509">
        <w:rPr>
          <w:lang w:val="es-ES_tradnl"/>
        </w:rPr>
        <w:t>10</w:t>
      </w:r>
      <w:r w:rsidR="0006441E" w:rsidRPr="00A56509">
        <w:rPr>
          <w:vertAlign w:val="superscript"/>
          <w:lang w:val="es-ES_tradnl"/>
        </w:rPr>
        <w:t>−16</w:t>
      </w:r>
      <w:r w:rsidR="0006441E" w:rsidRPr="00A56509">
        <w:rPr>
          <w:lang w:val="es-ES_tradnl"/>
        </w:rPr>
        <w:t xml:space="preserve"> (W/100 MHz), </w:t>
      </w:r>
      <w:r w:rsidRPr="00A56509">
        <w:rPr>
          <w:lang w:val="es-ES_tradnl"/>
        </w:rPr>
        <w:t>valor que</w:t>
      </w:r>
      <w:r w:rsidR="0006441E" w:rsidRPr="00A56509">
        <w:rPr>
          <w:lang w:val="es-ES_tradnl"/>
        </w:rPr>
        <w:t xml:space="preserve"> rebasa el criterio de interferencia supuesto del sensor en 2,5 dB.</w:t>
      </w:r>
    </w:p>
    <w:p w:rsidR="0006441E" w:rsidRPr="00A56509" w:rsidRDefault="0006441E" w:rsidP="003964AC">
      <w:pPr>
        <w:rPr>
          <w:lang w:val="es-ES_tradnl"/>
        </w:rPr>
      </w:pPr>
      <w:r w:rsidRPr="00A56509">
        <w:rPr>
          <w:lang w:val="es-ES_tradnl"/>
        </w:rPr>
        <w:t>Debe destacarse</w:t>
      </w:r>
      <w:r w:rsidR="003964AC" w:rsidRPr="00A56509">
        <w:rPr>
          <w:lang w:val="es-ES_tradnl"/>
        </w:rPr>
        <w:t xml:space="preserve"> </w:t>
      </w:r>
      <w:r w:rsidRPr="00A56509">
        <w:rPr>
          <w:lang w:val="es-ES_tradnl"/>
        </w:rPr>
        <w:t>que</w:t>
      </w:r>
      <w:r w:rsidR="003964AC" w:rsidRPr="00A56509">
        <w:rPr>
          <w:lang w:val="es-ES_tradnl"/>
        </w:rPr>
        <w:t>,</w:t>
      </w:r>
      <w:r w:rsidRPr="00A56509">
        <w:rPr>
          <w:lang w:val="es-ES_tradnl"/>
        </w:rPr>
        <w:t xml:space="preserve"> para mayor sencillez</w:t>
      </w:r>
      <w:r w:rsidR="003964AC" w:rsidRPr="00A56509">
        <w:rPr>
          <w:lang w:val="es-ES_tradnl"/>
        </w:rPr>
        <w:t>,</w:t>
      </w:r>
      <w:r w:rsidRPr="00A56509">
        <w:rPr>
          <w:lang w:val="es-ES_tradnl"/>
        </w:rPr>
        <w:t xml:space="preserve"> </w:t>
      </w:r>
      <w:r w:rsidR="003964AC" w:rsidRPr="00A56509">
        <w:rPr>
          <w:lang w:val="es-ES_tradnl"/>
        </w:rPr>
        <w:t>en este</w:t>
      </w:r>
      <w:r w:rsidRPr="00A56509">
        <w:rPr>
          <w:lang w:val="es-ES_tradnl"/>
        </w:rPr>
        <w:t xml:space="preserve"> ejemplo </w:t>
      </w:r>
      <w:r w:rsidR="003964AC" w:rsidRPr="00A56509">
        <w:rPr>
          <w:lang w:val="es-ES_tradnl"/>
        </w:rPr>
        <w:t>se han supuesto</w:t>
      </w:r>
      <w:r w:rsidRPr="00A56509">
        <w:rPr>
          <w:lang w:val="es-ES_tradnl"/>
        </w:rPr>
        <w:t xml:space="preserve"> estadísticas normales</w:t>
      </w:r>
      <w:r w:rsidR="003964AC" w:rsidRPr="00A56509">
        <w:rPr>
          <w:lang w:val="es-ES_tradnl"/>
        </w:rPr>
        <w:t>,</w:t>
      </w:r>
      <w:r w:rsidRPr="00A56509">
        <w:rPr>
          <w:lang w:val="es-ES_tradnl"/>
        </w:rPr>
        <w:t xml:space="preserve"> lo cual generalmente no es una hipótesis válida. </w:t>
      </w:r>
    </w:p>
    <w:p w:rsidR="0006441E" w:rsidRPr="00A56509" w:rsidRDefault="0006441E" w:rsidP="0006441E">
      <w:pPr>
        <w:pStyle w:val="Heading1"/>
        <w:rPr>
          <w:lang w:val="es-ES_tradnl"/>
        </w:rPr>
      </w:pPr>
      <w:r w:rsidRPr="00A56509">
        <w:rPr>
          <w:lang w:val="es-ES_tradnl"/>
        </w:rPr>
        <w:t>5</w:t>
      </w:r>
      <w:r w:rsidRPr="00A56509">
        <w:rPr>
          <w:lang w:val="es-ES_tradnl"/>
        </w:rPr>
        <w:tab/>
        <w:t>Resultados de la simulación dinámica</w:t>
      </w:r>
    </w:p>
    <w:p w:rsidR="0006441E" w:rsidRPr="00A56509" w:rsidRDefault="0006441E" w:rsidP="00061C13">
      <w:pPr>
        <w:rPr>
          <w:lang w:val="es-ES_tradnl"/>
        </w:rPr>
      </w:pPr>
      <w:r w:rsidRPr="00A56509">
        <w:rPr>
          <w:lang w:val="es-ES_tradnl"/>
        </w:rPr>
        <w:t>Se llev</w:t>
      </w:r>
      <w:r w:rsidR="003964AC" w:rsidRPr="00A56509">
        <w:rPr>
          <w:lang w:val="es-ES_tradnl"/>
        </w:rPr>
        <w:t>ó</w:t>
      </w:r>
      <w:r w:rsidRPr="00A56509">
        <w:rPr>
          <w:lang w:val="es-ES_tradnl"/>
        </w:rPr>
        <w:t xml:space="preserve"> a cabo una simulación dinámica de la metodología combinada. </w:t>
      </w:r>
      <w:r w:rsidR="003964AC" w:rsidRPr="00A56509">
        <w:rPr>
          <w:lang w:val="es-ES_tradnl"/>
        </w:rPr>
        <w:t>Se calculó l</w:t>
      </w:r>
      <w:r w:rsidRPr="00A56509">
        <w:rPr>
          <w:lang w:val="es-ES_tradnl"/>
        </w:rPr>
        <w:t xml:space="preserve">a interferencia combinada en la banda 1 400-1 427 MHz del </w:t>
      </w:r>
      <w:r w:rsidR="003964AC" w:rsidRPr="00A56509">
        <w:rPr>
          <w:lang w:val="es-ES_tradnl"/>
        </w:rPr>
        <w:t>SE</w:t>
      </w:r>
      <w:r w:rsidRPr="00A56509">
        <w:rPr>
          <w:lang w:val="es-ES_tradnl"/>
        </w:rPr>
        <w:t xml:space="preserve">TS pasivo causada por emisiones no deseadas </w:t>
      </w:r>
      <w:r w:rsidR="003964AC" w:rsidRPr="00A56509">
        <w:rPr>
          <w:lang w:val="es-ES_tradnl"/>
        </w:rPr>
        <w:t>procedentes de</w:t>
      </w:r>
      <w:r w:rsidRPr="00A56509">
        <w:rPr>
          <w:lang w:val="es-ES_tradnl"/>
        </w:rPr>
        <w:t xml:space="preserve"> estaciones transmisoras </w:t>
      </w:r>
      <w:r w:rsidR="003964AC" w:rsidRPr="00A56509">
        <w:rPr>
          <w:lang w:val="es-ES_tradnl"/>
        </w:rPr>
        <w:t xml:space="preserve">que </w:t>
      </w:r>
      <w:r w:rsidRPr="00A56509">
        <w:rPr>
          <w:lang w:val="es-ES_tradnl"/>
        </w:rPr>
        <w:t xml:space="preserve">funcionan </w:t>
      </w:r>
      <w:r w:rsidR="003964AC" w:rsidRPr="00A56509">
        <w:rPr>
          <w:lang w:val="es-ES_tradnl"/>
        </w:rPr>
        <w:t>en</w:t>
      </w:r>
      <w:r w:rsidRPr="00A56509">
        <w:rPr>
          <w:lang w:val="es-ES_tradnl"/>
        </w:rPr>
        <w:t xml:space="preserve"> los servicios fijo, de radiolocalización y de operaciones espaciales. Se consideraron tres hipótesis que iban desde el caso en que uno de los tres servicios de interferentes es dominante, </w:t>
      </w:r>
      <w:r w:rsidR="003964AC" w:rsidRPr="00A56509">
        <w:rPr>
          <w:lang w:val="es-ES_tradnl"/>
        </w:rPr>
        <w:t xml:space="preserve">hasta el caso </w:t>
      </w:r>
      <w:r w:rsidRPr="00A56509">
        <w:rPr>
          <w:lang w:val="es-ES_tradnl"/>
        </w:rPr>
        <w:t xml:space="preserve">en que la interferencia producida por cada servicio de radiocomunicaciones es comparable en términos estadísticos. </w:t>
      </w:r>
      <w:r w:rsidR="003964AC" w:rsidRPr="00A56509">
        <w:rPr>
          <w:lang w:val="es-ES_tradnl"/>
        </w:rPr>
        <w:t>A partir de l</w:t>
      </w:r>
      <w:r w:rsidRPr="00A56509">
        <w:rPr>
          <w:lang w:val="es-ES_tradnl"/>
        </w:rPr>
        <w:t xml:space="preserve">as simulaciones dinámicas </w:t>
      </w:r>
      <w:r w:rsidR="003964AC" w:rsidRPr="00A56509">
        <w:rPr>
          <w:lang w:val="es-ES_tradnl"/>
        </w:rPr>
        <w:t>se elaboró</w:t>
      </w:r>
      <w:r w:rsidRPr="00A56509">
        <w:rPr>
          <w:lang w:val="es-ES_tradnl"/>
        </w:rPr>
        <w:t xml:space="preserve"> una base de datos de niveles de interferencia para 52 000</w:t>
      </w:r>
      <w:r w:rsidR="00061C13">
        <w:rPr>
          <w:lang w:val="es-ES_tradnl"/>
        </w:rPr>
        <w:t> </w:t>
      </w:r>
      <w:r w:rsidRPr="00A56509">
        <w:rPr>
          <w:lang w:val="es-ES_tradnl"/>
        </w:rPr>
        <w:t xml:space="preserve">intervalos de tiempo. En cada intervalo de tiempo, se determinó la interferencia producida por cada servicio, </w:t>
      </w:r>
      <w:r w:rsidR="003964AC" w:rsidRPr="00A56509">
        <w:rPr>
          <w:lang w:val="es-ES_tradnl"/>
        </w:rPr>
        <w:t xml:space="preserve">se calculó </w:t>
      </w:r>
      <w:r w:rsidRPr="00A56509">
        <w:rPr>
          <w:lang w:val="es-ES_tradnl"/>
        </w:rPr>
        <w:t xml:space="preserve">la interferencia combinada producida por los tres servicios, </w:t>
      </w:r>
      <w:r w:rsidR="003964AC" w:rsidRPr="00A56509">
        <w:rPr>
          <w:lang w:val="es-ES_tradnl"/>
        </w:rPr>
        <w:t>se identificó</w:t>
      </w:r>
      <w:r w:rsidRPr="00A56509">
        <w:rPr>
          <w:lang w:val="es-ES_tradnl"/>
        </w:rPr>
        <w:t xml:space="preserve"> el servicio que produce el nivel de interferencia más elevado y </w:t>
      </w:r>
      <w:r w:rsidR="003964AC" w:rsidRPr="00A56509">
        <w:rPr>
          <w:lang w:val="es-ES_tradnl"/>
        </w:rPr>
        <w:t xml:space="preserve">se estimó </w:t>
      </w:r>
      <w:r w:rsidRPr="00A56509">
        <w:rPr>
          <w:lang w:val="es-ES_tradnl"/>
        </w:rPr>
        <w:t xml:space="preserve">el porcentaje de nivel de interferencia combinada </w:t>
      </w:r>
      <w:r w:rsidR="003964AC" w:rsidRPr="00A56509">
        <w:rPr>
          <w:lang w:val="es-ES_tradnl"/>
        </w:rPr>
        <w:t>re</w:t>
      </w:r>
      <w:r w:rsidRPr="00A56509">
        <w:rPr>
          <w:lang w:val="es-ES_tradnl"/>
        </w:rPr>
        <w:t>presentado por el servicio interferente dominante.</w:t>
      </w:r>
    </w:p>
    <w:p w:rsidR="0006441E" w:rsidRPr="00A56509" w:rsidRDefault="0006441E" w:rsidP="003964AC">
      <w:pPr>
        <w:rPr>
          <w:lang w:val="es-ES_tradnl"/>
        </w:rPr>
      </w:pPr>
      <w:r w:rsidRPr="00A56509">
        <w:rPr>
          <w:lang w:val="es-ES_tradnl"/>
        </w:rPr>
        <w:t xml:space="preserve">Uno de los objetivos era determinar si la interferencia procedente de distintos servicios de radiocomunicaciones se combinaba en potencia o en porcentaje de tiempo. Un examen de los resultados de la simulación dinámica para cada intervalo de tiempo puso en evidencia que había intervalos de tiempo durante la simulación </w:t>
      </w:r>
      <w:r w:rsidR="003964AC" w:rsidRPr="00A56509">
        <w:rPr>
          <w:lang w:val="es-ES_tradnl"/>
        </w:rPr>
        <w:t>en</w:t>
      </w:r>
      <w:r w:rsidRPr="00A56509">
        <w:rPr>
          <w:lang w:val="es-ES_tradnl"/>
        </w:rPr>
        <w:t xml:space="preserve"> los cuales solamente estaba presente un servicio de radiocomunicaciones interferente dominante, que es el caso típico en que la interferencia procedente de varias fuentes se combina </w:t>
      </w:r>
      <w:r w:rsidR="003964AC" w:rsidRPr="00A56509">
        <w:rPr>
          <w:lang w:val="es-ES_tradnl"/>
        </w:rPr>
        <w:t>en</w:t>
      </w:r>
      <w:r w:rsidRPr="00A56509">
        <w:rPr>
          <w:lang w:val="es-ES_tradnl"/>
        </w:rPr>
        <w:t xml:space="preserve"> porcentaje de tiempo o </w:t>
      </w:r>
      <w:r w:rsidR="003964AC" w:rsidRPr="00A56509">
        <w:rPr>
          <w:lang w:val="es-ES_tradnl"/>
        </w:rPr>
        <w:t>de</w:t>
      </w:r>
      <w:r w:rsidRPr="00A56509">
        <w:rPr>
          <w:lang w:val="es-ES_tradnl"/>
        </w:rPr>
        <w:t xml:space="preserve"> zona. Por otro lado, había otros intervalos de tiempo en la misma hipótesis en los que la interferencia combinada era claramente el resultado de la combinación simultánea de la potencia interferente procedente de distintos servicios de radiocomunicaciones. Por consiguiente</w:t>
      </w:r>
      <w:r w:rsidR="003964AC" w:rsidRPr="00A56509">
        <w:rPr>
          <w:lang w:val="es-ES_tradnl"/>
        </w:rPr>
        <w:t>,</w:t>
      </w:r>
      <w:r w:rsidRPr="00A56509">
        <w:rPr>
          <w:lang w:val="es-ES_tradnl"/>
        </w:rPr>
        <w:t xml:space="preserve"> las simulaciones demostraron que la interferencia </w:t>
      </w:r>
      <w:r w:rsidR="003964AC" w:rsidRPr="00A56509">
        <w:rPr>
          <w:lang w:val="es-ES_tradnl"/>
        </w:rPr>
        <w:t>bajo cualquier</w:t>
      </w:r>
      <w:r w:rsidRPr="00A56509">
        <w:rPr>
          <w:lang w:val="es-ES_tradnl"/>
        </w:rPr>
        <w:t xml:space="preserve"> hipótesis determinada no se combina puramente en potencia o en tiempo. Como la combinación de la interferencia en potencia se asocia normalmente a la interferencia a largo plazo y la combinación en tiempo se asocia a la interferencia a corto plazo, se deduce que la distinción que </w:t>
      </w:r>
      <w:r w:rsidR="003964AC" w:rsidRPr="00A56509">
        <w:rPr>
          <w:lang w:val="es-ES_tradnl"/>
        </w:rPr>
        <w:t xml:space="preserve">se </w:t>
      </w:r>
      <w:r w:rsidRPr="00A56509">
        <w:rPr>
          <w:lang w:val="es-ES_tradnl"/>
        </w:rPr>
        <w:t>hace habitualmente entre interferencia a largo plazo y a corto plazo no es muy útil para determinar la interferencia combinada en la mayoría de l</w:t>
      </w:r>
      <w:r w:rsidR="003964AC" w:rsidRPr="00A56509">
        <w:rPr>
          <w:lang w:val="es-ES_tradnl"/>
        </w:rPr>
        <w:t>o</w:t>
      </w:r>
      <w:r w:rsidRPr="00A56509">
        <w:rPr>
          <w:lang w:val="es-ES_tradnl"/>
        </w:rPr>
        <w:t xml:space="preserve">s </w:t>
      </w:r>
      <w:r w:rsidR="003964AC" w:rsidRPr="00A56509">
        <w:rPr>
          <w:lang w:val="es-ES_tradnl"/>
        </w:rPr>
        <w:t>caso</w:t>
      </w:r>
      <w:r w:rsidRPr="00A56509">
        <w:rPr>
          <w:lang w:val="es-ES_tradnl"/>
        </w:rPr>
        <w:t>s. Esta es una buena razón para proponer el método de</w:t>
      </w:r>
      <w:r w:rsidR="003964AC" w:rsidRPr="00A56509">
        <w:rPr>
          <w:lang w:val="es-ES_tradnl"/>
        </w:rPr>
        <w:t xml:space="preserve"> los</w:t>
      </w:r>
      <w:r w:rsidRPr="00A56509">
        <w:rPr>
          <w:lang w:val="es-ES_tradnl"/>
        </w:rPr>
        <w:t xml:space="preserve"> momentos estadísticos </w:t>
      </w:r>
      <w:r w:rsidR="003964AC" w:rsidRPr="00A56509">
        <w:rPr>
          <w:lang w:val="es-ES_tradnl"/>
        </w:rPr>
        <w:t>a fin de</w:t>
      </w:r>
      <w:r w:rsidRPr="00A56509">
        <w:rPr>
          <w:lang w:val="es-ES_tradnl"/>
        </w:rPr>
        <w:t xml:space="preserve"> determinar la interferencia combinada procedente de múltiples servicios. </w:t>
      </w:r>
    </w:p>
    <w:p w:rsidR="0006441E" w:rsidRPr="00A56509" w:rsidRDefault="0006441E" w:rsidP="00D41B00">
      <w:pPr>
        <w:keepLines/>
        <w:rPr>
          <w:lang w:val="es-ES_tradnl"/>
        </w:rPr>
      </w:pPr>
      <w:r w:rsidRPr="00A56509">
        <w:rPr>
          <w:lang w:val="es-ES_tradnl"/>
        </w:rPr>
        <w:t xml:space="preserve">Para cada hipótesis, la media y la varianza de la interferencia combinada se calcularon a partir de las medias y las varianzas de los datos de simulación para cada uno de los servicios de radiocomunicaciones. Se observó que la media y la varianza de la interferencia combinada calculadas eran iguales a la suma de las medias y las varianzas de los distintos servicios obtenidas a partir de los datos de simulación, de acuerdo con la ecuación (1). Además, las simulaciones demostraron que la hipótesis de estadísticas normales generalmente no es válida. Se observó que cuando se emplea la ecuación (3) para calcular </w:t>
      </w:r>
      <w:r w:rsidRPr="00A56509">
        <w:rPr>
          <w:i/>
          <w:lang w:val="es-ES_tradnl"/>
        </w:rPr>
        <w:t>c</w:t>
      </w:r>
      <w:r w:rsidRPr="00A56509">
        <w:rPr>
          <w:lang w:val="es-ES_tradnl"/>
        </w:rPr>
        <w:t xml:space="preserve">, se obtiene un buen acuerdo de las tres hipótesis simuladas. Por consiguiente, el método de </w:t>
      </w:r>
      <w:r w:rsidR="003964AC" w:rsidRPr="00A56509">
        <w:rPr>
          <w:lang w:val="es-ES_tradnl"/>
        </w:rPr>
        <w:t xml:space="preserve">los </w:t>
      </w:r>
      <w:r w:rsidRPr="00A56509">
        <w:rPr>
          <w:lang w:val="es-ES_tradnl"/>
        </w:rPr>
        <w:t>momentos estadísticos parece ser un medio razonable para determinar los niveles de interferencia combinada, aun cuando se desconozca la distribución de probabilidad del nivel combinado.</w:t>
      </w:r>
    </w:p>
    <w:p w:rsidR="0006441E" w:rsidRPr="00A56509" w:rsidRDefault="0006441E" w:rsidP="00A2741D">
      <w:pPr>
        <w:spacing w:before="0"/>
        <w:rPr>
          <w:lang w:val="es-ES_tradnl"/>
        </w:rPr>
      </w:pPr>
    </w:p>
    <w:p w:rsidR="0006441E" w:rsidRDefault="0006441E" w:rsidP="0006441E">
      <w:pPr>
        <w:rPr>
          <w:lang w:val="es-ES_tradnl"/>
        </w:rPr>
      </w:pPr>
    </w:p>
    <w:p w:rsidR="0006441E" w:rsidRPr="00A56509" w:rsidRDefault="0006441E" w:rsidP="0006441E">
      <w:pPr>
        <w:pStyle w:val="Line"/>
        <w:rPr>
          <w:lang w:val="es-ES_tradnl"/>
        </w:rPr>
      </w:pPr>
    </w:p>
    <w:sectPr w:rsidR="0006441E" w:rsidRPr="00A56509" w:rsidSect="00B1717A">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3E7" w:rsidRDefault="001133E7">
      <w:r>
        <w:separator/>
      </w:r>
    </w:p>
  </w:endnote>
  <w:endnote w:type="continuationSeparator" w:id="0">
    <w:p w:rsidR="001133E7" w:rsidRDefault="001133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3E7" w:rsidRDefault="001133E7">
      <w:r>
        <w:separator/>
      </w:r>
    </w:p>
  </w:footnote>
  <w:footnote w:type="continuationSeparator" w:id="0">
    <w:p w:rsidR="001133E7" w:rsidRDefault="001133E7">
      <w:r>
        <w:continuationSeparator/>
      </w:r>
    </w:p>
  </w:footnote>
  <w:footnote w:id="1">
    <w:p w:rsidR="001133E7" w:rsidRPr="001C5F82" w:rsidRDefault="001133E7" w:rsidP="0006441E">
      <w:pPr>
        <w:pStyle w:val="FootnoteText"/>
        <w:spacing w:before="60"/>
        <w:rPr>
          <w:lang w:val="es-ES_tradnl"/>
        </w:rPr>
      </w:pPr>
      <w:r>
        <w:rPr>
          <w:rStyle w:val="FootnoteReference"/>
        </w:rPr>
        <w:footnoteRef/>
      </w:r>
      <w:r w:rsidRPr="001C5F82">
        <w:rPr>
          <w:lang w:val="es-ES_tradnl"/>
        </w:rPr>
        <w:t xml:space="preserve"> </w:t>
      </w:r>
      <w:r w:rsidRPr="001C5F82">
        <w:rPr>
          <w:lang w:val="es-ES_tradnl"/>
        </w:rPr>
        <w:tab/>
        <w:t>Recomendación UIT-R SM.1538-2.</w:t>
      </w:r>
    </w:p>
  </w:footnote>
  <w:footnote w:id="2">
    <w:p w:rsidR="001133E7" w:rsidRPr="001C5F82" w:rsidRDefault="001133E7" w:rsidP="0006441E">
      <w:pPr>
        <w:pStyle w:val="FootnoteText"/>
        <w:spacing w:before="60"/>
        <w:rPr>
          <w:lang w:val="es-ES_tradnl"/>
        </w:rPr>
      </w:pPr>
      <w:r>
        <w:rPr>
          <w:rStyle w:val="FootnoteReference"/>
        </w:rPr>
        <w:footnoteRef/>
      </w:r>
      <w:r w:rsidRPr="001C5F82">
        <w:rPr>
          <w:lang w:val="es-ES_tradnl"/>
        </w:rPr>
        <w:t xml:space="preserve"> </w:t>
      </w:r>
      <w:r w:rsidRPr="001C5F82">
        <w:rPr>
          <w:lang w:val="es-ES_tradnl"/>
        </w:rPr>
        <w:tab/>
        <w:t>RR No. 1.15.</w:t>
      </w:r>
    </w:p>
  </w:footnote>
  <w:footnote w:id="3">
    <w:p w:rsidR="001133E7" w:rsidRPr="006D3337" w:rsidRDefault="001133E7" w:rsidP="0006441E">
      <w:pPr>
        <w:pStyle w:val="FootnoteText"/>
        <w:spacing w:before="60"/>
        <w:rPr>
          <w:lang w:val="es-ES_tradnl"/>
        </w:rPr>
      </w:pPr>
      <w:r>
        <w:rPr>
          <w:rStyle w:val="FootnoteReference"/>
        </w:rPr>
        <w:footnoteRef/>
      </w:r>
      <w:r w:rsidRPr="006D3337">
        <w:rPr>
          <w:lang w:val="es-ES_tradnl"/>
        </w:rPr>
        <w:t xml:space="preserve"> </w:t>
      </w:r>
      <w:r w:rsidRPr="006D3337">
        <w:rPr>
          <w:lang w:val="es-ES_tradnl"/>
        </w:rPr>
        <w:tab/>
        <w:t>RR No. 15.12.</w:t>
      </w:r>
    </w:p>
  </w:footnote>
  <w:footnote w:id="4">
    <w:p w:rsidR="001133E7" w:rsidRPr="006D3337" w:rsidRDefault="001133E7" w:rsidP="0006441E">
      <w:pPr>
        <w:pStyle w:val="FootnoteText"/>
        <w:rPr>
          <w:lang w:val="es-ES_tradnl"/>
        </w:rPr>
      </w:pPr>
      <w:r>
        <w:rPr>
          <w:rStyle w:val="FootnoteReference"/>
        </w:rPr>
        <w:footnoteRef/>
      </w:r>
      <w:r w:rsidRPr="006D3337">
        <w:rPr>
          <w:lang w:val="es-ES_tradnl"/>
        </w:rPr>
        <w:tab/>
        <w:t>RR No. 1.152.</w:t>
      </w:r>
    </w:p>
  </w:footnote>
  <w:footnote w:id="5">
    <w:p w:rsidR="001133E7" w:rsidRPr="001C5F82" w:rsidRDefault="001133E7" w:rsidP="0006441E">
      <w:pPr>
        <w:pStyle w:val="FootnoteText"/>
        <w:rPr>
          <w:lang w:val="es-ES_tradnl"/>
        </w:rPr>
      </w:pPr>
      <w:r>
        <w:rPr>
          <w:rStyle w:val="FootnoteReference"/>
        </w:rPr>
        <w:footnoteRef/>
      </w:r>
      <w:r w:rsidRPr="001C5F82">
        <w:rPr>
          <w:lang w:val="es-ES_tradnl"/>
        </w:rPr>
        <w:t xml:space="preserve"> </w:t>
      </w:r>
      <w:r w:rsidRPr="001C5F82">
        <w:rPr>
          <w:lang w:val="es-ES_tradnl"/>
        </w:rPr>
        <w:tab/>
        <w:t>Definido en la Recomendación UIT-R SM.1541-1.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3E7" w:rsidRDefault="001133E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3E7" w:rsidRDefault="001133E7"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3E7" w:rsidRDefault="00FC6F7F" w:rsidP="00B1717A">
    <w:pPr>
      <w:pStyle w:val="Header"/>
      <w:jc w:val="left"/>
    </w:pPr>
    <w:r>
      <w:rPr>
        <w:rStyle w:val="PageNumber"/>
        <w:b/>
        <w:bCs/>
      </w:rPr>
      <w:fldChar w:fldCharType="begin"/>
    </w:r>
    <w:r w:rsidR="001133E7">
      <w:rPr>
        <w:rStyle w:val="PageNumber"/>
        <w:b/>
        <w:bCs/>
      </w:rPr>
      <w:instrText xml:space="preserve"> PAGE </w:instrText>
    </w:r>
    <w:r>
      <w:rPr>
        <w:rStyle w:val="PageNumber"/>
        <w:b/>
        <w:bCs/>
      </w:rPr>
      <w:fldChar w:fldCharType="separate"/>
    </w:r>
    <w:r w:rsidR="0088795E">
      <w:rPr>
        <w:rStyle w:val="PageNumber"/>
        <w:b/>
        <w:bCs/>
        <w:noProof/>
      </w:rPr>
      <w:t>ii</w:t>
    </w:r>
    <w:r>
      <w:rPr>
        <w:rStyle w:val="PageNumber"/>
        <w:b/>
        <w:bCs/>
      </w:rPr>
      <w:fldChar w:fldCharType="end"/>
    </w:r>
    <w:r w:rsidR="001133E7">
      <w:tab/>
    </w:r>
    <w:fldSimple w:instr=" DOCPROPERTY &quot;Header&quot; \* MERGEFORMAT ">
      <w:r w:rsidR="00A2741D" w:rsidRPr="00A2741D">
        <w:rPr>
          <w:b/>
          <w:bCs/>
          <w:lang w:val="en-US"/>
        </w:rPr>
        <w:t xml:space="preserve">Rec. </w:t>
      </w:r>
    </w:fldSimple>
    <w:r w:rsidR="001133E7">
      <w:rPr>
        <w:b/>
        <w:bCs/>
      </w:rPr>
      <w:t xml:space="preserve"> </w:t>
    </w:r>
    <w:r>
      <w:rPr>
        <w:b/>
        <w:bCs/>
      </w:rPr>
      <w:fldChar w:fldCharType="begin"/>
    </w:r>
    <w:r w:rsidR="001133E7">
      <w:rPr>
        <w:b/>
        <w:bCs/>
      </w:rPr>
      <w:instrText>styleref href</w:instrText>
    </w:r>
    <w:r>
      <w:rPr>
        <w:b/>
        <w:bCs/>
      </w:rPr>
      <w:fldChar w:fldCharType="separate"/>
    </w:r>
    <w:r w:rsidR="0088795E">
      <w:rPr>
        <w:b/>
        <w:bCs/>
        <w:noProof/>
      </w:rPr>
      <w:t>UIT-R  RS.1858</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3E7" w:rsidRDefault="001133E7">
    <w:pPr>
      <w:pStyle w:val="Header"/>
    </w:pPr>
    <w:r>
      <w:tab/>
    </w:r>
    <w:fldSimple w:instr=" DOCPROPERTY &quot;Header&quot; \* MERGEFORMAT ">
      <w:r w:rsidR="00A2741D" w:rsidRPr="00A2741D">
        <w:rPr>
          <w:lang w:val="en-US"/>
        </w:rPr>
        <w:t xml:space="preserve">Rec. </w:t>
      </w:r>
    </w:fldSimple>
    <w:r>
      <w:rPr>
        <w:b/>
        <w:bCs/>
      </w:rPr>
      <w:t xml:space="preserve">  </w:t>
    </w:r>
    <w:r w:rsidR="00FC6F7F">
      <w:rPr>
        <w:b/>
        <w:bCs/>
      </w:rPr>
      <w:fldChar w:fldCharType="begin"/>
    </w:r>
    <w:r>
      <w:rPr>
        <w:b/>
        <w:bCs/>
      </w:rPr>
      <w:instrText>styleref href</w:instrText>
    </w:r>
    <w:r w:rsidR="00FC6F7F">
      <w:rPr>
        <w:b/>
        <w:bCs/>
      </w:rPr>
      <w:fldChar w:fldCharType="separate"/>
    </w:r>
    <w:r w:rsidR="00A2741D">
      <w:rPr>
        <w:b/>
        <w:bCs/>
        <w:noProof/>
      </w:rPr>
      <w:t>UIT-R  RS.1858</w:t>
    </w:r>
    <w:r w:rsidR="00FC6F7F">
      <w:rPr>
        <w:b/>
        <w:bCs/>
      </w:rPr>
      <w:fldChar w:fldCharType="end"/>
    </w:r>
    <w:r>
      <w:tab/>
    </w:r>
    <w:r w:rsidR="00FC6F7F">
      <w:rPr>
        <w:rStyle w:val="PageNumber"/>
        <w:b/>
        <w:bCs/>
      </w:rPr>
      <w:fldChar w:fldCharType="begin"/>
    </w:r>
    <w:r>
      <w:rPr>
        <w:rStyle w:val="PageNumber"/>
        <w:b/>
        <w:bCs/>
      </w:rPr>
      <w:instrText xml:space="preserve"> PAGE </w:instrText>
    </w:r>
    <w:r w:rsidR="00FC6F7F">
      <w:rPr>
        <w:rStyle w:val="PageNumber"/>
        <w:b/>
        <w:bCs/>
      </w:rPr>
      <w:fldChar w:fldCharType="separate"/>
    </w:r>
    <w:r>
      <w:rPr>
        <w:rStyle w:val="PageNumber"/>
        <w:b/>
        <w:bCs/>
        <w:noProof/>
      </w:rPr>
      <w:t>1</w:t>
    </w:r>
    <w:r w:rsidR="00FC6F7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3E7" w:rsidRDefault="00FC6F7F">
    <w:pPr>
      <w:pStyle w:val="Header"/>
      <w:jc w:val="left"/>
      <w:rPr>
        <w:lang w:val="en-US"/>
      </w:rPr>
    </w:pPr>
    <w:r>
      <w:rPr>
        <w:rStyle w:val="PageNumber"/>
        <w:b/>
        <w:bCs/>
      </w:rPr>
      <w:fldChar w:fldCharType="begin"/>
    </w:r>
    <w:r w:rsidR="001133E7">
      <w:rPr>
        <w:rStyle w:val="PageNumber"/>
        <w:b/>
        <w:bCs/>
        <w:lang w:val="en-US"/>
      </w:rPr>
      <w:instrText xml:space="preserve"> PAGE </w:instrText>
    </w:r>
    <w:r>
      <w:rPr>
        <w:rStyle w:val="PageNumber"/>
        <w:b/>
        <w:bCs/>
      </w:rPr>
      <w:fldChar w:fldCharType="separate"/>
    </w:r>
    <w:r w:rsidR="0088795E">
      <w:rPr>
        <w:rStyle w:val="PageNumber"/>
        <w:b/>
        <w:bCs/>
        <w:noProof/>
        <w:lang w:val="en-US"/>
      </w:rPr>
      <w:t>6</w:t>
    </w:r>
    <w:r>
      <w:rPr>
        <w:rStyle w:val="PageNumber"/>
        <w:b/>
        <w:bCs/>
      </w:rPr>
      <w:fldChar w:fldCharType="end"/>
    </w:r>
    <w:r w:rsidR="001133E7">
      <w:rPr>
        <w:lang w:val="en-US"/>
      </w:rPr>
      <w:tab/>
    </w:r>
    <w:fldSimple w:instr=" DOCPROPERTY &quot;Header&quot; \* MERGEFORMAT ">
      <w:r w:rsidR="00A2741D" w:rsidRPr="00A2741D">
        <w:rPr>
          <w:b/>
          <w:bCs/>
          <w:lang w:val="en-US"/>
        </w:rPr>
        <w:t xml:space="preserve">Rec. </w:t>
      </w:r>
    </w:fldSimple>
    <w:r w:rsidR="001133E7">
      <w:rPr>
        <w:b/>
        <w:bCs/>
      </w:rPr>
      <w:t xml:space="preserve"> </w:t>
    </w:r>
    <w:r>
      <w:rPr>
        <w:b/>
        <w:bCs/>
      </w:rPr>
      <w:fldChar w:fldCharType="begin"/>
    </w:r>
    <w:r w:rsidR="001133E7">
      <w:rPr>
        <w:b/>
        <w:bCs/>
        <w:lang w:val="en-US"/>
      </w:rPr>
      <w:instrText>styleref href</w:instrText>
    </w:r>
    <w:r>
      <w:rPr>
        <w:b/>
        <w:bCs/>
      </w:rPr>
      <w:fldChar w:fldCharType="separate"/>
    </w:r>
    <w:r w:rsidR="0088795E">
      <w:rPr>
        <w:b/>
        <w:bCs/>
        <w:noProof/>
      </w:rPr>
      <w:t>UIT-R  RS.1858</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3E7" w:rsidRDefault="001133E7">
    <w:pPr>
      <w:pStyle w:val="Header"/>
    </w:pPr>
    <w:r>
      <w:tab/>
    </w:r>
    <w:fldSimple w:instr=" DOCPROPERTY &quot;Header&quot; \* MERGEFORMAT ">
      <w:r w:rsidR="00A2741D" w:rsidRPr="00A2741D">
        <w:rPr>
          <w:b/>
          <w:bCs/>
        </w:rPr>
        <w:t xml:space="preserve">Rec. </w:t>
      </w:r>
    </w:fldSimple>
    <w:r>
      <w:rPr>
        <w:b/>
        <w:bCs/>
      </w:rPr>
      <w:t xml:space="preserve"> </w:t>
    </w:r>
    <w:r w:rsidR="00FC6F7F">
      <w:rPr>
        <w:b/>
        <w:bCs/>
      </w:rPr>
      <w:fldChar w:fldCharType="begin"/>
    </w:r>
    <w:r>
      <w:rPr>
        <w:b/>
        <w:bCs/>
      </w:rPr>
      <w:instrText>styleref href</w:instrText>
    </w:r>
    <w:r w:rsidR="00FC6F7F">
      <w:rPr>
        <w:b/>
        <w:bCs/>
      </w:rPr>
      <w:fldChar w:fldCharType="separate"/>
    </w:r>
    <w:r w:rsidR="0088795E">
      <w:rPr>
        <w:b/>
        <w:bCs/>
        <w:noProof/>
      </w:rPr>
      <w:t>UIT-R  RS.1858</w:t>
    </w:r>
    <w:r w:rsidR="00FC6F7F">
      <w:rPr>
        <w:b/>
        <w:bCs/>
      </w:rPr>
      <w:fldChar w:fldCharType="end"/>
    </w:r>
    <w:r>
      <w:tab/>
    </w:r>
    <w:r w:rsidR="00FC6F7F">
      <w:rPr>
        <w:rStyle w:val="PageNumber"/>
        <w:b/>
        <w:bCs/>
      </w:rPr>
      <w:fldChar w:fldCharType="begin"/>
    </w:r>
    <w:r>
      <w:rPr>
        <w:rStyle w:val="PageNumber"/>
        <w:b/>
        <w:bCs/>
      </w:rPr>
      <w:instrText xml:space="preserve"> PAGE </w:instrText>
    </w:r>
    <w:r w:rsidR="00FC6F7F">
      <w:rPr>
        <w:rStyle w:val="PageNumber"/>
        <w:b/>
        <w:bCs/>
      </w:rPr>
      <w:fldChar w:fldCharType="separate"/>
    </w:r>
    <w:r w:rsidR="0088795E">
      <w:rPr>
        <w:rStyle w:val="PageNumber"/>
        <w:b/>
        <w:bCs/>
        <w:noProof/>
      </w:rPr>
      <w:t>7</w:t>
    </w:r>
    <w:r w:rsidR="00FC6F7F">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GrammaticalErrors/>
  <w:activeWritingStyle w:appName="MSWord" w:lang="en-US" w:vendorID="64" w:dllVersion="131077" w:nlCheck="1" w:checkStyle="0"/>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rsids>
    <w:rsidRoot w:val="00B1717A"/>
    <w:rsid w:val="00061C13"/>
    <w:rsid w:val="0006441E"/>
    <w:rsid w:val="001133E7"/>
    <w:rsid w:val="001863AD"/>
    <w:rsid w:val="00224A5B"/>
    <w:rsid w:val="00266EDC"/>
    <w:rsid w:val="0028779E"/>
    <w:rsid w:val="002D76C4"/>
    <w:rsid w:val="00363835"/>
    <w:rsid w:val="00366CEE"/>
    <w:rsid w:val="003964AC"/>
    <w:rsid w:val="004532F7"/>
    <w:rsid w:val="005A2119"/>
    <w:rsid w:val="005A6102"/>
    <w:rsid w:val="00607D68"/>
    <w:rsid w:val="006B22C3"/>
    <w:rsid w:val="006D3337"/>
    <w:rsid w:val="007B3E80"/>
    <w:rsid w:val="007C5BA1"/>
    <w:rsid w:val="00847DD5"/>
    <w:rsid w:val="00872628"/>
    <w:rsid w:val="008820FF"/>
    <w:rsid w:val="0088795E"/>
    <w:rsid w:val="00980E98"/>
    <w:rsid w:val="00A25628"/>
    <w:rsid w:val="00A2741D"/>
    <w:rsid w:val="00A56509"/>
    <w:rsid w:val="00A6617B"/>
    <w:rsid w:val="00AB0DC8"/>
    <w:rsid w:val="00B1717A"/>
    <w:rsid w:val="00B44E24"/>
    <w:rsid w:val="00B87252"/>
    <w:rsid w:val="00BB55C6"/>
    <w:rsid w:val="00BB77E9"/>
    <w:rsid w:val="00BF7841"/>
    <w:rsid w:val="00D41B00"/>
    <w:rsid w:val="00D62884"/>
    <w:rsid w:val="00DE71F7"/>
    <w:rsid w:val="00DF4176"/>
    <w:rsid w:val="00EA7E0A"/>
    <w:rsid w:val="00F95576"/>
    <w:rsid w:val="00FB56BF"/>
    <w:rsid w:val="00FC6F7F"/>
    <w:rsid w:val="00FF059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5B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C5BA1"/>
    <w:pPr>
      <w:keepNext/>
      <w:keepLines/>
      <w:spacing w:before="480"/>
      <w:ind w:left="794" w:hanging="794"/>
      <w:outlineLvl w:val="0"/>
    </w:pPr>
    <w:rPr>
      <w:b/>
    </w:rPr>
  </w:style>
  <w:style w:type="paragraph" w:styleId="Heading2">
    <w:name w:val="heading 2"/>
    <w:basedOn w:val="Heading1"/>
    <w:next w:val="Normal"/>
    <w:qFormat/>
    <w:rsid w:val="007C5BA1"/>
    <w:pPr>
      <w:spacing w:before="320"/>
      <w:outlineLvl w:val="1"/>
    </w:pPr>
  </w:style>
  <w:style w:type="paragraph" w:styleId="Heading3">
    <w:name w:val="heading 3"/>
    <w:basedOn w:val="Heading1"/>
    <w:next w:val="Normal"/>
    <w:qFormat/>
    <w:rsid w:val="007C5BA1"/>
    <w:pPr>
      <w:spacing w:before="200"/>
      <w:outlineLvl w:val="2"/>
    </w:pPr>
  </w:style>
  <w:style w:type="paragraph" w:styleId="Heading4">
    <w:name w:val="heading 4"/>
    <w:basedOn w:val="Heading3"/>
    <w:next w:val="Normal"/>
    <w:qFormat/>
    <w:rsid w:val="007C5BA1"/>
    <w:pPr>
      <w:tabs>
        <w:tab w:val="clear" w:pos="794"/>
        <w:tab w:val="left" w:pos="992"/>
      </w:tabs>
      <w:ind w:left="992" w:hanging="992"/>
      <w:outlineLvl w:val="3"/>
    </w:pPr>
  </w:style>
  <w:style w:type="paragraph" w:styleId="Heading5">
    <w:name w:val="heading 5"/>
    <w:basedOn w:val="Heading4"/>
    <w:next w:val="Normal"/>
    <w:qFormat/>
    <w:rsid w:val="007C5BA1"/>
    <w:pPr>
      <w:outlineLvl w:val="4"/>
    </w:pPr>
  </w:style>
  <w:style w:type="paragraph" w:styleId="Heading6">
    <w:name w:val="heading 6"/>
    <w:basedOn w:val="Heading4"/>
    <w:next w:val="Normal"/>
    <w:qFormat/>
    <w:rsid w:val="007C5BA1"/>
    <w:pPr>
      <w:tabs>
        <w:tab w:val="clear" w:pos="992"/>
        <w:tab w:val="clear" w:pos="1191"/>
      </w:tabs>
      <w:ind w:left="1588" w:hanging="1588"/>
      <w:outlineLvl w:val="5"/>
    </w:pPr>
  </w:style>
  <w:style w:type="paragraph" w:styleId="Heading7">
    <w:name w:val="heading 7"/>
    <w:basedOn w:val="Heading6"/>
    <w:next w:val="Normal"/>
    <w:qFormat/>
    <w:rsid w:val="007C5BA1"/>
    <w:pPr>
      <w:outlineLvl w:val="6"/>
    </w:pPr>
  </w:style>
  <w:style w:type="paragraph" w:styleId="Heading8">
    <w:name w:val="heading 8"/>
    <w:basedOn w:val="Heading6"/>
    <w:next w:val="Normal"/>
    <w:qFormat/>
    <w:rsid w:val="007C5BA1"/>
    <w:pPr>
      <w:outlineLvl w:val="7"/>
    </w:pPr>
  </w:style>
  <w:style w:type="paragraph" w:styleId="Heading9">
    <w:name w:val="heading 9"/>
    <w:basedOn w:val="Heading6"/>
    <w:next w:val="Normal"/>
    <w:qFormat/>
    <w:rsid w:val="007C5B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5B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C5B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C5BA1"/>
  </w:style>
  <w:style w:type="paragraph" w:customStyle="1" w:styleId="Headingb">
    <w:name w:val="Heading_b"/>
    <w:basedOn w:val="Heading3"/>
    <w:next w:val="Normal"/>
    <w:rsid w:val="007C5BA1"/>
    <w:pPr>
      <w:spacing w:before="160"/>
      <w:ind w:left="0" w:firstLine="0"/>
      <w:outlineLvl w:val="9"/>
    </w:pPr>
  </w:style>
  <w:style w:type="paragraph" w:customStyle="1" w:styleId="Headingi">
    <w:name w:val="Heading_i"/>
    <w:basedOn w:val="Heading3"/>
    <w:next w:val="Normal"/>
    <w:rsid w:val="007C5BA1"/>
    <w:pPr>
      <w:spacing w:before="160"/>
      <w:ind w:left="0" w:firstLine="0"/>
    </w:pPr>
    <w:rPr>
      <w:b w:val="0"/>
      <w:i/>
    </w:rPr>
  </w:style>
  <w:style w:type="character" w:customStyle="1" w:styleId="href">
    <w:name w:val="href"/>
    <w:basedOn w:val="DefaultParagraphFont"/>
    <w:rsid w:val="007C5BA1"/>
  </w:style>
  <w:style w:type="paragraph" w:customStyle="1" w:styleId="enumlev1">
    <w:name w:val="enumlev1"/>
    <w:basedOn w:val="Normal"/>
    <w:rsid w:val="007C5BA1"/>
    <w:pPr>
      <w:spacing w:before="80"/>
      <w:ind w:left="794" w:hanging="794"/>
    </w:pPr>
  </w:style>
  <w:style w:type="paragraph" w:customStyle="1" w:styleId="enumlev2">
    <w:name w:val="enumlev2"/>
    <w:basedOn w:val="enumlev1"/>
    <w:rsid w:val="007C5BA1"/>
    <w:pPr>
      <w:ind w:left="1191" w:hanging="397"/>
    </w:pPr>
  </w:style>
  <w:style w:type="paragraph" w:customStyle="1" w:styleId="enumlev3">
    <w:name w:val="enumlev3"/>
    <w:basedOn w:val="enumlev2"/>
    <w:rsid w:val="007C5BA1"/>
    <w:pPr>
      <w:ind w:left="1588"/>
    </w:pPr>
  </w:style>
  <w:style w:type="paragraph" w:customStyle="1" w:styleId="Normalaftertitle">
    <w:name w:val="Normal_after_title"/>
    <w:basedOn w:val="Normal"/>
    <w:next w:val="Normal"/>
    <w:rsid w:val="007C5BA1"/>
    <w:pPr>
      <w:spacing w:before="320"/>
    </w:pPr>
  </w:style>
  <w:style w:type="paragraph" w:customStyle="1" w:styleId="Note">
    <w:name w:val="Note"/>
    <w:basedOn w:val="Normal"/>
    <w:rsid w:val="007C5B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C5BA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C5BA1"/>
    <w:pPr>
      <w:spacing w:before="240"/>
    </w:pPr>
    <w:rPr>
      <w:sz w:val="22"/>
      <w:lang w:val="es-ES_tradnl"/>
    </w:rPr>
  </w:style>
  <w:style w:type="paragraph" w:customStyle="1" w:styleId="Recref">
    <w:name w:val="Rec_ref"/>
    <w:basedOn w:val="Normal"/>
    <w:next w:val="Recdate"/>
    <w:rsid w:val="007C5BA1"/>
    <w:pPr>
      <w:jc w:val="center"/>
    </w:pPr>
  </w:style>
  <w:style w:type="paragraph" w:customStyle="1" w:styleId="Recdate">
    <w:name w:val="Rec_date"/>
    <w:basedOn w:val="Recref"/>
    <w:next w:val="Normalaftertitle"/>
    <w:rsid w:val="007C5BA1"/>
    <w:pPr>
      <w:jc w:val="right"/>
    </w:pPr>
  </w:style>
  <w:style w:type="paragraph" w:customStyle="1" w:styleId="AnnexNoTitle">
    <w:name w:val="Annex_NoTitle"/>
    <w:basedOn w:val="Normal"/>
    <w:next w:val="Normalaftertitle"/>
    <w:link w:val="AnnexNoTitleChar"/>
    <w:rsid w:val="007C5BA1"/>
    <w:pPr>
      <w:keepNext/>
      <w:keepLines/>
      <w:spacing w:before="480" w:after="80"/>
      <w:jc w:val="center"/>
    </w:pPr>
    <w:rPr>
      <w:b/>
      <w:sz w:val="28"/>
    </w:rPr>
  </w:style>
  <w:style w:type="paragraph" w:customStyle="1" w:styleId="AppendixNoTitle">
    <w:name w:val="Appendix_NoTitle"/>
    <w:basedOn w:val="AnnexNoTitle"/>
    <w:next w:val="Normal"/>
    <w:rsid w:val="007C5BA1"/>
  </w:style>
  <w:style w:type="paragraph" w:customStyle="1" w:styleId="Tablefin">
    <w:name w:val="Table_fin"/>
    <w:basedOn w:val="Normal"/>
    <w:next w:val="Normal"/>
    <w:rsid w:val="007C5BA1"/>
    <w:pPr>
      <w:spacing w:before="0"/>
    </w:pPr>
    <w:rPr>
      <w:sz w:val="20"/>
      <w:lang w:val="en-GB"/>
    </w:rPr>
  </w:style>
  <w:style w:type="paragraph" w:customStyle="1" w:styleId="Tablehead">
    <w:name w:val="Table_head"/>
    <w:basedOn w:val="Normal"/>
    <w:next w:val="Normal"/>
    <w:rsid w:val="007C5B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C5B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C5BA1"/>
    <w:pPr>
      <w:keepNext/>
      <w:spacing w:before="360" w:after="120"/>
      <w:jc w:val="center"/>
    </w:pPr>
  </w:style>
  <w:style w:type="paragraph" w:customStyle="1" w:styleId="Tabletext">
    <w:name w:val="Table_text"/>
    <w:basedOn w:val="Normal"/>
    <w:rsid w:val="007C5B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C5BA1"/>
    <w:pPr>
      <w:tabs>
        <w:tab w:val="clear" w:pos="1191"/>
        <w:tab w:val="clear" w:pos="1588"/>
        <w:tab w:val="clear" w:pos="1985"/>
        <w:tab w:val="center" w:pos="4820"/>
        <w:tab w:val="right" w:pos="9639"/>
      </w:tabs>
    </w:pPr>
  </w:style>
  <w:style w:type="paragraph" w:customStyle="1" w:styleId="Equationlegend">
    <w:name w:val="Equation_legend"/>
    <w:basedOn w:val="NormalIndent"/>
    <w:rsid w:val="007C5B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C5BA1"/>
    <w:pPr>
      <w:ind w:left="794"/>
    </w:pPr>
  </w:style>
  <w:style w:type="paragraph" w:customStyle="1" w:styleId="Figurelegend">
    <w:name w:val="Figure_legend"/>
    <w:basedOn w:val="Normal"/>
    <w:rsid w:val="007C5B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C5BA1"/>
    <w:pPr>
      <w:keepNext/>
      <w:keepLines/>
      <w:spacing w:before="480" w:after="80"/>
      <w:jc w:val="center"/>
    </w:pPr>
    <w:rPr>
      <w:caps/>
      <w:sz w:val="18"/>
    </w:rPr>
  </w:style>
  <w:style w:type="paragraph" w:customStyle="1" w:styleId="tocpart">
    <w:name w:val="tocpart"/>
    <w:basedOn w:val="Normal"/>
    <w:rsid w:val="007C5B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C5BA1"/>
    <w:pPr>
      <w:keepNext/>
      <w:keepLines/>
      <w:spacing w:before="480"/>
      <w:jc w:val="center"/>
    </w:pPr>
    <w:rPr>
      <w:sz w:val="28"/>
    </w:rPr>
  </w:style>
  <w:style w:type="paragraph" w:customStyle="1" w:styleId="Arttitle">
    <w:name w:val="Art_title"/>
    <w:basedOn w:val="Normal"/>
    <w:next w:val="Normalaftertitle"/>
    <w:rsid w:val="007C5BA1"/>
    <w:pPr>
      <w:keepNext/>
      <w:keepLines/>
      <w:spacing w:before="240"/>
      <w:jc w:val="center"/>
    </w:pPr>
    <w:rPr>
      <w:b/>
      <w:sz w:val="28"/>
    </w:rPr>
  </w:style>
  <w:style w:type="paragraph" w:customStyle="1" w:styleId="Blanc">
    <w:name w:val="Blanc"/>
    <w:basedOn w:val="Normal"/>
    <w:next w:val="Tabletext"/>
    <w:rsid w:val="007C5B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C5B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C5BA1"/>
    <w:pPr>
      <w:keepNext/>
      <w:keepLines/>
      <w:spacing w:before="160"/>
      <w:ind w:left="794"/>
    </w:pPr>
    <w:rPr>
      <w:i/>
    </w:rPr>
  </w:style>
  <w:style w:type="paragraph" w:customStyle="1" w:styleId="ChapNo">
    <w:name w:val="Chap_No"/>
    <w:basedOn w:val="ArtNo"/>
    <w:next w:val="Chaptitle"/>
    <w:rsid w:val="007C5BA1"/>
    <w:rPr>
      <w:b/>
    </w:rPr>
  </w:style>
  <w:style w:type="paragraph" w:customStyle="1" w:styleId="Chaptitle">
    <w:name w:val="Chap_title"/>
    <w:basedOn w:val="Arttitle"/>
    <w:next w:val="Normalaftertitle"/>
    <w:rsid w:val="007C5BA1"/>
  </w:style>
  <w:style w:type="character" w:styleId="FootnoteReference">
    <w:name w:val="footnote reference"/>
    <w:basedOn w:val="DefaultParagraphFont"/>
    <w:semiHidden/>
    <w:rsid w:val="007C5BA1"/>
    <w:rPr>
      <w:position w:val="6"/>
      <w:sz w:val="18"/>
    </w:rPr>
  </w:style>
  <w:style w:type="paragraph" w:styleId="FootnoteText">
    <w:name w:val="footnote text"/>
    <w:basedOn w:val="Normal"/>
    <w:link w:val="FootnoteTextChar"/>
    <w:semiHidden/>
    <w:rsid w:val="007C5BA1"/>
    <w:pPr>
      <w:keepLines/>
      <w:tabs>
        <w:tab w:val="left" w:pos="255"/>
      </w:tabs>
      <w:ind w:left="255" w:hanging="255"/>
    </w:pPr>
    <w:rPr>
      <w:sz w:val="22"/>
    </w:rPr>
  </w:style>
  <w:style w:type="paragraph" w:styleId="Index1">
    <w:name w:val="index 1"/>
    <w:basedOn w:val="Normal"/>
    <w:next w:val="Normal"/>
    <w:semiHidden/>
    <w:rsid w:val="007C5BA1"/>
  </w:style>
  <w:style w:type="paragraph" w:styleId="Index2">
    <w:name w:val="index 2"/>
    <w:basedOn w:val="Normal"/>
    <w:next w:val="Normal"/>
    <w:semiHidden/>
    <w:rsid w:val="007C5BA1"/>
    <w:pPr>
      <w:ind w:left="283"/>
    </w:pPr>
  </w:style>
  <w:style w:type="paragraph" w:styleId="Index3">
    <w:name w:val="index 3"/>
    <w:basedOn w:val="Normal"/>
    <w:next w:val="Normal"/>
    <w:semiHidden/>
    <w:rsid w:val="007C5BA1"/>
    <w:pPr>
      <w:ind w:left="566"/>
    </w:pPr>
  </w:style>
  <w:style w:type="paragraph" w:styleId="IndexHeading">
    <w:name w:val="index heading"/>
    <w:basedOn w:val="Normal"/>
    <w:next w:val="Index1"/>
    <w:semiHidden/>
    <w:rsid w:val="007C5BA1"/>
  </w:style>
  <w:style w:type="paragraph" w:customStyle="1" w:styleId="Line">
    <w:name w:val="Line"/>
    <w:basedOn w:val="Normal"/>
    <w:next w:val="Normal"/>
    <w:rsid w:val="007C5B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C5B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C5BA1"/>
  </w:style>
  <w:style w:type="paragraph" w:customStyle="1" w:styleId="Partref">
    <w:name w:val="Part_ref"/>
    <w:basedOn w:val="Normal"/>
    <w:next w:val="Normal"/>
    <w:rsid w:val="007C5BA1"/>
    <w:pPr>
      <w:keepNext/>
      <w:keepLines/>
      <w:spacing w:after="280"/>
      <w:jc w:val="center"/>
    </w:pPr>
  </w:style>
  <w:style w:type="paragraph" w:customStyle="1" w:styleId="Parttitle">
    <w:name w:val="Part_title"/>
    <w:basedOn w:val="Normal"/>
    <w:next w:val="Normalaftertitle"/>
    <w:rsid w:val="007C5B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C5BA1"/>
  </w:style>
  <w:style w:type="paragraph" w:customStyle="1" w:styleId="QuestionNo">
    <w:name w:val="Question_No"/>
    <w:basedOn w:val="RecNo"/>
    <w:next w:val="Normal"/>
    <w:rsid w:val="007C5BA1"/>
  </w:style>
  <w:style w:type="paragraph" w:customStyle="1" w:styleId="Questionref">
    <w:name w:val="Question_ref"/>
    <w:basedOn w:val="Recref"/>
    <w:next w:val="Questiondate"/>
    <w:rsid w:val="007C5BA1"/>
  </w:style>
  <w:style w:type="paragraph" w:customStyle="1" w:styleId="Questiontitle">
    <w:name w:val="Question_title"/>
    <w:basedOn w:val="Normal"/>
    <w:next w:val="Questionref"/>
    <w:rsid w:val="007C5BA1"/>
  </w:style>
  <w:style w:type="paragraph" w:customStyle="1" w:styleId="Reftext">
    <w:name w:val="Ref_text"/>
    <w:basedOn w:val="Normal"/>
    <w:rsid w:val="007C5BA1"/>
    <w:pPr>
      <w:ind w:left="794" w:hanging="794"/>
    </w:pPr>
    <w:rPr>
      <w:sz w:val="22"/>
    </w:rPr>
  </w:style>
  <w:style w:type="paragraph" w:customStyle="1" w:styleId="Reftitle">
    <w:name w:val="Ref_title"/>
    <w:basedOn w:val="Normal"/>
    <w:next w:val="Reftext"/>
    <w:rsid w:val="007C5B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C5BA1"/>
  </w:style>
  <w:style w:type="paragraph" w:customStyle="1" w:styleId="RepNo">
    <w:name w:val="Rep_No"/>
    <w:basedOn w:val="RecNo"/>
    <w:next w:val="Reptitle"/>
    <w:rsid w:val="007C5BA1"/>
  </w:style>
  <w:style w:type="paragraph" w:customStyle="1" w:styleId="Repref">
    <w:name w:val="Rep_ref"/>
    <w:basedOn w:val="Recref"/>
    <w:next w:val="Repdate"/>
    <w:rsid w:val="007C5BA1"/>
  </w:style>
  <w:style w:type="paragraph" w:customStyle="1" w:styleId="Reptitle">
    <w:name w:val="Rep_title"/>
    <w:basedOn w:val="Rectitle"/>
    <w:next w:val="Repref"/>
    <w:rsid w:val="007C5BA1"/>
  </w:style>
  <w:style w:type="paragraph" w:customStyle="1" w:styleId="Resdate">
    <w:name w:val="Res_date"/>
    <w:basedOn w:val="Recdate"/>
    <w:next w:val="Normalaftertitle"/>
    <w:rsid w:val="007C5BA1"/>
  </w:style>
  <w:style w:type="paragraph" w:customStyle="1" w:styleId="ResNo">
    <w:name w:val="Res_No"/>
    <w:basedOn w:val="RecNo"/>
    <w:next w:val="Restitle"/>
    <w:rsid w:val="007C5BA1"/>
  </w:style>
  <w:style w:type="paragraph" w:customStyle="1" w:styleId="Resref">
    <w:name w:val="Res_ref"/>
    <w:basedOn w:val="Recref"/>
    <w:next w:val="Resdate"/>
    <w:rsid w:val="007C5BA1"/>
  </w:style>
  <w:style w:type="paragraph" w:customStyle="1" w:styleId="Restitle">
    <w:name w:val="Res_title"/>
    <w:basedOn w:val="Normal"/>
    <w:next w:val="Resref"/>
    <w:rsid w:val="007C5BA1"/>
    <w:pPr>
      <w:spacing w:before="240"/>
      <w:jc w:val="center"/>
    </w:pPr>
    <w:rPr>
      <w:b/>
      <w:sz w:val="28"/>
    </w:rPr>
  </w:style>
  <w:style w:type="paragraph" w:customStyle="1" w:styleId="SectionNo">
    <w:name w:val="Section_No"/>
    <w:basedOn w:val="Normal"/>
    <w:next w:val="Normal"/>
    <w:rsid w:val="007C5BA1"/>
  </w:style>
  <w:style w:type="paragraph" w:customStyle="1" w:styleId="Sectiontitle">
    <w:name w:val="Section_title"/>
    <w:basedOn w:val="Normal"/>
    <w:next w:val="Normalaftertitle"/>
    <w:rsid w:val="007C5B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C5BA1"/>
    <w:pPr>
      <w:tabs>
        <w:tab w:val="clear" w:pos="794"/>
        <w:tab w:val="clear" w:pos="1191"/>
        <w:tab w:val="clear" w:pos="1588"/>
        <w:tab w:val="clear" w:pos="1985"/>
        <w:tab w:val="right" w:pos="9611"/>
      </w:tabs>
    </w:pPr>
    <w:rPr>
      <w:i/>
    </w:rPr>
  </w:style>
  <w:style w:type="paragraph" w:styleId="TOC1">
    <w:name w:val="toc 1"/>
    <w:basedOn w:val="Normal"/>
    <w:semiHidden/>
    <w:rsid w:val="007C5B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C5BA1"/>
    <w:pPr>
      <w:tabs>
        <w:tab w:val="clear" w:pos="567"/>
        <w:tab w:val="left" w:pos="1276"/>
      </w:tabs>
      <w:spacing w:before="160"/>
      <w:ind w:left="1276" w:hanging="709"/>
    </w:pPr>
  </w:style>
  <w:style w:type="paragraph" w:styleId="TOC3">
    <w:name w:val="toc 3"/>
    <w:basedOn w:val="TOC2"/>
    <w:semiHidden/>
    <w:rsid w:val="007C5BA1"/>
    <w:pPr>
      <w:tabs>
        <w:tab w:val="clear" w:pos="1276"/>
        <w:tab w:val="left" w:pos="2155"/>
      </w:tabs>
      <w:ind w:left="2155" w:hanging="879"/>
    </w:pPr>
  </w:style>
  <w:style w:type="paragraph" w:styleId="TOC4">
    <w:name w:val="toc 4"/>
    <w:basedOn w:val="TOC3"/>
    <w:semiHidden/>
    <w:rsid w:val="007C5BA1"/>
    <w:pPr>
      <w:tabs>
        <w:tab w:val="left" w:pos="3261"/>
      </w:tabs>
      <w:spacing w:before="80"/>
      <w:ind w:left="3261" w:hanging="993"/>
    </w:pPr>
  </w:style>
  <w:style w:type="paragraph" w:styleId="TOC5">
    <w:name w:val="toc 5"/>
    <w:basedOn w:val="TOC4"/>
    <w:semiHidden/>
    <w:rsid w:val="007C5BA1"/>
  </w:style>
  <w:style w:type="paragraph" w:styleId="TOC6">
    <w:name w:val="toc 6"/>
    <w:basedOn w:val="TOC4"/>
    <w:semiHidden/>
    <w:rsid w:val="007C5BA1"/>
  </w:style>
  <w:style w:type="paragraph" w:styleId="TOC7">
    <w:name w:val="toc 7"/>
    <w:basedOn w:val="TOC4"/>
    <w:semiHidden/>
    <w:rsid w:val="007C5BA1"/>
  </w:style>
  <w:style w:type="paragraph" w:styleId="TOC8">
    <w:name w:val="toc 8"/>
    <w:basedOn w:val="TOC4"/>
    <w:semiHidden/>
    <w:rsid w:val="007C5BA1"/>
  </w:style>
  <w:style w:type="paragraph" w:customStyle="1" w:styleId="Rectitle">
    <w:name w:val="Rec_title"/>
    <w:basedOn w:val="Normal"/>
    <w:next w:val="Recref"/>
    <w:rsid w:val="007C5BA1"/>
    <w:pPr>
      <w:keepNext/>
      <w:keepLines/>
      <w:spacing w:before="240"/>
      <w:jc w:val="center"/>
    </w:pPr>
    <w:rPr>
      <w:b/>
      <w:sz w:val="28"/>
    </w:rPr>
  </w:style>
  <w:style w:type="paragraph" w:customStyle="1" w:styleId="Annexref">
    <w:name w:val="Annex_ref"/>
    <w:basedOn w:val="Normal"/>
    <w:next w:val="Normalaftertitle"/>
    <w:rsid w:val="007C5BA1"/>
    <w:pPr>
      <w:keepNext/>
      <w:keepLines/>
      <w:spacing w:after="280"/>
      <w:jc w:val="center"/>
    </w:pPr>
  </w:style>
  <w:style w:type="paragraph" w:customStyle="1" w:styleId="Appendixref">
    <w:name w:val="Appendix_ref"/>
    <w:basedOn w:val="Annexref"/>
    <w:next w:val="Normalaftertitle"/>
    <w:rsid w:val="007C5BA1"/>
  </w:style>
  <w:style w:type="paragraph" w:customStyle="1" w:styleId="Figuretitle">
    <w:name w:val="Figure_title"/>
    <w:basedOn w:val="Normal"/>
    <w:next w:val="Figure"/>
    <w:rsid w:val="007C5BA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C5BA1"/>
    <w:pPr>
      <w:keepNext/>
      <w:spacing w:before="0" w:after="120"/>
      <w:jc w:val="center"/>
    </w:pPr>
    <w:rPr>
      <w:b/>
    </w:rPr>
  </w:style>
  <w:style w:type="paragraph" w:customStyle="1" w:styleId="Summary">
    <w:name w:val="Summary"/>
    <w:basedOn w:val="Normal"/>
    <w:next w:val="Normalaftertitle"/>
    <w:rsid w:val="007C5BA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7C5BA1"/>
    <w:pPr>
      <w:keepNext w:val="0"/>
      <w:spacing w:before="0" w:after="240"/>
    </w:pPr>
  </w:style>
  <w:style w:type="character" w:customStyle="1" w:styleId="FootnoteTextChar">
    <w:name w:val="Footnote Text Char"/>
    <w:basedOn w:val="DefaultParagraphFont"/>
    <w:link w:val="FootnoteText"/>
    <w:semiHidden/>
    <w:rsid w:val="0006441E"/>
    <w:rPr>
      <w:sz w:val="22"/>
      <w:lang w:val="fr-FR" w:eastAsia="en-US"/>
    </w:rPr>
  </w:style>
  <w:style w:type="character" w:customStyle="1" w:styleId="AnnexNoTitleChar">
    <w:name w:val="Annex_NoTitle Char"/>
    <w:basedOn w:val="DefaultParagraphFont"/>
    <w:link w:val="AnnexNoTitle"/>
    <w:locked/>
    <w:rsid w:val="0006441E"/>
    <w:rPr>
      <w:b/>
      <w:sz w:val="28"/>
      <w:lang w:val="fr-FR" w:eastAsia="en-US"/>
    </w:rPr>
  </w:style>
  <w:style w:type="paragraph" w:customStyle="1" w:styleId="TableLegendNote">
    <w:name w:val="Table_Legend_Note"/>
    <w:basedOn w:val="Tablelegend"/>
    <w:next w:val="Tablelegend"/>
    <w:rsid w:val="007C5BA1"/>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117</TotalTime>
  <Pages>9</Pages>
  <Words>3807</Words>
  <Characters>21549</Characters>
  <Application>Microsoft Office Word</Application>
  <DocSecurity>0</DocSecurity>
  <Lines>673</Lines>
  <Paragraphs>130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25226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RS.1858 - Caracterización y evaluación de la interferencia combinada causada a los sensores del servicio de exploración de la Tierra por satélite (pasivo) por múltiples fuentes de emisiones artificiales</dc:title>
  <dc:subject/>
  <dc:creator>Oficina de Radiocomunicaciones del UIT (BR)</dc:creator>
  <cp:keywords>RS,1858</cp:keywords>
  <dc:description>Martiner, 05.07.2010, AMR106400</dc:description>
  <cp:lastModifiedBy>martiner</cp:lastModifiedBy>
  <cp:revision>18</cp:revision>
  <cp:lastPrinted>2005-02-10T14:54:00Z</cp:lastPrinted>
  <dcterms:created xsi:type="dcterms:W3CDTF">2010-07-01T12:41:00Z</dcterms:created>
  <dcterms:modified xsi:type="dcterms:W3CDTF">2010-07-05T13:44:00Z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lundi, 5. juillet 2010</vt:lpwstr>
  </property>
</Properties>
</file>