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18C" w:rsidRDefault="0000418C" w:rsidP="0000418C">
      <w:bookmarkStart w:id="0" w:name="_GoBack"/>
      <w:bookmarkEnd w:id="0"/>
    </w:p>
    <w:p w:rsidR="0000418C" w:rsidRDefault="0000418C" w:rsidP="0000418C"/>
    <w:p w:rsidR="0000418C" w:rsidRDefault="0000418C" w:rsidP="0000418C"/>
    <w:p w:rsidR="0000418C" w:rsidRDefault="0000418C" w:rsidP="0000418C"/>
    <w:p w:rsidR="0000418C" w:rsidRDefault="0000418C" w:rsidP="0000418C"/>
    <w:p w:rsidR="0000418C" w:rsidRDefault="0000418C" w:rsidP="0000418C"/>
    <w:p w:rsidR="0000418C" w:rsidRDefault="0000418C" w:rsidP="0000418C"/>
    <w:p w:rsidR="0000418C" w:rsidRDefault="0000418C" w:rsidP="0000418C"/>
    <w:p w:rsidR="0000418C" w:rsidRDefault="0000418C" w:rsidP="0000418C"/>
    <w:p w:rsidR="0000418C" w:rsidRDefault="0000418C" w:rsidP="0000418C"/>
    <w:p w:rsidR="0000418C" w:rsidRDefault="0000418C" w:rsidP="0000418C"/>
    <w:p w:rsidR="0000418C" w:rsidRDefault="0000418C" w:rsidP="0000418C"/>
    <w:tbl>
      <w:tblPr>
        <w:tblW w:w="10089" w:type="dxa"/>
        <w:tblLook w:val="01E0" w:firstRow="1" w:lastRow="1" w:firstColumn="1" w:lastColumn="1" w:noHBand="0" w:noVBand="0"/>
      </w:tblPr>
      <w:tblGrid>
        <w:gridCol w:w="10089"/>
      </w:tblGrid>
      <w:tr w:rsidR="0000418C" w:rsidRPr="00A443C2" w:rsidTr="001F1BA8">
        <w:tc>
          <w:tcPr>
            <w:tcW w:w="10089" w:type="dxa"/>
          </w:tcPr>
          <w:p w:rsidR="0000418C" w:rsidRPr="00B033C8" w:rsidRDefault="0000418C" w:rsidP="001F1BA8">
            <w:pPr>
              <w:spacing w:before="380" w:line="280" w:lineRule="exact"/>
              <w:jc w:val="right"/>
              <w:rPr>
                <w:rFonts w:ascii="Tahoma" w:hAnsi="Tahoma" w:cs="Tahoma"/>
                <w:b/>
                <w:bCs/>
                <w:iCs/>
                <w:color w:val="243285"/>
                <w:sz w:val="32"/>
                <w:szCs w:val="32"/>
                <w:lang w:val="en-US"/>
              </w:rPr>
            </w:pPr>
          </w:p>
          <w:p w:rsidR="0000418C" w:rsidRPr="00A443C2" w:rsidRDefault="0000418C" w:rsidP="00057D4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RA</w:t>
            </w:r>
            <w:r w:rsidRPr="00A443C2">
              <w:rPr>
                <w:rFonts w:ascii="Tahoma" w:hAnsi="Tahoma" w:cs="Tahoma"/>
                <w:b/>
                <w:bCs/>
                <w:iCs/>
                <w:color w:val="243285"/>
                <w:sz w:val="36"/>
                <w:szCs w:val="36"/>
              </w:rPr>
              <w:t>.</w:t>
            </w:r>
            <w:r w:rsidR="00057D41">
              <w:rPr>
                <w:rFonts w:ascii="Tahoma" w:hAnsi="Tahoma" w:cs="Tahoma"/>
                <w:b/>
                <w:bCs/>
                <w:iCs/>
                <w:color w:val="243285"/>
                <w:sz w:val="36"/>
                <w:szCs w:val="36"/>
              </w:rPr>
              <w:t>1417-1</w:t>
            </w:r>
          </w:p>
          <w:p w:rsidR="0000418C" w:rsidRPr="00A443C2" w:rsidRDefault="00057D41" w:rsidP="001F1BA8">
            <w:pPr>
              <w:spacing w:before="80" w:line="280" w:lineRule="exact"/>
              <w:jc w:val="right"/>
              <w:rPr>
                <w:rFonts w:ascii="Tahoma" w:hAnsi="Tahoma" w:cs="Tahoma"/>
                <w:b/>
                <w:bCs/>
                <w:iCs/>
                <w:color w:val="243285"/>
                <w:szCs w:val="24"/>
              </w:rPr>
            </w:pPr>
            <w:r>
              <w:rPr>
                <w:rFonts w:ascii="Tahoma" w:hAnsi="Tahoma" w:cs="Tahoma"/>
                <w:b/>
                <w:bCs/>
                <w:iCs/>
                <w:color w:val="243285"/>
                <w:szCs w:val="24"/>
              </w:rPr>
              <w:t>(12</w:t>
            </w:r>
            <w:r w:rsidR="0000418C" w:rsidRPr="00A443C2">
              <w:rPr>
                <w:rFonts w:ascii="Tahoma" w:hAnsi="Tahoma" w:cs="Tahoma"/>
                <w:b/>
                <w:bCs/>
                <w:iCs/>
                <w:color w:val="243285"/>
                <w:szCs w:val="24"/>
              </w:rPr>
              <w:t>/</w:t>
            </w:r>
            <w:r>
              <w:rPr>
                <w:rFonts w:ascii="Tahoma" w:hAnsi="Tahoma" w:cs="Tahoma"/>
                <w:b/>
                <w:bCs/>
                <w:iCs/>
                <w:color w:val="243285"/>
                <w:szCs w:val="24"/>
              </w:rPr>
              <w:t>2013</w:t>
            </w:r>
            <w:r w:rsidR="0000418C" w:rsidRPr="00A443C2">
              <w:rPr>
                <w:rFonts w:ascii="Tahoma" w:hAnsi="Tahoma" w:cs="Tahoma"/>
                <w:b/>
                <w:bCs/>
                <w:iCs/>
                <w:color w:val="243285"/>
                <w:szCs w:val="24"/>
              </w:rPr>
              <w:t>)</w:t>
            </w:r>
          </w:p>
        </w:tc>
      </w:tr>
      <w:tr w:rsidR="0000418C" w:rsidRPr="00F54FBD" w:rsidTr="001F1BA8">
        <w:tc>
          <w:tcPr>
            <w:tcW w:w="10089" w:type="dxa"/>
          </w:tcPr>
          <w:p w:rsidR="0000418C" w:rsidRDefault="0000418C" w:rsidP="001F1BA8">
            <w:pPr>
              <w:spacing w:before="80" w:line="500" w:lineRule="exact"/>
              <w:jc w:val="right"/>
              <w:rPr>
                <w:rFonts w:ascii="Tahoma" w:hAnsi="Tahoma" w:cs="Tahoma"/>
                <w:b/>
                <w:bCs/>
                <w:iCs/>
                <w:color w:val="243285"/>
                <w:sz w:val="44"/>
                <w:szCs w:val="44"/>
              </w:rPr>
            </w:pPr>
          </w:p>
          <w:p w:rsidR="0000418C" w:rsidRDefault="00057D41" w:rsidP="00057D41">
            <w:pPr>
              <w:spacing w:before="80" w:line="500" w:lineRule="exact"/>
              <w:jc w:val="right"/>
              <w:rPr>
                <w:rFonts w:ascii="Tahoma" w:hAnsi="Tahoma" w:cs="Tahoma"/>
                <w:b/>
                <w:bCs/>
                <w:iCs/>
                <w:color w:val="243285"/>
                <w:sz w:val="44"/>
                <w:szCs w:val="44"/>
              </w:rPr>
            </w:pPr>
            <w:r w:rsidRPr="00057D41">
              <w:rPr>
                <w:rFonts w:ascii="Tahoma" w:hAnsi="Tahoma" w:cs="Tahoma"/>
                <w:b/>
                <w:bCs/>
                <w:iCs/>
                <w:color w:val="243285"/>
                <w:sz w:val="44"/>
                <w:szCs w:val="44"/>
              </w:rPr>
              <w:t>Zone de  silence radioélectrique au voisinage du point</w:t>
            </w:r>
            <w:r>
              <w:rPr>
                <w:rFonts w:ascii="Tahoma" w:hAnsi="Tahoma" w:cs="Tahoma"/>
                <w:b/>
                <w:bCs/>
                <w:iCs/>
                <w:color w:val="243285"/>
                <w:sz w:val="44"/>
                <w:szCs w:val="44"/>
              </w:rPr>
              <w:t xml:space="preserve"> </w:t>
            </w:r>
            <w:r w:rsidRPr="00057D41">
              <w:rPr>
                <w:rFonts w:ascii="Tahoma" w:hAnsi="Tahoma" w:cs="Tahoma"/>
                <w:b/>
                <w:bCs/>
                <w:iCs/>
                <w:color w:val="243285"/>
                <w:sz w:val="44"/>
                <w:szCs w:val="44"/>
              </w:rPr>
              <w:t>de Lagrange L</w:t>
            </w:r>
            <w:r w:rsidRPr="00B64ECD">
              <w:rPr>
                <w:rFonts w:ascii="Tahoma" w:hAnsi="Tahoma" w:cs="Tahoma"/>
                <w:b/>
                <w:bCs/>
                <w:iCs/>
                <w:color w:val="243285"/>
                <w:sz w:val="44"/>
                <w:szCs w:val="44"/>
                <w:vertAlign w:val="subscript"/>
              </w:rPr>
              <w:t>2</w:t>
            </w:r>
            <w:r w:rsidRPr="00057D41">
              <w:rPr>
                <w:rFonts w:ascii="Tahoma" w:hAnsi="Tahoma" w:cs="Tahoma"/>
                <w:b/>
                <w:bCs/>
                <w:iCs/>
                <w:color w:val="243285"/>
                <w:sz w:val="44"/>
                <w:szCs w:val="44"/>
              </w:rPr>
              <w:t xml:space="preserve"> du système Soleil-Terre</w:t>
            </w:r>
          </w:p>
          <w:p w:rsidR="0000418C" w:rsidRPr="00F54FBD" w:rsidRDefault="0000418C" w:rsidP="001F1BA8">
            <w:pPr>
              <w:spacing w:before="80" w:line="500" w:lineRule="exact"/>
              <w:jc w:val="right"/>
              <w:rPr>
                <w:rFonts w:ascii="Tahoma" w:hAnsi="Tahoma" w:cs="Tahoma"/>
                <w:b/>
                <w:bCs/>
                <w:iCs/>
                <w:color w:val="243285"/>
                <w:sz w:val="44"/>
                <w:szCs w:val="44"/>
              </w:rPr>
            </w:pPr>
          </w:p>
        </w:tc>
      </w:tr>
      <w:tr w:rsidR="0000418C" w:rsidRPr="00F54FBD" w:rsidTr="001F1BA8">
        <w:tc>
          <w:tcPr>
            <w:tcW w:w="10089" w:type="dxa"/>
          </w:tcPr>
          <w:p w:rsidR="0000418C" w:rsidRPr="00F54FBD" w:rsidRDefault="0000418C" w:rsidP="001F1BA8">
            <w:pPr>
              <w:spacing w:before="80" w:line="280" w:lineRule="exact"/>
              <w:ind w:right="640"/>
              <w:rPr>
                <w:rFonts w:ascii="Tahoma" w:hAnsi="Tahoma" w:cs="Tahoma"/>
                <w:b/>
                <w:bCs/>
                <w:iCs/>
                <w:color w:val="243285"/>
                <w:sz w:val="32"/>
                <w:szCs w:val="32"/>
              </w:rPr>
            </w:pPr>
          </w:p>
          <w:p w:rsidR="0000418C" w:rsidRPr="00F54FBD" w:rsidRDefault="0000418C" w:rsidP="001F1BA8">
            <w:pPr>
              <w:spacing w:before="80" w:line="280" w:lineRule="exact"/>
              <w:ind w:right="640"/>
              <w:rPr>
                <w:rFonts w:ascii="Tahoma" w:hAnsi="Tahoma" w:cs="Tahoma"/>
                <w:b/>
                <w:bCs/>
                <w:iCs/>
                <w:color w:val="243285"/>
                <w:sz w:val="32"/>
                <w:szCs w:val="32"/>
              </w:rPr>
            </w:pPr>
          </w:p>
          <w:p w:rsidR="0000418C" w:rsidRPr="00F54FBD" w:rsidRDefault="0000418C" w:rsidP="001F1BA8">
            <w:pPr>
              <w:spacing w:before="80" w:after="180" w:line="360" w:lineRule="exact"/>
              <w:ind w:right="720"/>
              <w:rPr>
                <w:rFonts w:ascii="Tahoma" w:hAnsi="Tahoma" w:cs="Tahoma"/>
                <w:b/>
                <w:bCs/>
                <w:iCs/>
                <w:color w:val="243285"/>
                <w:sz w:val="36"/>
                <w:szCs w:val="36"/>
              </w:rPr>
            </w:pPr>
          </w:p>
          <w:p w:rsidR="0000418C" w:rsidRPr="00F54FBD" w:rsidRDefault="0000418C" w:rsidP="001F1BA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RA</w:t>
            </w:r>
          </w:p>
          <w:p w:rsidR="0000418C" w:rsidRPr="00F54FBD" w:rsidRDefault="0000418C" w:rsidP="001F1BA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Radio astronomie</w:t>
            </w:r>
          </w:p>
        </w:tc>
      </w:tr>
    </w:tbl>
    <w:p w:rsidR="0000418C" w:rsidRPr="00F54FBD" w:rsidRDefault="0000418C" w:rsidP="0000418C">
      <w:pPr>
        <w:spacing w:before="80"/>
        <w:rPr>
          <w:i/>
          <w:sz w:val="22"/>
        </w:rPr>
      </w:pPr>
    </w:p>
    <w:p w:rsidR="0000418C" w:rsidRPr="00F54FBD" w:rsidRDefault="0000418C" w:rsidP="0000418C">
      <w:pPr>
        <w:spacing w:before="80"/>
        <w:rPr>
          <w:i/>
          <w:sz w:val="22"/>
        </w:rPr>
      </w:pPr>
    </w:p>
    <w:p w:rsidR="0000418C" w:rsidRPr="00F54FBD" w:rsidRDefault="0000418C" w:rsidP="0000418C">
      <w:pPr>
        <w:spacing w:before="80"/>
        <w:rPr>
          <w:i/>
          <w:sz w:val="22"/>
        </w:rPr>
      </w:pPr>
    </w:p>
    <w:p w:rsidR="0000418C" w:rsidRPr="00F54FBD" w:rsidRDefault="0000418C" w:rsidP="0000418C">
      <w:pPr>
        <w:spacing w:before="80"/>
        <w:rPr>
          <w:i/>
          <w:sz w:val="22"/>
        </w:rPr>
      </w:pPr>
    </w:p>
    <w:p w:rsidR="0000418C" w:rsidRPr="00F54FBD" w:rsidRDefault="0000418C" w:rsidP="0000418C">
      <w:pPr>
        <w:spacing w:before="80"/>
        <w:rPr>
          <w:i/>
          <w:sz w:val="22"/>
        </w:rPr>
      </w:pPr>
    </w:p>
    <w:p w:rsidR="0000418C" w:rsidRPr="00F54FBD" w:rsidRDefault="0000418C" w:rsidP="0000418C">
      <w:pPr>
        <w:spacing w:before="80"/>
        <w:rPr>
          <w:i/>
          <w:sz w:val="22"/>
        </w:rPr>
      </w:pPr>
    </w:p>
    <w:p w:rsidR="0000418C" w:rsidRPr="00F54FBD" w:rsidRDefault="0000418C" w:rsidP="0000418C">
      <w:pPr>
        <w:pStyle w:val="Equation"/>
        <w:tabs>
          <w:tab w:val="clear" w:pos="4820"/>
          <w:tab w:val="clear" w:pos="9639"/>
          <w:tab w:val="left" w:pos="1191"/>
          <w:tab w:val="left" w:pos="1588"/>
          <w:tab w:val="left" w:pos="1985"/>
        </w:tabs>
        <w:rPr>
          <w:rFonts w:ascii="Palatino Linotype" w:hAnsi="Palatino Linotype"/>
        </w:rPr>
        <w:sectPr w:rsidR="0000418C" w:rsidRPr="00F54FBD">
          <w:headerReference w:type="even" r:id="rId7"/>
          <w:headerReference w:type="default" r:id="rId8"/>
          <w:pgSz w:w="11907" w:h="16840" w:code="9"/>
          <w:pgMar w:top="1089" w:right="1089" w:bottom="284" w:left="1089" w:header="567" w:footer="284" w:gutter="0"/>
          <w:pgNumType w:start="1"/>
          <w:cols w:space="720"/>
        </w:sectPr>
      </w:pPr>
    </w:p>
    <w:p w:rsidR="0000418C" w:rsidRPr="00F54FBD" w:rsidRDefault="0000418C" w:rsidP="00004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0418C" w:rsidRPr="00F54FBD" w:rsidRDefault="0000418C" w:rsidP="0000418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0418C" w:rsidRPr="00F54FBD" w:rsidRDefault="0000418C" w:rsidP="0000418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0418C" w:rsidRPr="00E44CBB" w:rsidRDefault="0000418C" w:rsidP="0000418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0418C" w:rsidRPr="00E44CBB" w:rsidRDefault="0000418C" w:rsidP="0000418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0418C" w:rsidRPr="006C65E4" w:rsidRDefault="0000418C" w:rsidP="0000418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0418C" w:rsidRPr="009454F8" w:rsidTr="001F1BA8">
        <w:tc>
          <w:tcPr>
            <w:tcW w:w="9360" w:type="dxa"/>
            <w:gridSpan w:val="2"/>
          </w:tcPr>
          <w:p w:rsidR="0000418C" w:rsidRPr="009454F8" w:rsidRDefault="0000418C" w:rsidP="001F1BA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0418C" w:rsidRPr="009454F8"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0418C" w:rsidRPr="00036EE3" w:rsidTr="001F1BA8">
        <w:tc>
          <w:tcPr>
            <w:tcW w:w="1140" w:type="dxa"/>
            <w:tcBorders>
              <w:bottom w:val="nil"/>
            </w:tcBorders>
          </w:tcPr>
          <w:p w:rsidR="0000418C" w:rsidRPr="00614CC6" w:rsidRDefault="0000418C" w:rsidP="001F1BA8">
            <w:pPr>
              <w:spacing w:before="90" w:after="100"/>
              <w:ind w:left="57"/>
              <w:rPr>
                <w:b/>
                <w:bCs/>
                <w:sz w:val="20"/>
                <w:lang w:val="en-US"/>
              </w:rPr>
            </w:pPr>
            <w:r w:rsidRPr="00614CC6">
              <w:rPr>
                <w:b/>
                <w:bCs/>
                <w:sz w:val="20"/>
                <w:lang w:val="en-US"/>
              </w:rPr>
              <w:t>Séries</w:t>
            </w:r>
          </w:p>
        </w:tc>
        <w:tc>
          <w:tcPr>
            <w:tcW w:w="8220" w:type="dxa"/>
            <w:tcBorders>
              <w:bottom w:val="nil"/>
            </w:tcBorders>
          </w:tcPr>
          <w:p w:rsidR="0000418C" w:rsidRPr="00614CC6"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0418C" w:rsidRPr="005E427C" w:rsidTr="001F1BA8">
        <w:tc>
          <w:tcPr>
            <w:tcW w:w="1140" w:type="dxa"/>
            <w:tcBorders>
              <w:top w:val="nil"/>
              <w:bottom w:val="nil"/>
            </w:tcBorders>
            <w:shd w:val="clear" w:color="auto" w:fill="auto"/>
          </w:tcPr>
          <w:p w:rsidR="0000418C" w:rsidRPr="005E427C" w:rsidRDefault="0000418C" w:rsidP="001F1BA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0418C" w:rsidRPr="005E427C"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0418C" w:rsidRPr="009454F8" w:rsidTr="001F1BA8">
        <w:tc>
          <w:tcPr>
            <w:tcW w:w="1140" w:type="dxa"/>
            <w:tcBorders>
              <w:top w:val="nil"/>
              <w:bottom w:val="nil"/>
            </w:tcBorders>
          </w:tcPr>
          <w:p w:rsidR="0000418C" w:rsidRPr="00614CC6" w:rsidRDefault="0000418C" w:rsidP="001F1BA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0418C" w:rsidRPr="00614CC6"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0418C" w:rsidRPr="00E80F1D" w:rsidTr="001F1BA8">
        <w:tc>
          <w:tcPr>
            <w:tcW w:w="1140" w:type="dxa"/>
            <w:tcBorders>
              <w:top w:val="nil"/>
              <w:bottom w:val="nil"/>
            </w:tcBorders>
            <w:shd w:val="clear" w:color="auto" w:fill="auto"/>
          </w:tcPr>
          <w:p w:rsidR="0000418C" w:rsidRPr="00E80F1D" w:rsidRDefault="0000418C" w:rsidP="001F1BA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0418C" w:rsidRPr="00E80F1D"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0418C" w:rsidRPr="00ED2695" w:rsidTr="001F1BA8">
        <w:tc>
          <w:tcPr>
            <w:tcW w:w="1140" w:type="dxa"/>
            <w:tcBorders>
              <w:top w:val="nil"/>
              <w:bottom w:val="nil"/>
            </w:tcBorders>
            <w:shd w:val="clear" w:color="auto" w:fill="auto"/>
          </w:tcPr>
          <w:p w:rsidR="0000418C" w:rsidRPr="00614CC6" w:rsidRDefault="0000418C" w:rsidP="001F1BA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0418C" w:rsidRPr="00614CC6"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0418C" w:rsidRPr="00DE5EA2" w:rsidTr="001F1BA8">
        <w:tc>
          <w:tcPr>
            <w:tcW w:w="1140" w:type="dxa"/>
            <w:tcBorders>
              <w:top w:val="nil"/>
              <w:bottom w:val="nil"/>
            </w:tcBorders>
            <w:shd w:val="clear" w:color="auto" w:fill="auto"/>
          </w:tcPr>
          <w:p w:rsidR="0000418C" w:rsidRPr="00DE5EA2" w:rsidRDefault="0000418C" w:rsidP="001F1BA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0418C" w:rsidRPr="00DE5EA2" w:rsidRDefault="0000418C" w:rsidP="001F1B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0418C" w:rsidRPr="00B21066" w:rsidTr="001F1BA8">
        <w:tc>
          <w:tcPr>
            <w:tcW w:w="1140" w:type="dxa"/>
            <w:tcBorders>
              <w:top w:val="nil"/>
              <w:bottom w:val="nil"/>
            </w:tcBorders>
            <w:shd w:val="clear" w:color="auto" w:fill="auto"/>
          </w:tcPr>
          <w:p w:rsidR="0000418C" w:rsidRPr="00B21066" w:rsidRDefault="0000418C" w:rsidP="001F1BA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0418C" w:rsidRPr="00B21066" w:rsidRDefault="0000418C" w:rsidP="001F1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0418C" w:rsidRPr="00EC361D" w:rsidTr="001F1BA8">
        <w:tc>
          <w:tcPr>
            <w:tcW w:w="1140" w:type="dxa"/>
            <w:tcBorders>
              <w:top w:val="nil"/>
              <w:bottom w:val="nil"/>
            </w:tcBorders>
            <w:shd w:val="clear" w:color="auto" w:fill="auto"/>
          </w:tcPr>
          <w:p w:rsidR="0000418C" w:rsidRPr="00EC361D" w:rsidRDefault="0000418C" w:rsidP="001F1BA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00418C" w:rsidRPr="00EC361D" w:rsidRDefault="0000418C" w:rsidP="001F1BA8">
            <w:pPr>
              <w:spacing w:before="30" w:after="30"/>
              <w:jc w:val="left"/>
              <w:rPr>
                <w:sz w:val="20"/>
                <w:lang w:val="fr-CH"/>
              </w:rPr>
            </w:pPr>
            <w:r w:rsidRPr="00EC361D">
              <w:rPr>
                <w:sz w:val="20"/>
              </w:rPr>
              <w:t>Propagation des ondes radioélectriques</w:t>
            </w:r>
          </w:p>
        </w:tc>
      </w:tr>
      <w:tr w:rsidR="0000418C" w:rsidRPr="00EC361D" w:rsidTr="001F1BA8">
        <w:tc>
          <w:tcPr>
            <w:tcW w:w="1140" w:type="dxa"/>
            <w:tcBorders>
              <w:top w:val="nil"/>
              <w:bottom w:val="nil"/>
            </w:tcBorders>
            <w:shd w:val="clear" w:color="auto" w:fill="F3F3F3"/>
          </w:tcPr>
          <w:p w:rsidR="0000418C" w:rsidRPr="00EC361D" w:rsidRDefault="0000418C" w:rsidP="001F1BA8">
            <w:pPr>
              <w:spacing w:before="30" w:after="30"/>
              <w:ind w:left="57"/>
              <w:jc w:val="left"/>
              <w:rPr>
                <w:b/>
                <w:bCs/>
                <w:color w:val="000080"/>
                <w:sz w:val="20"/>
                <w:lang w:val="en-US"/>
              </w:rPr>
            </w:pPr>
            <w:r w:rsidRPr="00EC361D">
              <w:rPr>
                <w:b/>
                <w:bCs/>
                <w:color w:val="000080"/>
                <w:sz w:val="20"/>
                <w:lang w:val="en-US"/>
              </w:rPr>
              <w:t>RA</w:t>
            </w:r>
          </w:p>
        </w:tc>
        <w:tc>
          <w:tcPr>
            <w:tcW w:w="8220" w:type="dxa"/>
            <w:tcBorders>
              <w:top w:val="nil"/>
              <w:bottom w:val="nil"/>
            </w:tcBorders>
            <w:shd w:val="clear" w:color="auto" w:fill="F3F3F3"/>
          </w:tcPr>
          <w:p w:rsidR="0000418C" w:rsidRPr="00EC361D" w:rsidRDefault="0000418C" w:rsidP="001F1B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EC361D">
              <w:rPr>
                <w:b/>
                <w:bCs/>
                <w:color w:val="000080"/>
                <w:sz w:val="20"/>
              </w:rPr>
              <w:t>Radio astronomie</w:t>
            </w:r>
          </w:p>
        </w:tc>
      </w:tr>
      <w:tr w:rsidR="0000418C" w:rsidRPr="00036EE3" w:rsidTr="001F1BA8">
        <w:tc>
          <w:tcPr>
            <w:tcW w:w="1140" w:type="dxa"/>
            <w:tcBorders>
              <w:top w:val="nil"/>
            </w:tcBorders>
          </w:tcPr>
          <w:p w:rsidR="0000418C" w:rsidRPr="00614CC6" w:rsidRDefault="0000418C" w:rsidP="001F1BA8">
            <w:pPr>
              <w:spacing w:before="30" w:after="30"/>
              <w:ind w:left="57"/>
              <w:jc w:val="left"/>
              <w:rPr>
                <w:b/>
                <w:bCs/>
                <w:sz w:val="20"/>
                <w:lang w:val="en-US"/>
              </w:rPr>
            </w:pPr>
            <w:r w:rsidRPr="00614CC6">
              <w:rPr>
                <w:b/>
                <w:bCs/>
                <w:sz w:val="20"/>
                <w:lang w:val="en-US"/>
              </w:rPr>
              <w:t>RS</w:t>
            </w:r>
          </w:p>
        </w:tc>
        <w:tc>
          <w:tcPr>
            <w:tcW w:w="8220" w:type="dxa"/>
            <w:tcBorders>
              <w:top w:val="nil"/>
            </w:tcBorders>
          </w:tcPr>
          <w:p w:rsidR="0000418C" w:rsidRPr="00614CC6" w:rsidRDefault="0000418C" w:rsidP="001F1B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0418C" w:rsidRPr="00036EE3" w:rsidTr="001F1BA8">
        <w:tc>
          <w:tcPr>
            <w:tcW w:w="1140" w:type="dxa"/>
          </w:tcPr>
          <w:p w:rsidR="0000418C" w:rsidRPr="00614CC6" w:rsidRDefault="0000418C" w:rsidP="001F1BA8">
            <w:pPr>
              <w:spacing w:before="30" w:after="30"/>
              <w:ind w:left="57"/>
              <w:jc w:val="left"/>
              <w:rPr>
                <w:b/>
                <w:bCs/>
                <w:sz w:val="20"/>
                <w:lang w:val="en-US"/>
              </w:rPr>
            </w:pPr>
            <w:r w:rsidRPr="00614CC6">
              <w:rPr>
                <w:b/>
                <w:bCs/>
                <w:sz w:val="20"/>
                <w:lang w:val="en-US"/>
              </w:rPr>
              <w:t>S</w:t>
            </w:r>
          </w:p>
        </w:tc>
        <w:tc>
          <w:tcPr>
            <w:tcW w:w="8220" w:type="dxa"/>
          </w:tcPr>
          <w:p w:rsidR="0000418C" w:rsidRPr="00614CC6" w:rsidRDefault="0000418C" w:rsidP="001F1BA8">
            <w:pPr>
              <w:spacing w:before="30" w:after="30"/>
              <w:jc w:val="left"/>
              <w:rPr>
                <w:sz w:val="20"/>
                <w:lang w:val="en-US"/>
              </w:rPr>
            </w:pPr>
            <w:r w:rsidRPr="00614CC6">
              <w:rPr>
                <w:sz w:val="20"/>
              </w:rPr>
              <w:t>Service fixe par satellite</w:t>
            </w:r>
          </w:p>
        </w:tc>
      </w:tr>
      <w:tr w:rsidR="0000418C" w:rsidRPr="00036EE3" w:rsidTr="001F1BA8">
        <w:tc>
          <w:tcPr>
            <w:tcW w:w="1140" w:type="dxa"/>
          </w:tcPr>
          <w:p w:rsidR="0000418C" w:rsidRPr="00614CC6" w:rsidRDefault="0000418C" w:rsidP="001F1BA8">
            <w:pPr>
              <w:spacing w:before="30" w:after="30"/>
              <w:ind w:left="57"/>
              <w:jc w:val="left"/>
              <w:rPr>
                <w:b/>
                <w:bCs/>
                <w:sz w:val="20"/>
                <w:lang w:val="en-US"/>
              </w:rPr>
            </w:pPr>
            <w:r w:rsidRPr="00614CC6">
              <w:rPr>
                <w:b/>
                <w:bCs/>
                <w:sz w:val="20"/>
                <w:lang w:val="en-US"/>
              </w:rPr>
              <w:t>SA</w:t>
            </w:r>
          </w:p>
        </w:tc>
        <w:tc>
          <w:tcPr>
            <w:tcW w:w="8220" w:type="dxa"/>
          </w:tcPr>
          <w:p w:rsidR="0000418C" w:rsidRPr="00614CC6" w:rsidRDefault="0000418C" w:rsidP="001F1BA8">
            <w:pPr>
              <w:spacing w:before="30" w:after="30"/>
              <w:jc w:val="left"/>
              <w:rPr>
                <w:sz w:val="20"/>
                <w:lang w:val="en-US"/>
              </w:rPr>
            </w:pPr>
            <w:r w:rsidRPr="00614CC6">
              <w:rPr>
                <w:sz w:val="20"/>
              </w:rPr>
              <w:t>Applications spatiales et météorologie</w:t>
            </w:r>
          </w:p>
        </w:tc>
      </w:tr>
      <w:tr w:rsidR="0000418C" w:rsidRPr="00614CC6" w:rsidTr="001F1BA8">
        <w:tc>
          <w:tcPr>
            <w:tcW w:w="1140" w:type="dxa"/>
          </w:tcPr>
          <w:p w:rsidR="0000418C" w:rsidRPr="00614CC6" w:rsidRDefault="0000418C" w:rsidP="001F1BA8">
            <w:pPr>
              <w:spacing w:before="30" w:after="30"/>
              <w:ind w:left="57"/>
              <w:jc w:val="left"/>
              <w:rPr>
                <w:b/>
                <w:bCs/>
                <w:sz w:val="20"/>
                <w:lang w:val="en-US"/>
              </w:rPr>
            </w:pPr>
            <w:r w:rsidRPr="00614CC6">
              <w:rPr>
                <w:b/>
                <w:bCs/>
                <w:sz w:val="20"/>
                <w:lang w:val="en-US"/>
              </w:rPr>
              <w:t>SF</w:t>
            </w:r>
          </w:p>
        </w:tc>
        <w:tc>
          <w:tcPr>
            <w:tcW w:w="8220" w:type="dxa"/>
          </w:tcPr>
          <w:p w:rsidR="0000418C" w:rsidRPr="00614CC6" w:rsidRDefault="0000418C" w:rsidP="001F1BA8">
            <w:pPr>
              <w:spacing w:before="30" w:after="30"/>
              <w:jc w:val="left"/>
              <w:rPr>
                <w:sz w:val="20"/>
              </w:rPr>
            </w:pPr>
            <w:r w:rsidRPr="00614CC6">
              <w:rPr>
                <w:sz w:val="20"/>
              </w:rPr>
              <w:t>Partage des fréquences et coordination entre les systèmes du service fixe par satellite et du service fixe</w:t>
            </w:r>
          </w:p>
        </w:tc>
      </w:tr>
      <w:tr w:rsidR="0000418C" w:rsidRPr="00036EE3" w:rsidTr="001F1BA8">
        <w:tc>
          <w:tcPr>
            <w:tcW w:w="1140" w:type="dxa"/>
            <w:shd w:val="clear" w:color="auto" w:fill="auto"/>
          </w:tcPr>
          <w:p w:rsidR="0000418C" w:rsidRPr="00592F9F" w:rsidRDefault="0000418C" w:rsidP="001F1BA8">
            <w:pPr>
              <w:spacing w:before="30" w:after="30"/>
              <w:ind w:left="57"/>
              <w:jc w:val="left"/>
              <w:rPr>
                <w:b/>
                <w:bCs/>
                <w:sz w:val="20"/>
                <w:lang w:val="en-US"/>
              </w:rPr>
            </w:pPr>
            <w:r w:rsidRPr="00592F9F">
              <w:rPr>
                <w:b/>
                <w:bCs/>
                <w:sz w:val="20"/>
                <w:lang w:val="en-US"/>
              </w:rPr>
              <w:t>SM</w:t>
            </w:r>
          </w:p>
        </w:tc>
        <w:tc>
          <w:tcPr>
            <w:tcW w:w="8220" w:type="dxa"/>
            <w:shd w:val="clear" w:color="auto" w:fill="auto"/>
          </w:tcPr>
          <w:p w:rsidR="0000418C" w:rsidRPr="00592F9F" w:rsidRDefault="0000418C" w:rsidP="001F1BA8">
            <w:pPr>
              <w:spacing w:before="30" w:after="30"/>
              <w:jc w:val="left"/>
              <w:rPr>
                <w:sz w:val="20"/>
                <w:lang w:val="en-US"/>
              </w:rPr>
            </w:pPr>
            <w:r w:rsidRPr="00592F9F">
              <w:rPr>
                <w:sz w:val="20"/>
              </w:rPr>
              <w:t>Gestion du spectre</w:t>
            </w:r>
          </w:p>
        </w:tc>
      </w:tr>
      <w:tr w:rsidR="0000418C" w:rsidRPr="00036EE3" w:rsidTr="001F1BA8">
        <w:tc>
          <w:tcPr>
            <w:tcW w:w="1140" w:type="dxa"/>
          </w:tcPr>
          <w:p w:rsidR="0000418C" w:rsidRPr="00614CC6" w:rsidRDefault="0000418C" w:rsidP="001F1BA8">
            <w:pPr>
              <w:spacing w:before="30" w:after="30"/>
              <w:ind w:left="57"/>
              <w:jc w:val="left"/>
              <w:rPr>
                <w:b/>
                <w:bCs/>
                <w:sz w:val="20"/>
                <w:lang w:val="en-US"/>
              </w:rPr>
            </w:pPr>
            <w:r w:rsidRPr="00614CC6">
              <w:rPr>
                <w:b/>
                <w:bCs/>
                <w:sz w:val="20"/>
                <w:lang w:val="en-US"/>
              </w:rPr>
              <w:t>SNG</w:t>
            </w:r>
          </w:p>
        </w:tc>
        <w:tc>
          <w:tcPr>
            <w:tcW w:w="8220" w:type="dxa"/>
          </w:tcPr>
          <w:p w:rsidR="0000418C" w:rsidRPr="00614CC6" w:rsidRDefault="0000418C" w:rsidP="001F1BA8">
            <w:pPr>
              <w:spacing w:before="30" w:after="30"/>
              <w:jc w:val="left"/>
              <w:rPr>
                <w:sz w:val="20"/>
                <w:lang w:val="en-US"/>
              </w:rPr>
            </w:pPr>
            <w:r w:rsidRPr="00614CC6">
              <w:rPr>
                <w:sz w:val="20"/>
              </w:rPr>
              <w:t>Reportage d'actualités par satellite</w:t>
            </w:r>
          </w:p>
        </w:tc>
      </w:tr>
      <w:tr w:rsidR="0000418C" w:rsidRPr="00614CC6" w:rsidTr="001F1BA8">
        <w:tc>
          <w:tcPr>
            <w:tcW w:w="1140" w:type="dxa"/>
          </w:tcPr>
          <w:p w:rsidR="0000418C" w:rsidRPr="00614CC6" w:rsidRDefault="0000418C" w:rsidP="001F1BA8">
            <w:pPr>
              <w:spacing w:before="30" w:after="30"/>
              <w:ind w:left="57"/>
              <w:jc w:val="left"/>
              <w:rPr>
                <w:b/>
                <w:bCs/>
                <w:sz w:val="20"/>
                <w:lang w:val="en-US"/>
              </w:rPr>
            </w:pPr>
            <w:r w:rsidRPr="00614CC6">
              <w:rPr>
                <w:b/>
                <w:bCs/>
                <w:sz w:val="20"/>
                <w:lang w:val="en-US"/>
              </w:rPr>
              <w:t>TF</w:t>
            </w:r>
          </w:p>
        </w:tc>
        <w:tc>
          <w:tcPr>
            <w:tcW w:w="8220" w:type="dxa"/>
          </w:tcPr>
          <w:p w:rsidR="0000418C" w:rsidRPr="00614CC6" w:rsidRDefault="0000418C" w:rsidP="001F1BA8">
            <w:pPr>
              <w:spacing w:before="30" w:after="30"/>
              <w:jc w:val="left"/>
              <w:rPr>
                <w:sz w:val="20"/>
              </w:rPr>
            </w:pPr>
            <w:r w:rsidRPr="00614CC6">
              <w:rPr>
                <w:sz w:val="20"/>
              </w:rPr>
              <w:t>Emissions de fréquences étalon et de signaux horaires</w:t>
            </w:r>
          </w:p>
        </w:tc>
      </w:tr>
      <w:tr w:rsidR="0000418C" w:rsidRPr="00036EE3" w:rsidTr="001F1BA8">
        <w:tc>
          <w:tcPr>
            <w:tcW w:w="1140" w:type="dxa"/>
          </w:tcPr>
          <w:p w:rsidR="0000418C" w:rsidRPr="00614CC6" w:rsidRDefault="0000418C" w:rsidP="001F1BA8">
            <w:pPr>
              <w:spacing w:before="30" w:after="30"/>
              <w:ind w:left="57"/>
              <w:jc w:val="left"/>
              <w:rPr>
                <w:b/>
                <w:bCs/>
                <w:sz w:val="20"/>
                <w:lang w:val="en-US"/>
              </w:rPr>
            </w:pPr>
            <w:r w:rsidRPr="00614CC6">
              <w:rPr>
                <w:b/>
                <w:bCs/>
                <w:sz w:val="20"/>
                <w:lang w:val="en-US"/>
              </w:rPr>
              <w:t>V</w:t>
            </w:r>
          </w:p>
        </w:tc>
        <w:tc>
          <w:tcPr>
            <w:tcW w:w="8220" w:type="dxa"/>
          </w:tcPr>
          <w:p w:rsidR="0000418C" w:rsidRPr="00614CC6" w:rsidRDefault="0000418C" w:rsidP="001F1BA8">
            <w:pPr>
              <w:spacing w:before="30" w:after="140"/>
              <w:jc w:val="left"/>
              <w:rPr>
                <w:sz w:val="20"/>
                <w:lang w:val="en-US"/>
              </w:rPr>
            </w:pPr>
            <w:r w:rsidRPr="00614CC6">
              <w:rPr>
                <w:sz w:val="20"/>
              </w:rPr>
              <w:t>Vocabulaire et sujets associés</w:t>
            </w:r>
          </w:p>
        </w:tc>
      </w:tr>
    </w:tbl>
    <w:p w:rsidR="0000418C" w:rsidRPr="00036EE3" w:rsidRDefault="0000418C" w:rsidP="0000418C">
      <w:pPr>
        <w:spacing w:before="0"/>
        <w:jc w:val="center"/>
        <w:rPr>
          <w:sz w:val="20"/>
          <w:lang w:val="en-US"/>
        </w:rPr>
      </w:pPr>
    </w:p>
    <w:p w:rsidR="0000418C" w:rsidRPr="00036EE3" w:rsidRDefault="0000418C" w:rsidP="0000418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0418C" w:rsidRPr="00756B4D" w:rsidTr="001F1BA8">
        <w:tc>
          <w:tcPr>
            <w:tcW w:w="9360" w:type="dxa"/>
          </w:tcPr>
          <w:p w:rsidR="0000418C" w:rsidRPr="00756B4D" w:rsidRDefault="0000418C" w:rsidP="001F1BA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0418C" w:rsidRPr="00756B4D" w:rsidRDefault="0000418C" w:rsidP="0000418C">
      <w:pPr>
        <w:spacing w:before="0"/>
        <w:jc w:val="center"/>
        <w:rPr>
          <w:sz w:val="22"/>
        </w:rPr>
      </w:pPr>
    </w:p>
    <w:p w:rsidR="0000418C" w:rsidRPr="00614CC6" w:rsidRDefault="0000418C" w:rsidP="0000418C">
      <w:pPr>
        <w:spacing w:before="100"/>
        <w:jc w:val="right"/>
        <w:rPr>
          <w:i/>
          <w:iCs/>
          <w:sz w:val="20"/>
        </w:rPr>
      </w:pPr>
      <w:r w:rsidRPr="00614CC6">
        <w:rPr>
          <w:i/>
          <w:iCs/>
          <w:sz w:val="20"/>
        </w:rPr>
        <w:t>Publication électronique</w:t>
      </w:r>
    </w:p>
    <w:p w:rsidR="0000418C" w:rsidRPr="00614CC6" w:rsidRDefault="0000418C" w:rsidP="0000418C">
      <w:pPr>
        <w:spacing w:before="0"/>
        <w:jc w:val="right"/>
        <w:rPr>
          <w:sz w:val="20"/>
        </w:rPr>
      </w:pPr>
      <w:r w:rsidRPr="00614CC6">
        <w:rPr>
          <w:sz w:val="20"/>
        </w:rPr>
        <w:t>Genève, 20</w:t>
      </w:r>
      <w:r>
        <w:rPr>
          <w:sz w:val="20"/>
        </w:rPr>
        <w:t>14</w:t>
      </w:r>
    </w:p>
    <w:p w:rsidR="0000418C" w:rsidRPr="00614CC6" w:rsidRDefault="0000418C" w:rsidP="0000418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00418C" w:rsidRPr="00614CC6" w:rsidRDefault="0000418C" w:rsidP="0000418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0418C" w:rsidRPr="00614CC6" w:rsidRDefault="0000418C" w:rsidP="0000418C">
      <w:pPr>
        <w:spacing w:before="160"/>
        <w:rPr>
          <w:i/>
          <w:sz w:val="20"/>
          <w:highlight w:val="yellow"/>
        </w:rPr>
        <w:sectPr w:rsidR="0000418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0418C" w:rsidRPr="00756B4D" w:rsidRDefault="0000418C" w:rsidP="0000418C">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RA</w:t>
      </w:r>
      <w:r w:rsidRPr="00756B4D">
        <w:rPr>
          <w:rStyle w:val="href"/>
        </w:rPr>
        <w:t>.</w:t>
      </w:r>
      <w:r>
        <w:rPr>
          <w:rStyle w:val="href"/>
        </w:rPr>
        <w:t>1417-1</w:t>
      </w:r>
    </w:p>
    <w:p w:rsidR="0000418C" w:rsidRDefault="0000418C" w:rsidP="00B64ECD">
      <w:pPr>
        <w:pStyle w:val="Rectitle"/>
      </w:pPr>
      <w:r>
        <w:t>Zone de silence radioélectrique au voisinage du point</w:t>
      </w:r>
      <w:r>
        <w:br/>
        <w:t>de Lagrange L</w:t>
      </w:r>
      <w:r>
        <w:rPr>
          <w:position w:val="-4"/>
          <w:sz w:val="16"/>
        </w:rPr>
        <w:t>2</w:t>
      </w:r>
      <w:r>
        <w:t xml:space="preserve"> du système Soleil-Terre </w:t>
      </w:r>
    </w:p>
    <w:p w:rsidR="0000418C" w:rsidRDefault="0000418C" w:rsidP="00345BC2">
      <w:pPr>
        <w:pStyle w:val="Recdate"/>
      </w:pPr>
      <w:r>
        <w:t>(1999-2013)</w:t>
      </w:r>
    </w:p>
    <w:p w:rsidR="0000418C" w:rsidRPr="00345BC2" w:rsidRDefault="00B64ECD" w:rsidP="00DD6E9F">
      <w:pPr>
        <w:pStyle w:val="HeadingSum"/>
        <w:rPr>
          <w:lang w:val="fr-FR"/>
        </w:rPr>
      </w:pPr>
      <w:r>
        <w:rPr>
          <w:lang w:val="fr-FR"/>
        </w:rPr>
        <w:t>Domaine</w:t>
      </w:r>
      <w:r w:rsidR="0000418C" w:rsidRPr="00345BC2">
        <w:rPr>
          <w:lang w:val="fr-FR"/>
        </w:rPr>
        <w:t xml:space="preserve"> d'application</w:t>
      </w:r>
    </w:p>
    <w:p w:rsidR="0000418C" w:rsidRPr="00345BC2" w:rsidRDefault="0000418C" w:rsidP="00DD6E9F">
      <w:pPr>
        <w:pStyle w:val="Summary"/>
        <w:rPr>
          <w:lang w:val="fr-FR"/>
        </w:rPr>
      </w:pPr>
      <w:r w:rsidRPr="00345BC2">
        <w:rPr>
          <w:lang w:val="fr-FR"/>
        </w:rPr>
        <w:t>Situé à environ 1 500 000 km de la Terre, le point de Lagrange L</w:t>
      </w:r>
      <w:r w:rsidRPr="00345BC2">
        <w:rPr>
          <w:vertAlign w:val="subscript"/>
          <w:lang w:val="fr-FR"/>
        </w:rPr>
        <w:t xml:space="preserve">2 </w:t>
      </w:r>
      <w:r w:rsidRPr="00345BC2">
        <w:rPr>
          <w:lang w:val="fr-FR"/>
        </w:rPr>
        <w:t>du système Soleil-Terre, ou point L</w:t>
      </w:r>
      <w:r w:rsidRPr="00345BC2">
        <w:rPr>
          <w:vertAlign w:val="subscript"/>
          <w:lang w:val="fr-FR"/>
        </w:rPr>
        <w:t>2</w:t>
      </w:r>
      <w:r w:rsidRPr="00345BC2">
        <w:rPr>
          <w:lang w:val="fr-FR"/>
        </w:rPr>
        <w:t>, offre un environnement de silence radioélectrique et des orbites stables qui sont utilisés pour des missions de radioastronomie spatiale et du service de recherche spatiale (passive). Plusieurs missions de ces services utilisent actuellement le point L</w:t>
      </w:r>
      <w:r w:rsidRPr="00345BC2">
        <w:rPr>
          <w:vertAlign w:val="subscript"/>
          <w:lang w:val="fr-FR"/>
        </w:rPr>
        <w:t xml:space="preserve">2 </w:t>
      </w:r>
      <w:r w:rsidRPr="00345BC2">
        <w:rPr>
          <w:lang w:val="fr-FR"/>
        </w:rPr>
        <w:t>et d'autres sont en projet. La présente Recommandation donne des informations à jour au sujet de cette utilisation et rappelle combien il est important de préserver l'environnement de silence radioélectrique du point L</w:t>
      </w:r>
      <w:r w:rsidRPr="00345BC2">
        <w:rPr>
          <w:vertAlign w:val="subscript"/>
          <w:lang w:val="fr-FR"/>
        </w:rPr>
        <w:t xml:space="preserve">2 </w:t>
      </w:r>
      <w:r w:rsidRPr="00345BC2">
        <w:rPr>
          <w:lang w:val="fr-FR"/>
        </w:rPr>
        <w:t xml:space="preserve">pour les futures missions de radioastronomie spatiale. </w:t>
      </w:r>
    </w:p>
    <w:p w:rsidR="0000418C" w:rsidRDefault="0000418C" w:rsidP="00345BC2">
      <w:pPr>
        <w:pStyle w:val="Normalaftertitle"/>
      </w:pPr>
      <w:r>
        <w:t>L'Assemblée des radiocommunications de l'UIT,</w:t>
      </w:r>
    </w:p>
    <w:p w:rsidR="0000418C" w:rsidRDefault="0000418C" w:rsidP="0000418C">
      <w:pPr>
        <w:pStyle w:val="Call"/>
      </w:pPr>
      <w:r>
        <w:t>considérant</w:t>
      </w:r>
    </w:p>
    <w:p w:rsidR="0000418C" w:rsidRDefault="0000418C" w:rsidP="0000418C">
      <w:r w:rsidRPr="00057D41">
        <w:rPr>
          <w:i/>
        </w:rPr>
        <w:t>a)</w:t>
      </w:r>
      <w:r>
        <w:tab/>
        <w:t xml:space="preserve">que les observations de radioastronomie réalisées depuis l'espace offrent d'importants avantages du fait de l'absence des phénomènes d'affaiblissement atmosphérique et de diffusion et de la </w:t>
      </w:r>
      <w:r w:rsidR="00930DA5">
        <w:t>possibilité</w:t>
      </w:r>
      <w:r>
        <w:t xml:space="preserve"> d'utiliser de très grandes lignes de base entre les antennes;</w:t>
      </w:r>
    </w:p>
    <w:p w:rsidR="0000418C" w:rsidRDefault="0000418C" w:rsidP="0000418C">
      <w:r w:rsidRPr="00057D41">
        <w:rPr>
          <w:i/>
          <w:iCs/>
        </w:rPr>
        <w:t>b)</w:t>
      </w:r>
      <w:r>
        <w:tab/>
        <w:t>que les faibles niveaux de densité spectrale de puissance surfacique au voisinage du point L</w:t>
      </w:r>
      <w:r>
        <w:rPr>
          <w:position w:val="-4"/>
          <w:sz w:val="16"/>
        </w:rPr>
        <w:t xml:space="preserve">2 </w:t>
      </w:r>
      <w:r>
        <w:t>(voir l'Annexe 1) rayonnés par des émetteurs fonctionnant sur Terre et dans l'espace entre la Terre et l'orbite des satellites géostationnaires permettent de faire des observations de radioastronomie à haute sensibilité;</w:t>
      </w:r>
    </w:p>
    <w:p w:rsidR="0000418C" w:rsidRDefault="0000418C" w:rsidP="0000418C">
      <w:r w:rsidRPr="00057D41">
        <w:rPr>
          <w:i/>
          <w:iCs/>
        </w:rPr>
        <w:t>c)</w:t>
      </w:r>
      <w:r>
        <w:tab/>
        <w:t>qu'il existe au voisinage du point L</w:t>
      </w:r>
      <w:r>
        <w:rPr>
          <w:position w:val="-4"/>
          <w:sz w:val="16"/>
        </w:rPr>
        <w:t>2</w:t>
      </w:r>
      <w:r>
        <w:t xml:space="preserve"> des orbites quasi stables dont les rayons peuvent mesurer jusqu'à 250</w:t>
      </w:r>
      <w:r>
        <w:rPr>
          <w:rFonts w:ascii="Tms Rmn" w:hAnsi="Tms Rmn"/>
          <w:sz w:val="12"/>
        </w:rPr>
        <w:t> </w:t>
      </w:r>
      <w:r>
        <w:t>000 km;</w:t>
      </w:r>
    </w:p>
    <w:p w:rsidR="0000418C" w:rsidRDefault="0000418C" w:rsidP="0000418C">
      <w:r w:rsidRPr="00057D41">
        <w:rPr>
          <w:i/>
          <w:iCs/>
        </w:rPr>
        <w:t>d)</w:t>
      </w:r>
      <w:r>
        <w:tab/>
        <w:t>qu'il est souhaitable que les stations de radioastronomie spatiale au voisinage du point L</w:t>
      </w:r>
      <w:r>
        <w:rPr>
          <w:position w:val="-4"/>
          <w:sz w:val="16"/>
        </w:rPr>
        <w:t>2</w:t>
      </w:r>
      <w:r>
        <w:t xml:space="preserve"> puissent faire des observations dans toutes les fréquences radioélectriques afin d'exploiter tout le potentiel scientifique du point L</w:t>
      </w:r>
      <w:r>
        <w:rPr>
          <w:position w:val="-4"/>
          <w:sz w:val="16"/>
        </w:rPr>
        <w:t>2</w:t>
      </w:r>
      <w:r>
        <w:t>;</w:t>
      </w:r>
    </w:p>
    <w:p w:rsidR="0000418C" w:rsidRDefault="0000418C" w:rsidP="0000418C">
      <w:r w:rsidRPr="00057D41">
        <w:rPr>
          <w:i/>
          <w:iCs/>
        </w:rPr>
        <w:t>e)</w:t>
      </w:r>
      <w:r>
        <w:tab/>
        <w:t>que presque toutes les sources de brouillage radioélectrique observées depuis le point L</w:t>
      </w:r>
      <w:r>
        <w:rPr>
          <w:position w:val="-4"/>
          <w:sz w:val="16"/>
        </w:rPr>
        <w:t>2</w:t>
      </w:r>
      <w:r>
        <w:t xml:space="preserve"> seront situées à l'intérieur d'un cône de 3,2</w:t>
      </w:r>
      <w:r>
        <w:rPr>
          <w:rFonts w:ascii="Symbol" w:hAnsi="Symbol"/>
        </w:rPr>
        <w:t></w:t>
      </w:r>
      <w:r>
        <w:t xml:space="preserve"> au maximum déterminé par le diamètre apparent de l'orbite des satellites géostationnaires,</w:t>
      </w:r>
    </w:p>
    <w:p w:rsidR="0000418C" w:rsidRPr="00732738" w:rsidRDefault="0000418C" w:rsidP="0000418C">
      <w:pPr>
        <w:pStyle w:val="Call"/>
      </w:pPr>
      <w:r w:rsidRPr="00732738">
        <w:t>reconnaissant</w:t>
      </w:r>
    </w:p>
    <w:p w:rsidR="0000418C" w:rsidRDefault="0000418C" w:rsidP="0000418C">
      <w:r>
        <w:t>que des missions de radioastronomie spatiale sont en cours au voisinage du point L</w:t>
      </w:r>
      <w:r>
        <w:rPr>
          <w:vertAlign w:val="subscript"/>
        </w:rPr>
        <w:t>2</w:t>
      </w:r>
      <w:r>
        <w:t xml:space="preserve"> et que des missions sont en projet (voir l'Annexe 2),</w:t>
      </w:r>
    </w:p>
    <w:p w:rsidR="0000418C" w:rsidRPr="00732738" w:rsidRDefault="0000418C" w:rsidP="0000418C">
      <w:pPr>
        <w:pStyle w:val="Call"/>
      </w:pPr>
      <w:r w:rsidRPr="00732738">
        <w:t>reconnaissant en outre</w:t>
      </w:r>
    </w:p>
    <w:p w:rsidR="0000418C" w:rsidRDefault="0000418C" w:rsidP="0000418C">
      <w:r w:rsidRPr="00057D41">
        <w:rPr>
          <w:i/>
          <w:iCs/>
        </w:rPr>
        <w:t>a)</w:t>
      </w:r>
      <w:r>
        <w:tab/>
        <w:t>que des émissions Terre vers espace et espace vers Terre vers ou depuis le voisinage du point L</w:t>
      </w:r>
      <w:r>
        <w:rPr>
          <w:vertAlign w:val="subscript"/>
        </w:rPr>
        <w:t>2</w:t>
      </w:r>
      <w:r>
        <w:t xml:space="preserve"> sont nécessaires pour contrôler, communiquer et retransmettre les données obtenues par les missions de radioastronomie spatiale opérant au voisinage du point L</w:t>
      </w:r>
      <w:r>
        <w:rPr>
          <w:vertAlign w:val="subscript"/>
        </w:rPr>
        <w:t>2</w:t>
      </w:r>
      <w:r>
        <w:t>;</w:t>
      </w:r>
    </w:p>
    <w:p w:rsidR="0000418C" w:rsidRDefault="0000418C" w:rsidP="0000418C">
      <w:r w:rsidRPr="00057D41">
        <w:rPr>
          <w:i/>
          <w:iCs/>
        </w:rPr>
        <w:t>b)</w:t>
      </w:r>
      <w:r>
        <w:tab/>
        <w:t>que des missions du service de recherche spatiale, y compris de recherche spatiale (passive), qui ne réalisent pas d'observations de radioastronomie, peuvent recevoir et émettre dans les sens espace vers Terre et espace-espace, qu'elles soient en transit ou qu'elles opèrent au voisinage du point L</w:t>
      </w:r>
      <w:r>
        <w:rPr>
          <w:vertAlign w:val="subscript"/>
        </w:rPr>
        <w:t xml:space="preserve">2 </w:t>
      </w:r>
      <w:r>
        <w:t>ou au-delà de ce point;</w:t>
      </w:r>
    </w:p>
    <w:p w:rsidR="0000418C" w:rsidRPr="005C2C15" w:rsidRDefault="0000418C" w:rsidP="0000418C">
      <w:r w:rsidRPr="00057D41">
        <w:rPr>
          <w:i/>
          <w:iCs/>
        </w:rPr>
        <w:t>c)</w:t>
      </w:r>
      <w:r>
        <w:tab/>
        <w:t>que des attributions de fréquences précises ont été faites au service de recherche spatiale pour contrôler, communiquer et retransmettre les données obtenues par les missions spatiales,</w:t>
      </w:r>
    </w:p>
    <w:p w:rsidR="0000418C" w:rsidRDefault="0000418C" w:rsidP="0000418C">
      <w:pPr>
        <w:pStyle w:val="Call"/>
      </w:pPr>
      <w:r>
        <w:lastRenderedPageBreak/>
        <w:t>recommande</w:t>
      </w:r>
    </w:p>
    <w:p w:rsidR="0000418C" w:rsidRDefault="0000418C" w:rsidP="0000418C">
      <w:r w:rsidRPr="00E30852">
        <w:rPr>
          <w:b/>
        </w:rPr>
        <w:t>1</w:t>
      </w:r>
      <w:r>
        <w:tab/>
        <w:t>que les administrations notent l'importance scientifique du point de Lagrange L</w:t>
      </w:r>
      <w:r>
        <w:rPr>
          <w:position w:val="-4"/>
          <w:sz w:val="16"/>
        </w:rPr>
        <w:t>2</w:t>
      </w:r>
      <w:r>
        <w:t xml:space="preserve"> du système Soleil-Terre et prennent toutes les mesures pratiques pour maintenir la zone de silence radioélectrique au voisinage de ce point;</w:t>
      </w:r>
    </w:p>
    <w:p w:rsidR="0000418C" w:rsidRDefault="0000418C" w:rsidP="0000418C">
      <w:r w:rsidRPr="00E30852">
        <w:rPr>
          <w:b/>
        </w:rPr>
        <w:t>2</w:t>
      </w:r>
      <w:r>
        <w:tab/>
        <w:t>que, lorsqu'elles attribueront des fréquences susceptibles de perturber les missions opérant au voisinage du point L</w:t>
      </w:r>
      <w:r>
        <w:rPr>
          <w:position w:val="-4"/>
          <w:sz w:val="16"/>
        </w:rPr>
        <w:t>2</w:t>
      </w:r>
      <w:r>
        <w:t>, les administrations protègent un espace ayant un rayon de 250</w:t>
      </w:r>
      <w:r>
        <w:rPr>
          <w:rFonts w:ascii="Tms Rmn" w:hAnsi="Tms Rmn"/>
          <w:sz w:val="12"/>
        </w:rPr>
        <w:t> </w:t>
      </w:r>
      <w:r>
        <w:t>000 km, centré sur le point L</w:t>
      </w:r>
      <w:r>
        <w:rPr>
          <w:position w:val="-4"/>
          <w:sz w:val="16"/>
        </w:rPr>
        <w:t>2</w:t>
      </w:r>
      <w:r>
        <w:t xml:space="preserve"> environ, qui constituera une zone de coordination à faibles rayonnements électromagnétiques, où toutes les émissions radioélectriques provenant de la zone de coordination ou passant par cette zone sont confinées aux bandes de fréquences attribuées au service de recherche spatiale pour contrôler, communiquer et retransmettre les émissions de données; </w:t>
      </w:r>
    </w:p>
    <w:p w:rsidR="0000418C" w:rsidRDefault="0000418C" w:rsidP="0000418C">
      <w:r w:rsidRPr="00E30852">
        <w:rPr>
          <w:b/>
        </w:rPr>
        <w:t>3</w:t>
      </w:r>
      <w:r>
        <w:tab/>
        <w:t>que les administrations coordonnent leurs activités nécessitant l'utilisation du point L</w:t>
      </w:r>
      <w:r>
        <w:rPr>
          <w:vertAlign w:val="subscript"/>
        </w:rPr>
        <w:t>2</w:t>
      </w:r>
      <w:r>
        <w:t xml:space="preserve"> pour limiter au minimum les brouillages causés aux missions d'observation de radioastronomie ou de recherche spatiale (passive) au voisinage de ce point.</w:t>
      </w:r>
    </w:p>
    <w:p w:rsidR="0000418C" w:rsidRDefault="0000418C" w:rsidP="0000418C"/>
    <w:p w:rsidR="0000418C" w:rsidRDefault="0000418C" w:rsidP="0000418C"/>
    <w:p w:rsidR="0000418C" w:rsidRDefault="0000418C" w:rsidP="00345BC2">
      <w:pPr>
        <w:pStyle w:val="AnnexNoTitle"/>
        <w:rPr>
          <w:vertAlign w:val="subscript"/>
        </w:rPr>
      </w:pPr>
      <w:r>
        <w:t>Annexe 1</w:t>
      </w:r>
      <w:r>
        <w:br/>
      </w:r>
      <w:r>
        <w:br/>
        <w:t>Voisinage du point de Lagrange L</w:t>
      </w:r>
      <w:r>
        <w:rPr>
          <w:position w:val="-4"/>
          <w:sz w:val="20"/>
        </w:rPr>
        <w:t>2</w:t>
      </w:r>
      <w:r>
        <w:rPr>
          <w:vertAlign w:val="subscript"/>
        </w:rPr>
        <w:t xml:space="preserve"> </w:t>
      </w:r>
      <w:r>
        <w:t xml:space="preserve">du système Soleil-Terre </w:t>
      </w:r>
    </w:p>
    <w:p w:rsidR="0000418C" w:rsidRDefault="0000418C" w:rsidP="00345BC2">
      <w:pPr>
        <w:pStyle w:val="Normalaftertitle"/>
      </w:pPr>
      <w:r>
        <w:t>Le point de Lagrange L</w:t>
      </w:r>
      <w:r>
        <w:rPr>
          <w:position w:val="-4"/>
          <w:sz w:val="16"/>
        </w:rPr>
        <w:t>2</w:t>
      </w:r>
      <w:r>
        <w:t xml:space="preserve"> du système Soleil</w:t>
      </w:r>
      <w:r>
        <w:noBreakHyphen/>
        <w:t>Terre se trouve à 1,5 million de kilomètres de la Terre, dans la direction opposée à celle du Soleil, sur une ligne où se croisent les barycentres de la Terre et du Soleil. Autour du point L</w:t>
      </w:r>
      <w:r>
        <w:rPr>
          <w:position w:val="-4"/>
          <w:sz w:val="16"/>
        </w:rPr>
        <w:t xml:space="preserve">2 </w:t>
      </w:r>
      <w:r>
        <w:t>se trouve une zone dans laquelle les objets décrivent des orbites qui sont stables pendant de longues périodes et qui conviennent pour les missions spatiales à long terme (voir la Fig. 1).</w:t>
      </w:r>
    </w:p>
    <w:p w:rsidR="0000418C" w:rsidRPr="007E4E66" w:rsidRDefault="0000418C" w:rsidP="0000418C">
      <w:pPr>
        <w:pStyle w:val="FigureNo"/>
        <w:spacing w:before="240" w:after="120"/>
        <w:rPr>
          <w:lang w:val="fr-CH"/>
        </w:rPr>
      </w:pPr>
      <w:r w:rsidRPr="007E4E66">
        <w:t>figure</w:t>
      </w:r>
      <w:r w:rsidRPr="007E4E66">
        <w:rPr>
          <w:lang w:val="fr-CH"/>
        </w:rPr>
        <w:t xml:space="preserve"> 1</w:t>
      </w:r>
    </w:p>
    <w:p w:rsidR="0000418C" w:rsidRPr="007E4E66" w:rsidRDefault="0000418C" w:rsidP="00345BC2">
      <w:pPr>
        <w:pStyle w:val="Figuretitle"/>
        <w:rPr>
          <w:lang w:val="fr-CH"/>
        </w:rPr>
      </w:pPr>
      <w:r w:rsidRPr="007E4E66">
        <w:rPr>
          <w:szCs w:val="18"/>
          <w:lang w:val="fr-CH"/>
        </w:rPr>
        <w:t>Géométrie type d'une orbite L</w:t>
      </w:r>
      <w:r w:rsidRPr="007E4E66">
        <w:rPr>
          <w:szCs w:val="18"/>
          <w:vertAlign w:val="subscript"/>
          <w:lang w:val="fr-CH"/>
        </w:rPr>
        <w:t>2</w:t>
      </w:r>
      <w:r w:rsidRPr="007E4E66">
        <w:rPr>
          <w:lang w:val="fr-CH"/>
        </w:rPr>
        <w:t xml:space="preserve"> </w:t>
      </w:r>
    </w:p>
    <w:p w:rsidR="0000418C" w:rsidRDefault="0000418C" w:rsidP="00345BC2">
      <w:pPr>
        <w:pStyle w:val="Figure"/>
      </w:pPr>
      <w:r>
        <w:object w:dxaOrig="4399"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14pt" o:ole="">
            <v:imagedata r:id="rId13" o:title=""/>
          </v:shape>
          <o:OLEObject Type="Embed" ProgID="CorelDRAW.Graphic.14" ShapeID="_x0000_i1025" DrawAspect="Content" ObjectID="_1472475412" r:id="rId14"/>
        </w:object>
      </w:r>
    </w:p>
    <w:p w:rsidR="0000418C" w:rsidRDefault="0000418C" w:rsidP="0000418C"/>
    <w:p w:rsidR="00057D41" w:rsidRDefault="00057D41" w:rsidP="0000418C"/>
    <w:p w:rsidR="0000418C" w:rsidRDefault="00AC7AB9" w:rsidP="00345BC2">
      <w:pPr>
        <w:pStyle w:val="AnnexNoTitle"/>
      </w:pPr>
      <w:r>
        <w:lastRenderedPageBreak/>
        <w:t xml:space="preserve">Annexe </w:t>
      </w:r>
      <w:r w:rsidR="0000418C">
        <w:t>2</w:t>
      </w:r>
    </w:p>
    <w:p w:rsidR="0000418C" w:rsidRPr="007E4E66" w:rsidRDefault="0000418C" w:rsidP="00345BC2">
      <w:pPr>
        <w:pStyle w:val="TableNo"/>
      </w:pPr>
      <w:r>
        <w:rPr>
          <w:szCs w:val="24"/>
        </w:rPr>
        <w:t xml:space="preserve">TABLEAU </w:t>
      </w:r>
      <w:r w:rsidRPr="007E4E66">
        <w:rPr>
          <w:szCs w:val="24"/>
        </w:rPr>
        <w:t>1</w:t>
      </w:r>
    </w:p>
    <w:p w:rsidR="0000418C" w:rsidRPr="007E4E66" w:rsidRDefault="0000418C" w:rsidP="00345BC2">
      <w:pPr>
        <w:pStyle w:val="Tabletitle"/>
      </w:pPr>
      <w:r w:rsidRPr="007E4E66">
        <w:rPr>
          <w:szCs w:val="24"/>
        </w:rPr>
        <w:t>Missions de radioastronomie spatiale opérant ou en projet au voisinage</w:t>
      </w:r>
      <w:r w:rsidRPr="007E4E66">
        <w:rPr>
          <w:szCs w:val="24"/>
        </w:rPr>
        <w:br/>
        <w:t>du point de Lagrange L</w:t>
      </w:r>
      <w:r w:rsidRPr="007E4E66">
        <w:rPr>
          <w:position w:val="-4"/>
          <w:szCs w:val="24"/>
        </w:rPr>
        <w:t>2</w:t>
      </w:r>
      <w:r w:rsidRPr="007E4E66">
        <w:rPr>
          <w:szCs w:val="24"/>
        </w:rPr>
        <w:t xml:space="preserve"> du système Soleil-Terre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3"/>
        <w:gridCol w:w="2526"/>
        <w:gridCol w:w="2339"/>
        <w:gridCol w:w="2631"/>
      </w:tblGrid>
      <w:tr w:rsidR="0000418C" w:rsidRPr="00DD3B76" w:rsidTr="00AC7AB9">
        <w:trPr>
          <w:jc w:val="center"/>
        </w:trPr>
        <w:tc>
          <w:tcPr>
            <w:tcW w:w="2078" w:type="dxa"/>
          </w:tcPr>
          <w:p w:rsidR="0000418C" w:rsidRDefault="0000418C" w:rsidP="001F1BA8">
            <w:pPr>
              <w:pStyle w:val="Tablehead"/>
            </w:pPr>
            <w:r>
              <w:t>Mission/opérateur</w:t>
            </w:r>
            <w:r>
              <w:br/>
              <w:t>Ouverture</w:t>
            </w:r>
          </w:p>
        </w:tc>
        <w:tc>
          <w:tcPr>
            <w:tcW w:w="2450" w:type="dxa"/>
          </w:tcPr>
          <w:p w:rsidR="0000418C" w:rsidRDefault="0000418C" w:rsidP="001F1BA8">
            <w:pPr>
              <w:pStyle w:val="Tablehead"/>
            </w:pPr>
            <w:r>
              <w:t>Type de mission</w:t>
            </w:r>
            <w:r>
              <w:br/>
              <w:t>Mode d'observation</w:t>
            </w:r>
          </w:p>
        </w:tc>
        <w:tc>
          <w:tcPr>
            <w:tcW w:w="2268" w:type="dxa"/>
          </w:tcPr>
          <w:p w:rsidR="0000418C" w:rsidRDefault="0000418C" w:rsidP="001F1BA8">
            <w:pPr>
              <w:pStyle w:val="Tablehead"/>
            </w:pPr>
            <w:r>
              <w:t>Dates d'exploitation</w:t>
            </w:r>
          </w:p>
        </w:tc>
        <w:tc>
          <w:tcPr>
            <w:tcW w:w="2552" w:type="dxa"/>
          </w:tcPr>
          <w:p w:rsidR="0000418C" w:rsidRDefault="0000418C" w:rsidP="001F1BA8">
            <w:pPr>
              <w:pStyle w:val="Tablehead"/>
            </w:pPr>
            <w:r>
              <w:t>Bandes de fréquences d'observation</w:t>
            </w:r>
            <w:r>
              <w:br/>
              <w:t>(GHz)</w:t>
            </w:r>
          </w:p>
        </w:tc>
      </w:tr>
      <w:tr w:rsidR="0000418C" w:rsidRPr="007E4E66" w:rsidTr="00AC7AB9">
        <w:trPr>
          <w:jc w:val="center"/>
        </w:trPr>
        <w:tc>
          <w:tcPr>
            <w:tcW w:w="2078" w:type="dxa"/>
          </w:tcPr>
          <w:p w:rsidR="0000418C" w:rsidRPr="007E4E66" w:rsidRDefault="0000418C" w:rsidP="00AC7AB9">
            <w:pPr>
              <w:pStyle w:val="Tabletext"/>
              <w:jc w:val="center"/>
              <w:rPr>
                <w:lang w:val="es-ES_tradnl"/>
              </w:rPr>
            </w:pPr>
            <w:r w:rsidRPr="007E4E66">
              <w:rPr>
                <w:szCs w:val="22"/>
                <w:lang w:val="es-ES_tradnl"/>
              </w:rPr>
              <w:t>MAP/NASA</w:t>
            </w:r>
            <w:r w:rsidRPr="007E4E66">
              <w:rPr>
                <w:szCs w:val="22"/>
                <w:lang w:val="es-ES_tradnl"/>
              </w:rPr>
              <w:br/>
              <w:t xml:space="preserve">1,4 m </w:t>
            </w:r>
            <w:r w:rsidR="00AC7AB9">
              <w:rPr>
                <w:szCs w:val="22"/>
                <w:lang w:val="es-ES_tradnl"/>
              </w:rPr>
              <w:sym w:font="Symbol" w:char="F0B4"/>
            </w:r>
            <w:r w:rsidRPr="007E4E66">
              <w:rPr>
                <w:szCs w:val="22"/>
                <w:lang w:val="es-ES_tradnl"/>
              </w:rPr>
              <w:t xml:space="preserve"> 1,6 m</w:t>
            </w:r>
          </w:p>
        </w:tc>
        <w:tc>
          <w:tcPr>
            <w:tcW w:w="2450" w:type="dxa"/>
          </w:tcPr>
          <w:p w:rsidR="0000418C" w:rsidRPr="007E4E66" w:rsidRDefault="0000418C" w:rsidP="00AC7AB9">
            <w:pPr>
              <w:pStyle w:val="Tabletext"/>
              <w:jc w:val="center"/>
            </w:pPr>
            <w:r w:rsidRPr="007E4E66">
              <w:rPr>
                <w:szCs w:val="22"/>
              </w:rPr>
              <w:t xml:space="preserve">Imagerie à antenne unique du </w:t>
            </w:r>
            <w:r w:rsidR="00930DA5" w:rsidRPr="007E4E66">
              <w:rPr>
                <w:szCs w:val="22"/>
              </w:rPr>
              <w:t>continuum</w:t>
            </w:r>
            <w:r w:rsidRPr="007E4E66">
              <w:rPr>
                <w:szCs w:val="22"/>
              </w:rPr>
              <w:t xml:space="preserve"> du rayonnement cosmique fossile</w:t>
            </w:r>
          </w:p>
          <w:p w:rsidR="0000418C" w:rsidRPr="007E4E66" w:rsidRDefault="0000418C" w:rsidP="00AC7AB9">
            <w:pPr>
              <w:pStyle w:val="Tabletext"/>
              <w:jc w:val="center"/>
            </w:pPr>
            <w:r w:rsidRPr="007E4E66">
              <w:t>Continuum</w:t>
            </w:r>
          </w:p>
        </w:tc>
        <w:tc>
          <w:tcPr>
            <w:tcW w:w="2268" w:type="dxa"/>
          </w:tcPr>
          <w:p w:rsidR="0000418C" w:rsidRPr="007E4E66" w:rsidRDefault="0000418C" w:rsidP="00AC7AB9">
            <w:pPr>
              <w:pStyle w:val="Tabletext"/>
              <w:jc w:val="center"/>
            </w:pPr>
            <w:r w:rsidRPr="007E4E66">
              <w:rPr>
                <w:szCs w:val="22"/>
              </w:rPr>
              <w:t>2001-2009</w:t>
            </w:r>
          </w:p>
        </w:tc>
        <w:tc>
          <w:tcPr>
            <w:tcW w:w="2552" w:type="dxa"/>
          </w:tcPr>
          <w:p w:rsidR="0000418C" w:rsidRPr="002101EC" w:rsidRDefault="0000418C" w:rsidP="001F1BA8">
            <w:pPr>
              <w:pStyle w:val="Tabletext"/>
              <w:keepNext/>
              <w:keepLines/>
              <w:jc w:val="center"/>
            </w:pPr>
            <w:r w:rsidRPr="002101EC">
              <w:t>18-96</w:t>
            </w:r>
          </w:p>
        </w:tc>
      </w:tr>
      <w:tr w:rsidR="0000418C" w:rsidRPr="007E4E66" w:rsidTr="00AC7AB9">
        <w:trPr>
          <w:jc w:val="center"/>
        </w:trPr>
        <w:tc>
          <w:tcPr>
            <w:tcW w:w="2078" w:type="dxa"/>
          </w:tcPr>
          <w:p w:rsidR="0000418C" w:rsidRPr="007E4E66" w:rsidRDefault="0000418C" w:rsidP="00AC7AB9">
            <w:pPr>
              <w:pStyle w:val="Tabletext"/>
              <w:jc w:val="center"/>
              <w:rPr>
                <w:lang w:val="es-ES_tradnl"/>
              </w:rPr>
            </w:pPr>
            <w:r w:rsidRPr="007E4E66">
              <w:rPr>
                <w:szCs w:val="22"/>
                <w:lang w:val="es-ES_tradnl"/>
              </w:rPr>
              <w:t>PLANCK/ESA</w:t>
            </w:r>
            <w:r w:rsidRPr="007E4E66">
              <w:rPr>
                <w:szCs w:val="22"/>
                <w:lang w:val="es-ES_tradnl"/>
              </w:rPr>
              <w:br/>
              <w:t xml:space="preserve">1,5 m </w:t>
            </w:r>
            <w:r w:rsidR="00AC7AB9">
              <w:rPr>
                <w:szCs w:val="22"/>
                <w:lang w:val="es-ES_tradnl"/>
              </w:rPr>
              <w:sym w:font="Symbol" w:char="F0B4"/>
            </w:r>
            <w:r w:rsidRPr="007E4E66">
              <w:rPr>
                <w:szCs w:val="22"/>
                <w:lang w:val="es-ES_tradnl"/>
              </w:rPr>
              <w:t xml:space="preserve"> 1,9 m</w:t>
            </w:r>
          </w:p>
        </w:tc>
        <w:tc>
          <w:tcPr>
            <w:tcW w:w="2450" w:type="dxa"/>
          </w:tcPr>
          <w:p w:rsidR="0000418C" w:rsidRPr="007E4E66" w:rsidRDefault="0000418C" w:rsidP="00AC7AB9">
            <w:pPr>
              <w:pStyle w:val="Tabletext"/>
              <w:jc w:val="center"/>
            </w:pPr>
            <w:r w:rsidRPr="007E4E66">
              <w:rPr>
                <w:szCs w:val="22"/>
              </w:rPr>
              <w:t>Imagerie à antenne unique du continuum du rayonnement cosmique fossile</w:t>
            </w:r>
          </w:p>
          <w:p w:rsidR="0000418C" w:rsidRPr="007E4E66" w:rsidRDefault="0000418C" w:rsidP="00AC7AB9">
            <w:pPr>
              <w:pStyle w:val="Tabletext"/>
              <w:jc w:val="center"/>
            </w:pPr>
            <w:r w:rsidRPr="007E4E66">
              <w:t>Continuum</w:t>
            </w:r>
          </w:p>
        </w:tc>
        <w:tc>
          <w:tcPr>
            <w:tcW w:w="2268" w:type="dxa"/>
          </w:tcPr>
          <w:p w:rsidR="0000418C" w:rsidRPr="007E4E66" w:rsidRDefault="0000418C" w:rsidP="00AC7AB9">
            <w:pPr>
              <w:pStyle w:val="Tabletext"/>
              <w:jc w:val="center"/>
            </w:pPr>
            <w:r w:rsidRPr="007E4E66">
              <w:rPr>
                <w:szCs w:val="22"/>
              </w:rPr>
              <w:t>2009-2012</w:t>
            </w:r>
          </w:p>
        </w:tc>
        <w:tc>
          <w:tcPr>
            <w:tcW w:w="2552" w:type="dxa"/>
          </w:tcPr>
          <w:p w:rsidR="0000418C" w:rsidRPr="002101EC" w:rsidRDefault="0000418C" w:rsidP="001F1BA8">
            <w:pPr>
              <w:pStyle w:val="Tabletext"/>
              <w:keepNext/>
              <w:keepLines/>
              <w:jc w:val="center"/>
            </w:pPr>
            <w:r w:rsidRPr="002101EC">
              <w:t xml:space="preserve">30 </w:t>
            </w:r>
            <w:r w:rsidRPr="002101EC">
              <w:sym w:font="Symbol" w:char="F0B1"/>
            </w:r>
            <w:r w:rsidRPr="002101EC">
              <w:t xml:space="preserve"> 3</w:t>
            </w:r>
            <w:r w:rsidRPr="002101EC">
              <w:br/>
              <w:t xml:space="preserve">44 </w:t>
            </w:r>
            <w:r w:rsidRPr="002101EC">
              <w:sym w:font="Symbol" w:char="F0B1"/>
            </w:r>
            <w:r>
              <w:t xml:space="preserve"> 4,</w:t>
            </w:r>
            <w:r w:rsidRPr="002101EC">
              <w:t>4</w:t>
            </w:r>
            <w:r w:rsidRPr="002101EC">
              <w:br/>
              <w:t xml:space="preserve">70 </w:t>
            </w:r>
            <w:r w:rsidRPr="002101EC">
              <w:sym w:font="Symbol" w:char="F0B1"/>
            </w:r>
            <w:r w:rsidRPr="002101EC">
              <w:t xml:space="preserve"> 7</w:t>
            </w:r>
            <w:r w:rsidRPr="002101EC">
              <w:br/>
              <w:t xml:space="preserve">100 </w:t>
            </w:r>
            <w:r w:rsidRPr="002101EC">
              <w:sym w:font="Symbol" w:char="F0B1"/>
            </w:r>
            <w:r w:rsidRPr="002101EC">
              <w:t xml:space="preserve"> 10</w:t>
            </w:r>
            <w:r w:rsidRPr="002101EC">
              <w:br/>
              <w:t xml:space="preserve">150 </w:t>
            </w:r>
            <w:r w:rsidRPr="002101EC">
              <w:sym w:font="Symbol" w:char="F0B1"/>
            </w:r>
            <w:r w:rsidRPr="002101EC">
              <w:t xml:space="preserve"> 28</w:t>
            </w:r>
            <w:r w:rsidRPr="002101EC">
              <w:br/>
              <w:t xml:space="preserve">217 </w:t>
            </w:r>
            <w:r w:rsidRPr="002101EC">
              <w:sym w:font="Symbol" w:char="F0B1"/>
            </w:r>
            <w:r w:rsidRPr="002101EC">
              <w:t xml:space="preserve"> 40</w:t>
            </w:r>
            <w:r w:rsidRPr="002101EC">
              <w:br/>
              <w:t xml:space="preserve">353 </w:t>
            </w:r>
            <w:r w:rsidRPr="002101EC">
              <w:sym w:font="Symbol" w:char="F0B1"/>
            </w:r>
            <w:r>
              <w:t xml:space="preserve"> 65,</w:t>
            </w:r>
            <w:r w:rsidRPr="002101EC">
              <w:t>5</w:t>
            </w:r>
            <w:r w:rsidRPr="002101EC">
              <w:br/>
              <w:t xml:space="preserve">545 </w:t>
            </w:r>
            <w:r w:rsidRPr="002101EC">
              <w:sym w:font="Symbol" w:char="F0B1"/>
            </w:r>
            <w:r w:rsidRPr="002101EC">
              <w:t xml:space="preserve"> 101</w:t>
            </w:r>
            <w:r w:rsidRPr="002101EC">
              <w:br/>
              <w:t xml:space="preserve">857 </w:t>
            </w:r>
            <w:r w:rsidRPr="002101EC">
              <w:sym w:font="Symbol" w:char="F0B1"/>
            </w:r>
            <w:r>
              <w:t xml:space="preserve"> 158,</w:t>
            </w:r>
            <w:r w:rsidRPr="002101EC">
              <w:t>5</w:t>
            </w:r>
          </w:p>
        </w:tc>
      </w:tr>
      <w:tr w:rsidR="0000418C" w:rsidRPr="007E4E66" w:rsidTr="00AC7AB9">
        <w:trPr>
          <w:jc w:val="center"/>
        </w:trPr>
        <w:tc>
          <w:tcPr>
            <w:tcW w:w="2078" w:type="dxa"/>
          </w:tcPr>
          <w:p w:rsidR="0000418C" w:rsidRPr="007E4E66" w:rsidRDefault="0000418C" w:rsidP="00AC7AB9">
            <w:pPr>
              <w:pStyle w:val="Tabletext"/>
              <w:jc w:val="center"/>
            </w:pPr>
            <w:r w:rsidRPr="007E4E66">
              <w:rPr>
                <w:szCs w:val="22"/>
              </w:rPr>
              <w:t>Herschel/ESA</w:t>
            </w:r>
            <w:r>
              <w:rPr>
                <w:szCs w:val="22"/>
              </w:rPr>
              <w:br/>
            </w:r>
            <w:r w:rsidRPr="007E4E66">
              <w:rPr>
                <w:szCs w:val="22"/>
              </w:rPr>
              <w:t>3,5 m</w:t>
            </w:r>
          </w:p>
        </w:tc>
        <w:tc>
          <w:tcPr>
            <w:tcW w:w="2450" w:type="dxa"/>
          </w:tcPr>
          <w:p w:rsidR="0000418C" w:rsidRPr="007E4E66" w:rsidRDefault="0000418C" w:rsidP="00AC7AB9">
            <w:pPr>
              <w:pStyle w:val="Tabletext"/>
              <w:jc w:val="center"/>
            </w:pPr>
            <w:r w:rsidRPr="007E4E66">
              <w:rPr>
                <w:szCs w:val="22"/>
              </w:rPr>
              <w:t>Radioastronomie à antenne unique</w:t>
            </w:r>
          </w:p>
          <w:p w:rsidR="0000418C" w:rsidRPr="007E4E66" w:rsidRDefault="0000418C" w:rsidP="00AC7AB9">
            <w:pPr>
              <w:pStyle w:val="Tabletext"/>
              <w:jc w:val="center"/>
            </w:pPr>
            <w:r w:rsidRPr="007E4E66">
              <w:t>Raie spectrale et continuum</w:t>
            </w:r>
          </w:p>
        </w:tc>
        <w:tc>
          <w:tcPr>
            <w:tcW w:w="2268" w:type="dxa"/>
          </w:tcPr>
          <w:p w:rsidR="0000418C" w:rsidRPr="007E4E66" w:rsidRDefault="0000418C" w:rsidP="00AC7AB9">
            <w:pPr>
              <w:pStyle w:val="Tabletext"/>
              <w:jc w:val="center"/>
            </w:pPr>
            <w:r w:rsidRPr="007E4E66">
              <w:rPr>
                <w:szCs w:val="22"/>
              </w:rPr>
              <w:t>2009-2013</w:t>
            </w:r>
          </w:p>
        </w:tc>
        <w:tc>
          <w:tcPr>
            <w:tcW w:w="2552" w:type="dxa"/>
          </w:tcPr>
          <w:p w:rsidR="0000418C" w:rsidRPr="002101EC" w:rsidRDefault="0000418C" w:rsidP="001F1BA8">
            <w:pPr>
              <w:pStyle w:val="Tabletext"/>
              <w:jc w:val="center"/>
            </w:pPr>
            <w:r w:rsidRPr="002101EC">
              <w:t>490-642</w:t>
            </w:r>
            <w:r w:rsidRPr="002101EC">
              <w:br/>
              <w:t>640-802</w:t>
            </w:r>
            <w:r w:rsidRPr="002101EC">
              <w:br/>
              <w:t>800-962</w:t>
            </w:r>
            <w:r w:rsidRPr="002101EC">
              <w:br/>
              <w:t>960-1 122</w:t>
            </w:r>
            <w:r w:rsidRPr="002101EC">
              <w:br/>
              <w:t>1 120-1 250</w:t>
            </w:r>
            <w:r w:rsidRPr="002101EC">
              <w:br/>
              <w:t>1 600-1 800</w:t>
            </w:r>
            <w:r w:rsidRPr="002101EC">
              <w:br/>
              <w:t>2 400-2 600</w:t>
            </w:r>
          </w:p>
        </w:tc>
      </w:tr>
      <w:tr w:rsidR="0000418C" w:rsidRPr="007E4E66" w:rsidTr="00AC7AB9">
        <w:trPr>
          <w:jc w:val="center"/>
        </w:trPr>
        <w:tc>
          <w:tcPr>
            <w:tcW w:w="2078" w:type="dxa"/>
          </w:tcPr>
          <w:p w:rsidR="0000418C" w:rsidRPr="007E4E66" w:rsidRDefault="0000418C" w:rsidP="00AC7AB9">
            <w:pPr>
              <w:pStyle w:val="Tabletext"/>
              <w:jc w:val="center"/>
            </w:pPr>
            <w:r w:rsidRPr="007E4E66">
              <w:t>Millimetron/</w:t>
            </w:r>
            <w:r>
              <w:br/>
            </w:r>
            <w:r w:rsidRPr="007E4E66">
              <w:t>ROSKOSMOS</w:t>
            </w:r>
            <w:r w:rsidRPr="007E4E66">
              <w:br/>
              <w:t>12 m</w:t>
            </w:r>
          </w:p>
        </w:tc>
        <w:tc>
          <w:tcPr>
            <w:tcW w:w="2450" w:type="dxa"/>
          </w:tcPr>
          <w:p w:rsidR="0000418C" w:rsidRPr="007E4E66" w:rsidRDefault="0000418C" w:rsidP="00AC7AB9">
            <w:pPr>
              <w:pStyle w:val="Tabletext"/>
              <w:jc w:val="center"/>
            </w:pPr>
            <w:r w:rsidRPr="007E4E66">
              <w:rPr>
                <w:szCs w:val="22"/>
              </w:rPr>
              <w:t>Radioastronomie à antenne unique et interférométrie à très grande (ligne de) base (SVLBI) spatiale</w:t>
            </w:r>
            <w:r w:rsidRPr="007E4E66">
              <w:rPr>
                <w:szCs w:val="22"/>
              </w:rPr>
              <w:br/>
              <w:t>Raie spectrale et continuum</w:t>
            </w:r>
          </w:p>
        </w:tc>
        <w:tc>
          <w:tcPr>
            <w:tcW w:w="2268" w:type="dxa"/>
          </w:tcPr>
          <w:p w:rsidR="0000418C" w:rsidRPr="007E4E66" w:rsidRDefault="0000418C" w:rsidP="00AC7AB9">
            <w:pPr>
              <w:pStyle w:val="Tabletext"/>
              <w:jc w:val="center"/>
            </w:pPr>
            <w:r w:rsidRPr="007E4E66">
              <w:rPr>
                <w:szCs w:val="22"/>
              </w:rPr>
              <w:t>2015-2030</w:t>
            </w:r>
          </w:p>
        </w:tc>
        <w:tc>
          <w:tcPr>
            <w:tcW w:w="2552" w:type="dxa"/>
          </w:tcPr>
          <w:p w:rsidR="0000418C" w:rsidRPr="002101EC" w:rsidRDefault="0000418C" w:rsidP="001F1BA8">
            <w:pPr>
              <w:pStyle w:val="Tabletext"/>
              <w:jc w:val="center"/>
            </w:pPr>
            <w:r w:rsidRPr="002101EC">
              <w:t>18-4</w:t>
            </w:r>
            <w:r>
              <w:t> </w:t>
            </w:r>
            <w:r w:rsidRPr="002101EC">
              <w:t xml:space="preserve">800 </w:t>
            </w:r>
          </w:p>
        </w:tc>
      </w:tr>
      <w:tr w:rsidR="0000418C" w:rsidRPr="007E4E66" w:rsidTr="00AC7AB9">
        <w:trPr>
          <w:trHeight w:val="1475"/>
          <w:jc w:val="center"/>
        </w:trPr>
        <w:tc>
          <w:tcPr>
            <w:tcW w:w="2078" w:type="dxa"/>
          </w:tcPr>
          <w:p w:rsidR="0000418C" w:rsidRPr="007E4E66" w:rsidRDefault="0000418C" w:rsidP="00AC7AB9">
            <w:pPr>
              <w:pStyle w:val="Tabletext"/>
              <w:jc w:val="center"/>
            </w:pPr>
            <w:r w:rsidRPr="007E4E66">
              <w:rPr>
                <w:szCs w:val="22"/>
              </w:rPr>
              <w:t>SPICA/JAXA</w:t>
            </w:r>
            <w:r w:rsidRPr="007E4E66">
              <w:rPr>
                <w:szCs w:val="22"/>
              </w:rPr>
              <w:br/>
              <w:t>3,5 m</w:t>
            </w:r>
          </w:p>
        </w:tc>
        <w:tc>
          <w:tcPr>
            <w:tcW w:w="2450" w:type="dxa"/>
          </w:tcPr>
          <w:p w:rsidR="0000418C" w:rsidRPr="007E4E66" w:rsidRDefault="0000418C" w:rsidP="00AC7AB9">
            <w:pPr>
              <w:pStyle w:val="Tabletext"/>
              <w:jc w:val="center"/>
            </w:pPr>
            <w:r w:rsidRPr="007E4E66">
              <w:rPr>
                <w:szCs w:val="22"/>
              </w:rPr>
              <w:t>Radioastronomie à antenne unique/</w:t>
            </w:r>
            <w:r>
              <w:rPr>
                <w:szCs w:val="22"/>
              </w:rPr>
              <w:t>r</w:t>
            </w:r>
            <w:r w:rsidRPr="007E4E66">
              <w:rPr>
                <w:szCs w:val="22"/>
              </w:rPr>
              <w:t>aie spectrale et continuum</w:t>
            </w:r>
          </w:p>
        </w:tc>
        <w:tc>
          <w:tcPr>
            <w:tcW w:w="2268" w:type="dxa"/>
          </w:tcPr>
          <w:p w:rsidR="0000418C" w:rsidRPr="007E4E66" w:rsidDel="00B363B1" w:rsidRDefault="0000418C" w:rsidP="00AC7AB9">
            <w:pPr>
              <w:pStyle w:val="Tabletext"/>
              <w:jc w:val="center"/>
            </w:pPr>
            <w:r w:rsidRPr="007E4E66">
              <w:rPr>
                <w:szCs w:val="22"/>
              </w:rPr>
              <w:t>2018</w:t>
            </w:r>
          </w:p>
        </w:tc>
        <w:tc>
          <w:tcPr>
            <w:tcW w:w="2552" w:type="dxa"/>
          </w:tcPr>
          <w:p w:rsidR="0000418C" w:rsidRPr="002101EC" w:rsidRDefault="0000418C" w:rsidP="001F1BA8">
            <w:pPr>
              <w:pStyle w:val="Tabletext"/>
              <w:jc w:val="center"/>
            </w:pPr>
            <w:r w:rsidRPr="002101EC">
              <w:t>1</w:t>
            </w:r>
            <w:r>
              <w:t> </w:t>
            </w:r>
            <w:r w:rsidRPr="002101EC">
              <w:t>500-10</w:t>
            </w:r>
            <w:r>
              <w:t> </w:t>
            </w:r>
            <w:r w:rsidRPr="002101EC">
              <w:t>000</w:t>
            </w:r>
          </w:p>
        </w:tc>
      </w:tr>
    </w:tbl>
    <w:p w:rsidR="0000418C" w:rsidRDefault="0000418C" w:rsidP="0000418C">
      <w:pPr>
        <w:spacing w:before="0"/>
      </w:pPr>
    </w:p>
    <w:p w:rsidR="00A6617B" w:rsidRPr="00A6617B" w:rsidRDefault="00A6617B" w:rsidP="00057D41">
      <w:pPr>
        <w:pStyle w:val="Line"/>
      </w:pPr>
    </w:p>
    <w:sectPr w:rsidR="00A6617B" w:rsidRPr="00A6617B" w:rsidSect="00057D41">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18C" w:rsidRDefault="0000418C">
      <w:r>
        <w:separator/>
      </w:r>
    </w:p>
  </w:endnote>
  <w:endnote w:type="continuationSeparator" w:id="0">
    <w:p w:rsidR="0000418C" w:rsidRDefault="0000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18C" w:rsidRDefault="0000418C">
      <w:r>
        <w:separator/>
      </w:r>
    </w:p>
  </w:footnote>
  <w:footnote w:type="continuationSeparator" w:id="0">
    <w:p w:rsidR="0000418C" w:rsidRDefault="00004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18C" w:rsidRDefault="000041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18C" w:rsidRDefault="0000418C" w:rsidP="00C668C8">
    <w:pPr>
      <w:pStyle w:val="Header"/>
      <w:ind w:right="360" w:firstLine="360"/>
    </w:pPr>
    <w:r>
      <w:rPr>
        <w:noProof/>
        <w:lang w:val="en-US" w:eastAsia="zh-CN"/>
      </w:rPr>
      <w:drawing>
        <wp:anchor distT="0" distB="0" distL="114300" distR="114300" simplePos="0" relativeHeight="251659264" behindDoc="1" locked="0" layoutInCell="1" allowOverlap="1" wp14:anchorId="2280517D" wp14:editId="2FC2E91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18C" w:rsidRPr="00837CB5" w:rsidRDefault="000041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A447E">
      <w:rPr>
        <w:rStyle w:val="PageNumber"/>
        <w:b/>
        <w:bCs/>
        <w:noProof/>
      </w:rPr>
      <w:t>ii</w:t>
    </w:r>
    <w:r>
      <w:rPr>
        <w:rStyle w:val="PageNumber"/>
        <w:b/>
        <w:bCs/>
      </w:rPr>
      <w:fldChar w:fldCharType="end"/>
    </w:r>
    <w:r w:rsidRPr="00837CB5">
      <w:tab/>
    </w:r>
    <w:r w:rsidR="00EA447E">
      <w:fldChar w:fldCharType="begin"/>
    </w:r>
    <w:r w:rsidR="00EA447E">
      <w:instrText xml:space="preserve"> DOCPROPERTY "Header" \* MERGEFORMAT </w:instrText>
    </w:r>
    <w:r w:rsidR="00EA447E">
      <w:fldChar w:fldCharType="separate"/>
    </w:r>
    <w:r w:rsidR="00EA447E" w:rsidRPr="00EA447E">
      <w:rPr>
        <w:b/>
        <w:bCs/>
      </w:rPr>
      <w:t xml:space="preserve">Rec. </w:t>
    </w:r>
    <w:r w:rsidR="00EA447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A447E">
      <w:rPr>
        <w:b/>
        <w:bCs/>
        <w:noProof/>
      </w:rPr>
      <w:t>UIT-R  RA.1417-1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18C" w:rsidRDefault="0000418C">
    <w:pPr>
      <w:pStyle w:val="Header"/>
    </w:pPr>
    <w:r>
      <w:tab/>
    </w:r>
    <w:r w:rsidR="00EA447E">
      <w:fldChar w:fldCharType="begin"/>
    </w:r>
    <w:r w:rsidR="00EA447E">
      <w:instrText xml:space="preserve"> DOCPROPERTY "Header" \* MERGEFORMAT </w:instrText>
    </w:r>
    <w:r w:rsidR="00EA447E">
      <w:fldChar w:fldCharType="separate"/>
    </w:r>
    <w:r w:rsidR="00EA447E" w:rsidRPr="00EA447E">
      <w:rPr>
        <w:b/>
        <w:bCs/>
      </w:rPr>
      <w:t xml:space="preserve">Rec. </w:t>
    </w:r>
    <w:r w:rsidR="00EA447E">
      <w:rPr>
        <w:b/>
        <w:bCs/>
      </w:rPr>
      <w:fldChar w:fldCharType="end"/>
    </w:r>
    <w:r>
      <w:rPr>
        <w:b/>
        <w:bCs/>
      </w:rPr>
      <w:t xml:space="preserve"> </w:t>
    </w:r>
    <w:r>
      <w:rPr>
        <w:b/>
        <w:bCs/>
      </w:rPr>
      <w:fldChar w:fldCharType="begin"/>
    </w:r>
    <w:r>
      <w:rPr>
        <w:b/>
        <w:bCs/>
      </w:rPr>
      <w:instrText>styleref href</w:instrText>
    </w:r>
    <w:r>
      <w:rPr>
        <w:b/>
        <w:bCs/>
      </w:rPr>
      <w:fldChar w:fldCharType="separate"/>
    </w:r>
    <w:r w:rsidR="00EA447E">
      <w:rPr>
        <w:b/>
        <w:bCs/>
        <w:noProof/>
      </w:rPr>
      <w:t>UIT-R  RA.1417-1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A447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A447E" w:rsidRPr="00EA447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A447E">
      <w:rPr>
        <w:b/>
        <w:bCs/>
        <w:noProof/>
      </w:rPr>
      <w:t>UIT-R  RA.1417-1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A447E">
      <w:fldChar w:fldCharType="begin"/>
    </w:r>
    <w:r w:rsidR="00EA447E">
      <w:instrText xml:space="preserve"> DOCPROPERTY "Header" \* MERGEFORMAT </w:instrText>
    </w:r>
    <w:r w:rsidR="00EA447E">
      <w:fldChar w:fldCharType="separate"/>
    </w:r>
    <w:r w:rsidR="00EA447E" w:rsidRPr="00EA447E">
      <w:rPr>
        <w:b/>
        <w:bCs/>
      </w:rPr>
      <w:t xml:space="preserve">Rec. </w:t>
    </w:r>
    <w:r w:rsidR="00EA447E">
      <w:rPr>
        <w:b/>
        <w:bCs/>
      </w:rPr>
      <w:fldChar w:fldCharType="end"/>
    </w:r>
    <w:r>
      <w:rPr>
        <w:b/>
        <w:bCs/>
      </w:rPr>
      <w:t xml:space="preserve"> </w:t>
    </w:r>
    <w:r>
      <w:rPr>
        <w:b/>
        <w:bCs/>
      </w:rPr>
      <w:fldChar w:fldCharType="begin"/>
    </w:r>
    <w:r>
      <w:rPr>
        <w:b/>
        <w:bCs/>
      </w:rPr>
      <w:instrText>styleref href</w:instrText>
    </w:r>
    <w:r>
      <w:rPr>
        <w:b/>
        <w:bCs/>
      </w:rPr>
      <w:fldChar w:fldCharType="separate"/>
    </w:r>
    <w:r w:rsidR="00EA447E">
      <w:rPr>
        <w:b/>
        <w:bCs/>
        <w:noProof/>
      </w:rPr>
      <w:t>UIT-R  RA.1417-1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A447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18C"/>
    <w:rsid w:val="0000418C"/>
    <w:rsid w:val="00057D41"/>
    <w:rsid w:val="00217EBF"/>
    <w:rsid w:val="00242AEE"/>
    <w:rsid w:val="002D76C4"/>
    <w:rsid w:val="00345BC2"/>
    <w:rsid w:val="0052529D"/>
    <w:rsid w:val="00607D68"/>
    <w:rsid w:val="00654080"/>
    <w:rsid w:val="007468DA"/>
    <w:rsid w:val="00930DA5"/>
    <w:rsid w:val="009E00A8"/>
    <w:rsid w:val="00A6617B"/>
    <w:rsid w:val="00AB0DC8"/>
    <w:rsid w:val="00AC7AB9"/>
    <w:rsid w:val="00B44E24"/>
    <w:rsid w:val="00B64ECD"/>
    <w:rsid w:val="00DD6E9F"/>
    <w:rsid w:val="00DF4176"/>
    <w:rsid w:val="00EA44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7EC2DE37-8C49-4CD9-AE7A-D6E0235A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E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6E9F"/>
    <w:pPr>
      <w:keepNext/>
      <w:keepLines/>
      <w:spacing w:before="480"/>
      <w:ind w:left="794" w:hanging="794"/>
      <w:outlineLvl w:val="0"/>
    </w:pPr>
    <w:rPr>
      <w:b/>
    </w:rPr>
  </w:style>
  <w:style w:type="paragraph" w:styleId="Heading2">
    <w:name w:val="heading 2"/>
    <w:basedOn w:val="Heading1"/>
    <w:next w:val="Normal"/>
    <w:qFormat/>
    <w:rsid w:val="00DD6E9F"/>
    <w:pPr>
      <w:spacing w:before="320"/>
      <w:outlineLvl w:val="1"/>
    </w:pPr>
  </w:style>
  <w:style w:type="paragraph" w:styleId="Heading3">
    <w:name w:val="heading 3"/>
    <w:basedOn w:val="Heading1"/>
    <w:next w:val="Normal"/>
    <w:qFormat/>
    <w:rsid w:val="00DD6E9F"/>
    <w:pPr>
      <w:spacing w:before="200"/>
      <w:outlineLvl w:val="2"/>
    </w:pPr>
  </w:style>
  <w:style w:type="paragraph" w:styleId="Heading4">
    <w:name w:val="heading 4"/>
    <w:basedOn w:val="Heading3"/>
    <w:next w:val="Normal"/>
    <w:qFormat/>
    <w:rsid w:val="00DD6E9F"/>
    <w:pPr>
      <w:tabs>
        <w:tab w:val="clear" w:pos="794"/>
        <w:tab w:val="left" w:pos="992"/>
      </w:tabs>
      <w:ind w:left="992" w:hanging="992"/>
      <w:outlineLvl w:val="3"/>
    </w:pPr>
  </w:style>
  <w:style w:type="paragraph" w:styleId="Heading5">
    <w:name w:val="heading 5"/>
    <w:basedOn w:val="Heading4"/>
    <w:next w:val="Normal"/>
    <w:qFormat/>
    <w:rsid w:val="00DD6E9F"/>
    <w:pPr>
      <w:outlineLvl w:val="4"/>
    </w:pPr>
  </w:style>
  <w:style w:type="paragraph" w:styleId="Heading6">
    <w:name w:val="heading 6"/>
    <w:basedOn w:val="Heading4"/>
    <w:next w:val="Normal"/>
    <w:qFormat/>
    <w:rsid w:val="00DD6E9F"/>
    <w:pPr>
      <w:tabs>
        <w:tab w:val="clear" w:pos="992"/>
        <w:tab w:val="clear" w:pos="1191"/>
      </w:tabs>
      <w:ind w:left="1588" w:hanging="1588"/>
      <w:outlineLvl w:val="5"/>
    </w:pPr>
  </w:style>
  <w:style w:type="paragraph" w:styleId="Heading7">
    <w:name w:val="heading 7"/>
    <w:basedOn w:val="Heading6"/>
    <w:next w:val="Normal"/>
    <w:qFormat/>
    <w:rsid w:val="00DD6E9F"/>
    <w:pPr>
      <w:outlineLvl w:val="6"/>
    </w:pPr>
  </w:style>
  <w:style w:type="paragraph" w:styleId="Heading8">
    <w:name w:val="heading 8"/>
    <w:basedOn w:val="Heading6"/>
    <w:next w:val="Normal"/>
    <w:qFormat/>
    <w:rsid w:val="00DD6E9F"/>
    <w:pPr>
      <w:outlineLvl w:val="7"/>
    </w:pPr>
  </w:style>
  <w:style w:type="paragraph" w:styleId="Heading9">
    <w:name w:val="heading 9"/>
    <w:basedOn w:val="Heading6"/>
    <w:next w:val="Normal"/>
    <w:qFormat/>
    <w:rsid w:val="00DD6E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6E9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D6E9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6E9F"/>
  </w:style>
  <w:style w:type="paragraph" w:customStyle="1" w:styleId="Headingb">
    <w:name w:val="Heading_b"/>
    <w:basedOn w:val="Heading3"/>
    <w:next w:val="Normal"/>
    <w:rsid w:val="00DD6E9F"/>
    <w:pPr>
      <w:spacing w:before="160"/>
      <w:ind w:left="0" w:firstLine="0"/>
      <w:outlineLvl w:val="9"/>
    </w:pPr>
  </w:style>
  <w:style w:type="paragraph" w:customStyle="1" w:styleId="Headingi">
    <w:name w:val="Heading_i"/>
    <w:basedOn w:val="Heading3"/>
    <w:next w:val="Normal"/>
    <w:rsid w:val="00DD6E9F"/>
    <w:pPr>
      <w:spacing w:before="160"/>
      <w:ind w:left="0" w:firstLine="0"/>
    </w:pPr>
    <w:rPr>
      <w:b w:val="0"/>
      <w:i/>
    </w:rPr>
  </w:style>
  <w:style w:type="character" w:customStyle="1" w:styleId="href">
    <w:name w:val="href"/>
    <w:basedOn w:val="DefaultParagraphFont"/>
    <w:rsid w:val="00DD6E9F"/>
  </w:style>
  <w:style w:type="paragraph" w:customStyle="1" w:styleId="enumlev1">
    <w:name w:val="enumlev1"/>
    <w:basedOn w:val="Normal"/>
    <w:rsid w:val="00DD6E9F"/>
    <w:pPr>
      <w:spacing w:before="80"/>
      <w:ind w:left="794" w:hanging="794"/>
    </w:pPr>
  </w:style>
  <w:style w:type="paragraph" w:customStyle="1" w:styleId="enumlev2">
    <w:name w:val="enumlev2"/>
    <w:basedOn w:val="enumlev1"/>
    <w:rsid w:val="00DD6E9F"/>
    <w:pPr>
      <w:ind w:left="1191" w:hanging="397"/>
    </w:pPr>
  </w:style>
  <w:style w:type="paragraph" w:customStyle="1" w:styleId="enumlev3">
    <w:name w:val="enumlev3"/>
    <w:basedOn w:val="enumlev2"/>
    <w:rsid w:val="00DD6E9F"/>
    <w:pPr>
      <w:ind w:left="1588"/>
    </w:pPr>
  </w:style>
  <w:style w:type="paragraph" w:customStyle="1" w:styleId="Normalaftertitle">
    <w:name w:val="Normal_after_title"/>
    <w:basedOn w:val="Normal"/>
    <w:next w:val="Normal"/>
    <w:rsid w:val="00DD6E9F"/>
    <w:pPr>
      <w:spacing w:before="320"/>
    </w:pPr>
  </w:style>
  <w:style w:type="paragraph" w:customStyle="1" w:styleId="Note">
    <w:name w:val="Note"/>
    <w:basedOn w:val="Normal"/>
    <w:rsid w:val="00DD6E9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6E9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6E9F"/>
    <w:pPr>
      <w:spacing w:before="240"/>
    </w:pPr>
    <w:rPr>
      <w:sz w:val="22"/>
      <w:lang w:val="es-ES_tradnl"/>
    </w:rPr>
  </w:style>
  <w:style w:type="paragraph" w:customStyle="1" w:styleId="Recref">
    <w:name w:val="Rec_ref"/>
    <w:basedOn w:val="Normal"/>
    <w:next w:val="Recdate"/>
    <w:rsid w:val="00DD6E9F"/>
    <w:pPr>
      <w:jc w:val="center"/>
    </w:pPr>
  </w:style>
  <w:style w:type="paragraph" w:customStyle="1" w:styleId="Recdate">
    <w:name w:val="Rec_date"/>
    <w:basedOn w:val="Recref"/>
    <w:next w:val="Normalaftertitle"/>
    <w:rsid w:val="00DD6E9F"/>
    <w:pPr>
      <w:jc w:val="right"/>
    </w:pPr>
  </w:style>
  <w:style w:type="paragraph" w:customStyle="1" w:styleId="AnnexNoTitle">
    <w:name w:val="Annex_NoTitle"/>
    <w:basedOn w:val="Normal"/>
    <w:next w:val="Normalaftertitle"/>
    <w:rsid w:val="00DD6E9F"/>
    <w:pPr>
      <w:keepNext/>
      <w:keepLines/>
      <w:spacing w:before="480" w:after="80"/>
      <w:jc w:val="center"/>
    </w:pPr>
    <w:rPr>
      <w:b/>
      <w:sz w:val="28"/>
    </w:rPr>
  </w:style>
  <w:style w:type="paragraph" w:customStyle="1" w:styleId="AppendixNoTitle">
    <w:name w:val="Appendix_NoTitle"/>
    <w:basedOn w:val="AnnexNoTitle"/>
    <w:next w:val="Normal"/>
    <w:rsid w:val="00DD6E9F"/>
  </w:style>
  <w:style w:type="paragraph" w:customStyle="1" w:styleId="Tablefin">
    <w:name w:val="Table_fin"/>
    <w:basedOn w:val="Normal"/>
    <w:next w:val="Normal"/>
    <w:rsid w:val="00DD6E9F"/>
    <w:pPr>
      <w:spacing w:before="0"/>
    </w:pPr>
    <w:rPr>
      <w:sz w:val="20"/>
      <w:lang w:val="en-GB"/>
    </w:rPr>
  </w:style>
  <w:style w:type="paragraph" w:customStyle="1" w:styleId="Tablehead">
    <w:name w:val="Table_head"/>
    <w:basedOn w:val="Normal"/>
    <w:next w:val="Normal"/>
    <w:rsid w:val="00DD6E9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6E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D6E9F"/>
    <w:pPr>
      <w:keepNext/>
      <w:spacing w:before="360" w:after="120"/>
      <w:jc w:val="center"/>
    </w:pPr>
  </w:style>
  <w:style w:type="paragraph" w:customStyle="1" w:styleId="Tabletext">
    <w:name w:val="Table_text"/>
    <w:basedOn w:val="Normal"/>
    <w:rsid w:val="00DD6E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6E9F"/>
    <w:pPr>
      <w:tabs>
        <w:tab w:val="clear" w:pos="1191"/>
        <w:tab w:val="clear" w:pos="1588"/>
        <w:tab w:val="clear" w:pos="1985"/>
        <w:tab w:val="center" w:pos="4820"/>
        <w:tab w:val="right" w:pos="9639"/>
      </w:tabs>
    </w:pPr>
  </w:style>
  <w:style w:type="paragraph" w:customStyle="1" w:styleId="Equationlegend">
    <w:name w:val="Equation_legend"/>
    <w:basedOn w:val="NormalIndent"/>
    <w:rsid w:val="00DD6E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6E9F"/>
    <w:pPr>
      <w:ind w:left="794"/>
    </w:pPr>
  </w:style>
  <w:style w:type="paragraph" w:customStyle="1" w:styleId="Figurelegend">
    <w:name w:val="Figure_legend"/>
    <w:basedOn w:val="Normal"/>
    <w:rsid w:val="00DD6E9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D6E9F"/>
    <w:pPr>
      <w:keepNext/>
      <w:keepLines/>
      <w:spacing w:before="480" w:after="80"/>
      <w:jc w:val="center"/>
    </w:pPr>
    <w:rPr>
      <w:caps/>
      <w:sz w:val="18"/>
    </w:rPr>
  </w:style>
  <w:style w:type="paragraph" w:customStyle="1" w:styleId="tocpart">
    <w:name w:val="tocpart"/>
    <w:basedOn w:val="Normal"/>
    <w:rsid w:val="00DD6E9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6E9F"/>
    <w:pPr>
      <w:keepNext/>
      <w:keepLines/>
      <w:spacing w:before="480"/>
      <w:jc w:val="center"/>
    </w:pPr>
    <w:rPr>
      <w:sz w:val="28"/>
    </w:rPr>
  </w:style>
  <w:style w:type="paragraph" w:customStyle="1" w:styleId="Arttitle">
    <w:name w:val="Art_title"/>
    <w:basedOn w:val="Normal"/>
    <w:next w:val="Normalaftertitle"/>
    <w:rsid w:val="00DD6E9F"/>
    <w:pPr>
      <w:keepNext/>
      <w:keepLines/>
      <w:spacing w:before="240"/>
      <w:jc w:val="center"/>
    </w:pPr>
    <w:rPr>
      <w:b/>
      <w:sz w:val="28"/>
    </w:rPr>
  </w:style>
  <w:style w:type="paragraph" w:customStyle="1" w:styleId="Blanc">
    <w:name w:val="Blanc"/>
    <w:basedOn w:val="Normal"/>
    <w:next w:val="Tabletext"/>
    <w:rsid w:val="00DD6E9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6E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D6E9F"/>
    <w:pPr>
      <w:keepNext/>
      <w:keepLines/>
      <w:spacing w:before="160"/>
      <w:ind w:left="794"/>
    </w:pPr>
    <w:rPr>
      <w:i/>
    </w:rPr>
  </w:style>
  <w:style w:type="paragraph" w:customStyle="1" w:styleId="ChapNo">
    <w:name w:val="Chap_No"/>
    <w:basedOn w:val="ArtNo"/>
    <w:next w:val="Chaptitle"/>
    <w:rsid w:val="00DD6E9F"/>
    <w:rPr>
      <w:b/>
    </w:rPr>
  </w:style>
  <w:style w:type="paragraph" w:customStyle="1" w:styleId="Chaptitle">
    <w:name w:val="Chap_title"/>
    <w:basedOn w:val="Arttitle"/>
    <w:next w:val="Normalaftertitle"/>
    <w:rsid w:val="00DD6E9F"/>
  </w:style>
  <w:style w:type="character" w:styleId="FootnoteReference">
    <w:name w:val="footnote reference"/>
    <w:basedOn w:val="DefaultParagraphFont"/>
    <w:semiHidden/>
    <w:rsid w:val="00DD6E9F"/>
    <w:rPr>
      <w:position w:val="6"/>
      <w:sz w:val="18"/>
    </w:rPr>
  </w:style>
  <w:style w:type="paragraph" w:styleId="FootnoteText">
    <w:name w:val="footnote text"/>
    <w:basedOn w:val="Normal"/>
    <w:semiHidden/>
    <w:rsid w:val="00DD6E9F"/>
    <w:pPr>
      <w:keepLines/>
      <w:tabs>
        <w:tab w:val="left" w:pos="255"/>
      </w:tabs>
      <w:ind w:left="255" w:hanging="255"/>
    </w:pPr>
    <w:rPr>
      <w:sz w:val="22"/>
    </w:rPr>
  </w:style>
  <w:style w:type="paragraph" w:styleId="Index1">
    <w:name w:val="index 1"/>
    <w:basedOn w:val="Normal"/>
    <w:next w:val="Normal"/>
    <w:semiHidden/>
    <w:rsid w:val="00DD6E9F"/>
  </w:style>
  <w:style w:type="paragraph" w:styleId="Index2">
    <w:name w:val="index 2"/>
    <w:basedOn w:val="Normal"/>
    <w:next w:val="Normal"/>
    <w:semiHidden/>
    <w:rsid w:val="00DD6E9F"/>
    <w:pPr>
      <w:ind w:left="283"/>
    </w:pPr>
  </w:style>
  <w:style w:type="paragraph" w:styleId="Index3">
    <w:name w:val="index 3"/>
    <w:basedOn w:val="Normal"/>
    <w:next w:val="Normal"/>
    <w:semiHidden/>
    <w:rsid w:val="00DD6E9F"/>
    <w:pPr>
      <w:ind w:left="566"/>
    </w:pPr>
  </w:style>
  <w:style w:type="paragraph" w:styleId="IndexHeading">
    <w:name w:val="index heading"/>
    <w:basedOn w:val="Normal"/>
    <w:next w:val="Index1"/>
    <w:semiHidden/>
    <w:rsid w:val="00DD6E9F"/>
  </w:style>
  <w:style w:type="paragraph" w:customStyle="1" w:styleId="Line">
    <w:name w:val="Line"/>
    <w:basedOn w:val="Normal"/>
    <w:next w:val="Normal"/>
    <w:rsid w:val="00DD6E9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6E9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6E9F"/>
  </w:style>
  <w:style w:type="paragraph" w:customStyle="1" w:styleId="Partref">
    <w:name w:val="Part_ref"/>
    <w:basedOn w:val="Normal"/>
    <w:next w:val="Normal"/>
    <w:rsid w:val="00DD6E9F"/>
    <w:pPr>
      <w:keepNext/>
      <w:keepLines/>
      <w:spacing w:after="280"/>
      <w:jc w:val="center"/>
    </w:pPr>
  </w:style>
  <w:style w:type="paragraph" w:customStyle="1" w:styleId="Parttitle">
    <w:name w:val="Part_title"/>
    <w:basedOn w:val="Normal"/>
    <w:next w:val="Normalaftertitle"/>
    <w:rsid w:val="00DD6E9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6E9F"/>
  </w:style>
  <w:style w:type="paragraph" w:customStyle="1" w:styleId="QuestionNo">
    <w:name w:val="Question_No"/>
    <w:basedOn w:val="RecNo"/>
    <w:next w:val="Normal"/>
    <w:rsid w:val="00DD6E9F"/>
  </w:style>
  <w:style w:type="paragraph" w:customStyle="1" w:styleId="Questionref">
    <w:name w:val="Question_ref"/>
    <w:basedOn w:val="Recref"/>
    <w:next w:val="Questiondate"/>
    <w:rsid w:val="00DD6E9F"/>
  </w:style>
  <w:style w:type="paragraph" w:customStyle="1" w:styleId="Questiontitle">
    <w:name w:val="Question_title"/>
    <w:basedOn w:val="Normal"/>
    <w:next w:val="Questionref"/>
    <w:rsid w:val="00DD6E9F"/>
  </w:style>
  <w:style w:type="paragraph" w:customStyle="1" w:styleId="Reftext">
    <w:name w:val="Ref_text"/>
    <w:basedOn w:val="Normal"/>
    <w:rsid w:val="00DD6E9F"/>
    <w:pPr>
      <w:ind w:left="794" w:hanging="794"/>
    </w:pPr>
    <w:rPr>
      <w:sz w:val="22"/>
    </w:rPr>
  </w:style>
  <w:style w:type="paragraph" w:customStyle="1" w:styleId="Reftitle">
    <w:name w:val="Ref_title"/>
    <w:basedOn w:val="Normal"/>
    <w:next w:val="Reftext"/>
    <w:rsid w:val="00DD6E9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6E9F"/>
  </w:style>
  <w:style w:type="paragraph" w:customStyle="1" w:styleId="RepNo">
    <w:name w:val="Rep_No"/>
    <w:basedOn w:val="RecNo"/>
    <w:next w:val="Reptitle"/>
    <w:rsid w:val="00DD6E9F"/>
  </w:style>
  <w:style w:type="paragraph" w:customStyle="1" w:styleId="Repref">
    <w:name w:val="Rep_ref"/>
    <w:basedOn w:val="Recref"/>
    <w:next w:val="Repdate"/>
    <w:rsid w:val="00DD6E9F"/>
  </w:style>
  <w:style w:type="paragraph" w:customStyle="1" w:styleId="Reptitle">
    <w:name w:val="Rep_title"/>
    <w:basedOn w:val="Rectitle"/>
    <w:next w:val="Repref"/>
    <w:rsid w:val="00DD6E9F"/>
  </w:style>
  <w:style w:type="paragraph" w:customStyle="1" w:styleId="Resdate">
    <w:name w:val="Res_date"/>
    <w:basedOn w:val="Recdate"/>
    <w:next w:val="Normalaftertitle"/>
    <w:rsid w:val="00DD6E9F"/>
  </w:style>
  <w:style w:type="paragraph" w:customStyle="1" w:styleId="ResNo">
    <w:name w:val="Res_No"/>
    <w:basedOn w:val="RecNo"/>
    <w:next w:val="Restitle"/>
    <w:rsid w:val="00DD6E9F"/>
  </w:style>
  <w:style w:type="paragraph" w:customStyle="1" w:styleId="Resref">
    <w:name w:val="Res_ref"/>
    <w:basedOn w:val="Recref"/>
    <w:next w:val="Resdate"/>
    <w:rsid w:val="00DD6E9F"/>
  </w:style>
  <w:style w:type="paragraph" w:customStyle="1" w:styleId="Restitle">
    <w:name w:val="Res_title"/>
    <w:basedOn w:val="Normal"/>
    <w:next w:val="Resref"/>
    <w:rsid w:val="00DD6E9F"/>
    <w:pPr>
      <w:spacing w:before="240"/>
      <w:jc w:val="center"/>
    </w:pPr>
    <w:rPr>
      <w:b/>
      <w:sz w:val="28"/>
    </w:rPr>
  </w:style>
  <w:style w:type="paragraph" w:customStyle="1" w:styleId="SectionNo">
    <w:name w:val="Section_No"/>
    <w:basedOn w:val="Normal"/>
    <w:next w:val="Normal"/>
    <w:rsid w:val="00DD6E9F"/>
  </w:style>
  <w:style w:type="paragraph" w:customStyle="1" w:styleId="Sectiontitle">
    <w:name w:val="Section_title"/>
    <w:basedOn w:val="Normal"/>
    <w:next w:val="Normalaftertitle"/>
    <w:rsid w:val="00DD6E9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6E9F"/>
    <w:pPr>
      <w:tabs>
        <w:tab w:val="clear" w:pos="794"/>
        <w:tab w:val="clear" w:pos="1191"/>
        <w:tab w:val="clear" w:pos="1588"/>
        <w:tab w:val="clear" w:pos="1985"/>
        <w:tab w:val="right" w:pos="9611"/>
      </w:tabs>
    </w:pPr>
    <w:rPr>
      <w:i/>
    </w:rPr>
  </w:style>
  <w:style w:type="paragraph" w:styleId="TOC1">
    <w:name w:val="toc 1"/>
    <w:basedOn w:val="Normal"/>
    <w:semiHidden/>
    <w:rsid w:val="00DD6E9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D6E9F"/>
    <w:pPr>
      <w:tabs>
        <w:tab w:val="clear" w:pos="567"/>
        <w:tab w:val="left" w:pos="1276"/>
      </w:tabs>
      <w:spacing w:before="160"/>
      <w:ind w:left="1276" w:hanging="709"/>
    </w:pPr>
  </w:style>
  <w:style w:type="paragraph" w:styleId="TOC3">
    <w:name w:val="toc 3"/>
    <w:basedOn w:val="TOC2"/>
    <w:semiHidden/>
    <w:rsid w:val="00DD6E9F"/>
    <w:pPr>
      <w:tabs>
        <w:tab w:val="clear" w:pos="1276"/>
        <w:tab w:val="left" w:pos="2155"/>
      </w:tabs>
      <w:ind w:left="2155" w:hanging="879"/>
    </w:pPr>
  </w:style>
  <w:style w:type="paragraph" w:styleId="TOC4">
    <w:name w:val="toc 4"/>
    <w:basedOn w:val="TOC3"/>
    <w:semiHidden/>
    <w:rsid w:val="00DD6E9F"/>
    <w:pPr>
      <w:tabs>
        <w:tab w:val="left" w:pos="3261"/>
      </w:tabs>
      <w:spacing w:before="80"/>
      <w:ind w:left="3261" w:hanging="993"/>
    </w:pPr>
  </w:style>
  <w:style w:type="paragraph" w:styleId="TOC5">
    <w:name w:val="toc 5"/>
    <w:basedOn w:val="TOC4"/>
    <w:semiHidden/>
    <w:rsid w:val="00DD6E9F"/>
  </w:style>
  <w:style w:type="paragraph" w:styleId="TOC6">
    <w:name w:val="toc 6"/>
    <w:basedOn w:val="TOC4"/>
    <w:semiHidden/>
    <w:rsid w:val="00DD6E9F"/>
  </w:style>
  <w:style w:type="paragraph" w:styleId="TOC7">
    <w:name w:val="toc 7"/>
    <w:basedOn w:val="TOC4"/>
    <w:semiHidden/>
    <w:rsid w:val="00DD6E9F"/>
  </w:style>
  <w:style w:type="paragraph" w:styleId="TOC8">
    <w:name w:val="toc 8"/>
    <w:basedOn w:val="TOC4"/>
    <w:semiHidden/>
    <w:rsid w:val="00DD6E9F"/>
  </w:style>
  <w:style w:type="paragraph" w:customStyle="1" w:styleId="Rectitle">
    <w:name w:val="Rec_title"/>
    <w:basedOn w:val="Normal"/>
    <w:next w:val="Recref"/>
    <w:rsid w:val="00DD6E9F"/>
    <w:pPr>
      <w:keepNext/>
      <w:keepLines/>
      <w:spacing w:before="240"/>
      <w:jc w:val="center"/>
    </w:pPr>
    <w:rPr>
      <w:b/>
      <w:sz w:val="28"/>
    </w:rPr>
  </w:style>
  <w:style w:type="paragraph" w:customStyle="1" w:styleId="Annexref">
    <w:name w:val="Annex_ref"/>
    <w:basedOn w:val="Normal"/>
    <w:next w:val="Normalaftertitle"/>
    <w:rsid w:val="00DD6E9F"/>
    <w:pPr>
      <w:keepNext/>
      <w:keepLines/>
      <w:spacing w:after="280"/>
      <w:jc w:val="center"/>
    </w:pPr>
  </w:style>
  <w:style w:type="paragraph" w:customStyle="1" w:styleId="Appendixref">
    <w:name w:val="Appendix_ref"/>
    <w:basedOn w:val="Annexref"/>
    <w:next w:val="Normalaftertitle"/>
    <w:rsid w:val="00DD6E9F"/>
  </w:style>
  <w:style w:type="paragraph" w:customStyle="1" w:styleId="Figuretitle">
    <w:name w:val="Figure_title"/>
    <w:basedOn w:val="Normal"/>
    <w:next w:val="Figure"/>
    <w:rsid w:val="00DD6E9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D6E9F"/>
    <w:pPr>
      <w:keepNext/>
      <w:spacing w:before="0" w:after="120"/>
      <w:jc w:val="center"/>
    </w:pPr>
    <w:rPr>
      <w:b/>
    </w:rPr>
  </w:style>
  <w:style w:type="paragraph" w:customStyle="1" w:styleId="Summary">
    <w:name w:val="Summary"/>
    <w:basedOn w:val="Normal"/>
    <w:next w:val="Normalaftertitle"/>
    <w:autoRedefine/>
    <w:rsid w:val="00DD6E9F"/>
    <w:pPr>
      <w:spacing w:after="480"/>
    </w:pPr>
    <w:rPr>
      <w:sz w:val="22"/>
      <w:lang w:val="es-ES_tradnl"/>
    </w:rPr>
  </w:style>
  <w:style w:type="paragraph" w:customStyle="1" w:styleId="TableLegendNote">
    <w:name w:val="Table_Legend_Note"/>
    <w:basedOn w:val="Tablelegend"/>
    <w:next w:val="Tablelegend"/>
    <w:rsid w:val="00DD6E9F"/>
    <w:pPr>
      <w:ind w:left="-85" w:firstLine="0"/>
    </w:pPr>
    <w:rPr>
      <w:lang w:val="en-US"/>
    </w:rPr>
  </w:style>
  <w:style w:type="paragraph" w:customStyle="1" w:styleId="Figure">
    <w:name w:val="Figure"/>
    <w:basedOn w:val="FigureNo"/>
    <w:next w:val="Normal"/>
    <w:rsid w:val="00DD6E9F"/>
    <w:pPr>
      <w:keepNext w:val="0"/>
      <w:spacing w:before="0" w:after="240"/>
    </w:pPr>
  </w:style>
  <w:style w:type="character" w:customStyle="1" w:styleId="Heading1Char">
    <w:name w:val="Heading 1 Char"/>
    <w:basedOn w:val="DefaultParagraphFont"/>
    <w:link w:val="Heading1"/>
    <w:rsid w:val="0000418C"/>
    <w:rPr>
      <w:b/>
      <w:sz w:val="24"/>
      <w:lang w:val="fr-FR" w:eastAsia="en-US"/>
    </w:rPr>
  </w:style>
  <w:style w:type="character" w:customStyle="1" w:styleId="HeaderChar">
    <w:name w:val="Header Char"/>
    <w:basedOn w:val="DefaultParagraphFont"/>
    <w:link w:val="Header"/>
    <w:rsid w:val="0000418C"/>
    <w:rPr>
      <w:sz w:val="24"/>
      <w:lang w:val="fr-FR" w:eastAsia="en-US"/>
    </w:rPr>
  </w:style>
  <w:style w:type="character" w:styleId="Hyperlink">
    <w:name w:val="Hyperlink"/>
    <w:basedOn w:val="DefaultParagraphFont"/>
    <w:rsid w:val="000041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05E9F-EAFE-4056-8B3F-B050E684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1</Pages>
  <Words>1234</Words>
  <Characters>7204</Characters>
  <Application>Microsoft Office Word</Application>
  <DocSecurity>0</DocSecurity>
  <Lines>379</Lines>
  <Paragraphs>124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Elliott, Linda</dc:creator>
  <cp:keywords/>
  <dc:description/>
  <cp:lastModifiedBy>Gachet, Christelle</cp:lastModifiedBy>
  <cp:revision>10</cp:revision>
  <cp:lastPrinted>2014-09-17T13:59:00Z</cp:lastPrinted>
  <dcterms:created xsi:type="dcterms:W3CDTF">2014-09-17T13:03:00Z</dcterms:created>
  <dcterms:modified xsi:type="dcterms:W3CDTF">2014-09-17T14:01:00Z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