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2D7" w:rsidRPr="00575CB8" w:rsidRDefault="007E12D7" w:rsidP="007E12D7">
      <w:pPr>
        <w:rPr>
          <w:lang w:val="en-US"/>
        </w:rPr>
      </w:pPr>
      <w:bookmarkStart w:id="0" w:name="dbreak"/>
      <w:bookmarkEnd w:id="0"/>
    </w:p>
    <w:p w:rsidR="007E12D7" w:rsidRDefault="007E12D7" w:rsidP="007E12D7"/>
    <w:p w:rsidR="007E12D7" w:rsidRDefault="007E12D7" w:rsidP="007E12D7"/>
    <w:p w:rsidR="007E12D7" w:rsidRDefault="007E12D7" w:rsidP="007E12D7"/>
    <w:p w:rsidR="007E12D7" w:rsidRDefault="007E12D7" w:rsidP="007E12D7"/>
    <w:p w:rsidR="007E12D7" w:rsidRDefault="007E12D7" w:rsidP="007E12D7"/>
    <w:p w:rsidR="007E12D7" w:rsidRDefault="007E12D7" w:rsidP="007E12D7"/>
    <w:p w:rsidR="007E12D7" w:rsidRDefault="007E12D7" w:rsidP="007E12D7"/>
    <w:p w:rsidR="007E12D7" w:rsidRDefault="007E12D7" w:rsidP="007E12D7"/>
    <w:p w:rsidR="007E12D7" w:rsidRDefault="007E12D7" w:rsidP="007E12D7"/>
    <w:p w:rsidR="007E12D7" w:rsidRDefault="007E12D7" w:rsidP="007E12D7"/>
    <w:p w:rsidR="007E12D7" w:rsidRDefault="007E12D7" w:rsidP="007E12D7"/>
    <w:tbl>
      <w:tblPr>
        <w:tblW w:w="10089" w:type="dxa"/>
        <w:tblLook w:val="01E0" w:firstRow="1" w:lastRow="1" w:firstColumn="1" w:lastColumn="1" w:noHBand="0" w:noVBand="0"/>
      </w:tblPr>
      <w:tblGrid>
        <w:gridCol w:w="10089"/>
      </w:tblGrid>
      <w:tr w:rsidR="007E12D7" w:rsidRPr="006C347C" w:rsidTr="001572BA">
        <w:tc>
          <w:tcPr>
            <w:tcW w:w="10089" w:type="dxa"/>
          </w:tcPr>
          <w:p w:rsidR="007E12D7" w:rsidRPr="0010336F" w:rsidRDefault="007E12D7" w:rsidP="001572BA">
            <w:pPr>
              <w:spacing w:before="380" w:line="280" w:lineRule="exact"/>
              <w:jc w:val="right"/>
              <w:rPr>
                <w:rFonts w:ascii="Tahoma" w:hAnsi="Tahoma" w:cs="Tahoma"/>
                <w:b/>
                <w:bCs/>
                <w:iCs/>
                <w:color w:val="243285"/>
                <w:sz w:val="32"/>
                <w:szCs w:val="32"/>
                <w:lang w:val="en-US"/>
              </w:rPr>
            </w:pPr>
          </w:p>
          <w:p w:rsidR="007E12D7" w:rsidRPr="0010336F" w:rsidRDefault="007E12D7" w:rsidP="00224F5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224F5D">
              <w:rPr>
                <w:rFonts w:ascii="Tahoma" w:hAnsi="Tahoma" w:cs="Tahoma"/>
                <w:b/>
                <w:bCs/>
                <w:iCs/>
                <w:color w:val="243285"/>
                <w:sz w:val="36"/>
                <w:szCs w:val="36"/>
                <w:lang w:val="es-ES_tradnl"/>
              </w:rPr>
              <w:t>617-3</w:t>
            </w:r>
          </w:p>
          <w:p w:rsidR="007E12D7" w:rsidRPr="0010336F" w:rsidRDefault="007E12D7" w:rsidP="00224F5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24F5D">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224F5D">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7E12D7" w:rsidRPr="00430373" w:rsidTr="001572BA">
        <w:tc>
          <w:tcPr>
            <w:tcW w:w="10089" w:type="dxa"/>
          </w:tcPr>
          <w:p w:rsidR="007E12D7" w:rsidRPr="00224F5D" w:rsidRDefault="007E12D7" w:rsidP="001572BA">
            <w:pPr>
              <w:spacing w:before="80" w:line="500" w:lineRule="exact"/>
              <w:jc w:val="right"/>
              <w:rPr>
                <w:rFonts w:ascii="Tahoma" w:hAnsi="Tahoma" w:cs="Tahoma"/>
                <w:b/>
                <w:bCs/>
                <w:color w:val="243285"/>
                <w:sz w:val="44"/>
                <w:szCs w:val="44"/>
                <w:lang w:val="es-ES_tradnl"/>
              </w:rPr>
            </w:pPr>
          </w:p>
          <w:p w:rsidR="007E12D7" w:rsidRDefault="00224F5D" w:rsidP="00224F5D">
            <w:pPr>
              <w:spacing w:before="80" w:line="500" w:lineRule="exact"/>
              <w:jc w:val="right"/>
              <w:rPr>
                <w:rFonts w:ascii="Tahoma" w:hAnsi="Tahoma" w:cs="Tahoma"/>
                <w:b/>
                <w:bCs/>
                <w:color w:val="243285"/>
                <w:sz w:val="44"/>
                <w:szCs w:val="44"/>
                <w:lang w:val="es-ES_tradnl"/>
              </w:rPr>
            </w:pPr>
            <w:r w:rsidRPr="00224F5D">
              <w:rPr>
                <w:rFonts w:ascii="Tahoma" w:hAnsi="Tahoma" w:cs="Tahoma"/>
                <w:b/>
                <w:bCs/>
                <w:color w:val="243285"/>
                <w:sz w:val="44"/>
                <w:szCs w:val="44"/>
                <w:lang w:val="es-ES_tradnl"/>
              </w:rPr>
              <w:t>Datos de propagación y técnicas de predicción necesarios para el diseño</w:t>
            </w:r>
            <w:r w:rsidRPr="00224F5D">
              <w:rPr>
                <w:rFonts w:ascii="Tahoma" w:hAnsi="Tahoma" w:cs="Tahoma"/>
                <w:b/>
                <w:bCs/>
                <w:color w:val="243285"/>
                <w:sz w:val="44"/>
                <w:szCs w:val="44"/>
                <w:lang w:val="es-ES_tradnl"/>
              </w:rPr>
              <w:br/>
              <w:t>de sistemas de radioenlaces transhorizonte</w:t>
            </w:r>
            <w:r>
              <w:rPr>
                <w:rFonts w:ascii="Tahoma" w:hAnsi="Tahoma" w:cs="Tahoma"/>
                <w:b/>
                <w:bCs/>
                <w:color w:val="243285"/>
                <w:sz w:val="44"/>
                <w:szCs w:val="44"/>
                <w:lang w:val="es-ES_tradnl"/>
              </w:rPr>
              <w:t xml:space="preserve"> </w:t>
            </w:r>
          </w:p>
          <w:p w:rsidR="007E12D7" w:rsidRPr="00224F5D" w:rsidRDefault="007E12D7" w:rsidP="001572BA">
            <w:pPr>
              <w:spacing w:before="80" w:line="500" w:lineRule="exact"/>
              <w:jc w:val="right"/>
              <w:rPr>
                <w:rFonts w:ascii="Tahoma" w:hAnsi="Tahoma" w:cs="Tahoma"/>
                <w:b/>
                <w:bCs/>
                <w:color w:val="243285"/>
                <w:sz w:val="44"/>
                <w:szCs w:val="44"/>
                <w:lang w:val="es-ES_tradnl"/>
              </w:rPr>
            </w:pPr>
          </w:p>
        </w:tc>
      </w:tr>
      <w:tr w:rsidR="007E12D7" w:rsidRPr="00430373" w:rsidTr="001572BA">
        <w:tc>
          <w:tcPr>
            <w:tcW w:w="10089" w:type="dxa"/>
          </w:tcPr>
          <w:p w:rsidR="007E12D7" w:rsidRPr="0010336F" w:rsidRDefault="007E12D7" w:rsidP="001572BA">
            <w:pPr>
              <w:spacing w:before="80" w:line="280" w:lineRule="exact"/>
              <w:ind w:right="640"/>
              <w:rPr>
                <w:rFonts w:ascii="Tahoma" w:hAnsi="Tahoma" w:cs="Tahoma"/>
                <w:b/>
                <w:bCs/>
                <w:iCs/>
                <w:color w:val="243285"/>
                <w:sz w:val="32"/>
                <w:szCs w:val="32"/>
                <w:lang w:val="es-ES_tradnl"/>
              </w:rPr>
            </w:pPr>
          </w:p>
          <w:p w:rsidR="007E12D7" w:rsidRPr="0010336F" w:rsidRDefault="007E12D7" w:rsidP="001572BA">
            <w:pPr>
              <w:spacing w:before="80" w:line="280" w:lineRule="exact"/>
              <w:ind w:right="640"/>
              <w:rPr>
                <w:rFonts w:ascii="Tahoma" w:hAnsi="Tahoma" w:cs="Tahoma"/>
                <w:b/>
                <w:bCs/>
                <w:iCs/>
                <w:color w:val="243285"/>
                <w:sz w:val="32"/>
                <w:szCs w:val="32"/>
                <w:lang w:val="es-ES_tradnl"/>
              </w:rPr>
            </w:pPr>
          </w:p>
          <w:p w:rsidR="007E12D7" w:rsidRPr="0010336F" w:rsidRDefault="007E12D7" w:rsidP="001572BA">
            <w:pPr>
              <w:spacing w:before="80" w:after="180" w:line="360" w:lineRule="exact"/>
              <w:ind w:right="720"/>
              <w:rPr>
                <w:rFonts w:ascii="Tahoma" w:hAnsi="Tahoma" w:cs="Tahoma"/>
                <w:b/>
                <w:bCs/>
                <w:iCs/>
                <w:color w:val="243285"/>
                <w:sz w:val="36"/>
                <w:szCs w:val="36"/>
                <w:lang w:val="es-ES_tradnl"/>
              </w:rPr>
            </w:pPr>
          </w:p>
          <w:p w:rsidR="007E12D7" w:rsidRPr="0010336F" w:rsidRDefault="007E12D7" w:rsidP="001572B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7E12D7" w:rsidRPr="0010336F" w:rsidRDefault="007E12D7" w:rsidP="001572B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7E12D7" w:rsidRPr="0026666F" w:rsidRDefault="007E12D7" w:rsidP="007E12D7">
      <w:pPr>
        <w:spacing w:before="80"/>
        <w:rPr>
          <w:i/>
          <w:sz w:val="22"/>
          <w:lang w:val="es-ES_tradnl"/>
        </w:rPr>
      </w:pPr>
    </w:p>
    <w:p w:rsidR="007E12D7" w:rsidRPr="0026666F" w:rsidRDefault="007E12D7" w:rsidP="007E12D7">
      <w:pPr>
        <w:spacing w:before="80"/>
        <w:rPr>
          <w:i/>
          <w:sz w:val="22"/>
          <w:lang w:val="es-ES_tradnl"/>
        </w:rPr>
      </w:pPr>
    </w:p>
    <w:p w:rsidR="007E12D7" w:rsidRPr="0026666F" w:rsidRDefault="007E12D7" w:rsidP="007E12D7">
      <w:pPr>
        <w:spacing w:before="80"/>
        <w:rPr>
          <w:i/>
          <w:sz w:val="22"/>
          <w:lang w:val="es-ES_tradnl"/>
        </w:rPr>
      </w:pPr>
    </w:p>
    <w:p w:rsidR="007E12D7" w:rsidRPr="0026666F" w:rsidRDefault="007E12D7" w:rsidP="007E12D7">
      <w:pPr>
        <w:spacing w:before="80"/>
        <w:rPr>
          <w:i/>
          <w:sz w:val="22"/>
          <w:lang w:val="es-ES_tradnl"/>
        </w:rPr>
      </w:pPr>
    </w:p>
    <w:p w:rsidR="007E12D7" w:rsidRPr="0026666F" w:rsidRDefault="007E12D7" w:rsidP="007E12D7">
      <w:pPr>
        <w:spacing w:before="80"/>
        <w:rPr>
          <w:i/>
          <w:sz w:val="22"/>
          <w:lang w:val="es-ES_tradnl"/>
        </w:rPr>
      </w:pPr>
    </w:p>
    <w:p w:rsidR="007E12D7" w:rsidRPr="0026666F" w:rsidRDefault="007E12D7" w:rsidP="007E12D7">
      <w:pPr>
        <w:spacing w:before="80"/>
        <w:rPr>
          <w:i/>
          <w:sz w:val="22"/>
          <w:lang w:val="es-ES_tradnl"/>
        </w:rPr>
      </w:pPr>
    </w:p>
    <w:p w:rsidR="007E12D7" w:rsidRPr="0026666F" w:rsidRDefault="007E12D7" w:rsidP="007E12D7">
      <w:pPr>
        <w:pStyle w:val="Equation"/>
        <w:tabs>
          <w:tab w:val="clear" w:pos="4820"/>
          <w:tab w:val="clear" w:pos="9639"/>
          <w:tab w:val="left" w:pos="1191"/>
          <w:tab w:val="left" w:pos="1588"/>
          <w:tab w:val="left" w:pos="1985"/>
        </w:tabs>
        <w:rPr>
          <w:rFonts w:ascii="Palatino Linotype" w:hAnsi="Palatino Linotype"/>
          <w:lang w:val="es-ES_tradnl"/>
        </w:rPr>
        <w:sectPr w:rsidR="007E12D7" w:rsidRPr="0026666F">
          <w:headerReference w:type="even" r:id="rId6"/>
          <w:headerReference w:type="default" r:id="rId7"/>
          <w:pgSz w:w="11907" w:h="16840" w:code="9"/>
          <w:pgMar w:top="1089" w:right="1089" w:bottom="284" w:left="1089" w:header="567" w:footer="284" w:gutter="0"/>
          <w:pgNumType w:start="1"/>
          <w:cols w:space="720"/>
        </w:sectPr>
      </w:pPr>
    </w:p>
    <w:p w:rsidR="007E12D7" w:rsidRPr="006C718C" w:rsidRDefault="007E12D7" w:rsidP="007E12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E12D7" w:rsidRPr="006C718C" w:rsidRDefault="007E12D7" w:rsidP="007E12D7">
      <w:pPr>
        <w:spacing w:before="180"/>
        <w:rPr>
          <w:sz w:val="20"/>
          <w:lang w:val="es-ES_tradnl"/>
        </w:rPr>
      </w:pPr>
      <w:r w:rsidRPr="006C718C">
        <w:rPr>
          <w:sz w:val="20"/>
          <w:lang w:val="es-ES_tradnl"/>
        </w:rPr>
        <w:t>El Sector de Radiocomunicaciones tiene como cometido gar</w:t>
      </w:r>
      <w:bookmarkStart w:id="2" w:name="_GoBack"/>
      <w:bookmarkEnd w:id="2"/>
      <w:r w:rsidRPr="006C718C">
        <w:rPr>
          <w:sz w:val="20"/>
          <w:lang w:val="es-ES_tradnl"/>
        </w:rPr>
        <w:t>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E12D7" w:rsidRPr="006C718C" w:rsidRDefault="007E12D7" w:rsidP="007E12D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E12D7" w:rsidRPr="00021E8A" w:rsidRDefault="007E12D7" w:rsidP="007E12D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E12D7" w:rsidRPr="00021E8A" w:rsidRDefault="007E12D7" w:rsidP="007E12D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E12D7" w:rsidRPr="007C36CA" w:rsidRDefault="007E12D7" w:rsidP="007E12D7">
      <w:pPr>
        <w:spacing w:before="0"/>
        <w:jc w:val="center"/>
        <w:rPr>
          <w:sz w:val="22"/>
          <w:lang w:val="es-ES_tradnl"/>
        </w:rPr>
      </w:pPr>
    </w:p>
    <w:p w:rsidR="007E12D7" w:rsidRPr="007C36CA" w:rsidRDefault="007E12D7" w:rsidP="007E12D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E12D7" w:rsidRPr="00430373" w:rsidTr="001572BA">
        <w:tc>
          <w:tcPr>
            <w:tcW w:w="9360" w:type="dxa"/>
            <w:gridSpan w:val="2"/>
          </w:tcPr>
          <w:p w:rsidR="007E12D7" w:rsidRPr="00021E8A" w:rsidRDefault="007E12D7" w:rsidP="001572B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E12D7" w:rsidRPr="00763D08"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E12D7" w:rsidRPr="00036EE3" w:rsidTr="001572BA">
        <w:tc>
          <w:tcPr>
            <w:tcW w:w="1140" w:type="dxa"/>
            <w:tcBorders>
              <w:bottom w:val="nil"/>
            </w:tcBorders>
          </w:tcPr>
          <w:p w:rsidR="007E12D7" w:rsidRPr="00036EE3" w:rsidRDefault="007E12D7" w:rsidP="001572BA">
            <w:pPr>
              <w:spacing w:before="180" w:after="100"/>
              <w:ind w:left="57"/>
              <w:rPr>
                <w:b/>
                <w:bCs/>
                <w:sz w:val="20"/>
                <w:lang w:val="en-US"/>
              </w:rPr>
            </w:pPr>
            <w:r w:rsidRPr="00036EE3">
              <w:rPr>
                <w:b/>
                <w:bCs/>
                <w:sz w:val="20"/>
                <w:lang w:val="en-US"/>
              </w:rPr>
              <w:t>Series</w:t>
            </w:r>
          </w:p>
        </w:tc>
        <w:tc>
          <w:tcPr>
            <w:tcW w:w="8220" w:type="dxa"/>
            <w:tcBorders>
              <w:bottom w:val="nil"/>
            </w:tcBorders>
          </w:tcPr>
          <w:p w:rsidR="007E12D7" w:rsidRPr="00036EE3"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E12D7" w:rsidRPr="004532F7" w:rsidTr="001572BA">
        <w:tc>
          <w:tcPr>
            <w:tcW w:w="1140" w:type="dxa"/>
            <w:tcBorders>
              <w:top w:val="nil"/>
              <w:bottom w:val="nil"/>
            </w:tcBorders>
            <w:shd w:val="clear" w:color="auto" w:fill="auto"/>
          </w:tcPr>
          <w:p w:rsidR="007E12D7" w:rsidRPr="004532F7" w:rsidRDefault="007E12D7" w:rsidP="001572B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7E12D7" w:rsidRPr="004532F7"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E12D7" w:rsidRPr="00430373" w:rsidTr="001572BA">
        <w:tc>
          <w:tcPr>
            <w:tcW w:w="1140" w:type="dxa"/>
            <w:tcBorders>
              <w:top w:val="nil"/>
              <w:bottom w:val="nil"/>
            </w:tcBorders>
            <w:shd w:val="clear" w:color="auto" w:fill="auto"/>
          </w:tcPr>
          <w:p w:rsidR="007E12D7" w:rsidRPr="006B22C3" w:rsidRDefault="007E12D7" w:rsidP="001572B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7E12D7" w:rsidRPr="006B22C3"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E12D7" w:rsidRPr="00847DD5" w:rsidTr="001572BA">
        <w:tc>
          <w:tcPr>
            <w:tcW w:w="1140" w:type="dxa"/>
            <w:tcBorders>
              <w:top w:val="nil"/>
              <w:bottom w:val="nil"/>
            </w:tcBorders>
            <w:shd w:val="clear" w:color="auto" w:fill="auto"/>
          </w:tcPr>
          <w:p w:rsidR="007E12D7" w:rsidRPr="00847DD5" w:rsidRDefault="007E12D7" w:rsidP="001572B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7E12D7" w:rsidRPr="00847DD5"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7E12D7" w:rsidRPr="00ED2695" w:rsidTr="001572BA">
        <w:tc>
          <w:tcPr>
            <w:tcW w:w="1140" w:type="dxa"/>
            <w:tcBorders>
              <w:top w:val="nil"/>
              <w:bottom w:val="nil"/>
            </w:tcBorders>
            <w:shd w:val="clear" w:color="auto" w:fill="auto"/>
          </w:tcPr>
          <w:p w:rsidR="007E12D7" w:rsidRPr="00ED2695" w:rsidRDefault="007E12D7" w:rsidP="001572B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E12D7" w:rsidRPr="00021E8A"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E12D7" w:rsidRPr="00366CEE" w:rsidTr="001572BA">
        <w:tc>
          <w:tcPr>
            <w:tcW w:w="1140" w:type="dxa"/>
            <w:tcBorders>
              <w:top w:val="nil"/>
              <w:bottom w:val="nil"/>
            </w:tcBorders>
            <w:shd w:val="clear" w:color="auto" w:fill="auto"/>
          </w:tcPr>
          <w:p w:rsidR="007E12D7" w:rsidRPr="00366CEE" w:rsidRDefault="007E12D7" w:rsidP="001572B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7E12D7" w:rsidRPr="00366CEE" w:rsidRDefault="007E12D7" w:rsidP="001572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7E12D7" w:rsidRPr="00430373" w:rsidTr="001572BA">
        <w:tc>
          <w:tcPr>
            <w:tcW w:w="1140" w:type="dxa"/>
            <w:tcBorders>
              <w:top w:val="nil"/>
              <w:bottom w:val="nil"/>
            </w:tcBorders>
            <w:shd w:val="clear" w:color="auto" w:fill="auto"/>
          </w:tcPr>
          <w:p w:rsidR="007E12D7" w:rsidRPr="0010336F" w:rsidRDefault="007E12D7" w:rsidP="001572B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E12D7" w:rsidRPr="0010336F" w:rsidRDefault="007E12D7" w:rsidP="001572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E12D7" w:rsidRPr="00430373" w:rsidTr="001572BA">
        <w:tc>
          <w:tcPr>
            <w:tcW w:w="1140" w:type="dxa"/>
            <w:tcBorders>
              <w:top w:val="nil"/>
              <w:bottom w:val="nil"/>
            </w:tcBorders>
            <w:shd w:val="clear" w:color="auto" w:fill="F3F3F3"/>
          </w:tcPr>
          <w:p w:rsidR="007E12D7" w:rsidRPr="00366CEE" w:rsidRDefault="007E12D7" w:rsidP="001572BA">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7E12D7" w:rsidRPr="00366CEE" w:rsidRDefault="007E12D7" w:rsidP="001572BA">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7E12D7" w:rsidRPr="00036EE3" w:rsidTr="001572BA">
        <w:tc>
          <w:tcPr>
            <w:tcW w:w="1140" w:type="dxa"/>
            <w:tcBorders>
              <w:top w:val="nil"/>
            </w:tcBorders>
          </w:tcPr>
          <w:p w:rsidR="007E12D7" w:rsidRPr="00036EE3" w:rsidRDefault="007E12D7" w:rsidP="001572BA">
            <w:pPr>
              <w:spacing w:before="30" w:after="30"/>
              <w:ind w:left="57"/>
              <w:jc w:val="left"/>
              <w:rPr>
                <w:b/>
                <w:bCs/>
                <w:sz w:val="20"/>
                <w:lang w:val="en-US"/>
              </w:rPr>
            </w:pPr>
            <w:r w:rsidRPr="00036EE3">
              <w:rPr>
                <w:b/>
                <w:bCs/>
                <w:sz w:val="20"/>
                <w:lang w:val="en-US"/>
              </w:rPr>
              <w:t>RA</w:t>
            </w:r>
          </w:p>
        </w:tc>
        <w:tc>
          <w:tcPr>
            <w:tcW w:w="8220" w:type="dxa"/>
            <w:tcBorders>
              <w:top w:val="nil"/>
            </w:tcBorders>
          </w:tcPr>
          <w:p w:rsidR="007E12D7" w:rsidRPr="00021E8A" w:rsidRDefault="007E12D7" w:rsidP="001572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7E12D7" w:rsidRPr="0043037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RS</w:t>
            </w:r>
          </w:p>
        </w:tc>
        <w:tc>
          <w:tcPr>
            <w:tcW w:w="8220" w:type="dxa"/>
          </w:tcPr>
          <w:p w:rsidR="007E12D7" w:rsidRPr="00021E8A" w:rsidRDefault="007E12D7" w:rsidP="001572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E12D7" w:rsidRPr="00036EE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S</w:t>
            </w:r>
          </w:p>
        </w:tc>
        <w:tc>
          <w:tcPr>
            <w:tcW w:w="8220" w:type="dxa"/>
          </w:tcPr>
          <w:p w:rsidR="007E12D7" w:rsidRPr="00021E8A" w:rsidRDefault="007E12D7" w:rsidP="001572BA">
            <w:pPr>
              <w:spacing w:before="30" w:after="30"/>
              <w:jc w:val="left"/>
              <w:rPr>
                <w:bCs/>
                <w:sz w:val="20"/>
                <w:lang w:val="en-US"/>
              </w:rPr>
            </w:pPr>
            <w:r w:rsidRPr="00021E8A">
              <w:rPr>
                <w:bCs/>
                <w:sz w:val="20"/>
              </w:rPr>
              <w:t>Servicio fijo por satélite</w:t>
            </w:r>
          </w:p>
        </w:tc>
      </w:tr>
      <w:tr w:rsidR="007E12D7" w:rsidRPr="00036EE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SA</w:t>
            </w:r>
          </w:p>
        </w:tc>
        <w:tc>
          <w:tcPr>
            <w:tcW w:w="8220" w:type="dxa"/>
          </w:tcPr>
          <w:p w:rsidR="007E12D7" w:rsidRPr="00021E8A" w:rsidRDefault="007E12D7" w:rsidP="001572BA">
            <w:pPr>
              <w:spacing w:before="30" w:after="30"/>
              <w:jc w:val="left"/>
              <w:rPr>
                <w:bCs/>
                <w:sz w:val="20"/>
                <w:lang w:val="en-US"/>
              </w:rPr>
            </w:pPr>
            <w:r w:rsidRPr="00021E8A">
              <w:rPr>
                <w:bCs/>
                <w:sz w:val="20"/>
              </w:rPr>
              <w:t>Aplicaciones espaciales y meteorología</w:t>
            </w:r>
          </w:p>
        </w:tc>
      </w:tr>
      <w:tr w:rsidR="007E12D7" w:rsidRPr="0043037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SF</w:t>
            </w:r>
          </w:p>
        </w:tc>
        <w:tc>
          <w:tcPr>
            <w:tcW w:w="8220" w:type="dxa"/>
          </w:tcPr>
          <w:p w:rsidR="007E12D7" w:rsidRPr="00021E8A" w:rsidRDefault="007E12D7" w:rsidP="001572B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E12D7" w:rsidRPr="00036EE3" w:rsidTr="001572BA">
        <w:tc>
          <w:tcPr>
            <w:tcW w:w="1140" w:type="dxa"/>
            <w:shd w:val="clear" w:color="auto" w:fill="auto"/>
          </w:tcPr>
          <w:p w:rsidR="007E12D7" w:rsidRPr="001240BC" w:rsidRDefault="007E12D7" w:rsidP="001572BA">
            <w:pPr>
              <w:spacing w:before="30" w:after="30"/>
              <w:ind w:left="57"/>
              <w:jc w:val="left"/>
              <w:rPr>
                <w:b/>
                <w:bCs/>
                <w:sz w:val="20"/>
                <w:lang w:val="en-US"/>
              </w:rPr>
            </w:pPr>
            <w:r w:rsidRPr="001240BC">
              <w:rPr>
                <w:b/>
                <w:bCs/>
                <w:sz w:val="20"/>
                <w:lang w:val="en-US"/>
              </w:rPr>
              <w:t>SM</w:t>
            </w:r>
          </w:p>
        </w:tc>
        <w:tc>
          <w:tcPr>
            <w:tcW w:w="8220" w:type="dxa"/>
            <w:shd w:val="clear" w:color="auto" w:fill="auto"/>
          </w:tcPr>
          <w:p w:rsidR="007E12D7" w:rsidRPr="001240BC" w:rsidRDefault="007E12D7" w:rsidP="001572BA">
            <w:pPr>
              <w:spacing w:before="30" w:after="30"/>
              <w:jc w:val="left"/>
              <w:rPr>
                <w:sz w:val="20"/>
                <w:lang w:val="en-US"/>
              </w:rPr>
            </w:pPr>
            <w:r w:rsidRPr="001240BC">
              <w:rPr>
                <w:sz w:val="20"/>
              </w:rPr>
              <w:t>Gestión del espectro</w:t>
            </w:r>
          </w:p>
        </w:tc>
      </w:tr>
      <w:tr w:rsidR="007E12D7" w:rsidRPr="00036EE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SNG</w:t>
            </w:r>
          </w:p>
        </w:tc>
        <w:tc>
          <w:tcPr>
            <w:tcW w:w="8220" w:type="dxa"/>
          </w:tcPr>
          <w:p w:rsidR="007E12D7" w:rsidRPr="00021E8A" w:rsidRDefault="007E12D7" w:rsidP="001572BA">
            <w:pPr>
              <w:spacing w:before="30" w:after="30"/>
              <w:jc w:val="left"/>
              <w:rPr>
                <w:bCs/>
                <w:sz w:val="20"/>
                <w:lang w:val="en-US"/>
              </w:rPr>
            </w:pPr>
            <w:r w:rsidRPr="00021E8A">
              <w:rPr>
                <w:bCs/>
                <w:sz w:val="20"/>
              </w:rPr>
              <w:t>Periodismo electrónico por satélite</w:t>
            </w:r>
          </w:p>
        </w:tc>
      </w:tr>
      <w:tr w:rsidR="007E12D7" w:rsidRPr="0043037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TF</w:t>
            </w:r>
          </w:p>
        </w:tc>
        <w:tc>
          <w:tcPr>
            <w:tcW w:w="8220" w:type="dxa"/>
          </w:tcPr>
          <w:p w:rsidR="007E12D7" w:rsidRPr="00021E8A" w:rsidRDefault="007E12D7" w:rsidP="001572BA">
            <w:pPr>
              <w:spacing w:before="30" w:after="30"/>
              <w:jc w:val="left"/>
              <w:rPr>
                <w:bCs/>
                <w:sz w:val="20"/>
                <w:lang w:val="es-ES_tradnl"/>
              </w:rPr>
            </w:pPr>
            <w:r w:rsidRPr="00021E8A">
              <w:rPr>
                <w:bCs/>
                <w:sz w:val="20"/>
                <w:lang w:val="es-ES_tradnl"/>
              </w:rPr>
              <w:t>Emisiones de frecuencias patrón y señales horarias</w:t>
            </w:r>
          </w:p>
        </w:tc>
      </w:tr>
      <w:tr w:rsidR="007E12D7" w:rsidRPr="00036EE3" w:rsidTr="001572BA">
        <w:tc>
          <w:tcPr>
            <w:tcW w:w="1140" w:type="dxa"/>
          </w:tcPr>
          <w:p w:rsidR="007E12D7" w:rsidRPr="00036EE3" w:rsidRDefault="007E12D7" w:rsidP="001572BA">
            <w:pPr>
              <w:spacing w:before="30" w:after="30"/>
              <w:ind w:left="57"/>
              <w:jc w:val="left"/>
              <w:rPr>
                <w:b/>
                <w:bCs/>
                <w:sz w:val="20"/>
                <w:lang w:val="en-US"/>
              </w:rPr>
            </w:pPr>
            <w:r w:rsidRPr="00036EE3">
              <w:rPr>
                <w:b/>
                <w:bCs/>
                <w:sz w:val="20"/>
                <w:lang w:val="en-US"/>
              </w:rPr>
              <w:t>V</w:t>
            </w:r>
          </w:p>
        </w:tc>
        <w:tc>
          <w:tcPr>
            <w:tcW w:w="8220" w:type="dxa"/>
          </w:tcPr>
          <w:p w:rsidR="007E12D7" w:rsidRPr="00021E8A" w:rsidRDefault="007E12D7" w:rsidP="001572BA">
            <w:pPr>
              <w:spacing w:before="30" w:after="140"/>
              <w:jc w:val="left"/>
              <w:rPr>
                <w:bCs/>
                <w:sz w:val="20"/>
                <w:lang w:val="en-US"/>
              </w:rPr>
            </w:pPr>
            <w:r w:rsidRPr="00021E8A">
              <w:rPr>
                <w:bCs/>
                <w:sz w:val="20"/>
              </w:rPr>
              <w:t>Vocabulario y cuestiones afines</w:t>
            </w:r>
          </w:p>
        </w:tc>
      </w:tr>
    </w:tbl>
    <w:p w:rsidR="007E12D7" w:rsidRPr="00036EE3" w:rsidRDefault="007E12D7" w:rsidP="007E12D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E12D7" w:rsidTr="001572BA">
        <w:tc>
          <w:tcPr>
            <w:tcW w:w="720" w:type="dxa"/>
          </w:tcPr>
          <w:p w:rsidR="007E12D7" w:rsidRDefault="007E12D7" w:rsidP="001572B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E12D7" w:rsidRPr="00430373" w:rsidTr="001572BA">
        <w:tc>
          <w:tcPr>
            <w:tcW w:w="9360" w:type="dxa"/>
          </w:tcPr>
          <w:p w:rsidR="007E12D7" w:rsidRPr="00763D08" w:rsidRDefault="007E12D7" w:rsidP="001572B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7E12D7" w:rsidRPr="00763D08" w:rsidRDefault="007E12D7" w:rsidP="007E12D7">
      <w:pPr>
        <w:spacing w:before="0"/>
        <w:jc w:val="center"/>
        <w:rPr>
          <w:sz w:val="22"/>
          <w:lang w:val="es-ES_tradnl"/>
        </w:rPr>
      </w:pPr>
    </w:p>
    <w:p w:rsidR="007E12D7" w:rsidRPr="00763D08" w:rsidRDefault="007E12D7" w:rsidP="007E12D7">
      <w:pPr>
        <w:spacing w:before="60"/>
        <w:jc w:val="right"/>
        <w:rPr>
          <w:i/>
          <w:iCs/>
          <w:sz w:val="20"/>
          <w:lang w:val="es-ES_tradnl"/>
        </w:rPr>
      </w:pPr>
      <w:r w:rsidRPr="00763D08">
        <w:rPr>
          <w:i/>
          <w:iCs/>
          <w:sz w:val="20"/>
          <w:lang w:val="es-ES_tradnl"/>
        </w:rPr>
        <w:t>Publicación electrónica</w:t>
      </w:r>
    </w:p>
    <w:p w:rsidR="007E12D7" w:rsidRPr="00763D08" w:rsidRDefault="007E12D7" w:rsidP="007E12D7">
      <w:pPr>
        <w:spacing w:before="0" w:after="40"/>
        <w:jc w:val="right"/>
        <w:rPr>
          <w:sz w:val="20"/>
          <w:lang w:val="es-ES_tradnl"/>
        </w:rPr>
      </w:pPr>
      <w:r w:rsidRPr="00763D08">
        <w:rPr>
          <w:sz w:val="20"/>
          <w:lang w:val="es-ES_tradnl"/>
        </w:rPr>
        <w:t>Ginebra, 20</w:t>
      </w:r>
      <w:r>
        <w:rPr>
          <w:sz w:val="20"/>
          <w:lang w:val="es-ES_tradnl"/>
        </w:rPr>
        <w:t>14</w:t>
      </w:r>
    </w:p>
    <w:p w:rsidR="007E12D7" w:rsidRPr="00763D08" w:rsidRDefault="007E12D7" w:rsidP="007E12D7">
      <w:pPr>
        <w:spacing w:before="0"/>
        <w:jc w:val="center"/>
        <w:rPr>
          <w:sz w:val="22"/>
          <w:lang w:val="es-ES_tradnl"/>
        </w:rPr>
      </w:pPr>
    </w:p>
    <w:p w:rsidR="007E12D7" w:rsidRPr="00763D08" w:rsidRDefault="007E12D7" w:rsidP="007E12D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7E12D7" w:rsidRPr="006C718C" w:rsidRDefault="007E12D7" w:rsidP="007E12D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E12D7" w:rsidRPr="006C718C" w:rsidRDefault="007E12D7" w:rsidP="007E12D7">
      <w:pPr>
        <w:spacing w:before="160"/>
        <w:rPr>
          <w:i/>
          <w:sz w:val="20"/>
          <w:highlight w:val="yellow"/>
          <w:lang w:val="es-ES_tradnl"/>
        </w:rPr>
        <w:sectPr w:rsidR="007E12D7"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7E12D7" w:rsidRPr="006C347C" w:rsidRDefault="007E12D7" w:rsidP="007E12D7">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617-3</w:t>
      </w:r>
      <w:r w:rsidR="00951E53" w:rsidRPr="00430373">
        <w:rPr>
          <w:rStyle w:val="FootnoteReference"/>
          <w:lang w:val="es-ES_tradnl"/>
        </w:rPr>
        <w:footnoteReference w:customMarkFollows="1" w:id="1"/>
        <w:t>*</w:t>
      </w:r>
    </w:p>
    <w:p w:rsidR="007E12D7" w:rsidRPr="00EF4CFD" w:rsidRDefault="007E12D7" w:rsidP="007E12D7">
      <w:pPr>
        <w:pStyle w:val="Rectitle"/>
        <w:rPr>
          <w:lang w:val="es-ES_tradnl"/>
        </w:rPr>
      </w:pPr>
      <w:r w:rsidRPr="00EF4CFD">
        <w:rPr>
          <w:lang w:val="es-ES_tradnl"/>
        </w:rPr>
        <w:t>Datos de propagación y técnicas de predicción necesarios para el diseño</w:t>
      </w:r>
      <w:r w:rsidRPr="00EF4CFD">
        <w:rPr>
          <w:lang w:val="es-ES_tradnl"/>
        </w:rPr>
        <w:br/>
        <w:t>de sistemas de radioenlaces transhorizonte</w:t>
      </w:r>
    </w:p>
    <w:p w:rsidR="007E12D7" w:rsidRPr="00EF4CFD" w:rsidRDefault="007E12D7" w:rsidP="007E12D7">
      <w:pPr>
        <w:pStyle w:val="Recref"/>
        <w:rPr>
          <w:lang w:val="es-ES_tradnl"/>
        </w:rPr>
      </w:pPr>
      <w:r w:rsidRPr="00EF4CFD">
        <w:rPr>
          <w:lang w:val="es-ES_tradnl"/>
        </w:rPr>
        <w:t>(Cuestión UIT-R 205/3)</w:t>
      </w:r>
    </w:p>
    <w:p w:rsidR="007E12D7" w:rsidRPr="00EF4CFD" w:rsidRDefault="007E12D7" w:rsidP="007E12D7">
      <w:pPr>
        <w:pStyle w:val="Recdate"/>
        <w:rPr>
          <w:lang w:val="es-ES_tradnl"/>
        </w:rPr>
      </w:pPr>
      <w:r w:rsidRPr="00EF4CFD">
        <w:rPr>
          <w:lang w:val="es-ES_tradnl"/>
        </w:rPr>
        <w:t>(1986-1992-2012-2013)</w:t>
      </w:r>
    </w:p>
    <w:p w:rsidR="007E12D7" w:rsidRPr="00EF4CFD" w:rsidRDefault="007E12D7" w:rsidP="007E12D7">
      <w:pPr>
        <w:pStyle w:val="Normalaftertitle0"/>
        <w:rPr>
          <w:lang w:val="es-ES_tradnl"/>
        </w:rPr>
      </w:pPr>
      <w:r w:rsidRPr="00EF4CFD">
        <w:rPr>
          <w:lang w:val="es-ES_tradnl"/>
        </w:rPr>
        <w:t>La Asamblea de Radiocomunicaciones de la UIT,</w:t>
      </w:r>
    </w:p>
    <w:p w:rsidR="007E12D7" w:rsidRPr="00EF4CFD" w:rsidRDefault="007E12D7" w:rsidP="007E12D7">
      <w:pPr>
        <w:pStyle w:val="Call"/>
        <w:rPr>
          <w:lang w:val="es-ES_tradnl"/>
        </w:rPr>
      </w:pPr>
      <w:r w:rsidRPr="00EF4CFD">
        <w:rPr>
          <w:lang w:val="es-ES_tradnl"/>
        </w:rPr>
        <w:t>considerando</w:t>
      </w:r>
    </w:p>
    <w:p w:rsidR="007E12D7" w:rsidRPr="00EF4CFD" w:rsidRDefault="007E12D7" w:rsidP="007E12D7">
      <w:pPr>
        <w:rPr>
          <w:lang w:val="es-ES_tradnl"/>
        </w:rPr>
      </w:pPr>
      <w:r w:rsidRPr="00FB406E">
        <w:rPr>
          <w:i/>
          <w:iCs/>
          <w:lang w:val="es-ES_tradnl"/>
        </w:rPr>
        <w:t>a)</w:t>
      </w:r>
      <w:r w:rsidRPr="00EF4CFD">
        <w:rPr>
          <w:lang w:val="es-ES_tradnl"/>
        </w:rPr>
        <w:tab/>
        <w:t>que para la planificación adecuada de los sistemas de radioenlaces transhorizonte es necesario disponer de datos y métodos de predicción de la propagación adecuados;</w:t>
      </w:r>
    </w:p>
    <w:p w:rsidR="007E12D7" w:rsidRPr="00EF4CFD" w:rsidRDefault="007E12D7" w:rsidP="00FB406E">
      <w:pPr>
        <w:rPr>
          <w:lang w:val="es-ES_tradnl"/>
        </w:rPr>
      </w:pPr>
      <w:r w:rsidRPr="00FB406E">
        <w:rPr>
          <w:i/>
          <w:iCs/>
          <w:lang w:val="es-ES_tradnl"/>
        </w:rPr>
        <w:t>b)</w:t>
      </w:r>
      <w:r w:rsidRPr="00EF4CFD">
        <w:rPr>
          <w:lang w:val="es-ES_tradnl"/>
        </w:rPr>
        <w:tab/>
        <w:t xml:space="preserve">que se han </w:t>
      </w:r>
      <w:r w:rsidRPr="00430373">
        <w:rPr>
          <w:lang w:val="es-ES_tradnl"/>
        </w:rPr>
        <w:t>elaborado</w:t>
      </w:r>
      <w:r w:rsidRPr="00EF4CFD">
        <w:rPr>
          <w:lang w:val="es-ES_tradnl"/>
        </w:rPr>
        <w:t xml:space="preserve"> métodos que permiten la predicción de la mayoría de los parámetros de propagación importantes que afectan a la planificación de los sistemas de radioenlaces transhorizonte;</w:t>
      </w:r>
    </w:p>
    <w:p w:rsidR="007E12D7" w:rsidRPr="00EF4CFD" w:rsidRDefault="007E12D7" w:rsidP="007E12D7">
      <w:pPr>
        <w:rPr>
          <w:lang w:val="es-ES_tradnl"/>
        </w:rPr>
      </w:pPr>
      <w:r w:rsidRPr="00FB406E">
        <w:rPr>
          <w:i/>
          <w:iCs/>
          <w:lang w:val="es-ES_tradnl"/>
        </w:rPr>
        <w:t>c)</w:t>
      </w:r>
      <w:r w:rsidRPr="00EF4CFD">
        <w:rPr>
          <w:lang w:val="es-ES_tradnl"/>
        </w:rPr>
        <w:tab/>
        <w:t>que, en la medida de lo posible, se han probado estos métodos comparándolos con los datos medidos disponibles y se ha demostrado que con ellos se obtiene una precisión compatible con la variabilidad natural de los fenómenos de propagación y que es adecuada para la mayoría de las aplicaciones actuales en la planificación de los sistemas,</w:t>
      </w:r>
    </w:p>
    <w:p w:rsidR="007E12D7" w:rsidRPr="00EF4CFD" w:rsidRDefault="007E12D7" w:rsidP="007E12D7">
      <w:pPr>
        <w:pStyle w:val="Call"/>
        <w:rPr>
          <w:b/>
          <w:lang w:val="es-ES_tradnl"/>
        </w:rPr>
      </w:pPr>
      <w:r w:rsidRPr="00EF4CFD">
        <w:rPr>
          <w:lang w:val="es-ES_tradnl"/>
        </w:rPr>
        <w:t>recomienda</w:t>
      </w:r>
    </w:p>
    <w:p w:rsidR="007E12D7" w:rsidRPr="00EF4CFD" w:rsidRDefault="007E12D7" w:rsidP="007E12D7">
      <w:pPr>
        <w:rPr>
          <w:lang w:val="es-ES_tradnl"/>
        </w:rPr>
      </w:pPr>
      <w:r w:rsidRPr="00EF4CFD">
        <w:rPr>
          <w:lang w:val="es-ES_tradnl"/>
        </w:rPr>
        <w:tab/>
        <w:t>que se adopten las técnicas y métodos de predicción expuestos en el anexo 1 para la planificación de los sistemas de radioenlaces transhorizonte, dentro de las gamas respectivas de los parámetros indicados.</w:t>
      </w:r>
    </w:p>
    <w:p w:rsidR="007E12D7" w:rsidRPr="00EF4CFD" w:rsidRDefault="007E12D7" w:rsidP="007E12D7">
      <w:pPr>
        <w:rPr>
          <w:lang w:val="es-ES_tradnl"/>
        </w:rPr>
      </w:pPr>
    </w:p>
    <w:p w:rsidR="007E12D7" w:rsidRPr="00EF4CFD" w:rsidRDefault="007E12D7" w:rsidP="007E12D7">
      <w:pPr>
        <w:spacing w:before="0"/>
        <w:rPr>
          <w:lang w:val="es-ES_tradnl"/>
        </w:rPr>
      </w:pPr>
    </w:p>
    <w:p w:rsidR="007E12D7" w:rsidRPr="00EF4CFD" w:rsidRDefault="007E12D7" w:rsidP="007E12D7">
      <w:pPr>
        <w:pStyle w:val="AnnexNoTitle"/>
        <w:rPr>
          <w:lang w:val="es-ES_tradnl"/>
        </w:rPr>
      </w:pPr>
      <w:r w:rsidRPr="00EF4CFD">
        <w:rPr>
          <w:lang w:val="es-ES_tradnl"/>
        </w:rPr>
        <w:t>Anexo 1</w:t>
      </w:r>
    </w:p>
    <w:p w:rsidR="007E12D7" w:rsidRPr="00EF4CFD" w:rsidRDefault="007E12D7" w:rsidP="007E12D7">
      <w:pPr>
        <w:pStyle w:val="Heading1"/>
        <w:rPr>
          <w:lang w:val="es-ES_tradnl"/>
        </w:rPr>
      </w:pPr>
      <w:r w:rsidRPr="00EF4CFD">
        <w:rPr>
          <w:lang w:val="es-ES_tradnl"/>
        </w:rPr>
        <w:t>1</w:t>
      </w:r>
      <w:r w:rsidRPr="00EF4CFD">
        <w:rPr>
          <w:lang w:val="es-ES_tradnl"/>
        </w:rPr>
        <w:tab/>
        <w:t>Introducción</w:t>
      </w:r>
    </w:p>
    <w:p w:rsidR="007E12D7" w:rsidRPr="00EF4CFD" w:rsidRDefault="007E12D7" w:rsidP="007E12D7">
      <w:pPr>
        <w:rPr>
          <w:lang w:val="es-ES_tradnl"/>
        </w:rPr>
      </w:pPr>
      <w:r w:rsidRPr="00EF4CFD">
        <w:rPr>
          <w:lang w:val="es-ES_tradnl"/>
        </w:rPr>
        <w:t>Los únicos mecanismos de propagación radioeléctrica más allá del horizonte que se producen permanentemente en frecuencias superiores a 30 MHz son los de difracción en la superficie de la Tierra y de dispersión causada por irregularidades atmosféricas. En el caso de las señales difractadas, la atenuación aumenta muy rápidamente con la distancia y con la frecuencia y, en definitiva, el mecanismo principal es la dispersión troposférica. Ambos mecanismos pueden utilizarse para establecer sistemas de radiocomunicación «transhorizonte». Debido a la diferencia entre los dos mecanismos, es preciso considerar por separado los trayectos por difracción y dispersión troposférica para la predicción de la pérdida de transmisión.</w:t>
      </w:r>
    </w:p>
    <w:p w:rsidR="007E12D7" w:rsidRPr="00EF4CFD" w:rsidRDefault="007E12D7" w:rsidP="007E12D7">
      <w:pPr>
        <w:rPr>
          <w:lang w:val="es-ES_tradnl"/>
        </w:rPr>
      </w:pPr>
      <w:r w:rsidRPr="00EF4CFD">
        <w:rPr>
          <w:lang w:val="es-ES_tradnl"/>
        </w:rPr>
        <w:t>Este Anexo se refiere al diseño de sistemas de radioenlaces transhorizonte. Uno de los objetivos es presentar de forma concisa métodos sencillos para predecir las distribuciones anuales y del mes más desfavorable de las pérdidas de transmisión debidas a dispersión troposférica, así como información relativa a sus límites de validez. Otro objetivo de este anexo es presentar otras informaciones y técnicas que pueden recomendarse para la planificación de los sistemas transhorizonte.</w:t>
      </w:r>
    </w:p>
    <w:p w:rsidR="007E12D7" w:rsidRPr="00EF4CFD" w:rsidRDefault="007E12D7" w:rsidP="008F3977">
      <w:pPr>
        <w:pStyle w:val="Heading1"/>
        <w:rPr>
          <w:lang w:val="es-ES_tradnl"/>
        </w:rPr>
      </w:pPr>
      <w:r w:rsidRPr="00EF4CFD">
        <w:rPr>
          <w:lang w:val="es-ES_tradnl"/>
        </w:rPr>
        <w:lastRenderedPageBreak/>
        <w:t>2</w:t>
      </w:r>
      <w:r w:rsidRPr="00EF4CFD">
        <w:rPr>
          <w:lang w:val="es-ES_tradnl"/>
        </w:rPr>
        <w:tab/>
        <w:t>Productos digitales integrales</w:t>
      </w:r>
    </w:p>
    <w:p w:rsidR="007E12D7" w:rsidRPr="00EF4CFD" w:rsidRDefault="007E12D7" w:rsidP="007E12D7">
      <w:pPr>
        <w:tabs>
          <w:tab w:val="clear" w:pos="794"/>
          <w:tab w:val="clear" w:pos="1191"/>
          <w:tab w:val="clear" w:pos="1588"/>
          <w:tab w:val="clear" w:pos="1985"/>
          <w:tab w:val="left" w:pos="1134"/>
          <w:tab w:val="left" w:pos="1871"/>
          <w:tab w:val="left" w:pos="2268"/>
        </w:tabs>
        <w:jc w:val="left"/>
        <w:rPr>
          <w:lang w:val="es-ES_tradnl"/>
        </w:rPr>
      </w:pPr>
      <w:r w:rsidRPr="00EF4CFD">
        <w:rPr>
          <w:lang w:val="es-ES_tradnl"/>
        </w:rPr>
        <w:t xml:space="preserve">La carpeta TropoClim.txt es una carpeta ASCII que facilita la identificación de las distintas zonas climáticas en términos de un valor entero, y está disponible en la carpeta </w:t>
      </w:r>
      <w:hyperlink r:id="rId12" w:history="1">
        <w:r w:rsidRPr="00EF4CFD">
          <w:rPr>
            <w:rStyle w:val="Hyperlink"/>
            <w:lang w:val="es-ES_tradnl"/>
          </w:rPr>
          <w:t>R-REC-P.617-3-201309-I!!ZIP-E</w:t>
        </w:r>
      </w:hyperlink>
      <w:r w:rsidRPr="00EF4CFD">
        <w:rPr>
          <w:lang w:val="es-ES_tradnl"/>
        </w:rPr>
        <w:t>. El dato se representa como una rejilla de valores de latitud/longitud en el formato «normalizado» del UIT-R. El formato de dato es el siguiente:</w:t>
      </w:r>
    </w:p>
    <w:p w:rsidR="007E12D7" w:rsidRPr="00EF4CFD" w:rsidRDefault="007E12D7" w:rsidP="0046176D">
      <w:pPr>
        <w:pStyle w:val="TableNo"/>
        <w:rPr>
          <w:caps/>
          <w:lang w:val="es-ES_tradnl"/>
        </w:rPr>
      </w:pPr>
      <w:r w:rsidRPr="00EF4CFD">
        <w:rPr>
          <w:lang w:val="es-ES_tradnl"/>
        </w:rPr>
        <w:t xml:space="preserve">CUADRO </w:t>
      </w:r>
      <w:r w:rsidRPr="00EF4CFD">
        <w:rPr>
          <w:caps/>
          <w:lang w:val="es-ES_tradnl"/>
        </w:rPr>
        <w:t>1</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559"/>
        <w:gridCol w:w="992"/>
        <w:gridCol w:w="1418"/>
        <w:gridCol w:w="1559"/>
        <w:gridCol w:w="1275"/>
      </w:tblGrid>
      <w:tr w:rsidR="007E12D7" w:rsidRPr="00EF4CFD" w:rsidTr="002B636E">
        <w:trPr>
          <w:jc w:val="center"/>
        </w:trPr>
        <w:tc>
          <w:tcPr>
            <w:tcW w:w="1418" w:type="dxa"/>
          </w:tcPr>
          <w:p w:rsidR="007E12D7" w:rsidRPr="00EF4CFD" w:rsidRDefault="007E12D7" w:rsidP="0046176D">
            <w:pPr>
              <w:pStyle w:val="Tablehead"/>
              <w:rPr>
                <w:lang w:val="es-ES_tradnl"/>
              </w:rPr>
            </w:pPr>
            <w:r w:rsidRPr="00EF4CFD">
              <w:rPr>
                <w:lang w:val="es-ES_tradnl"/>
              </w:rPr>
              <w:t>Origen</w:t>
            </w:r>
          </w:p>
        </w:tc>
        <w:tc>
          <w:tcPr>
            <w:tcW w:w="3827" w:type="dxa"/>
            <w:gridSpan w:val="3"/>
          </w:tcPr>
          <w:p w:rsidR="007E12D7" w:rsidRPr="00EF4CFD" w:rsidRDefault="007E12D7" w:rsidP="0046176D">
            <w:pPr>
              <w:pStyle w:val="Tablehead"/>
              <w:rPr>
                <w:lang w:val="es-ES_tradnl"/>
              </w:rPr>
            </w:pPr>
            <w:r w:rsidRPr="00EF4CFD">
              <w:rPr>
                <w:lang w:val="es-ES_tradnl"/>
              </w:rPr>
              <w:t>Latitud (filas)</w:t>
            </w:r>
          </w:p>
        </w:tc>
        <w:tc>
          <w:tcPr>
            <w:tcW w:w="4252" w:type="dxa"/>
            <w:gridSpan w:val="3"/>
          </w:tcPr>
          <w:p w:rsidR="007E12D7" w:rsidRPr="00EF4CFD" w:rsidRDefault="007E12D7" w:rsidP="0046176D">
            <w:pPr>
              <w:pStyle w:val="Tablehead"/>
              <w:rPr>
                <w:lang w:val="es-ES_tradnl"/>
              </w:rPr>
            </w:pPr>
            <w:r w:rsidRPr="00EF4CFD">
              <w:rPr>
                <w:lang w:val="es-ES_tradnl"/>
              </w:rPr>
              <w:t>Longitud (columnas)</w:t>
            </w:r>
          </w:p>
        </w:tc>
      </w:tr>
      <w:tr w:rsidR="0046176D" w:rsidRPr="00EF4CFD" w:rsidTr="002B636E">
        <w:trPr>
          <w:jc w:val="center"/>
        </w:trPr>
        <w:tc>
          <w:tcPr>
            <w:tcW w:w="1418" w:type="dxa"/>
          </w:tcPr>
          <w:p w:rsidR="007E12D7" w:rsidRPr="00EF4CFD" w:rsidRDefault="007E12D7" w:rsidP="0046176D">
            <w:pPr>
              <w:pStyle w:val="Tabletext"/>
              <w:jc w:val="center"/>
              <w:rPr>
                <w:lang w:val="es-ES_tradnl"/>
              </w:rPr>
            </w:pPr>
          </w:p>
        </w:tc>
        <w:tc>
          <w:tcPr>
            <w:tcW w:w="1276" w:type="dxa"/>
          </w:tcPr>
          <w:p w:rsidR="007E12D7" w:rsidRPr="00EF4CFD" w:rsidRDefault="007E12D7" w:rsidP="0046176D">
            <w:pPr>
              <w:pStyle w:val="Tabletext"/>
              <w:jc w:val="center"/>
              <w:rPr>
                <w:lang w:val="es-ES_tradnl"/>
              </w:rPr>
            </w:pPr>
            <w:r w:rsidRPr="00EF4CFD">
              <w:rPr>
                <w:lang w:val="es-ES_tradnl"/>
              </w:rPr>
              <w:t>Primera fila (Nº)</w:t>
            </w:r>
          </w:p>
        </w:tc>
        <w:tc>
          <w:tcPr>
            <w:tcW w:w="1559" w:type="dxa"/>
          </w:tcPr>
          <w:p w:rsidR="007E12D7" w:rsidRPr="00EF4CFD" w:rsidRDefault="007E12D7" w:rsidP="0046176D">
            <w:pPr>
              <w:pStyle w:val="Tabletext"/>
              <w:jc w:val="center"/>
              <w:rPr>
                <w:lang w:val="es-ES_tradnl"/>
              </w:rPr>
            </w:pPr>
            <w:r w:rsidRPr="00EF4CFD">
              <w:rPr>
                <w:lang w:val="es-ES_tradnl"/>
              </w:rPr>
              <w:t>Espaciamiento</w:t>
            </w:r>
          </w:p>
          <w:p w:rsidR="007E12D7" w:rsidRPr="00EF4CFD" w:rsidRDefault="007E12D7" w:rsidP="0046176D">
            <w:pPr>
              <w:pStyle w:val="Tabletext"/>
              <w:jc w:val="center"/>
              <w:rPr>
                <w:lang w:val="es-ES_tradnl"/>
              </w:rPr>
            </w:pPr>
            <w:r w:rsidRPr="00EF4CFD">
              <w:rPr>
                <w:lang w:val="es-ES_tradnl"/>
              </w:rPr>
              <w:t>(grados)</w:t>
            </w:r>
          </w:p>
        </w:tc>
        <w:tc>
          <w:tcPr>
            <w:tcW w:w="992" w:type="dxa"/>
          </w:tcPr>
          <w:p w:rsidR="007E12D7" w:rsidRPr="00EF4CFD" w:rsidRDefault="007E12D7" w:rsidP="0046176D">
            <w:pPr>
              <w:pStyle w:val="Tabletext"/>
              <w:jc w:val="center"/>
              <w:rPr>
                <w:lang w:val="es-ES_tradnl"/>
              </w:rPr>
            </w:pPr>
            <w:r w:rsidRPr="00EF4CFD">
              <w:rPr>
                <w:lang w:val="es-ES_tradnl"/>
              </w:rPr>
              <w:t>Número de filas</w:t>
            </w:r>
          </w:p>
        </w:tc>
        <w:tc>
          <w:tcPr>
            <w:tcW w:w="1418" w:type="dxa"/>
          </w:tcPr>
          <w:p w:rsidR="007E12D7" w:rsidRPr="00EF4CFD" w:rsidRDefault="007E12D7" w:rsidP="0046176D">
            <w:pPr>
              <w:pStyle w:val="Tabletext"/>
              <w:jc w:val="center"/>
              <w:rPr>
                <w:lang w:val="es-ES_tradnl"/>
              </w:rPr>
            </w:pPr>
            <w:r w:rsidRPr="00EF4CFD">
              <w:rPr>
                <w:lang w:val="es-ES_tradnl"/>
              </w:rPr>
              <w:t>Primera</w:t>
            </w:r>
          </w:p>
          <w:p w:rsidR="007E12D7" w:rsidRPr="00EF4CFD" w:rsidRDefault="007E12D7" w:rsidP="0046176D">
            <w:pPr>
              <w:pStyle w:val="Tabletext"/>
              <w:jc w:val="center"/>
              <w:rPr>
                <w:lang w:val="es-ES_tradnl"/>
              </w:rPr>
            </w:pPr>
            <w:r w:rsidRPr="00EF4CFD">
              <w:rPr>
                <w:lang w:val="es-ES_tradnl"/>
              </w:rPr>
              <w:t>columna (°E)</w:t>
            </w:r>
          </w:p>
        </w:tc>
        <w:tc>
          <w:tcPr>
            <w:tcW w:w="1559" w:type="dxa"/>
          </w:tcPr>
          <w:p w:rsidR="007E12D7" w:rsidRPr="00EF4CFD" w:rsidRDefault="007E12D7" w:rsidP="0046176D">
            <w:pPr>
              <w:pStyle w:val="Tabletext"/>
              <w:jc w:val="center"/>
              <w:rPr>
                <w:lang w:val="es-ES_tradnl"/>
              </w:rPr>
            </w:pPr>
            <w:r w:rsidRPr="00EF4CFD">
              <w:rPr>
                <w:lang w:val="es-ES_tradnl"/>
              </w:rPr>
              <w:t>Espaciamiento</w:t>
            </w:r>
          </w:p>
          <w:p w:rsidR="007E12D7" w:rsidRPr="00EF4CFD" w:rsidRDefault="007E12D7" w:rsidP="0046176D">
            <w:pPr>
              <w:pStyle w:val="Tabletext"/>
              <w:jc w:val="center"/>
              <w:rPr>
                <w:lang w:val="es-ES_tradnl"/>
              </w:rPr>
            </w:pPr>
            <w:r w:rsidRPr="00EF4CFD">
              <w:rPr>
                <w:lang w:val="es-ES_tradnl"/>
              </w:rPr>
              <w:t>(grados)</w:t>
            </w:r>
          </w:p>
        </w:tc>
        <w:tc>
          <w:tcPr>
            <w:tcW w:w="1275" w:type="dxa"/>
          </w:tcPr>
          <w:p w:rsidR="007E12D7" w:rsidRPr="00EF4CFD" w:rsidRDefault="007E12D7" w:rsidP="0046176D">
            <w:pPr>
              <w:pStyle w:val="Tabletext"/>
              <w:jc w:val="center"/>
              <w:rPr>
                <w:lang w:val="es-ES_tradnl"/>
              </w:rPr>
            </w:pPr>
            <w:r w:rsidRPr="00EF4CFD">
              <w:rPr>
                <w:lang w:val="es-ES_tradnl"/>
              </w:rPr>
              <w:t>Número de columnas</w:t>
            </w:r>
          </w:p>
        </w:tc>
      </w:tr>
      <w:tr w:rsidR="0046176D" w:rsidRPr="00EF4CFD" w:rsidTr="002B636E">
        <w:trPr>
          <w:jc w:val="center"/>
        </w:trPr>
        <w:tc>
          <w:tcPr>
            <w:tcW w:w="1418" w:type="dxa"/>
            <w:tcBorders>
              <w:bottom w:val="single" w:sz="4" w:space="0" w:color="auto"/>
            </w:tcBorders>
          </w:tcPr>
          <w:p w:rsidR="007E12D7" w:rsidRPr="00EF4CFD" w:rsidRDefault="007E12D7" w:rsidP="0046176D">
            <w:pPr>
              <w:pStyle w:val="Tabletext"/>
              <w:jc w:val="center"/>
              <w:rPr>
                <w:rFonts w:asciiTheme="majorBidi" w:hAnsiTheme="majorBidi" w:cstheme="majorBidi"/>
                <w:lang w:val="es-ES_tradnl"/>
              </w:rPr>
            </w:pPr>
            <w:r w:rsidRPr="00EF4CFD">
              <w:rPr>
                <w:rFonts w:asciiTheme="majorBidi" w:hAnsiTheme="majorBidi" w:cstheme="majorBidi"/>
                <w:lang w:val="es-ES_tradnl"/>
              </w:rPr>
              <w:t>P.2001</w:t>
            </w:r>
          </w:p>
        </w:tc>
        <w:tc>
          <w:tcPr>
            <w:tcW w:w="1276" w:type="dxa"/>
            <w:tcBorders>
              <w:bottom w:val="single" w:sz="4" w:space="0" w:color="auto"/>
            </w:tcBorders>
          </w:tcPr>
          <w:p w:rsidR="007E12D7" w:rsidRPr="00EF4CFD" w:rsidRDefault="007E12D7" w:rsidP="0046176D">
            <w:pPr>
              <w:pStyle w:val="Tabletext"/>
              <w:jc w:val="center"/>
              <w:rPr>
                <w:rFonts w:asciiTheme="majorBidi" w:hAnsiTheme="majorBidi" w:cstheme="majorBidi"/>
                <w:lang w:val="es-ES_tradnl"/>
              </w:rPr>
            </w:pPr>
            <w:r>
              <w:rPr>
                <w:rFonts w:asciiTheme="majorBidi" w:hAnsiTheme="majorBidi" w:cstheme="majorBidi"/>
                <w:lang w:val="es-ES_tradnl"/>
              </w:rPr>
              <w:t>89,</w:t>
            </w:r>
            <w:r w:rsidRPr="00EF4CFD">
              <w:rPr>
                <w:rFonts w:asciiTheme="majorBidi" w:hAnsiTheme="majorBidi" w:cstheme="majorBidi"/>
                <w:lang w:val="es-ES_tradnl"/>
              </w:rPr>
              <w:t>75</w:t>
            </w:r>
          </w:p>
        </w:tc>
        <w:tc>
          <w:tcPr>
            <w:tcW w:w="1559" w:type="dxa"/>
            <w:tcBorders>
              <w:bottom w:val="single" w:sz="4" w:space="0" w:color="auto"/>
            </w:tcBorders>
          </w:tcPr>
          <w:p w:rsidR="007E12D7" w:rsidRPr="00EF4CFD" w:rsidRDefault="007E12D7" w:rsidP="0046176D">
            <w:pPr>
              <w:pStyle w:val="Tabletext"/>
              <w:jc w:val="center"/>
              <w:rPr>
                <w:rFonts w:asciiTheme="majorBidi" w:hAnsiTheme="majorBidi" w:cstheme="majorBidi"/>
                <w:lang w:val="es-ES_tradnl"/>
              </w:rPr>
            </w:pPr>
            <w:r>
              <w:rPr>
                <w:rFonts w:asciiTheme="majorBidi" w:hAnsiTheme="majorBidi" w:cstheme="majorBidi"/>
                <w:lang w:val="es-ES_tradnl"/>
              </w:rPr>
              <w:t>0,</w:t>
            </w:r>
            <w:r w:rsidRPr="00EF4CFD">
              <w:rPr>
                <w:rFonts w:asciiTheme="majorBidi" w:hAnsiTheme="majorBidi" w:cstheme="majorBidi"/>
                <w:lang w:val="es-ES_tradnl"/>
              </w:rPr>
              <w:t>5</w:t>
            </w:r>
          </w:p>
        </w:tc>
        <w:tc>
          <w:tcPr>
            <w:tcW w:w="992" w:type="dxa"/>
            <w:tcBorders>
              <w:bottom w:val="single" w:sz="4" w:space="0" w:color="auto"/>
            </w:tcBorders>
          </w:tcPr>
          <w:p w:rsidR="007E12D7" w:rsidRPr="00EF4CFD" w:rsidRDefault="007E12D7" w:rsidP="0046176D">
            <w:pPr>
              <w:pStyle w:val="Tabletext"/>
              <w:jc w:val="center"/>
              <w:rPr>
                <w:rFonts w:asciiTheme="majorBidi" w:hAnsiTheme="majorBidi" w:cstheme="majorBidi"/>
                <w:lang w:val="es-ES_tradnl"/>
              </w:rPr>
            </w:pPr>
            <w:r w:rsidRPr="00EF4CFD">
              <w:rPr>
                <w:rFonts w:asciiTheme="majorBidi" w:hAnsiTheme="majorBidi" w:cstheme="majorBidi"/>
                <w:lang w:val="es-ES_tradnl"/>
              </w:rPr>
              <w:t>360</w:t>
            </w:r>
          </w:p>
        </w:tc>
        <w:tc>
          <w:tcPr>
            <w:tcW w:w="1418" w:type="dxa"/>
            <w:tcBorders>
              <w:bottom w:val="single" w:sz="4" w:space="0" w:color="auto"/>
            </w:tcBorders>
          </w:tcPr>
          <w:p w:rsidR="007E12D7" w:rsidRPr="00EF4CFD" w:rsidRDefault="00661178" w:rsidP="0046176D">
            <w:pPr>
              <w:pStyle w:val="Tabletext"/>
              <w:jc w:val="center"/>
              <w:rPr>
                <w:rFonts w:asciiTheme="majorBidi" w:hAnsiTheme="majorBidi" w:cstheme="majorBidi"/>
                <w:lang w:val="es-ES_tradnl"/>
              </w:rPr>
            </w:pPr>
            <w:r>
              <w:rPr>
                <w:rFonts w:asciiTheme="majorBidi" w:hAnsiTheme="majorBidi" w:cstheme="majorBidi"/>
                <w:lang w:val="es-ES_tradnl"/>
              </w:rPr>
              <w:t>−</w:t>
            </w:r>
            <w:r w:rsidR="007E12D7">
              <w:rPr>
                <w:rFonts w:asciiTheme="majorBidi" w:hAnsiTheme="majorBidi" w:cstheme="majorBidi"/>
                <w:lang w:val="es-ES_tradnl"/>
              </w:rPr>
              <w:t>179,</w:t>
            </w:r>
            <w:r w:rsidR="007E12D7" w:rsidRPr="00EF4CFD">
              <w:rPr>
                <w:rFonts w:asciiTheme="majorBidi" w:hAnsiTheme="majorBidi" w:cstheme="majorBidi"/>
                <w:lang w:val="es-ES_tradnl"/>
              </w:rPr>
              <w:t>75</w:t>
            </w:r>
          </w:p>
        </w:tc>
        <w:tc>
          <w:tcPr>
            <w:tcW w:w="1559" w:type="dxa"/>
            <w:tcBorders>
              <w:bottom w:val="single" w:sz="4" w:space="0" w:color="auto"/>
            </w:tcBorders>
          </w:tcPr>
          <w:p w:rsidR="007E12D7" w:rsidRPr="00EF4CFD" w:rsidRDefault="007E12D7" w:rsidP="0046176D">
            <w:pPr>
              <w:pStyle w:val="Tabletext"/>
              <w:jc w:val="center"/>
              <w:rPr>
                <w:rFonts w:asciiTheme="majorBidi" w:hAnsiTheme="majorBidi" w:cstheme="majorBidi"/>
                <w:lang w:val="es-ES_tradnl"/>
              </w:rPr>
            </w:pPr>
            <w:r>
              <w:rPr>
                <w:rFonts w:asciiTheme="majorBidi" w:hAnsiTheme="majorBidi" w:cstheme="majorBidi"/>
                <w:lang w:val="es-ES_tradnl"/>
              </w:rPr>
              <w:t>0,</w:t>
            </w:r>
            <w:r w:rsidRPr="00EF4CFD">
              <w:rPr>
                <w:rFonts w:asciiTheme="majorBidi" w:hAnsiTheme="majorBidi" w:cstheme="majorBidi"/>
                <w:lang w:val="es-ES_tradnl"/>
              </w:rPr>
              <w:t>5</w:t>
            </w:r>
          </w:p>
        </w:tc>
        <w:tc>
          <w:tcPr>
            <w:tcW w:w="1275" w:type="dxa"/>
            <w:tcBorders>
              <w:bottom w:val="single" w:sz="4" w:space="0" w:color="auto"/>
            </w:tcBorders>
          </w:tcPr>
          <w:p w:rsidR="007E12D7" w:rsidRPr="00EF4CFD" w:rsidRDefault="007E12D7" w:rsidP="0046176D">
            <w:pPr>
              <w:pStyle w:val="Tabletext"/>
              <w:jc w:val="center"/>
              <w:rPr>
                <w:rFonts w:asciiTheme="majorBidi" w:hAnsiTheme="majorBidi" w:cstheme="majorBidi"/>
                <w:lang w:val="es-ES_tradnl"/>
              </w:rPr>
            </w:pPr>
            <w:r w:rsidRPr="00EF4CFD">
              <w:rPr>
                <w:rFonts w:asciiTheme="majorBidi" w:hAnsiTheme="majorBidi" w:cstheme="majorBidi"/>
                <w:lang w:val="es-ES_tradnl"/>
              </w:rPr>
              <w:t>720</w:t>
            </w:r>
          </w:p>
        </w:tc>
      </w:tr>
      <w:tr w:rsidR="007E12D7" w:rsidRPr="00430373" w:rsidTr="002B636E">
        <w:trPr>
          <w:jc w:val="center"/>
        </w:trPr>
        <w:tc>
          <w:tcPr>
            <w:tcW w:w="9497" w:type="dxa"/>
            <w:gridSpan w:val="7"/>
            <w:tcBorders>
              <w:left w:val="nil"/>
              <w:bottom w:val="nil"/>
              <w:right w:val="nil"/>
            </w:tcBorders>
          </w:tcPr>
          <w:p w:rsidR="007E12D7" w:rsidRPr="00EF4CFD" w:rsidRDefault="007E12D7" w:rsidP="00414BC4">
            <w:pPr>
              <w:pStyle w:val="TableLegendNote"/>
              <w:rPr>
                <w:lang w:val="es-ES_tradnl"/>
              </w:rPr>
            </w:pPr>
            <w:r w:rsidRPr="00EF4CFD">
              <w:rPr>
                <w:rFonts w:asciiTheme="majorBidi" w:hAnsiTheme="majorBidi" w:cstheme="majorBidi"/>
                <w:lang w:val="es-ES_tradnl"/>
              </w:rPr>
              <w:t>NOT</w:t>
            </w:r>
            <w:r w:rsidR="00414BC4">
              <w:rPr>
                <w:rFonts w:asciiTheme="majorBidi" w:hAnsiTheme="majorBidi" w:cstheme="majorBidi"/>
                <w:lang w:val="es-ES_tradnl"/>
              </w:rPr>
              <w:t>A</w:t>
            </w:r>
            <w:r w:rsidRPr="00EF4CFD">
              <w:rPr>
                <w:rFonts w:asciiTheme="majorBidi" w:hAnsiTheme="majorBidi" w:cstheme="majorBidi"/>
                <w:lang w:val="es-ES_tradnl"/>
              </w:rPr>
              <w:t xml:space="preserve"> 1</w:t>
            </w:r>
            <w:r w:rsidRPr="00EF4CFD">
              <w:rPr>
                <w:lang w:val="es-ES_tradnl"/>
              </w:rPr>
              <w:t xml:space="preserve"> – El valor de la «Primera fila» es la latitud de la primera fila.</w:t>
            </w:r>
          </w:p>
          <w:p w:rsidR="007E12D7" w:rsidRPr="00EF4CFD" w:rsidRDefault="00414BC4" w:rsidP="001572BA">
            <w:pPr>
              <w:pStyle w:val="TableLegendNote"/>
              <w:rPr>
                <w:lang w:val="es-ES_tradnl"/>
              </w:rPr>
            </w:pPr>
            <w:r>
              <w:rPr>
                <w:rFonts w:asciiTheme="majorBidi" w:hAnsiTheme="majorBidi" w:cstheme="majorBidi"/>
                <w:lang w:val="es-ES_tradnl"/>
              </w:rPr>
              <w:t>NOTA</w:t>
            </w:r>
            <w:r w:rsidR="007E12D7" w:rsidRPr="00EF4CFD">
              <w:rPr>
                <w:rFonts w:asciiTheme="majorBidi" w:hAnsiTheme="majorBidi" w:cstheme="majorBidi"/>
                <w:lang w:val="es-ES_tradnl"/>
              </w:rPr>
              <w:t xml:space="preserve"> 2</w:t>
            </w:r>
            <w:r w:rsidR="007E12D7" w:rsidRPr="00EF4CFD">
              <w:rPr>
                <w:lang w:val="es-ES_tradnl"/>
              </w:rPr>
              <w:t xml:space="preserve"> – El valor de la «Primera columna» es la longitud de la primera columna. Las columnas representan longitudes crecientes desde 179,75°W hasta 179,75°E, ambas inclusive. Esto es, la longitud es creciente hacia el este.</w:t>
            </w:r>
          </w:p>
          <w:p w:rsidR="007E12D7" w:rsidRPr="00EF4CFD" w:rsidRDefault="00414BC4" w:rsidP="001572BA">
            <w:pPr>
              <w:pStyle w:val="TableLegendNote"/>
              <w:rPr>
                <w:lang w:val="es-ES_tradnl"/>
              </w:rPr>
            </w:pPr>
            <w:r>
              <w:rPr>
                <w:lang w:val="es-ES_tradnl"/>
              </w:rPr>
              <w:t>NOTA</w:t>
            </w:r>
            <w:r w:rsidR="007E12D7" w:rsidRPr="00EF4CFD">
              <w:rPr>
                <w:lang w:val="es-ES_tradnl"/>
              </w:rPr>
              <w:t xml:space="preserve"> 3 – «Espaciamiento» es el incremento de latitud/longitud entre filas/columnas.</w:t>
            </w:r>
          </w:p>
          <w:p w:rsidR="007E12D7" w:rsidRPr="00EF4CFD" w:rsidRDefault="00414BC4" w:rsidP="001572BA">
            <w:pPr>
              <w:pStyle w:val="TableLegendNote"/>
              <w:rPr>
                <w:sz w:val="20"/>
                <w:lang w:val="es-ES_tradnl"/>
              </w:rPr>
            </w:pPr>
            <w:r>
              <w:rPr>
                <w:rFonts w:asciiTheme="majorBidi" w:hAnsiTheme="majorBidi" w:cstheme="majorBidi"/>
                <w:lang w:val="es-ES_tradnl"/>
              </w:rPr>
              <w:t>NOTA</w:t>
            </w:r>
            <w:r w:rsidR="007E12D7" w:rsidRPr="00EF4CFD">
              <w:rPr>
                <w:rFonts w:asciiTheme="majorBidi" w:hAnsiTheme="majorBidi" w:cstheme="majorBidi"/>
                <w:lang w:val="es-ES_tradnl"/>
              </w:rPr>
              <w:t xml:space="preserve"> 4</w:t>
            </w:r>
            <w:r w:rsidR="007E12D7" w:rsidRPr="00EF4CFD">
              <w:rPr>
                <w:lang w:val="es-ES_tradnl"/>
              </w:rPr>
              <w:t xml:space="preserve"> – La carpeta TropoClim.txt contiene números enteros identificadores de zona, en lugar de variables meteorológicas continuas. En consecuencia, los valores </w:t>
            </w:r>
            <w:r w:rsidR="007E12D7" w:rsidRPr="00EF4CFD">
              <w:rPr>
                <w:b/>
                <w:bCs/>
                <w:lang w:val="es-ES_tradnl"/>
              </w:rPr>
              <w:t>no</w:t>
            </w:r>
            <w:r w:rsidR="007E12D7" w:rsidRPr="00EF4CFD">
              <w:rPr>
                <w:lang w:val="es-ES_tradnl"/>
              </w:rPr>
              <w:t xml:space="preserve"> deben interpolarse para obtener un valor en una latitud/longitud concreta. En lugar de ello, debe tomarse el valor del punto de la cuadrícula más cercana. Para esta carpeta, obsérvese que los valores de la última columna no son un duplicado de la primera columna. En consecuencia, las latitudes de las filas van de 89,75°N hasta 89,75°S, y las longitudes de las columnas van desde 179,75°W hasta 179,75°E.</w:t>
            </w:r>
          </w:p>
        </w:tc>
      </w:tr>
    </w:tbl>
    <w:p w:rsidR="007E12D7" w:rsidRPr="00EF4CFD" w:rsidRDefault="007E12D7" w:rsidP="007E12D7">
      <w:pPr>
        <w:pStyle w:val="Heading1"/>
        <w:rPr>
          <w:lang w:val="es-ES_tradnl"/>
        </w:rPr>
      </w:pPr>
      <w:r w:rsidRPr="00EF4CFD">
        <w:rPr>
          <w:lang w:val="es-ES_tradnl"/>
        </w:rPr>
        <w:t>3</w:t>
      </w:r>
      <w:r w:rsidRPr="00EF4CFD">
        <w:rPr>
          <w:lang w:val="es-ES_tradnl"/>
        </w:rPr>
        <w:tab/>
        <w:t>Pérdida de transmisión para los trayectos por difracción</w:t>
      </w:r>
    </w:p>
    <w:p w:rsidR="007E12D7" w:rsidRPr="00EF4CFD" w:rsidRDefault="007E12D7" w:rsidP="007E12D7">
      <w:pPr>
        <w:rPr>
          <w:lang w:val="es-ES_tradnl"/>
        </w:rPr>
      </w:pPr>
      <w:r w:rsidRPr="00EF4CFD">
        <w:rPr>
          <w:lang w:val="es-ES_tradnl"/>
        </w:rPr>
        <w:t>Para trayectos con ligera elevación sobre el horizonte o que pasan sobre un obstáculo o sobre terreno montañoso, la difracción será en general el modo de propagación que determina la intensidad de campo. En estos casos, deben aplicarse los métodos descritos en la Recomendación UIT-R P.526.</w:t>
      </w:r>
    </w:p>
    <w:p w:rsidR="007E12D7" w:rsidRPr="00EF4CFD" w:rsidRDefault="007E12D7" w:rsidP="007E12D7">
      <w:pPr>
        <w:pStyle w:val="Heading1"/>
        <w:rPr>
          <w:lang w:val="es-ES_tradnl"/>
        </w:rPr>
      </w:pPr>
      <w:r w:rsidRPr="00EF4CFD">
        <w:rPr>
          <w:lang w:val="es-ES_tradnl"/>
        </w:rPr>
        <w:t>4</w:t>
      </w:r>
      <w:r w:rsidRPr="00EF4CFD">
        <w:rPr>
          <w:lang w:val="es-ES_tradnl"/>
        </w:rPr>
        <w:tab/>
        <w:t>Distribución de la pérdida de transmisión en los trayectos con dispersión troposférica</w:t>
      </w:r>
    </w:p>
    <w:p w:rsidR="007E12D7" w:rsidRPr="00EF4CFD" w:rsidRDefault="007E12D7" w:rsidP="007E12D7">
      <w:pPr>
        <w:rPr>
          <w:lang w:val="es-ES_tradnl"/>
        </w:rPr>
      </w:pPr>
      <w:r w:rsidRPr="00EF4CFD">
        <w:rPr>
          <w:lang w:val="es-ES_tradnl"/>
        </w:rPr>
        <w:t>Las señales recibidas mediante dispersión troposférica presentan variaciones lentas y rápidas. Las variaciones lentas son causadas por los cambios globales en las condiciones de refracción de la atmósfera y el desvanecimiento rápido se debe al movimiento de las pequeñas irregularidades. Las variaciones lentas se describen adecuadamente mediante distribuciones de la pérdida de transmisión mediana horaria, que presentan una forma aproximadamente log-normal con desviaciones típicas entre unos 4 y 8 dB, según el clima. Las variaciones rápidas en periodos de hasta unos cinco minutos se aproximan mediante la distribución de Rayleigh.</w:t>
      </w:r>
    </w:p>
    <w:p w:rsidR="007E12D7" w:rsidRPr="00EF4CFD" w:rsidRDefault="007E12D7" w:rsidP="007E12D7">
      <w:pPr>
        <w:keepLines/>
        <w:rPr>
          <w:lang w:val="es-ES_tradnl"/>
        </w:rPr>
      </w:pPr>
      <w:r w:rsidRPr="00EF4CFD">
        <w:rPr>
          <w:lang w:val="es-ES_tradnl"/>
        </w:rPr>
        <w:lastRenderedPageBreak/>
        <w:t>Para determinar el comportamiento de los radioenlaces transhorizonte en geometrías en las que el mecanismo predominante es la dispersión troposférica, es habitual estimar la distribución de la pérdida de transmisión mediana horaria para porcentajes de tiempo de no rebasamiento superiores al 50%. En el § 4.1 aparece una técnica semianalítica sencilla para predecir la distribución de la pérdida de transmisión media anual en esta gama. En el § 4.2 figura una técnica gráfica para trasladar estos porcentajes de tiempo anuales a los porcentajes relativos al mes más desfavorable medio. Por último, en el § 4.3 aparecen directrices sobre la estimación de la distribución de la pérdida de transmisión para pequeños porcentajes de tiempo a fin de utilizar estos datos con objeto de obtener las gamas dinámicas necesarias del receptor. El Apéndice 1 contiene informaciones complementarias sobre las variaciones estacionales y diurnas de la pérdida de transmisión, la frecuencia de los desvanecimientos rápidos en los trayectos con dispersión troposférica y la anchura de banda de transmisión.</w:t>
      </w:r>
    </w:p>
    <w:p w:rsidR="007E12D7" w:rsidRPr="00EF4CFD" w:rsidRDefault="007E12D7" w:rsidP="007E12D7">
      <w:pPr>
        <w:pStyle w:val="Heading2"/>
        <w:rPr>
          <w:lang w:val="es-ES_tradnl"/>
        </w:rPr>
      </w:pPr>
      <w:r w:rsidRPr="00EF4CFD">
        <w:rPr>
          <w:lang w:val="es-ES_tradnl"/>
        </w:rPr>
        <w:t>4.1</w:t>
      </w:r>
      <w:r w:rsidRPr="00EF4CFD">
        <w:rPr>
          <w:lang w:val="es-ES_tradnl"/>
        </w:rPr>
        <w:tab/>
        <w:t>Distribución del valor medio de la pérdida de transmisión mediana anual para porcentajes de tiempo superiores al 50%</w:t>
      </w:r>
    </w:p>
    <w:p w:rsidR="007E12D7" w:rsidRPr="00EF4CFD" w:rsidRDefault="007E12D7" w:rsidP="007E12D7">
      <w:pPr>
        <w:rPr>
          <w:lang w:val="es-ES_tradnl"/>
        </w:rPr>
      </w:pPr>
      <w:r w:rsidRPr="00EF4CFD">
        <w:rPr>
          <w:lang w:val="es-ES_tradnl"/>
        </w:rPr>
        <w:t xml:space="preserve">Se recomienda utilizar el siguiente procedimiento paso a paso para realizar una estimación del valor medio de la pérdida de transmisión mediana anual, </w:t>
      </w:r>
      <w:r w:rsidRPr="00EF4CFD">
        <w:rPr>
          <w:i/>
          <w:lang w:val="es-ES_tradnl"/>
        </w:rPr>
        <w:t>L</w:t>
      </w:r>
      <w:r w:rsidRPr="00EF4CFD">
        <w:rPr>
          <w:lang w:val="es-ES_tradnl"/>
        </w:rPr>
        <w:t>(</w:t>
      </w:r>
      <w:r w:rsidRPr="00EF4CFD">
        <w:rPr>
          <w:i/>
          <w:lang w:val="es-ES_tradnl"/>
        </w:rPr>
        <w:t>q</w:t>
      </w:r>
      <w:r w:rsidRPr="00EF4CFD">
        <w:rPr>
          <w:lang w:val="es-ES_tradnl"/>
        </w:rPr>
        <w:t xml:space="preserve">), no rebasada en porcentajes de tiempo </w:t>
      </w:r>
      <w:r w:rsidRPr="00EF4CFD">
        <w:rPr>
          <w:i/>
          <w:lang w:val="es-ES_tradnl"/>
        </w:rPr>
        <w:t>q</w:t>
      </w:r>
      <w:r w:rsidRPr="00EF4CFD">
        <w:rPr>
          <w:lang w:val="es-ES_tradnl"/>
        </w:rPr>
        <w:t xml:space="preserve"> superiores al 50%. El procedimiento hace uso de los siguientes parámetros del enlace: longitud de trayecto de círculo máximo </w:t>
      </w:r>
      <w:r w:rsidRPr="00EF4CFD">
        <w:rPr>
          <w:i/>
          <w:lang w:val="es-ES_tradnl"/>
        </w:rPr>
        <w:t>d</w:t>
      </w:r>
      <w:r w:rsidRPr="00EF4CFD">
        <w:rPr>
          <w:lang w:val="es-ES_tradnl"/>
        </w:rPr>
        <w:t xml:space="preserve"> (km), frecuencia </w:t>
      </w:r>
      <w:r w:rsidRPr="00EF4CFD">
        <w:rPr>
          <w:i/>
          <w:lang w:val="es-ES_tradnl"/>
        </w:rPr>
        <w:t>f</w:t>
      </w:r>
      <w:r w:rsidRPr="00EF4CFD">
        <w:rPr>
          <w:lang w:val="es-ES_tradnl"/>
        </w:rPr>
        <w:t xml:space="preserve"> (MHz), ganancia de la antena transmisora </w:t>
      </w:r>
      <w:r w:rsidRPr="00EF4CFD">
        <w:rPr>
          <w:i/>
          <w:lang w:val="es-ES_tradnl"/>
        </w:rPr>
        <w:t>G</w:t>
      </w:r>
      <w:r w:rsidRPr="00EF4CFD">
        <w:rPr>
          <w:i/>
          <w:iCs/>
          <w:vertAlign w:val="subscript"/>
          <w:lang w:val="es-ES_tradnl"/>
        </w:rPr>
        <w:t>t</w:t>
      </w:r>
      <w:r w:rsidRPr="00EF4CFD">
        <w:rPr>
          <w:lang w:val="es-ES_tradnl"/>
        </w:rPr>
        <w:t xml:space="preserve"> (dB), ganancia de la antena receptora </w:t>
      </w:r>
      <w:r w:rsidRPr="00EF4CFD">
        <w:rPr>
          <w:i/>
          <w:lang w:val="es-ES_tradnl"/>
        </w:rPr>
        <w:t>G</w:t>
      </w:r>
      <w:r w:rsidRPr="00EF4CFD">
        <w:rPr>
          <w:i/>
          <w:iCs/>
          <w:vertAlign w:val="subscript"/>
          <w:lang w:val="es-ES_tradnl"/>
        </w:rPr>
        <w:t>r</w:t>
      </w:r>
      <w:r w:rsidRPr="00EF4CFD">
        <w:rPr>
          <w:lang w:val="es-ES_tradnl"/>
        </w:rPr>
        <w:t xml:space="preserve"> (dB), ángulo al </w:t>
      </w:r>
      <w:r w:rsidRPr="00EF4CFD">
        <w:rPr>
          <w:rFonts w:ascii="Symbol" w:hAnsi="Symbol"/>
          <w:lang w:val="es-ES_tradnl"/>
        </w:rPr>
        <w:t></w:t>
      </w:r>
      <w:r w:rsidRPr="00EF4CFD">
        <w:rPr>
          <w:i/>
          <w:iCs/>
          <w:vertAlign w:val="subscript"/>
          <w:lang w:val="es-ES_tradnl"/>
        </w:rPr>
        <w:t>t</w:t>
      </w:r>
      <w:r w:rsidRPr="00EF4CFD">
        <w:rPr>
          <w:lang w:val="es-ES_tradnl"/>
        </w:rPr>
        <w:t> (mrad) en el transmisor y ángulo al horizonte </w:t>
      </w:r>
      <w:r w:rsidRPr="00EF4CFD">
        <w:rPr>
          <w:rFonts w:ascii="Symbol" w:hAnsi="Symbol"/>
          <w:lang w:val="es-ES_tradnl"/>
        </w:rPr>
        <w:t></w:t>
      </w:r>
      <w:r w:rsidRPr="00EF4CFD">
        <w:rPr>
          <w:i/>
          <w:iCs/>
          <w:vertAlign w:val="subscript"/>
          <w:lang w:val="es-ES_tradnl"/>
        </w:rPr>
        <w:t>r</w:t>
      </w:r>
      <w:r w:rsidRPr="00EF4CFD">
        <w:rPr>
          <w:lang w:val="es-ES_tradnl"/>
        </w:rPr>
        <w:t xml:space="preserve"> (mrad) en el receptor:</w:t>
      </w:r>
    </w:p>
    <w:p w:rsidR="007E12D7" w:rsidRPr="00EF4CFD" w:rsidRDefault="007E12D7" w:rsidP="007E12D7">
      <w:pPr>
        <w:rPr>
          <w:lang w:val="es-ES_tradnl"/>
        </w:rPr>
      </w:pPr>
      <w:r w:rsidRPr="00EF4CFD">
        <w:rPr>
          <w:i/>
          <w:lang w:val="es-ES_tradnl"/>
        </w:rPr>
        <w:t>Paso 1:</w:t>
      </w:r>
      <w:r w:rsidRPr="00EF4CFD">
        <w:rPr>
          <w:lang w:val="es-ES_tradnl"/>
        </w:rPr>
        <w:t> Determinar el clima apropiado para el volumen común del enlace en cuestión utilizando el mapa climático de la Fig. 1. Este mapa, TropoClim.txt, es una parte digital integrada en la presente Recomendación (véase § 2).</w:t>
      </w:r>
    </w:p>
    <w:p w:rsidR="007E12D7" w:rsidRPr="00EF4CFD" w:rsidRDefault="007E12D7" w:rsidP="007E12D7">
      <w:pPr>
        <w:pStyle w:val="FigureNo"/>
        <w:rPr>
          <w:lang w:val="es-ES_tradnl"/>
        </w:rPr>
      </w:pPr>
      <w:r w:rsidRPr="00EF4CFD">
        <w:rPr>
          <w:caps w:val="0"/>
          <w:lang w:val="es-ES_tradnl"/>
        </w:rPr>
        <w:t>FIGURA</w:t>
      </w:r>
      <w:r w:rsidRPr="00EF4CFD">
        <w:rPr>
          <w:lang w:val="es-ES_tradnl"/>
        </w:rPr>
        <w:t xml:space="preserve"> 1</w:t>
      </w:r>
    </w:p>
    <w:p w:rsidR="007E12D7" w:rsidRPr="00EF4CFD" w:rsidRDefault="007E12D7" w:rsidP="007E12D7">
      <w:pPr>
        <w:pStyle w:val="Figuretitle"/>
        <w:rPr>
          <w:lang w:val="es-ES_tradnl"/>
        </w:rPr>
      </w:pPr>
      <w:r w:rsidRPr="00EF4CFD">
        <w:rPr>
          <w:lang w:val="es-ES_tradnl"/>
        </w:rPr>
        <w:t>Clasificación de</w:t>
      </w:r>
      <w:r w:rsidRPr="00EF4CFD">
        <w:rPr>
          <w:rFonts w:cs="Times New Roman Bold"/>
          <w:lang w:val="es-ES_tradnl"/>
        </w:rPr>
        <w:t xml:space="preserve"> las </w:t>
      </w:r>
      <w:r w:rsidRPr="00EF4CFD">
        <w:rPr>
          <w:lang w:val="es-ES_tradnl"/>
        </w:rPr>
        <w:t>zonas climáticas</w:t>
      </w:r>
    </w:p>
    <w:p w:rsidR="007E12D7" w:rsidRPr="00EF4CFD" w:rsidRDefault="007E12D7" w:rsidP="007E12D7">
      <w:pPr>
        <w:rPr>
          <w:noProof/>
          <w:sz w:val="22"/>
          <w:szCs w:val="22"/>
          <w:lang w:val="es-ES_tradnl" w:eastAsia="zh-CN"/>
        </w:rPr>
      </w:pPr>
      <w:r w:rsidRPr="00EF4CFD">
        <w:rPr>
          <w:noProof/>
          <w:sz w:val="22"/>
          <w:szCs w:val="22"/>
          <w:lang w:val="es-ES_tradnl" w:eastAsia="zh-CN"/>
        </w:rPr>
        <w:object w:dxaOrig="11762"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76.3pt" o:ole="">
            <v:imagedata r:id="rId13" o:title=""/>
          </v:shape>
          <o:OLEObject Type="Embed" ProgID="CorelDRAW.Graphic.14" ShapeID="_x0000_i1025" DrawAspect="Content" ObjectID="_1494319450" r:id="rId14"/>
        </w:object>
      </w:r>
    </w:p>
    <w:p w:rsidR="007E12D7" w:rsidRPr="00EF4CFD" w:rsidRDefault="007E12D7" w:rsidP="007E12D7">
      <w:pPr>
        <w:rPr>
          <w:sz w:val="22"/>
          <w:szCs w:val="22"/>
          <w:lang w:val="es-ES_tradnl"/>
        </w:rPr>
      </w:pPr>
    </w:p>
    <w:p w:rsidR="007E12D7" w:rsidRPr="00EF4CFD" w:rsidRDefault="007E12D7" w:rsidP="007E12D7">
      <w:pPr>
        <w:rPr>
          <w:lang w:val="es-ES_tradnl"/>
        </w:rPr>
      </w:pPr>
      <w:r w:rsidRPr="00EF4CFD">
        <w:rPr>
          <w:lang w:val="es-ES_tradnl"/>
        </w:rPr>
        <w:lastRenderedPageBreak/>
        <w:t>Si el volumen común de dispersión en la troposfera reside sobre el mar, se determina el clima en la ubicación del transmisor y del receptor. Si los dos terminales tienen una zona climática que corresponde a un punto en tierra, la zona climática del trayecto viene dada por el valor más pequeño de las zonas climáticas del transmisor y del receptor. Si sólo un terminal tiene una zona climática correspondiente a un punto en tierra, dicha zona define la zona climática del trayecto. Si ninguno de los terminales dispone de una zona climática correspondiente a un punto en tierra, se asigna al trayecto una zona climática de «trayecto marítimo».</w:t>
      </w:r>
    </w:p>
    <w:p w:rsidR="007E12D7" w:rsidRPr="00EF4CFD" w:rsidRDefault="007E12D7" w:rsidP="007E12D7">
      <w:pPr>
        <w:rPr>
          <w:lang w:val="es-ES_tradnl"/>
        </w:rPr>
      </w:pPr>
      <w:r w:rsidRPr="00EF4CFD">
        <w:rPr>
          <w:i/>
          <w:iCs/>
          <w:lang w:val="es-ES_tradnl"/>
        </w:rPr>
        <w:t>Paso</w:t>
      </w:r>
      <w:r w:rsidRPr="00EF4CFD">
        <w:rPr>
          <w:i/>
          <w:lang w:val="es-ES_tradnl"/>
        </w:rPr>
        <w:t> 2:</w:t>
      </w:r>
      <w:r w:rsidRPr="00EF4CFD">
        <w:rPr>
          <w:lang w:val="es-ES_tradnl"/>
        </w:rPr>
        <w:t xml:space="preserve"> Se obtienen los parámetros de la estructura meteorológica y atmosférica </w:t>
      </w:r>
      <w:r w:rsidRPr="00EF4CFD">
        <w:rPr>
          <w:i/>
          <w:lang w:val="es-ES_tradnl"/>
        </w:rPr>
        <w:t>M</w:t>
      </w:r>
      <w:r w:rsidRPr="00EF4CFD">
        <w:rPr>
          <w:lang w:val="es-ES_tradnl"/>
        </w:rPr>
        <w:t xml:space="preserve"> y </w:t>
      </w:r>
      <w:r w:rsidRPr="00EF4CFD">
        <w:rPr>
          <w:rFonts w:ascii="Symbol" w:hAnsi="Symbol"/>
          <w:lang w:val="es-ES_tradnl"/>
        </w:rPr>
        <w:t></w:t>
      </w:r>
      <w:r w:rsidRPr="00EF4CFD">
        <w:rPr>
          <w:lang w:val="es-ES_tradnl"/>
        </w:rPr>
        <w:t>, respectivamente, y la ecuación que ha de utilizarse para calcular Y(90) se obtiene del Cuadro 2 que figura a continuación para el clima o los climas correspondientes.</w:t>
      </w:r>
    </w:p>
    <w:p w:rsidR="007E12D7" w:rsidRPr="00EF4CFD" w:rsidRDefault="007E12D7" w:rsidP="007E12D7">
      <w:pPr>
        <w:pStyle w:val="Blanc"/>
        <w:rPr>
          <w:lang w:val="es-ES_tradnl"/>
        </w:rPr>
      </w:pPr>
    </w:p>
    <w:p w:rsidR="007E12D7" w:rsidRPr="00EF4CFD" w:rsidRDefault="007E12D7" w:rsidP="007E12D7">
      <w:pPr>
        <w:pStyle w:val="TableNo"/>
        <w:rPr>
          <w:lang w:val="es-ES_tradnl"/>
        </w:rPr>
      </w:pPr>
      <w:r w:rsidRPr="00EF4CFD">
        <w:rPr>
          <w:lang w:val="es-ES_tradnl"/>
        </w:rPr>
        <w:t>CUADRO 2</w:t>
      </w:r>
    </w:p>
    <w:p w:rsidR="007E12D7" w:rsidRPr="00EF4CFD" w:rsidRDefault="007E12D7" w:rsidP="007E12D7">
      <w:pPr>
        <w:pStyle w:val="Tabletitle"/>
        <w:rPr>
          <w:lang w:val="es-ES_tradnl"/>
        </w:rPr>
      </w:pPr>
      <w:r w:rsidRPr="00EF4CFD">
        <w:rPr>
          <w:lang w:val="es-ES_tradnl"/>
        </w:rPr>
        <w:t>Valores de los parámetros estructurales meteorológicos y atmosféricos</w:t>
      </w:r>
    </w:p>
    <w:tbl>
      <w:tblPr>
        <w:tblW w:w="8676" w:type="dxa"/>
        <w:jc w:val="center"/>
        <w:tblLayout w:type="fixed"/>
        <w:tblLook w:val="0000" w:firstRow="0" w:lastRow="0" w:firstColumn="0" w:lastColumn="0" w:noHBand="0" w:noVBand="0"/>
      </w:tblPr>
      <w:tblGrid>
        <w:gridCol w:w="1928"/>
        <w:gridCol w:w="964"/>
        <w:gridCol w:w="964"/>
        <w:gridCol w:w="964"/>
        <w:gridCol w:w="964"/>
        <w:gridCol w:w="964"/>
        <w:gridCol w:w="964"/>
        <w:gridCol w:w="964"/>
      </w:tblGrid>
      <w:tr w:rsidR="007E12D7" w:rsidRPr="00EF4CFD" w:rsidTr="001572BA">
        <w:trPr>
          <w:cantSplit/>
          <w:jc w:val="center"/>
        </w:trPr>
        <w:tc>
          <w:tcPr>
            <w:tcW w:w="1928"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Clima</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2</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3</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4</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5</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6</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head"/>
              <w:rPr>
                <w:lang w:val="es-ES_tradnl"/>
              </w:rPr>
            </w:pPr>
            <w:r w:rsidRPr="00EF4CFD">
              <w:rPr>
                <w:lang w:val="es-ES_tradnl"/>
              </w:rPr>
              <w:t>Mar*</w:t>
            </w:r>
          </w:p>
        </w:tc>
      </w:tr>
      <w:tr w:rsidR="007E12D7" w:rsidRPr="00EF4CFD" w:rsidTr="001572BA">
        <w:trPr>
          <w:cantSplit/>
          <w:jc w:val="center"/>
        </w:trPr>
        <w:tc>
          <w:tcPr>
            <w:tcW w:w="1928"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i/>
                <w:lang w:val="es-ES_tradnl"/>
              </w:rPr>
              <w:t>M</w:t>
            </w:r>
            <w:r w:rsidRPr="00EF4CFD">
              <w:rPr>
                <w:lang w:val="es-ES_tradnl"/>
              </w:rPr>
              <w:t xml:space="preserve"> (dB)</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39,60</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29,73</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19,30</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38,50</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29,73</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33,20</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26,00</w:t>
            </w:r>
          </w:p>
        </w:tc>
      </w:tr>
      <w:tr w:rsidR="007E12D7" w:rsidRPr="00EF4CFD" w:rsidTr="001572BA">
        <w:trPr>
          <w:cantSplit/>
          <w:jc w:val="center"/>
        </w:trPr>
        <w:tc>
          <w:tcPr>
            <w:tcW w:w="1928"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rFonts w:ascii="Symbol" w:hAnsi="Symbol"/>
                <w:lang w:val="es-ES_tradnl"/>
              </w:rPr>
              <w:t></w:t>
            </w:r>
            <w:r w:rsidRPr="00EF4CFD">
              <w:rPr>
                <w:lang w:val="es-ES_tradnl"/>
              </w:rPr>
              <w:t xml:space="preserve"> (km</w:t>
            </w:r>
            <w:r w:rsidRPr="00EF4CFD">
              <w:rPr>
                <w:position w:val="6"/>
                <w:lang w:val="es-ES_tradnl"/>
              </w:rPr>
              <w:t>–1</w:t>
            </w:r>
            <w:r w:rsidRPr="00EF4CFD">
              <w:rPr>
                <w:lang w:val="es-ES_tradnl"/>
              </w:rPr>
              <w:t>)</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0,33</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0,27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0,32</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0,27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0,27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0,27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0,27</w:t>
            </w:r>
          </w:p>
        </w:tc>
      </w:tr>
      <w:tr w:rsidR="007E12D7" w:rsidRPr="00EF4CFD" w:rsidTr="001572BA">
        <w:trPr>
          <w:cantSplit/>
          <w:jc w:val="center"/>
        </w:trPr>
        <w:tc>
          <w:tcPr>
            <w:tcW w:w="1928"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i/>
                <w:lang w:val="es-ES_tradnl"/>
              </w:rPr>
            </w:pPr>
            <w:r w:rsidRPr="00EF4CFD">
              <w:rPr>
                <w:i/>
                <w:lang w:val="es-ES_tradnl"/>
              </w:rPr>
              <w:t>Y</w:t>
            </w:r>
            <w:r w:rsidRPr="00EF4CFD">
              <w:rPr>
                <w:iCs/>
                <w:lang w:val="es-ES_tradnl"/>
              </w:rPr>
              <w:t>(90)</w:t>
            </w:r>
            <w:r w:rsidRPr="00EF4CFD">
              <w:rPr>
                <w:i/>
                <w:lang w:val="es-ES_tradnl"/>
              </w:rPr>
              <w:t xml:space="preserve"> Ecuación</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9</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10</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11</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7</w:t>
            </w:r>
          </w:p>
        </w:tc>
        <w:tc>
          <w:tcPr>
            <w:tcW w:w="964" w:type="dxa"/>
            <w:tcBorders>
              <w:top w:val="single" w:sz="6" w:space="0" w:color="auto"/>
              <w:left w:val="single" w:sz="6" w:space="0" w:color="auto"/>
              <w:bottom w:val="single" w:sz="6" w:space="0" w:color="auto"/>
              <w:right w:val="single" w:sz="6" w:space="0" w:color="auto"/>
            </w:tcBorders>
          </w:tcPr>
          <w:p w:rsidR="007E12D7" w:rsidRPr="00EF4CFD" w:rsidRDefault="007E12D7" w:rsidP="001572BA">
            <w:pPr>
              <w:pStyle w:val="Tabletext"/>
              <w:jc w:val="center"/>
              <w:rPr>
                <w:lang w:val="es-ES_tradnl"/>
              </w:rPr>
            </w:pPr>
            <w:r w:rsidRPr="00EF4CFD">
              <w:rPr>
                <w:lang w:val="es-ES_tradnl"/>
              </w:rPr>
              <w:t>8</w:t>
            </w:r>
          </w:p>
        </w:tc>
      </w:tr>
      <w:tr w:rsidR="00FE636A" w:rsidRPr="00430373" w:rsidTr="00E167CE">
        <w:trPr>
          <w:cantSplit/>
          <w:jc w:val="center"/>
        </w:trPr>
        <w:tc>
          <w:tcPr>
            <w:tcW w:w="8676" w:type="dxa"/>
            <w:gridSpan w:val="8"/>
            <w:tcBorders>
              <w:top w:val="single" w:sz="6" w:space="0" w:color="auto"/>
              <w:left w:val="single" w:sz="6" w:space="0" w:color="auto"/>
              <w:bottom w:val="single" w:sz="6" w:space="0" w:color="auto"/>
              <w:right w:val="single" w:sz="6" w:space="0" w:color="auto"/>
            </w:tcBorders>
          </w:tcPr>
          <w:p w:rsidR="00FE636A" w:rsidRPr="00EF4CFD" w:rsidRDefault="00FE636A" w:rsidP="00FE636A">
            <w:pPr>
              <w:pStyle w:val="Tabletext"/>
              <w:jc w:val="left"/>
              <w:rPr>
                <w:lang w:val="es-ES_tradnl"/>
              </w:rPr>
            </w:pPr>
            <w:r w:rsidRPr="00EF4CFD">
              <w:rPr>
                <w:lang w:val="es-ES_tradnl"/>
              </w:rPr>
              <w:t>* En TropoClim.txt, el mar está codificado como 0.</w:t>
            </w:r>
          </w:p>
        </w:tc>
      </w:tr>
    </w:tbl>
    <w:p w:rsidR="007E12D7" w:rsidRPr="00EF4CFD" w:rsidRDefault="007E12D7" w:rsidP="00FE636A">
      <w:pPr>
        <w:spacing w:before="0"/>
        <w:rPr>
          <w:lang w:val="es-ES_tradnl"/>
        </w:rPr>
      </w:pPr>
      <w:r>
        <w:rPr>
          <w:lang w:val="es-ES_tradnl"/>
        </w:rPr>
        <w:tab/>
      </w:r>
    </w:p>
    <w:p w:rsidR="007E12D7" w:rsidRPr="00EF4CFD" w:rsidRDefault="007E12D7" w:rsidP="007E12D7">
      <w:pPr>
        <w:spacing w:before="360"/>
        <w:rPr>
          <w:lang w:val="es-ES_tradnl"/>
        </w:rPr>
      </w:pPr>
      <w:r w:rsidRPr="00EF4CFD">
        <w:rPr>
          <w:i/>
          <w:lang w:val="es-ES_tradnl"/>
        </w:rPr>
        <w:t>Paso 3:</w:t>
      </w:r>
      <w:r w:rsidRPr="00EF4CFD">
        <w:rPr>
          <w:lang w:val="es-ES_tradnl"/>
        </w:rPr>
        <w:t xml:space="preserve"> Se calcula el ángulo de dispersión </w:t>
      </w:r>
      <w:r w:rsidRPr="00EF4CFD">
        <w:rPr>
          <w:rFonts w:ascii="Symbol" w:hAnsi="Symbol"/>
          <w:lang w:val="es-ES_tradnl"/>
        </w:rPr>
        <w:t></w:t>
      </w:r>
      <w:r w:rsidRPr="00EF4CFD">
        <w:rPr>
          <w:lang w:val="es-ES_tradnl"/>
        </w:rPr>
        <w:t xml:space="preserve"> (distancia angular) mediante la ecuación</w:t>
      </w:r>
    </w:p>
    <w:p w:rsidR="007E12D7" w:rsidRPr="00EF4CFD" w:rsidRDefault="007E12D7" w:rsidP="007E12D7">
      <w:pPr>
        <w:pStyle w:val="Blanc"/>
        <w:rPr>
          <w:lang w:val="es-ES_tradnl"/>
        </w:rPr>
      </w:pPr>
      <w:bookmarkStart w:id="5" w:name="F001"/>
    </w:p>
    <w:p w:rsidR="007E12D7" w:rsidRPr="00EF4CFD" w:rsidRDefault="007E12D7" w:rsidP="007E12D7">
      <w:pPr>
        <w:pStyle w:val="Equation"/>
        <w:rPr>
          <w:lang w:val="es-ES_tradnl"/>
        </w:rPr>
      </w:pPr>
      <w:r w:rsidRPr="00EF4CFD">
        <w:rPr>
          <w:lang w:val="es-ES_tradnl"/>
        </w:rPr>
        <w:tab/>
      </w:r>
      <w:r w:rsidRPr="00EF4CFD">
        <w:rPr>
          <w:lang w:val="es-ES_tradnl"/>
        </w:rPr>
        <w:tab/>
      </w:r>
      <w:r w:rsidRPr="00EF4CFD">
        <w:rPr>
          <w:position w:val="-14"/>
          <w:lang w:val="es-ES_tradnl"/>
        </w:rPr>
        <w:object w:dxaOrig="2000" w:dyaOrig="380">
          <v:shape id="_x0000_i1026" type="#_x0000_t75" style="width:99.9pt;height:18.9pt" o:ole="">
            <v:imagedata r:id="rId15" o:title=""/>
          </v:shape>
          <o:OLEObject Type="Embed" ProgID="Equation.3" ShapeID="_x0000_i1026" DrawAspect="Content" ObjectID="_1494319451" r:id="rId16"/>
        </w:object>
      </w:r>
      <w:r w:rsidRPr="00EF4CFD">
        <w:rPr>
          <w:lang w:val="es-ES_tradnl"/>
        </w:rPr>
        <w:t xml:space="preserve">      mrad</w:t>
      </w:r>
      <w:r w:rsidRPr="00EF4CFD">
        <w:rPr>
          <w:lang w:val="es-ES_tradnl"/>
        </w:rPr>
        <w:tab/>
        <w:t>(1)</w:t>
      </w:r>
      <w:bookmarkEnd w:id="5"/>
    </w:p>
    <w:p w:rsidR="007E12D7" w:rsidRPr="00EF4CFD" w:rsidRDefault="007E12D7" w:rsidP="007E12D7">
      <w:pPr>
        <w:keepNext/>
        <w:keepLines/>
        <w:rPr>
          <w:lang w:val="es-ES_tradnl"/>
        </w:rPr>
      </w:pPr>
      <w:r w:rsidRPr="00EF4CFD">
        <w:rPr>
          <w:lang w:val="es-ES_tradnl"/>
        </w:rPr>
        <w:t xml:space="preserve">donde </w:t>
      </w:r>
      <w:r w:rsidRPr="00EF4CFD">
        <w:rPr>
          <w:rFonts w:ascii="Symbol" w:hAnsi="Symbol"/>
          <w:lang w:val="es-ES_tradnl"/>
        </w:rPr>
        <w:t></w:t>
      </w:r>
      <w:r w:rsidRPr="00EF4CFD">
        <w:rPr>
          <w:i/>
          <w:iCs/>
          <w:vertAlign w:val="subscript"/>
          <w:lang w:val="es-ES_tradnl"/>
        </w:rPr>
        <w:t xml:space="preserve">t </w:t>
      </w:r>
      <w:r w:rsidRPr="00EF4CFD">
        <w:rPr>
          <w:lang w:val="es-ES_tradnl"/>
        </w:rPr>
        <w:t xml:space="preserve">y </w:t>
      </w:r>
      <w:r w:rsidRPr="00EF4CFD">
        <w:rPr>
          <w:rFonts w:ascii="Symbol" w:hAnsi="Symbol"/>
          <w:lang w:val="es-ES_tradnl"/>
        </w:rPr>
        <w:t></w:t>
      </w:r>
      <w:r w:rsidRPr="00EF4CFD">
        <w:rPr>
          <w:i/>
          <w:iCs/>
          <w:vertAlign w:val="subscript"/>
          <w:lang w:val="es-ES_tradnl"/>
        </w:rPr>
        <w:t>r</w:t>
      </w:r>
      <w:r w:rsidRPr="00EF4CFD">
        <w:rPr>
          <w:lang w:val="es-ES_tradnl"/>
        </w:rPr>
        <w:t xml:space="preserve"> son los ángulos al horizonte del transmisor y del receptor, respectivamente, y</w:t>
      </w:r>
    </w:p>
    <w:p w:rsidR="007E12D7" w:rsidRPr="00EF4CFD" w:rsidRDefault="007E12D7" w:rsidP="007E12D7">
      <w:pPr>
        <w:pStyle w:val="Blanc"/>
        <w:rPr>
          <w:lang w:val="es-ES_tradnl"/>
        </w:rPr>
      </w:pPr>
      <w:bookmarkStart w:id="6" w:name="F002"/>
    </w:p>
    <w:p w:rsidR="007E12D7" w:rsidRPr="00EF4CFD" w:rsidRDefault="007E12D7" w:rsidP="007E12D7">
      <w:pPr>
        <w:pStyle w:val="Equation"/>
        <w:rPr>
          <w:lang w:val="es-ES_tradnl"/>
        </w:rPr>
      </w:pPr>
      <w:r w:rsidRPr="00EF4CFD">
        <w:rPr>
          <w:lang w:val="es-ES_tradnl"/>
        </w:rPr>
        <w:tab/>
      </w:r>
      <w:r w:rsidRPr="00EF4CFD">
        <w:rPr>
          <w:lang w:val="es-ES_tradnl"/>
        </w:rPr>
        <w:tab/>
      </w:r>
      <w:r w:rsidRPr="00EF4CFD">
        <w:rPr>
          <w:position w:val="-12"/>
          <w:lang w:val="es-ES_tradnl"/>
        </w:rPr>
        <w:object w:dxaOrig="1760" w:dyaOrig="420">
          <v:shape id="_x0000_i1027" type="#_x0000_t75" style="width:88.2pt;height:20.7pt" o:ole="">
            <v:imagedata r:id="rId17" o:title=""/>
          </v:shape>
          <o:OLEObject Type="Embed" ProgID="Equation.3" ShapeID="_x0000_i1027" DrawAspect="Content" ObjectID="_1494319452" r:id="rId18"/>
        </w:object>
      </w:r>
      <w:r w:rsidRPr="00EF4CFD">
        <w:rPr>
          <w:lang w:val="es-ES_tradnl"/>
        </w:rPr>
        <w:t xml:space="preserve">          mrad</w:t>
      </w:r>
      <w:r w:rsidRPr="00EF4CFD">
        <w:rPr>
          <w:lang w:val="es-ES_tradnl"/>
        </w:rPr>
        <w:tab/>
        <w:t>(2)</w:t>
      </w:r>
      <w:bookmarkEnd w:id="6"/>
    </w:p>
    <w:p w:rsidR="007E12D7" w:rsidRPr="00EF4CFD" w:rsidRDefault="007E12D7" w:rsidP="007E12D7">
      <w:pPr>
        <w:rPr>
          <w:lang w:val="es-ES_tradnl"/>
        </w:rPr>
      </w:pPr>
      <w:r w:rsidRPr="00EF4CFD">
        <w:rPr>
          <w:lang w:val="es-ES_tradnl"/>
        </w:rPr>
        <w:t>siendo:</w:t>
      </w:r>
    </w:p>
    <w:p w:rsidR="007E12D7" w:rsidRPr="00EF4CFD" w:rsidRDefault="007E12D7" w:rsidP="007E12D7">
      <w:pPr>
        <w:pStyle w:val="Equationlegend"/>
        <w:rPr>
          <w:lang w:val="es-ES_tradnl"/>
        </w:rPr>
      </w:pPr>
      <w:r w:rsidRPr="00EF4CFD">
        <w:rPr>
          <w:i/>
          <w:lang w:val="es-ES_tradnl"/>
        </w:rPr>
        <w:tab/>
        <w:t xml:space="preserve">d </w:t>
      </w:r>
      <w:r w:rsidRPr="00EF4CFD">
        <w:rPr>
          <w:lang w:val="es-ES_tradnl"/>
        </w:rPr>
        <w:t>:</w:t>
      </w:r>
      <w:r w:rsidRPr="00EF4CFD">
        <w:rPr>
          <w:lang w:val="es-ES_tradnl"/>
        </w:rPr>
        <w:tab/>
        <w:t>la longitud del trayecto (km)</w:t>
      </w:r>
    </w:p>
    <w:p w:rsidR="007E12D7" w:rsidRPr="00EF4CFD" w:rsidRDefault="007E12D7" w:rsidP="007E12D7">
      <w:pPr>
        <w:pStyle w:val="Equationlegend"/>
        <w:rPr>
          <w:lang w:val="es-ES_tradnl"/>
        </w:rPr>
      </w:pPr>
      <w:r w:rsidRPr="00EF4CFD">
        <w:rPr>
          <w:i/>
          <w:lang w:val="es-ES_tradnl"/>
        </w:rPr>
        <w:tab/>
        <w:t>a</w:t>
      </w:r>
      <w:r w:rsidRPr="00EF4CFD">
        <w:rPr>
          <w:lang w:val="es-ES_tradnl"/>
        </w:rPr>
        <w:t xml:space="preserve"> </w:t>
      </w:r>
      <w:r w:rsidRPr="00EF4CFD">
        <w:rPr>
          <w:rFonts w:ascii="Symbol" w:hAnsi="Symbol"/>
          <w:lang w:val="es-ES_tradnl"/>
        </w:rPr>
        <w:t></w:t>
      </w:r>
      <w:r w:rsidRPr="00EF4CFD">
        <w:rPr>
          <w:lang w:val="es-ES_tradnl"/>
        </w:rPr>
        <w:tab/>
        <w:t>6 370 km, el radio de la Tierra, y</w:t>
      </w:r>
    </w:p>
    <w:p w:rsidR="007E12D7" w:rsidRPr="00EF4CFD" w:rsidRDefault="007E12D7" w:rsidP="007E12D7">
      <w:pPr>
        <w:pStyle w:val="Equationlegend"/>
        <w:rPr>
          <w:lang w:val="es-ES_tradnl"/>
        </w:rPr>
      </w:pPr>
      <w:r w:rsidRPr="00EF4CFD">
        <w:rPr>
          <w:i/>
          <w:lang w:val="es-ES_tradnl"/>
        </w:rPr>
        <w:tab/>
        <w:t xml:space="preserve">k </w:t>
      </w:r>
      <w:r w:rsidRPr="00EF4CFD">
        <w:rPr>
          <w:lang w:val="es-ES_tradnl"/>
        </w:rPr>
        <w:t>:</w:t>
      </w:r>
      <w:r w:rsidRPr="00EF4CFD">
        <w:rPr>
          <w:lang w:val="es-ES_tradnl"/>
        </w:rPr>
        <w:tab/>
        <w:t xml:space="preserve">factor de radio ficticio de la Tierra para las condiciones de refractividad medianas (debe utilizarse un valor de </w:t>
      </w:r>
      <w:r w:rsidRPr="00EF4CFD">
        <w:rPr>
          <w:i/>
          <w:lang w:val="es-ES_tradnl"/>
        </w:rPr>
        <w:t>k</w:t>
      </w:r>
      <w:r w:rsidRPr="00EF4CFD">
        <w:rPr>
          <w:lang w:val="es-ES_tradnl"/>
        </w:rPr>
        <w:t> </w:t>
      </w:r>
      <w:r w:rsidRPr="00EF4CFD">
        <w:rPr>
          <w:rFonts w:ascii="Symbol" w:hAnsi="Symbol"/>
          <w:lang w:val="es-ES_tradnl"/>
        </w:rPr>
        <w:t></w:t>
      </w:r>
      <w:r w:rsidRPr="00EF4CFD">
        <w:rPr>
          <w:lang w:val="es-ES_tradnl"/>
        </w:rPr>
        <w:t> 4/3 a menos que se conozca un valor más preciso).</w:t>
      </w:r>
    </w:p>
    <w:p w:rsidR="007E12D7" w:rsidRPr="00EF4CFD" w:rsidRDefault="007E12D7" w:rsidP="007E12D7">
      <w:pPr>
        <w:rPr>
          <w:lang w:val="es-ES_tradnl"/>
        </w:rPr>
      </w:pPr>
      <w:r w:rsidRPr="00EF4CFD">
        <w:rPr>
          <w:i/>
          <w:lang w:val="es-ES_tradnl"/>
        </w:rPr>
        <w:t>Paso 4:</w:t>
      </w:r>
      <w:r w:rsidRPr="00EF4CFD">
        <w:rPr>
          <w:lang w:val="es-ES_tradnl"/>
        </w:rPr>
        <w:t xml:space="preserve"> Se estima la dependencia de la pérdida de transmisión </w:t>
      </w:r>
      <w:r w:rsidRPr="00EF4CFD">
        <w:rPr>
          <w:i/>
          <w:lang w:val="es-ES_tradnl"/>
        </w:rPr>
        <w:t>L</w:t>
      </w:r>
      <w:r w:rsidRPr="00EF4CFD">
        <w:rPr>
          <w:i/>
          <w:position w:val="-4"/>
          <w:lang w:val="es-ES_tradnl"/>
        </w:rPr>
        <w:t>N</w:t>
      </w:r>
      <w:r w:rsidRPr="00EF4CFD">
        <w:rPr>
          <w:lang w:val="es-ES_tradnl"/>
        </w:rPr>
        <w:t xml:space="preserve"> con la altura del volumen común a partir de la ecuación:</w:t>
      </w:r>
    </w:p>
    <w:p w:rsidR="007E12D7" w:rsidRPr="00EF4CFD" w:rsidRDefault="007E12D7" w:rsidP="007E12D7">
      <w:pPr>
        <w:pStyle w:val="Blanc"/>
        <w:rPr>
          <w:lang w:val="es-ES_tradnl"/>
        </w:rPr>
      </w:pPr>
      <w:bookmarkStart w:id="7" w:name="F003"/>
    </w:p>
    <w:p w:rsidR="007E12D7" w:rsidRPr="00EF4CFD" w:rsidRDefault="007E12D7" w:rsidP="007E12D7">
      <w:pPr>
        <w:pStyle w:val="Equation"/>
        <w:rPr>
          <w:lang w:val="es-ES_tradnl"/>
        </w:rPr>
      </w:pPr>
      <w:r w:rsidRPr="00EF4CFD">
        <w:rPr>
          <w:lang w:val="es-ES_tradnl"/>
        </w:rPr>
        <w:tab/>
      </w:r>
      <w:r w:rsidRPr="00EF4CFD">
        <w:rPr>
          <w:lang w:val="es-ES_tradnl"/>
        </w:rPr>
        <w:tab/>
      </w:r>
      <w:r w:rsidRPr="00EF4CFD">
        <w:rPr>
          <w:position w:val="-14"/>
          <w:lang w:val="es-ES_tradnl"/>
        </w:rPr>
        <w:object w:dxaOrig="3280" w:dyaOrig="380">
          <v:shape id="_x0000_i1028" type="#_x0000_t75" style="width:164.7pt;height:18.9pt" o:ole="">
            <v:imagedata r:id="rId19" o:title=""/>
          </v:shape>
          <o:OLEObject Type="Embed" ProgID="Equation.3" ShapeID="_x0000_i1028" DrawAspect="Content" ObjectID="_1494319453" r:id="rId20"/>
        </w:object>
      </w:r>
      <w:r w:rsidRPr="00EF4CFD">
        <w:rPr>
          <w:lang w:val="es-ES_tradnl"/>
        </w:rPr>
        <w:t xml:space="preserve">         dB</w:t>
      </w:r>
      <w:r w:rsidRPr="00EF4CFD">
        <w:rPr>
          <w:lang w:val="es-ES_tradnl"/>
        </w:rPr>
        <w:tab/>
        <w:t>(3)</w:t>
      </w:r>
      <w:bookmarkEnd w:id="7"/>
    </w:p>
    <w:p w:rsidR="007E12D7" w:rsidRPr="00EF4CFD" w:rsidRDefault="007E12D7" w:rsidP="007E12D7">
      <w:pPr>
        <w:rPr>
          <w:lang w:val="es-ES_tradnl"/>
        </w:rPr>
      </w:pPr>
      <w:r w:rsidRPr="00EF4CFD">
        <w:rPr>
          <w:lang w:val="es-ES_tradnl"/>
        </w:rPr>
        <w:t>donde:</w:t>
      </w:r>
    </w:p>
    <w:p w:rsidR="007E12D7" w:rsidRPr="00EF4CFD" w:rsidRDefault="007E12D7" w:rsidP="007E12D7">
      <w:pPr>
        <w:pStyle w:val="Equation"/>
        <w:rPr>
          <w:lang w:val="es-ES_tradnl"/>
        </w:rPr>
      </w:pPr>
      <w:bookmarkStart w:id="8" w:name="F004"/>
      <w:r w:rsidRPr="00EF4CFD">
        <w:rPr>
          <w:lang w:val="es-ES_tradnl"/>
        </w:rPr>
        <w:tab/>
      </w:r>
      <w:r w:rsidRPr="00EF4CFD">
        <w:rPr>
          <w:lang w:val="es-ES_tradnl"/>
        </w:rPr>
        <w:tab/>
      </w:r>
      <w:r w:rsidRPr="00EF4CFD">
        <w:rPr>
          <w:position w:val="-10"/>
          <w:lang w:val="es-ES_tradnl"/>
        </w:rPr>
        <w:object w:dxaOrig="1719" w:dyaOrig="400">
          <v:shape id="_x0000_i1029" type="#_x0000_t75" style="width:85.5pt;height:20.7pt" o:ole="">
            <v:imagedata r:id="rId21" o:title=""/>
          </v:shape>
          <o:OLEObject Type="Embed" ProgID="Equation.3" ShapeID="_x0000_i1029" DrawAspect="Content" ObjectID="_1494319454" r:id="rId22"/>
        </w:object>
      </w:r>
      <w:r w:rsidRPr="00EF4CFD">
        <w:rPr>
          <w:lang w:val="es-ES_tradnl"/>
        </w:rPr>
        <w:t xml:space="preserve">        km</w:t>
      </w:r>
      <w:r w:rsidRPr="00EF4CFD">
        <w:rPr>
          <w:lang w:val="es-ES_tradnl"/>
        </w:rPr>
        <w:tab/>
        <w:t>(4)</w:t>
      </w:r>
      <w:bookmarkEnd w:id="8"/>
    </w:p>
    <w:p w:rsidR="007E12D7" w:rsidRPr="00EF4CFD" w:rsidRDefault="007E12D7" w:rsidP="007E12D7">
      <w:pPr>
        <w:pStyle w:val="Equation"/>
        <w:rPr>
          <w:lang w:val="es-ES_tradnl"/>
        </w:rPr>
      </w:pPr>
      <w:bookmarkStart w:id="9" w:name="F005"/>
      <w:r w:rsidRPr="00EF4CFD">
        <w:rPr>
          <w:lang w:val="es-ES_tradnl"/>
        </w:rPr>
        <w:tab/>
      </w:r>
      <w:r w:rsidRPr="00EF4CFD">
        <w:rPr>
          <w:lang w:val="es-ES_tradnl"/>
        </w:rPr>
        <w:tab/>
      </w:r>
      <w:r w:rsidRPr="00EF4CFD">
        <w:rPr>
          <w:position w:val="-10"/>
          <w:lang w:val="es-ES_tradnl"/>
        </w:rPr>
        <w:object w:dxaOrig="1840" w:dyaOrig="360">
          <v:shape id="_x0000_i1030" type="#_x0000_t75" style="width:91.8pt;height:18.9pt" o:ole="">
            <v:imagedata r:id="rId23" o:title=""/>
          </v:shape>
          <o:OLEObject Type="Embed" ProgID="Equation.3" ShapeID="_x0000_i1030" DrawAspect="Content" ObjectID="_1494319455" r:id="rId24"/>
        </w:object>
      </w:r>
      <w:r w:rsidRPr="00EF4CFD">
        <w:rPr>
          <w:lang w:val="es-ES_tradnl"/>
        </w:rPr>
        <w:t xml:space="preserve">       km</w:t>
      </w:r>
      <w:r w:rsidRPr="00EF4CFD">
        <w:rPr>
          <w:lang w:val="es-ES_tradnl"/>
        </w:rPr>
        <w:tab/>
        <w:t>(5)</w:t>
      </w:r>
      <w:bookmarkEnd w:id="9"/>
    </w:p>
    <w:p w:rsidR="007E12D7" w:rsidRPr="00EF4CFD" w:rsidRDefault="007E12D7" w:rsidP="007E12D7">
      <w:pPr>
        <w:rPr>
          <w:lang w:val="es-ES_tradnl"/>
        </w:rPr>
      </w:pPr>
      <w:r w:rsidRPr="00EF4CFD">
        <w:rPr>
          <w:lang w:val="es-ES_tradnl"/>
        </w:rPr>
        <w:t xml:space="preserve">y </w:t>
      </w:r>
      <w:r w:rsidRPr="00EF4CFD">
        <w:rPr>
          <w:rFonts w:ascii="Symbol" w:hAnsi="Symbol"/>
          <w:lang w:val="es-ES_tradnl"/>
        </w:rPr>
        <w:t></w:t>
      </w:r>
      <w:r w:rsidRPr="00EF4CFD">
        <w:rPr>
          <w:lang w:val="es-ES_tradnl"/>
        </w:rPr>
        <w:t xml:space="preserve"> es el parámetro de estructura atmosférica obtenido en el Paso 2.</w:t>
      </w:r>
    </w:p>
    <w:p w:rsidR="007E12D7" w:rsidRPr="00EF4CFD" w:rsidRDefault="007E12D7" w:rsidP="007E12D7">
      <w:pPr>
        <w:rPr>
          <w:lang w:val="es-ES_tradnl"/>
        </w:rPr>
      </w:pPr>
      <w:bookmarkStart w:id="10" w:name="dsgno"/>
      <w:bookmarkStart w:id="11" w:name="título"/>
      <w:bookmarkEnd w:id="10"/>
      <w:bookmarkEnd w:id="11"/>
      <w:r w:rsidRPr="00EF4CFD">
        <w:rPr>
          <w:i/>
          <w:lang w:val="es-ES_tradnl"/>
        </w:rPr>
        <w:lastRenderedPageBreak/>
        <w:t>Paso 5:</w:t>
      </w:r>
      <w:r w:rsidRPr="00EF4CFD">
        <w:rPr>
          <w:lang w:val="es-ES_tradnl"/>
        </w:rPr>
        <w:t> Se determina el factor de conversión </w:t>
      </w:r>
      <w:r w:rsidRPr="00EF4CFD">
        <w:rPr>
          <w:i/>
          <w:lang w:val="es-ES_tradnl"/>
        </w:rPr>
        <w:t>Y(q)</w:t>
      </w:r>
      <w:r w:rsidRPr="00EF4CFD">
        <w:rPr>
          <w:lang w:val="es-ES_tradnl"/>
        </w:rPr>
        <w:t xml:space="preserve"> para porcentajes de no rebasamiento </w:t>
      </w:r>
      <w:r w:rsidRPr="00EF4CFD">
        <w:rPr>
          <w:i/>
          <w:lang w:val="es-ES_tradnl"/>
        </w:rPr>
        <w:t>q</w:t>
      </w:r>
      <w:r w:rsidRPr="00EF4CFD">
        <w:rPr>
          <w:lang w:val="es-ES_tradnl"/>
        </w:rPr>
        <w:t xml:space="preserve"> distintos del 50% a partir de la fórmula:</w:t>
      </w:r>
    </w:p>
    <w:p w:rsidR="007E12D7" w:rsidRPr="00EF4CFD" w:rsidRDefault="007E12D7" w:rsidP="007E12D7">
      <w:pPr>
        <w:pStyle w:val="Blanc"/>
        <w:rPr>
          <w:lang w:val="es-ES_tradnl"/>
        </w:rPr>
      </w:pPr>
      <w:bookmarkStart w:id="12" w:name="F006"/>
    </w:p>
    <w:p w:rsidR="007E12D7" w:rsidRPr="00EF4CFD" w:rsidRDefault="007E12D7" w:rsidP="007E12D7">
      <w:pPr>
        <w:pStyle w:val="Equation"/>
        <w:rPr>
          <w:lang w:val="es-ES_tradnl"/>
        </w:rPr>
      </w:pPr>
      <w:r w:rsidRPr="00EF4CFD">
        <w:rPr>
          <w:lang w:val="es-ES_tradnl"/>
        </w:rPr>
        <w:tab/>
      </w:r>
      <w:r w:rsidRPr="00EF4CFD">
        <w:rPr>
          <w:lang w:val="es-ES_tradnl"/>
        </w:rPr>
        <w:tab/>
      </w:r>
      <w:r w:rsidRPr="00EF4CFD">
        <w:rPr>
          <w:position w:val="-10"/>
          <w:lang w:val="es-ES_tradnl"/>
        </w:rPr>
        <w:object w:dxaOrig="1900" w:dyaOrig="340">
          <v:shape id="_x0000_i1031" type="#_x0000_t75" style="width:95.4pt;height:17.1pt" o:ole="">
            <v:imagedata r:id="rId25" o:title=""/>
          </v:shape>
          <o:OLEObject Type="Embed" ProgID="Equation.3" ShapeID="_x0000_i1031" DrawAspect="Content" ObjectID="_1494319456" r:id="rId26"/>
        </w:object>
      </w:r>
      <w:r w:rsidR="00803F03">
        <w:rPr>
          <w:lang w:val="es-ES_tradnl"/>
        </w:rPr>
        <w:t xml:space="preserve">              dB</w:t>
      </w:r>
      <w:r w:rsidRPr="00EF4CFD">
        <w:rPr>
          <w:lang w:val="es-ES_tradnl"/>
        </w:rPr>
        <w:tab/>
        <w:t>(6)</w:t>
      </w:r>
      <w:bookmarkEnd w:id="12"/>
    </w:p>
    <w:p w:rsidR="007E12D7" w:rsidRPr="00EF4CFD" w:rsidRDefault="007E12D7" w:rsidP="007E12D7">
      <w:pPr>
        <w:pStyle w:val="Blanc"/>
        <w:rPr>
          <w:lang w:val="es-ES_tradnl"/>
        </w:rPr>
      </w:pPr>
    </w:p>
    <w:p w:rsidR="007E12D7" w:rsidRPr="00EF4CFD" w:rsidRDefault="007E12D7" w:rsidP="007E12D7">
      <w:pPr>
        <w:pStyle w:val="Equation"/>
        <w:rPr>
          <w:lang w:val="es-ES_tradnl"/>
        </w:rPr>
      </w:pPr>
      <w:r w:rsidRPr="00EF4CFD">
        <w:rPr>
          <w:lang w:val="es-ES_tradnl"/>
        </w:rPr>
        <w:t xml:space="preserve">En este caso, </w:t>
      </w:r>
      <w:r w:rsidRPr="00EF4CFD">
        <w:rPr>
          <w:i/>
          <w:lang w:val="es-ES_tradnl"/>
        </w:rPr>
        <w:t>Y</w:t>
      </w:r>
      <w:r w:rsidRPr="00EF4CFD">
        <w:rPr>
          <w:lang w:val="es-ES_tradnl"/>
        </w:rPr>
        <w:t xml:space="preserve">(90) es el factor de conversión para </w:t>
      </w:r>
      <w:r w:rsidRPr="00EF4CFD">
        <w:rPr>
          <w:i/>
          <w:lang w:val="es-ES_tradnl"/>
        </w:rPr>
        <w:t xml:space="preserve">q </w:t>
      </w:r>
      <w:r w:rsidRPr="00EF4CFD">
        <w:rPr>
          <w:rFonts w:ascii="Symbol" w:hAnsi="Symbol"/>
          <w:lang w:val="es-ES_tradnl"/>
        </w:rPr>
        <w:t></w:t>
      </w:r>
      <w:r w:rsidRPr="00EF4CFD">
        <w:rPr>
          <w:lang w:val="es-ES_tradnl"/>
        </w:rPr>
        <w:t xml:space="preserve"> 90% dado por la ecuación adecuada (7-11), como se indica en el Cuadro 2 para el clima correspondiente:</w:t>
      </w:r>
    </w:p>
    <w:p w:rsidR="007E12D7" w:rsidRPr="00EF4CFD" w:rsidRDefault="007E12D7" w:rsidP="007E12D7">
      <w:pPr>
        <w:pStyle w:val="Blanc"/>
        <w:rPr>
          <w:lang w:val="es-ES_tradnl"/>
        </w:rPr>
      </w:pPr>
      <w:bookmarkStart w:id="13" w:name="F007"/>
    </w:p>
    <w:p w:rsidR="00430373" w:rsidRPr="007117DA" w:rsidRDefault="00430373" w:rsidP="00430373">
      <w:pPr>
        <w:pStyle w:val="Equation"/>
        <w:tabs>
          <w:tab w:val="left" w:pos="2835"/>
        </w:tabs>
      </w:pPr>
      <w:r w:rsidRPr="00430373">
        <w:rPr>
          <w:lang w:val="es-ES_tradnl"/>
        </w:rPr>
        <w:tab/>
      </w:r>
      <w:r w:rsidRPr="00430373">
        <w:rPr>
          <w:lang w:val="es-ES_tradnl"/>
        </w:rPr>
        <w:tab/>
      </w:r>
      <w:r w:rsidRPr="007117DA">
        <w:rPr>
          <w:position w:val="-12"/>
        </w:rPr>
        <w:object w:dxaOrig="5280" w:dyaOrig="400">
          <v:shape id="_x0000_i1067" type="#_x0000_t75" style="width:261pt;height:19.8pt" o:ole="" fillcolor="window">
            <v:imagedata r:id="rId27" o:title=""/>
          </v:shape>
          <o:OLEObject Type="Embed" ProgID="Equation.3" ShapeID="_x0000_i1067" DrawAspect="Content" ObjectID="_1494319457" r:id="rId28"/>
        </w:object>
      </w:r>
      <w:r w:rsidRPr="007117DA">
        <w:tab/>
        <w:t>(7)</w:t>
      </w:r>
    </w:p>
    <w:p w:rsidR="007E12D7" w:rsidRPr="00EF4CFD" w:rsidRDefault="007E12D7" w:rsidP="007E12D7">
      <w:pPr>
        <w:pStyle w:val="Blanc"/>
        <w:rPr>
          <w:lang w:val="es-ES_tradnl"/>
        </w:rPr>
      </w:pPr>
    </w:p>
    <w:p w:rsidR="007E12D7" w:rsidRPr="00EF4CFD" w:rsidRDefault="007E12D7" w:rsidP="007E12D7">
      <w:pPr>
        <w:pStyle w:val="Equation"/>
        <w:rPr>
          <w:szCs w:val="22"/>
          <w:lang w:val="es-ES_tradnl"/>
        </w:rPr>
      </w:pPr>
      <w:r w:rsidRPr="00EF4CFD">
        <w:rPr>
          <w:szCs w:val="22"/>
          <w:lang w:val="es-ES_tradnl"/>
        </w:rPr>
        <w:tab/>
      </w:r>
      <w:r w:rsidRPr="00EF4CFD">
        <w:rPr>
          <w:szCs w:val="22"/>
          <w:lang w:val="es-ES_tradnl"/>
        </w:rPr>
        <w:tab/>
      </w:r>
      <w:r w:rsidRPr="00EF4CFD">
        <w:rPr>
          <w:position w:val="-12"/>
          <w:szCs w:val="22"/>
          <w:lang w:val="es-ES_tradnl"/>
        </w:rPr>
        <w:object w:dxaOrig="2780" w:dyaOrig="360">
          <v:shape id="_x0000_i1033" type="#_x0000_t75" style="width:138.6pt;height:18.9pt" o:ole="" fillcolor="window">
            <v:imagedata r:id="rId29" o:title=""/>
          </v:shape>
          <o:OLEObject Type="Embed" ProgID="Equation.3" ShapeID="_x0000_i1033" DrawAspect="Content" ObjectID="_1494319458" r:id="rId30"/>
        </w:object>
      </w:r>
      <w:r w:rsidRPr="00EF4CFD">
        <w:rPr>
          <w:szCs w:val="22"/>
          <w:lang w:val="es-ES_tradnl"/>
        </w:rPr>
        <w:tab/>
        <w:t>(8)</w:t>
      </w:r>
    </w:p>
    <w:p w:rsidR="007E12D7" w:rsidRPr="00EF4CFD" w:rsidRDefault="007E12D7" w:rsidP="007E12D7">
      <w:pPr>
        <w:pStyle w:val="Blanc"/>
        <w:rPr>
          <w:lang w:val="es-ES_tradnl"/>
        </w:rPr>
      </w:pPr>
    </w:p>
    <w:p w:rsidR="007E12D7" w:rsidRPr="00EF4CFD" w:rsidRDefault="007E12D7" w:rsidP="007E12D7">
      <w:pPr>
        <w:pStyle w:val="Equation"/>
        <w:tabs>
          <w:tab w:val="left" w:pos="6804"/>
        </w:tabs>
        <w:rPr>
          <w:szCs w:val="22"/>
          <w:lang w:val="es-ES_tradnl"/>
        </w:rPr>
      </w:pPr>
      <w:r w:rsidRPr="00EF4CFD">
        <w:rPr>
          <w:szCs w:val="22"/>
          <w:lang w:val="es-ES_tradnl"/>
        </w:rPr>
        <w:tab/>
      </w:r>
      <w:r w:rsidRPr="00EF4CFD">
        <w:rPr>
          <w:szCs w:val="22"/>
          <w:lang w:val="es-ES_tradnl"/>
        </w:rPr>
        <w:tab/>
      </w:r>
      <w:r w:rsidRPr="00EF4CFD">
        <w:rPr>
          <w:position w:val="-12"/>
          <w:szCs w:val="22"/>
          <w:lang w:val="es-ES_tradnl"/>
        </w:rPr>
        <w:object w:dxaOrig="1040" w:dyaOrig="360">
          <v:shape id="_x0000_i1034" type="#_x0000_t75" style="width:52.2pt;height:18.9pt" o:ole="" fillcolor="window">
            <v:imagedata r:id="rId31" o:title=""/>
          </v:shape>
          <o:OLEObject Type="Embed" ProgID="Equation.3" ShapeID="_x0000_i1034" DrawAspect="Content" ObjectID="_1494319459" r:id="rId32"/>
        </w:object>
      </w:r>
      <w:r w:rsidRPr="00EF4CFD">
        <w:rPr>
          <w:lang w:val="es-ES_tradnl"/>
        </w:rPr>
        <w:tab/>
      </w:r>
      <w:r w:rsidRPr="00EF4CFD">
        <w:rPr>
          <w:i/>
          <w:szCs w:val="22"/>
          <w:lang w:val="es-ES_tradnl"/>
        </w:rPr>
        <w:t>d</w:t>
      </w:r>
      <w:r w:rsidRPr="00EF4CFD">
        <w:rPr>
          <w:i/>
          <w:szCs w:val="22"/>
          <w:vertAlign w:val="subscript"/>
          <w:lang w:val="es-ES_tradnl"/>
        </w:rPr>
        <w:t>s</w:t>
      </w:r>
      <w:r w:rsidRPr="00EF4CFD">
        <w:rPr>
          <w:szCs w:val="22"/>
          <w:lang w:val="es-ES_tradnl"/>
        </w:rPr>
        <w:t> &lt; 100</w:t>
      </w:r>
      <w:r w:rsidRPr="00EF4CFD">
        <w:rPr>
          <w:szCs w:val="22"/>
          <w:lang w:val="es-ES_tradnl"/>
        </w:rPr>
        <w:tab/>
        <w:t>(9a)</w:t>
      </w:r>
    </w:p>
    <w:p w:rsidR="007E12D7" w:rsidRPr="00EF4CFD" w:rsidRDefault="007E12D7" w:rsidP="007E12D7">
      <w:pPr>
        <w:pStyle w:val="Blanc"/>
        <w:rPr>
          <w:lang w:val="es-ES_tradnl"/>
        </w:rPr>
      </w:pPr>
    </w:p>
    <w:p w:rsidR="00430373" w:rsidRPr="007117DA" w:rsidRDefault="00430373" w:rsidP="00430373">
      <w:pPr>
        <w:pStyle w:val="Equation"/>
        <w:tabs>
          <w:tab w:val="left" w:pos="2835"/>
          <w:tab w:val="left" w:pos="7088"/>
        </w:tabs>
      </w:pPr>
      <w:r w:rsidRPr="007117DA">
        <w:tab/>
      </w:r>
      <w:r w:rsidRPr="007117DA">
        <w:rPr>
          <w:position w:val="-12"/>
        </w:rPr>
        <w:object w:dxaOrig="5200" w:dyaOrig="380">
          <v:shape id="_x0000_i1073" type="#_x0000_t75" style="width:259.2pt;height:19.8pt" o:ole="" fillcolor="window">
            <v:imagedata r:id="rId33" o:title=""/>
          </v:shape>
          <o:OLEObject Type="Embed" ProgID="Equation.3" ShapeID="_x0000_i1073" DrawAspect="Content" ObjectID="_1494319460" r:id="rId34"/>
        </w:object>
      </w:r>
      <w:r w:rsidRPr="007117DA">
        <w:tab/>
        <w:t>100 ≤ </w:t>
      </w:r>
      <w:r w:rsidRPr="007117DA">
        <w:rPr>
          <w:i/>
        </w:rPr>
        <w:t>d</w:t>
      </w:r>
      <w:r w:rsidRPr="007117DA">
        <w:rPr>
          <w:i/>
          <w:vertAlign w:val="subscript"/>
        </w:rPr>
        <w:t>s</w:t>
      </w:r>
      <w:r w:rsidRPr="007117DA">
        <w:t> &lt; 1000</w:t>
      </w:r>
      <w:r w:rsidRPr="007117DA">
        <w:tab/>
        <w:t>(9b)</w:t>
      </w:r>
    </w:p>
    <w:p w:rsidR="007E12D7" w:rsidRPr="00EF4CFD" w:rsidRDefault="007E12D7" w:rsidP="007E12D7">
      <w:pPr>
        <w:pStyle w:val="Blanc"/>
        <w:rPr>
          <w:lang w:val="es-ES_tradnl"/>
        </w:rPr>
      </w:pPr>
    </w:p>
    <w:p w:rsidR="007E12D7" w:rsidRPr="00EF4CFD" w:rsidRDefault="007E12D7" w:rsidP="007E12D7">
      <w:pPr>
        <w:pStyle w:val="Equation"/>
        <w:tabs>
          <w:tab w:val="left" w:pos="6804"/>
        </w:tabs>
        <w:rPr>
          <w:szCs w:val="22"/>
          <w:lang w:val="es-ES_tradnl"/>
        </w:rPr>
      </w:pPr>
      <w:r w:rsidRPr="00EF4CFD">
        <w:rPr>
          <w:lang w:val="es-ES_tradnl"/>
        </w:rPr>
        <w:tab/>
      </w:r>
      <w:r w:rsidRPr="00EF4CFD">
        <w:rPr>
          <w:lang w:val="es-ES_tradnl"/>
        </w:rPr>
        <w:tab/>
      </w:r>
      <w:r w:rsidRPr="00EF4CFD">
        <w:rPr>
          <w:position w:val="-12"/>
          <w:lang w:val="es-ES_tradnl"/>
        </w:rPr>
        <w:object w:dxaOrig="1040" w:dyaOrig="360">
          <v:shape id="_x0000_i1036" type="#_x0000_t75" style="width:52.2pt;height:18.9pt" o:ole="" fillcolor="window">
            <v:imagedata r:id="rId35" o:title=""/>
          </v:shape>
          <o:OLEObject Type="Embed" ProgID="Equation.3" ShapeID="_x0000_i1036" DrawAspect="Content" ObjectID="_1494319461" r:id="rId36"/>
        </w:object>
      </w:r>
      <w:r w:rsidRPr="00EF4CFD">
        <w:rPr>
          <w:lang w:val="es-ES_tradnl"/>
        </w:rPr>
        <w:tab/>
        <w:t>de lo contrario</w:t>
      </w:r>
      <w:r w:rsidRPr="00EF4CFD">
        <w:rPr>
          <w:lang w:val="es-ES_tradnl"/>
        </w:rPr>
        <w:tab/>
        <w:t>(9c)</w:t>
      </w:r>
    </w:p>
    <w:p w:rsidR="007E12D7" w:rsidRPr="00EF4CFD" w:rsidRDefault="007E12D7" w:rsidP="007E12D7">
      <w:pPr>
        <w:pStyle w:val="Blanc"/>
        <w:rPr>
          <w:lang w:val="es-ES_tradnl"/>
        </w:rPr>
      </w:pPr>
    </w:p>
    <w:p w:rsidR="007E12D7" w:rsidRPr="00EF4CFD" w:rsidRDefault="007E12D7" w:rsidP="007E12D7">
      <w:pPr>
        <w:pStyle w:val="Equation"/>
        <w:keepNext/>
        <w:keepLines/>
        <w:tabs>
          <w:tab w:val="left" w:pos="6804"/>
        </w:tabs>
        <w:rPr>
          <w:szCs w:val="22"/>
          <w:lang w:val="es-ES_tradnl"/>
        </w:rPr>
      </w:pPr>
      <w:r w:rsidRPr="00EF4CFD">
        <w:rPr>
          <w:szCs w:val="22"/>
          <w:lang w:val="es-ES_tradnl"/>
        </w:rPr>
        <w:tab/>
      </w:r>
      <w:r w:rsidRPr="00EF4CFD">
        <w:rPr>
          <w:szCs w:val="22"/>
          <w:lang w:val="es-ES_tradnl"/>
        </w:rPr>
        <w:tab/>
      </w:r>
      <w:r w:rsidRPr="00EF4CFD">
        <w:rPr>
          <w:position w:val="-12"/>
          <w:szCs w:val="22"/>
          <w:lang w:val="es-ES_tradnl"/>
        </w:rPr>
        <w:object w:dxaOrig="1400" w:dyaOrig="360">
          <v:shape id="_x0000_i1037" type="#_x0000_t75" style="width:68.4pt;height:18.9pt" o:ole="" fillcolor="window">
            <v:imagedata r:id="rId37" o:title=""/>
          </v:shape>
          <o:OLEObject Type="Embed" ProgID="Equation.3" ShapeID="_x0000_i1037" DrawAspect="Content" ObjectID="_1494319462" r:id="rId38"/>
        </w:object>
      </w:r>
      <w:r w:rsidRPr="00EF4CFD">
        <w:rPr>
          <w:lang w:val="es-ES_tradnl"/>
        </w:rPr>
        <w:tab/>
      </w:r>
      <w:r w:rsidRPr="00EF4CFD">
        <w:rPr>
          <w:i/>
          <w:szCs w:val="22"/>
          <w:lang w:val="es-ES_tradnl"/>
        </w:rPr>
        <w:t>d</w:t>
      </w:r>
      <w:r w:rsidRPr="00EF4CFD">
        <w:rPr>
          <w:i/>
          <w:szCs w:val="22"/>
          <w:vertAlign w:val="subscript"/>
          <w:lang w:val="es-ES_tradnl"/>
        </w:rPr>
        <w:t>s</w:t>
      </w:r>
      <w:r w:rsidRPr="00EF4CFD">
        <w:rPr>
          <w:szCs w:val="22"/>
          <w:lang w:val="es-ES_tradnl"/>
        </w:rPr>
        <w:t> &lt; 100</w:t>
      </w:r>
      <w:r w:rsidRPr="00EF4CFD">
        <w:rPr>
          <w:szCs w:val="22"/>
          <w:lang w:val="es-ES_tradnl"/>
        </w:rPr>
        <w:tab/>
        <w:t>(10a)</w:t>
      </w:r>
    </w:p>
    <w:p w:rsidR="007E12D7" w:rsidRPr="00EF4CFD" w:rsidRDefault="007E12D7" w:rsidP="007E12D7">
      <w:pPr>
        <w:pStyle w:val="Blanc"/>
        <w:rPr>
          <w:lang w:val="es-ES_tradnl"/>
        </w:rPr>
      </w:pPr>
    </w:p>
    <w:p w:rsidR="00430373" w:rsidRPr="007117DA" w:rsidRDefault="00430373" w:rsidP="00430373">
      <w:pPr>
        <w:pStyle w:val="Equation"/>
        <w:tabs>
          <w:tab w:val="left" w:pos="2835"/>
          <w:tab w:val="left" w:pos="7088"/>
        </w:tabs>
      </w:pPr>
      <w:r w:rsidRPr="00430373">
        <w:rPr>
          <w:lang w:val="es-ES_tradnl"/>
        </w:rPr>
        <w:tab/>
      </w:r>
      <w:r w:rsidRPr="007117DA">
        <w:rPr>
          <w:position w:val="-12"/>
        </w:rPr>
        <w:object w:dxaOrig="4900" w:dyaOrig="380">
          <v:shape id="_x0000_i1079" type="#_x0000_t75" style="width:245.7pt;height:19.8pt" o:ole="" fillcolor="window">
            <v:imagedata r:id="rId39" o:title=""/>
          </v:shape>
          <o:OLEObject Type="Embed" ProgID="Equation.3" ShapeID="_x0000_i1079" DrawAspect="Content" ObjectID="_1494319463" r:id="rId40"/>
        </w:object>
      </w:r>
      <w:r w:rsidRPr="007117DA">
        <w:tab/>
        <w:t>100 ≤ </w:t>
      </w:r>
      <w:r w:rsidRPr="007117DA">
        <w:rPr>
          <w:i/>
        </w:rPr>
        <w:t>d</w:t>
      </w:r>
      <w:r w:rsidRPr="007117DA">
        <w:rPr>
          <w:i/>
          <w:vertAlign w:val="subscript"/>
        </w:rPr>
        <w:t>s</w:t>
      </w:r>
      <w:r w:rsidRPr="007117DA">
        <w:t> &lt; 465</w:t>
      </w:r>
      <w:r w:rsidRPr="007117DA">
        <w:tab/>
        <w:t>(10b)</w:t>
      </w:r>
    </w:p>
    <w:p w:rsidR="007E12D7" w:rsidRPr="00EF4CFD" w:rsidRDefault="007E12D7" w:rsidP="007E12D7">
      <w:pPr>
        <w:pStyle w:val="Blanc"/>
        <w:rPr>
          <w:lang w:val="es-ES_tradnl"/>
        </w:rPr>
      </w:pPr>
    </w:p>
    <w:p w:rsidR="007E12D7" w:rsidRPr="00EF4CFD" w:rsidRDefault="007E12D7" w:rsidP="00430373">
      <w:pPr>
        <w:pStyle w:val="Equation"/>
        <w:tabs>
          <w:tab w:val="left" w:pos="6804"/>
        </w:tabs>
        <w:rPr>
          <w:lang w:val="es-ES_tradnl"/>
        </w:rPr>
      </w:pPr>
      <w:r w:rsidRPr="00EF4CFD">
        <w:rPr>
          <w:szCs w:val="22"/>
          <w:lang w:val="es-ES_tradnl"/>
        </w:rPr>
        <w:tab/>
      </w:r>
      <w:r w:rsidRPr="00EF4CFD">
        <w:rPr>
          <w:szCs w:val="22"/>
          <w:lang w:val="es-ES_tradnl"/>
        </w:rPr>
        <w:tab/>
      </w:r>
      <w:r w:rsidR="00430373" w:rsidRPr="007117DA">
        <w:rPr>
          <w:position w:val="-12"/>
        </w:rPr>
        <w:object w:dxaOrig="1020" w:dyaOrig="360">
          <v:shape id="_x0000_i1084" type="#_x0000_t75" style="width:51.3pt;height:19.8pt" o:ole="" fillcolor="window">
            <v:imagedata r:id="rId41" o:title=""/>
          </v:shape>
          <o:OLEObject Type="Embed" ProgID="Equation.3" ShapeID="_x0000_i1084" DrawAspect="Content" ObjectID="_1494319464" r:id="rId42"/>
        </w:object>
      </w:r>
      <w:r w:rsidR="00430373">
        <w:tab/>
      </w:r>
      <w:r w:rsidRPr="00EF4CFD">
        <w:rPr>
          <w:szCs w:val="22"/>
          <w:lang w:val="es-ES_tradnl"/>
        </w:rPr>
        <w:t>de lo contrario</w:t>
      </w:r>
      <w:r w:rsidRPr="00EF4CFD">
        <w:rPr>
          <w:szCs w:val="22"/>
          <w:lang w:val="es-ES_tradnl"/>
        </w:rPr>
        <w:tab/>
        <w:t>(10c)</w:t>
      </w:r>
    </w:p>
    <w:p w:rsidR="00430373" w:rsidRPr="00EF4CFD" w:rsidRDefault="00430373" w:rsidP="00430373">
      <w:pPr>
        <w:pStyle w:val="Blanc"/>
        <w:rPr>
          <w:lang w:val="es-ES_tradnl"/>
        </w:rPr>
      </w:pPr>
    </w:p>
    <w:p w:rsidR="007E12D7" w:rsidRPr="00EF4CFD" w:rsidRDefault="007E12D7" w:rsidP="007E12D7">
      <w:pPr>
        <w:pStyle w:val="Equation"/>
        <w:tabs>
          <w:tab w:val="left" w:pos="6804"/>
        </w:tabs>
        <w:rPr>
          <w:lang w:val="es-ES_tradnl"/>
        </w:rPr>
      </w:pPr>
      <w:r w:rsidRPr="00EF4CFD">
        <w:rPr>
          <w:szCs w:val="22"/>
          <w:lang w:val="es-ES_tradnl"/>
        </w:rPr>
        <w:tab/>
      </w:r>
      <w:r w:rsidRPr="00EF4CFD">
        <w:rPr>
          <w:szCs w:val="22"/>
          <w:lang w:val="es-ES_tradnl"/>
        </w:rPr>
        <w:tab/>
      </w:r>
      <w:r w:rsidRPr="00EF4CFD">
        <w:rPr>
          <w:position w:val="-12"/>
          <w:szCs w:val="22"/>
          <w:lang w:val="es-ES_tradnl"/>
        </w:rPr>
        <w:object w:dxaOrig="1140" w:dyaOrig="360">
          <v:shape id="_x0000_i1040" type="#_x0000_t75" style="width:55.8pt;height:18.9pt" o:ole="" fillcolor="window">
            <v:imagedata r:id="rId43" o:title=""/>
          </v:shape>
          <o:OLEObject Type="Embed" ProgID="Equation.3" ShapeID="_x0000_i1040" DrawAspect="Content" ObjectID="_1494319465" r:id="rId44"/>
        </w:object>
      </w:r>
      <w:r w:rsidRPr="00EF4CFD">
        <w:rPr>
          <w:lang w:val="es-ES_tradnl"/>
        </w:rPr>
        <w:tab/>
      </w:r>
      <w:r w:rsidRPr="00EF4CFD">
        <w:rPr>
          <w:i/>
          <w:szCs w:val="22"/>
          <w:lang w:val="es-ES_tradnl"/>
        </w:rPr>
        <w:t>d</w:t>
      </w:r>
      <w:r w:rsidRPr="00EF4CFD">
        <w:rPr>
          <w:i/>
          <w:szCs w:val="22"/>
          <w:vertAlign w:val="subscript"/>
          <w:lang w:val="es-ES_tradnl"/>
        </w:rPr>
        <w:t>s</w:t>
      </w:r>
      <w:r w:rsidRPr="00EF4CFD">
        <w:rPr>
          <w:szCs w:val="22"/>
          <w:lang w:val="es-ES_tradnl"/>
        </w:rPr>
        <w:t> &lt; 100</w:t>
      </w:r>
      <w:r w:rsidRPr="00EF4CFD">
        <w:rPr>
          <w:szCs w:val="22"/>
          <w:lang w:val="es-ES_tradnl"/>
        </w:rPr>
        <w:tab/>
        <w:t>(11a)</w:t>
      </w:r>
    </w:p>
    <w:p w:rsidR="007E12D7" w:rsidRPr="00EF4CFD" w:rsidRDefault="007E12D7" w:rsidP="007E12D7">
      <w:pPr>
        <w:pStyle w:val="Blanc"/>
        <w:rPr>
          <w:lang w:val="es-ES_tradnl"/>
        </w:rPr>
      </w:pPr>
    </w:p>
    <w:p w:rsidR="00430373" w:rsidRPr="007117DA" w:rsidRDefault="00430373" w:rsidP="00430373">
      <w:pPr>
        <w:pStyle w:val="Equation"/>
        <w:tabs>
          <w:tab w:val="left" w:pos="2835"/>
          <w:tab w:val="left" w:pos="7088"/>
        </w:tabs>
      </w:pPr>
      <w:r w:rsidRPr="007117DA">
        <w:tab/>
      </w:r>
      <w:r w:rsidRPr="007117DA">
        <w:rPr>
          <w:position w:val="-12"/>
        </w:rPr>
        <w:object w:dxaOrig="5480" w:dyaOrig="380">
          <v:shape id="_x0000_i1090" type="#_x0000_t75" style="width:272.7pt;height:19.8pt" o:ole="" fillcolor="window">
            <v:imagedata r:id="rId45" o:title=""/>
          </v:shape>
          <o:OLEObject Type="Embed" ProgID="Equation.3" ShapeID="_x0000_i1090" DrawAspect="Content" ObjectID="_1494319466" r:id="rId46"/>
        </w:object>
      </w:r>
      <w:r w:rsidRPr="007117DA">
        <w:tab/>
        <w:t>100 ≤ </w:t>
      </w:r>
      <w:r w:rsidRPr="007117DA">
        <w:rPr>
          <w:i/>
        </w:rPr>
        <w:t>d</w:t>
      </w:r>
      <w:r w:rsidRPr="007117DA">
        <w:rPr>
          <w:i/>
          <w:vertAlign w:val="subscript"/>
        </w:rPr>
        <w:t>s</w:t>
      </w:r>
      <w:r w:rsidRPr="007117DA">
        <w:t> &lt; 550</w:t>
      </w:r>
      <w:r w:rsidRPr="007117DA">
        <w:tab/>
        <w:t>(11b)</w:t>
      </w:r>
    </w:p>
    <w:p w:rsidR="007E12D7" w:rsidRPr="00EF4CFD" w:rsidRDefault="007E12D7" w:rsidP="007E12D7">
      <w:pPr>
        <w:pStyle w:val="Blanc"/>
        <w:rPr>
          <w:lang w:val="es-ES_tradnl"/>
        </w:rPr>
      </w:pPr>
    </w:p>
    <w:p w:rsidR="007E12D7" w:rsidRPr="00EF4CFD" w:rsidRDefault="007E12D7" w:rsidP="007E12D7">
      <w:pPr>
        <w:pStyle w:val="Equation"/>
        <w:tabs>
          <w:tab w:val="left" w:pos="6804"/>
        </w:tabs>
        <w:rPr>
          <w:szCs w:val="22"/>
          <w:lang w:val="es-ES_tradnl"/>
        </w:rPr>
      </w:pPr>
      <w:r w:rsidRPr="00EF4CFD">
        <w:rPr>
          <w:szCs w:val="22"/>
          <w:lang w:val="es-ES_tradnl"/>
        </w:rPr>
        <w:tab/>
      </w:r>
      <w:r w:rsidRPr="00EF4CFD">
        <w:rPr>
          <w:szCs w:val="22"/>
          <w:lang w:val="es-ES_tradnl"/>
        </w:rPr>
        <w:tab/>
      </w:r>
      <w:r w:rsidR="00430373" w:rsidRPr="00EF4CFD">
        <w:rPr>
          <w:position w:val="-12"/>
          <w:szCs w:val="22"/>
          <w:lang w:val="es-ES_tradnl"/>
        </w:rPr>
        <w:object w:dxaOrig="840" w:dyaOrig="360">
          <v:shape id="_x0000_i1093" type="#_x0000_t75" style="width:42.3pt;height:18.9pt" o:ole="" fillcolor="window">
            <v:imagedata r:id="rId47" o:title=""/>
          </v:shape>
          <o:OLEObject Type="Embed" ProgID="Equation.3" ShapeID="_x0000_i1093" DrawAspect="Content" ObjectID="_1494319467" r:id="rId48"/>
        </w:object>
      </w:r>
      <w:r w:rsidRPr="00EF4CFD">
        <w:rPr>
          <w:lang w:val="es-ES_tradnl"/>
        </w:rPr>
        <w:tab/>
      </w:r>
      <w:r w:rsidRPr="00EF4CFD">
        <w:rPr>
          <w:szCs w:val="22"/>
          <w:lang w:val="es-ES_tradnl"/>
        </w:rPr>
        <w:t>de lo contrario</w:t>
      </w:r>
      <w:r w:rsidRPr="00EF4CFD">
        <w:rPr>
          <w:szCs w:val="22"/>
          <w:lang w:val="es-ES_tradnl"/>
        </w:rPr>
        <w:tab/>
        <w:t>(11c)</w:t>
      </w:r>
    </w:p>
    <w:p w:rsidR="007E12D7" w:rsidRPr="00EF4CFD" w:rsidRDefault="007E12D7" w:rsidP="007E12D7">
      <w:pPr>
        <w:pStyle w:val="Equation"/>
        <w:tabs>
          <w:tab w:val="left" w:pos="6804"/>
        </w:tabs>
        <w:rPr>
          <w:szCs w:val="22"/>
          <w:lang w:val="es-ES_tradnl"/>
        </w:rPr>
      </w:pPr>
      <w:r w:rsidRPr="00EF4CFD">
        <w:rPr>
          <w:szCs w:val="22"/>
          <w:lang w:val="es-ES_tradnl"/>
        </w:rPr>
        <w:t>donde:</w:t>
      </w:r>
    </w:p>
    <w:p w:rsidR="007E12D7" w:rsidRPr="00EF4CFD" w:rsidRDefault="007E12D7" w:rsidP="007E12D7">
      <w:pPr>
        <w:pStyle w:val="Equation"/>
        <w:tabs>
          <w:tab w:val="left" w:pos="6804"/>
        </w:tabs>
        <w:rPr>
          <w:szCs w:val="22"/>
          <w:lang w:val="es-ES_tradnl"/>
        </w:rPr>
      </w:pPr>
      <w:r w:rsidRPr="00EF4CFD">
        <w:rPr>
          <w:szCs w:val="22"/>
          <w:lang w:val="es-ES_tradnl"/>
        </w:rPr>
        <w:tab/>
      </w:r>
      <w:r w:rsidRPr="00EF4CFD">
        <w:rPr>
          <w:szCs w:val="22"/>
          <w:lang w:val="es-ES_tradnl"/>
        </w:rPr>
        <w:tab/>
      </w:r>
      <w:r w:rsidRPr="00EF4CFD">
        <w:rPr>
          <w:i/>
          <w:szCs w:val="22"/>
          <w:lang w:val="es-ES_tradnl"/>
        </w:rPr>
        <w:t>d</w:t>
      </w:r>
      <w:r w:rsidRPr="00EF4CFD">
        <w:rPr>
          <w:i/>
          <w:szCs w:val="22"/>
          <w:vertAlign w:val="subscript"/>
          <w:lang w:val="es-ES_tradnl"/>
        </w:rPr>
        <w:t>s</w:t>
      </w:r>
      <w:r w:rsidRPr="00EF4CFD">
        <w:rPr>
          <w:szCs w:val="22"/>
          <w:lang w:val="es-ES_tradnl"/>
        </w:rPr>
        <w:t xml:space="preserve">  = </w:t>
      </w:r>
      <w:r w:rsidRPr="00EF4CFD">
        <w:rPr>
          <w:rFonts w:ascii="Symbol" w:hAnsi="Symbol"/>
          <w:lang w:val="es-ES_tradnl"/>
        </w:rPr>
        <w:t></w:t>
      </w:r>
      <w:r w:rsidRPr="00EF4CFD">
        <w:rPr>
          <w:i/>
          <w:vertAlign w:val="subscript"/>
          <w:lang w:val="es-ES_tradnl"/>
        </w:rPr>
        <w:t>ka</w:t>
      </w:r>
      <w:r w:rsidRPr="00EF4CFD">
        <w:rPr>
          <w:rFonts w:ascii="Symbol" w:hAnsi="Symbol"/>
          <w:lang w:val="es-ES_tradnl"/>
        </w:rPr>
        <w:t></w:t>
      </w:r>
      <w:r w:rsidRPr="00EF4CFD">
        <w:rPr>
          <w:rFonts w:ascii="Symbol" w:hAnsi="Symbol"/>
          <w:lang w:val="es-ES_tradnl"/>
        </w:rPr>
        <w:t></w:t>
      </w:r>
      <w:r w:rsidRPr="00EF4CFD">
        <w:rPr>
          <w:rFonts w:ascii="Symbol" w:hAnsi="Symbol"/>
          <w:lang w:val="es-ES_tradnl"/>
        </w:rPr>
        <w:t></w:t>
      </w:r>
      <w:r w:rsidRPr="00EF4CFD">
        <w:rPr>
          <w:rFonts w:ascii="Symbol" w:hAnsi="Symbol"/>
          <w:lang w:val="es-ES_tradnl"/>
        </w:rPr>
        <w:t></w:t>
      </w:r>
      <w:r w:rsidRPr="00EF4CFD">
        <w:rPr>
          <w:rFonts w:ascii="Symbol" w:hAnsi="Symbol"/>
          <w:lang w:val="es-ES_tradnl"/>
        </w:rPr>
        <w:t></w:t>
      </w:r>
      <w:r w:rsidRPr="00EF4CFD">
        <w:rPr>
          <w:lang w:val="es-ES_tradnl"/>
        </w:rPr>
        <w:tab/>
      </w:r>
      <w:r w:rsidRPr="00EF4CFD">
        <w:rPr>
          <w:szCs w:val="22"/>
          <w:lang w:val="es-ES_tradnl"/>
        </w:rPr>
        <w:t>km</w:t>
      </w:r>
      <w:r w:rsidRPr="00EF4CFD">
        <w:rPr>
          <w:szCs w:val="22"/>
          <w:lang w:val="es-ES_tradnl"/>
        </w:rPr>
        <w:tab/>
        <w:t>(12)</w:t>
      </w:r>
    </w:p>
    <w:bookmarkEnd w:id="13"/>
    <w:p w:rsidR="007E12D7" w:rsidRPr="00EF4CFD" w:rsidRDefault="007E12D7" w:rsidP="007E12D7">
      <w:pPr>
        <w:spacing w:before="240"/>
        <w:rPr>
          <w:lang w:val="es-ES_tradnl"/>
        </w:rPr>
      </w:pPr>
      <w:r w:rsidRPr="00EF4CFD">
        <w:rPr>
          <w:lang w:val="es-ES_tradnl"/>
        </w:rPr>
        <w:t xml:space="preserve">El coeficiente </w:t>
      </w:r>
      <w:r w:rsidRPr="00EF4CFD">
        <w:rPr>
          <w:i/>
          <w:lang w:val="es-ES_tradnl"/>
        </w:rPr>
        <w:t>C</w:t>
      </w:r>
      <w:r w:rsidRPr="00EF4CFD">
        <w:rPr>
          <w:lang w:val="es-ES_tradnl"/>
        </w:rPr>
        <w:t>(</w:t>
      </w:r>
      <w:r w:rsidRPr="00EF4CFD">
        <w:rPr>
          <w:i/>
          <w:lang w:val="es-ES_tradnl"/>
        </w:rPr>
        <w:t>q</w:t>
      </w:r>
      <w:r w:rsidRPr="00EF4CFD">
        <w:rPr>
          <w:lang w:val="es-ES_tradnl"/>
        </w:rPr>
        <w:t xml:space="preserve">) para el porcentaje de tiempo </w:t>
      </w:r>
      <w:r w:rsidRPr="00EF4CFD">
        <w:rPr>
          <w:i/>
          <w:lang w:val="es-ES_tradnl"/>
        </w:rPr>
        <w:t>q</w:t>
      </w:r>
      <w:r w:rsidRPr="00EF4CFD">
        <w:rPr>
          <w:lang w:val="es-ES_tradnl"/>
        </w:rPr>
        <w:t xml:space="preserve"> de no rebasamiento en cuestión puede obtenerse a partir del Cuadro 3.</w:t>
      </w:r>
    </w:p>
    <w:p w:rsidR="007E12D7" w:rsidRPr="00EF4CFD" w:rsidRDefault="007E12D7" w:rsidP="007E12D7">
      <w:pPr>
        <w:pStyle w:val="TableNo"/>
        <w:spacing w:before="240"/>
        <w:rPr>
          <w:lang w:val="es-ES_tradnl"/>
        </w:rPr>
      </w:pPr>
      <w:r w:rsidRPr="00EF4CFD">
        <w:rPr>
          <w:lang w:val="es-ES_tradnl"/>
        </w:rPr>
        <w:t>CUADRO 3</w:t>
      </w:r>
    </w:p>
    <w:p w:rsidR="007E12D7" w:rsidRPr="00EF4CFD" w:rsidRDefault="007E12D7" w:rsidP="007E12D7">
      <w:pPr>
        <w:pStyle w:val="Tabletitle"/>
        <w:rPr>
          <w:lang w:val="es-ES_tradnl"/>
        </w:rPr>
      </w:pPr>
      <w:r w:rsidRPr="00EF4CFD">
        <w:rPr>
          <w:lang w:val="es-ES_tradnl"/>
        </w:rPr>
        <w:t xml:space="preserve">Valores de interés de </w:t>
      </w:r>
      <w:r w:rsidRPr="00EF4CFD">
        <w:rPr>
          <w:i/>
          <w:lang w:val="es-ES_tradnl"/>
        </w:rPr>
        <w:t>C</w:t>
      </w:r>
      <w:r w:rsidRPr="00EF4CFD">
        <w:rPr>
          <w:lang w:val="es-ES_tradnl"/>
        </w:rPr>
        <w:t>(</w:t>
      </w:r>
      <w:r w:rsidRPr="00EF4CFD">
        <w:rPr>
          <w:i/>
          <w:lang w:val="es-ES_tradnl"/>
        </w:rPr>
        <w:t>q</w:t>
      </w:r>
      <w:r w:rsidRPr="00EF4CFD">
        <w:rPr>
          <w:lang w:val="es-ES_tradnl"/>
        </w:rPr>
        <w:t>)</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7E12D7" w:rsidRPr="00EF4CFD" w:rsidTr="001572BA">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i/>
                <w:iCs/>
                <w:lang w:val="es-ES_tradnl"/>
              </w:rPr>
            </w:pPr>
            <w:r w:rsidRPr="00EF4CFD">
              <w:rPr>
                <w:i/>
                <w:iCs/>
                <w:lang w:val="es-ES_tradnl"/>
              </w:rPr>
              <w:t>q</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50</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90</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99</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99,9</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99,99</w:t>
            </w:r>
          </w:p>
        </w:tc>
      </w:tr>
      <w:tr w:rsidR="007E12D7" w:rsidRPr="00EF4CFD" w:rsidTr="001572BA">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i/>
                <w:iCs/>
                <w:lang w:val="es-ES_tradnl"/>
              </w:rPr>
            </w:pPr>
            <w:r w:rsidRPr="00EF4CFD">
              <w:rPr>
                <w:i/>
                <w:iCs/>
                <w:lang w:val="es-ES_tradnl"/>
              </w:rPr>
              <w:t>C(q)</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0</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1</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1,82</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2,41</w:t>
            </w:r>
          </w:p>
        </w:tc>
        <w:tc>
          <w:tcPr>
            <w:tcW w:w="1134" w:type="dxa"/>
            <w:tcBorders>
              <w:top w:val="single" w:sz="6" w:space="0" w:color="auto"/>
              <w:left w:val="single" w:sz="6" w:space="0" w:color="auto"/>
              <w:bottom w:val="single" w:sz="6" w:space="0" w:color="auto"/>
              <w:right w:val="single" w:sz="6" w:space="0" w:color="auto"/>
            </w:tcBorders>
            <w:vAlign w:val="center"/>
          </w:tcPr>
          <w:p w:rsidR="007E12D7" w:rsidRPr="00EF4CFD" w:rsidRDefault="007E12D7" w:rsidP="001572BA">
            <w:pPr>
              <w:pStyle w:val="Tabletext"/>
              <w:jc w:val="center"/>
              <w:rPr>
                <w:lang w:val="es-ES_tradnl"/>
              </w:rPr>
            </w:pPr>
            <w:r w:rsidRPr="00EF4CFD">
              <w:rPr>
                <w:lang w:val="es-ES_tradnl"/>
              </w:rPr>
              <w:t>2,90</w:t>
            </w:r>
          </w:p>
        </w:tc>
      </w:tr>
    </w:tbl>
    <w:p w:rsidR="007E12D7" w:rsidRPr="001024A4" w:rsidRDefault="007E12D7" w:rsidP="007E12D7">
      <w:pPr>
        <w:pStyle w:val="Tablefin"/>
        <w:rPr>
          <w:sz w:val="16"/>
          <w:szCs w:val="16"/>
          <w:lang w:val="es-ES_tradnl"/>
        </w:rPr>
      </w:pPr>
    </w:p>
    <w:p w:rsidR="007E12D7" w:rsidRPr="00EF4CFD" w:rsidRDefault="007E12D7" w:rsidP="007E12D7">
      <w:pPr>
        <w:rPr>
          <w:lang w:val="es-ES_tradnl"/>
        </w:rPr>
      </w:pPr>
      <w:r w:rsidRPr="00EF4CFD">
        <w:rPr>
          <w:i/>
          <w:lang w:val="es-ES_tradnl"/>
        </w:rPr>
        <w:t>Paso 6:</w:t>
      </w:r>
      <w:r w:rsidRPr="00EF4CFD">
        <w:rPr>
          <w:lang w:val="es-ES_tradnl"/>
        </w:rPr>
        <w:t xml:space="preserve"> Se calcula la pérdida de acoplamiento entre la antena y el medio, </w:t>
      </w:r>
      <w:r w:rsidRPr="00EF4CFD">
        <w:rPr>
          <w:i/>
          <w:lang w:val="es-ES_tradnl"/>
        </w:rPr>
        <w:t>L</w:t>
      </w:r>
      <w:r w:rsidRPr="00EF4CFD">
        <w:rPr>
          <w:i/>
          <w:position w:val="-4"/>
          <w:lang w:val="es-ES_tradnl"/>
        </w:rPr>
        <w:t>c</w:t>
      </w:r>
      <w:r w:rsidRPr="00EF4CFD">
        <w:rPr>
          <w:lang w:val="es-ES_tradnl"/>
        </w:rPr>
        <w:t>, a partir de la ecuación:</w:t>
      </w:r>
    </w:p>
    <w:p w:rsidR="007E12D7" w:rsidRPr="00EF4CFD" w:rsidRDefault="007E12D7" w:rsidP="007E12D7">
      <w:pPr>
        <w:pStyle w:val="Equation"/>
        <w:rPr>
          <w:lang w:val="es-ES_tradnl"/>
        </w:rPr>
      </w:pPr>
      <w:bookmarkStart w:id="14" w:name="F010"/>
      <w:r w:rsidRPr="00EF4CFD">
        <w:rPr>
          <w:lang w:val="es-ES_tradnl"/>
        </w:rPr>
        <w:tab/>
      </w:r>
      <w:r w:rsidRPr="00EF4CFD">
        <w:rPr>
          <w:lang w:val="es-ES_tradnl"/>
        </w:rPr>
        <w:tab/>
      </w:r>
      <w:r w:rsidRPr="00EF4CFD">
        <w:rPr>
          <w:position w:val="-12"/>
          <w:lang w:val="es-ES_tradnl"/>
        </w:rPr>
        <w:object w:dxaOrig="3180" w:dyaOrig="360">
          <v:shape id="_x0000_i1043" type="#_x0000_t75" style="width:157.5pt;height:18.9pt" o:ole="">
            <v:imagedata r:id="rId49" o:title=""/>
          </v:shape>
          <o:OLEObject Type="Embed" ProgID="Equation.3" ShapeID="_x0000_i1043" DrawAspect="Content" ObjectID="_1494319468" r:id="rId50"/>
        </w:object>
      </w:r>
      <w:r w:rsidRPr="00EF4CFD">
        <w:rPr>
          <w:lang w:val="es-ES_tradnl"/>
        </w:rPr>
        <w:t xml:space="preserve">       dB</w:t>
      </w:r>
      <w:r w:rsidRPr="00EF4CFD">
        <w:rPr>
          <w:lang w:val="es-ES_tradnl"/>
        </w:rPr>
        <w:tab/>
        <w:t>(13)</w:t>
      </w:r>
      <w:bookmarkEnd w:id="14"/>
    </w:p>
    <w:p w:rsidR="007E12D7" w:rsidRPr="00EF4CFD" w:rsidRDefault="007E12D7" w:rsidP="007E12D7">
      <w:pPr>
        <w:rPr>
          <w:lang w:val="es-ES_tradnl"/>
        </w:rPr>
      </w:pPr>
      <w:r w:rsidRPr="00EF4CFD">
        <w:rPr>
          <w:lang w:val="es-ES_tradnl"/>
        </w:rPr>
        <w:lastRenderedPageBreak/>
        <w:t xml:space="preserve">donde </w:t>
      </w:r>
      <w:r w:rsidRPr="00EF4CFD">
        <w:rPr>
          <w:i/>
          <w:lang w:val="es-ES_tradnl"/>
        </w:rPr>
        <w:t>G</w:t>
      </w:r>
      <w:r w:rsidRPr="00EF4CFD">
        <w:rPr>
          <w:i/>
          <w:iCs/>
          <w:vertAlign w:val="subscript"/>
          <w:lang w:val="es-ES_tradnl"/>
        </w:rPr>
        <w:t>t</w:t>
      </w:r>
      <w:r w:rsidRPr="00EF4CFD">
        <w:rPr>
          <w:lang w:val="es-ES_tradnl"/>
        </w:rPr>
        <w:t xml:space="preserve"> y </w:t>
      </w:r>
      <w:r w:rsidRPr="00EF4CFD">
        <w:rPr>
          <w:i/>
          <w:lang w:val="es-ES_tradnl"/>
        </w:rPr>
        <w:t>G</w:t>
      </w:r>
      <w:r w:rsidRPr="00EF4CFD">
        <w:rPr>
          <w:i/>
          <w:iCs/>
          <w:vertAlign w:val="subscript"/>
          <w:lang w:val="es-ES_tradnl"/>
        </w:rPr>
        <w:t>r</w:t>
      </w:r>
      <w:r w:rsidRPr="00EF4CFD">
        <w:rPr>
          <w:lang w:val="es-ES_tradnl"/>
        </w:rPr>
        <w:t xml:space="preserve"> son las ganancias de antena.</w:t>
      </w:r>
    </w:p>
    <w:p w:rsidR="007E12D7" w:rsidRPr="00EF4CFD" w:rsidRDefault="007E12D7" w:rsidP="007E12D7">
      <w:pPr>
        <w:keepNext/>
        <w:rPr>
          <w:lang w:val="es-ES_tradnl"/>
        </w:rPr>
      </w:pPr>
      <w:r w:rsidRPr="00EF4CFD">
        <w:rPr>
          <w:i/>
          <w:lang w:val="es-ES_tradnl"/>
        </w:rPr>
        <w:t>Paso 7:</w:t>
      </w:r>
      <w:r w:rsidRPr="00EF4CFD">
        <w:rPr>
          <w:lang w:val="es-ES_tradnl"/>
        </w:rPr>
        <w:t xml:space="preserve"> Se calcula la pérdida de transmisión media anual no superada durante el </w:t>
      </w:r>
      <w:r w:rsidRPr="00EF4CFD">
        <w:rPr>
          <w:i/>
          <w:lang w:val="es-ES_tradnl"/>
        </w:rPr>
        <w:t>q</w:t>
      </w:r>
      <w:r w:rsidRPr="00EF4CFD">
        <w:rPr>
          <w:lang w:val="es-ES_tradnl"/>
        </w:rPr>
        <w:t>% del tiempo a partir de la ecuación:</w:t>
      </w:r>
    </w:p>
    <w:p w:rsidR="007E12D7" w:rsidRPr="00EF4CFD" w:rsidRDefault="007E12D7" w:rsidP="007E12D7">
      <w:pPr>
        <w:pStyle w:val="Blanc"/>
        <w:rPr>
          <w:lang w:val="es-ES_tradnl"/>
        </w:rPr>
      </w:pPr>
    </w:p>
    <w:p w:rsidR="007E12D7" w:rsidRPr="00EF4CFD" w:rsidRDefault="007E12D7" w:rsidP="007E12D7">
      <w:pPr>
        <w:pStyle w:val="Equation"/>
        <w:rPr>
          <w:lang w:val="es-ES_tradnl"/>
        </w:rPr>
      </w:pPr>
      <w:r w:rsidRPr="00EF4CFD">
        <w:rPr>
          <w:lang w:val="es-ES_tradnl"/>
        </w:rPr>
        <w:tab/>
      </w:r>
      <w:r w:rsidRPr="00EF4CFD">
        <w:rPr>
          <w:position w:val="-14"/>
          <w:lang w:val="es-ES_tradnl"/>
        </w:rPr>
        <w:object w:dxaOrig="7040" w:dyaOrig="380">
          <v:shape id="_x0000_i1044" type="#_x0000_t75" style="width:352.8pt;height:18.9pt" o:ole="">
            <v:imagedata r:id="rId51" o:title=""/>
          </v:shape>
          <o:OLEObject Type="Embed" ProgID="Equation.3" ShapeID="_x0000_i1044" DrawAspect="Content" ObjectID="_1494319469" r:id="rId52"/>
        </w:object>
      </w:r>
      <w:r w:rsidRPr="00EF4CFD">
        <w:rPr>
          <w:lang w:val="es-ES_tradnl"/>
        </w:rPr>
        <w:t xml:space="preserve">      dB</w:t>
      </w:r>
      <w:bookmarkStart w:id="15" w:name="F011"/>
      <w:r w:rsidRPr="00EF4CFD">
        <w:rPr>
          <w:lang w:val="es-ES_tradnl"/>
        </w:rPr>
        <w:tab/>
        <w:t>(14)</w:t>
      </w:r>
      <w:bookmarkEnd w:id="15"/>
    </w:p>
    <w:p w:rsidR="007E12D7" w:rsidRPr="00EF4CFD" w:rsidRDefault="007E12D7" w:rsidP="007E12D7">
      <w:pPr>
        <w:pStyle w:val="Note"/>
        <w:rPr>
          <w:lang w:val="es-ES_tradnl"/>
        </w:rPr>
      </w:pPr>
      <w:r w:rsidRPr="00EF4CFD">
        <w:rPr>
          <w:lang w:val="es-ES_tradnl"/>
        </w:rPr>
        <w:t>NOTA 1 – La ecuación (14) es una fórmula empírica basada en los datos para la gama de frecuencias entre 200 MHz y 4 GHz. Puede ampliarse hasta 5 GHz introduciendo muy poco error para la mayoría de las aplicaciones.</w:t>
      </w:r>
    </w:p>
    <w:p w:rsidR="007E12D7" w:rsidRPr="00EF4CFD" w:rsidRDefault="007E12D7" w:rsidP="007E12D7">
      <w:pPr>
        <w:pStyle w:val="Heading2"/>
        <w:rPr>
          <w:lang w:val="es-ES_tradnl"/>
        </w:rPr>
      </w:pPr>
      <w:r w:rsidRPr="00EF4CFD">
        <w:rPr>
          <w:lang w:val="es-ES_tradnl"/>
        </w:rPr>
        <w:t>4.2</w:t>
      </w:r>
      <w:r w:rsidRPr="00EF4CFD">
        <w:rPr>
          <w:lang w:val="es-ES_tradnl"/>
        </w:rPr>
        <w:tab/>
        <w:t>Valor medio de la distribución de la pérdida de la transmisión mediana en el mes más desfavorable para porcentajes de tiempo superiores al 50%</w:t>
      </w:r>
    </w:p>
    <w:p w:rsidR="007E12D7" w:rsidRPr="00EF4CFD" w:rsidRDefault="007E12D7" w:rsidP="007E12D7">
      <w:pPr>
        <w:rPr>
          <w:lang w:val="es-ES_tradnl"/>
        </w:rPr>
      </w:pPr>
      <w:r w:rsidRPr="00EF4CFD">
        <w:rPr>
          <w:lang w:val="es-ES_tradnl"/>
        </w:rPr>
        <w:t>Por razones de coherencia con la distribución de la pérdida de transmisión media anual, esta distribución se determina más adecuadamente a partir del valor medio de la distribución anual mediante un factor de conversión. El procedimiento es el siguiente:</w:t>
      </w:r>
    </w:p>
    <w:p w:rsidR="007E12D7" w:rsidRPr="00EF4CFD" w:rsidRDefault="007E12D7" w:rsidP="007E12D7">
      <w:pPr>
        <w:rPr>
          <w:lang w:val="es-ES_tradnl"/>
        </w:rPr>
      </w:pPr>
      <w:r w:rsidRPr="00EF4CFD">
        <w:rPr>
          <w:i/>
          <w:lang w:val="es-ES_tradnl"/>
        </w:rPr>
        <w:t>Paso 1:</w:t>
      </w:r>
      <w:r w:rsidRPr="00EF4CFD">
        <w:rPr>
          <w:lang w:val="es-ES_tradnl"/>
        </w:rPr>
        <w:t> Se obtiene la distribución media anual para los porcentajes de tiempo de no rebasamiento (50, 90, 99 y 99,9) y el clima o climas de interés utilizando la técnica descrita en el § 4.1.</w:t>
      </w:r>
    </w:p>
    <w:p w:rsidR="007E12D7" w:rsidRPr="00EF4CFD" w:rsidRDefault="007E12D7" w:rsidP="007E12D7">
      <w:pPr>
        <w:rPr>
          <w:lang w:val="es-ES_tradnl"/>
        </w:rPr>
      </w:pPr>
      <w:r w:rsidRPr="00EF4CFD">
        <w:rPr>
          <w:i/>
          <w:lang w:val="es-ES_tradnl"/>
        </w:rPr>
        <w:t>Paso 2:</w:t>
      </w:r>
      <w:r w:rsidRPr="00EF4CFD">
        <w:rPr>
          <w:lang w:val="es-ES_tradnl"/>
        </w:rPr>
        <w:t> Se obtiene la diferencia de pérdida de transmisión básica entre la distribución media anual y la distribución media del mes más desfavorable a partir de las curvas de la Fig. 2. Como, debido a la falta de datos, no se dispone de estas curvas, para los climas 2 ó 5, para el clima 2 deben utilizarse las curvas para el clima 3, y para el clima 5 deben utilizarse las curvas del clima 6.</w:t>
      </w:r>
    </w:p>
    <w:p w:rsidR="007E12D7" w:rsidRPr="00EF4CFD" w:rsidRDefault="007E12D7" w:rsidP="007E12D7">
      <w:pPr>
        <w:rPr>
          <w:lang w:val="es-ES_tradnl"/>
        </w:rPr>
      </w:pPr>
      <w:r w:rsidRPr="00EF4CFD">
        <w:rPr>
          <w:lang w:val="es-ES_tradnl"/>
        </w:rPr>
        <w:t>La distancia equivalente utilizada en la Figura 2 se define como:</w:t>
      </w:r>
    </w:p>
    <w:p w:rsidR="007E12D7" w:rsidRPr="0088203C" w:rsidRDefault="007E12D7" w:rsidP="0088203C">
      <w:pPr>
        <w:tabs>
          <w:tab w:val="clear" w:pos="1191"/>
          <w:tab w:val="clear" w:pos="1588"/>
          <w:tab w:val="clear" w:pos="1985"/>
          <w:tab w:val="center" w:pos="4820"/>
          <w:tab w:val="right" w:pos="9639"/>
        </w:tabs>
        <w:rPr>
          <w:szCs w:val="24"/>
          <w:lang w:val="es-ES_tradnl"/>
        </w:rPr>
      </w:pPr>
      <w:r w:rsidRPr="0088203C">
        <w:rPr>
          <w:szCs w:val="24"/>
          <w:lang w:val="es-ES_tradnl"/>
        </w:rPr>
        <w:tab/>
      </w:r>
      <w:r w:rsidRPr="0088203C">
        <w:rPr>
          <w:szCs w:val="24"/>
          <w:lang w:val="es-ES_tradnl"/>
        </w:rPr>
        <w:tab/>
      </w:r>
      <w:r w:rsidRPr="0088203C">
        <w:rPr>
          <w:position w:val="-14"/>
          <w:szCs w:val="24"/>
          <w:lang w:val="es-ES_tradnl"/>
        </w:rPr>
        <w:object w:dxaOrig="1960" w:dyaOrig="380">
          <v:shape id="_x0000_i1045" type="#_x0000_t75" style="width:98.1pt;height:19.8pt" o:ole="" fillcolor="window">
            <v:imagedata r:id="rId53" o:title=""/>
          </v:shape>
          <o:OLEObject Type="Embed" ProgID="Equation.3" ShapeID="_x0000_i1045" DrawAspect="Content" ObjectID="_1494319470" r:id="rId54"/>
        </w:object>
      </w:r>
      <w:r w:rsidRPr="0088203C">
        <w:rPr>
          <w:szCs w:val="24"/>
          <w:lang w:val="es-ES_tradnl"/>
        </w:rPr>
        <w:t>              </w:t>
      </w:r>
      <w:r w:rsidR="0088203C" w:rsidRPr="00430373">
        <w:rPr>
          <w:lang w:val="es-ES_tradnl"/>
        </w:rPr>
        <w:t>km</w:t>
      </w:r>
      <w:r w:rsidRPr="0088203C">
        <w:rPr>
          <w:szCs w:val="24"/>
          <w:lang w:val="es-ES_tradnl"/>
        </w:rPr>
        <w:tab/>
        <w:t>(15)</w:t>
      </w:r>
    </w:p>
    <w:p w:rsidR="007E12D7" w:rsidRPr="00EF4CFD" w:rsidRDefault="007E12D7" w:rsidP="007E12D7">
      <w:pPr>
        <w:tabs>
          <w:tab w:val="clear" w:pos="794"/>
          <w:tab w:val="clear" w:pos="1191"/>
          <w:tab w:val="clear" w:pos="1588"/>
          <w:tab w:val="clear" w:pos="1985"/>
          <w:tab w:val="left" w:pos="1134"/>
          <w:tab w:val="center" w:pos="4820"/>
          <w:tab w:val="right" w:pos="9639"/>
        </w:tabs>
        <w:jc w:val="left"/>
        <w:rPr>
          <w:lang w:val="es-ES_tradnl"/>
        </w:rPr>
      </w:pPr>
      <w:r w:rsidRPr="00EF4CFD">
        <w:rPr>
          <w:szCs w:val="24"/>
          <w:lang w:val="es-ES_tradnl"/>
        </w:rPr>
        <w:t>donde los símbolos tienen el mismo valor evaluado en el § 4.1</w:t>
      </w:r>
    </w:p>
    <w:p w:rsidR="007E12D7" w:rsidRPr="00EF4CFD" w:rsidRDefault="007E12D7" w:rsidP="007E12D7">
      <w:pPr>
        <w:rPr>
          <w:lang w:val="es-ES_tradnl"/>
        </w:rPr>
      </w:pPr>
      <w:r w:rsidRPr="00EF4CFD">
        <w:rPr>
          <w:i/>
          <w:lang w:val="es-ES_tradnl"/>
        </w:rPr>
        <w:t>Paso 3:</w:t>
      </w:r>
      <w:r w:rsidRPr="00EF4CFD">
        <w:rPr>
          <w:lang w:val="es-ES_tradnl"/>
        </w:rPr>
        <w:t> Se añaden las diferencias determinadas en el Paso 2 a los valores anuales medios correspondientes obtenidos en el Paso 1 a fin de obtener las pérdidas de transmisión medias del mes más desfavorable para los porcentajes de tiempo de no rebasamiento (50, 90, 99 y 99,9).</w:t>
      </w:r>
    </w:p>
    <w:p w:rsidR="007E12D7" w:rsidRPr="00EF4CFD" w:rsidRDefault="007E12D7" w:rsidP="007E12D7">
      <w:pPr>
        <w:rPr>
          <w:lang w:val="es-ES_tradnl"/>
        </w:rPr>
      </w:pPr>
      <w:r w:rsidRPr="00EF4CFD">
        <w:rPr>
          <w:i/>
          <w:lang w:val="es-ES_tradnl"/>
        </w:rPr>
        <w:t>Paso 4:</w:t>
      </w:r>
      <w:r w:rsidRPr="00EF4CFD">
        <w:rPr>
          <w:lang w:val="es-ES_tradnl"/>
        </w:rPr>
        <w:t> Las pérdidas de transmisión medias del mes más desfavorable no superadas durante el 99,99% del tiempo puede estimarse a partir de los valores anteriores realizando una extrapolación logarítmica (es decir, una extrapolación efectuada mediante un gráfico trazado sobre un papel de probabilidad normal).</w:t>
      </w:r>
    </w:p>
    <w:p w:rsidR="007E12D7" w:rsidRPr="00EF4CFD" w:rsidRDefault="007E12D7" w:rsidP="007E12D7">
      <w:pPr>
        <w:pStyle w:val="Heading2"/>
        <w:rPr>
          <w:lang w:val="es-ES_tradnl"/>
        </w:rPr>
      </w:pPr>
      <w:r w:rsidRPr="00EF4CFD">
        <w:rPr>
          <w:lang w:val="es-ES_tradnl"/>
        </w:rPr>
        <w:t>4.3</w:t>
      </w:r>
      <w:r w:rsidRPr="00EF4CFD">
        <w:rPr>
          <w:lang w:val="es-ES_tradnl"/>
        </w:rPr>
        <w:tab/>
        <w:t>Valor medio de la distribución de la pérdida de transmisión mediana anual para porcentajes de tiempo inferiores al 50%</w:t>
      </w:r>
    </w:p>
    <w:p w:rsidR="007E12D7" w:rsidRPr="00EF4CFD" w:rsidRDefault="007E12D7" w:rsidP="007E12D7">
      <w:pPr>
        <w:rPr>
          <w:lang w:val="es-ES_tradnl"/>
        </w:rPr>
      </w:pPr>
      <w:r w:rsidRPr="00EF4CFD">
        <w:rPr>
          <w:lang w:val="es-ES_tradnl"/>
        </w:rPr>
        <w:t>Para porcentajes de tiempo entre, aproximadamente, el 20% (llegando en algunos climas secos sobre tierra a valores tan reducidos como el 1%) y el 50%, la distribución de la pérdida de transmisión media anual puede considerarse simétrica y los valores de la pérdida de transmisión calculados a partir de los valores correspondientes por encima del valor mediano son:</w:t>
      </w:r>
    </w:p>
    <w:p w:rsidR="007E12D7" w:rsidRPr="00EF4CFD" w:rsidRDefault="007E12D7" w:rsidP="007E12D7">
      <w:pPr>
        <w:pStyle w:val="Blanc"/>
        <w:rPr>
          <w:lang w:val="es-ES_tradnl"/>
        </w:rPr>
      </w:pPr>
    </w:p>
    <w:p w:rsidR="007E12D7" w:rsidRPr="00EF4CFD" w:rsidRDefault="007E12D7" w:rsidP="007E12D7">
      <w:pPr>
        <w:pStyle w:val="Equation"/>
        <w:rPr>
          <w:lang w:val="es-ES_tradnl"/>
        </w:rPr>
      </w:pPr>
      <w:r w:rsidRPr="00EF4CFD">
        <w:rPr>
          <w:lang w:val="es-ES_tradnl"/>
        </w:rPr>
        <w:tab/>
      </w:r>
      <w:r w:rsidRPr="00EF4CFD">
        <w:rPr>
          <w:lang w:val="es-ES_tradnl"/>
        </w:rPr>
        <w:tab/>
      </w:r>
      <w:r w:rsidRPr="00EF4CFD">
        <w:rPr>
          <w:position w:val="-10"/>
          <w:lang w:val="es-ES_tradnl"/>
        </w:rPr>
        <w:object w:dxaOrig="4000" w:dyaOrig="340">
          <v:shape id="_x0000_i1046" type="#_x0000_t75" style="width:199.8pt;height:17.1pt" o:ole="">
            <v:imagedata r:id="rId55" o:title=""/>
          </v:shape>
          <o:OLEObject Type="Embed" ProgID="Equation.3" ShapeID="_x0000_i1046" DrawAspect="Content" ObjectID="_1494319471" r:id="rId56"/>
        </w:object>
      </w:r>
      <w:r w:rsidRPr="00EF4CFD">
        <w:rPr>
          <w:lang w:val="es-ES_tradnl"/>
        </w:rPr>
        <w:tab/>
        <w:t>(16)</w:t>
      </w:r>
    </w:p>
    <w:p w:rsidR="007E12D7" w:rsidRPr="00EF4CFD" w:rsidRDefault="007E12D7" w:rsidP="007E12D7">
      <w:pPr>
        <w:pStyle w:val="Blanc"/>
        <w:rPr>
          <w:lang w:val="es-ES_tradnl"/>
        </w:rPr>
      </w:pPr>
    </w:p>
    <w:p w:rsidR="007E12D7" w:rsidRPr="00EF4CFD" w:rsidRDefault="007E12D7" w:rsidP="007E12D7">
      <w:pPr>
        <w:rPr>
          <w:lang w:val="es-ES_tradnl"/>
        </w:rPr>
      </w:pPr>
      <w:r w:rsidRPr="00EF4CFD">
        <w:rPr>
          <w:lang w:val="es-ES_tradnl"/>
        </w:rPr>
        <w:t>Sin embargo, para cálculos de gama dinámica que requieren una estimación de la distribución para porcentajes de tiempo inferiores, no puede suponerse la existencia de dispersión troposférica pura. Los valores de la pérdida de transmisión no superados por porcentajes de tiempo muy reducidos se determinarán mediante el mecanismo de propagación por conducto. En la Recomendación UIT</w:t>
      </w:r>
      <w:r w:rsidRPr="00EF4CFD">
        <w:rPr>
          <w:lang w:val="es-ES_tradnl"/>
        </w:rPr>
        <w:noBreakHyphen/>
        <w:t>R P.452 figura una técnica más adecuada para calcular estos valores.</w:t>
      </w:r>
    </w:p>
    <w:p w:rsidR="007E12D7" w:rsidRPr="00EF4CFD" w:rsidRDefault="007E12D7" w:rsidP="007E12D7">
      <w:pPr>
        <w:pStyle w:val="Heading1"/>
        <w:rPr>
          <w:lang w:val="es-ES_tradnl"/>
        </w:rPr>
      </w:pPr>
      <w:r w:rsidRPr="00EF4CFD">
        <w:rPr>
          <w:lang w:val="es-ES_tradnl"/>
        </w:rPr>
        <w:lastRenderedPageBreak/>
        <w:t>5</w:t>
      </w:r>
      <w:r w:rsidRPr="00EF4CFD">
        <w:rPr>
          <w:lang w:val="es-ES_tradnl"/>
        </w:rPr>
        <w:tab/>
        <w:t>Recepción con diversidad</w:t>
      </w:r>
    </w:p>
    <w:p w:rsidR="007E12D7" w:rsidRPr="00EF4CFD" w:rsidRDefault="007E12D7" w:rsidP="007E12D7">
      <w:pPr>
        <w:rPr>
          <w:lang w:val="es-ES_tradnl"/>
        </w:rPr>
      </w:pPr>
      <w:r w:rsidRPr="00EF4CFD">
        <w:rPr>
          <w:lang w:val="es-ES_tradnl"/>
        </w:rPr>
        <w:t>El profundo desvanecimiento que aparece en la propagación por dispersión troposférica reduce notablemente la calidad de funcionamiento de los sistemas que utilizan este modo de propagación. El efecto del desvanecimiento puede limitarse mediante la recepción con diversidad, utilizando dos o más señales sometidas a desvanecimientos independientes en mayor o menor grado según las diferencias del trayecto de dispersión o la frecuencia. Es sabido que empleando técnicas de diversidad en el espacio, en ángulo o en frecuencia disminuyen los porcentajes de tiempo durante los cuales se superan pérdidas de transmisión elevadas. Sin embargo, la diversidad en ángulo puede tener el mismo efecto que la diversidad en el espacio en dirección vertical y resulta más económica.</w:t>
      </w:r>
    </w:p>
    <w:p w:rsidR="007E12D7" w:rsidRPr="00EF4CFD" w:rsidRDefault="007E12D7" w:rsidP="007E12D7">
      <w:pPr>
        <w:pStyle w:val="FigureNo"/>
        <w:spacing w:before="360"/>
        <w:rPr>
          <w:lang w:val="es-ES_tradnl"/>
        </w:rPr>
      </w:pPr>
      <w:r w:rsidRPr="00EF4CFD">
        <w:rPr>
          <w:lang w:val="es-ES_tradnl"/>
        </w:rPr>
        <w:t>FIGURA 2</w:t>
      </w:r>
    </w:p>
    <w:p w:rsidR="007E12D7" w:rsidRPr="00EF4CFD" w:rsidRDefault="007E12D7" w:rsidP="007E12D7">
      <w:pPr>
        <w:pStyle w:val="Figuretitle"/>
        <w:rPr>
          <w:lang w:val="es-ES_tradnl"/>
        </w:rPr>
      </w:pPr>
      <w:r w:rsidRPr="00EF4CFD">
        <w:rPr>
          <w:lang w:val="es-ES_tradnl"/>
        </w:rPr>
        <w:t>Curvas de diferencia entre la pérdida básica de transmisión</w:t>
      </w:r>
      <w:r w:rsidRPr="00EF4CFD">
        <w:rPr>
          <w:lang w:val="es-ES_tradnl"/>
        </w:rPr>
        <w:br/>
        <w:t xml:space="preserve">en el mes más desfavorable y la pérdida básica de transmisión anual </w:t>
      </w:r>
    </w:p>
    <w:p w:rsidR="007E12D7" w:rsidRPr="00EF4CFD" w:rsidRDefault="007E12D7" w:rsidP="007E12D7">
      <w:pPr>
        <w:pStyle w:val="Figure"/>
        <w:rPr>
          <w:lang w:val="es-ES_tradnl"/>
        </w:rPr>
      </w:pPr>
      <w:r w:rsidRPr="00EF4CFD">
        <w:rPr>
          <w:lang w:val="es-ES_tradnl"/>
        </w:rPr>
        <w:object w:dxaOrig="4950" w:dyaOrig="7508">
          <v:shape id="_x0000_i1047" type="#_x0000_t75" style="width:329.4pt;height:498.6pt" o:ole="">
            <v:imagedata r:id="rId57" o:title=""/>
          </v:shape>
          <o:OLEObject Type="Embed" ProgID="CorelDRAW.Graphic.14" ShapeID="_x0000_i1047" DrawAspect="Content" ObjectID="_1494319472" r:id="rId58"/>
        </w:object>
      </w:r>
    </w:p>
    <w:p w:rsidR="007E12D7" w:rsidRPr="00EF4CFD" w:rsidRDefault="007E12D7" w:rsidP="007E12D7">
      <w:pPr>
        <w:pStyle w:val="Heading2"/>
        <w:rPr>
          <w:lang w:val="es-ES_tradnl"/>
        </w:rPr>
      </w:pPr>
      <w:r w:rsidRPr="00EF4CFD">
        <w:rPr>
          <w:lang w:val="es-ES_tradnl"/>
        </w:rPr>
        <w:lastRenderedPageBreak/>
        <w:t>5.1</w:t>
      </w:r>
      <w:r w:rsidRPr="00EF4CFD">
        <w:rPr>
          <w:lang w:val="es-ES_tradnl"/>
        </w:rPr>
        <w:tab/>
        <w:t>Diversidad en el espacio</w:t>
      </w:r>
    </w:p>
    <w:p w:rsidR="007E12D7" w:rsidRDefault="007E12D7" w:rsidP="007E12D7">
      <w:pPr>
        <w:rPr>
          <w:lang w:val="es-ES_tradnl"/>
        </w:rPr>
      </w:pPr>
      <w:r w:rsidRPr="00EF4CFD">
        <w:rPr>
          <w:lang w:val="es-ES_tradnl"/>
        </w:rPr>
        <w:t xml:space="preserve">Puede utilizarse diversidad en el espacio en dirección horizontal o vertical según convenga en el emplazamiento en cuestión. Las separaciones adecuadas para la diversidad, </w:t>
      </w:r>
      <w:r w:rsidRPr="00EF4CFD">
        <w:rPr>
          <w:rFonts w:ascii="Symbol" w:hAnsi="Symbol"/>
          <w:lang w:val="es-ES_tradnl"/>
        </w:rPr>
        <w:t></w:t>
      </w:r>
      <w:r w:rsidRPr="00EF4CFD">
        <w:rPr>
          <w:i/>
          <w:lang w:val="es-ES_tradnl"/>
        </w:rPr>
        <w:t>h</w:t>
      </w:r>
      <w:r w:rsidRPr="00EF4CFD">
        <w:rPr>
          <w:lang w:val="es-ES_tradnl"/>
        </w:rPr>
        <w:t xml:space="preserve"> y </w:t>
      </w:r>
      <w:r w:rsidRPr="00EF4CFD">
        <w:rPr>
          <w:rFonts w:ascii="Symbol" w:hAnsi="Symbol"/>
          <w:lang w:val="es-ES_tradnl"/>
        </w:rPr>
        <w:t></w:t>
      </w:r>
      <w:r w:rsidRPr="00EF4CFD">
        <w:rPr>
          <w:i/>
          <w:lang w:val="es-ES_tradnl"/>
        </w:rPr>
        <w:t>v</w:t>
      </w:r>
      <w:r w:rsidRPr="00EF4CFD">
        <w:rPr>
          <w:lang w:val="es-ES_tradnl"/>
        </w:rPr>
        <w:t xml:space="preserve"> en las direcciones horizontal y vertical respectivamente, para frecuencias superiores a 1 000 MHz vienen dadas por las siguientes relaciones empíricas:</w:t>
      </w:r>
    </w:p>
    <w:p w:rsidR="007E12D7" w:rsidRPr="00EF4CFD" w:rsidRDefault="007E12D7" w:rsidP="007E12D7">
      <w:pPr>
        <w:pStyle w:val="Equation"/>
        <w:rPr>
          <w:lang w:val="es-ES_tradnl"/>
        </w:rPr>
      </w:pPr>
      <w:r w:rsidRPr="00032662">
        <w:rPr>
          <w:lang w:val="es-ES_tradnl"/>
        </w:rPr>
        <w:tab/>
      </w:r>
      <w:r w:rsidRPr="00032662">
        <w:rPr>
          <w:lang w:val="es-ES_tradnl"/>
        </w:rPr>
        <w:tab/>
      </w:r>
      <w:r w:rsidRPr="00D47262">
        <w:rPr>
          <w:position w:val="-12"/>
          <w:lang w:val="fr-CH"/>
        </w:rPr>
        <w:object w:dxaOrig="2360" w:dyaOrig="440">
          <v:shape id="_x0000_i1048" type="#_x0000_t75" style="width:118.8pt;height:22.5pt" o:ole="">
            <v:imagedata r:id="rId59" o:title=""/>
          </v:shape>
          <o:OLEObject Type="Embed" ProgID="Equation.3" ShapeID="_x0000_i1048" DrawAspect="Content" ObjectID="_1494319473" r:id="rId60"/>
        </w:object>
      </w:r>
      <w:r w:rsidRPr="00EF4CFD">
        <w:rPr>
          <w:lang w:val="es-ES_tradnl"/>
        </w:rPr>
        <w:t>                m</w:t>
      </w:r>
      <w:r w:rsidRPr="00EF4CFD">
        <w:rPr>
          <w:lang w:val="es-ES_tradnl"/>
        </w:rPr>
        <w:tab/>
        <w:t>(17)</w:t>
      </w:r>
    </w:p>
    <w:p w:rsidR="007E12D7" w:rsidRPr="00EF4CFD" w:rsidRDefault="007E12D7" w:rsidP="007E12D7">
      <w:pPr>
        <w:pStyle w:val="Equation"/>
        <w:rPr>
          <w:lang w:val="es-ES_tradnl"/>
        </w:rPr>
      </w:pPr>
      <w:r w:rsidRPr="00EF4CFD">
        <w:rPr>
          <w:lang w:val="es-ES_tradnl"/>
        </w:rPr>
        <w:tab/>
      </w:r>
      <w:r w:rsidRPr="00EF4CFD">
        <w:rPr>
          <w:lang w:val="es-ES_tradnl"/>
        </w:rPr>
        <w:tab/>
      </w:r>
      <w:r w:rsidRPr="00D47262">
        <w:rPr>
          <w:position w:val="-12"/>
          <w:lang w:val="fr-CH"/>
        </w:rPr>
        <w:object w:dxaOrig="2360" w:dyaOrig="440">
          <v:shape id="_x0000_i1049" type="#_x0000_t75" style="width:118.8pt;height:22.5pt" o:ole="">
            <v:imagedata r:id="rId61" o:title=""/>
          </v:shape>
          <o:OLEObject Type="Embed" ProgID="Equation.3" ShapeID="_x0000_i1049" DrawAspect="Content" ObjectID="_1494319474" r:id="rId62"/>
        </w:object>
      </w:r>
      <w:r w:rsidRPr="00EF4CFD">
        <w:rPr>
          <w:lang w:val="es-ES_tradnl"/>
        </w:rPr>
        <w:t>                m</w:t>
      </w:r>
      <w:r w:rsidRPr="00EF4CFD">
        <w:rPr>
          <w:lang w:val="es-ES_tradnl"/>
        </w:rPr>
        <w:tab/>
        <w:t>(18)</w:t>
      </w:r>
    </w:p>
    <w:p w:rsidR="007E12D7" w:rsidRPr="00EF4CFD" w:rsidRDefault="007E12D7" w:rsidP="007E12D7">
      <w:pPr>
        <w:rPr>
          <w:lang w:val="es-ES_tradnl"/>
        </w:rPr>
      </w:pPr>
      <w:r w:rsidRPr="00EF4CFD">
        <w:rPr>
          <w:lang w:val="es-ES_tradnl"/>
        </w:rPr>
        <w:t xml:space="preserve">siendo </w:t>
      </w:r>
      <w:r w:rsidRPr="00EF4CFD">
        <w:rPr>
          <w:i/>
          <w:lang w:val="es-ES_tradnl"/>
        </w:rPr>
        <w:t>D</w:t>
      </w:r>
      <w:r w:rsidRPr="00EF4CFD">
        <w:rPr>
          <w:lang w:val="es-ES_tradnl"/>
        </w:rPr>
        <w:t xml:space="preserve"> el diámetro de la antena (m) e </w:t>
      </w:r>
      <w:r w:rsidRPr="00EF4CFD">
        <w:rPr>
          <w:i/>
          <w:lang w:val="es-ES_tradnl"/>
        </w:rPr>
        <w:t>I</w:t>
      </w:r>
      <w:r w:rsidRPr="00EF4CFD">
        <w:rPr>
          <w:i/>
          <w:iCs/>
          <w:vertAlign w:val="subscript"/>
          <w:lang w:val="es-ES_tradnl"/>
        </w:rPr>
        <w:t>h</w:t>
      </w:r>
      <w:r w:rsidRPr="00EF4CFD">
        <w:rPr>
          <w:lang w:val="es-ES_tradnl"/>
        </w:rPr>
        <w:t xml:space="preserve"> </w:t>
      </w:r>
      <w:r w:rsidRPr="00EF4CFD">
        <w:rPr>
          <w:rFonts w:ascii="Symbol" w:hAnsi="Symbol"/>
          <w:lang w:val="es-ES_tradnl"/>
        </w:rPr>
        <w:t></w:t>
      </w:r>
      <w:r w:rsidRPr="00EF4CFD">
        <w:rPr>
          <w:lang w:val="es-ES_tradnl"/>
        </w:rPr>
        <w:t xml:space="preserve"> 20 m e </w:t>
      </w:r>
      <w:r w:rsidRPr="00EF4CFD">
        <w:rPr>
          <w:i/>
          <w:lang w:val="es-ES_tradnl"/>
        </w:rPr>
        <w:t>I</w:t>
      </w:r>
      <w:r w:rsidRPr="00EF4CFD">
        <w:rPr>
          <w:i/>
          <w:iCs/>
          <w:vertAlign w:val="subscript"/>
          <w:lang w:val="es-ES_tradnl"/>
        </w:rPr>
        <w:t>v</w:t>
      </w:r>
      <w:r w:rsidRPr="00EF4CFD">
        <w:rPr>
          <w:lang w:val="es-ES_tradnl"/>
        </w:rPr>
        <w:t xml:space="preserve"> </w:t>
      </w:r>
      <w:r w:rsidRPr="00EF4CFD">
        <w:rPr>
          <w:rFonts w:ascii="Symbol" w:hAnsi="Symbol"/>
          <w:lang w:val="es-ES_tradnl"/>
        </w:rPr>
        <w:t></w:t>
      </w:r>
      <w:r w:rsidRPr="00EF4CFD">
        <w:rPr>
          <w:lang w:val="es-ES_tradnl"/>
        </w:rPr>
        <w:t xml:space="preserve"> 15 m son las longitudes de escala empíricas en las direcciones horizontal y vertical, respectivamente.</w:t>
      </w:r>
    </w:p>
    <w:p w:rsidR="007E12D7" w:rsidRPr="00EF4CFD" w:rsidRDefault="007E12D7" w:rsidP="007E12D7">
      <w:pPr>
        <w:pStyle w:val="Heading2"/>
        <w:rPr>
          <w:lang w:val="es-ES_tradnl"/>
        </w:rPr>
      </w:pPr>
      <w:r w:rsidRPr="00EF4CFD">
        <w:rPr>
          <w:lang w:val="es-ES_tradnl"/>
        </w:rPr>
        <w:t>5.2</w:t>
      </w:r>
      <w:r w:rsidRPr="00EF4CFD">
        <w:rPr>
          <w:lang w:val="es-ES_tradnl"/>
        </w:rPr>
        <w:tab/>
        <w:t>Diversidad en frecuencia</w:t>
      </w:r>
    </w:p>
    <w:p w:rsidR="007E12D7" w:rsidRDefault="007E12D7" w:rsidP="007E12D7">
      <w:pPr>
        <w:rPr>
          <w:lang w:val="es-ES_tradnl"/>
        </w:rPr>
      </w:pPr>
      <w:r w:rsidRPr="00EF4CFD">
        <w:rPr>
          <w:lang w:val="es-ES_tradnl"/>
        </w:rPr>
        <w:t xml:space="preserve">En instalaciones donde se desea utilizar diversidad en frecuencia, la siguiente relación ofrece la separación de frecuencias adecuada, </w:t>
      </w:r>
      <w:r w:rsidRPr="00EF4CFD">
        <w:rPr>
          <w:rFonts w:ascii="Symbol" w:hAnsi="Symbol"/>
          <w:lang w:val="es-ES_tradnl"/>
        </w:rPr>
        <w:t></w:t>
      </w:r>
      <w:r w:rsidRPr="00EF4CFD">
        <w:rPr>
          <w:i/>
          <w:lang w:val="es-ES_tradnl"/>
        </w:rPr>
        <w:t>f</w:t>
      </w:r>
      <w:r w:rsidRPr="00EF4CFD">
        <w:rPr>
          <w:lang w:val="es-ES_tradnl"/>
        </w:rPr>
        <w:t> (MHz), para frecuencias superiores a unos 1 000 MHz:</w:t>
      </w:r>
    </w:p>
    <w:p w:rsidR="007E12D7" w:rsidRPr="00032662" w:rsidRDefault="007E12D7" w:rsidP="007E12D7">
      <w:pPr>
        <w:pStyle w:val="Equation"/>
        <w:rPr>
          <w:lang w:val="es-ES_tradnl"/>
        </w:rPr>
      </w:pPr>
      <w:bookmarkStart w:id="16" w:name="F015"/>
      <w:r w:rsidRPr="00032662">
        <w:rPr>
          <w:lang w:val="es-ES_tradnl"/>
        </w:rPr>
        <w:tab/>
      </w:r>
      <w:r w:rsidRPr="00032662">
        <w:rPr>
          <w:lang w:val="es-ES_tradnl"/>
        </w:rPr>
        <w:tab/>
      </w:r>
      <w:r w:rsidRPr="00D47262">
        <w:rPr>
          <w:position w:val="-12"/>
          <w:lang w:val="fr-CH"/>
        </w:rPr>
        <w:object w:dxaOrig="3019" w:dyaOrig="440">
          <v:shape id="_x0000_i1050" type="#_x0000_t75" style="width:150.3pt;height:22.5pt" o:ole="">
            <v:imagedata r:id="rId63" o:title=""/>
          </v:shape>
          <o:OLEObject Type="Embed" ProgID="Equation.3" ShapeID="_x0000_i1050" DrawAspect="Content" ObjectID="_1494319475" r:id="rId64"/>
        </w:object>
      </w:r>
      <w:r w:rsidRPr="00032662">
        <w:rPr>
          <w:lang w:val="es-ES_tradnl"/>
        </w:rPr>
        <w:t>                MHz</w:t>
      </w:r>
      <w:r w:rsidRPr="00032662">
        <w:rPr>
          <w:lang w:val="es-ES_tradnl"/>
        </w:rPr>
        <w:tab/>
        <w:t>(19)</w:t>
      </w:r>
    </w:p>
    <w:bookmarkEnd w:id="16"/>
    <w:p w:rsidR="007E12D7" w:rsidRPr="00EF4CFD" w:rsidRDefault="007E12D7" w:rsidP="007E12D7">
      <w:pPr>
        <w:pStyle w:val="Equationlegend"/>
        <w:rPr>
          <w:lang w:val="es-ES_tradnl"/>
        </w:rPr>
      </w:pPr>
      <w:r w:rsidRPr="00EF4CFD">
        <w:rPr>
          <w:lang w:val="es-ES_tradnl"/>
        </w:rPr>
        <w:t>siendo:</w:t>
      </w:r>
    </w:p>
    <w:p w:rsidR="007E12D7" w:rsidRPr="00EF4CFD" w:rsidRDefault="007E12D7" w:rsidP="007E12D7">
      <w:pPr>
        <w:pStyle w:val="Equationlegend"/>
        <w:rPr>
          <w:lang w:val="es-ES_tradnl"/>
        </w:rPr>
      </w:pPr>
      <w:r w:rsidRPr="00EF4CFD">
        <w:rPr>
          <w:i/>
          <w:lang w:val="es-ES_tradnl"/>
        </w:rPr>
        <w:tab/>
        <w:t xml:space="preserve">f </w:t>
      </w:r>
      <w:r w:rsidRPr="00EF4CFD">
        <w:rPr>
          <w:lang w:val="es-ES_tradnl"/>
        </w:rPr>
        <w:t>:</w:t>
      </w:r>
      <w:r w:rsidRPr="00EF4CFD">
        <w:rPr>
          <w:lang w:val="es-ES_tradnl"/>
        </w:rPr>
        <w:tab/>
        <w:t>frecuencia (MHz)</w:t>
      </w:r>
    </w:p>
    <w:p w:rsidR="007E12D7" w:rsidRPr="00EF4CFD" w:rsidRDefault="007E12D7" w:rsidP="007E12D7">
      <w:pPr>
        <w:pStyle w:val="Equationlegend"/>
        <w:rPr>
          <w:lang w:val="es-ES_tradnl"/>
        </w:rPr>
      </w:pPr>
      <w:r w:rsidRPr="00EF4CFD">
        <w:rPr>
          <w:i/>
          <w:lang w:val="es-ES_tradnl"/>
        </w:rPr>
        <w:tab/>
        <w:t xml:space="preserve">D </w:t>
      </w:r>
      <w:r w:rsidRPr="00EF4CFD">
        <w:rPr>
          <w:lang w:val="es-ES_tradnl"/>
        </w:rPr>
        <w:t>:</w:t>
      </w:r>
      <w:r w:rsidRPr="00EF4CFD">
        <w:rPr>
          <w:lang w:val="es-ES_tradnl"/>
        </w:rPr>
        <w:tab/>
        <w:t>diámetro de la antena (m)</w:t>
      </w:r>
    </w:p>
    <w:p w:rsidR="007E12D7" w:rsidRPr="00EF4CFD" w:rsidRDefault="007E12D7" w:rsidP="007E12D7">
      <w:pPr>
        <w:pStyle w:val="Equationlegend"/>
        <w:rPr>
          <w:lang w:val="es-ES_tradnl"/>
        </w:rPr>
      </w:pPr>
      <w:r w:rsidRPr="00EF4CFD">
        <w:rPr>
          <w:rFonts w:ascii="Symbol" w:hAnsi="Symbol"/>
          <w:lang w:val="es-ES_tradnl"/>
        </w:rPr>
        <w:tab/>
      </w:r>
      <w:r w:rsidRPr="00EF4CFD">
        <w:rPr>
          <w:rFonts w:ascii="Symbol" w:hAnsi="Symbol"/>
          <w:lang w:val="es-ES_tradnl"/>
        </w:rPr>
        <w:t></w:t>
      </w:r>
      <w:r w:rsidRPr="00EF4CFD">
        <w:rPr>
          <w:i/>
          <w:lang w:val="es-ES_tradnl"/>
        </w:rPr>
        <w:t xml:space="preserve"> </w:t>
      </w:r>
      <w:r w:rsidRPr="00EF4CFD">
        <w:rPr>
          <w:rFonts w:ascii="Symbol" w:hAnsi="Symbol"/>
          <w:lang w:val="es-ES_tradnl"/>
        </w:rPr>
        <w:t></w:t>
      </w:r>
      <w:r w:rsidRPr="00EF4CFD">
        <w:rPr>
          <w:rFonts w:ascii="Symbol" w:hAnsi="Symbol"/>
          <w:lang w:val="es-ES_tradnl"/>
        </w:rPr>
        <w:tab/>
      </w:r>
      <w:r w:rsidRPr="00EF4CFD">
        <w:rPr>
          <w:lang w:val="es-ES_tradnl"/>
        </w:rPr>
        <w:t>ángulo de dispersión (mrad) obtenido a partir de la ecuación (1)</w:t>
      </w:r>
    </w:p>
    <w:p w:rsidR="007E12D7" w:rsidRPr="00EF4CFD" w:rsidRDefault="007E12D7" w:rsidP="007E12D7">
      <w:pPr>
        <w:pStyle w:val="Equationlegend"/>
        <w:rPr>
          <w:lang w:val="es-ES_tradnl"/>
        </w:rPr>
      </w:pPr>
      <w:r w:rsidRPr="00EF4CFD">
        <w:rPr>
          <w:i/>
          <w:lang w:val="es-ES_tradnl"/>
        </w:rPr>
        <w:tab/>
        <w:t>I</w:t>
      </w:r>
      <w:r w:rsidRPr="00EF4CFD">
        <w:rPr>
          <w:i/>
          <w:position w:val="-4"/>
          <w:lang w:val="es-ES_tradnl"/>
        </w:rPr>
        <w:t>v</w:t>
      </w:r>
      <w:r w:rsidRPr="00EF4CFD">
        <w:rPr>
          <w:lang w:val="es-ES_tradnl"/>
        </w:rPr>
        <w:t xml:space="preserve"> </w:t>
      </w:r>
      <w:r w:rsidRPr="00EF4CFD">
        <w:rPr>
          <w:rFonts w:ascii="Symbol" w:hAnsi="Symbol"/>
          <w:lang w:val="es-ES_tradnl"/>
        </w:rPr>
        <w:t></w:t>
      </w:r>
      <w:r w:rsidRPr="00EF4CFD">
        <w:rPr>
          <w:lang w:val="es-ES_tradnl"/>
        </w:rPr>
        <w:tab/>
        <w:t>15 m la longitud de escala indicada anteriormente.</w:t>
      </w:r>
    </w:p>
    <w:p w:rsidR="007E12D7" w:rsidRPr="00EF4CFD" w:rsidRDefault="007E12D7" w:rsidP="007E12D7">
      <w:pPr>
        <w:pStyle w:val="Heading2"/>
        <w:rPr>
          <w:lang w:val="es-ES_tradnl"/>
        </w:rPr>
      </w:pPr>
      <w:r w:rsidRPr="00EF4CFD">
        <w:rPr>
          <w:lang w:val="es-ES_tradnl"/>
        </w:rPr>
        <w:t>5.3</w:t>
      </w:r>
      <w:r w:rsidRPr="00EF4CFD">
        <w:rPr>
          <w:lang w:val="es-ES_tradnl"/>
        </w:rPr>
        <w:tab/>
        <w:t>Diversidad en ángulo</w:t>
      </w:r>
    </w:p>
    <w:p w:rsidR="007E12D7" w:rsidRPr="00EF4CFD" w:rsidRDefault="007E12D7" w:rsidP="007E12D7">
      <w:pPr>
        <w:rPr>
          <w:lang w:val="es-ES_tradnl"/>
        </w:rPr>
      </w:pPr>
      <w:r w:rsidRPr="00EF4CFD">
        <w:rPr>
          <w:lang w:val="es-ES_tradnl"/>
        </w:rPr>
        <w:t xml:space="preserve">También puede recurrirse a la diversidad en ángulo en la cual dos o más alimentadores de antenas separados en la dirección vertical se utilizan con un reflector común, lo que origina volúmenes comunes con separación vertical distinta, situación similar a la de diversidad en el espacio en la dirección vertical. La separación angular </w:t>
      </w:r>
      <w:r w:rsidRPr="00EF4CFD">
        <w:rPr>
          <w:rFonts w:ascii="Symbol" w:hAnsi="Symbol"/>
          <w:lang w:val="es-ES_tradnl"/>
        </w:rPr>
        <w:t></w:t>
      </w:r>
      <w:r w:rsidRPr="00EF4CFD">
        <w:rPr>
          <w:lang w:val="es-ES_tradnl"/>
        </w:rPr>
        <w:t> </w:t>
      </w:r>
      <w:r w:rsidRPr="00EF4CFD">
        <w:rPr>
          <w:rFonts w:ascii="Symbol" w:hAnsi="Symbol"/>
          <w:lang w:val="es-ES_tradnl"/>
        </w:rPr>
        <w:t></w:t>
      </w:r>
      <w:r w:rsidRPr="00EF4CFD">
        <w:rPr>
          <w:i/>
          <w:iCs/>
          <w:vertAlign w:val="subscript"/>
          <w:lang w:val="es-ES_tradnl"/>
        </w:rPr>
        <w:t>r</w:t>
      </w:r>
      <w:r w:rsidRPr="00EF4CFD">
        <w:rPr>
          <w:lang w:val="es-ES_tradnl"/>
        </w:rPr>
        <w:t xml:space="preserve"> necesaria para lograr aproximadamente el mismo efecto que en la separación vertical </w:t>
      </w:r>
      <w:r w:rsidRPr="00EF4CFD">
        <w:rPr>
          <w:rFonts w:ascii="Symbol" w:hAnsi="Symbol"/>
          <w:lang w:val="es-ES_tradnl"/>
        </w:rPr>
        <w:t></w:t>
      </w:r>
      <w:r w:rsidRPr="00EF4CFD">
        <w:rPr>
          <w:i/>
          <w:lang w:val="es-ES_tradnl"/>
        </w:rPr>
        <w:t>v</w:t>
      </w:r>
      <w:r w:rsidRPr="00EF4CFD">
        <w:rPr>
          <w:lang w:val="es-ES_tradnl"/>
        </w:rPr>
        <w:t xml:space="preserve"> (m) en la ecuación (16) sobre un tra</w:t>
      </w:r>
      <w:r w:rsidR="00803F03">
        <w:rPr>
          <w:lang w:val="es-ES_tradnl"/>
        </w:rPr>
        <w:t>yecto aproximadamente simétrico </w:t>
      </w:r>
      <w:r w:rsidRPr="00EF4CFD">
        <w:rPr>
          <w:lang w:val="es-ES_tradnl"/>
        </w:rPr>
        <w:t>es:</w:t>
      </w:r>
    </w:p>
    <w:p w:rsidR="007E12D7" w:rsidRPr="00EF4CFD" w:rsidRDefault="007E12D7" w:rsidP="00F30584">
      <w:pPr>
        <w:pStyle w:val="Equation"/>
        <w:rPr>
          <w:lang w:val="es-ES_tradnl"/>
        </w:rPr>
      </w:pPr>
      <w:r w:rsidRPr="00EF4CFD">
        <w:rPr>
          <w:lang w:val="es-ES_tradnl"/>
        </w:rPr>
        <w:tab/>
      </w:r>
      <w:r w:rsidRPr="00EF4CFD">
        <w:rPr>
          <w:lang w:val="es-ES_tradnl"/>
        </w:rPr>
        <w:tab/>
      </w:r>
      <w:r w:rsidRPr="00EF4CFD">
        <w:rPr>
          <w:lang w:val="es-ES_tradnl"/>
        </w:rPr>
        <w:sym w:font="Symbol" w:char="F044"/>
      </w:r>
      <w:r w:rsidRPr="00EF4CFD">
        <w:rPr>
          <w:lang w:val="es-ES_tradnl"/>
        </w:rPr>
        <w:sym w:font="Symbol" w:char="F071"/>
      </w:r>
      <w:r>
        <w:rPr>
          <w:i/>
          <w:iCs/>
          <w:vertAlign w:val="subscript"/>
          <w:lang w:val="es-ES_tradnl"/>
        </w:rPr>
        <w:t>r</w:t>
      </w:r>
      <w:r>
        <w:rPr>
          <w:lang w:val="es-ES_tradnl"/>
        </w:rPr>
        <w:t xml:space="preserve"> </w:t>
      </w:r>
      <w:r w:rsidRPr="00EF4CFD">
        <w:rPr>
          <w:lang w:val="es-ES_tradnl"/>
        </w:rPr>
        <w:t xml:space="preserve"> = </w:t>
      </w:r>
      <w:r>
        <w:rPr>
          <w:lang w:val="es-ES_tradnl"/>
        </w:rPr>
        <w:t xml:space="preserve"> </w:t>
      </w:r>
      <w:r w:rsidRPr="00EF4CFD">
        <w:rPr>
          <w:lang w:val="es-ES_tradnl"/>
        </w:rPr>
        <w:t>arc tan (</w:t>
      </w:r>
      <w:r w:rsidRPr="00EF4CFD">
        <w:rPr>
          <w:lang w:val="es-ES_tradnl"/>
        </w:rPr>
        <w:sym w:font="Symbol" w:char="F044"/>
      </w:r>
      <w:r w:rsidRPr="00EF4CFD">
        <w:rPr>
          <w:lang w:val="es-ES_tradnl"/>
        </w:rPr>
        <w:t>v</w:t>
      </w:r>
      <w:r w:rsidRPr="00EF4CFD">
        <w:rPr>
          <w:sz w:val="8"/>
          <w:lang w:val="es-ES_tradnl"/>
        </w:rPr>
        <w:t> </w:t>
      </w:r>
      <w:r w:rsidRPr="00EF4CFD">
        <w:rPr>
          <w:lang w:val="es-ES_tradnl"/>
        </w:rPr>
        <w:t>/</w:t>
      </w:r>
      <w:r w:rsidRPr="00EF4CFD">
        <w:rPr>
          <w:sz w:val="8"/>
          <w:lang w:val="es-ES_tradnl"/>
        </w:rPr>
        <w:t> </w:t>
      </w:r>
      <w:r w:rsidRPr="00EF4CFD">
        <w:rPr>
          <w:lang w:val="es-ES_tradnl"/>
        </w:rPr>
        <w:t>500</w:t>
      </w:r>
      <w:r w:rsidRPr="00EF4CFD">
        <w:rPr>
          <w:i/>
          <w:iCs/>
          <w:lang w:val="es-ES_tradnl"/>
        </w:rPr>
        <w:t>d</w:t>
      </w:r>
      <w:r w:rsidRPr="00EF4CFD">
        <w:rPr>
          <w:lang w:val="es-ES_tradnl"/>
        </w:rPr>
        <w:t>)</w:t>
      </w:r>
      <w:r w:rsidRPr="00EF4CFD">
        <w:rPr>
          <w:lang w:val="es-ES_tradnl"/>
        </w:rPr>
        <w:tab/>
        <w:t>(20)</w:t>
      </w:r>
    </w:p>
    <w:p w:rsidR="007E12D7" w:rsidRPr="00EF4CFD" w:rsidRDefault="007E12D7" w:rsidP="007E12D7">
      <w:pPr>
        <w:rPr>
          <w:lang w:val="es-ES_tradnl"/>
        </w:rPr>
      </w:pPr>
      <w:r w:rsidRPr="00EF4CFD">
        <w:rPr>
          <w:lang w:val="es-ES_tradnl"/>
        </w:rPr>
        <w:t xml:space="preserve">donde </w:t>
      </w:r>
      <w:r w:rsidRPr="00EF4CFD">
        <w:rPr>
          <w:i/>
          <w:lang w:val="es-ES_tradnl"/>
        </w:rPr>
        <w:t>d</w:t>
      </w:r>
      <w:r w:rsidRPr="00EF4CFD">
        <w:rPr>
          <w:lang w:val="es-ES_tradnl"/>
        </w:rPr>
        <w:t xml:space="preserve"> es la longitud del trayecto (km).</w:t>
      </w:r>
    </w:p>
    <w:p w:rsidR="007E12D7" w:rsidRPr="00EF4CFD" w:rsidRDefault="007E12D7" w:rsidP="007E12D7">
      <w:pPr>
        <w:pStyle w:val="Heading1"/>
        <w:rPr>
          <w:lang w:val="es-ES_tradnl"/>
        </w:rPr>
      </w:pPr>
      <w:r w:rsidRPr="00EF4CFD">
        <w:rPr>
          <w:lang w:val="es-ES_tradnl"/>
        </w:rPr>
        <w:t>6</w:t>
      </w:r>
      <w:r w:rsidRPr="00EF4CFD">
        <w:rPr>
          <w:lang w:val="es-ES_tradnl"/>
        </w:rPr>
        <w:tab/>
        <w:t>Influencia de la ubicación de las estaciones</w:t>
      </w:r>
    </w:p>
    <w:p w:rsidR="007E12D7" w:rsidRPr="00EF4CFD" w:rsidRDefault="007E12D7" w:rsidP="007E12D7">
      <w:pPr>
        <w:rPr>
          <w:lang w:val="es-ES_tradnl"/>
        </w:rPr>
      </w:pPr>
      <w:r w:rsidRPr="00EF4CFD">
        <w:rPr>
          <w:lang w:val="es-ES_tradnl"/>
        </w:rPr>
        <w:t>La ubicación de los enlaces que utilizan la transmisión transhorizonte requiere cierto cuidado. Los haces de antena no deben quedar dificultados por obstáculos próximos y las antenas deben estar apuntadas ligeramente por encima del horizonte. La elevación óptima precisa es función del trayecto y de las condiciones atmosféricas, pero está comprendida dentro de 0,2 a 0,6 veces el ancho del haz de la antena por encima del horizonte.</w:t>
      </w:r>
    </w:p>
    <w:p w:rsidR="007E12D7" w:rsidRPr="00EF4CFD" w:rsidRDefault="007E12D7" w:rsidP="007E12D7">
      <w:pPr>
        <w:rPr>
          <w:lang w:val="es-ES_tradnl"/>
        </w:rPr>
      </w:pPr>
      <w:r w:rsidRPr="00EF4CFD">
        <w:rPr>
          <w:lang w:val="es-ES_tradnl"/>
        </w:rPr>
        <w:t>Las mediciones efectuadas alejando el haz de una antena con una ganancia de 53 dB de la dirección del horizonte del círculo máximo de dos transmisores de 2 GHz, distantes entre sí 300 km, demostraron un coeficiente de reducción aparente de la potencia recibida de 9 dB por grado. Esto se produjo con aumentos del ángulo de dispersión sobre los tres primeros grados, tanto en acimut como en elevación, para cada trayecto y para una amplia gama de porcentajes de tiempo.</w:t>
      </w:r>
    </w:p>
    <w:p w:rsidR="007E12D7" w:rsidRPr="00EF4CFD" w:rsidRDefault="007E12D7" w:rsidP="007E12D7">
      <w:pPr>
        <w:pStyle w:val="AppendixNoTitle"/>
        <w:rPr>
          <w:lang w:val="es-ES_tradnl"/>
        </w:rPr>
      </w:pPr>
      <w:r w:rsidRPr="00EF4CFD">
        <w:rPr>
          <w:lang w:val="es-ES_tradnl"/>
        </w:rPr>
        <w:lastRenderedPageBreak/>
        <w:t>Apéndice 1</w:t>
      </w:r>
      <w:r w:rsidRPr="00EF4CFD">
        <w:rPr>
          <w:lang w:val="es-ES_tradnl"/>
        </w:rPr>
        <w:br/>
      </w:r>
      <w:r w:rsidRPr="00EF4CFD">
        <w:rPr>
          <w:lang w:val="es-ES_tradnl"/>
        </w:rPr>
        <w:br/>
        <w:t>Material complementario</w:t>
      </w:r>
    </w:p>
    <w:p w:rsidR="007E12D7" w:rsidRPr="00EF4CFD" w:rsidRDefault="007E12D7" w:rsidP="007E12D7">
      <w:pPr>
        <w:pStyle w:val="Heading1"/>
        <w:rPr>
          <w:lang w:val="es-ES_tradnl"/>
        </w:rPr>
      </w:pPr>
      <w:r w:rsidRPr="00EF4CFD">
        <w:rPr>
          <w:lang w:val="es-ES_tradnl"/>
        </w:rPr>
        <w:t>1</w:t>
      </w:r>
      <w:r w:rsidRPr="00EF4CFD">
        <w:rPr>
          <w:lang w:val="es-ES_tradnl"/>
        </w:rPr>
        <w:tab/>
        <w:t>Variaciones diarias y estacionales de la pérdida de transmisión</w:t>
      </w:r>
    </w:p>
    <w:p w:rsidR="007E12D7" w:rsidRPr="00EF4CFD" w:rsidRDefault="007E12D7" w:rsidP="007E12D7">
      <w:pPr>
        <w:rPr>
          <w:lang w:val="es-ES_tradnl"/>
        </w:rPr>
      </w:pPr>
      <w:r w:rsidRPr="00EF4CFD">
        <w:rPr>
          <w:lang w:val="es-ES_tradnl"/>
        </w:rPr>
        <w:t>En los climas templados, la pérdida básica de transmisión varía anual y diurnamente. Las pérdidas mensuales medias suelen ser mayores en invierno que en verano. La gama es de 10 a 15 dB en los trayectos terrestres de 150</w:t>
      </w:r>
      <w:r w:rsidRPr="00EF4CFD">
        <w:rPr>
          <w:lang w:val="es-ES_tradnl"/>
        </w:rPr>
        <w:noBreakHyphen/>
        <w:t>250 km, pero disminuye en función de la distancia. Las mediciones realizadas en la parte europea de la Federación de Rusia, en un trayecto de 920 km a 800 MHz demuestran una diferencia de sólo 2 dB entre las medianas estivales e invernales. Las variaciones diurnas son más pronunciadas en verano, con una gama de 5 a 10 dB en trayectos terrestres de 100</w:t>
      </w:r>
      <w:r w:rsidRPr="00EF4CFD">
        <w:rPr>
          <w:lang w:val="es-ES_tradnl"/>
        </w:rPr>
        <w:noBreakHyphen/>
        <w:t>200 km. La mayor pérdida básica de transmisión se produce por la tarde y la menor durante el alba. Los trayectos marítimos se ven afectados con mayor probabilidad por la superrefracción y las capas elevadas que los trayectos terrestres y por eso presentan una variación mayor. Esto puede aplicarse también a las regiones costeras llanas y bajas de las zonas marítimas.</w:t>
      </w:r>
    </w:p>
    <w:p w:rsidR="007E12D7" w:rsidRPr="00EF4CFD" w:rsidRDefault="007E12D7" w:rsidP="007E12D7">
      <w:pPr>
        <w:rPr>
          <w:lang w:val="es-ES_tradnl"/>
        </w:rPr>
      </w:pPr>
      <w:r w:rsidRPr="00EF4CFD">
        <w:rPr>
          <w:lang w:val="es-ES_tradnl"/>
        </w:rPr>
        <w:t>En los climas desérticos secos y calientes, la atenuación es máxima en verano. Las variaciones anuales de las medianas mensuales para trayectos de longitud media exceden de 20 dB. Las variaciones diurnas son muy importantes.</w:t>
      </w:r>
    </w:p>
    <w:p w:rsidR="007E12D7" w:rsidRPr="00EF4CFD" w:rsidRDefault="007E12D7" w:rsidP="007E12D7">
      <w:pPr>
        <w:rPr>
          <w:lang w:val="es-ES_tradnl"/>
        </w:rPr>
      </w:pPr>
      <w:r w:rsidRPr="00EF4CFD">
        <w:rPr>
          <w:lang w:val="es-ES_tradnl"/>
        </w:rPr>
        <w:t>En los climas ecuatoriales, las variaciones anuales o diurnas son en general pequeñas.</w:t>
      </w:r>
    </w:p>
    <w:p w:rsidR="007E12D7" w:rsidRPr="00EF4CFD" w:rsidRDefault="007E12D7" w:rsidP="007E12D7">
      <w:pPr>
        <w:rPr>
          <w:lang w:val="es-ES_tradnl"/>
        </w:rPr>
      </w:pPr>
      <w:r w:rsidRPr="00EF4CFD">
        <w:rPr>
          <w:lang w:val="es-ES_tradnl"/>
        </w:rPr>
        <w:t xml:space="preserve">En los climas monzónicos en los que se han hecho mediciones (Senegal, Barbados), los valores máximos de </w:t>
      </w:r>
      <w:r w:rsidRPr="00EF4CFD">
        <w:rPr>
          <w:i/>
          <w:lang w:val="es-ES_tradnl"/>
        </w:rPr>
        <w:t>N</w:t>
      </w:r>
      <w:r w:rsidRPr="00EF4CFD">
        <w:rPr>
          <w:i/>
          <w:vertAlign w:val="subscript"/>
          <w:lang w:val="es-ES_tradnl"/>
        </w:rPr>
        <w:t>s</w:t>
      </w:r>
      <w:r w:rsidRPr="00EF4CFD">
        <w:rPr>
          <w:i/>
          <w:lang w:val="es-ES_tradnl"/>
        </w:rPr>
        <w:t xml:space="preserve"> </w:t>
      </w:r>
      <w:r w:rsidRPr="00EF4CFD">
        <w:rPr>
          <w:lang w:val="es-ES_tradnl"/>
        </w:rPr>
        <w:t>se registran en la estación húmeda, pero la atenuación mínima se da entre las estaciones seca y húmeda.</w:t>
      </w:r>
    </w:p>
    <w:p w:rsidR="007E12D7" w:rsidRPr="00EF4CFD" w:rsidRDefault="007E12D7" w:rsidP="007E12D7">
      <w:pPr>
        <w:pStyle w:val="Heading1"/>
        <w:rPr>
          <w:lang w:val="es-ES_tradnl"/>
        </w:rPr>
      </w:pPr>
      <w:r w:rsidRPr="00EF4CFD">
        <w:rPr>
          <w:lang w:val="es-ES_tradnl"/>
        </w:rPr>
        <w:t>2</w:t>
      </w:r>
      <w:r w:rsidRPr="00EF4CFD">
        <w:rPr>
          <w:lang w:val="es-ES_tradnl"/>
        </w:rPr>
        <w:tab/>
        <w:t>Frecuencia de los desvanecimientos rápidos</w:t>
      </w:r>
    </w:p>
    <w:p w:rsidR="007E12D7" w:rsidRPr="00EF4CFD" w:rsidRDefault="007E12D7" w:rsidP="007E12D7">
      <w:pPr>
        <w:rPr>
          <w:lang w:val="es-ES_tradnl"/>
        </w:rPr>
      </w:pPr>
      <w:r w:rsidRPr="00EF4CFD">
        <w:rPr>
          <w:lang w:val="es-ES_tradnl"/>
        </w:rPr>
        <w:t>Los desvanecimientos rápidos se producen varias veces por minuto en las frecuencias bajas y varias veces por segundo en las bandas de ondas decimétricas. La superposición de varias componentes incoherentes variables daría una señal cuya amplitud obedecería a la ley de distribución de Rayleigh; se observa que esta hipótesis se comprueba prácticamente si se analiza la distribución durante intervalos de tiempo de cinco minutos de duración mínima. Esta distribución se modifica cuando una parte importante de la señal está constituida por otros tipos de señales. Se han observado desvanecimientos rápidos, repentinos y profundos, en el momento en que una perturbación frontal afecta a un enlace. La reflexión de las ondas en una aeronave puede provocar desvanecimientos rápidos muy marcados.</w:t>
      </w:r>
    </w:p>
    <w:p w:rsidR="007E12D7" w:rsidRPr="00EF4CFD" w:rsidRDefault="007E12D7" w:rsidP="007E12D7">
      <w:pPr>
        <w:rPr>
          <w:lang w:val="es-ES_tradnl"/>
        </w:rPr>
      </w:pPr>
      <w:r w:rsidRPr="00EF4CFD">
        <w:rPr>
          <w:lang w:val="es-ES_tradnl"/>
        </w:rPr>
        <w:t>La frecuencia de los desvanecimientos rápidos se ha estudiado desde el punto de vista de la función de autocorrelación en el tiempo, lo que conduce a una «frecuencia media de desvanecimiento» durante periodos cortos en que la señal es estacionaria Se ha observado que el valor mediano de la frecuencia media de desvanecimiento aumenta casi proporcionalmente a la longitud del trayecto y a la frecuencia portadora, y disminuye ligeramente cuando aumenta el diámetro de la antena.</w:t>
      </w:r>
    </w:p>
    <w:p w:rsidR="007E12D7" w:rsidRPr="00EF4CFD" w:rsidRDefault="007E12D7" w:rsidP="007E12D7">
      <w:pPr>
        <w:rPr>
          <w:lang w:val="es-ES_tradnl"/>
        </w:rPr>
      </w:pPr>
      <w:r w:rsidRPr="00EF4CFD">
        <w:rPr>
          <w:lang w:val="es-ES_tradnl"/>
        </w:rPr>
        <w:t>Asimismo, las mediciones efectuadas han mostrado que la rapidez de desvanecimiento es mayor cuando la pérdida de transmisión mediana horaria es superior al valor mediano a largo plazo. En términos generales, se ha observado que la velocidad del desvanecimiento disminuye cuando la pérdida de transmisión desciende por debajo del valor mediano a largo plazo, las velocidades de desvanecimiento más bajas se registran en los casos en que la propagación por conductos es predominante.</w:t>
      </w:r>
    </w:p>
    <w:p w:rsidR="007E12D7" w:rsidRPr="00EF4CFD" w:rsidRDefault="007E12D7" w:rsidP="007E12D7">
      <w:pPr>
        <w:keepNext/>
        <w:keepLines/>
        <w:rPr>
          <w:lang w:val="es-ES_tradnl"/>
        </w:rPr>
      </w:pPr>
      <w:r w:rsidRPr="00EF4CFD">
        <w:rPr>
          <w:lang w:val="es-ES_tradnl"/>
        </w:rPr>
        <w:lastRenderedPageBreak/>
        <w:t>El factor más importante es el desvanecimiento de mayor rapidez correspondiente a los valores medianos horarios de pérdida de transmisión que son superiores a la mediana a largo plazo; las pocas mediciones disponibles (en 2 GHz) arrojan unas velocidades de desvanecimiento medianas comprendidas entre unos 20 y 30 desvanecimientos/minuto.</w:t>
      </w:r>
    </w:p>
    <w:p w:rsidR="007E12D7" w:rsidRPr="00EF4CFD" w:rsidRDefault="007E12D7" w:rsidP="007E12D7">
      <w:pPr>
        <w:pStyle w:val="Heading1"/>
        <w:rPr>
          <w:lang w:val="es-ES_tradnl"/>
        </w:rPr>
      </w:pPr>
      <w:r w:rsidRPr="00EF4CFD">
        <w:rPr>
          <w:lang w:val="es-ES_tradnl"/>
        </w:rPr>
        <w:t>3</w:t>
      </w:r>
      <w:r w:rsidRPr="00EF4CFD">
        <w:rPr>
          <w:lang w:val="es-ES_tradnl"/>
        </w:rPr>
        <w:tab/>
        <w:t>Anchura de banda transmisible</w:t>
      </w:r>
    </w:p>
    <w:p w:rsidR="007E12D7" w:rsidRPr="00EF4CFD" w:rsidRDefault="007E12D7" w:rsidP="007E12D7">
      <w:pPr>
        <w:rPr>
          <w:lang w:val="es-ES_tradnl"/>
        </w:rPr>
      </w:pPr>
      <w:r w:rsidRPr="00EF4CFD">
        <w:rPr>
          <w:lang w:val="es-ES_tradnl"/>
        </w:rPr>
        <w:t>Las diversas heterogeneidades que producen la propagación por dispersión crean otros tantos trayectos de propagación diferentes, variables en número y en tiempo de transmisión. Como resultado de ello, no existe una correlación total entre los coeficientes de transmisión para dos frecuencias adyacentes, lo que provoca una distorsión de la señal transmitida. La anchura de banda transmisible es la banda de frecuencias en cuyo interior la distorsión debida a este fenómeno es aceptable para la señal transmitida. Tal anchura de banda depende, pues, tanto de la naturaleza de la señal transmitida (telefonía múltiplex, imagen de televisión, etc.) como de la distorsión admisible para esa señal. Los estudios realizados en Francia demuestran que:</w:t>
      </w:r>
    </w:p>
    <w:p w:rsidR="007E12D7" w:rsidRPr="00EF4CFD" w:rsidRDefault="007E12D7" w:rsidP="00F30584">
      <w:pPr>
        <w:pStyle w:val="enumlev1"/>
        <w:spacing w:before="120"/>
        <w:rPr>
          <w:lang w:val="es-ES_tradnl"/>
        </w:rPr>
      </w:pPr>
      <w:r w:rsidRPr="00EF4CFD">
        <w:rPr>
          <w:lang w:val="es-ES_tradnl"/>
        </w:rPr>
        <w:t>–</w:t>
      </w:r>
      <w:r w:rsidRPr="00EF4CFD">
        <w:rPr>
          <w:lang w:val="es-ES_tradnl"/>
        </w:rPr>
        <w:tab/>
        <w:t>el aumento de la ganancia de las antenas ensancha la banda transmisible en la medida en que se incrementa también la pérdida de ganancia (es decir, para ganancias superiores a unos 30 dB);</w:t>
      </w:r>
    </w:p>
    <w:p w:rsidR="007E12D7" w:rsidRPr="00EF4CFD" w:rsidRDefault="007E12D7" w:rsidP="007E12D7">
      <w:pPr>
        <w:pStyle w:val="enumlev1"/>
        <w:rPr>
          <w:lang w:val="es-ES_tradnl"/>
        </w:rPr>
      </w:pPr>
      <w:r w:rsidRPr="00EF4CFD">
        <w:rPr>
          <w:lang w:val="es-ES_tradnl"/>
        </w:rPr>
        <w:t>–</w:t>
      </w:r>
      <w:r w:rsidRPr="00EF4CFD">
        <w:rPr>
          <w:lang w:val="es-ES_tradnl"/>
        </w:rPr>
        <w:tab/>
        <w:t>por otra parte, en igualdad de otras condiciones, la anchura de banda transmisible depende de la estructura de la atmósfera y, por tanto, de la región climática considerada;</w:t>
      </w:r>
    </w:p>
    <w:p w:rsidR="007E12D7" w:rsidRPr="00EF4CFD" w:rsidRDefault="007E12D7" w:rsidP="007E12D7">
      <w:pPr>
        <w:pStyle w:val="enumlev1"/>
        <w:rPr>
          <w:lang w:val="es-ES_tradnl"/>
        </w:rPr>
      </w:pPr>
      <w:r w:rsidRPr="00EF4CFD">
        <w:rPr>
          <w:lang w:val="es-ES_tradnl"/>
        </w:rPr>
        <w:t>–</w:t>
      </w:r>
      <w:r w:rsidRPr="00EF4CFD">
        <w:rPr>
          <w:lang w:val="es-ES_tradnl"/>
        </w:rPr>
        <w:tab/>
        <w:t>la anchura de banda transmisible disminuye al aumentar la distancia, pero con arreglo a una ley que difiere según los climas;</w:t>
      </w:r>
    </w:p>
    <w:p w:rsidR="007E12D7" w:rsidRPr="00EF4CFD" w:rsidRDefault="007E12D7" w:rsidP="007E12D7">
      <w:pPr>
        <w:pStyle w:val="enumlev1"/>
        <w:rPr>
          <w:lang w:val="es-ES_tradnl"/>
        </w:rPr>
      </w:pPr>
      <w:r w:rsidRPr="00EF4CFD">
        <w:rPr>
          <w:lang w:val="es-ES_tradnl"/>
        </w:rPr>
        <w:t>–</w:t>
      </w:r>
      <w:r w:rsidRPr="00EF4CFD">
        <w:rPr>
          <w:lang w:val="es-ES_tradnl"/>
        </w:rPr>
        <w:tab/>
        <w:t>la anchura de banda transmisible disminuye cuando los ángulos de salida son positivos, y aumenta cuando son negativos.</w:t>
      </w:r>
    </w:p>
    <w:p w:rsidR="007E12D7" w:rsidRPr="00EF4CFD" w:rsidRDefault="007E12D7" w:rsidP="007E12D7">
      <w:pPr>
        <w:pStyle w:val="Reasons"/>
        <w:rPr>
          <w:lang w:val="es-ES_tradnl"/>
        </w:rPr>
      </w:pPr>
    </w:p>
    <w:p w:rsidR="007E12D7" w:rsidRPr="00EF4CFD" w:rsidRDefault="007E12D7" w:rsidP="007E12D7">
      <w:pPr>
        <w:jc w:val="center"/>
        <w:rPr>
          <w:lang w:val="es-ES_tradnl"/>
        </w:rPr>
      </w:pPr>
      <w:r w:rsidRPr="00EF4CFD">
        <w:rPr>
          <w:lang w:val="es-ES_tradnl"/>
        </w:rPr>
        <w:t>______________</w:t>
      </w:r>
    </w:p>
    <w:p w:rsidR="007E12D7" w:rsidRPr="00EF4CFD" w:rsidRDefault="007E12D7" w:rsidP="007E12D7">
      <w:pPr>
        <w:rPr>
          <w:lang w:val="es-ES_tradnl"/>
        </w:rPr>
      </w:pPr>
    </w:p>
    <w:sectPr w:rsidR="007E12D7" w:rsidRPr="00EF4CFD" w:rsidSect="00FB406E">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D7" w:rsidRDefault="007E12D7">
      <w:r>
        <w:separator/>
      </w:r>
    </w:p>
  </w:endnote>
  <w:endnote w:type="continuationSeparator" w:id="0">
    <w:p w:rsidR="007E12D7" w:rsidRDefault="007E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D7" w:rsidRDefault="007E12D7">
      <w:r>
        <w:separator/>
      </w:r>
    </w:p>
  </w:footnote>
  <w:footnote w:type="continuationSeparator" w:id="0">
    <w:p w:rsidR="007E12D7" w:rsidRDefault="007E12D7">
      <w:r>
        <w:continuationSeparator/>
      </w:r>
    </w:p>
  </w:footnote>
  <w:footnote w:id="1">
    <w:p w:rsidR="00951E53" w:rsidRPr="00430373" w:rsidRDefault="00951E53" w:rsidP="00951E53">
      <w:pPr>
        <w:pStyle w:val="FootnoteText"/>
        <w:rPr>
          <w:lang w:val="es-ES_tradnl"/>
        </w:rPr>
      </w:pPr>
      <w:r w:rsidRPr="00430373">
        <w:rPr>
          <w:rStyle w:val="FootnoteReference"/>
          <w:lang w:val="es-ES_tradnl"/>
        </w:rPr>
        <w:t>*</w:t>
      </w:r>
      <w:r w:rsidRPr="00430373">
        <w:rPr>
          <w:lang w:val="es-ES_tradnl"/>
        </w:rPr>
        <w:t xml:space="preserve"> </w:t>
      </w:r>
      <w:r w:rsidRPr="00430373">
        <w:rPr>
          <w:lang w:val="es-ES_tradnl"/>
        </w:rPr>
        <w:tab/>
      </w:r>
      <w:r>
        <w:rPr>
          <w:lang w:val="es-ES_tradnl"/>
        </w:rPr>
        <w:t>La Comisión de Estudio 3 de Radiocomunicaciones introdujo modificaciones redaccionales en esta Recomendación en abril de 2015,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D7" w:rsidRDefault="007E12D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D7" w:rsidRDefault="007E12D7" w:rsidP="00D62884">
    <w:pPr>
      <w:pStyle w:val="Header"/>
      <w:ind w:right="360" w:firstLine="360"/>
    </w:pPr>
    <w:r>
      <w:rPr>
        <w:noProof/>
        <w:lang w:val="en-US" w:eastAsia="zh-CN"/>
      </w:rPr>
      <w:drawing>
        <wp:anchor distT="0" distB="0" distL="114300" distR="114300" simplePos="0" relativeHeight="251659264" behindDoc="1" locked="0" layoutInCell="1" allowOverlap="1" wp14:anchorId="5732D01D" wp14:editId="5366DA5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D7" w:rsidRDefault="007E12D7"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76F86">
      <w:rPr>
        <w:rStyle w:val="PageNumber"/>
        <w:b/>
        <w:bCs/>
        <w:noProof/>
      </w:rPr>
      <w:t>ii</w:t>
    </w:r>
    <w:r>
      <w:rPr>
        <w:rStyle w:val="PageNumber"/>
        <w:b/>
        <w:bCs/>
      </w:rPr>
      <w:fldChar w:fldCharType="end"/>
    </w:r>
    <w:r>
      <w:tab/>
    </w:r>
    <w:fldSimple w:instr=" DOCPROPERTY &quot;Header&quot; \* MERGEFORMAT ">
      <w:r w:rsidR="00C76F86" w:rsidRPr="00C76F86">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76F86">
      <w:rPr>
        <w:b/>
        <w:bCs/>
        <w:noProof/>
      </w:rPr>
      <w:t>UIT-R  P.617-3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D7" w:rsidRDefault="007E12D7">
    <w:pPr>
      <w:pStyle w:val="Header"/>
    </w:pPr>
    <w:r>
      <w:tab/>
    </w:r>
    <w:fldSimple w:instr=" DOCPROPERTY &quot;Header&quot; \* MERGEFORMAT ">
      <w:r w:rsidR="00C76F86" w:rsidRPr="00C76F8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76F86">
      <w:rPr>
        <w:b/>
        <w:bCs/>
        <w:noProof/>
      </w:rPr>
      <w:t>UIT-R  P.617-3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6F86">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76F86" w:rsidRPr="00C76F8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76F86">
      <w:rPr>
        <w:b/>
        <w:bCs/>
        <w:noProof/>
      </w:rPr>
      <w:t>UIT-R  P.617-3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76F86" w:rsidRPr="00C76F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76F86">
      <w:rPr>
        <w:b/>
        <w:bCs/>
        <w:noProof/>
      </w:rPr>
      <w:t>UIT-R  P.617-3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6F8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D7"/>
    <w:rsid w:val="00203613"/>
    <w:rsid w:val="00217EBF"/>
    <w:rsid w:val="00224F5D"/>
    <w:rsid w:val="00242AEE"/>
    <w:rsid w:val="00286F9E"/>
    <w:rsid w:val="002A0C84"/>
    <w:rsid w:val="002B636E"/>
    <w:rsid w:val="002D76C4"/>
    <w:rsid w:val="003B4C3C"/>
    <w:rsid w:val="00400E89"/>
    <w:rsid w:val="00414BC4"/>
    <w:rsid w:val="00430373"/>
    <w:rsid w:val="0046176D"/>
    <w:rsid w:val="0052529D"/>
    <w:rsid w:val="005A4DD1"/>
    <w:rsid w:val="005C2F4C"/>
    <w:rsid w:val="00607D68"/>
    <w:rsid w:val="00661178"/>
    <w:rsid w:val="007335E6"/>
    <w:rsid w:val="007468DA"/>
    <w:rsid w:val="007E12D7"/>
    <w:rsid w:val="00803F03"/>
    <w:rsid w:val="0088203C"/>
    <w:rsid w:val="008F3977"/>
    <w:rsid w:val="00951E53"/>
    <w:rsid w:val="009E00A8"/>
    <w:rsid w:val="00A6617B"/>
    <w:rsid w:val="00AB0DC8"/>
    <w:rsid w:val="00B44E24"/>
    <w:rsid w:val="00B70F00"/>
    <w:rsid w:val="00BA1E1C"/>
    <w:rsid w:val="00C236DD"/>
    <w:rsid w:val="00C76F86"/>
    <w:rsid w:val="00DF4176"/>
    <w:rsid w:val="00E920C5"/>
    <w:rsid w:val="00F10D00"/>
    <w:rsid w:val="00F30584"/>
    <w:rsid w:val="00FB406E"/>
    <w:rsid w:val="00FE63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docId w15:val="{90E0BE11-6E20-42AA-BE4E-40751252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2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7E12D7"/>
    <w:rPr>
      <w:color w:val="0000FF"/>
      <w:u w:val="single"/>
    </w:rPr>
  </w:style>
  <w:style w:type="paragraph" w:customStyle="1" w:styleId="Normalaftertitle0">
    <w:name w:val="Normal after title"/>
    <w:basedOn w:val="Normal"/>
    <w:next w:val="Normal"/>
    <w:rsid w:val="007E12D7"/>
    <w:pPr>
      <w:spacing w:before="480"/>
    </w:pPr>
  </w:style>
  <w:style w:type="character" w:customStyle="1" w:styleId="EquationChar">
    <w:name w:val="Equation Char"/>
    <w:link w:val="Equation"/>
    <w:locked/>
    <w:rsid w:val="007E12D7"/>
    <w:rPr>
      <w:sz w:val="24"/>
      <w:lang w:val="fr-FR" w:eastAsia="en-US"/>
    </w:rPr>
  </w:style>
  <w:style w:type="paragraph" w:customStyle="1" w:styleId="Reasons">
    <w:name w:val="Reasons"/>
    <w:basedOn w:val="Normal"/>
    <w:qFormat/>
    <w:rsid w:val="007E12D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titleChar">
    <w:name w:val="Figure_title Char"/>
    <w:basedOn w:val="DefaultParagraphFont"/>
    <w:link w:val="Figuretitle"/>
    <w:rsid w:val="007E12D7"/>
    <w:rPr>
      <w:rFonts w:ascii="Times New Roman Bold" w:hAnsi="Times New Roman Bold"/>
      <w:b/>
      <w:sz w:val="18"/>
      <w:lang w:val="fr-FR" w:eastAsia="en-US"/>
    </w:rPr>
  </w:style>
  <w:style w:type="character" w:customStyle="1" w:styleId="FigureChar">
    <w:name w:val="Figure Char"/>
    <w:basedOn w:val="DefaultParagraphFont"/>
    <w:link w:val="Figure"/>
    <w:rsid w:val="007E12D7"/>
    <w:rPr>
      <w:caps/>
      <w:sz w:val="18"/>
      <w:lang w:val="fr-FR" w:eastAsia="en-US"/>
    </w:rPr>
  </w:style>
  <w:style w:type="character" w:customStyle="1" w:styleId="FootnoteTextChar">
    <w:name w:val="Footnote Text Char"/>
    <w:basedOn w:val="DefaultParagraphFont"/>
    <w:link w:val="FootnoteText"/>
    <w:rsid w:val="00951E5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 Id="rId61" Type="http://schemas.openxmlformats.org/officeDocument/2006/relationships/image" Target="media/image26.wmf"/><Relationship Id="rId10" Type="http://schemas.openxmlformats.org/officeDocument/2006/relationships/header" Target="header3.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8" Type="http://schemas.openxmlformats.org/officeDocument/2006/relationships/hyperlink" Target="http://www.itu.int/ITU-R/go/patents/es" TargetMode="External"/><Relationship Id="rId51" Type="http://schemas.openxmlformats.org/officeDocument/2006/relationships/image" Target="media/image21.wmf"/><Relationship Id="rId3" Type="http://schemas.openxmlformats.org/officeDocument/2006/relationships/webSettings" Target="webSettings.xml"/><Relationship Id="rId12" Type="http://schemas.openxmlformats.org/officeDocument/2006/relationships/hyperlink" Target="http://www.itu.int/rec/R-REC-P.617-3-201309-I/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99</TotalTime>
  <Pages>12</Pages>
  <Words>3796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29</cp:revision>
  <cp:lastPrinted>2015-05-28T09:43:00Z</cp:lastPrinted>
  <dcterms:created xsi:type="dcterms:W3CDTF">2014-12-10T09:43:00Z</dcterms:created>
  <dcterms:modified xsi:type="dcterms:W3CDTF">2015-05-28T09:47:00Z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