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94" w:rsidRPr="004A3947" w:rsidRDefault="00A13E94" w:rsidP="00690A5E">
      <w:pPr>
        <w:pStyle w:val="Rec"/>
        <w:spacing w:before="0"/>
        <w:rPr>
          <w:lang w:val="es-ES_tradnl"/>
        </w:rPr>
      </w:pPr>
      <w:bookmarkStart w:id="0" w:name="_GoBack"/>
      <w:bookmarkEnd w:id="0"/>
      <w:r w:rsidRPr="004A3947">
        <w:rPr>
          <w:lang w:val="es-ES_tradnl"/>
        </w:rPr>
        <w:t>RECOMENDACIÓN  UIT-R  P.525-2</w:t>
      </w:r>
      <w:r w:rsidR="00690A5E" w:rsidRPr="00690A5E">
        <w:rPr>
          <w:rStyle w:val="FootnoteReference"/>
        </w:rPr>
        <w:footnoteReference w:customMarkFollows="1" w:id="1"/>
        <w:sym w:font="Symbol" w:char="F02A"/>
      </w:r>
    </w:p>
    <w:p w:rsidR="00A13E94" w:rsidRPr="004A3947" w:rsidRDefault="00A13E94">
      <w:pPr>
        <w:pStyle w:val="RecTitle"/>
        <w:rPr>
          <w:lang w:val="es-ES_tradnl"/>
        </w:rPr>
      </w:pPr>
      <w:r w:rsidRPr="004A3947">
        <w:rPr>
          <w:lang w:val="es-ES_tradnl"/>
        </w:rPr>
        <w:t>CÁLCULO  DE  LA  ATENUACIÓN  EN  EL  ESPACIO  LIBRE</w:t>
      </w:r>
    </w:p>
    <w:p w:rsidR="00A13E94" w:rsidRPr="004A3947" w:rsidRDefault="00A13E94">
      <w:pPr>
        <w:pStyle w:val="RecTitleDate"/>
        <w:rPr>
          <w:lang w:val="es-ES_tradnl"/>
        </w:rPr>
      </w:pPr>
      <w:r w:rsidRPr="004A3947">
        <w:rPr>
          <w:lang w:val="es-ES_tradnl"/>
        </w:rPr>
        <w:t>(1978-1982-1994)</w:t>
      </w:r>
    </w:p>
    <w:p w:rsidR="00A13E94" w:rsidRPr="004A3947" w:rsidRDefault="00A13E94">
      <w:pPr>
        <w:pStyle w:val="headfoot"/>
        <w:rPr>
          <w:lang w:val="es-ES_tradnl"/>
        </w:rPr>
      </w:pPr>
      <w:r w:rsidRPr="004A3947">
        <w:rPr>
          <w:lang w:val="es-ES_tradnl"/>
        </w:rPr>
        <w:t>Rec. UIT-R PN.525-2</w:t>
      </w:r>
    </w:p>
    <w:p w:rsidR="00A13E94" w:rsidRPr="004A3947" w:rsidRDefault="00A13E94">
      <w:pPr>
        <w:pStyle w:val="CCI"/>
        <w:rPr>
          <w:lang w:val="es-ES_tradnl"/>
        </w:rPr>
      </w:pPr>
      <w:r w:rsidRPr="004A3947">
        <w:rPr>
          <w:lang w:val="es-ES_tradnl"/>
        </w:rPr>
        <w:t>La Asamblea de Radiocomunicaciones de la UIT,</w:t>
      </w:r>
    </w:p>
    <w:p w:rsidR="00A13E94" w:rsidRPr="004A3947" w:rsidRDefault="00A13E94">
      <w:pPr>
        <w:pStyle w:val="call"/>
        <w:rPr>
          <w:lang w:val="es-ES_tradnl"/>
        </w:rPr>
      </w:pPr>
      <w:r w:rsidRPr="004A3947">
        <w:rPr>
          <w:lang w:val="es-ES_tradnl"/>
        </w:rPr>
        <w:t>considerando</w:t>
      </w:r>
    </w:p>
    <w:p w:rsidR="00A13E94" w:rsidRPr="004A3947" w:rsidRDefault="00A13E94">
      <w:pPr>
        <w:rPr>
          <w:lang w:val="es-ES_tradnl"/>
        </w:rPr>
      </w:pPr>
      <w:r w:rsidRPr="004A3947">
        <w:rPr>
          <w:lang w:val="es-ES_tradnl"/>
        </w:rPr>
        <w:t>a)</w:t>
      </w:r>
      <w:r w:rsidRPr="004A3947">
        <w:rPr>
          <w:lang w:val="es-ES_tradnl"/>
        </w:rPr>
        <w:tab/>
        <w:t>que la propagación en el espacio libre es una referencia fundamental en ingeniería radioeléctrica,</w:t>
      </w:r>
    </w:p>
    <w:p w:rsidR="00A13E94" w:rsidRPr="004A3947" w:rsidRDefault="00A13E94">
      <w:pPr>
        <w:pStyle w:val="call"/>
        <w:rPr>
          <w:lang w:val="es-ES_tradnl"/>
        </w:rPr>
      </w:pPr>
      <w:r w:rsidRPr="004A3947">
        <w:rPr>
          <w:lang w:val="es-ES_tradnl"/>
        </w:rPr>
        <w:t>recomienda</w:t>
      </w:r>
    </w:p>
    <w:p w:rsidR="00A13E94" w:rsidRPr="004A3947" w:rsidRDefault="00A13E94">
      <w:pPr>
        <w:rPr>
          <w:lang w:val="es-ES_tradnl"/>
        </w:rPr>
      </w:pPr>
      <w:r w:rsidRPr="004A3947">
        <w:rPr>
          <w:b/>
          <w:lang w:val="es-ES_tradnl"/>
        </w:rPr>
        <w:t>1.</w:t>
      </w:r>
      <w:r w:rsidRPr="004A3947">
        <w:rPr>
          <w:lang w:val="es-ES_tradnl"/>
        </w:rPr>
        <w:tab/>
        <w:t>que se utilicen los métodos que figuran en el anexo 1 para el cálculo de la atenuación en el espacio libre.</w:t>
      </w:r>
    </w:p>
    <w:p w:rsidR="00A13E94" w:rsidRPr="004A3947" w:rsidRDefault="00A13E94">
      <w:pPr>
        <w:rPr>
          <w:lang w:val="es-ES_tradnl"/>
        </w:rPr>
      </w:pPr>
    </w:p>
    <w:p w:rsidR="00A13E94" w:rsidRPr="004A3947" w:rsidRDefault="00A13E94">
      <w:pPr>
        <w:pStyle w:val="Annex"/>
        <w:rPr>
          <w:lang w:val="es-ES_tradnl"/>
        </w:rPr>
      </w:pPr>
      <w:r w:rsidRPr="004A3947">
        <w:rPr>
          <w:lang w:val="es-ES_tradnl"/>
        </w:rPr>
        <w:t>ANEXO  1</w:t>
      </w:r>
    </w:p>
    <w:p w:rsidR="00A13E94" w:rsidRPr="004A3947" w:rsidRDefault="00A13E94">
      <w:pPr>
        <w:pStyle w:val="Heading1"/>
        <w:rPr>
          <w:lang w:val="es-ES_tradnl"/>
        </w:rPr>
      </w:pPr>
      <w:r w:rsidRPr="004A3947">
        <w:rPr>
          <w:lang w:val="es-ES_tradnl"/>
        </w:rPr>
        <w:t>1.</w:t>
      </w:r>
      <w:r w:rsidRPr="004A3947">
        <w:rPr>
          <w:lang w:val="es-ES_tradnl"/>
        </w:rPr>
        <w:tab/>
        <w:t>Introducción</w:t>
      </w:r>
    </w:p>
    <w:p w:rsidR="00A13E94" w:rsidRPr="004A3947" w:rsidRDefault="00A13E94">
      <w:pPr>
        <w:rPr>
          <w:lang w:val="es-ES_tradnl"/>
        </w:rPr>
      </w:pPr>
      <w:r w:rsidRPr="004A3947">
        <w:rPr>
          <w:lang w:val="es-ES_tradnl"/>
        </w:rPr>
        <w:tab/>
        <w:t>Como en otros textos se suele tomar como referencia la propagación en el espacio libre, en este anexo se presentan las fórmulas pertinentes.</w:t>
      </w:r>
    </w:p>
    <w:p w:rsidR="00A13E94" w:rsidRPr="004A3947" w:rsidRDefault="00A13E94">
      <w:pPr>
        <w:pStyle w:val="Heading1"/>
        <w:rPr>
          <w:lang w:val="es-ES_tradnl"/>
        </w:rPr>
      </w:pPr>
      <w:r w:rsidRPr="004A3947">
        <w:rPr>
          <w:lang w:val="es-ES_tradnl"/>
        </w:rPr>
        <w:t>2.</w:t>
      </w:r>
      <w:r w:rsidRPr="004A3947">
        <w:rPr>
          <w:lang w:val="es-ES_tradnl"/>
        </w:rPr>
        <w:tab/>
        <w:t>Fórmulas fundamentales para enlaces de telecomunicación</w:t>
      </w:r>
    </w:p>
    <w:p w:rsidR="00A13E94" w:rsidRPr="004A3947" w:rsidRDefault="00A13E94">
      <w:pPr>
        <w:rPr>
          <w:lang w:val="es-ES_tradnl"/>
        </w:rPr>
      </w:pPr>
      <w:r w:rsidRPr="004A3947">
        <w:rPr>
          <w:lang w:val="es-ES_tradnl"/>
        </w:rPr>
        <w:tab/>
        <w:t>La propagación en el espacio libre puede calcularse de dos formas diferentes, cada una de las cuales se adapta a un tipo particular de servicio.</w:t>
      </w:r>
    </w:p>
    <w:p w:rsidR="00A13E94" w:rsidRPr="004A3947" w:rsidRDefault="00A13E94">
      <w:pPr>
        <w:pStyle w:val="Heading2"/>
        <w:rPr>
          <w:lang w:val="es-ES_tradnl"/>
        </w:rPr>
      </w:pPr>
      <w:r w:rsidRPr="004A3947">
        <w:rPr>
          <w:lang w:val="es-ES_tradnl"/>
        </w:rPr>
        <w:t>2.1</w:t>
      </w:r>
      <w:r w:rsidRPr="004A3947">
        <w:rPr>
          <w:lang w:val="es-ES_tradnl"/>
        </w:rPr>
        <w:tab/>
        <w:t>Enlaces punto a zona</w:t>
      </w:r>
    </w:p>
    <w:p w:rsidR="00A13E94" w:rsidRPr="004A3947" w:rsidRDefault="00A13E94">
      <w:pPr>
        <w:rPr>
          <w:lang w:val="es-ES_tradnl"/>
        </w:rPr>
      </w:pPr>
      <w:r w:rsidRPr="004A3947">
        <w:rPr>
          <w:lang w:val="es-ES_tradnl"/>
        </w:rPr>
        <w:tab/>
        <w:t>En el caso de un solo transmisor que dé servicio a varios receptores distribuidos al azar (radiodifusión, servicio móvil), se calcula el campo en un punto situado a una cierta distancia del transmisor mediante la relación siguiente:</w:t>
      </w:r>
    </w:p>
    <w:p w:rsidR="00A13E94" w:rsidRPr="004A3947" w:rsidRDefault="00A13E94" w:rsidP="004A3947">
      <w:pPr>
        <w:pStyle w:val="Equation"/>
        <w:rPr>
          <w:lang w:val="es-ES_tradnl"/>
        </w:rPr>
      </w:pPr>
      <w:bookmarkStart w:id="1" w:name="F001"/>
      <w:r w:rsidRPr="004A3947">
        <w:rPr>
          <w:lang w:val="es-ES_tradnl"/>
        </w:rPr>
        <w:tab/>
      </w:r>
      <w:r w:rsidRPr="004A3947">
        <w:rPr>
          <w:lang w:val="es-ES_tradnl"/>
        </w:rPr>
        <w:tab/>
      </w:r>
      <w:r w:rsidR="004A3947" w:rsidRPr="00E40ED6">
        <w:rPr>
          <w:position w:val="-22"/>
        </w:rPr>
        <w:object w:dxaOrig="10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pt;height:31.5pt" o:ole="">
            <v:imagedata r:id="rId6" o:title=""/>
          </v:shape>
          <o:OLEObject Type="Embed" ProgID="Equation.3" ShapeID="_x0000_i1033" DrawAspect="Content" ObjectID="_1463560108" r:id="rId7"/>
        </w:object>
      </w:r>
      <w:r w:rsidRPr="004A3947">
        <w:rPr>
          <w:lang w:val="es-ES_tradnl"/>
        </w:rPr>
        <w:tab/>
        <w:t>(1)</w:t>
      </w:r>
      <w:bookmarkEnd w:id="1"/>
    </w:p>
    <w:p w:rsidR="00A13E94" w:rsidRPr="004A3947" w:rsidRDefault="00A13E94">
      <w:pPr>
        <w:rPr>
          <w:lang w:val="es-ES_tradnl"/>
        </w:rPr>
      </w:pPr>
      <w:r w:rsidRPr="004A3947">
        <w:rPr>
          <w:lang w:val="es-ES_tradnl"/>
        </w:rPr>
        <w:t>donde:</w:t>
      </w:r>
    </w:p>
    <w:p w:rsidR="00A13E94" w:rsidRPr="004A3947" w:rsidRDefault="00A13E94">
      <w:pPr>
        <w:pStyle w:val="enumlev1"/>
        <w:rPr>
          <w:lang w:val="es-ES_tradnl"/>
        </w:rPr>
      </w:pPr>
      <w:r w:rsidRPr="004A3947">
        <w:rPr>
          <w:i/>
          <w:lang w:val="es-ES_tradnl"/>
        </w:rPr>
        <w:t>e</w:t>
      </w:r>
      <w:r w:rsidRPr="004A3947">
        <w:rPr>
          <w:rFonts w:ascii="Tms Rmn" w:hAnsi="Tms Rmn"/>
          <w:sz w:val="12"/>
          <w:lang w:val="es-ES_tradnl"/>
        </w:rPr>
        <w:t> </w:t>
      </w:r>
      <w:r w:rsidRPr="004A3947">
        <w:rPr>
          <w:lang w:val="es-ES_tradnl"/>
        </w:rPr>
        <w:t>:</w:t>
      </w:r>
      <w:r w:rsidRPr="004A3947">
        <w:rPr>
          <w:lang w:val="es-ES_tradnl"/>
        </w:rPr>
        <w:tab/>
        <w:t>intensidad de campo eficaz (V/m) (véase la nota 1)</w:t>
      </w:r>
    </w:p>
    <w:p w:rsidR="00A13E94" w:rsidRPr="004A3947" w:rsidRDefault="00A13E94">
      <w:pPr>
        <w:pStyle w:val="enumlev1"/>
        <w:rPr>
          <w:lang w:val="es-ES_tradnl"/>
        </w:rPr>
      </w:pPr>
      <w:r w:rsidRPr="004A3947">
        <w:rPr>
          <w:i/>
          <w:lang w:val="es-ES_tradnl"/>
        </w:rPr>
        <w:t>p</w:t>
      </w:r>
      <w:r w:rsidRPr="004A3947">
        <w:rPr>
          <w:rFonts w:ascii="Tms Rmn" w:hAnsi="Tms Rmn"/>
          <w:sz w:val="12"/>
          <w:lang w:val="es-ES_tradnl"/>
        </w:rPr>
        <w:t> </w:t>
      </w:r>
      <w:r w:rsidRPr="004A3947">
        <w:rPr>
          <w:lang w:val="es-ES_tradnl"/>
        </w:rPr>
        <w:t>:</w:t>
      </w:r>
      <w:r w:rsidRPr="004A3947">
        <w:rPr>
          <w:lang w:val="es-ES_tradnl"/>
        </w:rPr>
        <w:tab/>
        <w:t>potencia isótropa radiada equivalente (p.i.r.e.) del transmisor en la dirección del punto considerado (W) (véase la nota 2)</w:t>
      </w:r>
    </w:p>
    <w:p w:rsidR="00A13E94" w:rsidRPr="004A3947" w:rsidRDefault="00A13E94">
      <w:pPr>
        <w:pStyle w:val="enumlev1"/>
        <w:rPr>
          <w:lang w:val="es-ES_tradnl"/>
        </w:rPr>
      </w:pPr>
      <w:r w:rsidRPr="004A3947">
        <w:rPr>
          <w:i/>
          <w:lang w:val="es-ES_tradnl"/>
        </w:rPr>
        <w:t>d</w:t>
      </w:r>
      <w:r w:rsidRPr="004A3947">
        <w:rPr>
          <w:rFonts w:ascii="Tms Rmn" w:hAnsi="Tms Rmn"/>
          <w:i/>
          <w:sz w:val="12"/>
          <w:lang w:val="es-ES_tradnl"/>
        </w:rPr>
        <w:t> </w:t>
      </w:r>
      <w:r w:rsidRPr="004A3947">
        <w:rPr>
          <w:lang w:val="es-ES_tradnl"/>
        </w:rPr>
        <w:t>:</w:t>
      </w:r>
      <w:r w:rsidRPr="004A3947">
        <w:rPr>
          <w:lang w:val="es-ES_tradnl"/>
        </w:rPr>
        <w:tab/>
        <w:t>distancia del transmisor al punto considerado (m).</w:t>
      </w:r>
    </w:p>
    <w:p w:rsidR="00A13E94" w:rsidRPr="004A3947" w:rsidRDefault="00A13E94">
      <w:pPr>
        <w:rPr>
          <w:lang w:val="es-ES_tradnl"/>
        </w:rPr>
      </w:pPr>
      <w:r w:rsidRPr="004A3947">
        <w:rPr>
          <w:lang w:val="es-ES_tradnl"/>
        </w:rPr>
        <w:tab/>
        <w:t>Se sustituye a menudo la ecuación (1) por la ecuación (2), en la que se emplean unidades prácticas:</w:t>
      </w:r>
    </w:p>
    <w:p w:rsidR="00A13E94" w:rsidRPr="004A3947" w:rsidRDefault="00A13E94" w:rsidP="004A3947">
      <w:pPr>
        <w:pStyle w:val="Equation"/>
        <w:rPr>
          <w:lang w:val="es-ES_tradnl"/>
        </w:rPr>
      </w:pPr>
      <w:bookmarkStart w:id="2" w:name="F002"/>
      <w:r w:rsidRPr="004A3947">
        <w:rPr>
          <w:lang w:val="es-ES_tradnl"/>
        </w:rPr>
        <w:tab/>
      </w:r>
      <w:r w:rsidRPr="004A3947">
        <w:rPr>
          <w:lang w:val="es-ES_tradnl"/>
        </w:rPr>
        <w:tab/>
      </w:r>
      <w:r w:rsidR="004A3947" w:rsidRPr="00AB4A74">
        <w:rPr>
          <w:position w:val="-28"/>
        </w:rPr>
        <w:object w:dxaOrig="1960" w:dyaOrig="680">
          <v:shape id="_x0000_i1034" type="#_x0000_t75" style="width:98pt;height:34pt" o:ole="">
            <v:imagedata r:id="rId8" o:title=""/>
          </v:shape>
          <o:OLEObject Type="Embed" ProgID="Equation.3" ShapeID="_x0000_i1034" DrawAspect="Content" ObjectID="_1463560109" r:id="rId9"/>
        </w:object>
      </w:r>
      <w:r w:rsidRPr="004A3947">
        <w:rPr>
          <w:lang w:val="es-ES_tradnl"/>
        </w:rPr>
        <w:tab/>
        <w:t>(2)</w:t>
      </w:r>
      <w:bookmarkEnd w:id="2"/>
    </w:p>
    <w:p w:rsidR="00A13E94" w:rsidRPr="004A3947" w:rsidRDefault="00A13E94">
      <w:pPr>
        <w:rPr>
          <w:lang w:val="es-ES_tradnl"/>
        </w:rPr>
      </w:pPr>
      <w:r w:rsidRPr="004A3947">
        <w:rPr>
          <w:lang w:val="es-ES_tradnl"/>
        </w:rPr>
        <w:tab/>
        <w:t xml:space="preserve">Para las antenas que funcionan en condiciones de propagación en el espacio libre, la fuerza cimomotriz puede obtenerse multiplicando </w:t>
      </w:r>
      <w:r w:rsidRPr="004A3947">
        <w:rPr>
          <w:i/>
          <w:lang w:val="es-ES_tradnl"/>
        </w:rPr>
        <w:t>e</w:t>
      </w:r>
      <w:r w:rsidRPr="004A3947">
        <w:rPr>
          <w:lang w:val="es-ES_tradnl"/>
        </w:rPr>
        <w:t xml:space="preserve"> por </w:t>
      </w:r>
      <w:r w:rsidRPr="004A3947">
        <w:rPr>
          <w:i/>
          <w:lang w:val="es-ES_tradnl"/>
        </w:rPr>
        <w:t>d</w:t>
      </w:r>
      <w:r w:rsidRPr="004A3947">
        <w:rPr>
          <w:lang w:val="es-ES_tradnl"/>
        </w:rPr>
        <w:t xml:space="preserve"> en la ecuación (1), y su dimensión corresponde a la de una tensión.</w:t>
      </w:r>
    </w:p>
    <w:p w:rsidR="00A13E94" w:rsidRPr="004A3947" w:rsidRDefault="00A13E94">
      <w:pPr>
        <w:pStyle w:val="Note"/>
        <w:rPr>
          <w:lang w:val="es-ES_tradnl"/>
        </w:rPr>
      </w:pPr>
      <w:r w:rsidRPr="004A3947">
        <w:rPr>
          <w:i/>
          <w:lang w:val="es-ES_tradnl"/>
        </w:rPr>
        <w:br w:type="page"/>
      </w:r>
      <w:r w:rsidRPr="004A3947">
        <w:rPr>
          <w:i/>
          <w:lang w:val="es-ES_tradnl"/>
        </w:rPr>
        <w:lastRenderedPageBreak/>
        <w:t>Nota 1</w:t>
      </w:r>
      <w:r w:rsidRPr="004A3947">
        <w:rPr>
          <w:lang w:val="es-ES_tradnl"/>
        </w:rPr>
        <w:t xml:space="preserve"> – Si la onda es de polarización elíptica y no rectilínea, y se designan por </w:t>
      </w:r>
      <w:r w:rsidRPr="004A3947">
        <w:rPr>
          <w:i/>
          <w:lang w:val="es-ES_tradnl"/>
        </w:rPr>
        <w:t>e</w:t>
      </w:r>
      <w:r w:rsidRPr="004A3947">
        <w:rPr>
          <w:i/>
          <w:position w:val="-4"/>
          <w:sz w:val="16"/>
          <w:lang w:val="es-ES_tradnl"/>
        </w:rPr>
        <w:t>x</w:t>
      </w:r>
      <w:r w:rsidRPr="004A3947">
        <w:rPr>
          <w:lang w:val="es-ES_tradnl"/>
        </w:rPr>
        <w:t xml:space="preserve"> y </w:t>
      </w:r>
      <w:r w:rsidRPr="004A3947">
        <w:rPr>
          <w:i/>
          <w:lang w:val="es-ES_tradnl"/>
        </w:rPr>
        <w:t>e</w:t>
      </w:r>
      <w:r w:rsidRPr="004A3947">
        <w:rPr>
          <w:i/>
          <w:position w:val="-4"/>
          <w:sz w:val="16"/>
          <w:lang w:val="es-ES_tradnl"/>
        </w:rPr>
        <w:t>y</w:t>
      </w:r>
      <w:r w:rsidRPr="004A3947">
        <w:rPr>
          <w:lang w:val="es-ES_tradnl"/>
        </w:rPr>
        <w:t xml:space="preserve"> los componentes del campo eléctrico que siguen dos ejes ortogonales, el primer miembro de la ecuación (1) debe sustituirse por </w:t>
      </w:r>
      <w:r>
        <w:rPr>
          <w:position w:val="-14"/>
        </w:rPr>
        <w:object w:dxaOrig="960" w:dyaOrig="420">
          <v:shape id="_x0000_i1025" type="#_x0000_t75" style="width:48pt;height:21pt" o:ole="">
            <v:imagedata r:id="rId10" o:title=""/>
          </v:shape>
          <o:OLEObject Type="Embed" ProgID="Equation.3" ShapeID="_x0000_i1025" DrawAspect="Content" ObjectID="_1463560110" r:id="rId11"/>
        </w:object>
      </w:r>
      <w:r w:rsidRPr="004A3947">
        <w:rPr>
          <w:lang w:val="es-ES_tradnl"/>
        </w:rPr>
        <w:t xml:space="preserve">. Sólo puede deducirse </w:t>
      </w:r>
      <w:r w:rsidRPr="004A3947">
        <w:rPr>
          <w:i/>
          <w:lang w:val="es-ES_tradnl"/>
        </w:rPr>
        <w:t>e</w:t>
      </w:r>
      <w:r w:rsidRPr="004A3947">
        <w:rPr>
          <w:i/>
          <w:position w:val="-4"/>
          <w:sz w:val="16"/>
          <w:lang w:val="es-ES_tradnl"/>
        </w:rPr>
        <w:t>x</w:t>
      </w:r>
      <w:r w:rsidRPr="004A3947">
        <w:rPr>
          <w:lang w:val="es-ES_tradnl"/>
        </w:rPr>
        <w:t xml:space="preserve"> y </w:t>
      </w:r>
      <w:r w:rsidRPr="004A3947">
        <w:rPr>
          <w:i/>
          <w:lang w:val="es-ES_tradnl"/>
        </w:rPr>
        <w:t>e</w:t>
      </w:r>
      <w:r w:rsidRPr="004A3947">
        <w:rPr>
          <w:i/>
          <w:position w:val="-4"/>
          <w:sz w:val="16"/>
          <w:lang w:val="es-ES_tradnl"/>
        </w:rPr>
        <w:t>y</w:t>
      </w:r>
      <w:r w:rsidRPr="004A3947">
        <w:rPr>
          <w:lang w:val="es-ES_tradnl"/>
        </w:rPr>
        <w:t xml:space="preserve"> si se conoce la relación de elipticidad. En el caso de una polarización circular se debería sustituir </w:t>
      </w:r>
      <w:r w:rsidRPr="004A3947">
        <w:rPr>
          <w:i/>
          <w:lang w:val="es-ES_tradnl"/>
        </w:rPr>
        <w:t>e</w:t>
      </w:r>
      <w:r w:rsidRPr="004A3947">
        <w:rPr>
          <w:lang w:val="es-ES_tradnl"/>
        </w:rPr>
        <w:t xml:space="preserve"> por </w:t>
      </w:r>
      <w:r w:rsidRPr="004A3947">
        <w:rPr>
          <w:i/>
          <w:lang w:val="es-ES_tradnl"/>
        </w:rPr>
        <w:t>e</w:t>
      </w:r>
      <w:r>
        <w:rPr>
          <w:position w:val="-2"/>
        </w:rPr>
        <w:object w:dxaOrig="300" w:dyaOrig="260">
          <v:shape id="_x0000_i1026" type="#_x0000_t75" style="width:15pt;height:13pt" o:ole="">
            <v:imagedata r:id="rId12" o:title=""/>
          </v:shape>
          <o:OLEObject Type="Embed" ProgID="Equation.3" ShapeID="_x0000_i1026" DrawAspect="Content" ObjectID="_1463560111" r:id="rId13"/>
        </w:object>
      </w:r>
      <w:r w:rsidRPr="004A3947">
        <w:rPr>
          <w:lang w:val="es-ES_tradnl"/>
        </w:rPr>
        <w:t>.</w:t>
      </w:r>
    </w:p>
    <w:p w:rsidR="00A13E94" w:rsidRPr="004A3947" w:rsidRDefault="00A13E94">
      <w:pPr>
        <w:pStyle w:val="Note"/>
        <w:rPr>
          <w:lang w:val="es-ES_tradnl"/>
        </w:rPr>
      </w:pPr>
      <w:r w:rsidRPr="004A3947">
        <w:rPr>
          <w:i/>
          <w:lang w:val="es-ES_tradnl"/>
        </w:rPr>
        <w:t>Nota 2</w:t>
      </w:r>
      <w:r w:rsidRPr="004A3947">
        <w:rPr>
          <w:lang w:val="es-ES_tradnl"/>
        </w:rPr>
        <w:t xml:space="preserve"> – En el caso de antenas situadas en la superficie del suelo, que funcionan a frecuencias relativamente bajas con polarización vertical, sólo se considera en general la radiación en el semiespacio superior. Debe tenerse en cuenta este hecho para determinar la p.i.r.e. (véase la Recomendación UIT-R PN.368).</w:t>
      </w:r>
    </w:p>
    <w:p w:rsidR="00A13E94" w:rsidRPr="004A3947" w:rsidRDefault="00A13E94">
      <w:pPr>
        <w:pStyle w:val="Heading2"/>
        <w:rPr>
          <w:lang w:val="es-ES_tradnl"/>
        </w:rPr>
      </w:pPr>
      <w:r w:rsidRPr="004A3947">
        <w:rPr>
          <w:lang w:val="es-ES_tradnl"/>
        </w:rPr>
        <w:t>2.2</w:t>
      </w:r>
      <w:r w:rsidRPr="004A3947">
        <w:rPr>
          <w:lang w:val="es-ES_tradnl"/>
        </w:rPr>
        <w:tab/>
        <w:t>Enlaces punto a punto</w:t>
      </w:r>
    </w:p>
    <w:p w:rsidR="00A13E94" w:rsidRPr="004A3947" w:rsidRDefault="00A13E94">
      <w:pPr>
        <w:rPr>
          <w:lang w:val="es-ES_tradnl"/>
        </w:rPr>
      </w:pPr>
      <w:r w:rsidRPr="004A3947">
        <w:rPr>
          <w:lang w:val="es-ES_tradnl"/>
        </w:rPr>
        <w:tab/>
        <w:t xml:space="preserve">Cuando se trata de un enlace punto a punto, es preferible calcular la atenuación en el espacio libre entre antenas isótropas, denominada también pérdida básica de transmisión en el espacio libre (símbolos: </w:t>
      </w:r>
      <w:r w:rsidRPr="004A3947">
        <w:rPr>
          <w:i/>
          <w:lang w:val="es-ES_tradnl"/>
        </w:rPr>
        <w:t>L</w:t>
      </w:r>
      <w:r w:rsidRPr="004A3947">
        <w:rPr>
          <w:i/>
          <w:position w:val="-4"/>
          <w:sz w:val="16"/>
          <w:lang w:val="es-ES_tradnl"/>
        </w:rPr>
        <w:t>bf</w:t>
      </w:r>
      <w:r w:rsidRPr="004A3947">
        <w:rPr>
          <w:position w:val="-4"/>
          <w:sz w:val="16"/>
          <w:lang w:val="es-ES_tradnl"/>
        </w:rPr>
        <w:t xml:space="preserve"> </w:t>
      </w:r>
      <w:r w:rsidRPr="004A3947">
        <w:rPr>
          <w:lang w:val="es-ES_tradnl"/>
        </w:rPr>
        <w:t xml:space="preserve">o </w:t>
      </w:r>
      <w:r w:rsidRPr="004A3947">
        <w:rPr>
          <w:i/>
          <w:lang w:val="es-ES_tradnl"/>
        </w:rPr>
        <w:t>A</w:t>
      </w:r>
      <w:r w:rsidRPr="004A3947">
        <w:rPr>
          <w:position w:val="-4"/>
          <w:sz w:val="16"/>
          <w:lang w:val="es-ES_tradnl"/>
        </w:rPr>
        <w:t>0</w:t>
      </w:r>
      <w:r w:rsidRPr="004A3947">
        <w:rPr>
          <w:lang w:val="es-ES_tradnl"/>
        </w:rPr>
        <w:t>) de la manera siguiente:</w:t>
      </w:r>
    </w:p>
    <w:p w:rsidR="00A13E94" w:rsidRPr="004A3947" w:rsidRDefault="00A13E94" w:rsidP="004A3947">
      <w:pPr>
        <w:pStyle w:val="Equation"/>
        <w:spacing w:before="0"/>
        <w:rPr>
          <w:lang w:val="es-ES_tradnl"/>
        </w:rPr>
      </w:pPr>
      <w:bookmarkStart w:id="3" w:name="F003"/>
      <w:r w:rsidRPr="004A3947">
        <w:rPr>
          <w:lang w:val="es-ES_tradnl"/>
        </w:rPr>
        <w:tab/>
      </w:r>
      <w:r w:rsidRPr="004A3947">
        <w:rPr>
          <w:lang w:val="es-ES_tradnl"/>
        </w:rPr>
        <w:tab/>
      </w:r>
      <w:r w:rsidR="004A3947" w:rsidRPr="00AB4A74">
        <w:rPr>
          <w:position w:val="-28"/>
        </w:rPr>
        <w:object w:dxaOrig="2000" w:dyaOrig="680">
          <v:shape id="_x0000_i1035" type="#_x0000_t75" style="width:100pt;height:33.5pt" o:ole="">
            <v:imagedata r:id="rId14" o:title=""/>
          </v:shape>
          <o:OLEObject Type="Embed" ProgID="Equation.3" ShapeID="_x0000_i1035" DrawAspect="Content" ObjectID="_1463560112" r:id="rId15"/>
        </w:object>
      </w:r>
      <w:r w:rsidRPr="004A3947">
        <w:rPr>
          <w:color w:val="FFFFFF"/>
          <w:lang w:val="es-ES_tradnl"/>
        </w:rPr>
        <w:t>mmmmmm</w:t>
      </w:r>
      <w:r w:rsidRPr="004A3947">
        <w:rPr>
          <w:lang w:val="es-ES_tradnl"/>
        </w:rPr>
        <w:t>dB</w:t>
      </w:r>
      <w:r w:rsidRPr="004A3947">
        <w:rPr>
          <w:lang w:val="es-ES_tradnl"/>
        </w:rPr>
        <w:tab/>
        <w:t>(3)</w:t>
      </w:r>
      <w:bookmarkEnd w:id="3"/>
    </w:p>
    <w:p w:rsidR="00A13E94" w:rsidRPr="004A3947" w:rsidRDefault="00A13E94">
      <w:pPr>
        <w:spacing w:before="0"/>
        <w:rPr>
          <w:lang w:val="es-ES_tradnl"/>
        </w:rPr>
      </w:pPr>
      <w:r w:rsidRPr="004A3947">
        <w:rPr>
          <w:lang w:val="es-ES_tradnl"/>
        </w:rPr>
        <w:t>donde:</w:t>
      </w:r>
    </w:p>
    <w:p w:rsidR="00A13E94" w:rsidRPr="004A3947" w:rsidRDefault="00A13E94">
      <w:pPr>
        <w:pStyle w:val="enumlev1"/>
        <w:tabs>
          <w:tab w:val="left" w:pos="1418"/>
        </w:tabs>
        <w:ind w:left="1588" w:hanging="794"/>
        <w:rPr>
          <w:lang w:val="es-ES_tradnl"/>
        </w:rPr>
      </w:pPr>
      <w:r w:rsidRPr="004A3947">
        <w:rPr>
          <w:i/>
          <w:lang w:val="es-ES_tradnl"/>
        </w:rPr>
        <w:t>L</w:t>
      </w:r>
      <w:r w:rsidRPr="004A3947">
        <w:rPr>
          <w:i/>
          <w:position w:val="-4"/>
          <w:sz w:val="16"/>
          <w:lang w:val="es-ES_tradnl"/>
        </w:rPr>
        <w:t>bf</w:t>
      </w:r>
      <w:r w:rsidRPr="004A3947">
        <w:rPr>
          <w:rFonts w:ascii="Tms Rmn" w:hAnsi="Tms Rmn"/>
          <w:i/>
          <w:position w:val="-4"/>
          <w:sz w:val="12"/>
          <w:lang w:val="es-ES_tradnl"/>
        </w:rPr>
        <w:t> </w:t>
      </w:r>
      <w:r w:rsidRPr="004A3947">
        <w:rPr>
          <w:lang w:val="es-ES_tradnl"/>
        </w:rPr>
        <w:t>:</w:t>
      </w:r>
      <w:r w:rsidRPr="004A3947">
        <w:rPr>
          <w:lang w:val="es-ES_tradnl"/>
        </w:rPr>
        <w:tab/>
        <w:t xml:space="preserve">pérdida básica de transmisión en el espacio libre (dB) </w:t>
      </w:r>
    </w:p>
    <w:p w:rsidR="00A13E94" w:rsidRPr="004A3947" w:rsidRDefault="00A13E94">
      <w:pPr>
        <w:pStyle w:val="enumlev1"/>
        <w:tabs>
          <w:tab w:val="left" w:pos="1418"/>
        </w:tabs>
        <w:ind w:left="1588" w:hanging="794"/>
        <w:rPr>
          <w:lang w:val="es-ES_tradnl"/>
        </w:rPr>
      </w:pPr>
      <w:r w:rsidRPr="004A3947">
        <w:rPr>
          <w:i/>
          <w:lang w:val="es-ES_tradnl"/>
        </w:rPr>
        <w:t>d</w:t>
      </w:r>
      <w:r w:rsidRPr="004A3947">
        <w:rPr>
          <w:rFonts w:ascii="Tms Rmn" w:hAnsi="Tms Rmn"/>
          <w:sz w:val="12"/>
          <w:lang w:val="es-ES_tradnl"/>
        </w:rPr>
        <w:t> </w:t>
      </w:r>
      <w:r w:rsidRPr="004A3947">
        <w:rPr>
          <w:lang w:val="es-ES_tradnl"/>
        </w:rPr>
        <w:t>:</w:t>
      </w:r>
      <w:r w:rsidRPr="004A3947">
        <w:rPr>
          <w:lang w:val="es-ES_tradnl"/>
        </w:rPr>
        <w:tab/>
        <w:t>distancia</w:t>
      </w:r>
    </w:p>
    <w:p w:rsidR="00A13E94" w:rsidRPr="004A3947" w:rsidRDefault="00A13E94">
      <w:pPr>
        <w:pStyle w:val="enumlev1"/>
        <w:tabs>
          <w:tab w:val="left" w:pos="1418"/>
        </w:tabs>
        <w:ind w:left="1588" w:hanging="794"/>
        <w:rPr>
          <w:lang w:val="es-ES_tradnl"/>
        </w:rPr>
      </w:pPr>
      <w:r>
        <w:rPr>
          <w:rFonts w:ascii="Symbol" w:hAnsi="Symbol"/>
        </w:rPr>
        <w:t></w:t>
      </w:r>
      <w:r w:rsidRPr="004A3947">
        <w:rPr>
          <w:rFonts w:ascii="Tms Rmn" w:hAnsi="Tms Rmn"/>
          <w:sz w:val="12"/>
          <w:lang w:val="es-ES_tradnl"/>
        </w:rPr>
        <w:t> </w:t>
      </w:r>
      <w:r w:rsidRPr="004A3947">
        <w:rPr>
          <w:lang w:val="es-ES_tradnl"/>
        </w:rPr>
        <w:t>:</w:t>
      </w:r>
      <w:r w:rsidRPr="004A3947">
        <w:rPr>
          <w:lang w:val="es-ES_tradnl"/>
        </w:rPr>
        <w:tab/>
        <w:t>longitud de onda</w:t>
      </w:r>
    </w:p>
    <w:p w:rsidR="00A13E94" w:rsidRPr="004A3947" w:rsidRDefault="00A13E94">
      <w:pPr>
        <w:pStyle w:val="enumlev1"/>
        <w:tabs>
          <w:tab w:val="left" w:pos="1418"/>
        </w:tabs>
        <w:ind w:left="1588" w:hanging="794"/>
        <w:rPr>
          <w:lang w:val="es-ES_tradnl"/>
        </w:rPr>
      </w:pPr>
      <w:r w:rsidRPr="004A3947">
        <w:rPr>
          <w:i/>
          <w:lang w:val="es-ES_tradnl"/>
        </w:rPr>
        <w:t>d</w:t>
      </w:r>
      <w:r w:rsidRPr="004A3947">
        <w:rPr>
          <w:lang w:val="es-ES_tradnl"/>
        </w:rPr>
        <w:t xml:space="preserve"> y </w:t>
      </w:r>
      <w:r>
        <w:rPr>
          <w:rFonts w:ascii="Symbol" w:hAnsi="Symbol"/>
        </w:rPr>
        <w:t></w:t>
      </w:r>
      <w:r w:rsidRPr="004A3947">
        <w:rPr>
          <w:lang w:val="es-ES_tradnl"/>
        </w:rPr>
        <w:tab/>
        <w:t xml:space="preserve">se expresan en las mismas unidades. </w:t>
      </w:r>
    </w:p>
    <w:p w:rsidR="00A13E94" w:rsidRPr="004A3947" w:rsidRDefault="00A13E94">
      <w:pPr>
        <w:spacing w:before="80"/>
        <w:rPr>
          <w:lang w:val="es-ES_tradnl"/>
        </w:rPr>
      </w:pPr>
      <w:r w:rsidRPr="004A3947">
        <w:rPr>
          <w:lang w:val="es-ES_tradnl"/>
        </w:rPr>
        <w:tab/>
        <w:t>La ecuación (3) puede también escribirse en función de la frecuencia en vez de la longitud de onda:</w:t>
      </w:r>
    </w:p>
    <w:p w:rsidR="00A13E94" w:rsidRPr="004A3947" w:rsidRDefault="00A13E94">
      <w:pPr>
        <w:pStyle w:val="Equation"/>
        <w:rPr>
          <w:lang w:val="es-ES_tradnl"/>
        </w:rPr>
      </w:pPr>
      <w:bookmarkStart w:id="4" w:name="F004"/>
      <w:r w:rsidRPr="004A3947">
        <w:rPr>
          <w:i/>
          <w:lang w:val="es-ES_tradnl"/>
        </w:rPr>
        <w:tab/>
      </w:r>
      <w:r w:rsidRPr="004A3947">
        <w:rPr>
          <w:i/>
          <w:lang w:val="es-ES_tradnl"/>
        </w:rPr>
        <w:tab/>
        <w:t>L</w:t>
      </w:r>
      <w:r w:rsidRPr="004A3947">
        <w:rPr>
          <w:i/>
          <w:position w:val="-4"/>
          <w:sz w:val="18"/>
          <w:lang w:val="es-ES_tradnl"/>
        </w:rPr>
        <w:t>bf</w:t>
      </w:r>
      <w:r w:rsidRPr="004A3947">
        <w:rPr>
          <w:lang w:val="es-ES_tradnl"/>
        </w:rPr>
        <w:t xml:space="preserve">  =  32,4  </w:t>
      </w:r>
      <w:r>
        <w:rPr>
          <w:rFonts w:ascii="Symbol" w:hAnsi="Symbol"/>
        </w:rPr>
        <w:t></w:t>
      </w:r>
      <w:r w:rsidRPr="004A3947">
        <w:rPr>
          <w:lang w:val="es-ES_tradnl"/>
        </w:rPr>
        <w:t xml:space="preserve">  20 log</w:t>
      </w:r>
      <w:r w:rsidRPr="004A3947">
        <w:rPr>
          <w:i/>
          <w:lang w:val="es-ES_tradnl"/>
        </w:rPr>
        <w:t xml:space="preserve"> </w:t>
      </w:r>
      <w:r>
        <w:rPr>
          <w:rFonts w:ascii="Symbol" w:hAnsi="Symbol"/>
        </w:rPr>
        <w:t></w:t>
      </w:r>
      <w:r w:rsidRPr="004A3947">
        <w:rPr>
          <w:lang w:val="es-ES_tradnl"/>
        </w:rPr>
        <w:t xml:space="preserve">  </w:t>
      </w:r>
      <w:r>
        <w:rPr>
          <w:rFonts w:ascii="Symbol" w:hAnsi="Symbol"/>
          <w:position w:val="-2"/>
        </w:rPr>
        <w:t></w:t>
      </w:r>
      <w:r w:rsidRPr="004A3947">
        <w:rPr>
          <w:position w:val="-2"/>
          <w:lang w:val="es-ES_tradnl"/>
        </w:rPr>
        <w:t xml:space="preserve">  </w:t>
      </w:r>
      <w:r w:rsidRPr="004A3947">
        <w:rPr>
          <w:lang w:val="es-ES_tradnl"/>
        </w:rPr>
        <w:t>20 log</w:t>
      </w:r>
      <w:r w:rsidRPr="004A3947">
        <w:rPr>
          <w:i/>
          <w:lang w:val="es-ES_tradnl"/>
        </w:rPr>
        <w:t xml:space="preserve"> d</w:t>
      </w:r>
      <w:r w:rsidRPr="004A3947">
        <w:rPr>
          <w:color w:val="FFFFFF"/>
          <w:lang w:val="es-ES_tradnl"/>
        </w:rPr>
        <w:t>mmmmmm</w:t>
      </w:r>
      <w:r w:rsidRPr="004A3947">
        <w:rPr>
          <w:lang w:val="es-ES_tradnl"/>
        </w:rPr>
        <w:t>dB</w:t>
      </w:r>
      <w:r w:rsidRPr="004A3947">
        <w:rPr>
          <w:lang w:val="es-ES_tradnl"/>
        </w:rPr>
        <w:tab/>
        <w:t>(4)</w:t>
      </w:r>
      <w:bookmarkEnd w:id="4"/>
    </w:p>
    <w:p w:rsidR="00A13E94" w:rsidRPr="004A3947" w:rsidRDefault="00A13E94">
      <w:pPr>
        <w:tabs>
          <w:tab w:val="clear" w:pos="794"/>
          <w:tab w:val="clear" w:pos="1191"/>
          <w:tab w:val="clear" w:pos="1588"/>
          <w:tab w:val="clear" w:pos="1985"/>
          <w:tab w:val="center" w:pos="4820"/>
          <w:tab w:val="left" w:pos="7088"/>
          <w:tab w:val="right" w:pos="9639"/>
        </w:tabs>
        <w:spacing w:before="0"/>
        <w:rPr>
          <w:position w:val="-2"/>
          <w:lang w:val="es-ES_tradnl"/>
        </w:rPr>
      </w:pPr>
      <w:r w:rsidRPr="004A3947">
        <w:rPr>
          <w:position w:val="-2"/>
          <w:lang w:val="es-ES_tradnl"/>
        </w:rPr>
        <w:t>donde:</w:t>
      </w:r>
    </w:p>
    <w:p w:rsidR="00A13E94" w:rsidRPr="004A3947" w:rsidRDefault="00A13E94">
      <w:pPr>
        <w:rPr>
          <w:lang w:val="es-ES_tradnl"/>
        </w:rPr>
      </w:pPr>
      <w:r w:rsidRPr="004A3947">
        <w:rPr>
          <w:lang w:val="es-ES_tradnl"/>
        </w:rPr>
        <w:tab/>
      </w:r>
      <w:r w:rsidRPr="004A3947">
        <w:rPr>
          <w:i/>
          <w:lang w:val="es-ES_tradnl"/>
        </w:rPr>
        <w:t>f</w:t>
      </w:r>
      <w:r w:rsidRPr="004A3947">
        <w:rPr>
          <w:rFonts w:ascii="Tms Rmn" w:hAnsi="Tms Rmn"/>
          <w:i/>
          <w:sz w:val="12"/>
          <w:lang w:val="es-ES_tradnl"/>
        </w:rPr>
        <w:t> </w:t>
      </w:r>
      <w:r w:rsidRPr="004A3947">
        <w:rPr>
          <w:lang w:val="es-ES_tradnl"/>
        </w:rPr>
        <w:t>:</w:t>
      </w:r>
      <w:r w:rsidRPr="004A3947">
        <w:rPr>
          <w:lang w:val="es-ES_tradnl"/>
        </w:rPr>
        <w:tab/>
        <w:t>frecuencia (MHz)</w:t>
      </w:r>
    </w:p>
    <w:p w:rsidR="00A13E94" w:rsidRPr="004A3947" w:rsidRDefault="00A13E94">
      <w:pPr>
        <w:rPr>
          <w:lang w:val="es-ES_tradnl"/>
        </w:rPr>
      </w:pPr>
      <w:r w:rsidRPr="004A3947">
        <w:rPr>
          <w:lang w:val="es-ES_tradnl"/>
        </w:rPr>
        <w:tab/>
      </w:r>
      <w:r w:rsidRPr="004A3947">
        <w:rPr>
          <w:i/>
          <w:lang w:val="es-ES_tradnl"/>
        </w:rPr>
        <w:t>d</w:t>
      </w:r>
      <w:r w:rsidRPr="004A3947">
        <w:rPr>
          <w:rFonts w:ascii="Tms Rmn" w:hAnsi="Tms Rmn"/>
          <w:i/>
          <w:sz w:val="12"/>
          <w:lang w:val="es-ES_tradnl"/>
        </w:rPr>
        <w:t> </w:t>
      </w:r>
      <w:r w:rsidRPr="004A3947">
        <w:rPr>
          <w:lang w:val="es-ES_tradnl"/>
        </w:rPr>
        <w:t>:</w:t>
      </w:r>
      <w:r w:rsidRPr="004A3947">
        <w:rPr>
          <w:lang w:val="es-ES_tradnl"/>
        </w:rPr>
        <w:tab/>
        <w:t>distancia (km).</w:t>
      </w:r>
    </w:p>
    <w:p w:rsidR="00A13E94" w:rsidRPr="004A3947" w:rsidRDefault="00A13E94">
      <w:pPr>
        <w:pStyle w:val="Heading2"/>
        <w:rPr>
          <w:lang w:val="es-ES_tradnl"/>
        </w:rPr>
      </w:pPr>
      <w:r w:rsidRPr="004A3947">
        <w:rPr>
          <w:lang w:val="es-ES_tradnl"/>
        </w:rPr>
        <w:t>2.3</w:t>
      </w:r>
      <w:r w:rsidRPr="004A3947">
        <w:rPr>
          <w:lang w:val="es-ES_tradnl"/>
        </w:rPr>
        <w:tab/>
        <w:t>Relaciones entre las características de una onda plana</w:t>
      </w:r>
    </w:p>
    <w:p w:rsidR="00A13E94" w:rsidRPr="004A3947" w:rsidRDefault="00A13E94">
      <w:pPr>
        <w:spacing w:before="80"/>
        <w:rPr>
          <w:lang w:val="es-ES_tradnl"/>
        </w:rPr>
      </w:pPr>
      <w:r w:rsidRPr="004A3947">
        <w:rPr>
          <w:lang w:val="es-ES_tradnl"/>
        </w:rPr>
        <w:tab/>
        <w:t>Existen, además, relaciones entre las características de una onda plana (o de una onda asimilable a la onda plana) en un punto:</w:t>
      </w:r>
    </w:p>
    <w:p w:rsidR="00A13E94" w:rsidRPr="004A3947" w:rsidRDefault="00A13E94" w:rsidP="004A3947">
      <w:pPr>
        <w:pStyle w:val="Equation"/>
        <w:spacing w:before="0"/>
        <w:rPr>
          <w:lang w:val="es-ES_tradnl"/>
        </w:rPr>
      </w:pPr>
      <w:bookmarkStart w:id="5" w:name="F005"/>
      <w:r w:rsidRPr="004A3947">
        <w:rPr>
          <w:lang w:val="es-ES_tradnl"/>
        </w:rPr>
        <w:tab/>
      </w:r>
      <w:r w:rsidRPr="004A3947">
        <w:rPr>
          <w:lang w:val="es-ES_tradnl"/>
        </w:rPr>
        <w:tab/>
      </w:r>
      <w:r w:rsidR="004A3947" w:rsidRPr="00E674E3">
        <w:rPr>
          <w:position w:val="-28"/>
        </w:rPr>
        <w:object w:dxaOrig="1640" w:dyaOrig="700">
          <v:shape id="_x0000_i1036" type="#_x0000_t75" style="width:82pt;height:34.5pt" o:ole="">
            <v:imagedata r:id="rId16" o:title=""/>
          </v:shape>
          <o:OLEObject Type="Embed" ProgID="Equation.3" ShapeID="_x0000_i1036" DrawAspect="Content" ObjectID="_1463560113" r:id="rId17"/>
        </w:object>
      </w:r>
      <w:r w:rsidRPr="004A3947">
        <w:rPr>
          <w:lang w:val="es-ES_tradnl"/>
        </w:rPr>
        <w:tab/>
        <w:t>(5)</w:t>
      </w:r>
      <w:bookmarkEnd w:id="5"/>
    </w:p>
    <w:p w:rsidR="00A13E94" w:rsidRPr="004A3947" w:rsidRDefault="00A13E94">
      <w:pPr>
        <w:spacing w:before="0"/>
        <w:rPr>
          <w:lang w:val="es-ES_tradnl"/>
        </w:rPr>
      </w:pPr>
      <w:r w:rsidRPr="004A3947">
        <w:rPr>
          <w:lang w:val="es-ES_tradnl"/>
        </w:rPr>
        <w:t>donde:</w:t>
      </w:r>
    </w:p>
    <w:p w:rsidR="00A13E94" w:rsidRPr="004A3947" w:rsidRDefault="00A13E94">
      <w:pPr>
        <w:pStyle w:val="enumlev1"/>
        <w:rPr>
          <w:lang w:val="es-ES_tradnl"/>
        </w:rPr>
      </w:pPr>
      <w:r w:rsidRPr="004A3947">
        <w:rPr>
          <w:i/>
          <w:lang w:val="es-ES_tradnl"/>
        </w:rPr>
        <w:t>s</w:t>
      </w:r>
      <w:r w:rsidRPr="004A3947">
        <w:rPr>
          <w:rFonts w:ascii="Tms Rmn" w:hAnsi="Tms Rmn"/>
          <w:i/>
          <w:sz w:val="12"/>
          <w:lang w:val="es-ES_tradnl"/>
        </w:rPr>
        <w:t> </w:t>
      </w:r>
      <w:r w:rsidRPr="004A3947">
        <w:rPr>
          <w:lang w:val="es-ES_tradnl"/>
        </w:rPr>
        <w:t>:</w:t>
      </w:r>
      <w:r w:rsidRPr="004A3947">
        <w:rPr>
          <w:lang w:val="es-ES_tradnl"/>
        </w:rPr>
        <w:tab/>
        <w:t>densidad del flujo de potencia (W/m</w:t>
      </w:r>
      <w:r w:rsidRPr="004A3947">
        <w:rPr>
          <w:position w:val="6"/>
          <w:sz w:val="18"/>
          <w:lang w:val="es-ES_tradnl"/>
        </w:rPr>
        <w:t>2</w:t>
      </w:r>
      <w:r w:rsidRPr="004A3947">
        <w:rPr>
          <w:lang w:val="es-ES_tradnl"/>
        </w:rPr>
        <w:t>)</w:t>
      </w:r>
    </w:p>
    <w:p w:rsidR="00A13E94" w:rsidRPr="004A3947" w:rsidRDefault="00A13E94">
      <w:pPr>
        <w:pStyle w:val="enumlev1"/>
        <w:rPr>
          <w:lang w:val="es-ES_tradnl"/>
        </w:rPr>
      </w:pPr>
      <w:r w:rsidRPr="004A3947">
        <w:rPr>
          <w:i/>
          <w:lang w:val="es-ES_tradnl"/>
        </w:rPr>
        <w:t>e</w:t>
      </w:r>
      <w:r w:rsidRPr="004A3947">
        <w:rPr>
          <w:rFonts w:ascii="Tms Rmn" w:hAnsi="Tms Rmn"/>
          <w:i/>
          <w:sz w:val="12"/>
          <w:lang w:val="es-ES_tradnl"/>
        </w:rPr>
        <w:t> </w:t>
      </w:r>
      <w:r w:rsidRPr="004A3947">
        <w:rPr>
          <w:lang w:val="es-ES_tradnl"/>
        </w:rPr>
        <w:t>:</w:t>
      </w:r>
      <w:r w:rsidRPr="004A3947">
        <w:rPr>
          <w:lang w:val="es-ES_tradnl"/>
        </w:rPr>
        <w:tab/>
        <w:t>intensidad de campo eficaz (V/m)</w:t>
      </w:r>
    </w:p>
    <w:p w:rsidR="00A13E94" w:rsidRPr="004A3947" w:rsidRDefault="00A13E94">
      <w:pPr>
        <w:pStyle w:val="enumlev1"/>
        <w:rPr>
          <w:lang w:val="es-ES_tradnl"/>
        </w:rPr>
      </w:pPr>
      <w:r w:rsidRPr="004A3947">
        <w:rPr>
          <w:i/>
          <w:lang w:val="es-ES_tradnl"/>
        </w:rPr>
        <w:t>p</w:t>
      </w:r>
      <w:r w:rsidRPr="004A3947">
        <w:rPr>
          <w:i/>
          <w:position w:val="-4"/>
          <w:sz w:val="16"/>
          <w:lang w:val="es-ES_tradnl"/>
        </w:rPr>
        <w:t>r</w:t>
      </w:r>
      <w:r w:rsidRPr="004A3947">
        <w:rPr>
          <w:rFonts w:ascii="Tms Rmn" w:hAnsi="Tms Rmn"/>
          <w:i/>
          <w:position w:val="-4"/>
          <w:sz w:val="12"/>
          <w:lang w:val="es-ES_tradnl"/>
        </w:rPr>
        <w:t> </w:t>
      </w:r>
      <w:r w:rsidRPr="004A3947">
        <w:rPr>
          <w:lang w:val="es-ES_tradnl"/>
        </w:rPr>
        <w:t>:</w:t>
      </w:r>
      <w:r w:rsidRPr="004A3947">
        <w:rPr>
          <w:lang w:val="es-ES_tradnl"/>
        </w:rPr>
        <w:tab/>
        <w:t>potencia disponible en una antena isótropa situada en este punto (W)</w:t>
      </w:r>
    </w:p>
    <w:p w:rsidR="00A13E94" w:rsidRPr="004A3947" w:rsidRDefault="00A13E94">
      <w:pPr>
        <w:pStyle w:val="enumlev1"/>
        <w:rPr>
          <w:lang w:val="es-ES_tradnl"/>
        </w:rPr>
      </w:pPr>
      <w:r>
        <w:rPr>
          <w:rFonts w:ascii="Symbol" w:hAnsi="Symbol"/>
        </w:rPr>
        <w:t></w:t>
      </w:r>
      <w:r w:rsidRPr="004A3947">
        <w:rPr>
          <w:rFonts w:ascii="Tms Rmn" w:hAnsi="Tms Rmn"/>
          <w:sz w:val="12"/>
          <w:lang w:val="es-ES_tradnl"/>
        </w:rPr>
        <w:t> </w:t>
      </w:r>
      <w:r w:rsidRPr="004A3947">
        <w:rPr>
          <w:lang w:val="es-ES_tradnl"/>
        </w:rPr>
        <w:t>:</w:t>
      </w:r>
      <w:r w:rsidRPr="004A3947">
        <w:rPr>
          <w:lang w:val="es-ES_tradnl"/>
        </w:rPr>
        <w:tab/>
        <w:t>longitud de onda (m).</w:t>
      </w:r>
    </w:p>
    <w:p w:rsidR="00A13E94" w:rsidRPr="004A3947" w:rsidRDefault="00A13E94">
      <w:pPr>
        <w:pStyle w:val="Heading1"/>
        <w:rPr>
          <w:b w:val="0"/>
          <w:lang w:val="es-ES_tradnl"/>
        </w:rPr>
      </w:pPr>
      <w:r w:rsidRPr="004A3947">
        <w:rPr>
          <w:lang w:val="es-ES_tradnl"/>
        </w:rPr>
        <w:t>3.</w:t>
      </w:r>
      <w:r w:rsidRPr="004A3947">
        <w:rPr>
          <w:lang w:val="es-ES_tradnl"/>
        </w:rPr>
        <w:tab/>
        <w:t xml:space="preserve">Pérdida básica de transmisión en el espacio libre en los sistemas de radar </w:t>
      </w:r>
      <w:r w:rsidRPr="004A3947">
        <w:rPr>
          <w:b w:val="0"/>
          <w:lang w:val="es-ES_tradnl"/>
        </w:rPr>
        <w:t>(símbolos: </w:t>
      </w:r>
      <w:r w:rsidRPr="004A3947">
        <w:rPr>
          <w:b w:val="0"/>
          <w:i/>
          <w:lang w:val="es-ES_tradnl"/>
        </w:rPr>
        <w:t>L</w:t>
      </w:r>
      <w:r w:rsidRPr="004A3947">
        <w:rPr>
          <w:b w:val="0"/>
          <w:i/>
          <w:position w:val="-4"/>
          <w:sz w:val="16"/>
          <w:lang w:val="es-ES_tradnl"/>
        </w:rPr>
        <w:t>br</w:t>
      </w:r>
      <w:r w:rsidRPr="004A3947">
        <w:rPr>
          <w:lang w:val="es-ES_tradnl"/>
        </w:rPr>
        <w:t xml:space="preserve"> </w:t>
      </w:r>
      <w:r w:rsidRPr="004A3947">
        <w:rPr>
          <w:b w:val="0"/>
          <w:lang w:val="es-ES_tradnl"/>
        </w:rPr>
        <w:t xml:space="preserve">o </w:t>
      </w:r>
      <w:r w:rsidRPr="004A3947">
        <w:rPr>
          <w:b w:val="0"/>
          <w:i/>
          <w:lang w:val="es-ES_tradnl"/>
        </w:rPr>
        <w:t>A</w:t>
      </w:r>
      <w:r w:rsidRPr="004A3947">
        <w:rPr>
          <w:b w:val="0"/>
          <w:position w:val="-4"/>
          <w:sz w:val="16"/>
          <w:lang w:val="es-ES_tradnl"/>
        </w:rPr>
        <w:t>0</w:t>
      </w:r>
      <w:r w:rsidRPr="004A3947">
        <w:rPr>
          <w:b w:val="0"/>
          <w:i/>
          <w:position w:val="-4"/>
          <w:sz w:val="16"/>
          <w:lang w:val="es-ES_tradnl"/>
        </w:rPr>
        <w:t>r</w:t>
      </w:r>
      <w:r w:rsidRPr="004A3947">
        <w:rPr>
          <w:b w:val="0"/>
          <w:lang w:val="es-ES_tradnl"/>
        </w:rPr>
        <w:t>)</w:t>
      </w:r>
    </w:p>
    <w:p w:rsidR="00A13E94" w:rsidRPr="004A3947" w:rsidRDefault="00A13E94">
      <w:pPr>
        <w:rPr>
          <w:lang w:val="es-ES_tradnl"/>
        </w:rPr>
      </w:pPr>
      <w:r w:rsidRPr="004A3947">
        <w:rPr>
          <w:lang w:val="es-ES_tradnl"/>
        </w:rPr>
        <w:tab/>
        <w:t xml:space="preserve">Los sistemas de radar constituyen un caso especial en cuanto que su señal sufre una pérdida al propagarse, tanto desde el transmisor hasta el blanco como desde éste hasta el receptor. En el caso de los radares dotados de una antena común para la transmisión y la recepción, la pérdida básica de transmisión en el espacio libre, </w:t>
      </w:r>
      <w:r w:rsidRPr="004A3947">
        <w:rPr>
          <w:i/>
          <w:lang w:val="es-ES_tradnl"/>
        </w:rPr>
        <w:t>L</w:t>
      </w:r>
      <w:r w:rsidRPr="004A3947">
        <w:rPr>
          <w:i/>
          <w:position w:val="-4"/>
          <w:sz w:val="16"/>
          <w:lang w:val="es-ES_tradnl"/>
        </w:rPr>
        <w:t>br</w:t>
      </w:r>
      <w:r w:rsidRPr="004A3947">
        <w:rPr>
          <w:lang w:val="es-ES_tradnl"/>
        </w:rPr>
        <w:t>, puede expresarse como sigue:</w:t>
      </w:r>
    </w:p>
    <w:p w:rsidR="00A13E94" w:rsidRPr="004A3947" w:rsidRDefault="00A13E94">
      <w:pPr>
        <w:pStyle w:val="Equation"/>
        <w:rPr>
          <w:lang w:val="es-ES_tradnl"/>
        </w:rPr>
      </w:pPr>
      <w:bookmarkStart w:id="6" w:name="F006"/>
      <w:r w:rsidRPr="004A3947">
        <w:rPr>
          <w:i/>
          <w:lang w:val="es-ES_tradnl"/>
        </w:rPr>
        <w:tab/>
      </w:r>
      <w:r w:rsidRPr="004A3947">
        <w:rPr>
          <w:i/>
          <w:lang w:val="es-ES_tradnl"/>
        </w:rPr>
        <w:tab/>
        <w:t>L</w:t>
      </w:r>
      <w:r w:rsidRPr="004A3947">
        <w:rPr>
          <w:i/>
          <w:position w:val="-4"/>
          <w:sz w:val="18"/>
          <w:lang w:val="es-ES_tradnl"/>
        </w:rPr>
        <w:t>br</w:t>
      </w:r>
      <w:r w:rsidRPr="004A3947">
        <w:rPr>
          <w:lang w:val="es-ES_tradnl"/>
        </w:rPr>
        <w:t xml:space="preserve">  </w:t>
      </w:r>
      <w:r>
        <w:rPr>
          <w:rFonts w:ascii="Symbol" w:hAnsi="Symbol"/>
        </w:rPr>
        <w:t></w:t>
      </w:r>
      <w:r w:rsidRPr="004A3947">
        <w:rPr>
          <w:lang w:val="es-ES_tradnl"/>
        </w:rPr>
        <w:t xml:space="preserve">  103,4  </w:t>
      </w:r>
      <w:r>
        <w:rPr>
          <w:rFonts w:ascii="Symbol" w:hAnsi="Symbol"/>
        </w:rPr>
        <w:t></w:t>
      </w:r>
      <w:r w:rsidRPr="004A3947">
        <w:rPr>
          <w:lang w:val="es-ES_tradnl"/>
        </w:rPr>
        <w:t xml:space="preserve">  20 log </w:t>
      </w:r>
      <w:r>
        <w:rPr>
          <w:rFonts w:ascii="Symbol" w:hAnsi="Symbol"/>
        </w:rPr>
        <w:t></w:t>
      </w:r>
      <w:r w:rsidRPr="004A3947">
        <w:rPr>
          <w:i/>
          <w:lang w:val="es-ES_tradnl"/>
        </w:rPr>
        <w:t xml:space="preserve">  </w:t>
      </w:r>
      <w:r>
        <w:rPr>
          <w:rFonts w:ascii="Symbol" w:hAnsi="Symbol"/>
        </w:rPr>
        <w:t></w:t>
      </w:r>
      <w:r w:rsidRPr="004A3947">
        <w:rPr>
          <w:lang w:val="es-ES_tradnl"/>
        </w:rPr>
        <w:t xml:space="preserve">  40 log</w:t>
      </w:r>
      <w:r w:rsidRPr="004A3947">
        <w:rPr>
          <w:i/>
          <w:lang w:val="es-ES_tradnl"/>
        </w:rPr>
        <w:t xml:space="preserve"> d</w:t>
      </w:r>
      <w:r w:rsidRPr="004A3947">
        <w:rPr>
          <w:lang w:val="es-ES_tradnl"/>
        </w:rPr>
        <w:t xml:space="preserve">  –  10 log </w:t>
      </w:r>
      <w:r>
        <w:rPr>
          <w:rFonts w:ascii="Symbol" w:hAnsi="Symbol"/>
        </w:rPr>
        <w:t></w:t>
      </w:r>
      <w:r w:rsidRPr="004A3947">
        <w:rPr>
          <w:color w:val="FFFFFF"/>
          <w:lang w:val="es-ES_tradnl"/>
        </w:rPr>
        <w:t>mmmmmm</w:t>
      </w:r>
      <w:r w:rsidRPr="004A3947">
        <w:rPr>
          <w:lang w:val="es-ES_tradnl"/>
        </w:rPr>
        <w:t>dB</w:t>
      </w:r>
      <w:r w:rsidRPr="004A3947">
        <w:rPr>
          <w:lang w:val="es-ES_tradnl"/>
        </w:rPr>
        <w:tab/>
        <w:t>(6)</w:t>
      </w:r>
      <w:bookmarkEnd w:id="6"/>
    </w:p>
    <w:p w:rsidR="00A13E94" w:rsidRPr="004A3947" w:rsidRDefault="00A13E94">
      <w:pPr>
        <w:spacing w:before="0"/>
        <w:rPr>
          <w:lang w:val="es-ES_tradnl"/>
        </w:rPr>
      </w:pPr>
      <w:r w:rsidRPr="004A3947">
        <w:rPr>
          <w:lang w:val="es-ES_tradnl"/>
        </w:rPr>
        <w:t>donde:</w:t>
      </w:r>
    </w:p>
    <w:p w:rsidR="00A13E94" w:rsidRPr="004A3947" w:rsidRDefault="00A13E94">
      <w:pPr>
        <w:pStyle w:val="enumlev1"/>
        <w:rPr>
          <w:lang w:val="es-ES_tradnl"/>
        </w:rPr>
      </w:pPr>
      <w:r>
        <w:sym w:font="Symbol" w:char="F073"/>
      </w:r>
      <w:r w:rsidRPr="004A3947">
        <w:rPr>
          <w:rFonts w:ascii="Tms Rmn" w:hAnsi="Tms Rmn"/>
          <w:sz w:val="12"/>
          <w:lang w:val="es-ES_tradnl"/>
        </w:rPr>
        <w:t> </w:t>
      </w:r>
      <w:r w:rsidRPr="004A3947">
        <w:rPr>
          <w:lang w:val="es-ES_tradnl"/>
        </w:rPr>
        <w:t>:</w:t>
      </w:r>
      <w:r w:rsidRPr="004A3947">
        <w:rPr>
          <w:lang w:val="es-ES_tradnl"/>
        </w:rPr>
        <w:tab/>
        <w:t>sección transversal del blanco del radar (m</w:t>
      </w:r>
      <w:r w:rsidRPr="004A3947">
        <w:rPr>
          <w:position w:val="6"/>
          <w:sz w:val="16"/>
          <w:lang w:val="es-ES_tradnl"/>
        </w:rPr>
        <w:t>2</w:t>
      </w:r>
      <w:r w:rsidRPr="004A3947">
        <w:rPr>
          <w:lang w:val="es-ES_tradnl"/>
        </w:rPr>
        <w:t>)</w:t>
      </w:r>
    </w:p>
    <w:p w:rsidR="00A13E94" w:rsidRPr="004A3947" w:rsidRDefault="00A13E94">
      <w:pPr>
        <w:pStyle w:val="enumlev1"/>
        <w:rPr>
          <w:lang w:val="es-ES_tradnl"/>
        </w:rPr>
      </w:pPr>
      <w:r w:rsidRPr="004A3947">
        <w:rPr>
          <w:i/>
          <w:lang w:val="es-ES_tradnl"/>
        </w:rPr>
        <w:t>d</w:t>
      </w:r>
      <w:r w:rsidRPr="004A3947">
        <w:rPr>
          <w:rFonts w:ascii="Tms Rmn" w:hAnsi="Tms Rmn"/>
          <w:sz w:val="12"/>
          <w:lang w:val="es-ES_tradnl"/>
        </w:rPr>
        <w:t> </w:t>
      </w:r>
      <w:r w:rsidRPr="004A3947">
        <w:rPr>
          <w:lang w:val="es-ES_tradnl"/>
        </w:rPr>
        <w:t>:</w:t>
      </w:r>
      <w:r w:rsidRPr="004A3947">
        <w:rPr>
          <w:lang w:val="es-ES_tradnl"/>
        </w:rPr>
        <w:tab/>
        <w:t>distancia del radar al blanco (km)</w:t>
      </w:r>
    </w:p>
    <w:p w:rsidR="00A13E94" w:rsidRPr="004A3947" w:rsidRDefault="00A13E94">
      <w:pPr>
        <w:pStyle w:val="enumlev1"/>
        <w:rPr>
          <w:lang w:val="es-ES_tradnl"/>
        </w:rPr>
      </w:pPr>
      <w:r w:rsidRPr="004A3947">
        <w:rPr>
          <w:i/>
          <w:lang w:val="es-ES_tradnl"/>
        </w:rPr>
        <w:t>f</w:t>
      </w:r>
      <w:r w:rsidRPr="004A3947">
        <w:rPr>
          <w:rFonts w:ascii="Tms Rmn" w:hAnsi="Tms Rmn"/>
          <w:i/>
          <w:sz w:val="12"/>
          <w:lang w:val="es-ES_tradnl"/>
        </w:rPr>
        <w:t> </w:t>
      </w:r>
      <w:r w:rsidRPr="004A3947">
        <w:rPr>
          <w:lang w:val="es-ES_tradnl"/>
        </w:rPr>
        <w:t>:</w:t>
      </w:r>
      <w:r w:rsidRPr="004A3947">
        <w:rPr>
          <w:lang w:val="es-ES_tradnl"/>
        </w:rPr>
        <w:tab/>
        <w:t>frecuencia del sistema (MHz).</w:t>
      </w:r>
    </w:p>
    <w:p w:rsidR="00A13E94" w:rsidRPr="004A3947" w:rsidRDefault="00A13E94">
      <w:pPr>
        <w:rPr>
          <w:lang w:val="es-ES_tradnl"/>
        </w:rPr>
      </w:pPr>
      <w:r w:rsidRPr="004A3947">
        <w:rPr>
          <w:lang w:val="es-ES_tradnl"/>
        </w:rPr>
        <w:br w:type="page"/>
      </w:r>
      <w:r w:rsidRPr="004A3947">
        <w:rPr>
          <w:lang w:val="es-ES_tradnl"/>
        </w:rPr>
        <w:lastRenderedPageBreak/>
        <w:tab/>
        <w:t>La sección transversal del blanco del radar para un objeto es la relación entre la potencia total dispersada isotrópicamente equivalente y la densidad de potencia incidente.</w:t>
      </w:r>
    </w:p>
    <w:p w:rsidR="00A13E94" w:rsidRPr="004A3947" w:rsidRDefault="00A13E94">
      <w:pPr>
        <w:pStyle w:val="Heading1"/>
        <w:rPr>
          <w:lang w:val="es-ES_tradnl"/>
        </w:rPr>
      </w:pPr>
      <w:r w:rsidRPr="004A3947">
        <w:rPr>
          <w:lang w:val="es-ES_tradnl"/>
        </w:rPr>
        <w:t>4.</w:t>
      </w:r>
      <w:r w:rsidRPr="004A3947">
        <w:rPr>
          <w:lang w:val="es-ES_tradnl"/>
        </w:rPr>
        <w:tab/>
        <w:t>Fórmulas de conversión</w:t>
      </w:r>
    </w:p>
    <w:p w:rsidR="00A13E94" w:rsidRPr="004A3947" w:rsidRDefault="00A13E94">
      <w:pPr>
        <w:rPr>
          <w:lang w:val="es-ES_tradnl"/>
        </w:rPr>
      </w:pPr>
      <w:r w:rsidRPr="004A3947">
        <w:rPr>
          <w:lang w:val="es-ES_tradnl"/>
        </w:rPr>
        <w:tab/>
        <w:t>Sobre la base de la propagación en el espacio libre, se pueden utilizar las fórmulas de conversión siguientes:</w:t>
      </w:r>
    </w:p>
    <w:p w:rsidR="00A13E94" w:rsidRPr="004A3947" w:rsidRDefault="00A13E94">
      <w:pPr>
        <w:rPr>
          <w:lang w:val="es-ES_tradnl"/>
        </w:rPr>
      </w:pPr>
      <w:r w:rsidRPr="004A3947">
        <w:rPr>
          <w:lang w:val="es-ES_tradnl"/>
        </w:rPr>
        <w:tab/>
        <w:t>Intensidad de campo para una onda dada transmitida isotrópicamente:</w:t>
      </w:r>
    </w:p>
    <w:p w:rsidR="00A13E94" w:rsidRPr="004A3947" w:rsidRDefault="00A13E94">
      <w:pPr>
        <w:pStyle w:val="Equation"/>
        <w:rPr>
          <w:lang w:val="es-ES_tradnl"/>
        </w:rPr>
      </w:pPr>
      <w:bookmarkStart w:id="7" w:name="F007"/>
      <w:r w:rsidRPr="004A3947">
        <w:rPr>
          <w:lang w:val="es-ES_tradnl"/>
        </w:rPr>
        <w:tab/>
      </w:r>
      <w:r w:rsidRPr="004A3947">
        <w:rPr>
          <w:lang w:val="es-ES_tradnl"/>
        </w:rPr>
        <w:tab/>
      </w:r>
      <w:r w:rsidRPr="004A3947">
        <w:rPr>
          <w:i/>
          <w:lang w:val="es-ES_tradnl"/>
        </w:rPr>
        <w:t>E</w:t>
      </w:r>
      <w:r w:rsidRPr="004A3947">
        <w:rPr>
          <w:lang w:val="es-ES_tradnl"/>
        </w:rPr>
        <w:t xml:space="preserve">  </w:t>
      </w:r>
      <w:r>
        <w:rPr>
          <w:rFonts w:ascii="Symbol" w:hAnsi="Symbol"/>
        </w:rPr>
        <w:t></w:t>
      </w:r>
      <w:r w:rsidRPr="004A3947">
        <w:rPr>
          <w:lang w:val="es-ES_tradnl"/>
        </w:rPr>
        <w:t xml:space="preserve">  </w:t>
      </w:r>
      <w:r w:rsidRPr="004A3947">
        <w:rPr>
          <w:i/>
          <w:lang w:val="es-ES_tradnl"/>
        </w:rPr>
        <w:t>P</w:t>
      </w:r>
      <w:r w:rsidRPr="004A3947">
        <w:rPr>
          <w:i/>
          <w:position w:val="-4"/>
          <w:sz w:val="18"/>
          <w:lang w:val="es-ES_tradnl"/>
        </w:rPr>
        <w:t>t</w:t>
      </w:r>
      <w:r w:rsidRPr="004A3947">
        <w:rPr>
          <w:lang w:val="es-ES_tradnl"/>
        </w:rPr>
        <w:t xml:space="preserve">  –  20 log </w:t>
      </w:r>
      <w:r w:rsidRPr="004A3947">
        <w:rPr>
          <w:i/>
          <w:lang w:val="es-ES_tradnl"/>
        </w:rPr>
        <w:t>d</w:t>
      </w:r>
      <w:r w:rsidRPr="004A3947">
        <w:rPr>
          <w:lang w:val="es-ES_tradnl"/>
        </w:rPr>
        <w:t xml:space="preserve">  </w:t>
      </w:r>
      <w:r>
        <w:rPr>
          <w:rFonts w:ascii="Symbol" w:hAnsi="Symbol"/>
        </w:rPr>
        <w:t></w:t>
      </w:r>
      <w:r w:rsidRPr="004A3947">
        <w:rPr>
          <w:lang w:val="es-ES_tradnl"/>
        </w:rPr>
        <w:t xml:space="preserve">  74,8</w:t>
      </w:r>
      <w:r w:rsidRPr="004A3947">
        <w:rPr>
          <w:lang w:val="es-ES_tradnl"/>
        </w:rPr>
        <w:tab/>
        <w:t>(7)</w:t>
      </w:r>
      <w:bookmarkEnd w:id="7"/>
    </w:p>
    <w:p w:rsidR="00A13E94" w:rsidRPr="004A3947" w:rsidRDefault="00A13E94">
      <w:pPr>
        <w:rPr>
          <w:lang w:val="es-ES_tradnl"/>
        </w:rPr>
      </w:pPr>
      <w:r w:rsidRPr="004A3947">
        <w:rPr>
          <w:lang w:val="es-ES_tradnl"/>
        </w:rPr>
        <w:tab/>
        <w:t>Potencia recibida isotrópicamente para una intensidad de campo dada:</w:t>
      </w:r>
    </w:p>
    <w:p w:rsidR="00A13E94" w:rsidRPr="004A3947" w:rsidRDefault="00A13E94">
      <w:pPr>
        <w:pStyle w:val="Equation"/>
        <w:rPr>
          <w:lang w:val="es-ES_tradnl"/>
        </w:rPr>
      </w:pPr>
      <w:bookmarkStart w:id="8" w:name="F008"/>
      <w:r w:rsidRPr="004A3947">
        <w:rPr>
          <w:lang w:val="es-ES_tradnl"/>
        </w:rPr>
        <w:tab/>
      </w:r>
      <w:r w:rsidRPr="004A3947">
        <w:rPr>
          <w:lang w:val="es-ES_tradnl"/>
        </w:rPr>
        <w:tab/>
      </w:r>
      <w:r w:rsidRPr="004A3947">
        <w:rPr>
          <w:i/>
          <w:lang w:val="es-ES_tradnl"/>
        </w:rPr>
        <w:t>P</w:t>
      </w:r>
      <w:r w:rsidRPr="004A3947">
        <w:rPr>
          <w:i/>
          <w:position w:val="-4"/>
          <w:sz w:val="18"/>
          <w:lang w:val="es-ES_tradnl"/>
        </w:rPr>
        <w:t>r</w:t>
      </w:r>
      <w:r w:rsidRPr="004A3947">
        <w:rPr>
          <w:lang w:val="es-ES_tradnl"/>
        </w:rPr>
        <w:t xml:space="preserve">  </w:t>
      </w:r>
      <w:r>
        <w:rPr>
          <w:rFonts w:ascii="Symbol" w:hAnsi="Symbol"/>
        </w:rPr>
        <w:t></w:t>
      </w:r>
      <w:r w:rsidRPr="004A3947">
        <w:rPr>
          <w:lang w:val="es-ES_tradnl"/>
        </w:rPr>
        <w:t xml:space="preserve">  </w:t>
      </w:r>
      <w:r w:rsidRPr="004A3947">
        <w:rPr>
          <w:i/>
          <w:lang w:val="es-ES_tradnl"/>
        </w:rPr>
        <w:t>E</w:t>
      </w:r>
      <w:r w:rsidRPr="004A3947">
        <w:rPr>
          <w:lang w:val="es-ES_tradnl"/>
        </w:rPr>
        <w:t xml:space="preserve">  –  20 log </w:t>
      </w:r>
      <w:r w:rsidRPr="004A3947">
        <w:rPr>
          <w:i/>
          <w:lang w:val="es-ES_tradnl"/>
        </w:rPr>
        <w:t>f</w:t>
      </w:r>
      <w:r w:rsidRPr="004A3947">
        <w:rPr>
          <w:lang w:val="es-ES_tradnl"/>
        </w:rPr>
        <w:t xml:space="preserve">  –  167,2</w:t>
      </w:r>
      <w:r w:rsidRPr="004A3947">
        <w:rPr>
          <w:lang w:val="es-ES_tradnl"/>
        </w:rPr>
        <w:tab/>
        <w:t>(8)</w:t>
      </w:r>
      <w:bookmarkEnd w:id="8"/>
    </w:p>
    <w:p w:rsidR="00A13E94" w:rsidRPr="004A3947" w:rsidRDefault="00A13E94">
      <w:pPr>
        <w:rPr>
          <w:lang w:val="es-ES_tradnl"/>
        </w:rPr>
      </w:pPr>
      <w:r w:rsidRPr="004A3947">
        <w:rPr>
          <w:lang w:val="es-ES_tradnl"/>
        </w:rPr>
        <w:tab/>
        <w:t>Pérdida de transmisión básica en el espacio libre para una potencia e intensidad de campo dadas transmitidas isotrópicamente:</w:t>
      </w:r>
    </w:p>
    <w:p w:rsidR="00A13E94" w:rsidRPr="004A3947" w:rsidRDefault="00A13E94">
      <w:pPr>
        <w:pStyle w:val="Equation"/>
        <w:rPr>
          <w:lang w:val="de-CH"/>
        </w:rPr>
      </w:pPr>
      <w:bookmarkStart w:id="9" w:name="F009"/>
      <w:r w:rsidRPr="004A3947">
        <w:rPr>
          <w:lang w:val="es-ES_tradnl"/>
        </w:rPr>
        <w:tab/>
      </w:r>
      <w:r w:rsidRPr="004A3947">
        <w:rPr>
          <w:lang w:val="es-ES_tradnl"/>
        </w:rPr>
        <w:tab/>
      </w:r>
      <w:r w:rsidRPr="004A3947">
        <w:rPr>
          <w:i/>
          <w:lang w:val="de-CH"/>
        </w:rPr>
        <w:t>L</w:t>
      </w:r>
      <w:r w:rsidRPr="004A3947">
        <w:rPr>
          <w:i/>
          <w:position w:val="-4"/>
          <w:sz w:val="18"/>
          <w:lang w:val="de-CH"/>
        </w:rPr>
        <w:t>bf</w:t>
      </w:r>
      <w:r w:rsidRPr="004A3947">
        <w:rPr>
          <w:lang w:val="de-CH"/>
        </w:rPr>
        <w:t xml:space="preserve">  </w:t>
      </w:r>
      <w:r>
        <w:rPr>
          <w:rFonts w:ascii="Symbol" w:hAnsi="Symbol"/>
        </w:rPr>
        <w:t></w:t>
      </w:r>
      <w:r w:rsidRPr="004A3947">
        <w:rPr>
          <w:lang w:val="de-CH"/>
        </w:rPr>
        <w:t xml:space="preserve">  </w:t>
      </w:r>
      <w:r w:rsidRPr="004A3947">
        <w:rPr>
          <w:i/>
          <w:lang w:val="de-CH"/>
        </w:rPr>
        <w:t>P</w:t>
      </w:r>
      <w:r w:rsidRPr="004A3947">
        <w:rPr>
          <w:i/>
          <w:position w:val="-4"/>
          <w:sz w:val="18"/>
          <w:lang w:val="de-CH"/>
        </w:rPr>
        <w:t>t</w:t>
      </w:r>
      <w:r w:rsidRPr="004A3947">
        <w:rPr>
          <w:lang w:val="de-CH"/>
        </w:rPr>
        <w:t xml:space="preserve">  –  </w:t>
      </w:r>
      <w:r w:rsidRPr="004A3947">
        <w:rPr>
          <w:i/>
          <w:lang w:val="de-CH"/>
        </w:rPr>
        <w:t>E</w:t>
      </w:r>
      <w:r w:rsidRPr="004A3947">
        <w:rPr>
          <w:lang w:val="de-CH"/>
        </w:rPr>
        <w:t xml:space="preserve">  </w:t>
      </w:r>
      <w:r>
        <w:rPr>
          <w:rFonts w:ascii="Symbol" w:hAnsi="Symbol"/>
        </w:rPr>
        <w:t></w:t>
      </w:r>
      <w:r w:rsidRPr="004A3947">
        <w:rPr>
          <w:lang w:val="de-CH"/>
        </w:rPr>
        <w:t xml:space="preserve">  20 log </w:t>
      </w:r>
      <w:r w:rsidRPr="004A3947">
        <w:rPr>
          <w:i/>
          <w:lang w:val="de-CH"/>
        </w:rPr>
        <w:t>f</w:t>
      </w:r>
      <w:r w:rsidRPr="004A3947">
        <w:rPr>
          <w:lang w:val="de-CH"/>
        </w:rPr>
        <w:t xml:space="preserve">  </w:t>
      </w:r>
      <w:r>
        <w:rPr>
          <w:rFonts w:ascii="Symbol" w:hAnsi="Symbol"/>
        </w:rPr>
        <w:t></w:t>
      </w:r>
      <w:r w:rsidRPr="004A3947">
        <w:rPr>
          <w:lang w:val="de-CH"/>
        </w:rPr>
        <w:t xml:space="preserve">  167,2</w:t>
      </w:r>
      <w:r w:rsidRPr="004A3947">
        <w:rPr>
          <w:lang w:val="de-CH"/>
        </w:rPr>
        <w:tab/>
        <w:t>(9)</w:t>
      </w:r>
      <w:bookmarkEnd w:id="9"/>
    </w:p>
    <w:p w:rsidR="00A13E94" w:rsidRPr="004A3947" w:rsidRDefault="00A13E94">
      <w:pPr>
        <w:rPr>
          <w:lang w:val="es-ES_tradnl"/>
        </w:rPr>
      </w:pPr>
      <w:r w:rsidRPr="004A3947">
        <w:rPr>
          <w:lang w:val="de-CH"/>
        </w:rPr>
        <w:tab/>
      </w:r>
      <w:r w:rsidRPr="004A3947">
        <w:rPr>
          <w:lang w:val="es-ES_tradnl"/>
        </w:rPr>
        <w:t>Densidad de flujo de potencia para una intensidad de campo dada:</w:t>
      </w:r>
    </w:p>
    <w:p w:rsidR="00A13E94" w:rsidRPr="004A3947" w:rsidRDefault="00A13E94">
      <w:pPr>
        <w:pStyle w:val="Equation"/>
        <w:rPr>
          <w:lang w:val="es-ES_tradnl"/>
        </w:rPr>
      </w:pPr>
      <w:bookmarkStart w:id="10" w:name="F010"/>
      <w:r w:rsidRPr="004A3947">
        <w:rPr>
          <w:lang w:val="es-ES_tradnl"/>
        </w:rPr>
        <w:tab/>
      </w:r>
      <w:r w:rsidRPr="004A3947">
        <w:rPr>
          <w:lang w:val="es-ES_tradnl"/>
        </w:rPr>
        <w:tab/>
      </w:r>
      <w:r w:rsidRPr="004A3947">
        <w:rPr>
          <w:i/>
          <w:lang w:val="es-ES_tradnl"/>
        </w:rPr>
        <w:t>S</w:t>
      </w:r>
      <w:r w:rsidRPr="004A3947">
        <w:rPr>
          <w:lang w:val="es-ES_tradnl"/>
        </w:rPr>
        <w:t xml:space="preserve">  </w:t>
      </w:r>
      <w:r>
        <w:rPr>
          <w:rFonts w:ascii="Symbol" w:hAnsi="Symbol"/>
        </w:rPr>
        <w:t></w:t>
      </w:r>
      <w:r w:rsidRPr="004A3947">
        <w:rPr>
          <w:lang w:val="es-ES_tradnl"/>
        </w:rPr>
        <w:t xml:space="preserve">  </w:t>
      </w:r>
      <w:r w:rsidRPr="004A3947">
        <w:rPr>
          <w:i/>
          <w:lang w:val="es-ES_tradnl"/>
        </w:rPr>
        <w:t>E</w:t>
      </w:r>
      <w:r w:rsidRPr="004A3947">
        <w:rPr>
          <w:lang w:val="es-ES_tradnl"/>
        </w:rPr>
        <w:t xml:space="preserve">  –  145,8</w:t>
      </w:r>
      <w:r w:rsidRPr="004A3947">
        <w:rPr>
          <w:lang w:val="es-ES_tradnl"/>
        </w:rPr>
        <w:tab/>
        <w:t>(10)</w:t>
      </w:r>
      <w:bookmarkEnd w:id="10"/>
    </w:p>
    <w:p w:rsidR="00A13E94" w:rsidRPr="004A3947" w:rsidRDefault="00A13E94">
      <w:pPr>
        <w:rPr>
          <w:lang w:val="es-ES_tradnl"/>
        </w:rPr>
      </w:pPr>
      <w:r w:rsidRPr="004A3947">
        <w:rPr>
          <w:lang w:val="es-ES_tradnl"/>
        </w:rPr>
        <w:t>donde:</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P</w:t>
      </w:r>
      <w:r w:rsidRPr="004A3947">
        <w:rPr>
          <w:i/>
          <w:position w:val="-4"/>
          <w:sz w:val="16"/>
          <w:lang w:val="es-ES_tradnl"/>
        </w:rPr>
        <w:t>t</w:t>
      </w:r>
      <w:r w:rsidRPr="004A3947">
        <w:rPr>
          <w:rFonts w:ascii="Tms Rmn" w:hAnsi="Tms Rmn"/>
          <w:i/>
          <w:position w:val="-4"/>
          <w:sz w:val="12"/>
          <w:lang w:val="es-ES_tradnl"/>
        </w:rPr>
        <w:t> </w:t>
      </w:r>
      <w:r w:rsidRPr="004A3947">
        <w:rPr>
          <w:lang w:val="es-ES_tradnl"/>
        </w:rPr>
        <w:t>:</w:t>
      </w:r>
      <w:r w:rsidRPr="004A3947">
        <w:rPr>
          <w:lang w:val="es-ES_tradnl"/>
        </w:rPr>
        <w:tab/>
        <w:t>potencia transmitida isotrópicamente (dB(W))</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P</w:t>
      </w:r>
      <w:r w:rsidRPr="004A3947">
        <w:rPr>
          <w:i/>
          <w:position w:val="-4"/>
          <w:sz w:val="16"/>
          <w:lang w:val="es-ES_tradnl"/>
        </w:rPr>
        <w:t>r</w:t>
      </w:r>
      <w:r w:rsidRPr="004A3947">
        <w:rPr>
          <w:rFonts w:ascii="Tms Rmn" w:hAnsi="Tms Rmn"/>
          <w:i/>
          <w:position w:val="-4"/>
          <w:sz w:val="12"/>
          <w:lang w:val="es-ES_tradnl"/>
        </w:rPr>
        <w:t> </w:t>
      </w:r>
      <w:r w:rsidRPr="004A3947">
        <w:rPr>
          <w:lang w:val="es-ES_tradnl"/>
        </w:rPr>
        <w:t>:</w:t>
      </w:r>
      <w:r w:rsidRPr="004A3947">
        <w:rPr>
          <w:lang w:val="es-ES_tradnl"/>
        </w:rPr>
        <w:tab/>
        <w:t>potencia recibida isotrópicamente (dB(W))</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E</w:t>
      </w:r>
      <w:r w:rsidRPr="004A3947">
        <w:rPr>
          <w:rFonts w:ascii="Tms Rmn" w:hAnsi="Tms Rmn"/>
          <w:i/>
          <w:sz w:val="12"/>
          <w:lang w:val="es-ES_tradnl"/>
        </w:rPr>
        <w:t> </w:t>
      </w:r>
      <w:r w:rsidRPr="004A3947">
        <w:rPr>
          <w:lang w:val="es-ES_tradnl"/>
        </w:rPr>
        <w:t>:</w:t>
      </w:r>
      <w:r w:rsidRPr="004A3947">
        <w:rPr>
          <w:lang w:val="es-ES_tradnl"/>
        </w:rPr>
        <w:tab/>
        <w:t>intensidad de campo eléctrico (dB(µV/m))</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f</w:t>
      </w:r>
      <w:r w:rsidRPr="004A3947">
        <w:rPr>
          <w:rFonts w:ascii="Tms Rmn" w:hAnsi="Tms Rmn"/>
          <w:i/>
          <w:sz w:val="12"/>
          <w:lang w:val="es-ES_tradnl"/>
        </w:rPr>
        <w:t> </w:t>
      </w:r>
      <w:r w:rsidRPr="004A3947">
        <w:rPr>
          <w:lang w:val="es-ES_tradnl"/>
        </w:rPr>
        <w:t>:</w:t>
      </w:r>
      <w:r w:rsidRPr="004A3947">
        <w:rPr>
          <w:lang w:val="es-ES_tradnl"/>
        </w:rPr>
        <w:tab/>
        <w:t>frecuencia (GHz)</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d</w:t>
      </w:r>
      <w:r w:rsidRPr="004A3947">
        <w:rPr>
          <w:rFonts w:ascii="Tms Rmn" w:hAnsi="Tms Rmn"/>
          <w:i/>
          <w:sz w:val="12"/>
          <w:lang w:val="es-ES_tradnl"/>
        </w:rPr>
        <w:t> </w:t>
      </w:r>
      <w:r w:rsidRPr="004A3947">
        <w:rPr>
          <w:lang w:val="es-ES_tradnl"/>
        </w:rPr>
        <w:t>:</w:t>
      </w:r>
      <w:r w:rsidRPr="004A3947">
        <w:rPr>
          <w:lang w:val="es-ES_tradnl"/>
        </w:rPr>
        <w:tab/>
        <w:t>longitud del trayecto radioeléctrico (km)</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L</w:t>
      </w:r>
      <w:r w:rsidRPr="004A3947">
        <w:rPr>
          <w:i/>
          <w:position w:val="-4"/>
          <w:sz w:val="16"/>
          <w:lang w:val="es-ES_tradnl"/>
        </w:rPr>
        <w:t>bf</w:t>
      </w:r>
      <w:r w:rsidRPr="004A3947">
        <w:rPr>
          <w:rFonts w:ascii="Tms Rmn" w:hAnsi="Tms Rmn"/>
          <w:i/>
          <w:position w:val="-4"/>
          <w:sz w:val="12"/>
          <w:lang w:val="es-ES_tradnl"/>
        </w:rPr>
        <w:t> </w:t>
      </w:r>
      <w:r w:rsidRPr="004A3947">
        <w:rPr>
          <w:lang w:val="es-ES_tradnl"/>
        </w:rPr>
        <w:t>:</w:t>
      </w:r>
      <w:r w:rsidRPr="004A3947">
        <w:rPr>
          <w:lang w:val="es-ES_tradnl"/>
        </w:rPr>
        <w:tab/>
        <w:t>pérdida básica de transmisión en el espacio libre (dB)</w:t>
      </w:r>
    </w:p>
    <w:p w:rsidR="00A13E94" w:rsidRPr="004A3947" w:rsidRDefault="00A13E94">
      <w:pPr>
        <w:tabs>
          <w:tab w:val="clear" w:pos="1191"/>
          <w:tab w:val="left" w:pos="1276"/>
        </w:tabs>
        <w:rPr>
          <w:lang w:val="es-ES_tradnl"/>
        </w:rPr>
      </w:pPr>
      <w:r w:rsidRPr="004A3947">
        <w:rPr>
          <w:lang w:val="es-ES_tradnl"/>
        </w:rPr>
        <w:tab/>
      </w:r>
      <w:r w:rsidRPr="004A3947">
        <w:rPr>
          <w:i/>
          <w:lang w:val="es-ES_tradnl"/>
        </w:rPr>
        <w:t>S</w:t>
      </w:r>
      <w:r w:rsidRPr="004A3947">
        <w:rPr>
          <w:rFonts w:ascii="Tms Rmn" w:hAnsi="Tms Rmn"/>
          <w:i/>
          <w:sz w:val="12"/>
          <w:lang w:val="es-ES_tradnl"/>
        </w:rPr>
        <w:t> </w:t>
      </w:r>
      <w:r w:rsidRPr="004A3947">
        <w:rPr>
          <w:lang w:val="es-ES_tradnl"/>
        </w:rPr>
        <w:t>:</w:t>
      </w:r>
      <w:r w:rsidRPr="004A3947">
        <w:rPr>
          <w:lang w:val="es-ES_tradnl"/>
        </w:rPr>
        <w:tab/>
        <w:t>densidad del flujo de potencia (dB(W/m</w:t>
      </w:r>
      <w:r w:rsidRPr="004A3947">
        <w:rPr>
          <w:position w:val="6"/>
          <w:sz w:val="16"/>
          <w:lang w:val="es-ES_tradnl"/>
        </w:rPr>
        <w:t>2</w:t>
      </w:r>
      <w:r w:rsidRPr="004A3947">
        <w:rPr>
          <w:lang w:val="es-ES_tradnl"/>
        </w:rPr>
        <w:t>)).</w:t>
      </w:r>
    </w:p>
    <w:p w:rsidR="00A13E94" w:rsidRPr="004A3947" w:rsidRDefault="00A13E94">
      <w:pPr>
        <w:rPr>
          <w:lang w:val="es-ES_tradnl"/>
        </w:rPr>
      </w:pPr>
      <w:r w:rsidRPr="004A3947">
        <w:rPr>
          <w:lang w:val="es-ES_tradnl"/>
        </w:rPr>
        <w:tab/>
        <w:t>Téngase presente que se pueden utilizar las ecuaciones (7) y (9) para derivar la ecuación (4).</w:t>
      </w:r>
    </w:p>
    <w:p w:rsidR="00A13E94" w:rsidRPr="004A3947" w:rsidRDefault="00A13E94">
      <w:pPr>
        <w:pStyle w:val="Line"/>
        <w:rPr>
          <w:lang w:val="es-ES_tradnl"/>
        </w:rPr>
      </w:pPr>
    </w:p>
    <w:p w:rsidR="00A13E94" w:rsidRPr="004A3947" w:rsidRDefault="00A13E94">
      <w:pPr>
        <w:rPr>
          <w:lang w:val="es-ES_tradnl"/>
        </w:rPr>
      </w:pPr>
    </w:p>
    <w:p w:rsidR="00A13E94" w:rsidRPr="004A3947" w:rsidRDefault="00A13E94">
      <w:pPr>
        <w:rPr>
          <w:lang w:val="es-ES_tradnl"/>
        </w:rPr>
      </w:pPr>
    </w:p>
    <w:p w:rsidR="00A13E94" w:rsidRPr="004A3947" w:rsidRDefault="00A13E94">
      <w:pPr>
        <w:rPr>
          <w:lang w:val="es-ES_tradnl"/>
        </w:rPr>
      </w:pPr>
    </w:p>
    <w:p w:rsidR="00A13E94" w:rsidRDefault="00A13E94"/>
    <w:p w:rsidR="00A13E94" w:rsidRDefault="00A13E94"/>
    <w:p w:rsidR="00A13E94" w:rsidRDefault="00A13E94"/>
    <w:p w:rsidR="00A13E94" w:rsidRDefault="00A13E94"/>
    <w:p w:rsidR="00A13E94" w:rsidRDefault="00A13E94"/>
    <w:sectPr w:rsidR="00A13E94" w:rsidSect="004F51FD">
      <w:headerReference w:type="even" r:id="rId18"/>
      <w:headerReference w:type="default" r:id="rId19"/>
      <w:footnotePr>
        <w:pos w:val="beneathText"/>
      </w:footnotePr>
      <w:pgSz w:w="11913" w:h="16834"/>
      <w:pgMar w:top="1088" w:right="1088" w:bottom="1088" w:left="1088" w:header="483" w:footer="483" w:gutter="0"/>
      <w:paperSrc w:first="1" w:other="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B4" w:rsidRDefault="009B64B4" w:rsidP="00A13E94">
      <w:pPr>
        <w:pStyle w:val="Header"/>
      </w:pPr>
      <w:r>
        <w:separator/>
      </w:r>
    </w:p>
  </w:endnote>
  <w:endnote w:type="continuationSeparator" w:id="0">
    <w:p w:rsidR="009B64B4" w:rsidRDefault="009B64B4" w:rsidP="00A13E94">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B4" w:rsidRDefault="009B64B4">
      <w:r>
        <w:rPr>
          <w:b/>
        </w:rPr>
        <w:t>_______________</w:t>
      </w:r>
    </w:p>
  </w:footnote>
  <w:footnote w:type="continuationSeparator" w:id="0">
    <w:p w:rsidR="009B64B4" w:rsidRDefault="009B64B4" w:rsidP="00A13E94">
      <w:pPr>
        <w:pStyle w:val="Header"/>
      </w:pPr>
      <w:r>
        <w:continuationSeparator/>
      </w:r>
    </w:p>
  </w:footnote>
  <w:footnote w:id="1">
    <w:p w:rsidR="00690A5E" w:rsidRPr="004A3947" w:rsidRDefault="00690A5E">
      <w:pPr>
        <w:pStyle w:val="FootnoteText"/>
        <w:rPr>
          <w:lang w:val="es-ES_tradnl"/>
        </w:rPr>
      </w:pPr>
      <w:r w:rsidRPr="00690A5E">
        <w:rPr>
          <w:rStyle w:val="FootnoteReference"/>
        </w:rPr>
        <w:sym w:font="Symbol" w:char="F02A"/>
      </w:r>
      <w:r w:rsidRPr="004A3947">
        <w:rPr>
          <w:lang w:val="es-ES_tradnl"/>
        </w:rPr>
        <w:t xml:space="preserve"> </w:t>
      </w:r>
      <w:r w:rsidRPr="004A3947">
        <w:rPr>
          <w:lang w:val="es-ES_tradnl"/>
        </w:rPr>
        <w:tab/>
        <w:t xml:space="preserve">La Comisión de Estudio 3 de Radiocomunicaciones efectuó modificaciones de redacción en esta Recomendación en 2000 de </w:t>
      </w:r>
      <w:r w:rsidRPr="004A3947">
        <w:rPr>
          <w:lang w:val="es-ES_tradnl"/>
        </w:rPr>
        <w:tab/>
        <w:t>conformidad con la Resolución UIT-R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94" w:rsidRDefault="004F51FD" w:rsidP="004F51FD">
    <w:pPr>
      <w:pStyle w:val="Header"/>
    </w:pPr>
    <w:r>
      <w:fldChar w:fldCharType="begin"/>
    </w:r>
    <w:r>
      <w:instrText>PAGE</w:instrText>
    </w:r>
    <w:r>
      <w:fldChar w:fldCharType="separate"/>
    </w:r>
    <w:r>
      <w:rPr>
        <w:noProof/>
      </w:rPr>
      <w:t>2</w:t>
    </w:r>
    <w:r>
      <w:fldChar w:fldCharType="end"/>
    </w:r>
    <w:r>
      <w:tab/>
      <w:t>Rec. UIT-R P.525-2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FD" w:rsidRDefault="004F51FD" w:rsidP="004F51FD">
    <w:pPr>
      <w:pStyle w:val="Header"/>
    </w:pPr>
    <w:r>
      <w:tab/>
      <w:t>Rec. UIT-R P.525-2</w:t>
    </w:r>
    <w:r>
      <w:tab/>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5E"/>
    <w:rsid w:val="004A3947"/>
    <w:rsid w:val="004F51FD"/>
    <w:rsid w:val="00550358"/>
    <w:rsid w:val="00690A5E"/>
    <w:rsid w:val="009B64B4"/>
    <w:rsid w:val="00A13E94"/>
    <w:rsid w:val="00E87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9450A5-F8A5-49C2-B03C-0F6069FC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lang w:val="en-GB" w:eastAsia="zh-C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pPr>
      <w:tabs>
        <w:tab w:val="clear" w:pos="794"/>
        <w:tab w:val="clear" w:pos="1191"/>
        <w:tab w:val="clear" w:pos="1588"/>
        <w:tab w:val="clear" w:pos="1985"/>
        <w:tab w:val="center" w:pos="4849"/>
        <w:tab w:val="right" w:pos="9696"/>
      </w:tabs>
    </w:pPr>
    <w:rPr>
      <w:b/>
      <w:bCs/>
    </w:rPr>
  </w:style>
  <w:style w:type="character" w:styleId="FootnoteReference">
    <w:name w:val="footnote reference"/>
    <w:basedOn w:val="DefaultParagraphFont"/>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RecTitle0">
    <w:name w:val="Rec Title"/>
    <w:basedOn w:val="Normal"/>
    <w:next w:val="Heading1"/>
    <w:pPr>
      <w:spacing w:before="240"/>
      <w:jc w:val="center"/>
    </w:pPr>
    <w:rPr>
      <w:rFonts w:ascii="Arial" w:hAnsi="Arial" w:cs="Arial"/>
      <w:b/>
      <w:bCs/>
      <w:caps/>
      <w:sz w:val="22"/>
      <w:szCs w:val="22"/>
      <w:lang w:val="fr-FR"/>
    </w:rPr>
  </w:style>
  <w:style w:type="paragraph" w:customStyle="1" w:styleId="Title2">
    <w:name w:val="Title 2"/>
    <w:basedOn w:val="Normal"/>
    <w:next w:val="Title3"/>
    <w:pPr>
      <w:tabs>
        <w:tab w:val="clear" w:pos="794"/>
        <w:tab w:val="clear" w:pos="1191"/>
        <w:tab w:val="clear" w:pos="1588"/>
        <w:tab w:val="clear" w:pos="1985"/>
      </w:tabs>
      <w:spacing w:before="480"/>
      <w:jc w:val="center"/>
    </w:pPr>
    <w:rPr>
      <w:rFonts w:ascii="Arial" w:hAnsi="Arial" w:cs="Arial"/>
      <w:sz w:val="22"/>
      <w:szCs w:val="22"/>
      <w:lang w:val="fr-FR"/>
    </w:rPr>
  </w:style>
  <w:style w:type="paragraph" w:customStyle="1" w:styleId="Title3">
    <w:name w:val="Title 3"/>
    <w:basedOn w:val="Title2"/>
    <w:next w:val="Title4"/>
    <w:pPr>
      <w:spacing w:before="240"/>
    </w:pPr>
    <w:rPr>
      <w:b/>
      <w:bCs/>
    </w:rPr>
  </w:style>
  <w:style w:type="paragraph" w:customStyle="1" w:styleId="Title4">
    <w:name w:val="Title 4"/>
    <w:basedOn w:val="Title3"/>
    <w:next w:val="Heading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4</TotalTime>
  <Pages>3</Pages>
  <Words>867</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P.525-2 - Cálculo de la atenuación en el espacio libre</vt:lpstr>
    </vt:vector>
  </TitlesOfParts>
  <Manager>CJ..1682</Manager>
  <Company>ITU</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P.525-2 - Cálculo de la atenuación en el espacio libre</dc:title>
  <dc:subject>Serie P = Propagación de las ondas radioeléctricas</dc:subject>
  <dc:creator>Oficina de Radiocomunicaciones del UIT (BR)</dc:creator>
  <cp:keywords>P, 525-2</cp:keywords>
  <dc:description>Saisie:  15.12.94  MM_x000d_
MEP     19.12.94  MM_x000d_
WW2-WW7:     16.10.97   JC</dc:description>
  <cp:lastModifiedBy>Gachet, Christelle</cp:lastModifiedBy>
  <cp:revision>4</cp:revision>
  <cp:lastPrinted>1997-12-16T07:18:00Z</cp:lastPrinted>
  <dcterms:created xsi:type="dcterms:W3CDTF">2014-06-06T09:34:00Z</dcterms:created>
  <dcterms:modified xsi:type="dcterms:W3CDTF">2014-06-06T09:40:00Z</dcterms:modified>
  <cp:category>\\ WW7 // Folios 1 - 3</cp:category>
</cp:coreProperties>
</file>