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25B4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325B4B">
              <w:rPr>
                <w:rFonts w:ascii="Tahoma" w:hAnsi="Tahoma" w:cs="Tahoma"/>
                <w:b/>
                <w:bCs/>
                <w:iCs/>
                <w:color w:val="243285"/>
                <w:sz w:val="36"/>
                <w:szCs w:val="36"/>
              </w:rPr>
              <w:t>313-11</w:t>
            </w:r>
          </w:p>
          <w:p w:rsidR="00FE79FE" w:rsidRPr="004F65E4" w:rsidRDefault="00FE79FE" w:rsidP="00325B4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25B4B">
              <w:rPr>
                <w:rFonts w:ascii="Tahoma" w:hAnsi="Tahoma" w:cs="Tahoma"/>
                <w:b/>
                <w:bCs/>
                <w:iCs/>
                <w:color w:val="243285"/>
                <w:szCs w:val="24"/>
              </w:rPr>
              <w:t>02</w:t>
            </w:r>
            <w:r w:rsidRPr="004F65E4">
              <w:rPr>
                <w:rFonts w:ascii="Tahoma" w:hAnsi="Tahoma" w:cs="Tahoma"/>
                <w:b/>
                <w:bCs/>
                <w:iCs/>
                <w:color w:val="243285"/>
                <w:szCs w:val="24"/>
              </w:rPr>
              <w:t>/</w:t>
            </w:r>
            <w:r w:rsidR="00325B4B">
              <w:rPr>
                <w:rFonts w:ascii="Tahoma" w:hAnsi="Tahoma" w:cs="Tahoma"/>
                <w:b/>
                <w:bCs/>
                <w:iCs/>
                <w:color w:val="243285"/>
                <w:szCs w:val="24"/>
              </w:rPr>
              <w:t>2012</w:t>
            </w:r>
            <w:r w:rsidRPr="004F65E4">
              <w:rPr>
                <w:rFonts w:ascii="Tahoma" w:hAnsi="Tahoma" w:cs="Tahoma"/>
                <w:b/>
                <w:bCs/>
                <w:iCs/>
                <w:color w:val="243285"/>
                <w:szCs w:val="24"/>
              </w:rPr>
              <w:t>)</w:t>
            </w:r>
          </w:p>
        </w:tc>
      </w:tr>
      <w:tr w:rsidR="00FE79FE" w:rsidRPr="009F063E">
        <w:tc>
          <w:tcPr>
            <w:tcW w:w="10089" w:type="dxa"/>
          </w:tcPr>
          <w:p w:rsidR="00013002" w:rsidRPr="00325B4B"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25B4B" w:rsidP="00325B4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Exchange of information for short-term forecasts and transmission of ionospheric disturbance warnings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325B4B" w:rsidRDefault="00BF5114" w:rsidP="00BF5114">
            <w:pPr>
              <w:spacing w:before="80" w:line="280" w:lineRule="exact"/>
              <w:ind w:right="640"/>
              <w:rPr>
                <w:rFonts w:ascii="Tahoma" w:hAnsi="Tahoma" w:cs="Tahoma"/>
                <w:b/>
                <w:bCs/>
                <w:iCs/>
                <w:color w:val="243285"/>
                <w:sz w:val="32"/>
                <w:szCs w:val="32"/>
                <w:lang w:val="en-US"/>
              </w:rPr>
            </w:pPr>
          </w:p>
          <w:p w:rsidR="00BF5114" w:rsidRPr="00325B4B" w:rsidRDefault="00BF5114" w:rsidP="00BF5114">
            <w:pPr>
              <w:spacing w:before="80" w:line="280" w:lineRule="exact"/>
              <w:ind w:right="640"/>
              <w:rPr>
                <w:rFonts w:ascii="Tahoma" w:hAnsi="Tahoma" w:cs="Tahoma"/>
                <w:b/>
                <w:bCs/>
                <w:iCs/>
                <w:color w:val="243285"/>
                <w:sz w:val="32"/>
                <w:szCs w:val="32"/>
                <w:lang w:val="en-US"/>
              </w:rPr>
            </w:pPr>
          </w:p>
          <w:p w:rsidR="00BF5114" w:rsidRPr="00325B4B"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9F063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9F063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9F063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9F063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9F063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27E0E">
        <w:rPr>
          <w:sz w:val="20"/>
          <w:lang w:val="en-US"/>
        </w:rPr>
        <w:t>2</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327E0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325B4B" w:rsidP="00325B4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313-11</w:t>
      </w:r>
    </w:p>
    <w:p w:rsidR="00325B4B" w:rsidRDefault="00325B4B" w:rsidP="00325B4B">
      <w:pPr>
        <w:pStyle w:val="Rectitle"/>
        <w:rPr>
          <w:lang w:val="en-US"/>
        </w:rPr>
      </w:pPr>
      <w:r w:rsidRPr="00325B4B">
        <w:rPr>
          <w:lang w:val="en-US"/>
        </w:rPr>
        <w:t>Exchange of information for short-term forecasts and transmission</w:t>
      </w:r>
      <w:r w:rsidRPr="00325B4B">
        <w:rPr>
          <w:lang w:val="en-US"/>
        </w:rPr>
        <w:br/>
        <w:t>of ionospheric disturbance warnings</w:t>
      </w:r>
    </w:p>
    <w:p w:rsidR="00325B4B" w:rsidRDefault="00325B4B" w:rsidP="00325B4B">
      <w:pPr>
        <w:pStyle w:val="Recref"/>
        <w:rPr>
          <w:lang w:val="en-US"/>
        </w:rPr>
      </w:pPr>
      <w:r w:rsidRPr="00AE0F6D">
        <w:rPr>
          <w:lang w:val="en-US"/>
        </w:rPr>
        <w:t>(Question ITU-R 213/3)</w:t>
      </w:r>
    </w:p>
    <w:p w:rsidR="00325B4B" w:rsidRPr="009F063E" w:rsidRDefault="00325B4B" w:rsidP="00325B4B">
      <w:pPr>
        <w:pStyle w:val="Recdate"/>
        <w:rPr>
          <w:lang w:val="en-US"/>
        </w:rPr>
      </w:pPr>
    </w:p>
    <w:p w:rsidR="00325B4B" w:rsidRPr="00325B4B" w:rsidRDefault="00325B4B" w:rsidP="00325B4B">
      <w:pPr>
        <w:pStyle w:val="Recdate"/>
        <w:rPr>
          <w:lang w:val="en-US"/>
        </w:rPr>
      </w:pPr>
      <w:r w:rsidRPr="00325B4B">
        <w:rPr>
          <w:lang w:val="en-US"/>
        </w:rPr>
        <w:t>(1951-1959-1966-1974-1978-1982-1986-1990-1992-1995-1999-2005-2012)</w:t>
      </w:r>
    </w:p>
    <w:p w:rsidR="00325B4B" w:rsidRPr="009F063E" w:rsidRDefault="00325B4B" w:rsidP="00AC07B4">
      <w:pPr>
        <w:pStyle w:val="HeadingSum"/>
        <w:rPr>
          <w:lang w:val="en-US"/>
        </w:rPr>
      </w:pPr>
      <w:r w:rsidRPr="009F063E">
        <w:rPr>
          <w:lang w:val="en-US"/>
        </w:rPr>
        <w:t>Scope</w:t>
      </w:r>
    </w:p>
    <w:p w:rsidR="00325B4B" w:rsidRPr="009F063E" w:rsidRDefault="00325B4B" w:rsidP="00AC07B4">
      <w:pPr>
        <w:pStyle w:val="Summary"/>
        <w:rPr>
          <w:lang w:val="en-US"/>
        </w:rPr>
      </w:pPr>
      <w:r w:rsidRPr="009F063E">
        <w:rPr>
          <w:lang w:val="en-US"/>
        </w:rPr>
        <w:t>This Recommendation provides guidance on the submission of meteorological information that could be used to perform short-term forecasts and the transmission of space weather disturbance warnings to ionospheric and trans-ionospheric propagation.  It also provides information on the availability and exchange of basic data for radio propagation forecasts and space weather prediction.</w:t>
      </w:r>
    </w:p>
    <w:p w:rsidR="00325B4B" w:rsidRPr="00325B4B" w:rsidRDefault="00325B4B" w:rsidP="00AC07B4">
      <w:pPr>
        <w:pStyle w:val="Normalaftertitle"/>
        <w:rPr>
          <w:lang w:val="en-US"/>
        </w:rPr>
      </w:pPr>
      <w:r w:rsidRPr="00325B4B">
        <w:rPr>
          <w:lang w:val="en-US"/>
        </w:rPr>
        <w:t>The ITU Radiocommunication Assembly,</w:t>
      </w:r>
    </w:p>
    <w:p w:rsidR="00325B4B" w:rsidRPr="00325B4B" w:rsidRDefault="00325B4B" w:rsidP="00AC07B4">
      <w:pPr>
        <w:pStyle w:val="Call"/>
        <w:rPr>
          <w:lang w:val="en-US"/>
        </w:rPr>
      </w:pPr>
      <w:r w:rsidRPr="00325B4B">
        <w:rPr>
          <w:lang w:val="en-US"/>
        </w:rPr>
        <w:t>considering</w:t>
      </w:r>
    </w:p>
    <w:p w:rsidR="00325B4B" w:rsidRPr="00325B4B" w:rsidRDefault="00325B4B" w:rsidP="00325B4B">
      <w:pPr>
        <w:rPr>
          <w:lang w:val="en-US"/>
        </w:rPr>
      </w:pPr>
      <w:r w:rsidRPr="00325B4B">
        <w:rPr>
          <w:lang w:val="en-US"/>
        </w:rPr>
        <w:t>a)</w:t>
      </w:r>
      <w:r w:rsidRPr="00325B4B">
        <w:rPr>
          <w:lang w:val="en-US"/>
        </w:rPr>
        <w:tab/>
        <w:t>that some radiocommunication services would benefit from having the earliest possible warnings of the probable onset of space weather disturbances to ionospheric and trans-ionospheric propagation;</w:t>
      </w:r>
    </w:p>
    <w:p w:rsidR="00325B4B" w:rsidRPr="00325B4B" w:rsidRDefault="00325B4B" w:rsidP="00325B4B">
      <w:pPr>
        <w:rPr>
          <w:lang w:val="en-US"/>
        </w:rPr>
      </w:pPr>
      <w:r w:rsidRPr="00325B4B">
        <w:rPr>
          <w:lang w:val="en-US"/>
        </w:rPr>
        <w:t>b)</w:t>
      </w:r>
      <w:r w:rsidRPr="00325B4B">
        <w:rPr>
          <w:lang w:val="en-US"/>
        </w:rPr>
        <w:tab/>
        <w:t>that Annex 1 contains the most recent information on the availability and exchange of basic data for radio propagation forecasts and space weather predictions at a level of solar activity,</w:t>
      </w:r>
    </w:p>
    <w:p w:rsidR="00325B4B" w:rsidRPr="00AE0F6D" w:rsidRDefault="00325B4B" w:rsidP="00AC07B4">
      <w:pPr>
        <w:pStyle w:val="Call"/>
        <w:rPr>
          <w:lang w:val="en-US"/>
        </w:rPr>
      </w:pPr>
      <w:r w:rsidRPr="00AE0F6D">
        <w:rPr>
          <w:lang w:val="en-US"/>
        </w:rPr>
        <w:t>recommends</w:t>
      </w:r>
    </w:p>
    <w:p w:rsidR="00325B4B" w:rsidRPr="00325B4B" w:rsidRDefault="00325B4B" w:rsidP="00325B4B">
      <w:pPr>
        <w:rPr>
          <w:lang w:val="en-US"/>
        </w:rPr>
      </w:pPr>
      <w:r w:rsidRPr="00325B4B">
        <w:rPr>
          <w:b/>
          <w:lang w:val="en-US"/>
        </w:rPr>
        <w:t>1</w:t>
      </w:r>
      <w:r w:rsidRPr="00325B4B">
        <w:rPr>
          <w:lang w:val="en-US"/>
        </w:rPr>
        <w:tab/>
        <w:t>that each country participating in radio propagation research should designate an official agency for the reception, coordination and exchange of information required for the preparation of short-term forecasts, and for liaison with corresponding agencies in other countries;</w:t>
      </w:r>
    </w:p>
    <w:p w:rsidR="00325B4B" w:rsidRPr="00325B4B" w:rsidRDefault="00325B4B" w:rsidP="00325B4B">
      <w:pPr>
        <w:rPr>
          <w:lang w:val="en-US"/>
        </w:rPr>
      </w:pPr>
      <w:r w:rsidRPr="00325B4B">
        <w:rPr>
          <w:b/>
          <w:lang w:val="en-US"/>
        </w:rPr>
        <w:t>2</w:t>
      </w:r>
      <w:r w:rsidRPr="00325B4B">
        <w:rPr>
          <w:lang w:val="en-US"/>
        </w:rPr>
        <w:tab/>
        <w:t>that such information should be forwarded to the above agencies by the most direct means of telecommunication (e.g. E-mail, web-portal);</w:t>
      </w:r>
    </w:p>
    <w:p w:rsidR="00325B4B" w:rsidRPr="00325B4B" w:rsidRDefault="00325B4B" w:rsidP="009F063E">
      <w:pPr>
        <w:rPr>
          <w:lang w:val="en-US"/>
        </w:rPr>
      </w:pPr>
      <w:r w:rsidRPr="00325B4B">
        <w:rPr>
          <w:b/>
          <w:lang w:val="en-US"/>
        </w:rPr>
        <w:t>3</w:t>
      </w:r>
      <w:r w:rsidRPr="00325B4B">
        <w:rPr>
          <w:lang w:val="en-US"/>
        </w:rPr>
        <w:tab/>
        <w:t xml:space="preserve">that data needed for short-term forecasting in near real-time should be disseminated in accordance with the International Space Environment Service (ISES) </w:t>
      </w:r>
      <w:r w:rsidRPr="00325B4B">
        <w:rPr>
          <w:lang w:val="en-US" w:eastAsia="ko-KR"/>
        </w:rPr>
        <w:t>and World Met</w:t>
      </w:r>
      <w:r w:rsidR="009F063E">
        <w:rPr>
          <w:lang w:val="en-US" w:eastAsia="ko-KR"/>
        </w:rPr>
        <w:t>e</w:t>
      </w:r>
      <w:r w:rsidRPr="00325B4B">
        <w:rPr>
          <w:lang w:val="en-US" w:eastAsia="ko-KR"/>
        </w:rPr>
        <w:t>o</w:t>
      </w:r>
      <w:r w:rsidR="009F063E">
        <w:rPr>
          <w:lang w:val="en-US" w:eastAsia="ko-KR"/>
        </w:rPr>
        <w:t>ro</w:t>
      </w:r>
      <w:r w:rsidRPr="00325B4B">
        <w:rPr>
          <w:lang w:val="en-US" w:eastAsia="ko-KR"/>
        </w:rPr>
        <w:t>logical Organization (WMO)</w:t>
      </w:r>
      <w:r w:rsidR="009F063E">
        <w:rPr>
          <w:lang w:val="en-US" w:eastAsia="ko-KR"/>
        </w:rPr>
        <w:t>,</w:t>
      </w:r>
      <w:bookmarkStart w:id="3" w:name="_GoBack"/>
      <w:bookmarkEnd w:id="3"/>
      <w:r w:rsidRPr="00325B4B">
        <w:rPr>
          <w:lang w:val="en-US" w:eastAsia="ko-KR"/>
        </w:rPr>
        <w:t xml:space="preserve"> Inter-programme Coordination Team on Space Weather (ICTSW) </w:t>
      </w:r>
      <w:r w:rsidRPr="00325B4B">
        <w:rPr>
          <w:lang w:val="en-US"/>
        </w:rPr>
        <w:t>decisions by suitable available communication channels, while other data should be disseminated or made available by electronic means, or, if requested, by other rapid means of communication, and that short regular transmissions giving short-term warnings of ionospheric disturbances should be effected by long</w:t>
      </w:r>
      <w:r w:rsidRPr="00325B4B">
        <w:rPr>
          <w:lang w:val="en-US"/>
        </w:rPr>
        <w:noBreakHyphen/>
        <w:t>range radio stations;</w:t>
      </w:r>
    </w:p>
    <w:p w:rsidR="00325B4B" w:rsidRPr="00325B4B" w:rsidRDefault="00325B4B" w:rsidP="00325B4B">
      <w:pPr>
        <w:rPr>
          <w:lang w:val="en-US"/>
        </w:rPr>
      </w:pPr>
      <w:r w:rsidRPr="00325B4B">
        <w:rPr>
          <w:b/>
          <w:lang w:val="en-US"/>
        </w:rPr>
        <w:t>4</w:t>
      </w:r>
      <w:r w:rsidRPr="00325B4B">
        <w:rPr>
          <w:lang w:val="en-US"/>
        </w:rPr>
        <w:tab/>
        <w:t>that codes to be used for the above communication and dissemination should be fully standardized in accordance with ISES decisions and actions;</w:t>
      </w:r>
    </w:p>
    <w:p w:rsidR="00325B4B" w:rsidRPr="00325B4B" w:rsidRDefault="00325B4B" w:rsidP="00325B4B">
      <w:pPr>
        <w:rPr>
          <w:lang w:val="en-US"/>
        </w:rPr>
      </w:pPr>
      <w:r w:rsidRPr="00325B4B">
        <w:rPr>
          <w:b/>
          <w:lang w:val="en-US"/>
        </w:rPr>
        <w:t>5</w:t>
      </w:r>
      <w:r w:rsidRPr="00325B4B">
        <w:rPr>
          <w:lang w:val="en-US"/>
        </w:rPr>
        <w:tab/>
        <w:t>that administrations and operating agencies using the above services should be invited to compare the forecasts with the actual behaviour of radio circuits, to evaluate the accuracy of the forecasts throughout the solar cycle, and to provide records and make any suggestions which might assist the studies undertaken to improve the methods used;</w:t>
      </w:r>
    </w:p>
    <w:p w:rsidR="00325B4B" w:rsidRPr="00325B4B" w:rsidRDefault="00325B4B" w:rsidP="00325B4B">
      <w:pPr>
        <w:rPr>
          <w:lang w:val="en-US"/>
        </w:rPr>
      </w:pPr>
      <w:r w:rsidRPr="00325B4B">
        <w:rPr>
          <w:b/>
          <w:lang w:val="en-US"/>
        </w:rPr>
        <w:t>6</w:t>
      </w:r>
      <w:r w:rsidRPr="00325B4B">
        <w:rPr>
          <w:lang w:val="en-US"/>
        </w:rPr>
        <w:tab/>
        <w:t>that it is desirable that a common method, based on the work on Question ITU-R 213/3 be adopted to describe ionospheric perturbations and variations, for correlation with space weather forecasts and the behaviour of operating radio services;</w:t>
      </w:r>
    </w:p>
    <w:p w:rsidR="00325B4B" w:rsidRPr="00325B4B" w:rsidRDefault="00325B4B" w:rsidP="00325B4B">
      <w:pPr>
        <w:rPr>
          <w:lang w:val="en-US"/>
        </w:rPr>
      </w:pPr>
      <w:r w:rsidRPr="00325B4B">
        <w:rPr>
          <w:b/>
          <w:lang w:val="en-US"/>
        </w:rPr>
        <w:lastRenderedPageBreak/>
        <w:t>7</w:t>
      </w:r>
      <w:r w:rsidRPr="00325B4B">
        <w:rPr>
          <w:lang w:val="en-US"/>
        </w:rPr>
        <w:tab/>
        <w:t>that, where administrations have provided facilities for the rapid interchange of information in connection with the ISES and the WMO Information System, these facilities should be maintained, and, if necessary, extended in the future.</w:t>
      </w:r>
    </w:p>
    <w:p w:rsidR="00325B4B" w:rsidRPr="00325B4B" w:rsidRDefault="00325B4B" w:rsidP="00325B4B">
      <w:pPr>
        <w:rPr>
          <w:lang w:val="en-US"/>
        </w:rPr>
      </w:pPr>
    </w:p>
    <w:p w:rsidR="00325B4B" w:rsidRDefault="00325B4B" w:rsidP="00325B4B">
      <w:pPr>
        <w:rPr>
          <w:lang w:val="en-US"/>
        </w:rPr>
      </w:pPr>
    </w:p>
    <w:p w:rsidR="00542D0D" w:rsidRDefault="00542D0D" w:rsidP="00325B4B">
      <w:pPr>
        <w:rPr>
          <w:lang w:val="en-US"/>
        </w:rPr>
      </w:pPr>
    </w:p>
    <w:p w:rsidR="00542D0D" w:rsidRDefault="00542D0D" w:rsidP="00325B4B">
      <w:pPr>
        <w:rPr>
          <w:lang w:val="en-US"/>
        </w:rPr>
      </w:pPr>
    </w:p>
    <w:p w:rsidR="00542D0D" w:rsidRDefault="00542D0D" w:rsidP="00325B4B">
      <w:pPr>
        <w:rPr>
          <w:lang w:val="en-US"/>
        </w:rPr>
      </w:pPr>
    </w:p>
    <w:p w:rsidR="00542D0D" w:rsidRPr="00325B4B" w:rsidRDefault="00542D0D" w:rsidP="00325B4B">
      <w:pPr>
        <w:rPr>
          <w:lang w:val="en-US"/>
        </w:rPr>
      </w:pPr>
    </w:p>
    <w:p w:rsidR="00325B4B" w:rsidRPr="00325B4B" w:rsidRDefault="00325B4B" w:rsidP="00AC07B4">
      <w:pPr>
        <w:pStyle w:val="AnnexNoTitle"/>
        <w:rPr>
          <w:lang w:val="en-US"/>
        </w:rPr>
      </w:pPr>
      <w:bookmarkStart w:id="4" w:name="_Toc103495945"/>
      <w:r w:rsidRPr="00325B4B">
        <w:rPr>
          <w:lang w:val="en-US"/>
        </w:rPr>
        <w:t>Annex 1</w:t>
      </w:r>
      <w:r w:rsidR="00AC07B4">
        <w:rPr>
          <w:lang w:val="en-US"/>
        </w:rPr>
        <w:br/>
      </w:r>
      <w:r w:rsidR="00AC07B4">
        <w:rPr>
          <w:lang w:val="en-US"/>
        </w:rPr>
        <w:br/>
      </w:r>
      <w:r w:rsidRPr="00325B4B">
        <w:rPr>
          <w:lang w:val="en-US"/>
        </w:rPr>
        <w:t>Availability and exchange of basic data and operational data</w:t>
      </w:r>
      <w:r w:rsidRPr="00325B4B">
        <w:rPr>
          <w:lang w:val="en-US"/>
        </w:rPr>
        <w:br/>
        <w:t>for radio propagation space weather forecasts</w:t>
      </w:r>
      <w:bookmarkEnd w:id="4"/>
    </w:p>
    <w:p w:rsidR="00325B4B" w:rsidRPr="00325B4B" w:rsidRDefault="00325B4B" w:rsidP="00AC07B4">
      <w:pPr>
        <w:pStyle w:val="Heading1"/>
        <w:rPr>
          <w:lang w:val="en-US"/>
        </w:rPr>
      </w:pPr>
      <w:bookmarkStart w:id="5" w:name="_Toc103495946"/>
      <w:r w:rsidRPr="00325B4B">
        <w:rPr>
          <w:lang w:val="en-US"/>
        </w:rPr>
        <w:t>1</w:t>
      </w:r>
      <w:r w:rsidRPr="00325B4B">
        <w:rPr>
          <w:lang w:val="en-US"/>
        </w:rPr>
        <w:tab/>
        <w:t>Introduction</w:t>
      </w:r>
      <w:bookmarkEnd w:id="5"/>
    </w:p>
    <w:p w:rsidR="00325B4B" w:rsidRPr="00325B4B" w:rsidRDefault="00325B4B" w:rsidP="00325B4B">
      <w:pPr>
        <w:rPr>
          <w:lang w:val="en-US"/>
        </w:rPr>
      </w:pPr>
      <w:r w:rsidRPr="00325B4B">
        <w:rPr>
          <w:lang w:val="en-US"/>
        </w:rPr>
        <w:t>Propagation of radio signals in the range 3 to 30 MHz is practicable over any but the shortest distances, mainly because of the possibility of obtaining ionospheric and ground reflections which result in small values of attenuation. Satisfactory communications for a given circuit can generally be obtained if the operating frequency lies between a lower (LUF) and an upper (operational MUF) frequency limit. These are determined by ionospheric characteristics. The operational range of frequencies has been found to be even more restricted with some forms of high capacity communication systems. Recommendation ITU-R P.53</w:t>
      </w:r>
      <w:r w:rsidRPr="00325B4B">
        <w:rPr>
          <w:lang w:val="en-US" w:eastAsia="ko-KR"/>
        </w:rPr>
        <w:t>1</w:t>
      </w:r>
      <w:r w:rsidRPr="00325B4B">
        <w:rPr>
          <w:lang w:val="en-US"/>
        </w:rPr>
        <w:t xml:space="preserve"> provides </w:t>
      </w:r>
      <w:r w:rsidRPr="00325B4B">
        <w:rPr>
          <w:lang w:val="en-US" w:eastAsia="ko-KR"/>
        </w:rPr>
        <w:t xml:space="preserve">for radio </w:t>
      </w:r>
      <w:r w:rsidRPr="00325B4B">
        <w:rPr>
          <w:lang w:val="en-US"/>
        </w:rPr>
        <w:t>propagation prediction method</w:t>
      </w:r>
      <w:r w:rsidRPr="00325B4B">
        <w:rPr>
          <w:lang w:val="en-US" w:eastAsia="ko-KR"/>
        </w:rPr>
        <w:t xml:space="preserve"> required for the design of satellite services and systems.</w:t>
      </w:r>
    </w:p>
    <w:p w:rsidR="00325B4B" w:rsidRPr="00325B4B" w:rsidRDefault="00325B4B" w:rsidP="00325B4B">
      <w:pPr>
        <w:rPr>
          <w:lang w:val="en-US"/>
        </w:rPr>
      </w:pPr>
      <w:r w:rsidRPr="00325B4B">
        <w:rPr>
          <w:lang w:val="en-US"/>
        </w:rPr>
        <w:t>Since only a limited range of frequencies can be used, it is desirable to have, as far in advance as possible, information on the probable values of these upper and lower limits, as well as short-term forecasts and disturbance warnings. Collectively, these predictions (long-term) and forecasts (short</w:t>
      </w:r>
      <w:r w:rsidRPr="00325B4B">
        <w:rPr>
          <w:lang w:val="en-US"/>
        </w:rPr>
        <w:noBreakHyphen/>
        <w:t>term) and disturbance warnings provide information for planning and operating personnel, that can be utilized in making the most economical use of the limited resources of equipment and frequency spectrum. The long- and medium-term predictions are indicative of representative ionospheric conditions, so that it is extremely useful to operating personnel to be warned of impending ionospheric disturbances in order that traffic can be re-routed, instructions can be issued in advance to cover temporary adjustments in the normal operating frequency, and the performance of other systems affected by the ionosphere can be assessed. Recommendation ITU-R P.533 provides an HF propagation prediction method.</w:t>
      </w:r>
    </w:p>
    <w:p w:rsidR="00325B4B" w:rsidRPr="00325B4B" w:rsidRDefault="00325B4B" w:rsidP="00AC07B4">
      <w:pPr>
        <w:pStyle w:val="Heading1"/>
        <w:rPr>
          <w:lang w:val="en-US"/>
        </w:rPr>
      </w:pPr>
      <w:bookmarkStart w:id="6" w:name="_Toc103495947"/>
      <w:r w:rsidRPr="00325B4B">
        <w:rPr>
          <w:lang w:val="en-US"/>
        </w:rPr>
        <w:t>2</w:t>
      </w:r>
      <w:r w:rsidRPr="00325B4B">
        <w:rPr>
          <w:lang w:val="en-US"/>
        </w:rPr>
        <w:tab/>
        <w:t>Available data for radio-propagation forecasts</w:t>
      </w:r>
      <w:bookmarkEnd w:id="6"/>
    </w:p>
    <w:p w:rsidR="00325B4B" w:rsidRPr="00325B4B" w:rsidRDefault="00325B4B" w:rsidP="00AC07B4">
      <w:pPr>
        <w:pStyle w:val="Heading2"/>
        <w:rPr>
          <w:lang w:val="en-US"/>
        </w:rPr>
      </w:pPr>
      <w:bookmarkStart w:id="7" w:name="_Toc103495948"/>
      <w:r w:rsidRPr="00325B4B">
        <w:rPr>
          <w:lang w:val="en-US"/>
        </w:rPr>
        <w:t>2.1</w:t>
      </w:r>
      <w:r w:rsidRPr="00325B4B">
        <w:rPr>
          <w:lang w:val="en-US"/>
        </w:rPr>
        <w:tab/>
        <w:t>Long-term predictions</w:t>
      </w:r>
      <w:bookmarkEnd w:id="7"/>
    </w:p>
    <w:p w:rsidR="00325B4B" w:rsidRPr="00325B4B" w:rsidRDefault="00325B4B" w:rsidP="00325B4B">
      <w:pPr>
        <w:rPr>
          <w:lang w:val="en-US"/>
        </w:rPr>
      </w:pPr>
      <w:r w:rsidRPr="00325B4B">
        <w:rPr>
          <w:lang w:val="en-US"/>
        </w:rPr>
        <w:t>Organizations in several countries prepare predictions of ionospheric conditions and ionospheric indices from 1 month up to 12 months in advance; for general planning purposes, predictions for a complete solar cycle are also made by some organizations. These predictions are for representative ionospheric conditions. The information which is applicable to any part of the world, is available for interchange between the organizations undertaking this service.</w:t>
      </w:r>
    </w:p>
    <w:p w:rsidR="00325B4B" w:rsidRPr="009F063E" w:rsidRDefault="00325B4B" w:rsidP="00AC07B4">
      <w:pPr>
        <w:pStyle w:val="Heading2"/>
        <w:rPr>
          <w:lang w:val="en-US"/>
        </w:rPr>
      </w:pPr>
      <w:bookmarkStart w:id="8" w:name="_Toc103495949"/>
      <w:r w:rsidRPr="009F063E">
        <w:rPr>
          <w:lang w:val="en-US"/>
        </w:rPr>
        <w:lastRenderedPageBreak/>
        <w:t>2.2</w:t>
      </w:r>
      <w:r w:rsidRPr="009F063E">
        <w:rPr>
          <w:lang w:val="en-US"/>
        </w:rPr>
        <w:tab/>
        <w:t>Forecasts of disturbances</w:t>
      </w:r>
      <w:bookmarkEnd w:id="8"/>
    </w:p>
    <w:p w:rsidR="00325B4B" w:rsidRPr="00325B4B" w:rsidRDefault="00325B4B" w:rsidP="00325B4B">
      <w:pPr>
        <w:rPr>
          <w:lang w:val="en-US"/>
        </w:rPr>
      </w:pPr>
      <w:r w:rsidRPr="00325B4B">
        <w:rPr>
          <w:lang w:val="en-US"/>
        </w:rPr>
        <w:t>Organizations in several countries prepare forecasts of ionospheric disturbances from a few hours to 27 days in advance. These forecasts are supplemental to the long-term predictions, since the occurrence of ionospheric disturbances, which cannot be forecast for long periods in advance, may modify considerably the frequency range within which satisfactory operation can be maintained on a particular circuit. Operating organizations have shown interest in these short</w:t>
      </w:r>
      <w:r w:rsidRPr="00325B4B">
        <w:rPr>
          <w:lang w:val="en-US"/>
        </w:rPr>
        <w:noBreakHyphen/>
        <w:t>term forecasts to such an extent that they are now being regularly transmitted by radio at scheduled times.</w:t>
      </w:r>
    </w:p>
    <w:p w:rsidR="00325B4B" w:rsidRPr="00325B4B" w:rsidRDefault="00325B4B" w:rsidP="00AC07B4">
      <w:pPr>
        <w:pStyle w:val="Heading2"/>
        <w:rPr>
          <w:lang w:val="en-US"/>
        </w:rPr>
      </w:pPr>
      <w:bookmarkStart w:id="9" w:name="_Toc103495950"/>
      <w:r w:rsidRPr="00325B4B">
        <w:rPr>
          <w:lang w:val="en-US"/>
        </w:rPr>
        <w:t>2.3</w:t>
      </w:r>
      <w:r w:rsidRPr="00325B4B">
        <w:rPr>
          <w:lang w:val="en-US"/>
        </w:rPr>
        <w:tab/>
        <w:t>Working documents for long-term predictions</w:t>
      </w:r>
      <w:bookmarkEnd w:id="9"/>
    </w:p>
    <w:p w:rsidR="00325B4B" w:rsidRPr="00325B4B" w:rsidRDefault="00325B4B" w:rsidP="00325B4B">
      <w:pPr>
        <w:rPr>
          <w:lang w:val="en-US"/>
        </w:rPr>
      </w:pPr>
      <w:r w:rsidRPr="00325B4B">
        <w:rPr>
          <w:lang w:val="en-US"/>
        </w:rPr>
        <w:t>Recommendation ITU-R P.1240 is the source of basic MUF and optimum working frequency (FOT) for use with predicted 12</w:t>
      </w:r>
      <w:r w:rsidRPr="00325B4B">
        <w:rPr>
          <w:lang w:val="en-US"/>
        </w:rPr>
        <w:noBreakHyphen/>
        <w:t>month running mean sunspot numbers</w:t>
      </w:r>
      <w:r w:rsidRPr="00325B4B">
        <w:rPr>
          <w:i/>
          <w:lang w:val="en-US"/>
        </w:rPr>
        <w:t xml:space="preserve"> R</w:t>
      </w:r>
      <w:r w:rsidRPr="00325B4B">
        <w:rPr>
          <w:position w:val="-4"/>
          <w:sz w:val="16"/>
          <w:lang w:val="en-US"/>
        </w:rPr>
        <w:t>12</w:t>
      </w:r>
      <w:r w:rsidRPr="00325B4B">
        <w:rPr>
          <w:lang w:val="en-US"/>
        </w:rPr>
        <w:t xml:space="preserve"> in making long-term predictions for any part of the world.</w:t>
      </w:r>
    </w:p>
    <w:p w:rsidR="00325B4B" w:rsidRPr="00AE0F6D" w:rsidRDefault="00325B4B" w:rsidP="00AC07B4">
      <w:pPr>
        <w:pStyle w:val="Heading1"/>
        <w:rPr>
          <w:lang w:val="en-US"/>
        </w:rPr>
      </w:pPr>
      <w:bookmarkStart w:id="10" w:name="_Toc103495951"/>
      <w:r w:rsidRPr="00AE0F6D">
        <w:rPr>
          <w:lang w:val="en-US"/>
        </w:rPr>
        <w:t>3</w:t>
      </w:r>
      <w:r w:rsidRPr="00AE0F6D">
        <w:rPr>
          <w:lang w:val="en-US"/>
        </w:rPr>
        <w:tab/>
        <w:t>Exchange of basic data used in short-term forecasts</w:t>
      </w:r>
      <w:bookmarkEnd w:id="10"/>
    </w:p>
    <w:p w:rsidR="00325B4B" w:rsidRPr="00AE0F6D" w:rsidRDefault="00325B4B" w:rsidP="00325B4B">
      <w:pPr>
        <w:rPr>
          <w:lang w:val="en-US"/>
        </w:rPr>
      </w:pPr>
      <w:r w:rsidRPr="00AE0F6D">
        <w:rPr>
          <w:lang w:val="en-US"/>
        </w:rPr>
        <w:t>The ISES is a permanent service of the Federations of Astronomica</w:t>
      </w:r>
      <w:r>
        <w:rPr>
          <w:lang w:val="en-US"/>
        </w:rPr>
        <w:t>l and Geophysical Data Analysis </w:t>
      </w:r>
      <w:r w:rsidRPr="00AE0F6D">
        <w:rPr>
          <w:lang w:val="en-US"/>
        </w:rPr>
        <w:t>Services (FAGS) under the auspices of the International Union of Radio Science (URSI) in association with the International Astronomical Union (IAU) and the International Union of Geodesy and Geophysics (IUGG).</w:t>
      </w:r>
    </w:p>
    <w:p w:rsidR="00325B4B" w:rsidRPr="00AE0F6D" w:rsidRDefault="00325B4B" w:rsidP="00325B4B">
      <w:pPr>
        <w:rPr>
          <w:lang w:val="en-US"/>
        </w:rPr>
      </w:pPr>
      <w:r w:rsidRPr="00AE0F6D">
        <w:rPr>
          <w:lang w:val="en-US"/>
        </w:rPr>
        <w:t>Within the basic functions of the ISES is the International URSIgram Service which provides standardized rapid free exchange of space weather information and forecasts through its Regional Warning Centres (RWC). In addition, ISES prepares the International Geophysical Calendar (IGC) each year.</w:t>
      </w:r>
    </w:p>
    <w:p w:rsidR="00325B4B" w:rsidRPr="00AE0F6D" w:rsidRDefault="00325B4B" w:rsidP="00325B4B">
      <w:pPr>
        <w:rPr>
          <w:lang w:val="en-US"/>
        </w:rPr>
      </w:pPr>
      <w:r w:rsidRPr="00AE0F6D">
        <w:rPr>
          <w:lang w:val="en-US"/>
        </w:rPr>
        <w:t>At present, there are thirteen Regional Warning Centres sc</w:t>
      </w:r>
      <w:r>
        <w:rPr>
          <w:lang w:val="en-US"/>
        </w:rPr>
        <w:t>attered around the globe. These </w:t>
      </w:r>
      <w:r w:rsidRPr="00AE0F6D">
        <w:rPr>
          <w:lang w:val="en-US"/>
        </w:rPr>
        <w:t xml:space="preserve">centres are located in </w:t>
      </w:r>
      <w:hyperlink r:id="rId15" w:history="1">
        <w:r w:rsidRPr="00F575EE">
          <w:rPr>
            <w:color w:val="000000"/>
            <w:lang w:val="en-US"/>
          </w:rPr>
          <w:t>Australia (Sydney)</w:t>
        </w:r>
      </w:hyperlink>
      <w:r w:rsidRPr="00F575EE">
        <w:rPr>
          <w:lang w:val="en-US"/>
        </w:rPr>
        <w:t xml:space="preserve">, </w:t>
      </w:r>
      <w:hyperlink r:id="rId16" w:history="1">
        <w:r w:rsidRPr="00F575EE">
          <w:rPr>
            <w:color w:val="000000"/>
            <w:lang w:val="en-US"/>
          </w:rPr>
          <w:t>Belgium (Brussels)</w:t>
        </w:r>
      </w:hyperlink>
      <w:r w:rsidRPr="00AE0F6D">
        <w:rPr>
          <w:lang w:val="en-US"/>
        </w:rPr>
        <w:t xml:space="preserve">, </w:t>
      </w:r>
      <w:r w:rsidRPr="00AE0F6D">
        <w:rPr>
          <w:lang w:val="en-US" w:eastAsia="ko-KR"/>
        </w:rPr>
        <w:t>Brazil (Sao Jose dos Campos),</w:t>
      </w:r>
      <w:r w:rsidRPr="00AE0F6D">
        <w:rPr>
          <w:lang w:val="en-US"/>
        </w:rPr>
        <w:t xml:space="preserve"> </w:t>
      </w:r>
      <w:hyperlink r:id="rId17" w:history="1">
        <w:r w:rsidRPr="00F575EE">
          <w:rPr>
            <w:color w:val="000000"/>
            <w:lang w:val="en-US"/>
          </w:rPr>
          <w:t>Canada (Ottawa)</w:t>
        </w:r>
      </w:hyperlink>
      <w:r w:rsidRPr="00F575EE">
        <w:rPr>
          <w:lang w:val="en-US"/>
        </w:rPr>
        <w:t xml:space="preserve">, </w:t>
      </w:r>
      <w:hyperlink r:id="rId18" w:history="1">
        <w:r w:rsidRPr="00F575EE">
          <w:rPr>
            <w:color w:val="000000"/>
            <w:lang w:val="en-US"/>
          </w:rPr>
          <w:t>China (Beijing)</w:t>
        </w:r>
      </w:hyperlink>
      <w:r w:rsidRPr="00F575EE">
        <w:rPr>
          <w:lang w:val="en-US"/>
        </w:rPr>
        <w:t xml:space="preserve">, United States of America </w:t>
      </w:r>
      <w:hyperlink r:id="rId19" w:history="1">
        <w:r w:rsidRPr="00F575EE">
          <w:rPr>
            <w:color w:val="000000"/>
            <w:lang w:val="en-US"/>
          </w:rPr>
          <w:t>(Boulder)</w:t>
        </w:r>
      </w:hyperlink>
      <w:r w:rsidRPr="00F575EE">
        <w:rPr>
          <w:lang w:val="en-US"/>
        </w:rPr>
        <w:t xml:space="preserve">, </w:t>
      </w:r>
      <w:hyperlink r:id="rId20" w:history="1">
        <w:r w:rsidRPr="00F575EE">
          <w:rPr>
            <w:color w:val="000000"/>
            <w:lang w:val="en-US"/>
          </w:rPr>
          <w:t>India (New Delhi)</w:t>
        </w:r>
      </w:hyperlink>
      <w:r w:rsidRPr="00F575EE">
        <w:rPr>
          <w:lang w:val="en-US"/>
        </w:rPr>
        <w:t xml:space="preserve">, </w:t>
      </w:r>
      <w:hyperlink r:id="rId21" w:history="1">
        <w:r>
          <w:rPr>
            <w:color w:val="000000"/>
            <w:lang w:val="en-US"/>
          </w:rPr>
          <w:t>Japan </w:t>
        </w:r>
        <w:r w:rsidRPr="00F575EE">
          <w:rPr>
            <w:color w:val="000000"/>
            <w:lang w:val="en-US"/>
          </w:rPr>
          <w:t>(Tokyo)</w:t>
        </w:r>
      </w:hyperlink>
      <w:r w:rsidRPr="00F575EE">
        <w:rPr>
          <w:lang w:val="en-US"/>
        </w:rPr>
        <w:t xml:space="preserve">, </w:t>
      </w:r>
      <w:hyperlink r:id="rId22" w:history="1">
        <w:r w:rsidRPr="00F575EE">
          <w:rPr>
            <w:color w:val="000000"/>
            <w:lang w:val="en-US"/>
          </w:rPr>
          <w:t>Poland (Warsaw)</w:t>
        </w:r>
      </w:hyperlink>
      <w:r w:rsidRPr="00F575EE">
        <w:rPr>
          <w:lang w:val="en-US"/>
        </w:rPr>
        <w:t xml:space="preserve">, </w:t>
      </w:r>
      <w:hyperlink r:id="rId23" w:history="1">
        <w:r w:rsidRPr="00F575EE">
          <w:rPr>
            <w:color w:val="000000"/>
            <w:lang w:val="en-US"/>
          </w:rPr>
          <w:t>Czech Republic (Prague)</w:t>
        </w:r>
      </w:hyperlink>
      <w:r w:rsidRPr="00F575EE">
        <w:rPr>
          <w:lang w:val="en-US"/>
        </w:rPr>
        <w:t xml:space="preserve">, </w:t>
      </w:r>
      <w:hyperlink r:id="rId24" w:history="1">
        <w:r w:rsidRPr="00F575EE">
          <w:rPr>
            <w:color w:val="000000"/>
            <w:lang w:val="en-US"/>
          </w:rPr>
          <w:t>Russian</w:t>
        </w:r>
      </w:hyperlink>
      <w:r w:rsidRPr="00F575EE">
        <w:rPr>
          <w:lang w:val="en-US"/>
        </w:rPr>
        <w:t xml:space="preserve"> Federation (Moscow), </w:t>
      </w:r>
      <w:hyperlink r:id="rId25" w:history="1">
        <w:r w:rsidRPr="00F575EE">
          <w:rPr>
            <w:color w:val="000000"/>
            <w:lang w:val="en-US"/>
          </w:rPr>
          <w:t>Sweden (Lund)</w:t>
        </w:r>
      </w:hyperlink>
      <w:r w:rsidRPr="00F575EE">
        <w:rPr>
          <w:color w:val="000000"/>
          <w:lang w:val="en-US"/>
        </w:rPr>
        <w:t xml:space="preserve"> and</w:t>
      </w:r>
      <w:r w:rsidRPr="00D11185">
        <w:rPr>
          <w:lang w:val="en-US" w:eastAsia="ko-KR"/>
        </w:rPr>
        <w:t xml:space="preserve"> South Africa (Hermanus)</w:t>
      </w:r>
      <w:r w:rsidRPr="00F575EE">
        <w:rPr>
          <w:lang w:val="en-US"/>
        </w:rPr>
        <w:t xml:space="preserve">. The </w:t>
      </w:r>
      <w:hyperlink r:id="rId26" w:history="1">
        <w:r w:rsidRPr="00F575EE">
          <w:rPr>
            <w:color w:val="000000"/>
            <w:lang w:val="en-US"/>
          </w:rPr>
          <w:t>European Space Agency (Noordwijk)</w:t>
        </w:r>
      </w:hyperlink>
      <w:r>
        <w:rPr>
          <w:lang w:val="en-US"/>
        </w:rPr>
        <w:t xml:space="preserve"> is a </w:t>
      </w:r>
      <w:r w:rsidRPr="00AE0F6D">
        <w:rPr>
          <w:lang w:val="en-US"/>
        </w:rPr>
        <w:t>collaborative expert centre providing a venue for data and pro</w:t>
      </w:r>
      <w:r>
        <w:rPr>
          <w:lang w:val="en-US"/>
        </w:rPr>
        <w:t>duct exchange for activities in </w:t>
      </w:r>
      <w:r w:rsidRPr="00AE0F6D">
        <w:rPr>
          <w:lang w:val="en-US"/>
        </w:rPr>
        <w:t>Europe. A data exchange schedule operates with each centre providing and relaying data to the other centres</w:t>
      </w:r>
      <w:r>
        <w:rPr>
          <w:lang w:val="en-US"/>
        </w:rPr>
        <w:t>. The centre in Boulder plays a </w:t>
      </w:r>
      <w:r w:rsidRPr="00AE0F6D">
        <w:rPr>
          <w:lang w:val="en-US"/>
        </w:rPr>
        <w:t>special role as “World Warning Agency”, acting as a hub for data exchange and forecasts.</w:t>
      </w:r>
    </w:p>
    <w:p w:rsidR="00325B4B" w:rsidRPr="00AE0F6D" w:rsidRDefault="00325B4B" w:rsidP="00325B4B">
      <w:pPr>
        <w:ind w:right="-142"/>
        <w:rPr>
          <w:lang w:val="en-US"/>
        </w:rPr>
      </w:pPr>
      <w:r w:rsidRPr="00AE0F6D">
        <w:rPr>
          <w:lang w:val="en-US"/>
        </w:rPr>
        <w:t xml:space="preserve">Further information about ISES can be obtained from their web page at: </w:t>
      </w:r>
      <w:hyperlink r:id="rId27" w:history="1">
        <w:r w:rsidRPr="00AE0F6D">
          <w:rPr>
            <w:color w:val="0000FF"/>
            <w:u w:val="single"/>
            <w:lang w:val="en-US"/>
          </w:rPr>
          <w:t>www.ises</w:t>
        </w:r>
        <w:r w:rsidRPr="00AE0F6D">
          <w:rPr>
            <w:color w:val="0000FF"/>
            <w:u w:val="single"/>
            <w:lang w:val="en-US"/>
          </w:rPr>
          <w:noBreakHyphen/>
          <w:t>spaceweather.org</w:t>
        </w:r>
      </w:hyperlink>
      <w:r w:rsidRPr="00AE0F6D">
        <w:rPr>
          <w:lang w:val="en-US"/>
        </w:rPr>
        <w:t>.</w:t>
      </w:r>
    </w:p>
    <w:p w:rsidR="00325B4B" w:rsidRDefault="00325B4B" w:rsidP="00325B4B">
      <w:pPr>
        <w:rPr>
          <w:lang w:val="en-US"/>
        </w:rPr>
      </w:pPr>
      <w:r w:rsidRPr="00AE0F6D">
        <w:rPr>
          <w:lang w:val="en-US" w:eastAsia="ko-KR"/>
        </w:rPr>
        <w:t xml:space="preserve">The WMO space weather portal provides for space weather information about ionospheric storms, geomagnetic storms, radiation storms and solar conditions. </w:t>
      </w:r>
      <w:r w:rsidRPr="00AE0F6D">
        <w:rPr>
          <w:lang w:val="en-US"/>
        </w:rPr>
        <w:t xml:space="preserve">Further information about </w:t>
      </w:r>
      <w:r w:rsidRPr="00325B4B">
        <w:rPr>
          <w:lang w:val="en-US" w:eastAsia="ko-KR"/>
        </w:rPr>
        <w:t xml:space="preserve">WMO space weather product portal can be obtained from their web page at: </w:t>
      </w:r>
      <w:hyperlink r:id="rId28" w:history="1">
        <w:r w:rsidRPr="00AC07B4">
          <w:rPr>
            <w:rStyle w:val="Hyperlink"/>
            <w:lang w:val="en-US"/>
          </w:rPr>
          <w:t>www.wmo.int/pages/prog/sat/spaceweather-productportal_en.php</w:t>
        </w:r>
      </w:hyperlink>
      <w:r w:rsidRPr="00AE0F6D">
        <w:rPr>
          <w:lang w:val="en-US"/>
        </w:rPr>
        <w:t>.</w:t>
      </w:r>
    </w:p>
    <w:p w:rsidR="00325B4B" w:rsidRDefault="00325B4B" w:rsidP="00325B4B">
      <w:pPr>
        <w:rPr>
          <w:lang w:val="en-US"/>
        </w:rPr>
      </w:pPr>
    </w:p>
    <w:p w:rsidR="00325B4B" w:rsidRDefault="00325B4B" w:rsidP="00325B4B">
      <w:pPr>
        <w:rPr>
          <w:lang w:val="en-US"/>
        </w:rPr>
      </w:pPr>
    </w:p>
    <w:p w:rsidR="00325B4B" w:rsidRPr="00325B4B" w:rsidRDefault="00325B4B" w:rsidP="00325B4B">
      <w:pPr>
        <w:pStyle w:val="Line"/>
      </w:pPr>
    </w:p>
    <w:sectPr w:rsidR="00325B4B" w:rsidRPr="00325B4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0EF" w:rsidRDefault="00A970EF">
      <w:r>
        <w:separator/>
      </w:r>
    </w:p>
  </w:endnote>
  <w:endnote w:type="continuationSeparator" w:id="0">
    <w:p w:rsidR="00A970EF" w:rsidRDefault="00A9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0EF" w:rsidRDefault="00A970EF">
      <w:r>
        <w:separator/>
      </w:r>
    </w:p>
  </w:footnote>
  <w:footnote w:type="continuationSeparator" w:id="0">
    <w:p w:rsidR="00A970EF" w:rsidRDefault="00A97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FC33E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C11905"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Pr="00FC42AF" w:rsidRDefault="00271AF7">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9F063E">
      <w:rPr>
        <w:rStyle w:val="PageNumber"/>
        <w:b/>
        <w:bCs/>
        <w:noProof/>
      </w:rPr>
      <w:t>2</w:t>
    </w:r>
    <w:r>
      <w:rPr>
        <w:rStyle w:val="PageNumber"/>
        <w:b/>
        <w:bCs/>
      </w:rPr>
      <w:fldChar w:fldCharType="end"/>
    </w:r>
    <w:r w:rsidR="00FC33E6" w:rsidRPr="00FC42AF">
      <w:tab/>
    </w:r>
    <w:fldSimple w:instr=" DOCPROPERTY &quot;Header&quot; \* MERGEFORMAT ">
      <w:r w:rsidR="00542D0D" w:rsidRPr="00542D0D">
        <w:rPr>
          <w:b/>
          <w:bCs/>
        </w:rPr>
        <w:t xml:space="preserve">Rec. </w:t>
      </w:r>
    </w:fldSimple>
    <w:r w:rsidR="00FC33E6">
      <w:rPr>
        <w:b/>
        <w:bCs/>
      </w:rPr>
      <w:t xml:space="preserve"> </w:t>
    </w:r>
    <w:r>
      <w:rPr>
        <w:b/>
        <w:bCs/>
      </w:rPr>
      <w:fldChar w:fldCharType="begin"/>
    </w:r>
    <w:r w:rsidR="00FC33E6" w:rsidRPr="00FC42AF">
      <w:rPr>
        <w:b/>
        <w:bCs/>
      </w:rPr>
      <w:instrText>styleref href</w:instrText>
    </w:r>
    <w:r>
      <w:rPr>
        <w:b/>
        <w:bCs/>
      </w:rPr>
      <w:fldChar w:fldCharType="separate"/>
    </w:r>
    <w:r w:rsidR="009F063E">
      <w:rPr>
        <w:b/>
        <w:bCs/>
        <w:noProof/>
      </w:rPr>
      <w:t>ITU-R  P.313-11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FC33E6">
    <w:pPr>
      <w:pStyle w:val="Header"/>
    </w:pPr>
    <w:r>
      <w:tab/>
    </w:r>
    <w:fldSimple w:instr=" DOCPROPERTY &quot;Header&quot; \* MERGEFORMAT ">
      <w:r w:rsidR="00542D0D" w:rsidRPr="00542D0D">
        <w:rPr>
          <w:b/>
          <w:bCs/>
        </w:rPr>
        <w:t xml:space="preserve">Rec. </w:t>
      </w:r>
    </w:fldSimple>
    <w:r>
      <w:rPr>
        <w:b/>
        <w:bCs/>
      </w:rPr>
      <w:t xml:space="preserve"> </w:t>
    </w:r>
    <w:r w:rsidR="00271AF7">
      <w:rPr>
        <w:b/>
        <w:bCs/>
      </w:rPr>
      <w:fldChar w:fldCharType="begin"/>
    </w:r>
    <w:r>
      <w:rPr>
        <w:b/>
        <w:bCs/>
      </w:rPr>
      <w:instrText>styleref href</w:instrText>
    </w:r>
    <w:r w:rsidR="00271AF7">
      <w:rPr>
        <w:b/>
        <w:bCs/>
      </w:rPr>
      <w:fldChar w:fldCharType="separate"/>
    </w:r>
    <w:r w:rsidR="009F063E">
      <w:rPr>
        <w:b/>
        <w:bCs/>
        <w:noProof/>
      </w:rPr>
      <w:t>ITU-R  P.313-11</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9F063E">
      <w:rPr>
        <w:rStyle w:val="PageNumber"/>
        <w:b/>
        <w:bCs/>
        <w:noProof/>
      </w:rPr>
      <w:t>1</w:t>
    </w:r>
    <w:r w:rsidR="00271AF7">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36994"/>
    <w:rsid w:val="00147110"/>
    <w:rsid w:val="001511A6"/>
    <w:rsid w:val="001A7DC3"/>
    <w:rsid w:val="002058CE"/>
    <w:rsid w:val="002165F1"/>
    <w:rsid w:val="00271AF7"/>
    <w:rsid w:val="00276D21"/>
    <w:rsid w:val="00296D7F"/>
    <w:rsid w:val="002B3C76"/>
    <w:rsid w:val="002B3CF6"/>
    <w:rsid w:val="002C768A"/>
    <w:rsid w:val="002D76C4"/>
    <w:rsid w:val="002F387F"/>
    <w:rsid w:val="002F5199"/>
    <w:rsid w:val="00325B4B"/>
    <w:rsid w:val="00327E0E"/>
    <w:rsid w:val="00356B5D"/>
    <w:rsid w:val="0041667C"/>
    <w:rsid w:val="00420DFD"/>
    <w:rsid w:val="00437A76"/>
    <w:rsid w:val="00470E28"/>
    <w:rsid w:val="00470FEC"/>
    <w:rsid w:val="004934C5"/>
    <w:rsid w:val="004F65E4"/>
    <w:rsid w:val="00542D0D"/>
    <w:rsid w:val="0055006A"/>
    <w:rsid w:val="00556548"/>
    <w:rsid w:val="00586EF8"/>
    <w:rsid w:val="005B49AB"/>
    <w:rsid w:val="005B50E7"/>
    <w:rsid w:val="005E7B4F"/>
    <w:rsid w:val="00601882"/>
    <w:rsid w:val="00607D68"/>
    <w:rsid w:val="00613212"/>
    <w:rsid w:val="006149B1"/>
    <w:rsid w:val="00680D2B"/>
    <w:rsid w:val="00681B32"/>
    <w:rsid w:val="006B1D2B"/>
    <w:rsid w:val="006E1131"/>
    <w:rsid w:val="006E1148"/>
    <w:rsid w:val="006E2037"/>
    <w:rsid w:val="006E6199"/>
    <w:rsid w:val="00712870"/>
    <w:rsid w:val="00743D85"/>
    <w:rsid w:val="00753CF4"/>
    <w:rsid w:val="007565CC"/>
    <w:rsid w:val="00763B9A"/>
    <w:rsid w:val="00794726"/>
    <w:rsid w:val="007A6AA8"/>
    <w:rsid w:val="007D224F"/>
    <w:rsid w:val="00816332"/>
    <w:rsid w:val="008310C9"/>
    <w:rsid w:val="00853CC5"/>
    <w:rsid w:val="008C7848"/>
    <w:rsid w:val="00906589"/>
    <w:rsid w:val="00906AD6"/>
    <w:rsid w:val="00917AF2"/>
    <w:rsid w:val="0092418A"/>
    <w:rsid w:val="00934ED7"/>
    <w:rsid w:val="009543C3"/>
    <w:rsid w:val="00966E1B"/>
    <w:rsid w:val="009947C0"/>
    <w:rsid w:val="009F063E"/>
    <w:rsid w:val="009F2D2C"/>
    <w:rsid w:val="00A31928"/>
    <w:rsid w:val="00A62A14"/>
    <w:rsid w:val="00A6617B"/>
    <w:rsid w:val="00A71FE5"/>
    <w:rsid w:val="00A970EF"/>
    <w:rsid w:val="00A971A1"/>
    <w:rsid w:val="00AA3AD8"/>
    <w:rsid w:val="00AB0DC8"/>
    <w:rsid w:val="00AC07B4"/>
    <w:rsid w:val="00B033C8"/>
    <w:rsid w:val="00B33425"/>
    <w:rsid w:val="00B44E24"/>
    <w:rsid w:val="00B54ECC"/>
    <w:rsid w:val="00B714F3"/>
    <w:rsid w:val="00B87B6B"/>
    <w:rsid w:val="00BC5D77"/>
    <w:rsid w:val="00BD6671"/>
    <w:rsid w:val="00BF487A"/>
    <w:rsid w:val="00BF5114"/>
    <w:rsid w:val="00C11905"/>
    <w:rsid w:val="00C46BD9"/>
    <w:rsid w:val="00C55258"/>
    <w:rsid w:val="00C73560"/>
    <w:rsid w:val="00CB0F14"/>
    <w:rsid w:val="00CD659B"/>
    <w:rsid w:val="00CE0A43"/>
    <w:rsid w:val="00D2224C"/>
    <w:rsid w:val="00D703EF"/>
    <w:rsid w:val="00D83556"/>
    <w:rsid w:val="00DF4176"/>
    <w:rsid w:val="00E17240"/>
    <w:rsid w:val="00E406BD"/>
    <w:rsid w:val="00E74595"/>
    <w:rsid w:val="00EB7C57"/>
    <w:rsid w:val="00ED2695"/>
    <w:rsid w:val="00F30C9B"/>
    <w:rsid w:val="00F354B1"/>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07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C07B4"/>
    <w:pPr>
      <w:keepNext/>
      <w:keepLines/>
      <w:spacing w:before="480"/>
      <w:ind w:left="794" w:hanging="794"/>
      <w:outlineLvl w:val="0"/>
    </w:pPr>
    <w:rPr>
      <w:b/>
    </w:rPr>
  </w:style>
  <w:style w:type="paragraph" w:styleId="Heading2">
    <w:name w:val="heading 2"/>
    <w:basedOn w:val="Heading1"/>
    <w:next w:val="Normal"/>
    <w:qFormat/>
    <w:rsid w:val="00AC07B4"/>
    <w:pPr>
      <w:spacing w:before="320"/>
      <w:outlineLvl w:val="1"/>
    </w:pPr>
  </w:style>
  <w:style w:type="paragraph" w:styleId="Heading3">
    <w:name w:val="heading 3"/>
    <w:basedOn w:val="Heading1"/>
    <w:next w:val="Normal"/>
    <w:qFormat/>
    <w:rsid w:val="00AC07B4"/>
    <w:pPr>
      <w:spacing w:before="200"/>
      <w:outlineLvl w:val="2"/>
    </w:pPr>
  </w:style>
  <w:style w:type="paragraph" w:styleId="Heading4">
    <w:name w:val="heading 4"/>
    <w:basedOn w:val="Heading3"/>
    <w:next w:val="Normal"/>
    <w:qFormat/>
    <w:rsid w:val="00AC07B4"/>
    <w:pPr>
      <w:tabs>
        <w:tab w:val="clear" w:pos="794"/>
        <w:tab w:val="left" w:pos="992"/>
      </w:tabs>
      <w:ind w:left="992" w:hanging="992"/>
      <w:outlineLvl w:val="3"/>
    </w:pPr>
  </w:style>
  <w:style w:type="paragraph" w:styleId="Heading5">
    <w:name w:val="heading 5"/>
    <w:basedOn w:val="Heading4"/>
    <w:next w:val="Normal"/>
    <w:qFormat/>
    <w:rsid w:val="00AC07B4"/>
    <w:pPr>
      <w:outlineLvl w:val="4"/>
    </w:pPr>
  </w:style>
  <w:style w:type="paragraph" w:styleId="Heading6">
    <w:name w:val="heading 6"/>
    <w:basedOn w:val="Heading4"/>
    <w:next w:val="Normal"/>
    <w:qFormat/>
    <w:rsid w:val="00AC07B4"/>
    <w:pPr>
      <w:tabs>
        <w:tab w:val="clear" w:pos="992"/>
        <w:tab w:val="clear" w:pos="1191"/>
      </w:tabs>
      <w:ind w:left="1588" w:hanging="1588"/>
      <w:outlineLvl w:val="5"/>
    </w:pPr>
  </w:style>
  <w:style w:type="paragraph" w:styleId="Heading7">
    <w:name w:val="heading 7"/>
    <w:basedOn w:val="Heading6"/>
    <w:next w:val="Normal"/>
    <w:qFormat/>
    <w:rsid w:val="00AC07B4"/>
    <w:pPr>
      <w:outlineLvl w:val="6"/>
    </w:pPr>
  </w:style>
  <w:style w:type="paragraph" w:styleId="Heading8">
    <w:name w:val="heading 8"/>
    <w:basedOn w:val="Heading6"/>
    <w:next w:val="Normal"/>
    <w:qFormat/>
    <w:rsid w:val="00AC07B4"/>
    <w:pPr>
      <w:outlineLvl w:val="7"/>
    </w:pPr>
  </w:style>
  <w:style w:type="paragraph" w:styleId="Heading9">
    <w:name w:val="heading 9"/>
    <w:basedOn w:val="Heading6"/>
    <w:next w:val="Normal"/>
    <w:qFormat/>
    <w:rsid w:val="00AC07B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07B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C07B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C07B4"/>
  </w:style>
  <w:style w:type="paragraph" w:customStyle="1" w:styleId="Headingb">
    <w:name w:val="Heading_b"/>
    <w:basedOn w:val="Heading3"/>
    <w:next w:val="Normal"/>
    <w:rsid w:val="00AC07B4"/>
    <w:pPr>
      <w:spacing w:before="160"/>
      <w:ind w:left="0" w:firstLine="0"/>
      <w:outlineLvl w:val="9"/>
    </w:pPr>
  </w:style>
  <w:style w:type="paragraph" w:customStyle="1" w:styleId="Headingi">
    <w:name w:val="Heading_i"/>
    <w:basedOn w:val="Heading3"/>
    <w:next w:val="Normal"/>
    <w:rsid w:val="00AC07B4"/>
    <w:pPr>
      <w:spacing w:before="160"/>
      <w:ind w:left="0" w:firstLine="0"/>
    </w:pPr>
    <w:rPr>
      <w:b w:val="0"/>
      <w:i/>
    </w:rPr>
  </w:style>
  <w:style w:type="character" w:customStyle="1" w:styleId="href">
    <w:name w:val="href"/>
    <w:basedOn w:val="DefaultParagraphFont"/>
    <w:rsid w:val="00AC07B4"/>
  </w:style>
  <w:style w:type="paragraph" w:customStyle="1" w:styleId="AnnexNoTitle">
    <w:name w:val="Annex_NoTitle"/>
    <w:basedOn w:val="Normal"/>
    <w:next w:val="Normalaftertitle"/>
    <w:rsid w:val="00AC07B4"/>
    <w:pPr>
      <w:keepNext/>
      <w:keepLines/>
      <w:spacing w:before="480" w:after="80"/>
      <w:jc w:val="center"/>
    </w:pPr>
    <w:rPr>
      <w:b/>
      <w:sz w:val="28"/>
    </w:rPr>
  </w:style>
  <w:style w:type="paragraph" w:customStyle="1" w:styleId="Normalaftertitle">
    <w:name w:val="Normal_after_title"/>
    <w:basedOn w:val="Normal"/>
    <w:next w:val="Normal"/>
    <w:rsid w:val="00AC07B4"/>
    <w:pPr>
      <w:spacing w:before="320"/>
    </w:pPr>
  </w:style>
  <w:style w:type="paragraph" w:customStyle="1" w:styleId="enumlev2">
    <w:name w:val="enumlev2"/>
    <w:basedOn w:val="enumlev1"/>
    <w:rsid w:val="00AC07B4"/>
    <w:pPr>
      <w:ind w:left="1191" w:hanging="397"/>
    </w:pPr>
  </w:style>
  <w:style w:type="paragraph" w:customStyle="1" w:styleId="enumlev1">
    <w:name w:val="enumlev1"/>
    <w:basedOn w:val="Normal"/>
    <w:rsid w:val="00AC07B4"/>
    <w:pPr>
      <w:spacing w:before="80"/>
      <w:ind w:left="794" w:hanging="794"/>
    </w:pPr>
  </w:style>
  <w:style w:type="paragraph" w:customStyle="1" w:styleId="enumlev3">
    <w:name w:val="enumlev3"/>
    <w:basedOn w:val="enumlev2"/>
    <w:rsid w:val="00AC07B4"/>
    <w:pPr>
      <w:ind w:left="1588"/>
    </w:pPr>
  </w:style>
  <w:style w:type="paragraph" w:customStyle="1" w:styleId="Note">
    <w:name w:val="Note"/>
    <w:basedOn w:val="Normal"/>
    <w:rsid w:val="00AC07B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C07B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C07B4"/>
    <w:pPr>
      <w:keepNext/>
      <w:keepLines/>
      <w:spacing w:before="240"/>
      <w:jc w:val="center"/>
    </w:pPr>
    <w:rPr>
      <w:b/>
      <w:sz w:val="28"/>
    </w:rPr>
  </w:style>
  <w:style w:type="paragraph" w:customStyle="1" w:styleId="Recref">
    <w:name w:val="Rec_ref"/>
    <w:basedOn w:val="Normal"/>
    <w:next w:val="Recdate"/>
    <w:rsid w:val="00AC07B4"/>
    <w:pPr>
      <w:jc w:val="center"/>
    </w:pPr>
  </w:style>
  <w:style w:type="paragraph" w:customStyle="1" w:styleId="Recdate">
    <w:name w:val="Rec_date"/>
    <w:basedOn w:val="Recref"/>
    <w:next w:val="Normalaftertitle"/>
    <w:rsid w:val="00AC07B4"/>
    <w:pPr>
      <w:jc w:val="right"/>
    </w:pPr>
  </w:style>
  <w:style w:type="paragraph" w:customStyle="1" w:styleId="HeadingSum">
    <w:name w:val="Heading_Sum"/>
    <w:basedOn w:val="Headingb"/>
    <w:next w:val="Normal"/>
    <w:autoRedefine/>
    <w:rsid w:val="00AC07B4"/>
    <w:pPr>
      <w:spacing w:before="240"/>
    </w:pPr>
    <w:rPr>
      <w:sz w:val="22"/>
      <w:lang w:val="es-ES_tradnl"/>
    </w:rPr>
  </w:style>
  <w:style w:type="paragraph" w:customStyle="1" w:styleId="AppendixNoTitle">
    <w:name w:val="Appendix_NoTitle"/>
    <w:basedOn w:val="AnnexNoTitle"/>
    <w:next w:val="Normal"/>
    <w:rsid w:val="00AC07B4"/>
  </w:style>
  <w:style w:type="paragraph" w:customStyle="1" w:styleId="Tablefin">
    <w:name w:val="Table_fin"/>
    <w:basedOn w:val="Normal"/>
    <w:next w:val="Normal"/>
    <w:rsid w:val="00AC07B4"/>
    <w:pPr>
      <w:spacing w:before="0"/>
    </w:pPr>
    <w:rPr>
      <w:sz w:val="20"/>
      <w:lang w:val="en-GB"/>
    </w:rPr>
  </w:style>
  <w:style w:type="paragraph" w:customStyle="1" w:styleId="Tablehead">
    <w:name w:val="Table_head"/>
    <w:basedOn w:val="Normal"/>
    <w:next w:val="Normal"/>
    <w:rsid w:val="00AC07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C07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C07B4"/>
    <w:pPr>
      <w:keepNext/>
      <w:spacing w:before="360" w:after="120"/>
      <w:jc w:val="center"/>
    </w:pPr>
  </w:style>
  <w:style w:type="paragraph" w:customStyle="1" w:styleId="Tabletext">
    <w:name w:val="Table_text"/>
    <w:basedOn w:val="Normal"/>
    <w:rsid w:val="00AC07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C07B4"/>
    <w:pPr>
      <w:tabs>
        <w:tab w:val="clear" w:pos="1191"/>
        <w:tab w:val="clear" w:pos="1588"/>
        <w:tab w:val="clear" w:pos="1985"/>
        <w:tab w:val="center" w:pos="4820"/>
        <w:tab w:val="right" w:pos="9639"/>
      </w:tabs>
    </w:pPr>
  </w:style>
  <w:style w:type="paragraph" w:customStyle="1" w:styleId="Equationlegend">
    <w:name w:val="Equation_legend"/>
    <w:basedOn w:val="NormalIndent"/>
    <w:rsid w:val="00AC07B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C07B4"/>
    <w:pPr>
      <w:ind w:left="794"/>
    </w:pPr>
  </w:style>
  <w:style w:type="paragraph" w:customStyle="1" w:styleId="Figurelegend">
    <w:name w:val="Figure_legend"/>
    <w:basedOn w:val="Normal"/>
    <w:rsid w:val="00AC07B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C07B4"/>
    <w:pPr>
      <w:keepNext/>
      <w:keepLines/>
      <w:spacing w:before="480" w:after="80"/>
      <w:jc w:val="center"/>
    </w:pPr>
    <w:rPr>
      <w:caps/>
      <w:sz w:val="18"/>
    </w:rPr>
  </w:style>
  <w:style w:type="paragraph" w:customStyle="1" w:styleId="Figuretitle">
    <w:name w:val="Figure_title"/>
    <w:basedOn w:val="Normal"/>
    <w:next w:val="Figure"/>
    <w:rsid w:val="00AC07B4"/>
    <w:pPr>
      <w:keepNext/>
      <w:spacing w:before="0" w:after="120"/>
      <w:jc w:val="center"/>
    </w:pPr>
    <w:rPr>
      <w:rFonts w:ascii="Times New Roman Bold" w:hAnsi="Times New Roman Bold"/>
      <w:b/>
      <w:sz w:val="18"/>
    </w:rPr>
  </w:style>
  <w:style w:type="paragraph" w:customStyle="1" w:styleId="Figure">
    <w:name w:val="Figure"/>
    <w:basedOn w:val="FigureNo"/>
    <w:next w:val="Normal"/>
    <w:rsid w:val="00AC07B4"/>
    <w:pPr>
      <w:keepNext w:val="0"/>
      <w:spacing w:before="0" w:after="240"/>
    </w:pPr>
  </w:style>
  <w:style w:type="paragraph" w:customStyle="1" w:styleId="tocpart">
    <w:name w:val="tocpart"/>
    <w:basedOn w:val="Normal"/>
    <w:rsid w:val="00AC07B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C07B4"/>
    <w:pPr>
      <w:keepNext/>
      <w:keepLines/>
      <w:spacing w:before="480"/>
      <w:jc w:val="center"/>
    </w:pPr>
    <w:rPr>
      <w:sz w:val="28"/>
    </w:rPr>
  </w:style>
  <w:style w:type="paragraph" w:customStyle="1" w:styleId="Arttitle">
    <w:name w:val="Art_title"/>
    <w:basedOn w:val="Normal"/>
    <w:next w:val="Normalaftertitle"/>
    <w:rsid w:val="00AC07B4"/>
    <w:pPr>
      <w:keepNext/>
      <w:keepLines/>
      <w:spacing w:before="240"/>
      <w:jc w:val="center"/>
    </w:pPr>
    <w:rPr>
      <w:b/>
      <w:sz w:val="28"/>
    </w:rPr>
  </w:style>
  <w:style w:type="paragraph" w:customStyle="1" w:styleId="Blanc">
    <w:name w:val="Blanc"/>
    <w:basedOn w:val="Normal"/>
    <w:next w:val="Tabletext"/>
    <w:rsid w:val="00AC07B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C07B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C07B4"/>
    <w:pPr>
      <w:keepNext/>
      <w:keepLines/>
      <w:spacing w:before="160"/>
      <w:ind w:left="794"/>
    </w:pPr>
    <w:rPr>
      <w:i/>
    </w:rPr>
  </w:style>
  <w:style w:type="paragraph" w:customStyle="1" w:styleId="ChapNo">
    <w:name w:val="Chap_No"/>
    <w:basedOn w:val="ArtNo"/>
    <w:next w:val="Chaptitle"/>
    <w:rsid w:val="00AC07B4"/>
    <w:rPr>
      <w:b/>
    </w:rPr>
  </w:style>
  <w:style w:type="paragraph" w:customStyle="1" w:styleId="Chaptitle">
    <w:name w:val="Chap_title"/>
    <w:basedOn w:val="Arttitle"/>
    <w:next w:val="Normalaftertitle"/>
    <w:rsid w:val="00AC07B4"/>
  </w:style>
  <w:style w:type="character" w:styleId="FootnoteReference">
    <w:name w:val="footnote reference"/>
    <w:basedOn w:val="DefaultParagraphFont"/>
    <w:semiHidden/>
    <w:rsid w:val="00AC07B4"/>
    <w:rPr>
      <w:position w:val="6"/>
      <w:sz w:val="18"/>
    </w:rPr>
  </w:style>
  <w:style w:type="paragraph" w:styleId="FootnoteText">
    <w:name w:val="footnote text"/>
    <w:basedOn w:val="Normal"/>
    <w:semiHidden/>
    <w:rsid w:val="00AC07B4"/>
    <w:pPr>
      <w:keepLines/>
      <w:tabs>
        <w:tab w:val="left" w:pos="255"/>
      </w:tabs>
      <w:ind w:left="255" w:hanging="255"/>
    </w:pPr>
    <w:rPr>
      <w:sz w:val="22"/>
    </w:rPr>
  </w:style>
  <w:style w:type="paragraph" w:styleId="Index1">
    <w:name w:val="index 1"/>
    <w:basedOn w:val="Normal"/>
    <w:next w:val="Normal"/>
    <w:semiHidden/>
    <w:rsid w:val="00AC07B4"/>
  </w:style>
  <w:style w:type="paragraph" w:styleId="Index2">
    <w:name w:val="index 2"/>
    <w:basedOn w:val="Normal"/>
    <w:next w:val="Normal"/>
    <w:semiHidden/>
    <w:rsid w:val="00AC07B4"/>
    <w:pPr>
      <w:ind w:left="283"/>
    </w:pPr>
  </w:style>
  <w:style w:type="paragraph" w:styleId="Index3">
    <w:name w:val="index 3"/>
    <w:basedOn w:val="Normal"/>
    <w:next w:val="Normal"/>
    <w:semiHidden/>
    <w:rsid w:val="00AC07B4"/>
    <w:pPr>
      <w:ind w:left="566"/>
    </w:pPr>
  </w:style>
  <w:style w:type="paragraph" w:styleId="IndexHeading">
    <w:name w:val="index heading"/>
    <w:basedOn w:val="Normal"/>
    <w:next w:val="Index1"/>
    <w:semiHidden/>
    <w:rsid w:val="00AC07B4"/>
  </w:style>
  <w:style w:type="paragraph" w:customStyle="1" w:styleId="Line">
    <w:name w:val="Line"/>
    <w:basedOn w:val="Normal"/>
    <w:next w:val="Normal"/>
    <w:rsid w:val="00AC07B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C07B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C07B4"/>
  </w:style>
  <w:style w:type="paragraph" w:customStyle="1" w:styleId="Partref">
    <w:name w:val="Part_ref"/>
    <w:basedOn w:val="Normal"/>
    <w:next w:val="Normal"/>
    <w:rsid w:val="00AC07B4"/>
    <w:pPr>
      <w:keepNext/>
      <w:keepLines/>
      <w:spacing w:after="280"/>
      <w:jc w:val="center"/>
    </w:pPr>
  </w:style>
  <w:style w:type="paragraph" w:customStyle="1" w:styleId="Parttitle">
    <w:name w:val="Part_title"/>
    <w:basedOn w:val="Normal"/>
    <w:next w:val="Normalaftertitle"/>
    <w:rsid w:val="00AC07B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C07B4"/>
  </w:style>
  <w:style w:type="paragraph" w:customStyle="1" w:styleId="QuestionNo">
    <w:name w:val="Question_No"/>
    <w:basedOn w:val="RecNo"/>
    <w:next w:val="Normal"/>
    <w:rsid w:val="00AC07B4"/>
  </w:style>
  <w:style w:type="paragraph" w:customStyle="1" w:styleId="Questionref">
    <w:name w:val="Question_ref"/>
    <w:basedOn w:val="Recref"/>
    <w:next w:val="Questiondate"/>
    <w:rsid w:val="00AC07B4"/>
  </w:style>
  <w:style w:type="paragraph" w:customStyle="1" w:styleId="Questiontitle">
    <w:name w:val="Question_title"/>
    <w:basedOn w:val="Normal"/>
    <w:next w:val="Questionref"/>
    <w:rsid w:val="00AC07B4"/>
  </w:style>
  <w:style w:type="paragraph" w:customStyle="1" w:styleId="Reftext">
    <w:name w:val="Ref_text"/>
    <w:basedOn w:val="Normal"/>
    <w:rsid w:val="00AC07B4"/>
    <w:pPr>
      <w:ind w:left="794" w:hanging="794"/>
    </w:pPr>
    <w:rPr>
      <w:sz w:val="22"/>
    </w:rPr>
  </w:style>
  <w:style w:type="paragraph" w:customStyle="1" w:styleId="Reftitle">
    <w:name w:val="Ref_title"/>
    <w:basedOn w:val="Normal"/>
    <w:next w:val="Reftext"/>
    <w:rsid w:val="00AC07B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C07B4"/>
  </w:style>
  <w:style w:type="paragraph" w:customStyle="1" w:styleId="RepNo">
    <w:name w:val="Rep_No"/>
    <w:basedOn w:val="RecNo"/>
    <w:next w:val="Reptitle"/>
    <w:rsid w:val="00AC07B4"/>
  </w:style>
  <w:style w:type="paragraph" w:customStyle="1" w:styleId="Reptitle">
    <w:name w:val="Rep_title"/>
    <w:basedOn w:val="Rectitle"/>
    <w:next w:val="Repref"/>
    <w:rsid w:val="00AC07B4"/>
  </w:style>
  <w:style w:type="paragraph" w:customStyle="1" w:styleId="Repref">
    <w:name w:val="Rep_ref"/>
    <w:basedOn w:val="Recref"/>
    <w:next w:val="Repdate"/>
    <w:rsid w:val="00AC07B4"/>
  </w:style>
  <w:style w:type="paragraph" w:customStyle="1" w:styleId="Resdate">
    <w:name w:val="Res_date"/>
    <w:basedOn w:val="Recdate"/>
    <w:next w:val="Normalaftertitle"/>
    <w:rsid w:val="00AC07B4"/>
  </w:style>
  <w:style w:type="paragraph" w:customStyle="1" w:styleId="ResNo">
    <w:name w:val="Res_No"/>
    <w:basedOn w:val="RecNo"/>
    <w:next w:val="Restitle"/>
    <w:rsid w:val="00AC07B4"/>
  </w:style>
  <w:style w:type="paragraph" w:customStyle="1" w:styleId="Restitle">
    <w:name w:val="Res_title"/>
    <w:basedOn w:val="Normal"/>
    <w:next w:val="Resref"/>
    <w:rsid w:val="00AC07B4"/>
    <w:pPr>
      <w:spacing w:before="240"/>
      <w:jc w:val="center"/>
    </w:pPr>
    <w:rPr>
      <w:b/>
      <w:sz w:val="28"/>
    </w:rPr>
  </w:style>
  <w:style w:type="paragraph" w:customStyle="1" w:styleId="Resref">
    <w:name w:val="Res_ref"/>
    <w:basedOn w:val="Recref"/>
    <w:next w:val="Resdate"/>
    <w:rsid w:val="00AC07B4"/>
  </w:style>
  <w:style w:type="paragraph" w:customStyle="1" w:styleId="SectionNo">
    <w:name w:val="Section_No"/>
    <w:basedOn w:val="Normal"/>
    <w:next w:val="Normal"/>
    <w:rsid w:val="00AC07B4"/>
  </w:style>
  <w:style w:type="paragraph" w:customStyle="1" w:styleId="Sectiontitle">
    <w:name w:val="Section_title"/>
    <w:basedOn w:val="Normal"/>
    <w:next w:val="Normalaftertitle"/>
    <w:rsid w:val="00AC07B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C07B4"/>
    <w:pPr>
      <w:tabs>
        <w:tab w:val="clear" w:pos="794"/>
        <w:tab w:val="clear" w:pos="1191"/>
        <w:tab w:val="clear" w:pos="1588"/>
        <w:tab w:val="clear" w:pos="1985"/>
        <w:tab w:val="right" w:pos="9611"/>
      </w:tabs>
    </w:pPr>
    <w:rPr>
      <w:i/>
    </w:rPr>
  </w:style>
  <w:style w:type="paragraph" w:styleId="TOC1">
    <w:name w:val="toc 1"/>
    <w:basedOn w:val="Normal"/>
    <w:semiHidden/>
    <w:rsid w:val="00AC07B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C07B4"/>
    <w:pPr>
      <w:tabs>
        <w:tab w:val="clear" w:pos="567"/>
        <w:tab w:val="left" w:pos="1276"/>
      </w:tabs>
      <w:spacing w:before="160"/>
      <w:ind w:left="1276" w:hanging="709"/>
    </w:pPr>
  </w:style>
  <w:style w:type="paragraph" w:styleId="TOC3">
    <w:name w:val="toc 3"/>
    <w:basedOn w:val="TOC2"/>
    <w:semiHidden/>
    <w:rsid w:val="00AC07B4"/>
    <w:pPr>
      <w:tabs>
        <w:tab w:val="clear" w:pos="1276"/>
        <w:tab w:val="left" w:pos="2155"/>
      </w:tabs>
      <w:ind w:left="2155" w:hanging="879"/>
    </w:pPr>
  </w:style>
  <w:style w:type="paragraph" w:styleId="TOC4">
    <w:name w:val="toc 4"/>
    <w:basedOn w:val="TOC3"/>
    <w:semiHidden/>
    <w:rsid w:val="00AC07B4"/>
    <w:pPr>
      <w:tabs>
        <w:tab w:val="left" w:pos="3261"/>
      </w:tabs>
      <w:spacing w:before="80"/>
      <w:ind w:left="3261" w:hanging="993"/>
    </w:pPr>
  </w:style>
  <w:style w:type="paragraph" w:styleId="TOC5">
    <w:name w:val="toc 5"/>
    <w:basedOn w:val="TOC4"/>
    <w:semiHidden/>
    <w:rsid w:val="00AC07B4"/>
  </w:style>
  <w:style w:type="paragraph" w:styleId="TOC6">
    <w:name w:val="toc 6"/>
    <w:basedOn w:val="TOC4"/>
    <w:semiHidden/>
    <w:rsid w:val="00AC07B4"/>
  </w:style>
  <w:style w:type="paragraph" w:styleId="TOC7">
    <w:name w:val="toc 7"/>
    <w:basedOn w:val="TOC4"/>
    <w:semiHidden/>
    <w:rsid w:val="00AC07B4"/>
  </w:style>
  <w:style w:type="paragraph" w:styleId="TOC8">
    <w:name w:val="toc 8"/>
    <w:basedOn w:val="TOC4"/>
    <w:semiHidden/>
    <w:rsid w:val="00AC07B4"/>
  </w:style>
  <w:style w:type="paragraph" w:customStyle="1" w:styleId="Annexref">
    <w:name w:val="Annex_ref"/>
    <w:basedOn w:val="Normal"/>
    <w:next w:val="Normalaftertitle"/>
    <w:rsid w:val="00AC07B4"/>
    <w:pPr>
      <w:keepNext/>
      <w:keepLines/>
      <w:spacing w:after="280"/>
      <w:jc w:val="center"/>
    </w:pPr>
  </w:style>
  <w:style w:type="paragraph" w:customStyle="1" w:styleId="Appendixref">
    <w:name w:val="Appendix_ref"/>
    <w:basedOn w:val="Annexref"/>
    <w:next w:val="Normalaftertitle"/>
    <w:rsid w:val="00AC07B4"/>
  </w:style>
  <w:style w:type="paragraph" w:customStyle="1" w:styleId="Tabletitle">
    <w:name w:val="Table_title"/>
    <w:basedOn w:val="Normal"/>
    <w:next w:val="Tablehead"/>
    <w:rsid w:val="00AC07B4"/>
    <w:pPr>
      <w:keepNext/>
      <w:spacing w:before="0" w:after="120"/>
      <w:jc w:val="center"/>
    </w:pPr>
    <w:rPr>
      <w:b/>
    </w:rPr>
  </w:style>
  <w:style w:type="paragraph" w:customStyle="1" w:styleId="Summary">
    <w:name w:val="Summary"/>
    <w:basedOn w:val="Normal"/>
    <w:next w:val="Normalaftertitle"/>
    <w:autoRedefine/>
    <w:rsid w:val="00AC07B4"/>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C07B4"/>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07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C07B4"/>
    <w:pPr>
      <w:keepNext/>
      <w:keepLines/>
      <w:spacing w:before="480"/>
      <w:ind w:left="794" w:hanging="794"/>
      <w:outlineLvl w:val="0"/>
    </w:pPr>
    <w:rPr>
      <w:b/>
    </w:rPr>
  </w:style>
  <w:style w:type="paragraph" w:styleId="Heading2">
    <w:name w:val="heading 2"/>
    <w:basedOn w:val="Heading1"/>
    <w:next w:val="Normal"/>
    <w:qFormat/>
    <w:rsid w:val="00AC07B4"/>
    <w:pPr>
      <w:spacing w:before="320"/>
      <w:outlineLvl w:val="1"/>
    </w:pPr>
  </w:style>
  <w:style w:type="paragraph" w:styleId="Heading3">
    <w:name w:val="heading 3"/>
    <w:basedOn w:val="Heading1"/>
    <w:next w:val="Normal"/>
    <w:qFormat/>
    <w:rsid w:val="00AC07B4"/>
    <w:pPr>
      <w:spacing w:before="200"/>
      <w:outlineLvl w:val="2"/>
    </w:pPr>
  </w:style>
  <w:style w:type="paragraph" w:styleId="Heading4">
    <w:name w:val="heading 4"/>
    <w:basedOn w:val="Heading3"/>
    <w:next w:val="Normal"/>
    <w:qFormat/>
    <w:rsid w:val="00AC07B4"/>
    <w:pPr>
      <w:tabs>
        <w:tab w:val="clear" w:pos="794"/>
        <w:tab w:val="left" w:pos="992"/>
      </w:tabs>
      <w:ind w:left="992" w:hanging="992"/>
      <w:outlineLvl w:val="3"/>
    </w:pPr>
  </w:style>
  <w:style w:type="paragraph" w:styleId="Heading5">
    <w:name w:val="heading 5"/>
    <w:basedOn w:val="Heading4"/>
    <w:next w:val="Normal"/>
    <w:qFormat/>
    <w:rsid w:val="00AC07B4"/>
    <w:pPr>
      <w:outlineLvl w:val="4"/>
    </w:pPr>
  </w:style>
  <w:style w:type="paragraph" w:styleId="Heading6">
    <w:name w:val="heading 6"/>
    <w:basedOn w:val="Heading4"/>
    <w:next w:val="Normal"/>
    <w:qFormat/>
    <w:rsid w:val="00AC07B4"/>
    <w:pPr>
      <w:tabs>
        <w:tab w:val="clear" w:pos="992"/>
        <w:tab w:val="clear" w:pos="1191"/>
      </w:tabs>
      <w:ind w:left="1588" w:hanging="1588"/>
      <w:outlineLvl w:val="5"/>
    </w:pPr>
  </w:style>
  <w:style w:type="paragraph" w:styleId="Heading7">
    <w:name w:val="heading 7"/>
    <w:basedOn w:val="Heading6"/>
    <w:next w:val="Normal"/>
    <w:qFormat/>
    <w:rsid w:val="00AC07B4"/>
    <w:pPr>
      <w:outlineLvl w:val="6"/>
    </w:pPr>
  </w:style>
  <w:style w:type="paragraph" w:styleId="Heading8">
    <w:name w:val="heading 8"/>
    <w:basedOn w:val="Heading6"/>
    <w:next w:val="Normal"/>
    <w:qFormat/>
    <w:rsid w:val="00AC07B4"/>
    <w:pPr>
      <w:outlineLvl w:val="7"/>
    </w:pPr>
  </w:style>
  <w:style w:type="paragraph" w:styleId="Heading9">
    <w:name w:val="heading 9"/>
    <w:basedOn w:val="Heading6"/>
    <w:next w:val="Normal"/>
    <w:qFormat/>
    <w:rsid w:val="00AC07B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07B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C07B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C07B4"/>
  </w:style>
  <w:style w:type="paragraph" w:customStyle="1" w:styleId="Headingb">
    <w:name w:val="Heading_b"/>
    <w:basedOn w:val="Heading3"/>
    <w:next w:val="Normal"/>
    <w:rsid w:val="00AC07B4"/>
    <w:pPr>
      <w:spacing w:before="160"/>
      <w:ind w:left="0" w:firstLine="0"/>
      <w:outlineLvl w:val="9"/>
    </w:pPr>
  </w:style>
  <w:style w:type="paragraph" w:customStyle="1" w:styleId="Headingi">
    <w:name w:val="Heading_i"/>
    <w:basedOn w:val="Heading3"/>
    <w:next w:val="Normal"/>
    <w:rsid w:val="00AC07B4"/>
    <w:pPr>
      <w:spacing w:before="160"/>
      <w:ind w:left="0" w:firstLine="0"/>
    </w:pPr>
    <w:rPr>
      <w:b w:val="0"/>
      <w:i/>
    </w:rPr>
  </w:style>
  <w:style w:type="character" w:customStyle="1" w:styleId="href">
    <w:name w:val="href"/>
    <w:basedOn w:val="DefaultParagraphFont"/>
    <w:rsid w:val="00AC07B4"/>
  </w:style>
  <w:style w:type="paragraph" w:customStyle="1" w:styleId="AnnexNoTitle">
    <w:name w:val="Annex_NoTitle"/>
    <w:basedOn w:val="Normal"/>
    <w:next w:val="Normalaftertitle"/>
    <w:rsid w:val="00AC07B4"/>
    <w:pPr>
      <w:keepNext/>
      <w:keepLines/>
      <w:spacing w:before="480" w:after="80"/>
      <w:jc w:val="center"/>
    </w:pPr>
    <w:rPr>
      <w:b/>
      <w:sz w:val="28"/>
    </w:rPr>
  </w:style>
  <w:style w:type="paragraph" w:customStyle="1" w:styleId="Normalaftertitle">
    <w:name w:val="Normal_after_title"/>
    <w:basedOn w:val="Normal"/>
    <w:next w:val="Normal"/>
    <w:rsid w:val="00AC07B4"/>
    <w:pPr>
      <w:spacing w:before="320"/>
    </w:pPr>
  </w:style>
  <w:style w:type="paragraph" w:customStyle="1" w:styleId="enumlev2">
    <w:name w:val="enumlev2"/>
    <w:basedOn w:val="enumlev1"/>
    <w:rsid w:val="00AC07B4"/>
    <w:pPr>
      <w:ind w:left="1191" w:hanging="397"/>
    </w:pPr>
  </w:style>
  <w:style w:type="paragraph" w:customStyle="1" w:styleId="enumlev1">
    <w:name w:val="enumlev1"/>
    <w:basedOn w:val="Normal"/>
    <w:rsid w:val="00AC07B4"/>
    <w:pPr>
      <w:spacing w:before="80"/>
      <w:ind w:left="794" w:hanging="794"/>
    </w:pPr>
  </w:style>
  <w:style w:type="paragraph" w:customStyle="1" w:styleId="enumlev3">
    <w:name w:val="enumlev3"/>
    <w:basedOn w:val="enumlev2"/>
    <w:rsid w:val="00AC07B4"/>
    <w:pPr>
      <w:ind w:left="1588"/>
    </w:pPr>
  </w:style>
  <w:style w:type="paragraph" w:customStyle="1" w:styleId="Note">
    <w:name w:val="Note"/>
    <w:basedOn w:val="Normal"/>
    <w:rsid w:val="00AC07B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C07B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C07B4"/>
    <w:pPr>
      <w:keepNext/>
      <w:keepLines/>
      <w:spacing w:before="240"/>
      <w:jc w:val="center"/>
    </w:pPr>
    <w:rPr>
      <w:b/>
      <w:sz w:val="28"/>
    </w:rPr>
  </w:style>
  <w:style w:type="paragraph" w:customStyle="1" w:styleId="Recref">
    <w:name w:val="Rec_ref"/>
    <w:basedOn w:val="Normal"/>
    <w:next w:val="Recdate"/>
    <w:rsid w:val="00AC07B4"/>
    <w:pPr>
      <w:jc w:val="center"/>
    </w:pPr>
  </w:style>
  <w:style w:type="paragraph" w:customStyle="1" w:styleId="Recdate">
    <w:name w:val="Rec_date"/>
    <w:basedOn w:val="Recref"/>
    <w:next w:val="Normalaftertitle"/>
    <w:rsid w:val="00AC07B4"/>
    <w:pPr>
      <w:jc w:val="right"/>
    </w:pPr>
  </w:style>
  <w:style w:type="paragraph" w:customStyle="1" w:styleId="HeadingSum">
    <w:name w:val="Heading_Sum"/>
    <w:basedOn w:val="Headingb"/>
    <w:next w:val="Normal"/>
    <w:autoRedefine/>
    <w:rsid w:val="00AC07B4"/>
    <w:pPr>
      <w:spacing w:before="240"/>
    </w:pPr>
    <w:rPr>
      <w:sz w:val="22"/>
      <w:lang w:val="es-ES_tradnl"/>
    </w:rPr>
  </w:style>
  <w:style w:type="paragraph" w:customStyle="1" w:styleId="AppendixNoTitle">
    <w:name w:val="Appendix_NoTitle"/>
    <w:basedOn w:val="AnnexNoTitle"/>
    <w:next w:val="Normal"/>
    <w:rsid w:val="00AC07B4"/>
  </w:style>
  <w:style w:type="paragraph" w:customStyle="1" w:styleId="Tablefin">
    <w:name w:val="Table_fin"/>
    <w:basedOn w:val="Normal"/>
    <w:next w:val="Normal"/>
    <w:rsid w:val="00AC07B4"/>
    <w:pPr>
      <w:spacing w:before="0"/>
    </w:pPr>
    <w:rPr>
      <w:sz w:val="20"/>
      <w:lang w:val="en-GB"/>
    </w:rPr>
  </w:style>
  <w:style w:type="paragraph" w:customStyle="1" w:styleId="Tablehead">
    <w:name w:val="Table_head"/>
    <w:basedOn w:val="Normal"/>
    <w:next w:val="Normal"/>
    <w:rsid w:val="00AC07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C07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C07B4"/>
    <w:pPr>
      <w:keepNext/>
      <w:spacing w:before="360" w:after="120"/>
      <w:jc w:val="center"/>
    </w:pPr>
  </w:style>
  <w:style w:type="paragraph" w:customStyle="1" w:styleId="Tabletext">
    <w:name w:val="Table_text"/>
    <w:basedOn w:val="Normal"/>
    <w:rsid w:val="00AC07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C07B4"/>
    <w:pPr>
      <w:tabs>
        <w:tab w:val="clear" w:pos="1191"/>
        <w:tab w:val="clear" w:pos="1588"/>
        <w:tab w:val="clear" w:pos="1985"/>
        <w:tab w:val="center" w:pos="4820"/>
        <w:tab w:val="right" w:pos="9639"/>
      </w:tabs>
    </w:pPr>
  </w:style>
  <w:style w:type="paragraph" w:customStyle="1" w:styleId="Equationlegend">
    <w:name w:val="Equation_legend"/>
    <w:basedOn w:val="NormalIndent"/>
    <w:rsid w:val="00AC07B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C07B4"/>
    <w:pPr>
      <w:ind w:left="794"/>
    </w:pPr>
  </w:style>
  <w:style w:type="paragraph" w:customStyle="1" w:styleId="Figurelegend">
    <w:name w:val="Figure_legend"/>
    <w:basedOn w:val="Normal"/>
    <w:rsid w:val="00AC07B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C07B4"/>
    <w:pPr>
      <w:keepNext/>
      <w:keepLines/>
      <w:spacing w:before="480" w:after="80"/>
      <w:jc w:val="center"/>
    </w:pPr>
    <w:rPr>
      <w:caps/>
      <w:sz w:val="18"/>
    </w:rPr>
  </w:style>
  <w:style w:type="paragraph" w:customStyle="1" w:styleId="Figuretitle">
    <w:name w:val="Figure_title"/>
    <w:basedOn w:val="Normal"/>
    <w:next w:val="Figure"/>
    <w:rsid w:val="00AC07B4"/>
    <w:pPr>
      <w:keepNext/>
      <w:spacing w:before="0" w:after="120"/>
      <w:jc w:val="center"/>
    </w:pPr>
    <w:rPr>
      <w:rFonts w:ascii="Times New Roman Bold" w:hAnsi="Times New Roman Bold"/>
      <w:b/>
      <w:sz w:val="18"/>
    </w:rPr>
  </w:style>
  <w:style w:type="paragraph" w:customStyle="1" w:styleId="Figure">
    <w:name w:val="Figure"/>
    <w:basedOn w:val="FigureNo"/>
    <w:next w:val="Normal"/>
    <w:rsid w:val="00AC07B4"/>
    <w:pPr>
      <w:keepNext w:val="0"/>
      <w:spacing w:before="0" w:after="240"/>
    </w:pPr>
  </w:style>
  <w:style w:type="paragraph" w:customStyle="1" w:styleId="tocpart">
    <w:name w:val="tocpart"/>
    <w:basedOn w:val="Normal"/>
    <w:rsid w:val="00AC07B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C07B4"/>
    <w:pPr>
      <w:keepNext/>
      <w:keepLines/>
      <w:spacing w:before="480"/>
      <w:jc w:val="center"/>
    </w:pPr>
    <w:rPr>
      <w:sz w:val="28"/>
    </w:rPr>
  </w:style>
  <w:style w:type="paragraph" w:customStyle="1" w:styleId="Arttitle">
    <w:name w:val="Art_title"/>
    <w:basedOn w:val="Normal"/>
    <w:next w:val="Normalaftertitle"/>
    <w:rsid w:val="00AC07B4"/>
    <w:pPr>
      <w:keepNext/>
      <w:keepLines/>
      <w:spacing w:before="240"/>
      <w:jc w:val="center"/>
    </w:pPr>
    <w:rPr>
      <w:b/>
      <w:sz w:val="28"/>
    </w:rPr>
  </w:style>
  <w:style w:type="paragraph" w:customStyle="1" w:styleId="Blanc">
    <w:name w:val="Blanc"/>
    <w:basedOn w:val="Normal"/>
    <w:next w:val="Tabletext"/>
    <w:rsid w:val="00AC07B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C07B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C07B4"/>
    <w:pPr>
      <w:keepNext/>
      <w:keepLines/>
      <w:spacing w:before="160"/>
      <w:ind w:left="794"/>
    </w:pPr>
    <w:rPr>
      <w:i/>
    </w:rPr>
  </w:style>
  <w:style w:type="paragraph" w:customStyle="1" w:styleId="ChapNo">
    <w:name w:val="Chap_No"/>
    <w:basedOn w:val="ArtNo"/>
    <w:next w:val="Chaptitle"/>
    <w:rsid w:val="00AC07B4"/>
    <w:rPr>
      <w:b/>
    </w:rPr>
  </w:style>
  <w:style w:type="paragraph" w:customStyle="1" w:styleId="Chaptitle">
    <w:name w:val="Chap_title"/>
    <w:basedOn w:val="Arttitle"/>
    <w:next w:val="Normalaftertitle"/>
    <w:rsid w:val="00AC07B4"/>
  </w:style>
  <w:style w:type="character" w:styleId="FootnoteReference">
    <w:name w:val="footnote reference"/>
    <w:basedOn w:val="DefaultParagraphFont"/>
    <w:semiHidden/>
    <w:rsid w:val="00AC07B4"/>
    <w:rPr>
      <w:position w:val="6"/>
      <w:sz w:val="18"/>
    </w:rPr>
  </w:style>
  <w:style w:type="paragraph" w:styleId="FootnoteText">
    <w:name w:val="footnote text"/>
    <w:basedOn w:val="Normal"/>
    <w:semiHidden/>
    <w:rsid w:val="00AC07B4"/>
    <w:pPr>
      <w:keepLines/>
      <w:tabs>
        <w:tab w:val="left" w:pos="255"/>
      </w:tabs>
      <w:ind w:left="255" w:hanging="255"/>
    </w:pPr>
    <w:rPr>
      <w:sz w:val="22"/>
    </w:rPr>
  </w:style>
  <w:style w:type="paragraph" w:styleId="Index1">
    <w:name w:val="index 1"/>
    <w:basedOn w:val="Normal"/>
    <w:next w:val="Normal"/>
    <w:semiHidden/>
    <w:rsid w:val="00AC07B4"/>
  </w:style>
  <w:style w:type="paragraph" w:styleId="Index2">
    <w:name w:val="index 2"/>
    <w:basedOn w:val="Normal"/>
    <w:next w:val="Normal"/>
    <w:semiHidden/>
    <w:rsid w:val="00AC07B4"/>
    <w:pPr>
      <w:ind w:left="283"/>
    </w:pPr>
  </w:style>
  <w:style w:type="paragraph" w:styleId="Index3">
    <w:name w:val="index 3"/>
    <w:basedOn w:val="Normal"/>
    <w:next w:val="Normal"/>
    <w:semiHidden/>
    <w:rsid w:val="00AC07B4"/>
    <w:pPr>
      <w:ind w:left="566"/>
    </w:pPr>
  </w:style>
  <w:style w:type="paragraph" w:styleId="IndexHeading">
    <w:name w:val="index heading"/>
    <w:basedOn w:val="Normal"/>
    <w:next w:val="Index1"/>
    <w:semiHidden/>
    <w:rsid w:val="00AC07B4"/>
  </w:style>
  <w:style w:type="paragraph" w:customStyle="1" w:styleId="Line">
    <w:name w:val="Line"/>
    <w:basedOn w:val="Normal"/>
    <w:next w:val="Normal"/>
    <w:rsid w:val="00AC07B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C07B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C07B4"/>
  </w:style>
  <w:style w:type="paragraph" w:customStyle="1" w:styleId="Partref">
    <w:name w:val="Part_ref"/>
    <w:basedOn w:val="Normal"/>
    <w:next w:val="Normal"/>
    <w:rsid w:val="00AC07B4"/>
    <w:pPr>
      <w:keepNext/>
      <w:keepLines/>
      <w:spacing w:after="280"/>
      <w:jc w:val="center"/>
    </w:pPr>
  </w:style>
  <w:style w:type="paragraph" w:customStyle="1" w:styleId="Parttitle">
    <w:name w:val="Part_title"/>
    <w:basedOn w:val="Normal"/>
    <w:next w:val="Normalaftertitle"/>
    <w:rsid w:val="00AC07B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C07B4"/>
  </w:style>
  <w:style w:type="paragraph" w:customStyle="1" w:styleId="QuestionNo">
    <w:name w:val="Question_No"/>
    <w:basedOn w:val="RecNo"/>
    <w:next w:val="Normal"/>
    <w:rsid w:val="00AC07B4"/>
  </w:style>
  <w:style w:type="paragraph" w:customStyle="1" w:styleId="Questionref">
    <w:name w:val="Question_ref"/>
    <w:basedOn w:val="Recref"/>
    <w:next w:val="Questiondate"/>
    <w:rsid w:val="00AC07B4"/>
  </w:style>
  <w:style w:type="paragraph" w:customStyle="1" w:styleId="Questiontitle">
    <w:name w:val="Question_title"/>
    <w:basedOn w:val="Normal"/>
    <w:next w:val="Questionref"/>
    <w:rsid w:val="00AC07B4"/>
  </w:style>
  <w:style w:type="paragraph" w:customStyle="1" w:styleId="Reftext">
    <w:name w:val="Ref_text"/>
    <w:basedOn w:val="Normal"/>
    <w:rsid w:val="00AC07B4"/>
    <w:pPr>
      <w:ind w:left="794" w:hanging="794"/>
    </w:pPr>
    <w:rPr>
      <w:sz w:val="22"/>
    </w:rPr>
  </w:style>
  <w:style w:type="paragraph" w:customStyle="1" w:styleId="Reftitle">
    <w:name w:val="Ref_title"/>
    <w:basedOn w:val="Normal"/>
    <w:next w:val="Reftext"/>
    <w:rsid w:val="00AC07B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C07B4"/>
  </w:style>
  <w:style w:type="paragraph" w:customStyle="1" w:styleId="RepNo">
    <w:name w:val="Rep_No"/>
    <w:basedOn w:val="RecNo"/>
    <w:next w:val="Reptitle"/>
    <w:rsid w:val="00AC07B4"/>
  </w:style>
  <w:style w:type="paragraph" w:customStyle="1" w:styleId="Reptitle">
    <w:name w:val="Rep_title"/>
    <w:basedOn w:val="Rectitle"/>
    <w:next w:val="Repref"/>
    <w:rsid w:val="00AC07B4"/>
  </w:style>
  <w:style w:type="paragraph" w:customStyle="1" w:styleId="Repref">
    <w:name w:val="Rep_ref"/>
    <w:basedOn w:val="Recref"/>
    <w:next w:val="Repdate"/>
    <w:rsid w:val="00AC07B4"/>
  </w:style>
  <w:style w:type="paragraph" w:customStyle="1" w:styleId="Resdate">
    <w:name w:val="Res_date"/>
    <w:basedOn w:val="Recdate"/>
    <w:next w:val="Normalaftertitle"/>
    <w:rsid w:val="00AC07B4"/>
  </w:style>
  <w:style w:type="paragraph" w:customStyle="1" w:styleId="ResNo">
    <w:name w:val="Res_No"/>
    <w:basedOn w:val="RecNo"/>
    <w:next w:val="Restitle"/>
    <w:rsid w:val="00AC07B4"/>
  </w:style>
  <w:style w:type="paragraph" w:customStyle="1" w:styleId="Restitle">
    <w:name w:val="Res_title"/>
    <w:basedOn w:val="Normal"/>
    <w:next w:val="Resref"/>
    <w:rsid w:val="00AC07B4"/>
    <w:pPr>
      <w:spacing w:before="240"/>
      <w:jc w:val="center"/>
    </w:pPr>
    <w:rPr>
      <w:b/>
      <w:sz w:val="28"/>
    </w:rPr>
  </w:style>
  <w:style w:type="paragraph" w:customStyle="1" w:styleId="Resref">
    <w:name w:val="Res_ref"/>
    <w:basedOn w:val="Recref"/>
    <w:next w:val="Resdate"/>
    <w:rsid w:val="00AC07B4"/>
  </w:style>
  <w:style w:type="paragraph" w:customStyle="1" w:styleId="SectionNo">
    <w:name w:val="Section_No"/>
    <w:basedOn w:val="Normal"/>
    <w:next w:val="Normal"/>
    <w:rsid w:val="00AC07B4"/>
  </w:style>
  <w:style w:type="paragraph" w:customStyle="1" w:styleId="Sectiontitle">
    <w:name w:val="Section_title"/>
    <w:basedOn w:val="Normal"/>
    <w:next w:val="Normalaftertitle"/>
    <w:rsid w:val="00AC07B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C07B4"/>
    <w:pPr>
      <w:tabs>
        <w:tab w:val="clear" w:pos="794"/>
        <w:tab w:val="clear" w:pos="1191"/>
        <w:tab w:val="clear" w:pos="1588"/>
        <w:tab w:val="clear" w:pos="1985"/>
        <w:tab w:val="right" w:pos="9611"/>
      </w:tabs>
    </w:pPr>
    <w:rPr>
      <w:i/>
    </w:rPr>
  </w:style>
  <w:style w:type="paragraph" w:styleId="TOC1">
    <w:name w:val="toc 1"/>
    <w:basedOn w:val="Normal"/>
    <w:semiHidden/>
    <w:rsid w:val="00AC07B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C07B4"/>
    <w:pPr>
      <w:tabs>
        <w:tab w:val="clear" w:pos="567"/>
        <w:tab w:val="left" w:pos="1276"/>
      </w:tabs>
      <w:spacing w:before="160"/>
      <w:ind w:left="1276" w:hanging="709"/>
    </w:pPr>
  </w:style>
  <w:style w:type="paragraph" w:styleId="TOC3">
    <w:name w:val="toc 3"/>
    <w:basedOn w:val="TOC2"/>
    <w:semiHidden/>
    <w:rsid w:val="00AC07B4"/>
    <w:pPr>
      <w:tabs>
        <w:tab w:val="clear" w:pos="1276"/>
        <w:tab w:val="left" w:pos="2155"/>
      </w:tabs>
      <w:ind w:left="2155" w:hanging="879"/>
    </w:pPr>
  </w:style>
  <w:style w:type="paragraph" w:styleId="TOC4">
    <w:name w:val="toc 4"/>
    <w:basedOn w:val="TOC3"/>
    <w:semiHidden/>
    <w:rsid w:val="00AC07B4"/>
    <w:pPr>
      <w:tabs>
        <w:tab w:val="left" w:pos="3261"/>
      </w:tabs>
      <w:spacing w:before="80"/>
      <w:ind w:left="3261" w:hanging="993"/>
    </w:pPr>
  </w:style>
  <w:style w:type="paragraph" w:styleId="TOC5">
    <w:name w:val="toc 5"/>
    <w:basedOn w:val="TOC4"/>
    <w:semiHidden/>
    <w:rsid w:val="00AC07B4"/>
  </w:style>
  <w:style w:type="paragraph" w:styleId="TOC6">
    <w:name w:val="toc 6"/>
    <w:basedOn w:val="TOC4"/>
    <w:semiHidden/>
    <w:rsid w:val="00AC07B4"/>
  </w:style>
  <w:style w:type="paragraph" w:styleId="TOC7">
    <w:name w:val="toc 7"/>
    <w:basedOn w:val="TOC4"/>
    <w:semiHidden/>
    <w:rsid w:val="00AC07B4"/>
  </w:style>
  <w:style w:type="paragraph" w:styleId="TOC8">
    <w:name w:val="toc 8"/>
    <w:basedOn w:val="TOC4"/>
    <w:semiHidden/>
    <w:rsid w:val="00AC07B4"/>
  </w:style>
  <w:style w:type="paragraph" w:customStyle="1" w:styleId="Annexref">
    <w:name w:val="Annex_ref"/>
    <w:basedOn w:val="Normal"/>
    <w:next w:val="Normalaftertitle"/>
    <w:rsid w:val="00AC07B4"/>
    <w:pPr>
      <w:keepNext/>
      <w:keepLines/>
      <w:spacing w:after="280"/>
      <w:jc w:val="center"/>
    </w:pPr>
  </w:style>
  <w:style w:type="paragraph" w:customStyle="1" w:styleId="Appendixref">
    <w:name w:val="Appendix_ref"/>
    <w:basedOn w:val="Annexref"/>
    <w:next w:val="Normalaftertitle"/>
    <w:rsid w:val="00AC07B4"/>
  </w:style>
  <w:style w:type="paragraph" w:customStyle="1" w:styleId="Tabletitle">
    <w:name w:val="Table_title"/>
    <w:basedOn w:val="Normal"/>
    <w:next w:val="Tablehead"/>
    <w:rsid w:val="00AC07B4"/>
    <w:pPr>
      <w:keepNext/>
      <w:spacing w:before="0" w:after="120"/>
      <w:jc w:val="center"/>
    </w:pPr>
    <w:rPr>
      <w:b/>
    </w:rPr>
  </w:style>
  <w:style w:type="paragraph" w:customStyle="1" w:styleId="Summary">
    <w:name w:val="Summary"/>
    <w:basedOn w:val="Normal"/>
    <w:next w:val="Normalaftertitle"/>
    <w:autoRedefine/>
    <w:rsid w:val="00AC07B4"/>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C07B4"/>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rwcc.bao.ac.cn/" TargetMode="External"/><Relationship Id="rId26" Type="http://schemas.openxmlformats.org/officeDocument/2006/relationships/hyperlink" Target="http://www.estec.esa.nl/wmwww/wma/spweather/" TargetMode="External"/><Relationship Id="rId3" Type="http://schemas.openxmlformats.org/officeDocument/2006/relationships/styles" Target="styles.xml"/><Relationship Id="rId21" Type="http://schemas.openxmlformats.org/officeDocument/2006/relationships/hyperlink" Target="http://hirweb.crl.go.jp/index.html" TargetMode="Externa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http://www.spaceweather.gc.ca/" TargetMode="External"/><Relationship Id="rId25" Type="http://schemas.openxmlformats.org/officeDocument/2006/relationships/hyperlink" Target="http://www.lund.irf.se/" TargetMode="External"/><Relationship Id="rId2" Type="http://schemas.openxmlformats.org/officeDocument/2006/relationships/numbering" Target="numbering.xml"/><Relationship Id="rId16" Type="http://schemas.openxmlformats.org/officeDocument/2006/relationships/hyperlink" Target="http://sidc.oma.be" TargetMode="External"/><Relationship Id="rId20" Type="http://schemas.openxmlformats.org/officeDocument/2006/relationships/hyperlink" Target="http://npl-cgc.ernet.i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yperlink" Target="http://www.geospace.ru/" TargetMode="External"/><Relationship Id="rId5" Type="http://schemas.openxmlformats.org/officeDocument/2006/relationships/settings" Target="settings.xml"/><Relationship Id="rId15" Type="http://schemas.openxmlformats.org/officeDocument/2006/relationships/hyperlink" Target="http://www.ips.gov.au/" TargetMode="External"/><Relationship Id="rId23" Type="http://schemas.openxmlformats.org/officeDocument/2006/relationships/hyperlink" Target="http://rwcprague.ufa.cas.cz/" TargetMode="External"/><Relationship Id="rId28" Type="http://schemas.openxmlformats.org/officeDocument/2006/relationships/hyperlink" Target="www.wmo.int/pages/prog/sat/spaceweather-productportal_en.php" TargetMode="External"/><Relationship Id="rId10" Type="http://schemas.openxmlformats.org/officeDocument/2006/relationships/header" Target="header2.xml"/><Relationship Id="rId19" Type="http://schemas.openxmlformats.org/officeDocument/2006/relationships/hyperlink" Target="http://www.sec.noaa.gov/index.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cbk.waw.pl/rwc/rwc.html" TargetMode="External"/><Relationship Id="rId27" Type="http://schemas.openxmlformats.org/officeDocument/2006/relationships/hyperlink" Target="file:///C:\Users\botha\work\sg3\oct2011\3l\td\111020\www.ises-spaceweather.org"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4F165-6629-44D3-BCC3-D50579C05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5</Pages>
  <Words>1676</Words>
  <Characters>9556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RECOMMENDATION  ITU-R  P.313-11 - Exchange of information for short-term forecasts and transmission of ionospheric disturbance warnings</vt:lpstr>
    </vt:vector>
  </TitlesOfParts>
  <Manager/>
  <Company>ITU</Company>
  <LinksUpToDate>false</LinksUpToDate>
  <CharactersWithSpaces>11210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P.313-11 - Exchange of information for short-term forecasts and transmission of ionospheric disturbance warnings</dc:title>
  <dc:subject>P Series = Radiowave propagation</dc:subject>
  <dc:creator>ITU Radiocommunication Bureau (BR)</dc:creator>
  <cp:keywords>P,313-11</cp:keywords>
  <dc:description>Santosbo, 03.02.2012, MSB106309</dc:description>
  <cp:lastModifiedBy>Gachet, Christelle</cp:lastModifiedBy>
  <cp:revision>5</cp:revision>
  <cp:lastPrinted>2009-06-26T13:19:00Z</cp:lastPrinted>
  <dcterms:created xsi:type="dcterms:W3CDTF">2012-02-03T09:45:00Z</dcterms:created>
  <dcterms:modified xsi:type="dcterms:W3CDTF">2012-02-03T12:16:00Z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3. février 2012</vt:lpwstr>
  </property>
</Properties>
</file>