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0DF0E" w14:textId="77777777" w:rsidR="00FE79FE" w:rsidRPr="002D71A6" w:rsidRDefault="00FE79FE"/>
    <w:p w14:paraId="6449D421" w14:textId="77777777" w:rsidR="00013002" w:rsidRPr="002D71A6" w:rsidRDefault="00013002" w:rsidP="00DE5556">
      <w:pPr>
        <w:tabs>
          <w:tab w:val="clear" w:pos="794"/>
          <w:tab w:val="clear" w:pos="1191"/>
          <w:tab w:val="clear" w:pos="1588"/>
          <w:tab w:val="clear" w:pos="1985"/>
        </w:tabs>
      </w:pPr>
    </w:p>
    <w:p w14:paraId="7F5BF118" w14:textId="4B690B62" w:rsidR="004A6FEB" w:rsidRPr="00D14596" w:rsidRDefault="004A6FEB" w:rsidP="0036627C">
      <w:pPr>
        <w:pStyle w:val="CoverNumber"/>
        <w:rPr>
          <w:lang w:val="fr-FR"/>
        </w:rPr>
      </w:pPr>
      <w:r w:rsidRPr="00D14596">
        <w:rPr>
          <w:lang w:val="fr-FR"/>
        </w:rPr>
        <w:t xml:space="preserve">Recommendation ITU-R </w:t>
      </w:r>
      <w:r w:rsidR="00512A4E" w:rsidRPr="00D14596">
        <w:rPr>
          <w:lang w:val="fr-FR"/>
        </w:rPr>
        <w:t>P</w:t>
      </w:r>
      <w:r w:rsidR="0036627C" w:rsidRPr="00D14596">
        <w:rPr>
          <w:lang w:val="fr-FR"/>
        </w:rPr>
        <w:t>.</w:t>
      </w:r>
      <w:r w:rsidR="00144B83" w:rsidRPr="00D14596">
        <w:rPr>
          <w:lang w:val="fr-FR"/>
        </w:rPr>
        <w:t>2109-2</w:t>
      </w:r>
    </w:p>
    <w:p w14:paraId="053D1045" w14:textId="5F40FAB5" w:rsidR="004A6FEB" w:rsidRPr="00D14596" w:rsidRDefault="004A6FEB" w:rsidP="0036627C">
      <w:pPr>
        <w:pStyle w:val="CoverDate"/>
        <w:rPr>
          <w:lang w:val="fr-FR"/>
        </w:rPr>
      </w:pPr>
      <w:r w:rsidRPr="00D14596">
        <w:rPr>
          <w:lang w:val="fr-FR"/>
        </w:rPr>
        <w:t>(</w:t>
      </w:r>
      <w:r w:rsidR="00144B83" w:rsidRPr="00D14596">
        <w:rPr>
          <w:lang w:val="fr-FR"/>
        </w:rPr>
        <w:t>08</w:t>
      </w:r>
      <w:r w:rsidRPr="00D14596">
        <w:rPr>
          <w:lang w:val="fr-FR"/>
        </w:rPr>
        <w:t>/</w:t>
      </w:r>
      <w:r w:rsidR="00144B83" w:rsidRPr="00D14596">
        <w:rPr>
          <w:lang w:val="fr-FR"/>
        </w:rPr>
        <w:t>2023</w:t>
      </w:r>
      <w:r w:rsidRPr="00D14596">
        <w:rPr>
          <w:lang w:val="fr-FR"/>
        </w:rPr>
        <w:t>)</w:t>
      </w:r>
    </w:p>
    <w:p w14:paraId="12A5E5EF" w14:textId="77777777" w:rsidR="004A6FEB" w:rsidRPr="00D14596" w:rsidRDefault="00512A4E" w:rsidP="0036627C">
      <w:pPr>
        <w:pStyle w:val="CoverSeries"/>
        <w:rPr>
          <w:lang w:val="fr-FR"/>
        </w:rPr>
      </w:pPr>
      <w:r w:rsidRPr="00D14596">
        <w:rPr>
          <w:lang w:val="fr-FR"/>
        </w:rPr>
        <w:t>P</w:t>
      </w:r>
      <w:r w:rsidR="004A6FEB" w:rsidRPr="00D14596">
        <w:rPr>
          <w:lang w:val="fr-FR"/>
        </w:rPr>
        <w:t xml:space="preserve"> </w:t>
      </w:r>
      <w:proofErr w:type="gramStart"/>
      <w:r w:rsidR="004A6FEB" w:rsidRPr="00D14596">
        <w:rPr>
          <w:lang w:val="fr-FR"/>
        </w:rPr>
        <w:t>Series:</w:t>
      </w:r>
      <w:proofErr w:type="gramEnd"/>
      <w:r w:rsidR="004A6FEB" w:rsidRPr="00D14596">
        <w:rPr>
          <w:lang w:val="fr-FR"/>
        </w:rPr>
        <w:t xml:space="preserve"> </w:t>
      </w:r>
      <w:r w:rsidRPr="00D14596">
        <w:rPr>
          <w:bCs w:val="0"/>
          <w:lang w:val="fr-FR"/>
        </w:rPr>
        <w:t>Radiowave propagation</w:t>
      </w:r>
    </w:p>
    <w:p w14:paraId="0172C484" w14:textId="17330C18" w:rsidR="004A6FEB" w:rsidRPr="002D71A6" w:rsidRDefault="00144B83" w:rsidP="0036627C">
      <w:pPr>
        <w:pStyle w:val="CoverTitle"/>
        <w:rPr>
          <w:lang w:val="en-GB"/>
        </w:rPr>
      </w:pPr>
      <w:r w:rsidRPr="002D71A6">
        <w:rPr>
          <w:lang w:val="en-GB"/>
        </w:rPr>
        <w:t>Prediction of building entry loss</w:t>
      </w:r>
    </w:p>
    <w:p w14:paraId="2AE9A265" w14:textId="77777777" w:rsidR="00FE79FE" w:rsidRPr="002D71A6" w:rsidRDefault="00FE79FE" w:rsidP="005373E0"/>
    <w:p w14:paraId="6007B723" w14:textId="77777777" w:rsidR="00A71FE5" w:rsidRPr="002D71A6" w:rsidRDefault="00A71FE5" w:rsidP="005373E0"/>
    <w:p w14:paraId="230992C5" w14:textId="77777777" w:rsidR="00EE47C4" w:rsidRPr="002D71A6" w:rsidRDefault="00EE47C4" w:rsidP="005373E0">
      <w:pPr>
        <w:sectPr w:rsidR="00EE47C4" w:rsidRPr="002D71A6"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415051A7" w14:textId="77777777" w:rsidR="00586EF8" w:rsidRPr="002D71A6"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rPr>
      </w:pPr>
      <w:bookmarkStart w:id="0" w:name="c2tope"/>
      <w:bookmarkEnd w:id="0"/>
      <w:r w:rsidRPr="002D71A6">
        <w:rPr>
          <w:bCs/>
          <w:sz w:val="24"/>
          <w:szCs w:val="24"/>
        </w:rPr>
        <w:lastRenderedPageBreak/>
        <w:t>Foreword</w:t>
      </w:r>
    </w:p>
    <w:p w14:paraId="41595573" w14:textId="77777777" w:rsidR="00586EF8" w:rsidRPr="002D71A6" w:rsidRDefault="00586EF8" w:rsidP="00586EF8">
      <w:pPr>
        <w:spacing w:before="240"/>
        <w:rPr>
          <w:sz w:val="20"/>
        </w:rPr>
      </w:pPr>
      <w:r w:rsidRPr="002D71A6">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B2FF831" w14:textId="77777777" w:rsidR="00586EF8" w:rsidRPr="002D71A6" w:rsidRDefault="00586EF8" w:rsidP="00586EF8">
      <w:pPr>
        <w:rPr>
          <w:sz w:val="20"/>
        </w:rPr>
      </w:pPr>
      <w:r w:rsidRPr="002D71A6">
        <w:rPr>
          <w:sz w:val="20"/>
        </w:rPr>
        <w:t>The regulatory and policy functions of the Radiocommunication Sector are performed by World and Regional Radiocommunication Conferences and Radiocommunication Assemblies supported by Study Groups.</w:t>
      </w:r>
    </w:p>
    <w:p w14:paraId="1A513A5B" w14:textId="77777777" w:rsidR="00B714F3" w:rsidRPr="002D71A6" w:rsidRDefault="00B714F3" w:rsidP="002F5199">
      <w:pPr>
        <w:pStyle w:val="Heading1"/>
        <w:spacing w:before="680"/>
        <w:jc w:val="center"/>
        <w:rPr>
          <w:szCs w:val="24"/>
        </w:rPr>
      </w:pPr>
      <w:r w:rsidRPr="002D71A6">
        <w:rPr>
          <w:szCs w:val="24"/>
        </w:rPr>
        <w:t>Policy on Intellectual Property Right (IPR)</w:t>
      </w:r>
    </w:p>
    <w:p w14:paraId="393884A2" w14:textId="77777777" w:rsidR="00B714F3" w:rsidRPr="002D71A6" w:rsidRDefault="00B714F3" w:rsidP="00C84DB7">
      <w:pPr>
        <w:tabs>
          <w:tab w:val="clear" w:pos="794"/>
          <w:tab w:val="clear" w:pos="1191"/>
          <w:tab w:val="clear" w:pos="1588"/>
          <w:tab w:val="clear" w:pos="1985"/>
        </w:tabs>
        <w:spacing w:before="240"/>
        <w:rPr>
          <w:sz w:val="20"/>
        </w:rPr>
      </w:pPr>
      <w:r w:rsidRPr="002D71A6">
        <w:rPr>
          <w:sz w:val="20"/>
        </w:rPr>
        <w:t>ITU-R policy on IPR is described in the Common Patent Policy for ITU-T/ITU-R/ISO/IEC referenced in Resolution ITU</w:t>
      </w:r>
      <w:r w:rsidR="00EA306D" w:rsidRPr="002D71A6">
        <w:rPr>
          <w:sz w:val="20"/>
        </w:rPr>
        <w:noBreakHyphen/>
      </w:r>
      <w:r w:rsidRPr="002D71A6">
        <w:rPr>
          <w:sz w:val="20"/>
        </w:rPr>
        <w:t xml:space="preserve">R 1. Forms to be used for the submission of patent statements and licensing declarations by patent holders are available from </w:t>
      </w:r>
      <w:hyperlink r:id="rId10" w:history="1">
        <w:r w:rsidRPr="002D71A6">
          <w:rPr>
            <w:rStyle w:val="Hyperlink"/>
            <w:sz w:val="20"/>
          </w:rPr>
          <w:t>http://www.itu.int/ITU</w:t>
        </w:r>
        <w:r w:rsidR="00EE04BA" w:rsidRPr="002D71A6">
          <w:rPr>
            <w:rStyle w:val="Hyperlink"/>
            <w:sz w:val="20"/>
          </w:rPr>
          <w:t>-</w:t>
        </w:r>
        <w:r w:rsidRPr="002D71A6">
          <w:rPr>
            <w:rStyle w:val="Hyperlink"/>
            <w:sz w:val="20"/>
          </w:rPr>
          <w:t>R/go/patents/en</w:t>
        </w:r>
      </w:hyperlink>
      <w:r w:rsidRPr="002D71A6">
        <w:rPr>
          <w:sz w:val="20"/>
        </w:rPr>
        <w:t xml:space="preserve"> where the Guidelines for Implementation of the Common Patent Policy for ITU</w:t>
      </w:r>
      <w:r w:rsidRPr="002D71A6">
        <w:rPr>
          <w:sz w:val="20"/>
        </w:rPr>
        <w:noBreakHyphen/>
        <w:t>T/ITU</w:t>
      </w:r>
      <w:r w:rsidRPr="002D71A6">
        <w:rPr>
          <w:sz w:val="20"/>
        </w:rPr>
        <w:noBreakHyphen/>
        <w:t xml:space="preserve">R/ISO/IEC and the ITU-R patent information database can also be found. </w:t>
      </w:r>
    </w:p>
    <w:p w14:paraId="484510F2" w14:textId="77777777" w:rsidR="00586EF8" w:rsidRPr="002D71A6" w:rsidRDefault="00586EF8" w:rsidP="00586EF8">
      <w:pPr>
        <w:jc w:val="center"/>
        <w:rPr>
          <w:sz w:val="22"/>
        </w:rPr>
      </w:pPr>
    </w:p>
    <w:p w14:paraId="1CA7E271" w14:textId="77777777" w:rsidR="00A971A1" w:rsidRPr="002D71A6" w:rsidRDefault="00A971A1" w:rsidP="00586EF8">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36EE3" w:rsidRPr="002D71A6" w14:paraId="274359E7" w14:textId="77777777" w:rsidTr="00AA0D99">
        <w:tc>
          <w:tcPr>
            <w:tcW w:w="9360" w:type="dxa"/>
            <w:gridSpan w:val="2"/>
          </w:tcPr>
          <w:p w14:paraId="6FA6CA50" w14:textId="77777777" w:rsidR="00036EE3" w:rsidRPr="002D71A6" w:rsidRDefault="00036EE3" w:rsidP="00036EE3">
            <w:pPr>
              <w:pStyle w:val="Chaptitle"/>
              <w:keepLines w:val="0"/>
              <w:tabs>
                <w:tab w:val="clear" w:pos="794"/>
                <w:tab w:val="clear" w:pos="1191"/>
                <w:tab w:val="clear" w:pos="1588"/>
                <w:tab w:val="clear" w:pos="1985"/>
              </w:tabs>
              <w:overflowPunct/>
              <w:spacing w:before="180"/>
              <w:textAlignment w:val="auto"/>
              <w:rPr>
                <w:sz w:val="22"/>
                <w:szCs w:val="22"/>
              </w:rPr>
            </w:pPr>
            <w:r w:rsidRPr="002D71A6">
              <w:rPr>
                <w:sz w:val="22"/>
                <w:szCs w:val="22"/>
              </w:rPr>
              <w:t xml:space="preserve">Series of ITU-R Recommendations </w:t>
            </w:r>
          </w:p>
          <w:p w14:paraId="6CAC40EB" w14:textId="77777777" w:rsidR="00036EE3" w:rsidRPr="002D71A6"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2D71A6">
              <w:rPr>
                <w:b w:val="0"/>
                <w:sz w:val="18"/>
                <w:szCs w:val="18"/>
              </w:rPr>
              <w:t xml:space="preserve">(Also available online at </w:t>
            </w:r>
            <w:hyperlink r:id="rId11" w:history="1">
              <w:r w:rsidR="00AF5326" w:rsidRPr="002D71A6">
                <w:rPr>
                  <w:rStyle w:val="Hyperlink"/>
                  <w:b w:val="0"/>
                  <w:sz w:val="18"/>
                  <w:szCs w:val="18"/>
                </w:rPr>
                <w:t>https://www.itu.int/publ/R-REC/en</w:t>
              </w:r>
            </w:hyperlink>
            <w:r w:rsidRPr="002D71A6">
              <w:rPr>
                <w:b w:val="0"/>
                <w:sz w:val="18"/>
                <w:szCs w:val="18"/>
              </w:rPr>
              <w:t>)</w:t>
            </w:r>
          </w:p>
        </w:tc>
      </w:tr>
      <w:tr w:rsidR="00A971A1" w:rsidRPr="002D71A6" w14:paraId="164CC312" w14:textId="77777777" w:rsidTr="0036528E">
        <w:tc>
          <w:tcPr>
            <w:tcW w:w="1140" w:type="dxa"/>
            <w:tcBorders>
              <w:bottom w:val="nil"/>
            </w:tcBorders>
            <w:vAlign w:val="bottom"/>
          </w:tcPr>
          <w:p w14:paraId="5DDCC75C" w14:textId="77777777" w:rsidR="00A971A1" w:rsidRPr="002D71A6" w:rsidRDefault="00A971A1" w:rsidP="0036528E">
            <w:pPr>
              <w:spacing w:before="200" w:after="100"/>
              <w:ind w:left="57"/>
              <w:jc w:val="left"/>
              <w:rPr>
                <w:b/>
                <w:bCs/>
                <w:sz w:val="20"/>
              </w:rPr>
            </w:pPr>
            <w:r w:rsidRPr="002D71A6">
              <w:rPr>
                <w:b/>
                <w:bCs/>
                <w:sz w:val="20"/>
              </w:rPr>
              <w:t>Series</w:t>
            </w:r>
          </w:p>
        </w:tc>
        <w:tc>
          <w:tcPr>
            <w:tcW w:w="8220" w:type="dxa"/>
            <w:tcBorders>
              <w:bottom w:val="nil"/>
            </w:tcBorders>
            <w:vAlign w:val="bottom"/>
          </w:tcPr>
          <w:p w14:paraId="79D90975" w14:textId="77777777" w:rsidR="00A971A1" w:rsidRPr="002D71A6"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rPr>
            </w:pPr>
            <w:r w:rsidRPr="002D71A6">
              <w:rPr>
                <w:bCs/>
                <w:sz w:val="20"/>
              </w:rPr>
              <w:t>Title</w:t>
            </w:r>
          </w:p>
        </w:tc>
      </w:tr>
      <w:tr w:rsidR="00A31928" w:rsidRPr="002D71A6" w14:paraId="6883953B" w14:textId="77777777" w:rsidTr="00477A11">
        <w:tc>
          <w:tcPr>
            <w:tcW w:w="1140" w:type="dxa"/>
            <w:tcBorders>
              <w:top w:val="nil"/>
              <w:bottom w:val="nil"/>
            </w:tcBorders>
            <w:shd w:val="clear" w:color="auto" w:fill="auto"/>
          </w:tcPr>
          <w:p w14:paraId="19E43CDE" w14:textId="77777777" w:rsidR="00A31928" w:rsidRPr="002D71A6" w:rsidRDefault="00A31928" w:rsidP="006B1D2B">
            <w:pPr>
              <w:spacing w:before="30" w:after="30"/>
              <w:ind w:left="57"/>
              <w:jc w:val="left"/>
              <w:rPr>
                <w:rFonts w:hAnsi="Times New Roman Bold"/>
                <w:b/>
                <w:color w:val="000080"/>
                <w:sz w:val="20"/>
              </w:rPr>
            </w:pPr>
            <w:r w:rsidRPr="002D71A6">
              <w:rPr>
                <w:b/>
                <w:bCs/>
                <w:sz w:val="20"/>
              </w:rPr>
              <w:t>BO</w:t>
            </w:r>
          </w:p>
        </w:tc>
        <w:tc>
          <w:tcPr>
            <w:tcW w:w="8220" w:type="dxa"/>
            <w:tcBorders>
              <w:top w:val="nil"/>
              <w:bottom w:val="nil"/>
            </w:tcBorders>
            <w:shd w:val="clear" w:color="auto" w:fill="auto"/>
          </w:tcPr>
          <w:p w14:paraId="63FFD462" w14:textId="77777777" w:rsidR="00A31928" w:rsidRPr="002D71A6"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rPr>
            </w:pPr>
            <w:r w:rsidRPr="002D71A6">
              <w:rPr>
                <w:b w:val="0"/>
                <w:sz w:val="20"/>
              </w:rPr>
              <w:t>Satellite delivery</w:t>
            </w:r>
          </w:p>
        </w:tc>
      </w:tr>
      <w:tr w:rsidR="00A31928" w:rsidRPr="002D71A6" w14:paraId="5E62DBE5" w14:textId="77777777" w:rsidTr="00B51DD9">
        <w:tc>
          <w:tcPr>
            <w:tcW w:w="1140" w:type="dxa"/>
            <w:tcBorders>
              <w:top w:val="nil"/>
            </w:tcBorders>
            <w:shd w:val="clear" w:color="auto" w:fill="FFFFFF" w:themeFill="background1"/>
          </w:tcPr>
          <w:p w14:paraId="1B00EC46" w14:textId="77777777" w:rsidR="00A31928" w:rsidRPr="002D71A6" w:rsidRDefault="00A31928" w:rsidP="006B1D2B">
            <w:pPr>
              <w:spacing w:before="30" w:after="30"/>
              <w:ind w:left="57"/>
              <w:jc w:val="left"/>
              <w:rPr>
                <w:b/>
                <w:bCs/>
                <w:sz w:val="20"/>
              </w:rPr>
            </w:pPr>
            <w:r w:rsidRPr="002D71A6">
              <w:rPr>
                <w:b/>
                <w:bCs/>
                <w:sz w:val="20"/>
              </w:rPr>
              <w:t>BR</w:t>
            </w:r>
          </w:p>
        </w:tc>
        <w:tc>
          <w:tcPr>
            <w:tcW w:w="8220" w:type="dxa"/>
            <w:tcBorders>
              <w:top w:val="nil"/>
            </w:tcBorders>
            <w:shd w:val="clear" w:color="auto" w:fill="FFFFFF" w:themeFill="background1"/>
          </w:tcPr>
          <w:p w14:paraId="0D750C3B" w14:textId="77777777" w:rsidR="00A31928" w:rsidRPr="002D71A6"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D71A6">
              <w:rPr>
                <w:b w:val="0"/>
                <w:sz w:val="20"/>
              </w:rPr>
              <w:t>Recording for production, archival and play-out; film for television</w:t>
            </w:r>
          </w:p>
        </w:tc>
      </w:tr>
      <w:tr w:rsidR="00A31928" w:rsidRPr="002D71A6" w14:paraId="4BBAB858" w14:textId="77777777" w:rsidTr="00AA0D99">
        <w:tc>
          <w:tcPr>
            <w:tcW w:w="1140" w:type="dxa"/>
          </w:tcPr>
          <w:p w14:paraId="119ABD55" w14:textId="77777777" w:rsidR="00A31928" w:rsidRPr="002D71A6" w:rsidRDefault="00A31928" w:rsidP="006B1D2B">
            <w:pPr>
              <w:spacing w:before="30" w:after="30"/>
              <w:ind w:left="57"/>
              <w:jc w:val="left"/>
              <w:rPr>
                <w:b/>
                <w:bCs/>
                <w:sz w:val="20"/>
              </w:rPr>
            </w:pPr>
            <w:r w:rsidRPr="002D71A6">
              <w:rPr>
                <w:b/>
                <w:bCs/>
                <w:sz w:val="20"/>
              </w:rPr>
              <w:t>BS</w:t>
            </w:r>
          </w:p>
        </w:tc>
        <w:tc>
          <w:tcPr>
            <w:tcW w:w="8220" w:type="dxa"/>
          </w:tcPr>
          <w:p w14:paraId="785E10E2" w14:textId="77777777" w:rsidR="00A31928" w:rsidRPr="002D71A6"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D71A6">
              <w:rPr>
                <w:b w:val="0"/>
                <w:sz w:val="20"/>
              </w:rPr>
              <w:t>Broadcasting service (sound)</w:t>
            </w:r>
          </w:p>
        </w:tc>
      </w:tr>
      <w:tr w:rsidR="00A31928" w:rsidRPr="002D71A6" w14:paraId="2381F830" w14:textId="77777777" w:rsidTr="00AA0D99">
        <w:tc>
          <w:tcPr>
            <w:tcW w:w="1140" w:type="dxa"/>
            <w:shd w:val="clear" w:color="auto" w:fill="auto"/>
          </w:tcPr>
          <w:p w14:paraId="553EE6C1" w14:textId="77777777" w:rsidR="00A31928" w:rsidRPr="002D71A6" w:rsidRDefault="00A31928" w:rsidP="006B1D2B">
            <w:pPr>
              <w:spacing w:before="30" w:after="30"/>
              <w:ind w:left="57"/>
              <w:jc w:val="left"/>
              <w:rPr>
                <w:b/>
                <w:bCs/>
                <w:sz w:val="20"/>
              </w:rPr>
            </w:pPr>
            <w:r w:rsidRPr="002D71A6">
              <w:rPr>
                <w:b/>
                <w:bCs/>
                <w:sz w:val="20"/>
              </w:rPr>
              <w:t>BT</w:t>
            </w:r>
          </w:p>
        </w:tc>
        <w:tc>
          <w:tcPr>
            <w:tcW w:w="8220" w:type="dxa"/>
            <w:shd w:val="clear" w:color="auto" w:fill="auto"/>
          </w:tcPr>
          <w:p w14:paraId="69274B55" w14:textId="77777777" w:rsidR="00A31928" w:rsidRPr="002D71A6"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D71A6">
              <w:rPr>
                <w:b w:val="0"/>
                <w:sz w:val="20"/>
              </w:rPr>
              <w:t>Broadcasting service (television)</w:t>
            </w:r>
          </w:p>
        </w:tc>
      </w:tr>
      <w:tr w:rsidR="00A31928" w:rsidRPr="002D71A6" w14:paraId="2A764578" w14:textId="77777777" w:rsidTr="00AA0D99">
        <w:tc>
          <w:tcPr>
            <w:tcW w:w="1140" w:type="dxa"/>
            <w:shd w:val="clear" w:color="auto" w:fill="auto"/>
          </w:tcPr>
          <w:p w14:paraId="4C1B0A06" w14:textId="77777777" w:rsidR="00A31928" w:rsidRPr="002D71A6" w:rsidRDefault="00A31928" w:rsidP="006B1D2B">
            <w:pPr>
              <w:spacing w:before="30" w:after="30"/>
              <w:ind w:left="57"/>
              <w:jc w:val="left"/>
              <w:rPr>
                <w:b/>
                <w:bCs/>
                <w:sz w:val="20"/>
              </w:rPr>
            </w:pPr>
            <w:r w:rsidRPr="002D71A6">
              <w:rPr>
                <w:b/>
                <w:bCs/>
                <w:sz w:val="20"/>
              </w:rPr>
              <w:t>F</w:t>
            </w:r>
          </w:p>
        </w:tc>
        <w:tc>
          <w:tcPr>
            <w:tcW w:w="8220" w:type="dxa"/>
            <w:shd w:val="clear" w:color="auto" w:fill="auto"/>
          </w:tcPr>
          <w:p w14:paraId="445C780C" w14:textId="77777777" w:rsidR="00A31928" w:rsidRPr="002D71A6"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D71A6">
              <w:rPr>
                <w:sz w:val="20"/>
              </w:rPr>
              <w:t>Fixed service</w:t>
            </w:r>
          </w:p>
        </w:tc>
      </w:tr>
      <w:tr w:rsidR="00A31928" w:rsidRPr="002D71A6" w14:paraId="7307AE43" w14:textId="77777777" w:rsidTr="00A3435A">
        <w:tc>
          <w:tcPr>
            <w:tcW w:w="1140" w:type="dxa"/>
            <w:shd w:val="clear" w:color="auto" w:fill="FFFFFF" w:themeFill="background1"/>
          </w:tcPr>
          <w:p w14:paraId="1653CFA8" w14:textId="77777777" w:rsidR="00A31928" w:rsidRPr="002D71A6" w:rsidRDefault="00A31928" w:rsidP="00512A4E">
            <w:pPr>
              <w:spacing w:before="30" w:after="30"/>
              <w:ind w:left="57"/>
              <w:jc w:val="left"/>
              <w:rPr>
                <w:b/>
                <w:bCs/>
                <w:sz w:val="20"/>
              </w:rPr>
            </w:pPr>
            <w:r w:rsidRPr="002D71A6">
              <w:rPr>
                <w:b/>
                <w:bCs/>
                <w:sz w:val="20"/>
              </w:rPr>
              <w:t>M</w:t>
            </w:r>
          </w:p>
        </w:tc>
        <w:tc>
          <w:tcPr>
            <w:tcW w:w="8220" w:type="dxa"/>
            <w:shd w:val="clear" w:color="auto" w:fill="FFFFFF" w:themeFill="background1"/>
          </w:tcPr>
          <w:p w14:paraId="28522950" w14:textId="77777777" w:rsidR="00A31928" w:rsidRPr="002D71A6" w:rsidRDefault="00A31928" w:rsidP="00A343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D71A6">
              <w:rPr>
                <w:sz w:val="20"/>
              </w:rPr>
              <w:t>Mobile, radiodetermination, amateur and related satellite services</w:t>
            </w:r>
          </w:p>
        </w:tc>
      </w:tr>
      <w:tr w:rsidR="00A31928" w:rsidRPr="002D71A6" w14:paraId="7B445A34" w14:textId="77777777" w:rsidTr="00A3435A">
        <w:tc>
          <w:tcPr>
            <w:tcW w:w="1140" w:type="dxa"/>
            <w:shd w:val="clear" w:color="auto" w:fill="F2F2F2" w:themeFill="background1" w:themeFillShade="F2"/>
          </w:tcPr>
          <w:p w14:paraId="08B53621" w14:textId="77777777" w:rsidR="00A31928" w:rsidRPr="002D71A6" w:rsidRDefault="00A31928" w:rsidP="00512A4E">
            <w:pPr>
              <w:spacing w:before="30" w:after="30"/>
              <w:ind w:left="57"/>
              <w:jc w:val="left"/>
              <w:rPr>
                <w:rFonts w:hAnsi="Times New Roman Bold"/>
                <w:color w:val="000080"/>
                <w:sz w:val="20"/>
              </w:rPr>
            </w:pPr>
            <w:r w:rsidRPr="002D71A6">
              <w:rPr>
                <w:rFonts w:hAnsi="Times New Roman Bold"/>
                <w:b/>
                <w:color w:val="000080"/>
                <w:sz w:val="20"/>
              </w:rPr>
              <w:t>P</w:t>
            </w:r>
          </w:p>
        </w:tc>
        <w:tc>
          <w:tcPr>
            <w:tcW w:w="8220" w:type="dxa"/>
            <w:shd w:val="clear" w:color="auto" w:fill="F2F2F2" w:themeFill="background1" w:themeFillShade="F2"/>
          </w:tcPr>
          <w:p w14:paraId="2AEA5825" w14:textId="77777777" w:rsidR="00A31928" w:rsidRPr="002D71A6" w:rsidRDefault="00A31928" w:rsidP="00512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rPr>
            </w:pPr>
            <w:r w:rsidRPr="002D71A6">
              <w:rPr>
                <w:rFonts w:hAnsi="Times New Roman Bold"/>
                <w:color w:val="000080"/>
                <w:sz w:val="20"/>
              </w:rPr>
              <w:t>Radiowave propagation</w:t>
            </w:r>
          </w:p>
        </w:tc>
      </w:tr>
      <w:tr w:rsidR="00A31928" w:rsidRPr="002D71A6" w14:paraId="62855590" w14:textId="77777777" w:rsidTr="00AA0D99">
        <w:tc>
          <w:tcPr>
            <w:tcW w:w="1140" w:type="dxa"/>
          </w:tcPr>
          <w:p w14:paraId="08458A22" w14:textId="77777777" w:rsidR="00A31928" w:rsidRPr="002D71A6" w:rsidRDefault="00A31928" w:rsidP="006B1D2B">
            <w:pPr>
              <w:spacing w:before="30" w:after="30"/>
              <w:ind w:left="57"/>
              <w:jc w:val="left"/>
              <w:rPr>
                <w:b/>
                <w:bCs/>
                <w:sz w:val="20"/>
              </w:rPr>
            </w:pPr>
            <w:r w:rsidRPr="002D71A6">
              <w:rPr>
                <w:b/>
                <w:bCs/>
                <w:sz w:val="20"/>
              </w:rPr>
              <w:t>RA</w:t>
            </w:r>
          </w:p>
        </w:tc>
        <w:tc>
          <w:tcPr>
            <w:tcW w:w="8220" w:type="dxa"/>
          </w:tcPr>
          <w:p w14:paraId="6ED0FCF6" w14:textId="77777777" w:rsidR="00A31928" w:rsidRPr="002D71A6"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D71A6">
              <w:rPr>
                <w:sz w:val="20"/>
              </w:rPr>
              <w:t>Radio astronomy</w:t>
            </w:r>
          </w:p>
        </w:tc>
      </w:tr>
      <w:tr w:rsidR="00A31928" w:rsidRPr="002D71A6" w14:paraId="6800B550" w14:textId="77777777" w:rsidTr="00AA0D99">
        <w:tc>
          <w:tcPr>
            <w:tcW w:w="1140" w:type="dxa"/>
          </w:tcPr>
          <w:p w14:paraId="30305A3E" w14:textId="77777777" w:rsidR="00A31928" w:rsidRPr="002D71A6" w:rsidRDefault="00A31928" w:rsidP="006B1D2B">
            <w:pPr>
              <w:spacing w:before="30" w:after="30"/>
              <w:ind w:left="57"/>
              <w:jc w:val="left"/>
              <w:rPr>
                <w:b/>
                <w:bCs/>
                <w:sz w:val="20"/>
              </w:rPr>
            </w:pPr>
            <w:r w:rsidRPr="002D71A6">
              <w:rPr>
                <w:b/>
                <w:bCs/>
                <w:sz w:val="20"/>
              </w:rPr>
              <w:t>RS</w:t>
            </w:r>
          </w:p>
        </w:tc>
        <w:tc>
          <w:tcPr>
            <w:tcW w:w="8220" w:type="dxa"/>
          </w:tcPr>
          <w:p w14:paraId="4A02C9B3" w14:textId="77777777" w:rsidR="00A31928" w:rsidRPr="002D71A6"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D71A6">
              <w:rPr>
                <w:sz w:val="20"/>
              </w:rPr>
              <w:t>Remote sensing systems</w:t>
            </w:r>
          </w:p>
        </w:tc>
      </w:tr>
      <w:tr w:rsidR="00A31928" w:rsidRPr="002D71A6" w14:paraId="02D68E58" w14:textId="77777777" w:rsidTr="00AA0D99">
        <w:tc>
          <w:tcPr>
            <w:tcW w:w="1140" w:type="dxa"/>
          </w:tcPr>
          <w:p w14:paraId="7E389D5E" w14:textId="77777777" w:rsidR="00A31928" w:rsidRPr="002D71A6" w:rsidRDefault="00A31928" w:rsidP="006B1D2B">
            <w:pPr>
              <w:spacing w:before="30" w:after="30"/>
              <w:ind w:left="57"/>
              <w:jc w:val="left"/>
              <w:rPr>
                <w:b/>
                <w:bCs/>
                <w:sz w:val="20"/>
              </w:rPr>
            </w:pPr>
            <w:r w:rsidRPr="002D71A6">
              <w:rPr>
                <w:b/>
                <w:bCs/>
                <w:sz w:val="20"/>
              </w:rPr>
              <w:t>S</w:t>
            </w:r>
          </w:p>
        </w:tc>
        <w:tc>
          <w:tcPr>
            <w:tcW w:w="8220" w:type="dxa"/>
          </w:tcPr>
          <w:p w14:paraId="5CFA2126" w14:textId="77777777" w:rsidR="00A31928" w:rsidRPr="002D71A6" w:rsidRDefault="00A31928" w:rsidP="006B1D2B">
            <w:pPr>
              <w:spacing w:before="30" w:after="30"/>
              <w:jc w:val="left"/>
              <w:rPr>
                <w:sz w:val="20"/>
              </w:rPr>
            </w:pPr>
            <w:r w:rsidRPr="002D71A6">
              <w:rPr>
                <w:sz w:val="20"/>
              </w:rPr>
              <w:t>Fixed-satellite service</w:t>
            </w:r>
          </w:p>
        </w:tc>
      </w:tr>
      <w:tr w:rsidR="00A31928" w:rsidRPr="002D71A6" w14:paraId="55C5B53C" w14:textId="77777777" w:rsidTr="00AA0D99">
        <w:tc>
          <w:tcPr>
            <w:tcW w:w="1140" w:type="dxa"/>
          </w:tcPr>
          <w:p w14:paraId="7C1F69C8" w14:textId="77777777" w:rsidR="00A31928" w:rsidRPr="002D71A6" w:rsidRDefault="00A31928" w:rsidP="006B1D2B">
            <w:pPr>
              <w:spacing w:before="30" w:after="30"/>
              <w:ind w:left="57"/>
              <w:jc w:val="left"/>
              <w:rPr>
                <w:b/>
                <w:bCs/>
                <w:sz w:val="20"/>
              </w:rPr>
            </w:pPr>
            <w:r w:rsidRPr="002D71A6">
              <w:rPr>
                <w:b/>
                <w:bCs/>
                <w:sz w:val="20"/>
              </w:rPr>
              <w:t>SA</w:t>
            </w:r>
          </w:p>
        </w:tc>
        <w:tc>
          <w:tcPr>
            <w:tcW w:w="8220" w:type="dxa"/>
          </w:tcPr>
          <w:p w14:paraId="5C2A171E" w14:textId="77777777" w:rsidR="00A31928" w:rsidRPr="002D71A6" w:rsidRDefault="00A31928" w:rsidP="006B1D2B">
            <w:pPr>
              <w:spacing w:before="30" w:after="30"/>
              <w:jc w:val="left"/>
              <w:rPr>
                <w:sz w:val="20"/>
              </w:rPr>
            </w:pPr>
            <w:r w:rsidRPr="002D71A6">
              <w:rPr>
                <w:sz w:val="20"/>
              </w:rPr>
              <w:t>Space applications and meteorology</w:t>
            </w:r>
          </w:p>
        </w:tc>
      </w:tr>
      <w:tr w:rsidR="00A31928" w:rsidRPr="002D71A6" w14:paraId="3A32AA59" w14:textId="77777777" w:rsidTr="00AA0D99">
        <w:tc>
          <w:tcPr>
            <w:tcW w:w="1140" w:type="dxa"/>
            <w:tcBorders>
              <w:bottom w:val="nil"/>
            </w:tcBorders>
          </w:tcPr>
          <w:p w14:paraId="1CC6A8BF" w14:textId="77777777" w:rsidR="00A31928" w:rsidRPr="002D71A6" w:rsidRDefault="00A31928" w:rsidP="006B1D2B">
            <w:pPr>
              <w:spacing w:before="30" w:after="30"/>
              <w:ind w:left="57"/>
              <w:jc w:val="left"/>
              <w:rPr>
                <w:b/>
                <w:bCs/>
                <w:sz w:val="20"/>
              </w:rPr>
            </w:pPr>
            <w:r w:rsidRPr="002D71A6">
              <w:rPr>
                <w:b/>
                <w:bCs/>
                <w:sz w:val="20"/>
              </w:rPr>
              <w:t>SF</w:t>
            </w:r>
          </w:p>
        </w:tc>
        <w:tc>
          <w:tcPr>
            <w:tcW w:w="8220" w:type="dxa"/>
            <w:tcBorders>
              <w:bottom w:val="nil"/>
            </w:tcBorders>
          </w:tcPr>
          <w:p w14:paraId="0C447B16" w14:textId="77777777" w:rsidR="00A31928" w:rsidRPr="002D71A6" w:rsidRDefault="00A31928" w:rsidP="006B1D2B">
            <w:pPr>
              <w:spacing w:before="30" w:after="30"/>
              <w:jc w:val="left"/>
              <w:rPr>
                <w:sz w:val="20"/>
              </w:rPr>
            </w:pPr>
            <w:r w:rsidRPr="002D71A6">
              <w:rPr>
                <w:sz w:val="20"/>
              </w:rPr>
              <w:t>Frequency sharing and coordination between fixed-satellite and fixed service systems</w:t>
            </w:r>
          </w:p>
        </w:tc>
      </w:tr>
      <w:tr w:rsidR="00A31928" w:rsidRPr="002D71A6" w14:paraId="48FB28CB" w14:textId="77777777" w:rsidTr="00AA0D99">
        <w:tc>
          <w:tcPr>
            <w:tcW w:w="1140" w:type="dxa"/>
            <w:tcBorders>
              <w:top w:val="nil"/>
              <w:bottom w:val="nil"/>
            </w:tcBorders>
            <w:shd w:val="clear" w:color="auto" w:fill="auto"/>
          </w:tcPr>
          <w:p w14:paraId="44BDEA61" w14:textId="77777777" w:rsidR="00A31928" w:rsidRPr="002D71A6" w:rsidRDefault="00A31928" w:rsidP="006B1D2B">
            <w:pPr>
              <w:spacing w:before="30" w:after="30"/>
              <w:ind w:left="57"/>
              <w:jc w:val="left"/>
              <w:rPr>
                <w:rFonts w:ascii="Times New Roman Bold" w:hAnsi="Times New Roman Bold" w:cs="Times New Roman Bold"/>
                <w:b/>
                <w:bCs/>
                <w:sz w:val="20"/>
              </w:rPr>
            </w:pPr>
            <w:r w:rsidRPr="002D71A6">
              <w:rPr>
                <w:rFonts w:ascii="Times New Roman Bold" w:hAnsi="Times New Roman Bold" w:cs="Times New Roman Bold"/>
                <w:b/>
                <w:bCs/>
                <w:sz w:val="20"/>
              </w:rPr>
              <w:t>SM</w:t>
            </w:r>
          </w:p>
        </w:tc>
        <w:tc>
          <w:tcPr>
            <w:tcW w:w="8220" w:type="dxa"/>
            <w:tcBorders>
              <w:top w:val="nil"/>
              <w:bottom w:val="nil"/>
            </w:tcBorders>
            <w:shd w:val="clear" w:color="auto" w:fill="auto"/>
          </w:tcPr>
          <w:p w14:paraId="44D5611B" w14:textId="77777777" w:rsidR="00A31928" w:rsidRPr="002D71A6" w:rsidRDefault="00A31928" w:rsidP="006B1D2B">
            <w:pPr>
              <w:spacing w:before="30" w:after="30"/>
              <w:jc w:val="left"/>
              <w:rPr>
                <w:rFonts w:hAnsi="Times New Roman Bold"/>
                <w:sz w:val="20"/>
              </w:rPr>
            </w:pPr>
            <w:r w:rsidRPr="002D71A6">
              <w:rPr>
                <w:rFonts w:hAnsi="Times New Roman Bold"/>
                <w:sz w:val="20"/>
              </w:rPr>
              <w:t>Spectrum management</w:t>
            </w:r>
          </w:p>
        </w:tc>
      </w:tr>
      <w:tr w:rsidR="00A31928" w:rsidRPr="002D71A6" w14:paraId="5B6A4978" w14:textId="77777777" w:rsidTr="00AA0D99">
        <w:tc>
          <w:tcPr>
            <w:tcW w:w="1140" w:type="dxa"/>
            <w:tcBorders>
              <w:top w:val="nil"/>
            </w:tcBorders>
          </w:tcPr>
          <w:p w14:paraId="6658C15F" w14:textId="77777777" w:rsidR="00A31928" w:rsidRPr="002D71A6" w:rsidRDefault="00A31928" w:rsidP="006B1D2B">
            <w:pPr>
              <w:spacing w:before="30" w:after="30"/>
              <w:ind w:left="57"/>
              <w:jc w:val="left"/>
              <w:rPr>
                <w:b/>
                <w:bCs/>
                <w:sz w:val="20"/>
              </w:rPr>
            </w:pPr>
            <w:r w:rsidRPr="002D71A6">
              <w:rPr>
                <w:b/>
                <w:bCs/>
                <w:sz w:val="20"/>
              </w:rPr>
              <w:t>SNG</w:t>
            </w:r>
          </w:p>
        </w:tc>
        <w:tc>
          <w:tcPr>
            <w:tcW w:w="8220" w:type="dxa"/>
            <w:tcBorders>
              <w:top w:val="nil"/>
            </w:tcBorders>
          </w:tcPr>
          <w:p w14:paraId="75FF3A3E" w14:textId="77777777" w:rsidR="00A31928" w:rsidRPr="002D71A6" w:rsidRDefault="00A31928" w:rsidP="006B1D2B">
            <w:pPr>
              <w:spacing w:before="30" w:after="30"/>
              <w:jc w:val="left"/>
              <w:rPr>
                <w:sz w:val="20"/>
              </w:rPr>
            </w:pPr>
            <w:r w:rsidRPr="002D71A6">
              <w:rPr>
                <w:sz w:val="20"/>
              </w:rPr>
              <w:t>Satellite news gathering</w:t>
            </w:r>
          </w:p>
        </w:tc>
      </w:tr>
      <w:tr w:rsidR="00A31928" w:rsidRPr="002D71A6" w14:paraId="69F0AAE7" w14:textId="77777777" w:rsidTr="00AA0D99">
        <w:tc>
          <w:tcPr>
            <w:tcW w:w="1140" w:type="dxa"/>
          </w:tcPr>
          <w:p w14:paraId="17915EA2" w14:textId="77777777" w:rsidR="00A31928" w:rsidRPr="002D71A6" w:rsidRDefault="00A31928" w:rsidP="006B1D2B">
            <w:pPr>
              <w:spacing w:before="30" w:after="30"/>
              <w:ind w:left="57"/>
              <w:jc w:val="left"/>
              <w:rPr>
                <w:b/>
                <w:bCs/>
                <w:sz w:val="20"/>
              </w:rPr>
            </w:pPr>
            <w:r w:rsidRPr="002D71A6">
              <w:rPr>
                <w:b/>
                <w:bCs/>
                <w:sz w:val="20"/>
              </w:rPr>
              <w:t>TF</w:t>
            </w:r>
          </w:p>
        </w:tc>
        <w:tc>
          <w:tcPr>
            <w:tcW w:w="8220" w:type="dxa"/>
          </w:tcPr>
          <w:p w14:paraId="3EE81EC1" w14:textId="77777777" w:rsidR="00A31928" w:rsidRPr="002D71A6" w:rsidRDefault="00A31928" w:rsidP="006B1D2B">
            <w:pPr>
              <w:spacing w:before="30" w:after="30"/>
              <w:jc w:val="left"/>
              <w:rPr>
                <w:sz w:val="20"/>
              </w:rPr>
            </w:pPr>
            <w:r w:rsidRPr="002D71A6">
              <w:rPr>
                <w:sz w:val="20"/>
              </w:rPr>
              <w:t>Time signals and frequency standards emissions</w:t>
            </w:r>
          </w:p>
        </w:tc>
      </w:tr>
      <w:tr w:rsidR="00A31928" w:rsidRPr="002D71A6" w14:paraId="6A26D486" w14:textId="77777777" w:rsidTr="00AA0D99">
        <w:tc>
          <w:tcPr>
            <w:tcW w:w="1140" w:type="dxa"/>
          </w:tcPr>
          <w:p w14:paraId="50D9431F" w14:textId="77777777" w:rsidR="00A31928" w:rsidRPr="002D71A6" w:rsidRDefault="00A31928" w:rsidP="006B1D2B">
            <w:pPr>
              <w:spacing w:before="30" w:after="30"/>
              <w:ind w:left="57"/>
              <w:jc w:val="left"/>
              <w:rPr>
                <w:b/>
                <w:bCs/>
                <w:sz w:val="20"/>
              </w:rPr>
            </w:pPr>
            <w:r w:rsidRPr="002D71A6">
              <w:rPr>
                <w:b/>
                <w:bCs/>
                <w:sz w:val="20"/>
              </w:rPr>
              <w:t>V</w:t>
            </w:r>
          </w:p>
        </w:tc>
        <w:tc>
          <w:tcPr>
            <w:tcW w:w="8220" w:type="dxa"/>
          </w:tcPr>
          <w:p w14:paraId="39F0E8FC" w14:textId="77777777" w:rsidR="00A31928" w:rsidRPr="002D71A6" w:rsidRDefault="00A31928" w:rsidP="00906589">
            <w:pPr>
              <w:spacing w:before="30" w:after="180"/>
              <w:jc w:val="left"/>
              <w:rPr>
                <w:sz w:val="20"/>
              </w:rPr>
            </w:pPr>
            <w:r w:rsidRPr="002D71A6">
              <w:rPr>
                <w:sz w:val="20"/>
              </w:rPr>
              <w:t>Vocabulary and related subjects</w:t>
            </w:r>
          </w:p>
        </w:tc>
      </w:tr>
    </w:tbl>
    <w:p w14:paraId="6EB415BC" w14:textId="77777777" w:rsidR="00036EE3" w:rsidRPr="002D71A6" w:rsidRDefault="00036EE3" w:rsidP="007B1357">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2D71A6" w14:paraId="1AAB90EA" w14:textId="77777777">
        <w:tc>
          <w:tcPr>
            <w:tcW w:w="720" w:type="dxa"/>
          </w:tcPr>
          <w:p w14:paraId="0DB2AD35" w14:textId="77777777" w:rsidR="00036EE3" w:rsidRPr="002D71A6" w:rsidRDefault="00036EE3" w:rsidP="007B1357">
            <w:pPr>
              <w:jc w:val="center"/>
              <w:rPr>
                <w:sz w:val="22"/>
              </w:rPr>
            </w:pPr>
          </w:p>
        </w:tc>
      </w:tr>
    </w:tbl>
    <w:p w14:paraId="42E31F80" w14:textId="77777777" w:rsidR="00036EE3" w:rsidRPr="002D71A6" w:rsidRDefault="00036EE3" w:rsidP="007B1357">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2D71A6" w14:paraId="0731FC2A" w14:textId="77777777" w:rsidTr="00AA0D99">
        <w:tc>
          <w:tcPr>
            <w:tcW w:w="9360" w:type="dxa"/>
          </w:tcPr>
          <w:p w14:paraId="1E3C37B6" w14:textId="77777777" w:rsidR="00036EE3" w:rsidRPr="002D71A6" w:rsidRDefault="00036EE3" w:rsidP="00B51DD9">
            <w:pPr>
              <w:spacing w:after="120"/>
              <w:jc w:val="left"/>
              <w:rPr>
                <w:sz w:val="20"/>
              </w:rPr>
            </w:pPr>
            <w:r w:rsidRPr="002D71A6">
              <w:rPr>
                <w:b/>
                <w:bCs/>
                <w:i/>
                <w:iCs/>
                <w:sz w:val="20"/>
              </w:rPr>
              <w:t>Note</w:t>
            </w:r>
            <w:r w:rsidRPr="002D71A6">
              <w:rPr>
                <w:sz w:val="20"/>
              </w:rPr>
              <w:t xml:space="preserve">: </w:t>
            </w:r>
            <w:r w:rsidRPr="002D71A6">
              <w:rPr>
                <w:i/>
                <w:iCs/>
                <w:sz w:val="20"/>
              </w:rPr>
              <w:t>This ITU-R Recommendation was approved in English under the procedure detailed in Resolution ITU-R 1.</w:t>
            </w:r>
          </w:p>
        </w:tc>
      </w:tr>
    </w:tbl>
    <w:p w14:paraId="23A38FD5" w14:textId="77777777" w:rsidR="00B714F3" w:rsidRPr="002D71A6" w:rsidRDefault="00B714F3" w:rsidP="002F5199">
      <w:pPr>
        <w:spacing w:before="0"/>
        <w:jc w:val="center"/>
        <w:rPr>
          <w:sz w:val="22"/>
        </w:rPr>
      </w:pPr>
    </w:p>
    <w:p w14:paraId="54D1972C" w14:textId="77777777" w:rsidR="00B714F3" w:rsidRPr="002D71A6" w:rsidRDefault="00B714F3" w:rsidP="002F5199">
      <w:pPr>
        <w:spacing w:before="0"/>
        <w:jc w:val="center"/>
        <w:rPr>
          <w:sz w:val="22"/>
        </w:rPr>
      </w:pPr>
    </w:p>
    <w:p w14:paraId="07A1670D" w14:textId="77777777" w:rsidR="00470E28" w:rsidRPr="002D71A6" w:rsidRDefault="002F5199" w:rsidP="007B1357">
      <w:pPr>
        <w:spacing w:before="0"/>
        <w:jc w:val="right"/>
        <w:rPr>
          <w:i/>
          <w:iCs/>
          <w:sz w:val="20"/>
        </w:rPr>
      </w:pPr>
      <w:r w:rsidRPr="002D71A6">
        <w:rPr>
          <w:i/>
          <w:iCs/>
          <w:sz w:val="20"/>
        </w:rPr>
        <w:t>Electronic Publication</w:t>
      </w:r>
    </w:p>
    <w:p w14:paraId="55FB1F0F" w14:textId="77777777" w:rsidR="002F5199" w:rsidRPr="002D71A6" w:rsidRDefault="002F5199" w:rsidP="000B1B2B">
      <w:pPr>
        <w:spacing w:before="0"/>
        <w:jc w:val="right"/>
        <w:rPr>
          <w:sz w:val="20"/>
        </w:rPr>
      </w:pPr>
      <w:r w:rsidRPr="002D71A6">
        <w:rPr>
          <w:sz w:val="20"/>
        </w:rPr>
        <w:t>Geneva, 20</w:t>
      </w:r>
      <w:r w:rsidR="005E69F0" w:rsidRPr="002D71A6">
        <w:rPr>
          <w:sz w:val="20"/>
        </w:rPr>
        <w:t>23</w:t>
      </w:r>
    </w:p>
    <w:p w14:paraId="1DE36B47" w14:textId="77777777" w:rsidR="00470E28" w:rsidRPr="002D71A6" w:rsidRDefault="00470E28" w:rsidP="00906589">
      <w:pPr>
        <w:jc w:val="center"/>
        <w:rPr>
          <w:sz w:val="22"/>
        </w:rPr>
      </w:pPr>
    </w:p>
    <w:p w14:paraId="38973AB1" w14:textId="77777777" w:rsidR="00586EF8" w:rsidRPr="002D71A6" w:rsidRDefault="00586EF8" w:rsidP="00877E6E">
      <w:pPr>
        <w:jc w:val="center"/>
        <w:rPr>
          <w:sz w:val="20"/>
        </w:rPr>
      </w:pPr>
      <w:r w:rsidRPr="002D71A6">
        <w:rPr>
          <w:sz w:val="20"/>
        </w:rPr>
        <w:sym w:font="Symbol" w:char="F0E3"/>
      </w:r>
      <w:r w:rsidRPr="002D71A6">
        <w:rPr>
          <w:sz w:val="20"/>
        </w:rPr>
        <w:t xml:space="preserve"> ITU </w:t>
      </w:r>
      <w:bookmarkStart w:id="1" w:name="iiannee"/>
      <w:bookmarkEnd w:id="1"/>
      <w:r w:rsidRPr="002D71A6">
        <w:rPr>
          <w:sz w:val="20"/>
        </w:rPr>
        <w:t>20</w:t>
      </w:r>
      <w:r w:rsidR="0074147D" w:rsidRPr="002D71A6">
        <w:rPr>
          <w:sz w:val="20"/>
        </w:rPr>
        <w:t>23</w:t>
      </w:r>
    </w:p>
    <w:p w14:paraId="1CB35F1C" w14:textId="77777777" w:rsidR="00586EF8" w:rsidRPr="002D71A6" w:rsidRDefault="00586EF8" w:rsidP="00470E28">
      <w:pPr>
        <w:rPr>
          <w:sz w:val="18"/>
          <w:szCs w:val="18"/>
        </w:rPr>
      </w:pPr>
      <w:r w:rsidRPr="002D71A6">
        <w:rPr>
          <w:sz w:val="18"/>
          <w:szCs w:val="18"/>
        </w:rPr>
        <w:t>All rights reserved. No part of thi</w:t>
      </w:r>
      <w:r w:rsidR="00470E28" w:rsidRPr="002D71A6">
        <w:rPr>
          <w:sz w:val="18"/>
          <w:szCs w:val="18"/>
        </w:rPr>
        <w:t xml:space="preserve">s publication may be reproduced, </w:t>
      </w:r>
      <w:r w:rsidRPr="002D71A6">
        <w:rPr>
          <w:sz w:val="18"/>
          <w:szCs w:val="18"/>
        </w:rPr>
        <w:t xml:space="preserve">by any means </w:t>
      </w:r>
      <w:r w:rsidR="00470E28" w:rsidRPr="002D71A6">
        <w:rPr>
          <w:sz w:val="18"/>
          <w:szCs w:val="18"/>
        </w:rPr>
        <w:t xml:space="preserve">whatsoever, </w:t>
      </w:r>
      <w:r w:rsidRPr="002D71A6">
        <w:rPr>
          <w:sz w:val="18"/>
          <w:szCs w:val="18"/>
        </w:rPr>
        <w:t xml:space="preserve">without written permission </w:t>
      </w:r>
      <w:r w:rsidR="00470E28" w:rsidRPr="002D71A6">
        <w:rPr>
          <w:sz w:val="18"/>
          <w:szCs w:val="18"/>
        </w:rPr>
        <w:t>of</w:t>
      </w:r>
      <w:r w:rsidRPr="002D71A6">
        <w:rPr>
          <w:sz w:val="18"/>
          <w:szCs w:val="18"/>
        </w:rPr>
        <w:t xml:space="preserve"> ITU.</w:t>
      </w:r>
    </w:p>
    <w:p w14:paraId="2854819A" w14:textId="77777777" w:rsidR="007565CC" w:rsidRPr="002D71A6" w:rsidRDefault="007565CC" w:rsidP="00A971A1">
      <w:pPr>
        <w:spacing w:before="160"/>
        <w:rPr>
          <w:i/>
          <w:sz w:val="20"/>
        </w:rPr>
        <w:sectPr w:rsidR="007565CC" w:rsidRPr="002D71A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CFCAEE9" w14:textId="7084AD77" w:rsidR="00B874C6" w:rsidRPr="002D71A6" w:rsidRDefault="00B874C6" w:rsidP="00A936CB">
      <w:pPr>
        <w:pStyle w:val="RecNo"/>
        <w:spacing w:before="0"/>
      </w:pPr>
      <w:bookmarkStart w:id="2" w:name="irecnoe"/>
      <w:bookmarkEnd w:id="2"/>
      <w:proofErr w:type="gramStart"/>
      <w:r w:rsidRPr="002D71A6">
        <w:lastRenderedPageBreak/>
        <w:t xml:space="preserve">RECOMMENDATION  </w:t>
      </w:r>
      <w:r w:rsidRPr="002D71A6">
        <w:rPr>
          <w:rStyle w:val="href"/>
        </w:rPr>
        <w:t>ITU</w:t>
      </w:r>
      <w:proofErr w:type="gramEnd"/>
      <w:r w:rsidRPr="002D71A6">
        <w:rPr>
          <w:rStyle w:val="href"/>
        </w:rPr>
        <w:t xml:space="preserve">-R  </w:t>
      </w:r>
      <w:r w:rsidR="00512A4E" w:rsidRPr="002D71A6">
        <w:rPr>
          <w:rStyle w:val="href"/>
        </w:rPr>
        <w:t>P</w:t>
      </w:r>
      <w:r w:rsidRPr="002D71A6">
        <w:rPr>
          <w:rStyle w:val="href"/>
        </w:rPr>
        <w:t>.</w:t>
      </w:r>
      <w:r w:rsidR="00144B83" w:rsidRPr="002D71A6">
        <w:rPr>
          <w:rStyle w:val="href"/>
        </w:rPr>
        <w:t>2109-2</w:t>
      </w:r>
    </w:p>
    <w:p w14:paraId="0CAC2500" w14:textId="77777777" w:rsidR="006E5097" w:rsidRPr="002D71A6" w:rsidRDefault="006E5097" w:rsidP="006E5097">
      <w:pPr>
        <w:pStyle w:val="Rectitle"/>
      </w:pPr>
      <w:bookmarkStart w:id="3" w:name="_Hlk137480830"/>
      <w:r w:rsidRPr="002D71A6">
        <w:t>Prediction of building entry loss</w:t>
      </w:r>
    </w:p>
    <w:p w14:paraId="431432F0" w14:textId="77777777" w:rsidR="006E5097" w:rsidRPr="002D71A6" w:rsidRDefault="006E5097" w:rsidP="006E5097">
      <w:pPr>
        <w:pStyle w:val="Recdate"/>
      </w:pPr>
      <w:bookmarkStart w:id="4" w:name="Revision_history"/>
      <w:bookmarkEnd w:id="3"/>
      <w:r w:rsidRPr="002D71A6">
        <w:t>(2017-2019-2023)</w:t>
      </w:r>
      <w:bookmarkEnd w:id="4"/>
    </w:p>
    <w:p w14:paraId="78F2F507" w14:textId="77777777" w:rsidR="006E5097" w:rsidRPr="002D71A6" w:rsidRDefault="006E5097" w:rsidP="006E5097">
      <w:pPr>
        <w:pStyle w:val="HeadingSum"/>
        <w:rPr>
          <w:lang w:val="en-GB"/>
        </w:rPr>
      </w:pPr>
      <w:r w:rsidRPr="002D71A6">
        <w:rPr>
          <w:lang w:val="en-GB"/>
        </w:rPr>
        <w:t>Scope</w:t>
      </w:r>
    </w:p>
    <w:p w14:paraId="1BAF1790" w14:textId="77777777" w:rsidR="006E5097" w:rsidRPr="002D71A6" w:rsidRDefault="006E5097" w:rsidP="006E5097">
      <w:pPr>
        <w:pStyle w:val="Summary"/>
        <w:rPr>
          <w:lang w:val="en-GB"/>
        </w:rPr>
      </w:pPr>
      <w:r w:rsidRPr="002D71A6">
        <w:rPr>
          <w:lang w:val="en-GB"/>
        </w:rPr>
        <w:t xml:space="preserve">This Recommendation provides a method for estimating building entry loss at frequencies between about 80 MHz and 100 GHz for probabilities of 0.0 &lt; </w:t>
      </w:r>
      <w:r w:rsidRPr="002D71A6">
        <w:rPr>
          <w:i/>
          <w:iCs/>
          <w:lang w:val="en-GB"/>
        </w:rPr>
        <w:t>P</w:t>
      </w:r>
      <w:r w:rsidRPr="002D71A6">
        <w:rPr>
          <w:lang w:val="en-GB"/>
        </w:rPr>
        <w:t xml:space="preserve"> &lt; 1.0. The method is not </w:t>
      </w:r>
      <w:proofErr w:type="gramStart"/>
      <w:r w:rsidRPr="002D71A6">
        <w:rPr>
          <w:lang w:val="en-GB"/>
        </w:rPr>
        <w:t>site-specific, and</w:t>
      </w:r>
      <w:proofErr w:type="gramEnd"/>
      <w:r w:rsidRPr="002D71A6">
        <w:rPr>
          <w:lang w:val="en-GB"/>
        </w:rPr>
        <w:t xml:space="preserve"> is primarily intended for use in sharing and compatibility studies.</w:t>
      </w:r>
    </w:p>
    <w:p w14:paraId="2727B945" w14:textId="77777777" w:rsidR="006E5097" w:rsidRPr="002D71A6" w:rsidRDefault="006E5097" w:rsidP="006E5097">
      <w:pPr>
        <w:pStyle w:val="Headingb"/>
      </w:pPr>
      <w:r w:rsidRPr="002D71A6">
        <w:t xml:space="preserve">Keywords </w:t>
      </w:r>
    </w:p>
    <w:p w14:paraId="39FB4A42" w14:textId="77777777" w:rsidR="006E5097" w:rsidRPr="002D71A6" w:rsidRDefault="006E5097" w:rsidP="006E5097">
      <w:r w:rsidRPr="002D71A6">
        <w:t>Building, indoor, propagation, interference, entry</w:t>
      </w:r>
    </w:p>
    <w:p w14:paraId="785C96AC" w14:textId="77777777" w:rsidR="006E5097" w:rsidRPr="002D71A6" w:rsidRDefault="006E5097" w:rsidP="006E5097">
      <w:pPr>
        <w:rPr>
          <w:b/>
          <w:bCs/>
          <w:lang w:eastAsia="zh-CN"/>
        </w:rPr>
      </w:pPr>
      <w:r w:rsidRPr="002D71A6">
        <w:rPr>
          <w:b/>
          <w:bCs/>
          <w:lang w:eastAsia="zh-CN"/>
        </w:rPr>
        <w:t>Abbreviations</w:t>
      </w:r>
    </w:p>
    <w:p w14:paraId="130D3661" w14:textId="77777777" w:rsidR="006E5097" w:rsidRPr="002D71A6" w:rsidRDefault="006E5097" w:rsidP="006E5097">
      <w:pPr>
        <w:rPr>
          <w:lang w:eastAsia="zh-CN"/>
        </w:rPr>
      </w:pPr>
      <w:r w:rsidRPr="002D71A6">
        <w:rPr>
          <w:lang w:eastAsia="zh-CN"/>
        </w:rPr>
        <w:t>BEL</w:t>
      </w:r>
      <w:r w:rsidRPr="002D71A6">
        <w:rPr>
          <w:lang w:eastAsia="zh-CN"/>
        </w:rPr>
        <w:tab/>
        <w:t>Building entry loss</w:t>
      </w:r>
    </w:p>
    <w:p w14:paraId="2176074D" w14:textId="77777777" w:rsidR="00656B26" w:rsidRPr="002D71A6" w:rsidRDefault="00656B26" w:rsidP="00656B26">
      <w:pPr>
        <w:rPr>
          <w:lang w:eastAsia="zh-CN"/>
        </w:rPr>
      </w:pPr>
      <w:r w:rsidRPr="002D71A6">
        <w:rPr>
          <w:lang w:eastAsia="zh-CN"/>
        </w:rPr>
        <w:t>CW</w:t>
      </w:r>
      <w:r w:rsidRPr="002D71A6">
        <w:rPr>
          <w:lang w:eastAsia="zh-CN"/>
        </w:rPr>
        <w:tab/>
        <w:t>Continuous wave</w:t>
      </w:r>
    </w:p>
    <w:p w14:paraId="7CEBDE4F" w14:textId="77777777" w:rsidR="006E5097" w:rsidRPr="002D71A6" w:rsidRDefault="006E5097" w:rsidP="006E5097">
      <w:pPr>
        <w:rPr>
          <w:lang w:eastAsia="zh-CN"/>
        </w:rPr>
      </w:pPr>
      <w:r w:rsidRPr="002D71A6">
        <w:rPr>
          <w:lang w:eastAsia="zh-CN"/>
        </w:rPr>
        <w:t>LoS</w:t>
      </w:r>
      <w:r w:rsidRPr="002D71A6">
        <w:rPr>
          <w:lang w:eastAsia="zh-CN"/>
        </w:rPr>
        <w:tab/>
        <w:t>Line of sight</w:t>
      </w:r>
    </w:p>
    <w:p w14:paraId="7A393C75" w14:textId="77777777" w:rsidR="006E5097" w:rsidRPr="002D71A6" w:rsidRDefault="006E5097" w:rsidP="000F7AD5">
      <w:pPr>
        <w:pStyle w:val="Headingb"/>
        <w:rPr>
          <w:rFonts w:eastAsia="SimSun"/>
        </w:rPr>
      </w:pPr>
      <w:r w:rsidRPr="002D71A6">
        <w:rPr>
          <w:rFonts w:eastAsia="SimSun"/>
        </w:rPr>
        <w:t>Related ITU Recommendations, Reports</w:t>
      </w:r>
    </w:p>
    <w:p w14:paraId="00D142BA" w14:textId="77777777" w:rsidR="006E5097" w:rsidRPr="002D71A6" w:rsidRDefault="006E5097" w:rsidP="00FD28FF">
      <w:pPr>
        <w:pStyle w:val="Reftext"/>
        <w:rPr>
          <w:lang w:eastAsia="zh-CN"/>
        </w:rPr>
      </w:pPr>
      <w:r w:rsidRPr="002D71A6">
        <w:rPr>
          <w:lang w:eastAsia="zh-CN"/>
        </w:rPr>
        <w:t xml:space="preserve">Recommendation ITU-R </w:t>
      </w:r>
      <w:hyperlink r:id="rId14" w:history="1">
        <w:r w:rsidRPr="002D71A6">
          <w:rPr>
            <w:rStyle w:val="Hyperlink"/>
            <w:color w:val="auto"/>
            <w:u w:val="none"/>
            <w:lang w:eastAsia="zh-CN"/>
          </w:rPr>
          <w:t>P.2040</w:t>
        </w:r>
      </w:hyperlink>
    </w:p>
    <w:p w14:paraId="76F99489" w14:textId="77777777" w:rsidR="006E5097" w:rsidRPr="002D71A6" w:rsidRDefault="006E5097" w:rsidP="00FD28FF">
      <w:pPr>
        <w:pStyle w:val="Reftext"/>
        <w:rPr>
          <w:lang w:eastAsia="zh-CN"/>
        </w:rPr>
      </w:pPr>
      <w:r w:rsidRPr="002D71A6">
        <w:rPr>
          <w:lang w:eastAsia="zh-CN"/>
        </w:rPr>
        <w:t xml:space="preserve">Report ITU-R </w:t>
      </w:r>
      <w:hyperlink r:id="rId15" w:history="1">
        <w:r w:rsidRPr="002D71A6">
          <w:rPr>
            <w:rStyle w:val="Hyperlink"/>
            <w:color w:val="auto"/>
            <w:u w:val="none"/>
            <w:lang w:eastAsia="zh-CN"/>
          </w:rPr>
          <w:t>P.2346</w:t>
        </w:r>
      </w:hyperlink>
    </w:p>
    <w:p w14:paraId="5FC44A19" w14:textId="77777777" w:rsidR="006E5097" w:rsidRPr="002D71A6" w:rsidRDefault="006E5097" w:rsidP="006E5097">
      <w:pPr>
        <w:pStyle w:val="Normalaftertitle"/>
      </w:pPr>
      <w:r w:rsidRPr="002D71A6">
        <w:t>The ITU Radiocommunication Assembly,</w:t>
      </w:r>
    </w:p>
    <w:p w14:paraId="085B8FE8" w14:textId="77777777" w:rsidR="006E5097" w:rsidRPr="002D71A6" w:rsidRDefault="006E5097" w:rsidP="006E5097">
      <w:pPr>
        <w:pStyle w:val="Call"/>
      </w:pPr>
      <w:r w:rsidRPr="002D71A6">
        <w:t>considering</w:t>
      </w:r>
    </w:p>
    <w:p w14:paraId="3BAC5D32" w14:textId="77777777" w:rsidR="006E5097" w:rsidRPr="002D71A6" w:rsidRDefault="006E5097" w:rsidP="006E5097">
      <w:r w:rsidRPr="002D71A6">
        <w:rPr>
          <w:i/>
          <w:iCs/>
        </w:rPr>
        <w:t>a)</w:t>
      </w:r>
      <w:r w:rsidRPr="002D71A6">
        <w:tab/>
        <w:t>that, for system planning and interference assessment it may be necessary to account for the attenuation suffered by radio waves in passing into, or out of, buildings;</w:t>
      </w:r>
    </w:p>
    <w:p w14:paraId="5E801D8E" w14:textId="77777777" w:rsidR="006E5097" w:rsidRPr="002D71A6" w:rsidRDefault="006E5097" w:rsidP="006E5097">
      <w:r w:rsidRPr="002D71A6">
        <w:rPr>
          <w:i/>
          <w:iCs/>
        </w:rPr>
        <w:t>b)</w:t>
      </w:r>
      <w:r w:rsidRPr="002D71A6">
        <w:tab/>
        <w:t>that there is a need to give guidance to engineers to estimate coverage or predict interference from outdoor to indoor and indoor to outdoor systems,</w:t>
      </w:r>
    </w:p>
    <w:p w14:paraId="73FABAFB" w14:textId="77777777" w:rsidR="006E5097" w:rsidRPr="002D71A6" w:rsidRDefault="006E5097" w:rsidP="006E5097">
      <w:pPr>
        <w:pStyle w:val="Call"/>
      </w:pPr>
      <w:r w:rsidRPr="002D71A6">
        <w:t>recognizing</w:t>
      </w:r>
    </w:p>
    <w:p w14:paraId="74E42CB0" w14:textId="77777777" w:rsidR="006E5097" w:rsidRPr="002D71A6" w:rsidRDefault="006E5097" w:rsidP="006E5097">
      <w:r w:rsidRPr="002D71A6">
        <w:rPr>
          <w:i/>
          <w:iCs/>
        </w:rPr>
        <w:t>a)</w:t>
      </w:r>
      <w:r w:rsidRPr="002D71A6">
        <w:tab/>
        <w:t xml:space="preserve">that Recommendation ITU-R </w:t>
      </w:r>
      <w:hyperlink r:id="rId16" w:history="1">
        <w:r w:rsidRPr="002D71A6">
          <w:rPr>
            <w:rStyle w:val="Hyperlink"/>
            <w:color w:val="auto"/>
            <w:u w:val="none"/>
            <w:lang w:eastAsia="zh-CN"/>
          </w:rPr>
          <w:t>P.2040</w:t>
        </w:r>
      </w:hyperlink>
      <w:r w:rsidRPr="002D71A6">
        <w:t xml:space="preserve"> provides guidance on the effect of building materials and structures on radio waves;</w:t>
      </w:r>
    </w:p>
    <w:p w14:paraId="70933F5D" w14:textId="77777777" w:rsidR="006E5097" w:rsidRPr="002D71A6" w:rsidRDefault="006E5097" w:rsidP="006E5097">
      <w:r w:rsidRPr="002D71A6">
        <w:rPr>
          <w:i/>
          <w:iCs/>
        </w:rPr>
        <w:t>b)</w:t>
      </w:r>
      <w:r w:rsidRPr="002D71A6">
        <w:tab/>
        <w:t xml:space="preserve">that Report ITU-R </w:t>
      </w:r>
      <w:hyperlink r:id="rId17" w:history="1">
        <w:r w:rsidRPr="002D71A6">
          <w:rPr>
            <w:rStyle w:val="Hyperlink"/>
            <w:color w:val="auto"/>
            <w:u w:val="none"/>
            <w:lang w:eastAsia="zh-CN"/>
          </w:rPr>
          <w:t>P.2346</w:t>
        </w:r>
      </w:hyperlink>
      <w:r w:rsidRPr="002D71A6">
        <w:t xml:space="preserve"> contains collated empirical data on building entry loss,</w:t>
      </w:r>
    </w:p>
    <w:p w14:paraId="5BF2D47C" w14:textId="77777777" w:rsidR="006E5097" w:rsidRPr="002D71A6" w:rsidRDefault="006E5097" w:rsidP="006E5097">
      <w:pPr>
        <w:pStyle w:val="Call"/>
      </w:pPr>
      <w:r w:rsidRPr="002D71A6">
        <w:t>recommends</w:t>
      </w:r>
    </w:p>
    <w:p w14:paraId="0DCE8313" w14:textId="77777777" w:rsidR="006E5097" w:rsidRPr="002D71A6" w:rsidRDefault="006E5097" w:rsidP="006E5097">
      <w:r w:rsidRPr="00FD28FF">
        <w:rPr>
          <w:b/>
          <w:bCs/>
        </w:rPr>
        <w:t>1</w:t>
      </w:r>
      <w:r w:rsidRPr="002D71A6">
        <w:tab/>
        <w:t xml:space="preserve">that the model in Annex 1 should be used to estimate building entry </w:t>
      </w:r>
      <w:proofErr w:type="gramStart"/>
      <w:r w:rsidRPr="002D71A6">
        <w:t>loss;</w:t>
      </w:r>
      <w:proofErr w:type="gramEnd"/>
    </w:p>
    <w:p w14:paraId="46872434" w14:textId="77777777" w:rsidR="006E5097" w:rsidRPr="002D71A6" w:rsidRDefault="006E5097" w:rsidP="006E5097">
      <w:r w:rsidRPr="00FD28FF">
        <w:rPr>
          <w:b/>
          <w:bCs/>
        </w:rPr>
        <w:t>2</w:t>
      </w:r>
      <w:r w:rsidRPr="002D71A6">
        <w:tab/>
        <w:t xml:space="preserve">that </w:t>
      </w:r>
      <w:r w:rsidRPr="002D71A6">
        <w:rPr>
          <w:lang w:eastAsia="zh-CN"/>
        </w:rPr>
        <w:t xml:space="preserve">Annex 2 gives definitions for various types of propagation loss associated with </w:t>
      </w:r>
      <w:proofErr w:type="gramStart"/>
      <w:r w:rsidRPr="002D71A6">
        <w:rPr>
          <w:lang w:eastAsia="zh-CN"/>
        </w:rPr>
        <w:t>buildings, and</w:t>
      </w:r>
      <w:proofErr w:type="gramEnd"/>
      <w:r w:rsidRPr="002D71A6">
        <w:rPr>
          <w:lang w:eastAsia="zh-CN"/>
        </w:rPr>
        <w:t xml:space="preserve"> provides guidance on measuring building entry losses.</w:t>
      </w:r>
    </w:p>
    <w:p w14:paraId="4984B07D" w14:textId="77777777" w:rsidR="006E5097" w:rsidRPr="002D71A6" w:rsidRDefault="006E5097" w:rsidP="00FD28FF">
      <w:pPr>
        <w:rPr>
          <w:lang w:eastAsia="ja-JP"/>
        </w:rPr>
      </w:pPr>
      <w:r w:rsidRPr="002D71A6">
        <w:rPr>
          <w:lang w:eastAsia="ja-JP"/>
        </w:rPr>
        <w:t>NOTE – Sharing studies carried out by ITU-R on different agenda items of WRC-19 were based on the text of this Recommendation which was in force at the time of these activities or at the time which the activity was carried out.</w:t>
      </w:r>
    </w:p>
    <w:p w14:paraId="02737DD6" w14:textId="77777777" w:rsidR="006E5097" w:rsidRPr="002D71A6" w:rsidRDefault="006E5097" w:rsidP="006E5097"/>
    <w:p w14:paraId="23AF26BA" w14:textId="77777777" w:rsidR="006E5097" w:rsidRPr="002D71A6" w:rsidRDefault="006E5097" w:rsidP="006E5097"/>
    <w:p w14:paraId="116D78F4" w14:textId="77777777" w:rsidR="006E5097" w:rsidRPr="002D71A6" w:rsidRDefault="006E5097" w:rsidP="006E5097">
      <w:pPr>
        <w:pStyle w:val="AnnexNoTitle"/>
      </w:pPr>
      <w:r w:rsidRPr="002D71A6">
        <w:lastRenderedPageBreak/>
        <w:t>Annex 1</w:t>
      </w:r>
    </w:p>
    <w:p w14:paraId="2FC5E8C8" w14:textId="77777777" w:rsidR="006E5097" w:rsidRPr="002D71A6" w:rsidRDefault="006E5097" w:rsidP="006E5097">
      <w:pPr>
        <w:pStyle w:val="Heading1"/>
      </w:pPr>
      <w:r w:rsidRPr="002D71A6">
        <w:t>1</w:t>
      </w:r>
      <w:r w:rsidRPr="002D71A6">
        <w:tab/>
        <w:t>Introduction</w:t>
      </w:r>
    </w:p>
    <w:p w14:paraId="568006B7" w14:textId="77777777" w:rsidR="006E5097" w:rsidRPr="002D71A6" w:rsidRDefault="006E5097" w:rsidP="006E5097">
      <w:r w:rsidRPr="002D71A6">
        <w:t xml:space="preserve">This Annex provides a model for building entry loss (BEL) as defined in Recommendation ITU-R </w:t>
      </w:r>
      <w:hyperlink r:id="rId18" w:history="1">
        <w:r w:rsidRPr="002D71A6">
          <w:rPr>
            <w:rStyle w:val="Hyperlink"/>
            <w:color w:val="auto"/>
            <w:u w:val="none"/>
            <w:lang w:eastAsia="zh-CN"/>
          </w:rPr>
          <w:t>P.2040</w:t>
        </w:r>
      </w:hyperlink>
      <w:r w:rsidRPr="002D71A6">
        <w:t>. The output of the model is in the form of a cumulative distribution function of the probability that a given loss will not be exceeded.</w:t>
      </w:r>
    </w:p>
    <w:p w14:paraId="088E6DF4" w14:textId="77777777" w:rsidR="006E5097" w:rsidRPr="002D71A6" w:rsidRDefault="006E5097" w:rsidP="006E5097">
      <w:r w:rsidRPr="002D71A6">
        <w:t>The model makes no attempt to separate the loss suffered by a signal penetrating the exterior wall and the attenuation suffered in the path through the building. This approach has been adopted as it is felt unlikely that, in the context of ITU-R studies, sufficiently detailed building-specific information would be available.</w:t>
      </w:r>
    </w:p>
    <w:p w14:paraId="5B1CEA74" w14:textId="77777777" w:rsidR="006E5097" w:rsidRPr="002D71A6" w:rsidRDefault="006E5097" w:rsidP="006E5097">
      <w:r w:rsidRPr="002D71A6">
        <w:t>Building entry loss exhibits great variability, both within any given building and between different buildings. Although techniques such as ray-tracing can provide useful site-specific predictions when coupled with detailed architectural data, such models will usually be inappropriate for generic applications such as spectrum sharing studies.</w:t>
      </w:r>
    </w:p>
    <w:p w14:paraId="7F5B428C" w14:textId="77777777" w:rsidR="006E5097" w:rsidRPr="002D71A6" w:rsidRDefault="006E5097" w:rsidP="006E5097">
      <w:r w:rsidRPr="002D71A6">
        <w:t>A statistical model that attempted to describe the entry loss characteristics of the global set of buildings would give a statistical distribution so broad as to be unhelpful. On the other hand, a model that attempted to characterise many different types of building would require more data than currently exists and would be inappropriate for generic sharing studies.</w:t>
      </w:r>
    </w:p>
    <w:p w14:paraId="6B14EFF7" w14:textId="77777777" w:rsidR="006E5097" w:rsidRPr="002D71A6" w:rsidRDefault="006E5097" w:rsidP="006E5097">
      <w:pPr>
        <w:pStyle w:val="Note"/>
      </w:pPr>
      <w:r w:rsidRPr="002D71A6">
        <w:t xml:space="preserve">NOTE – Building types referred to in this Recommendation should be considered carefully. </w:t>
      </w:r>
    </w:p>
    <w:p w14:paraId="1D46C15B" w14:textId="77777777" w:rsidR="006E5097" w:rsidRPr="002D71A6" w:rsidRDefault="006E5097" w:rsidP="006E5097">
      <w:r w:rsidRPr="002D71A6">
        <w:t>The model is based on the measurement data collated in Report ITU</w:t>
      </w:r>
      <w:r w:rsidRPr="002D71A6">
        <w:noBreakHyphen/>
        <w:t>R </w:t>
      </w:r>
      <w:hyperlink r:id="rId19" w:history="1">
        <w:r w:rsidRPr="002D71A6">
          <w:rPr>
            <w:rStyle w:val="Hyperlink"/>
            <w:color w:val="auto"/>
            <w:u w:val="none"/>
            <w:lang w:eastAsia="zh-CN"/>
          </w:rPr>
          <w:t>P.2346</w:t>
        </w:r>
      </w:hyperlink>
      <w:r w:rsidRPr="002D71A6">
        <w:t xml:space="preserve"> in the range 80 MHz to 73 GHz. The model can be used within a Monte Carlo method, but it should be noted that the model has only been validated against empirical data over the probability range 0.01 to 0.99. </w:t>
      </w:r>
    </w:p>
    <w:p w14:paraId="3E7485D1" w14:textId="77777777" w:rsidR="006E5097" w:rsidRPr="002D71A6" w:rsidRDefault="006E5097" w:rsidP="006E5097">
      <w:pPr>
        <w:pStyle w:val="Heading1"/>
      </w:pPr>
      <w:r w:rsidRPr="002D71A6">
        <w:t>2</w:t>
      </w:r>
      <w:r w:rsidRPr="002D71A6">
        <w:tab/>
        <w:t>Parameters</w:t>
      </w:r>
    </w:p>
    <w:p w14:paraId="173E80E4" w14:textId="77777777" w:rsidR="006E5097" w:rsidRPr="002D71A6" w:rsidRDefault="006E5097" w:rsidP="006E5097">
      <w:r w:rsidRPr="002D71A6">
        <w:t>The model takes the following input parameters:</w:t>
      </w:r>
    </w:p>
    <w:p w14:paraId="53E355C3" w14:textId="77777777" w:rsidR="006E5097" w:rsidRPr="002D71A6" w:rsidRDefault="006E5097" w:rsidP="006E5097">
      <w:pPr>
        <w:pStyle w:val="enumlev1"/>
      </w:pPr>
      <w:r w:rsidRPr="002D71A6">
        <w:t>–</w:t>
      </w:r>
      <w:r w:rsidRPr="002D71A6">
        <w:tab/>
        <w:t>frequency (~0.08-100 GHz);</w:t>
      </w:r>
    </w:p>
    <w:p w14:paraId="535DF6C0" w14:textId="77777777" w:rsidR="006E5097" w:rsidRPr="002D71A6" w:rsidRDefault="006E5097" w:rsidP="006E5097">
      <w:pPr>
        <w:pStyle w:val="enumlev1"/>
      </w:pPr>
      <w:r w:rsidRPr="002D71A6">
        <w:t>–</w:t>
      </w:r>
      <w:r w:rsidRPr="002D71A6">
        <w:tab/>
        <w:t>the probability with which the loss is not exceeded;</w:t>
      </w:r>
    </w:p>
    <w:p w14:paraId="56D00694" w14:textId="77777777" w:rsidR="006E5097" w:rsidRPr="002D71A6" w:rsidRDefault="006E5097" w:rsidP="006E5097">
      <w:pPr>
        <w:pStyle w:val="enumlev1"/>
      </w:pPr>
      <w:r w:rsidRPr="002D71A6">
        <w:t>–</w:t>
      </w:r>
      <w:r w:rsidRPr="002D71A6">
        <w:tab/>
        <w:t>building class (‘traditional’ or ‘thermally-efficient’);</w:t>
      </w:r>
    </w:p>
    <w:p w14:paraId="05994C03" w14:textId="77777777" w:rsidR="006E5097" w:rsidRPr="002D71A6" w:rsidRDefault="006E5097" w:rsidP="006E5097">
      <w:pPr>
        <w:pStyle w:val="enumlev1"/>
      </w:pPr>
      <w:r w:rsidRPr="002D71A6">
        <w:t>–</w:t>
      </w:r>
      <w:r w:rsidRPr="002D71A6">
        <w:tab/>
        <w:t>elevation angle of the path at the building façade (degrees above the horizontal).</w:t>
      </w:r>
    </w:p>
    <w:p w14:paraId="6505C64F" w14:textId="77777777" w:rsidR="006E5097" w:rsidRPr="002D71A6" w:rsidRDefault="006E5097" w:rsidP="006E5097">
      <w:r w:rsidRPr="002D71A6">
        <w:t>The azimuth of the path to the outdoor terminal with respect to the building surface is not accounted for explicitly. Although theory and measurement show that signals normally incident on a building surface will suffer lower loss than those arriving at oblique angles, the statistical output of the model represents the generality of building orientations with respect to the outdoor terminal.</w:t>
      </w:r>
    </w:p>
    <w:p w14:paraId="2995BFE2" w14:textId="77777777" w:rsidR="006E5097" w:rsidRPr="002D71A6" w:rsidRDefault="006E5097" w:rsidP="006E5097">
      <w:r w:rsidRPr="002D71A6">
        <w:t xml:space="preserve">The basic model assumes that the indoor antenna is omnidirectional and that the building entry loss will therefore take account of all energy arriving at the terminal location. In some cases, the internal terminal may use a directional antenna which will act as a spatial filter, increasing the apparent building entry loss as energy arriving from some directions is rejected. Measurements made in two large buildings in the Republic of Korea at 32 GHz showed that the building entry loss measured with antennas of 10 degree beamwidth was 5.3 dB greater than for the omnidirectional case. Further details may be found in Report ITU-R </w:t>
      </w:r>
      <w:hyperlink r:id="rId20" w:history="1">
        <w:r w:rsidRPr="002D71A6">
          <w:rPr>
            <w:rStyle w:val="Hyperlink"/>
            <w:color w:val="auto"/>
            <w:u w:val="none"/>
            <w:lang w:eastAsia="zh-CN"/>
          </w:rPr>
          <w:t>P.2346</w:t>
        </w:r>
      </w:hyperlink>
      <w:r w:rsidRPr="002D71A6">
        <w:t>.</w:t>
      </w:r>
    </w:p>
    <w:p w14:paraId="70EF0C41" w14:textId="5E4D0002" w:rsidR="006E5097" w:rsidRPr="002D71A6" w:rsidRDefault="006E5097" w:rsidP="006E5097">
      <w:r w:rsidRPr="002D71A6">
        <w:t xml:space="preserve">Following the definition given in Recommendation ITU-R </w:t>
      </w:r>
      <w:hyperlink r:id="rId21" w:history="1">
        <w:r w:rsidRPr="002D71A6">
          <w:rPr>
            <w:rStyle w:val="Hyperlink"/>
            <w:color w:val="auto"/>
            <w:u w:val="none"/>
            <w:lang w:eastAsia="zh-CN"/>
          </w:rPr>
          <w:t>P.2040</w:t>
        </w:r>
      </w:hyperlink>
      <w:r w:rsidRPr="002D71A6">
        <w:t xml:space="preserve">, building entry loss is here defined in isolation from any surrounding clutter. Should the building be surrounded by local clutter, additional losses may need to be determined for the relevant terminal height and position above ground using Recommendation ITU-R </w:t>
      </w:r>
      <w:hyperlink r:id="rId22" w:history="1">
        <w:r w:rsidRPr="002D71A6">
          <w:rPr>
            <w:rStyle w:val="Hyperlink"/>
            <w:color w:val="auto"/>
            <w:u w:val="none"/>
          </w:rPr>
          <w:t>P.2108</w:t>
        </w:r>
      </w:hyperlink>
      <w:r w:rsidRPr="002D71A6">
        <w:t>.</w:t>
      </w:r>
    </w:p>
    <w:p w14:paraId="1DB5FA93" w14:textId="77777777" w:rsidR="006E5097" w:rsidRPr="002D71A6" w:rsidRDefault="006E5097" w:rsidP="006E5097">
      <w:r w:rsidRPr="002D71A6">
        <w:lastRenderedPageBreak/>
        <w:t>The model makes the implicit assumption that terminals have an equal probability of location at any point within a building.</w:t>
      </w:r>
    </w:p>
    <w:p w14:paraId="695A8EAD" w14:textId="77777777" w:rsidR="006E5097" w:rsidRPr="002D71A6" w:rsidRDefault="006E5097" w:rsidP="006E5097">
      <w:pPr>
        <w:pStyle w:val="Heading2"/>
      </w:pPr>
      <w:r w:rsidRPr="002D71A6">
        <w:t>2.1</w:t>
      </w:r>
      <w:r w:rsidRPr="002D71A6">
        <w:tab/>
        <w:t>Classification of building type</w:t>
      </w:r>
    </w:p>
    <w:p w14:paraId="5220624E" w14:textId="77777777" w:rsidR="006E5097" w:rsidRPr="002D71A6" w:rsidRDefault="006E5097" w:rsidP="006E5097">
      <w:r w:rsidRPr="002D71A6">
        <w:t xml:space="preserve">Experimental results, such as those collated in Report ITU-R </w:t>
      </w:r>
      <w:hyperlink r:id="rId23" w:history="1">
        <w:r w:rsidRPr="002D71A6">
          <w:rPr>
            <w:rStyle w:val="Hyperlink"/>
            <w:color w:val="auto"/>
            <w:u w:val="none"/>
            <w:lang w:eastAsia="zh-CN"/>
          </w:rPr>
          <w:t>P.2346</w:t>
        </w:r>
      </w:hyperlink>
      <w:r w:rsidRPr="002D71A6">
        <w:t>, shows that, when characterised in terms of entry loss, buildings fall into two distinct populations: where modern, thermally-efficient building methods are used (metallised glass, foil-backed panels) building entry loss is generally significantly higher than for ‘traditional’ buildings without such materials. The model therefore gives predictions for these two cases.</w:t>
      </w:r>
    </w:p>
    <w:p w14:paraId="3F6833E9" w14:textId="77777777" w:rsidR="006E5097" w:rsidRPr="002D71A6" w:rsidRDefault="006E5097" w:rsidP="006E5097">
      <w:pPr>
        <w:rPr>
          <w:lang w:eastAsia="zh-CN"/>
        </w:rPr>
      </w:pPr>
      <w:r w:rsidRPr="002D71A6">
        <w:rPr>
          <w:lang w:eastAsia="zh-CN"/>
        </w:rPr>
        <w:t>This classification, of ‘thermally-efficient’ and ‘traditional’, refers purely to the thermal efficiency of construction materials. No assumption should be made on the year of construction, type (single or multi-floors), heritage or building method.</w:t>
      </w:r>
    </w:p>
    <w:p w14:paraId="1B9C48DD" w14:textId="77777777" w:rsidR="006E5097" w:rsidRPr="002D71A6" w:rsidRDefault="006E5097" w:rsidP="006E5097">
      <w:pPr>
        <w:rPr>
          <w:lang w:eastAsia="zh-CN"/>
        </w:rPr>
      </w:pPr>
      <w:r w:rsidRPr="002D71A6">
        <w:rPr>
          <w:lang w:eastAsia="zh-CN"/>
        </w:rPr>
        <w:t>For building entry loss, it is important to consider the thermal efficiency of the complete building (or the overall thermal efficiency). A highly thermally-efficient main structure with poorly insulated windows (e.g. single glazed with thin glass) can make the building thermally-inefficient and vice versa.</w:t>
      </w:r>
    </w:p>
    <w:p w14:paraId="55A40A3E" w14:textId="77777777" w:rsidR="006E5097" w:rsidRPr="002D71A6" w:rsidRDefault="006E5097" w:rsidP="006E5097">
      <w:pPr>
        <w:rPr>
          <w:lang w:eastAsia="zh-CN"/>
        </w:rPr>
      </w:pPr>
      <w:r w:rsidRPr="002D71A6">
        <w:rPr>
          <w:lang w:eastAsia="zh-CN"/>
        </w:rPr>
        <w:t>Thermal transmittance, commonly referred as U-value, provides a quantifiable description of thermal efficiency. Low U-values represent high thermal efficiency. Typically, the presence of metallised glass windows, insulated cavity walls, thick reinforced concrete and metal foil back cladding is a good indication</w:t>
      </w:r>
      <w:r w:rsidRPr="002D71A6">
        <w:rPr>
          <w:position w:val="6"/>
          <w:sz w:val="18"/>
          <w:lang w:eastAsia="zh-CN"/>
        </w:rPr>
        <w:footnoteReference w:id="1"/>
      </w:r>
      <w:r w:rsidRPr="002D71A6">
        <w:rPr>
          <w:lang w:eastAsia="zh-CN"/>
        </w:rPr>
        <w:t xml:space="preserve"> of a thermally-efficient building.</w:t>
      </w:r>
    </w:p>
    <w:p w14:paraId="1129E310" w14:textId="77777777" w:rsidR="006E5097" w:rsidRPr="002D71A6" w:rsidRDefault="006E5097" w:rsidP="006E5097">
      <w:pPr>
        <w:pStyle w:val="Heading1"/>
      </w:pPr>
      <w:r w:rsidRPr="002D71A6">
        <w:t>3</w:t>
      </w:r>
      <w:r w:rsidRPr="002D71A6">
        <w:tab/>
        <w:t>Model</w:t>
      </w:r>
    </w:p>
    <w:p w14:paraId="0EF89DEE" w14:textId="77777777" w:rsidR="006E5097" w:rsidRPr="002D71A6" w:rsidRDefault="006E5097" w:rsidP="006E5097">
      <w:pPr>
        <w:rPr>
          <w:lang w:eastAsia="zh-CN"/>
        </w:rPr>
      </w:pPr>
      <w:r w:rsidRPr="002D71A6">
        <w:rPr>
          <w:lang w:eastAsia="zh-CN"/>
        </w:rPr>
        <w:t xml:space="preserve">Building entry loss will vary depending on building type, location within the building and movement in the building. The building entry loss distribution is given by a combination of two lognormal distributions. The building entry loss not exceeded for the probability, </w:t>
      </w:r>
      <w:r w:rsidRPr="002D71A6">
        <w:rPr>
          <w:i/>
          <w:iCs/>
          <w:lang w:eastAsia="zh-CN"/>
        </w:rPr>
        <w:t>P</w:t>
      </w:r>
      <w:r w:rsidRPr="002D71A6">
        <w:rPr>
          <w:lang w:eastAsia="zh-CN"/>
        </w:rPr>
        <w:t>, is given by:</w:t>
      </w:r>
    </w:p>
    <w:p w14:paraId="72CF6104" w14:textId="77777777" w:rsidR="006E5097" w:rsidRPr="00D14596" w:rsidRDefault="006E5097" w:rsidP="006E5097">
      <w:pPr>
        <w:pStyle w:val="Equation"/>
        <w:rPr>
          <w:lang w:val="de-CH" w:eastAsia="zh-CN"/>
        </w:rPr>
      </w:pPr>
      <w:r w:rsidRPr="002D71A6">
        <w:rPr>
          <w:lang w:eastAsia="zh-CN"/>
        </w:rPr>
        <w:tab/>
      </w:r>
      <w:r w:rsidRPr="002D71A6">
        <w:rPr>
          <w:lang w:eastAsia="zh-CN"/>
        </w:rPr>
        <w:tab/>
      </w:r>
      <m:oMath>
        <m:sSubSup>
          <m:sSubSupPr>
            <m:ctrlPr>
              <w:rPr>
                <w:rFonts w:ascii="Cambria Math" w:hAnsi="Cambria Math"/>
                <w:i/>
                <w:lang w:eastAsia="zh-CN"/>
              </w:rPr>
            </m:ctrlPr>
          </m:sSubSupPr>
          <m:e>
            <m:r>
              <w:rPr>
                <w:rFonts w:ascii="Cambria Math" w:hAnsi="Cambria Math"/>
                <w:lang w:eastAsia="zh-CN"/>
              </w:rPr>
              <m:t>L</m:t>
            </m:r>
          </m:e>
          <m:sub>
            <m:r>
              <w:rPr>
                <w:rFonts w:ascii="Cambria Math" w:hAnsi="Cambria Math"/>
                <w:lang w:eastAsia="zh-CN"/>
              </w:rPr>
              <m:t>BEL</m:t>
            </m:r>
          </m:sub>
          <m:sup>
            <m:r>
              <w:rPr>
                <w:rFonts w:ascii="Cambria Math" w:hAnsi="Cambria Math"/>
                <w:lang w:eastAsia="zh-CN"/>
              </w:rPr>
              <m:t>omni</m:t>
            </m:r>
          </m:sup>
        </m:sSubSup>
        <m:r>
          <w:rPr>
            <w:rFonts w:ascii="Cambria Math" w:hAnsi="Cambria Math"/>
            <w:lang w:val="de-CH" w:eastAsia="zh-CN"/>
          </w:rPr>
          <m:t>(</m:t>
        </m:r>
        <m:r>
          <w:rPr>
            <w:rFonts w:ascii="Cambria Math" w:hAnsi="Cambria Math"/>
            <w:lang w:eastAsia="zh-CN"/>
          </w:rPr>
          <m:t>P</m:t>
        </m:r>
        <m:r>
          <w:rPr>
            <w:rFonts w:ascii="Cambria Math" w:hAnsi="Cambria Math"/>
            <w:lang w:val="de-CH" w:eastAsia="zh-CN"/>
          </w:rPr>
          <m:t>)</m:t>
        </m:r>
        <m:r>
          <m:rPr>
            <m:sty m:val="p"/>
          </m:rPr>
          <w:rPr>
            <w:rFonts w:ascii="Cambria Math" w:hAnsi="Cambria Math"/>
            <w:lang w:val="de-CH" w:eastAsia="zh-CN"/>
          </w:rPr>
          <m:t>=10log(</m:t>
        </m:r>
        <m:sSup>
          <m:sSupPr>
            <m:ctrlPr>
              <w:rPr>
                <w:rFonts w:ascii="Cambria Math" w:hAnsi="Cambria Math"/>
                <w:lang w:eastAsia="zh-CN"/>
              </w:rPr>
            </m:ctrlPr>
          </m:sSupPr>
          <m:e>
            <m:r>
              <m:rPr>
                <m:sty m:val="p"/>
              </m:rPr>
              <w:rPr>
                <w:rFonts w:ascii="Cambria Math" w:hAnsi="Cambria Math"/>
                <w:lang w:val="de-CH" w:eastAsia="zh-CN"/>
              </w:rPr>
              <m:t>10</m:t>
            </m:r>
          </m:e>
          <m:sup>
            <m:r>
              <m:rPr>
                <m:sty m:val="p"/>
              </m:rPr>
              <w:rPr>
                <w:rFonts w:ascii="Cambria Math" w:hAnsi="Cambria Math"/>
                <w:lang w:val="de-CH" w:eastAsia="zh-CN"/>
              </w:rPr>
              <m:t>0.1</m:t>
            </m:r>
            <m:r>
              <w:rPr>
                <w:rFonts w:ascii="Cambria Math" w:hAnsi="Cambria Math"/>
                <w:lang w:eastAsia="zh-CN"/>
              </w:rPr>
              <m:t>A</m:t>
            </m:r>
            <m:r>
              <m:rPr>
                <m:sty m:val="p"/>
              </m:rPr>
              <w:rPr>
                <w:rFonts w:ascii="Cambria Math" w:hAnsi="Cambria Math"/>
                <w:lang w:val="de-CH" w:eastAsia="zh-CN"/>
              </w:rPr>
              <m:t>(</m:t>
            </m:r>
            <m:r>
              <w:rPr>
                <w:rFonts w:ascii="Cambria Math" w:hAnsi="Cambria Math"/>
                <w:lang w:eastAsia="zh-CN"/>
              </w:rPr>
              <m:t>P</m:t>
            </m:r>
            <m:r>
              <m:rPr>
                <m:sty m:val="p"/>
              </m:rPr>
              <w:rPr>
                <w:rFonts w:ascii="Cambria Math" w:hAnsi="Cambria Math"/>
                <w:lang w:val="de-CH" w:eastAsia="zh-CN"/>
              </w:rPr>
              <m:t>)</m:t>
            </m:r>
          </m:sup>
        </m:sSup>
        <m:r>
          <m:rPr>
            <m:sty m:val="p"/>
          </m:rPr>
          <w:rPr>
            <w:rFonts w:ascii="Cambria Math" w:hAnsi="Cambria Math"/>
            <w:lang w:val="de-CH" w:eastAsia="zh-CN"/>
          </w:rPr>
          <m:t>+</m:t>
        </m:r>
        <m:sSup>
          <m:sSupPr>
            <m:ctrlPr>
              <w:rPr>
                <w:rFonts w:ascii="Cambria Math" w:hAnsi="Cambria Math"/>
                <w:lang w:eastAsia="zh-CN"/>
              </w:rPr>
            </m:ctrlPr>
          </m:sSupPr>
          <m:e>
            <m:r>
              <m:rPr>
                <m:sty m:val="p"/>
              </m:rPr>
              <w:rPr>
                <w:rFonts w:ascii="Cambria Math" w:hAnsi="Cambria Math"/>
                <w:lang w:val="de-CH" w:eastAsia="zh-CN"/>
              </w:rPr>
              <m:t>10</m:t>
            </m:r>
          </m:e>
          <m:sup>
            <m:r>
              <m:rPr>
                <m:sty m:val="p"/>
              </m:rPr>
              <w:rPr>
                <w:rFonts w:ascii="Cambria Math" w:hAnsi="Cambria Math"/>
                <w:lang w:val="de-CH" w:eastAsia="zh-CN"/>
              </w:rPr>
              <m:t>0.1</m:t>
            </m:r>
            <m:r>
              <w:rPr>
                <w:rFonts w:ascii="Cambria Math" w:hAnsi="Cambria Math"/>
                <w:lang w:eastAsia="zh-CN"/>
              </w:rPr>
              <m:t>B</m:t>
            </m:r>
            <m:r>
              <m:rPr>
                <m:sty m:val="p"/>
              </m:rPr>
              <w:rPr>
                <w:rFonts w:ascii="Cambria Math" w:hAnsi="Cambria Math"/>
                <w:lang w:val="de-CH" w:eastAsia="zh-CN"/>
              </w:rPr>
              <m:t>(</m:t>
            </m:r>
            <m:r>
              <w:rPr>
                <w:rFonts w:ascii="Cambria Math" w:hAnsi="Cambria Math"/>
                <w:lang w:eastAsia="zh-CN"/>
              </w:rPr>
              <m:t>P</m:t>
            </m:r>
            <m:r>
              <m:rPr>
                <m:sty m:val="p"/>
              </m:rPr>
              <w:rPr>
                <w:rFonts w:ascii="Cambria Math" w:hAnsi="Cambria Math"/>
                <w:lang w:val="de-CH" w:eastAsia="zh-CN"/>
              </w:rPr>
              <m:t>)</m:t>
            </m:r>
          </m:sup>
        </m:sSup>
        <m:r>
          <m:rPr>
            <m:sty m:val="p"/>
          </m:rPr>
          <w:rPr>
            <w:rFonts w:ascii="Cambria Math" w:hAnsi="Cambria Math"/>
            <w:lang w:val="de-CH" w:eastAsia="zh-CN"/>
          </w:rPr>
          <m:t>+</m:t>
        </m:r>
        <m:sSup>
          <m:sSupPr>
            <m:ctrlPr>
              <w:rPr>
                <w:rFonts w:ascii="Cambria Math" w:hAnsi="Cambria Math"/>
                <w:lang w:eastAsia="zh-CN"/>
              </w:rPr>
            </m:ctrlPr>
          </m:sSupPr>
          <m:e>
            <m:r>
              <m:rPr>
                <m:sty m:val="p"/>
              </m:rPr>
              <w:rPr>
                <w:rFonts w:ascii="Cambria Math" w:hAnsi="Cambria Math"/>
                <w:lang w:val="de-CH" w:eastAsia="zh-CN"/>
              </w:rPr>
              <m:t>10</m:t>
            </m:r>
          </m:e>
          <m:sup>
            <m:r>
              <m:rPr>
                <m:sty m:val="p"/>
              </m:rPr>
              <w:rPr>
                <w:rFonts w:ascii="Cambria Math" w:hAnsi="Cambria Math"/>
                <w:lang w:val="de-CH" w:eastAsia="zh-CN"/>
              </w:rPr>
              <m:t>0.1</m:t>
            </m:r>
            <m:r>
              <w:rPr>
                <w:rFonts w:ascii="Cambria Math" w:hAnsi="Cambria Math"/>
                <w:lang w:eastAsia="zh-CN"/>
              </w:rPr>
              <m:t>C</m:t>
            </m:r>
          </m:sup>
        </m:sSup>
        <m:r>
          <m:rPr>
            <m:sty m:val="p"/>
          </m:rPr>
          <w:rPr>
            <w:rFonts w:ascii="Cambria Math" w:hAnsi="Cambria Math"/>
            <w:lang w:val="de-CH" w:eastAsia="zh-CN"/>
          </w:rPr>
          <m:t xml:space="preserve"> )</m:t>
        </m:r>
      </m:oMath>
      <w:r w:rsidRPr="00D14596">
        <w:rPr>
          <w:lang w:val="de-CH" w:eastAsia="zh-CN"/>
        </w:rPr>
        <w:t xml:space="preserve">  dB</w:t>
      </w:r>
      <w:r w:rsidRPr="00D14596">
        <w:rPr>
          <w:lang w:val="de-CH" w:eastAsia="zh-CN"/>
        </w:rPr>
        <w:tab/>
        <w:t>(1)</w:t>
      </w:r>
    </w:p>
    <w:p w14:paraId="18C9C114" w14:textId="77777777" w:rsidR="006E5097" w:rsidRPr="002D71A6" w:rsidRDefault="006E5097" w:rsidP="006E5097">
      <w:pPr>
        <w:rPr>
          <w:lang w:eastAsia="zh-CN"/>
        </w:rPr>
      </w:pPr>
      <w:r w:rsidRPr="002D71A6">
        <w:rPr>
          <w:lang w:eastAsia="zh-CN"/>
        </w:rPr>
        <w:t>where:</w:t>
      </w:r>
    </w:p>
    <w:p w14:paraId="0F00E207" w14:textId="77777777" w:rsidR="006E5097" w:rsidRPr="002D71A6" w:rsidRDefault="006E5097" w:rsidP="006E5097">
      <w:pPr>
        <w:pStyle w:val="Equation"/>
        <w:rPr>
          <w:lang w:eastAsia="zh-CN"/>
        </w:rPr>
      </w:pPr>
      <w:r w:rsidRPr="002D71A6">
        <w:rPr>
          <w:lang w:eastAsia="zh-CN"/>
        </w:rPr>
        <w:tab/>
      </w:r>
      <w:r w:rsidRPr="002D71A6">
        <w:rPr>
          <w:lang w:eastAsia="zh-CN"/>
        </w:rPr>
        <w:tab/>
      </w:r>
      <m:oMath>
        <m:r>
          <w:rPr>
            <w:rFonts w:ascii="Cambria Math" w:hAnsi="Cambria Math"/>
            <w:lang w:eastAsia="zh-CN"/>
          </w:rPr>
          <m:t>A</m:t>
        </m:r>
        <m:d>
          <m:dPr>
            <m:ctrlPr>
              <w:rPr>
                <w:rFonts w:ascii="Cambria Math" w:hAnsi="Cambria Math"/>
                <w:lang w:eastAsia="zh-CN"/>
              </w:rPr>
            </m:ctrlPr>
          </m:dPr>
          <m:e>
            <m:r>
              <w:rPr>
                <w:rFonts w:ascii="Cambria Math" w:hAnsi="Cambria Math"/>
                <w:lang w:eastAsia="zh-CN"/>
              </w:rPr>
              <m:t>P</m:t>
            </m:r>
          </m:e>
        </m:d>
        <m:r>
          <m:rPr>
            <m:sty m:val="p"/>
          </m:rPr>
          <w:rPr>
            <w:rFonts w:ascii="Cambria Math" w:hAnsi="Cambria Math"/>
            <w:lang w:eastAsia="zh-CN"/>
          </w:rPr>
          <m:t>=</m:t>
        </m:r>
        <m:sSub>
          <m:sSubPr>
            <m:ctrlPr>
              <w:rPr>
                <w:rFonts w:ascii="Cambria Math" w:hAnsi="Cambria Math"/>
                <w:lang w:eastAsia="zh-CN"/>
              </w:rPr>
            </m:ctrlPr>
          </m:sSubPr>
          <m:e>
            <m:sSup>
              <m:sSupPr>
                <m:ctrlPr>
                  <w:rPr>
                    <w:rFonts w:ascii="Cambria Math" w:hAnsi="Cambria Math"/>
                    <w:vertAlign w:val="superscript"/>
                    <w:lang w:eastAsia="zh-CN"/>
                  </w:rPr>
                </m:ctrlPr>
              </m:sSupPr>
              <m:e>
                <m:r>
                  <w:rPr>
                    <w:rFonts w:ascii="Cambria Math" w:hAnsi="Cambria Math"/>
                    <w:vertAlign w:val="superscript"/>
                    <w:lang w:eastAsia="zh-CN"/>
                  </w:rPr>
                  <m:t>F</m:t>
                </m:r>
              </m:e>
              <m:sup>
                <m:r>
                  <w:rPr>
                    <w:rFonts w:ascii="Cambria Math" w:hAnsi="Cambria Math"/>
                    <w:vertAlign w:val="superscript"/>
                    <w:lang w:eastAsia="zh-CN"/>
                  </w:rPr>
                  <m:t>-1</m:t>
                </m:r>
              </m:sup>
            </m:sSup>
            <m:d>
              <m:dPr>
                <m:ctrlPr>
                  <w:rPr>
                    <w:rFonts w:ascii="Cambria Math" w:hAnsi="Cambria Math"/>
                    <w:lang w:eastAsia="zh-CN"/>
                  </w:rPr>
                </m:ctrlPr>
              </m:dPr>
              <m:e>
                <m:r>
                  <w:rPr>
                    <w:rFonts w:ascii="Cambria Math" w:hAnsi="Cambria Math"/>
                    <w:lang w:eastAsia="zh-CN"/>
                  </w:rPr>
                  <m:t>P</m:t>
                </m:r>
              </m:e>
            </m:d>
            <m:r>
              <m:rPr>
                <m:sty m:val="p"/>
              </m:rPr>
              <w:rPr>
                <w:rFonts w:ascii="Cambria Math" w:hAnsi="Cambria Math"/>
                <w:lang w:eastAsia="zh-CN"/>
              </w:rPr>
              <m:t>σ</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μ</m:t>
            </m:r>
          </m:e>
          <m:sub>
            <m:r>
              <m:rPr>
                <m:sty m:val="p"/>
              </m:rPr>
              <w:rPr>
                <w:rFonts w:ascii="Cambria Math" w:hAnsi="Cambria Math"/>
                <w:lang w:eastAsia="zh-CN"/>
              </w:rPr>
              <m:t>1</m:t>
            </m:r>
          </m:sub>
        </m:sSub>
      </m:oMath>
      <w:r w:rsidRPr="002D71A6">
        <w:rPr>
          <w:lang w:eastAsia="zh-CN"/>
        </w:rPr>
        <w:tab/>
        <w:t>(2)</w:t>
      </w:r>
    </w:p>
    <w:p w14:paraId="2FEBDE24" w14:textId="77777777" w:rsidR="006E5097" w:rsidRPr="002D71A6" w:rsidRDefault="006E5097" w:rsidP="006E5097">
      <w:pPr>
        <w:pStyle w:val="Equation"/>
        <w:rPr>
          <w:lang w:eastAsia="zh-CN"/>
        </w:rPr>
      </w:pPr>
      <w:r w:rsidRPr="002D71A6">
        <w:rPr>
          <w:lang w:eastAsia="zh-CN"/>
        </w:rPr>
        <w:tab/>
      </w:r>
      <w:r w:rsidRPr="002D71A6">
        <w:rPr>
          <w:lang w:eastAsia="zh-CN"/>
        </w:rPr>
        <w:tab/>
      </w:r>
      <m:oMath>
        <m:r>
          <w:rPr>
            <w:rFonts w:ascii="Cambria Math" w:hAnsi="Cambria Math"/>
            <w:lang w:eastAsia="zh-CN"/>
          </w:rPr>
          <m:t>B</m:t>
        </m:r>
        <m:d>
          <m:dPr>
            <m:ctrlPr>
              <w:rPr>
                <w:rFonts w:ascii="Cambria Math" w:hAnsi="Cambria Math"/>
                <w:lang w:eastAsia="zh-CN"/>
              </w:rPr>
            </m:ctrlPr>
          </m:dPr>
          <m:e>
            <m:r>
              <w:rPr>
                <w:rFonts w:ascii="Cambria Math" w:hAnsi="Cambria Math"/>
                <w:lang w:eastAsia="zh-CN"/>
              </w:rPr>
              <m:t>P</m:t>
            </m:r>
          </m:e>
        </m:d>
        <m:r>
          <m:rPr>
            <m:sty m:val="p"/>
          </m:rPr>
          <w:rPr>
            <w:rFonts w:ascii="Cambria Math" w:hAnsi="Cambria Math"/>
            <w:lang w:eastAsia="zh-CN"/>
          </w:rPr>
          <m:t>=</m:t>
        </m:r>
        <m:sSub>
          <m:sSubPr>
            <m:ctrlPr>
              <w:rPr>
                <w:rFonts w:ascii="Cambria Math" w:hAnsi="Cambria Math"/>
                <w:lang w:eastAsia="zh-CN"/>
              </w:rPr>
            </m:ctrlPr>
          </m:sSubPr>
          <m:e>
            <m:sSup>
              <m:sSupPr>
                <m:ctrlPr>
                  <w:rPr>
                    <w:rFonts w:ascii="Cambria Math" w:hAnsi="Cambria Math"/>
                    <w:vertAlign w:val="superscript"/>
                    <w:lang w:eastAsia="zh-CN"/>
                  </w:rPr>
                </m:ctrlPr>
              </m:sSupPr>
              <m:e>
                <m:r>
                  <w:rPr>
                    <w:rFonts w:ascii="Cambria Math" w:hAnsi="Cambria Math"/>
                    <w:vertAlign w:val="superscript"/>
                    <w:lang w:eastAsia="zh-CN"/>
                  </w:rPr>
                  <m:t>F</m:t>
                </m:r>
              </m:e>
              <m:sup>
                <m:r>
                  <w:rPr>
                    <w:rFonts w:ascii="Cambria Math" w:hAnsi="Cambria Math"/>
                    <w:vertAlign w:val="superscript"/>
                    <w:lang w:eastAsia="zh-CN"/>
                  </w:rPr>
                  <m:t>-1</m:t>
                </m:r>
              </m:sup>
            </m:sSup>
            <m:d>
              <m:dPr>
                <m:ctrlPr>
                  <w:rPr>
                    <w:rFonts w:ascii="Cambria Math" w:hAnsi="Cambria Math"/>
                    <w:lang w:eastAsia="zh-CN"/>
                  </w:rPr>
                </m:ctrlPr>
              </m:dPr>
              <m:e>
                <m:r>
                  <w:rPr>
                    <w:rFonts w:ascii="Cambria Math" w:hAnsi="Cambria Math"/>
                    <w:lang w:eastAsia="zh-CN"/>
                  </w:rPr>
                  <m:t>P</m:t>
                </m:r>
              </m:e>
            </m:d>
            <m:r>
              <m:rPr>
                <m:sty m:val="p"/>
              </m:rPr>
              <w:rPr>
                <w:rFonts w:ascii="Cambria Math" w:hAnsi="Cambria Math"/>
                <w:lang w:eastAsia="zh-CN"/>
              </w:rPr>
              <m:t>σ</m:t>
            </m:r>
          </m:e>
          <m:sub>
            <m:r>
              <m:rPr>
                <m:sty m:val="p"/>
              </m:rPr>
              <w:rPr>
                <w:rFonts w:ascii="Cambria Math" w:hAnsi="Cambria Math"/>
                <w:lang w:eastAsia="zh-CN"/>
              </w:rPr>
              <m:t>2</m:t>
            </m:r>
          </m:sub>
        </m:sSub>
        <m:r>
          <m:rPr>
            <m:sty m:val="p"/>
          </m:rP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μ</m:t>
            </m:r>
          </m:e>
          <m:sub>
            <m:r>
              <m:rPr>
                <m:sty m:val="p"/>
              </m:rPr>
              <w:rPr>
                <w:rFonts w:ascii="Cambria Math" w:hAnsi="Cambria Math"/>
                <w:lang w:eastAsia="zh-CN"/>
              </w:rPr>
              <m:t>2</m:t>
            </m:r>
          </m:sub>
        </m:sSub>
      </m:oMath>
      <w:r w:rsidRPr="002D71A6">
        <w:rPr>
          <w:lang w:eastAsia="zh-CN"/>
        </w:rPr>
        <w:tab/>
        <w:t>(3)</w:t>
      </w:r>
    </w:p>
    <w:p w14:paraId="06B5DC61" w14:textId="77777777" w:rsidR="006E5097" w:rsidRPr="002D71A6" w:rsidRDefault="006E5097" w:rsidP="006E5097">
      <w:pPr>
        <w:pStyle w:val="Equation"/>
        <w:rPr>
          <w:lang w:eastAsia="zh-CN"/>
        </w:rPr>
      </w:pPr>
      <w:r w:rsidRPr="002D71A6">
        <w:rPr>
          <w:lang w:eastAsia="zh-CN"/>
        </w:rPr>
        <w:tab/>
      </w:r>
      <w:r w:rsidRPr="002D71A6">
        <w:rPr>
          <w:lang w:eastAsia="zh-CN"/>
        </w:rPr>
        <w:tab/>
      </w:r>
      <m:oMath>
        <m:r>
          <w:rPr>
            <w:rFonts w:ascii="Cambria Math" w:hAnsi="Cambria Math"/>
            <w:lang w:eastAsia="zh-CN"/>
          </w:rPr>
          <m:t>C</m:t>
        </m:r>
        <m:r>
          <m:rPr>
            <m:sty m:val="p"/>
          </m:rPr>
          <w:rPr>
            <w:rFonts w:ascii="Cambria Math" w:hAnsi="Cambria Math"/>
            <w:lang w:eastAsia="zh-CN"/>
          </w:rPr>
          <m:t>=-3.0</m:t>
        </m:r>
      </m:oMath>
      <w:r w:rsidRPr="002D71A6">
        <w:rPr>
          <w:lang w:eastAsia="zh-CN"/>
        </w:rPr>
        <w:tab/>
        <w:t>(4)</w:t>
      </w:r>
    </w:p>
    <w:p w14:paraId="09D42BCA" w14:textId="77777777" w:rsidR="006E5097" w:rsidRPr="002D71A6" w:rsidRDefault="006E5097" w:rsidP="006E5097">
      <w:pPr>
        <w:pStyle w:val="Equation"/>
        <w:rPr>
          <w:lang w:eastAsia="zh-CN"/>
        </w:rPr>
      </w:pPr>
      <w:r w:rsidRPr="002D71A6">
        <w:rPr>
          <w:lang w:eastAsia="zh-CN"/>
        </w:rPr>
        <w:tab/>
      </w:r>
      <w:r w:rsidRPr="002D71A6">
        <w:rPr>
          <w:lang w:eastAsia="zh-CN"/>
        </w:rPr>
        <w:tab/>
      </w:r>
      <m:oMath>
        <m:sSub>
          <m:sSubPr>
            <m:ctrlPr>
              <w:rPr>
                <w:rFonts w:ascii="Cambria Math" w:hAnsi="Cambria Math"/>
                <w:lang w:eastAsia="zh-CN"/>
              </w:rPr>
            </m:ctrlPr>
          </m:sSubPr>
          <m:e>
            <m:r>
              <m:rPr>
                <m:sty m:val="p"/>
              </m:rPr>
              <w:rPr>
                <w:rFonts w:ascii="Cambria Math" w:hAnsi="Cambria Math"/>
                <w:lang w:eastAsia="zh-CN"/>
              </w:rPr>
              <m:t>μ</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L</m:t>
            </m:r>
          </m:e>
          <m:sub>
            <m:r>
              <w:rPr>
                <w:rFonts w:ascii="Cambria Math" w:hAnsi="Cambria Math"/>
                <w:lang w:eastAsia="zh-CN"/>
              </w:rPr>
              <m:t>h</m:t>
            </m:r>
          </m:sub>
        </m:sSub>
        <m:r>
          <m:rPr>
            <m:sty m:val="p"/>
          </m:rP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L</m:t>
            </m:r>
          </m:e>
          <m:sub>
            <m:r>
              <w:rPr>
                <w:rFonts w:ascii="Cambria Math" w:hAnsi="Cambria Math"/>
                <w:lang w:eastAsia="zh-CN"/>
              </w:rPr>
              <m:t>e</m:t>
            </m:r>
          </m:sub>
        </m:sSub>
      </m:oMath>
      <w:r w:rsidRPr="002D71A6">
        <w:rPr>
          <w:lang w:eastAsia="zh-CN"/>
        </w:rPr>
        <w:tab/>
        <w:t>(5)</w:t>
      </w:r>
    </w:p>
    <w:p w14:paraId="2BA0A0DA" w14:textId="77777777" w:rsidR="006E5097" w:rsidRPr="002D71A6" w:rsidRDefault="006E5097" w:rsidP="006E5097">
      <w:pPr>
        <w:pStyle w:val="Equation"/>
        <w:rPr>
          <w:lang w:eastAsia="zh-CN"/>
        </w:rPr>
      </w:pPr>
      <w:r w:rsidRPr="002D71A6">
        <w:rPr>
          <w:lang w:eastAsia="zh-CN"/>
        </w:rPr>
        <w:tab/>
      </w:r>
      <w:r w:rsidRPr="002D71A6">
        <w:rPr>
          <w:lang w:eastAsia="zh-CN"/>
        </w:rPr>
        <w:tab/>
      </w:r>
      <m:oMath>
        <m:sSub>
          <m:sSubPr>
            <m:ctrlPr>
              <w:rPr>
                <w:rFonts w:ascii="Cambria Math" w:hAnsi="Cambria Math"/>
                <w:lang w:eastAsia="zh-CN"/>
              </w:rPr>
            </m:ctrlPr>
          </m:sSubPr>
          <m:e>
            <m:r>
              <m:rPr>
                <m:sty m:val="p"/>
              </m:rPr>
              <w:rPr>
                <w:rFonts w:ascii="Cambria Math" w:hAnsi="Cambria Math"/>
                <w:lang w:eastAsia="zh-CN"/>
              </w:rPr>
              <m:t>μ</m:t>
            </m:r>
          </m:e>
          <m:sub>
            <m:r>
              <m:rPr>
                <m:sty m:val="p"/>
              </m:rPr>
              <w:rPr>
                <w:rFonts w:ascii="Cambria Math" w:hAnsi="Cambria Math"/>
                <w:lang w:eastAsia="zh-CN"/>
              </w:rPr>
              <m:t>2</m:t>
            </m:r>
          </m:sub>
        </m:sSub>
        <m:r>
          <m:rPr>
            <m:sty m:val="p"/>
          </m:rPr>
          <w:rPr>
            <w:rFonts w:ascii="Cambria Math" w:hAnsi="Cambria Math"/>
            <w:lang w:eastAsia="zh-CN"/>
          </w:rPr>
          <m:t>=</m:t>
        </m:r>
        <m:r>
          <w:rPr>
            <w:rFonts w:ascii="Cambria Math" w:hAnsi="Cambria Math"/>
            <w:lang w:eastAsia="zh-CN"/>
          </w:rPr>
          <m:t>w</m:t>
        </m:r>
        <m:r>
          <m:rPr>
            <m:sty m:val="p"/>
          </m:rPr>
          <w:rPr>
            <w:rFonts w:ascii="Cambria Math" w:hAnsi="Cambria Math"/>
            <w:lang w:eastAsia="zh-CN"/>
          </w:rPr>
          <m:t>+</m:t>
        </m:r>
        <m:r>
          <w:rPr>
            <w:rFonts w:ascii="Cambria Math" w:hAnsi="Cambria Math"/>
            <w:lang w:eastAsia="zh-CN"/>
          </w:rPr>
          <m:t xml:space="preserve">x </m:t>
        </m:r>
        <m:r>
          <m:rPr>
            <m:sty m:val="p"/>
          </m:rPr>
          <w:rPr>
            <w:rFonts w:ascii="Cambria Math" w:hAnsi="Cambria Math"/>
            <w:lang w:eastAsia="zh-CN"/>
          </w:rPr>
          <m:t>log(</m:t>
        </m:r>
        <m:r>
          <w:rPr>
            <w:rFonts w:ascii="Cambria Math" w:hAnsi="Cambria Math"/>
            <w:lang w:eastAsia="zh-CN"/>
          </w:rPr>
          <m:t>f</m:t>
        </m:r>
        <m:r>
          <m:rPr>
            <m:sty m:val="p"/>
          </m:rPr>
          <w:rPr>
            <w:rFonts w:ascii="Cambria Math" w:hAnsi="Cambria Math"/>
            <w:lang w:eastAsia="zh-CN"/>
          </w:rPr>
          <m:t>)</m:t>
        </m:r>
      </m:oMath>
      <w:r w:rsidRPr="002D71A6">
        <w:rPr>
          <w:lang w:eastAsia="zh-CN"/>
        </w:rPr>
        <w:tab/>
        <w:t>(6)</w:t>
      </w:r>
    </w:p>
    <w:p w14:paraId="4C479513" w14:textId="77777777" w:rsidR="006E5097" w:rsidRPr="002D71A6" w:rsidRDefault="006E5097" w:rsidP="006E5097">
      <w:pPr>
        <w:pStyle w:val="Equation"/>
        <w:rPr>
          <w:lang w:eastAsia="zh-CN"/>
        </w:rPr>
      </w:pPr>
      <w:r w:rsidRPr="002D71A6">
        <w:rPr>
          <w:lang w:eastAsia="zh-CN"/>
        </w:rPr>
        <w:tab/>
      </w:r>
      <w:r w:rsidRPr="002D71A6">
        <w:rPr>
          <w:lang w:eastAsia="zh-CN"/>
        </w:rPr>
        <w:tab/>
      </w:r>
      <m:oMath>
        <m:sSub>
          <m:sSubPr>
            <m:ctrlPr>
              <w:rPr>
                <w:rFonts w:ascii="Cambria Math" w:hAnsi="Cambria Math"/>
                <w:lang w:eastAsia="zh-CN"/>
              </w:rPr>
            </m:ctrlPr>
          </m:sSubPr>
          <m:e>
            <m:r>
              <m:rPr>
                <m:sty m:val="p"/>
              </m:rPr>
              <w:rPr>
                <w:rFonts w:ascii="Cambria Math" w:hAnsi="Cambria Math"/>
                <w:lang w:eastAsia="zh-CN"/>
              </w:rPr>
              <m:t>σ</m:t>
            </m:r>
          </m:e>
          <m:sub>
            <m:r>
              <m:rPr>
                <m:sty m:val="p"/>
              </m:rPr>
              <w:rPr>
                <w:rFonts w:ascii="Cambria Math" w:hAnsi="Cambria Math"/>
                <w:lang w:eastAsia="zh-CN"/>
              </w:rPr>
              <m:t>1</m:t>
            </m:r>
          </m:sub>
        </m:sSub>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lang w:eastAsia="zh-CN"/>
          </w:rPr>
          <m:t xml:space="preserve">v </m:t>
        </m:r>
        <m:r>
          <m:rPr>
            <m:sty m:val="p"/>
          </m:rPr>
          <w:rPr>
            <w:rFonts w:ascii="Cambria Math" w:hAnsi="Cambria Math"/>
            <w:lang w:eastAsia="zh-CN"/>
          </w:rPr>
          <m:t>log(</m:t>
        </m:r>
        <m:r>
          <w:rPr>
            <w:rFonts w:ascii="Cambria Math" w:hAnsi="Cambria Math"/>
            <w:lang w:eastAsia="zh-CN"/>
          </w:rPr>
          <m:t>f</m:t>
        </m:r>
        <m:r>
          <m:rPr>
            <m:sty m:val="p"/>
          </m:rPr>
          <w:rPr>
            <w:rFonts w:ascii="Cambria Math" w:hAnsi="Cambria Math"/>
            <w:lang w:eastAsia="zh-CN"/>
          </w:rPr>
          <m:t>)</m:t>
        </m:r>
      </m:oMath>
      <w:r w:rsidRPr="002D71A6">
        <w:rPr>
          <w:lang w:eastAsia="zh-CN"/>
        </w:rPr>
        <w:tab/>
        <w:t>(7)</w:t>
      </w:r>
    </w:p>
    <w:p w14:paraId="712ED77C" w14:textId="77777777" w:rsidR="006E5097" w:rsidRPr="002D71A6" w:rsidRDefault="006E5097" w:rsidP="006E5097">
      <w:pPr>
        <w:pStyle w:val="Equation"/>
        <w:rPr>
          <w:lang w:eastAsia="zh-CN"/>
        </w:rPr>
      </w:pPr>
      <w:r w:rsidRPr="002D71A6">
        <w:rPr>
          <w:lang w:eastAsia="zh-CN"/>
        </w:rPr>
        <w:tab/>
      </w:r>
      <w:r w:rsidRPr="002D71A6">
        <w:rPr>
          <w:lang w:eastAsia="zh-CN"/>
        </w:rPr>
        <w:tab/>
      </w:r>
      <m:oMath>
        <m:sSub>
          <m:sSubPr>
            <m:ctrlPr>
              <w:rPr>
                <w:rFonts w:ascii="Cambria Math" w:hAnsi="Cambria Math"/>
                <w:lang w:eastAsia="zh-CN"/>
              </w:rPr>
            </m:ctrlPr>
          </m:sSubPr>
          <m:e>
            <m:r>
              <m:rPr>
                <m:sty m:val="p"/>
              </m:rPr>
              <w:rPr>
                <w:rFonts w:ascii="Cambria Math" w:hAnsi="Cambria Math"/>
                <w:lang w:eastAsia="zh-CN"/>
              </w:rPr>
              <m:t>σ</m:t>
            </m:r>
          </m:e>
          <m:sub>
            <m:r>
              <m:rPr>
                <m:sty m:val="p"/>
              </m:rPr>
              <w:rPr>
                <w:rFonts w:ascii="Cambria Math" w:hAnsi="Cambria Math"/>
                <w:lang w:eastAsia="zh-CN"/>
              </w:rPr>
              <m:t>2</m:t>
            </m:r>
          </m:sub>
        </m:sSub>
        <m:r>
          <m:rPr>
            <m:sty m:val="p"/>
          </m:rPr>
          <w:rPr>
            <w:rFonts w:ascii="Cambria Math" w:hAnsi="Cambria Math"/>
            <w:lang w:eastAsia="zh-CN"/>
          </w:rPr>
          <m:t>=</m:t>
        </m:r>
        <m:r>
          <w:rPr>
            <w:rFonts w:ascii="Cambria Math" w:hAnsi="Cambria Math"/>
            <w:lang w:eastAsia="zh-CN"/>
          </w:rPr>
          <m:t>y</m:t>
        </m:r>
        <m:r>
          <m:rPr>
            <m:sty m:val="p"/>
          </m:rPr>
          <w:rPr>
            <w:rFonts w:ascii="Cambria Math" w:hAnsi="Cambria Math"/>
            <w:lang w:eastAsia="zh-CN"/>
          </w:rPr>
          <m:t>+</m:t>
        </m:r>
        <m:r>
          <w:rPr>
            <w:rFonts w:ascii="Cambria Math" w:hAnsi="Cambria Math"/>
            <w:lang w:eastAsia="zh-CN"/>
          </w:rPr>
          <m:t xml:space="preserve">z </m:t>
        </m:r>
        <m:r>
          <m:rPr>
            <m:sty m:val="p"/>
          </m:rPr>
          <w:rPr>
            <w:rFonts w:ascii="Cambria Math" w:hAnsi="Cambria Math"/>
            <w:lang w:eastAsia="zh-CN"/>
          </w:rPr>
          <m:t>log(</m:t>
        </m:r>
        <m:r>
          <w:rPr>
            <w:rFonts w:ascii="Cambria Math" w:hAnsi="Cambria Math"/>
            <w:lang w:eastAsia="zh-CN"/>
          </w:rPr>
          <m:t>f</m:t>
        </m:r>
        <m:r>
          <m:rPr>
            <m:sty m:val="p"/>
          </m:rPr>
          <w:rPr>
            <w:rFonts w:ascii="Cambria Math" w:hAnsi="Cambria Math"/>
            <w:lang w:eastAsia="zh-CN"/>
          </w:rPr>
          <m:t>)</m:t>
        </m:r>
      </m:oMath>
      <w:r w:rsidRPr="002D71A6">
        <w:rPr>
          <w:lang w:eastAsia="zh-CN"/>
        </w:rPr>
        <w:tab/>
        <w:t>(8)</w:t>
      </w:r>
    </w:p>
    <w:p w14:paraId="2D0DAB3B" w14:textId="77777777" w:rsidR="006E5097" w:rsidRPr="002D71A6" w:rsidRDefault="006E5097" w:rsidP="006E5097">
      <w:pPr>
        <w:rPr>
          <w:lang w:eastAsia="zh-CN"/>
        </w:rPr>
      </w:pPr>
      <w:r w:rsidRPr="002D71A6">
        <w:rPr>
          <w:lang w:eastAsia="zh-CN"/>
        </w:rPr>
        <w:t>where:</w:t>
      </w:r>
    </w:p>
    <w:p w14:paraId="006EC197" w14:textId="77777777" w:rsidR="006E5097" w:rsidRPr="002D71A6" w:rsidRDefault="006E5097" w:rsidP="006E5097">
      <w:pPr>
        <w:pStyle w:val="Equationlegend"/>
        <w:rPr>
          <w:lang w:val="en-GB" w:eastAsia="zh-CN"/>
        </w:rPr>
      </w:pPr>
      <w:r w:rsidRPr="002D71A6">
        <w:rPr>
          <w:i/>
          <w:iCs/>
          <w:lang w:val="en-GB" w:eastAsia="zh-CN"/>
        </w:rPr>
        <w:tab/>
      </w:r>
      <w:proofErr w:type="gramStart"/>
      <w:r w:rsidRPr="002D71A6">
        <w:rPr>
          <w:i/>
          <w:iCs/>
          <w:lang w:val="en-GB" w:eastAsia="zh-CN"/>
        </w:rPr>
        <w:t>L</w:t>
      </w:r>
      <w:r w:rsidRPr="002D71A6">
        <w:rPr>
          <w:i/>
          <w:iCs/>
          <w:vertAlign w:val="subscript"/>
          <w:lang w:val="en-GB" w:eastAsia="zh-CN"/>
        </w:rPr>
        <w:t>h</w:t>
      </w:r>
      <w:r w:rsidRPr="002D71A6">
        <w:rPr>
          <w:lang w:val="en-GB" w:eastAsia="zh-CN"/>
        </w:rPr>
        <w:t xml:space="preserve"> :</w:t>
      </w:r>
      <w:proofErr w:type="gramEnd"/>
      <w:r w:rsidRPr="002D71A6">
        <w:rPr>
          <w:lang w:val="en-GB" w:eastAsia="zh-CN"/>
        </w:rPr>
        <w:tab/>
        <w:t>median loss for horizontal paths, given by:</w:t>
      </w:r>
    </w:p>
    <w:p w14:paraId="34057873" w14:textId="77777777" w:rsidR="006E5097" w:rsidRPr="002D71A6" w:rsidRDefault="006E5097" w:rsidP="006E5097">
      <w:pPr>
        <w:pStyle w:val="Equation"/>
        <w:rPr>
          <w:lang w:eastAsia="zh-CN"/>
        </w:rPr>
      </w:pPr>
      <w:r w:rsidRPr="002D71A6">
        <w:rPr>
          <w:lang w:eastAsia="zh-CN"/>
        </w:rPr>
        <w:tab/>
      </w:r>
      <w:r w:rsidRPr="002D71A6">
        <w:rPr>
          <w:lang w:eastAsia="zh-CN"/>
        </w:rPr>
        <w:tab/>
      </w: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h</m:t>
            </m:r>
          </m:sub>
        </m:sSub>
        <m:r>
          <m:rPr>
            <m:sty m:val="p"/>
          </m:rPr>
          <w:rPr>
            <w:rFonts w:ascii="Cambria Math" w:hAnsi="Cambria Math"/>
            <w:lang w:eastAsia="zh-CN"/>
          </w:rPr>
          <m:t>=</m:t>
        </m:r>
        <m:r>
          <w:rPr>
            <w:rFonts w:ascii="Cambria Math" w:hAnsi="Cambria Math"/>
            <w:lang w:eastAsia="zh-CN"/>
          </w:rPr>
          <m:t>r</m:t>
        </m:r>
        <m:r>
          <m:rPr>
            <m:sty m:val="p"/>
          </m:rPr>
          <w:rPr>
            <w:rFonts w:ascii="Cambria Math" w:hAnsi="Cambria Math"/>
            <w:lang w:eastAsia="zh-CN"/>
          </w:rPr>
          <m:t>+</m:t>
        </m:r>
        <m:r>
          <w:rPr>
            <w:rFonts w:ascii="Cambria Math" w:hAnsi="Cambria Math"/>
            <w:lang w:eastAsia="zh-CN"/>
          </w:rPr>
          <m:t xml:space="preserve">s </m:t>
        </m:r>
        <m:r>
          <m:rPr>
            <m:sty m:val="p"/>
          </m:rPr>
          <w:rPr>
            <w:rFonts w:ascii="Cambria Math" w:hAnsi="Cambria Math"/>
            <w:lang w:eastAsia="zh-CN"/>
          </w:rPr>
          <m:t>log</m:t>
        </m:r>
        <m:d>
          <m:dPr>
            <m:ctrlPr>
              <w:rPr>
                <w:rFonts w:ascii="Cambria Math" w:hAnsi="Cambria Math"/>
                <w:lang w:eastAsia="zh-CN"/>
              </w:rPr>
            </m:ctrlPr>
          </m:dPr>
          <m:e>
            <m:r>
              <w:rPr>
                <w:rFonts w:ascii="Cambria Math" w:hAnsi="Cambria Math"/>
                <w:lang w:eastAsia="zh-CN"/>
              </w:rPr>
              <m:t>f</m:t>
            </m:r>
          </m:e>
        </m:d>
        <m:r>
          <m:rPr>
            <m:sty m:val="p"/>
          </m:rPr>
          <w:rPr>
            <w:rFonts w:ascii="Cambria Math" w:hAnsi="Cambria Math"/>
            <w:lang w:eastAsia="zh-CN"/>
          </w:rPr>
          <m:t>+</m:t>
        </m:r>
        <m:r>
          <w:rPr>
            <w:rFonts w:ascii="Cambria Math" w:hAnsi="Cambria Math"/>
            <w:lang w:eastAsia="zh-CN"/>
          </w:rPr>
          <m:t xml:space="preserve">t </m:t>
        </m:r>
        <m:sSup>
          <m:sSupPr>
            <m:ctrlPr>
              <w:rPr>
                <w:rFonts w:ascii="Cambria Math" w:hAnsi="Cambria Math"/>
                <w:lang w:eastAsia="zh-CN"/>
              </w:rPr>
            </m:ctrlPr>
          </m:sSupPr>
          <m:e>
            <m:r>
              <m:rPr>
                <m:sty m:val="p"/>
              </m:rPr>
              <w:rPr>
                <w:rFonts w:ascii="Cambria Math" w:hAnsi="Cambria Math"/>
                <w:lang w:eastAsia="zh-CN"/>
              </w:rPr>
              <m:t>(log</m:t>
            </m:r>
            <m:d>
              <m:dPr>
                <m:ctrlPr>
                  <w:rPr>
                    <w:rFonts w:ascii="Cambria Math" w:hAnsi="Cambria Math"/>
                    <w:lang w:eastAsia="zh-CN"/>
                  </w:rPr>
                </m:ctrlPr>
              </m:dPr>
              <m:e>
                <m:r>
                  <w:rPr>
                    <w:rFonts w:ascii="Cambria Math" w:hAnsi="Cambria Math"/>
                    <w:lang w:eastAsia="zh-CN"/>
                  </w:rPr>
                  <m:t>f</m:t>
                </m:r>
              </m:e>
            </m:d>
            <m:r>
              <m:rPr>
                <m:sty m:val="p"/>
              </m:rPr>
              <w:rPr>
                <w:rFonts w:ascii="Cambria Math" w:hAnsi="Cambria Math"/>
                <w:lang w:eastAsia="zh-CN"/>
              </w:rPr>
              <m:t>)</m:t>
            </m:r>
          </m:e>
          <m:sup>
            <m:r>
              <m:rPr>
                <m:sty m:val="p"/>
              </m:rPr>
              <w:rPr>
                <w:rFonts w:ascii="Cambria Math" w:hAnsi="Cambria Math"/>
                <w:lang w:eastAsia="zh-CN"/>
              </w:rPr>
              <m:t>2</m:t>
            </m:r>
          </m:sup>
        </m:sSup>
      </m:oMath>
      <w:r w:rsidRPr="002D71A6">
        <w:rPr>
          <w:lang w:eastAsia="zh-CN"/>
        </w:rPr>
        <w:tab/>
        <w:t>(9)</w:t>
      </w:r>
    </w:p>
    <w:p w14:paraId="50EAAF44" w14:textId="77777777" w:rsidR="006E5097" w:rsidRPr="002D71A6" w:rsidRDefault="006E5097" w:rsidP="006E5097">
      <w:pPr>
        <w:pStyle w:val="Equationlegend"/>
        <w:rPr>
          <w:lang w:val="en-GB" w:eastAsia="zh-CN"/>
        </w:rPr>
      </w:pPr>
      <w:r w:rsidRPr="002D71A6">
        <w:rPr>
          <w:i/>
          <w:iCs/>
          <w:lang w:val="en-GB" w:eastAsia="zh-CN"/>
        </w:rPr>
        <w:tab/>
      </w:r>
      <w:proofErr w:type="gramStart"/>
      <w:r w:rsidRPr="002D71A6">
        <w:rPr>
          <w:i/>
          <w:iCs/>
          <w:lang w:val="en-GB" w:eastAsia="zh-CN"/>
        </w:rPr>
        <w:t>L</w:t>
      </w:r>
      <w:r w:rsidRPr="002D71A6">
        <w:rPr>
          <w:i/>
          <w:iCs/>
          <w:vertAlign w:val="subscript"/>
          <w:lang w:val="en-GB" w:eastAsia="zh-CN"/>
        </w:rPr>
        <w:t>e</w:t>
      </w:r>
      <w:r w:rsidRPr="002D71A6">
        <w:rPr>
          <w:lang w:val="en-GB" w:eastAsia="zh-CN"/>
        </w:rPr>
        <w:t xml:space="preserve"> :</w:t>
      </w:r>
      <w:proofErr w:type="gramEnd"/>
      <w:r w:rsidRPr="002D71A6">
        <w:rPr>
          <w:lang w:val="en-GB" w:eastAsia="zh-CN"/>
        </w:rPr>
        <w:tab/>
        <w:t>correction for elevation angle of the path at the building façade:</w:t>
      </w:r>
    </w:p>
    <w:p w14:paraId="5652A0BA" w14:textId="77777777" w:rsidR="006E5097" w:rsidRPr="002D71A6" w:rsidRDefault="006E5097" w:rsidP="006E5097">
      <w:pPr>
        <w:pStyle w:val="Equation"/>
        <w:rPr>
          <w:sz w:val="32"/>
          <w:szCs w:val="32"/>
          <w:lang w:eastAsia="zh-CN"/>
        </w:rPr>
      </w:pPr>
      <w:r w:rsidRPr="002D71A6">
        <w:rPr>
          <w:lang w:eastAsia="zh-CN"/>
        </w:rPr>
        <w:lastRenderedPageBreak/>
        <w:tab/>
      </w:r>
      <w:r w:rsidRPr="002D71A6">
        <w:rPr>
          <w:lang w:eastAsia="zh-CN"/>
        </w:rPr>
        <w:tab/>
      </w: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e</m:t>
            </m:r>
          </m:sub>
        </m:sSub>
        <m:r>
          <m:rPr>
            <m:sty m:val="p"/>
          </m:rPr>
          <w:rPr>
            <w:rFonts w:ascii="Cambria Math" w:hAnsi="Cambria Math"/>
            <w:lang w:eastAsia="zh-CN"/>
          </w:rPr>
          <m:t>=0.212 |θ</m:t>
        </m:r>
        <m:r>
          <w:rPr>
            <w:rFonts w:ascii="Cambria Math" w:hAnsi="Cambria Math"/>
            <w:lang w:eastAsia="zh-CN"/>
          </w:rPr>
          <m:t>|</m:t>
        </m:r>
      </m:oMath>
      <w:r w:rsidRPr="002D71A6">
        <w:rPr>
          <w:lang w:eastAsia="zh-CN"/>
        </w:rPr>
        <w:t xml:space="preserve"> </w:t>
      </w:r>
      <w:r w:rsidRPr="002D71A6">
        <w:rPr>
          <w:lang w:eastAsia="zh-CN"/>
        </w:rPr>
        <w:tab/>
      </w:r>
      <w:r w:rsidRPr="002D71A6">
        <w:rPr>
          <w:szCs w:val="24"/>
          <w:lang w:eastAsia="zh-CN"/>
        </w:rPr>
        <w:t>(10)</w:t>
      </w:r>
    </w:p>
    <w:p w14:paraId="3AECD9A2" w14:textId="77777777" w:rsidR="006E5097" w:rsidRPr="002D71A6" w:rsidRDefault="006E5097" w:rsidP="006E5097">
      <w:pPr>
        <w:rPr>
          <w:lang w:eastAsia="zh-CN"/>
        </w:rPr>
      </w:pPr>
      <w:r w:rsidRPr="002D71A6">
        <w:rPr>
          <w:lang w:eastAsia="zh-CN"/>
        </w:rPr>
        <w:t>and:</w:t>
      </w:r>
    </w:p>
    <w:p w14:paraId="2B66026E" w14:textId="77777777" w:rsidR="006E5097" w:rsidRPr="002D71A6" w:rsidRDefault="006E5097" w:rsidP="006E5097">
      <w:pPr>
        <w:pStyle w:val="Equationlegend"/>
        <w:rPr>
          <w:lang w:val="en-GB" w:eastAsia="zh-CN"/>
        </w:rPr>
      </w:pPr>
      <w:r w:rsidRPr="002D71A6">
        <w:rPr>
          <w:i/>
          <w:lang w:val="en-GB" w:eastAsia="zh-CN"/>
        </w:rPr>
        <w:tab/>
      </w:r>
      <w:proofErr w:type="gramStart"/>
      <w:r w:rsidRPr="002D71A6">
        <w:rPr>
          <w:i/>
          <w:lang w:val="en-GB" w:eastAsia="zh-CN"/>
        </w:rPr>
        <w:t xml:space="preserve">f </w:t>
      </w:r>
      <w:r w:rsidRPr="002D71A6">
        <w:rPr>
          <w:lang w:val="en-GB" w:eastAsia="zh-CN"/>
        </w:rPr>
        <w:t>:</w:t>
      </w:r>
      <w:proofErr w:type="gramEnd"/>
      <w:r w:rsidRPr="002D71A6">
        <w:rPr>
          <w:lang w:val="en-GB" w:eastAsia="zh-CN"/>
        </w:rPr>
        <w:t xml:space="preserve"> </w:t>
      </w:r>
      <w:r w:rsidRPr="002D71A6">
        <w:rPr>
          <w:lang w:val="en-GB" w:eastAsia="zh-CN"/>
        </w:rPr>
        <w:tab/>
        <w:t>frequency (GHz)</w:t>
      </w:r>
    </w:p>
    <w:p w14:paraId="037802FE" w14:textId="77777777" w:rsidR="006E5097" w:rsidRPr="002D71A6" w:rsidRDefault="006E5097" w:rsidP="006E5097">
      <w:pPr>
        <w:pStyle w:val="Equationlegend"/>
        <w:rPr>
          <w:lang w:val="en-GB" w:eastAsia="zh-CN"/>
        </w:rPr>
      </w:pPr>
      <w:r w:rsidRPr="002D71A6">
        <w:rPr>
          <w:lang w:val="en-GB" w:eastAsia="zh-CN"/>
        </w:rPr>
        <w:tab/>
      </w:r>
      <w:proofErr w:type="gramStart"/>
      <w:r w:rsidRPr="002D71A6">
        <w:rPr>
          <w:lang w:val="en-GB" w:eastAsia="zh-CN"/>
        </w:rPr>
        <w:t>θ :</w:t>
      </w:r>
      <w:proofErr w:type="gramEnd"/>
      <w:r w:rsidRPr="002D71A6">
        <w:rPr>
          <w:lang w:val="en-GB" w:eastAsia="zh-CN"/>
        </w:rPr>
        <w:t xml:space="preserve"> </w:t>
      </w:r>
      <w:r w:rsidRPr="002D71A6">
        <w:rPr>
          <w:lang w:val="en-GB" w:eastAsia="zh-CN"/>
        </w:rPr>
        <w:tab/>
        <w:t>elevation angle of the path at the building façade (degrees)</w:t>
      </w:r>
    </w:p>
    <w:p w14:paraId="2E177343" w14:textId="77777777" w:rsidR="006E5097" w:rsidRPr="002D71A6" w:rsidRDefault="006E5097" w:rsidP="006E5097">
      <w:pPr>
        <w:pStyle w:val="Equationlegend"/>
        <w:rPr>
          <w:lang w:val="en-GB" w:eastAsia="zh-CN"/>
        </w:rPr>
      </w:pPr>
      <w:r w:rsidRPr="002D71A6">
        <w:rPr>
          <w:lang w:val="en-GB" w:eastAsia="zh-CN"/>
        </w:rPr>
        <w:tab/>
      </w:r>
      <w:proofErr w:type="gramStart"/>
      <w:r w:rsidRPr="002D71A6">
        <w:rPr>
          <w:i/>
          <w:iCs/>
          <w:lang w:val="en-GB" w:eastAsia="zh-CN"/>
        </w:rPr>
        <w:t>P</w:t>
      </w:r>
      <w:r w:rsidRPr="002D71A6">
        <w:rPr>
          <w:lang w:val="en-GB" w:eastAsia="zh-CN"/>
        </w:rPr>
        <w:t xml:space="preserve"> :</w:t>
      </w:r>
      <w:proofErr w:type="gramEnd"/>
      <w:r w:rsidRPr="002D71A6">
        <w:rPr>
          <w:lang w:val="en-GB" w:eastAsia="zh-CN"/>
        </w:rPr>
        <w:t xml:space="preserve"> </w:t>
      </w:r>
      <w:r w:rsidRPr="002D71A6">
        <w:rPr>
          <w:lang w:val="en-GB" w:eastAsia="zh-CN"/>
        </w:rPr>
        <w:tab/>
        <w:t xml:space="preserve">probability that loss is not exceeded (0.0 ≤ </w:t>
      </w:r>
      <w:r w:rsidRPr="002D71A6">
        <w:rPr>
          <w:i/>
          <w:iCs/>
          <w:lang w:val="en-GB" w:eastAsia="zh-CN"/>
        </w:rPr>
        <w:t xml:space="preserve">P </w:t>
      </w:r>
      <w:r w:rsidRPr="002D71A6">
        <w:rPr>
          <w:lang w:val="en-GB" w:eastAsia="zh-CN"/>
        </w:rPr>
        <w:t>≤ 1.0)</w:t>
      </w:r>
    </w:p>
    <w:p w14:paraId="54AD9287" w14:textId="77777777" w:rsidR="006E5097" w:rsidRPr="002D71A6" w:rsidRDefault="006E5097" w:rsidP="006E5097">
      <w:pPr>
        <w:pStyle w:val="Equationlegend"/>
        <w:rPr>
          <w:lang w:val="en-GB" w:eastAsia="zh-CN"/>
        </w:rPr>
      </w:pPr>
      <w:r w:rsidRPr="002D71A6">
        <w:rPr>
          <w:lang w:val="en-GB" w:eastAsia="zh-CN"/>
        </w:rPr>
        <w:tab/>
      </w:r>
      <w:r w:rsidRPr="002D71A6">
        <w:rPr>
          <w:i/>
          <w:iCs/>
          <w:lang w:val="en-GB" w:eastAsia="zh-CN"/>
        </w:rPr>
        <w:t>F</w:t>
      </w:r>
      <w:r w:rsidRPr="002D71A6">
        <w:rPr>
          <w:vertAlign w:val="superscript"/>
          <w:lang w:val="en-GB" w:eastAsia="zh-CN"/>
        </w:rPr>
        <w:t>-1</w:t>
      </w:r>
      <w:r w:rsidRPr="002D71A6">
        <w:rPr>
          <w:lang w:val="en-GB" w:eastAsia="zh-CN"/>
        </w:rPr>
        <w:t>(</w:t>
      </w:r>
      <w:r w:rsidRPr="002D71A6">
        <w:rPr>
          <w:i/>
          <w:iCs/>
          <w:lang w:val="en-GB" w:eastAsia="zh-CN"/>
        </w:rPr>
        <w:t>P</w:t>
      </w:r>
      <w:proofErr w:type="gramStart"/>
      <w:r w:rsidRPr="002D71A6">
        <w:rPr>
          <w:lang w:val="en-GB" w:eastAsia="zh-CN"/>
        </w:rPr>
        <w:t>) :</w:t>
      </w:r>
      <w:proofErr w:type="gramEnd"/>
      <w:r w:rsidRPr="002D71A6">
        <w:rPr>
          <w:lang w:val="en-GB" w:eastAsia="zh-CN"/>
        </w:rPr>
        <w:tab/>
        <w:t>inverse cumulative normal distribution as a function of probability.</w:t>
      </w:r>
    </w:p>
    <w:p w14:paraId="21DB1FEF" w14:textId="77777777" w:rsidR="006E5097" w:rsidRPr="002D71A6" w:rsidRDefault="006E5097" w:rsidP="006E5097">
      <w:pPr>
        <w:rPr>
          <w:lang w:eastAsia="zh-CN"/>
        </w:rPr>
      </w:pPr>
      <w:r w:rsidRPr="002D71A6">
        <w:rPr>
          <w:lang w:eastAsia="zh-CN"/>
        </w:rPr>
        <w:t>The coefficients are as given in Table 1.</w:t>
      </w:r>
    </w:p>
    <w:p w14:paraId="6E64D3F6" w14:textId="77777777" w:rsidR="006E5097" w:rsidRPr="002D71A6" w:rsidRDefault="006E5097" w:rsidP="000F7AD5">
      <w:pPr>
        <w:pStyle w:val="TableNo"/>
        <w:rPr>
          <w:lang w:eastAsia="zh-CN"/>
        </w:rPr>
      </w:pPr>
      <w:r w:rsidRPr="002D71A6">
        <w:t>TABLE</w:t>
      </w:r>
      <w:r w:rsidRPr="002D71A6">
        <w:rPr>
          <w:lang w:eastAsia="zh-CN"/>
        </w:rPr>
        <w:t xml:space="preserve"> 1</w:t>
      </w:r>
    </w:p>
    <w:p w14:paraId="2D2470CA" w14:textId="77777777" w:rsidR="006E5097" w:rsidRPr="002D71A6" w:rsidRDefault="006E5097" w:rsidP="006E5097">
      <w:pPr>
        <w:pStyle w:val="Tabletitle"/>
        <w:rPr>
          <w:lang w:eastAsia="zh-CN"/>
        </w:rPr>
      </w:pPr>
      <w:r w:rsidRPr="002D71A6">
        <w:rPr>
          <w:lang w:eastAsia="zh-CN"/>
        </w:rPr>
        <w:t>Model coefficients</w:t>
      </w:r>
    </w:p>
    <w:tbl>
      <w:tblPr>
        <w:tblStyle w:val="TableGrid"/>
        <w:tblW w:w="9639" w:type="dxa"/>
        <w:jc w:val="center"/>
        <w:tblLook w:val="04A0" w:firstRow="1" w:lastRow="0" w:firstColumn="1" w:lastColumn="0" w:noHBand="0" w:noVBand="1"/>
      </w:tblPr>
      <w:tblGrid>
        <w:gridCol w:w="1277"/>
        <w:gridCol w:w="719"/>
        <w:gridCol w:w="754"/>
        <w:gridCol w:w="728"/>
        <w:gridCol w:w="717"/>
        <w:gridCol w:w="1009"/>
        <w:gridCol w:w="1118"/>
        <w:gridCol w:w="1130"/>
        <w:gridCol w:w="1089"/>
        <w:gridCol w:w="1098"/>
      </w:tblGrid>
      <w:tr w:rsidR="006E5097" w:rsidRPr="002D71A6" w14:paraId="2F892FB3" w14:textId="77777777" w:rsidTr="00DE317C">
        <w:trPr>
          <w:jc w:val="center"/>
        </w:trPr>
        <w:tc>
          <w:tcPr>
            <w:tcW w:w="1263" w:type="dxa"/>
            <w:vAlign w:val="center"/>
          </w:tcPr>
          <w:p w14:paraId="6A07C8ED" w14:textId="77777777" w:rsidR="006E5097" w:rsidRPr="002D71A6" w:rsidRDefault="006E5097" w:rsidP="00DE317C">
            <w:pPr>
              <w:pStyle w:val="Tablehead"/>
              <w:rPr>
                <w:rFonts w:ascii="Times New Roman" w:hAnsi="Times New Roman" w:cs="Times New Roman"/>
              </w:rPr>
            </w:pPr>
            <w:r w:rsidRPr="002D71A6">
              <w:rPr>
                <w:rFonts w:ascii="Times New Roman" w:hAnsi="Times New Roman" w:cs="Times New Roman"/>
              </w:rPr>
              <w:t>Building type</w:t>
            </w:r>
          </w:p>
        </w:tc>
        <w:tc>
          <w:tcPr>
            <w:tcW w:w="703" w:type="dxa"/>
            <w:vAlign w:val="center"/>
          </w:tcPr>
          <w:p w14:paraId="47B41A3E" w14:textId="77777777" w:rsidR="006E5097" w:rsidRPr="002D71A6" w:rsidRDefault="006E5097" w:rsidP="00DE317C">
            <w:pPr>
              <w:pStyle w:val="Tablehead"/>
              <w:rPr>
                <w:rFonts w:ascii="Times New Roman" w:hAnsi="Times New Roman" w:cs="Times New Roman"/>
                <w:i/>
                <w:iCs/>
              </w:rPr>
            </w:pPr>
            <w:r w:rsidRPr="002D71A6">
              <w:rPr>
                <w:rFonts w:ascii="Times New Roman" w:hAnsi="Times New Roman" w:cs="Times New Roman"/>
                <w:i/>
                <w:iCs/>
              </w:rPr>
              <w:t>r</w:t>
            </w:r>
          </w:p>
        </w:tc>
        <w:tc>
          <w:tcPr>
            <w:tcW w:w="745" w:type="dxa"/>
            <w:vAlign w:val="center"/>
          </w:tcPr>
          <w:p w14:paraId="635F96CF" w14:textId="77777777" w:rsidR="006E5097" w:rsidRPr="002D71A6" w:rsidRDefault="006E5097" w:rsidP="00DE317C">
            <w:pPr>
              <w:pStyle w:val="Tablehead"/>
              <w:rPr>
                <w:rFonts w:ascii="Times New Roman" w:hAnsi="Times New Roman" w:cs="Times New Roman"/>
                <w:i/>
                <w:iCs/>
              </w:rPr>
            </w:pPr>
            <w:r w:rsidRPr="002D71A6">
              <w:rPr>
                <w:rFonts w:ascii="Times New Roman" w:hAnsi="Times New Roman" w:cs="Times New Roman"/>
                <w:i/>
                <w:iCs/>
              </w:rPr>
              <w:t>s</w:t>
            </w:r>
          </w:p>
        </w:tc>
        <w:tc>
          <w:tcPr>
            <w:tcW w:w="720" w:type="dxa"/>
            <w:vAlign w:val="center"/>
          </w:tcPr>
          <w:p w14:paraId="65297EAE" w14:textId="77777777" w:rsidR="006E5097" w:rsidRPr="002D71A6" w:rsidRDefault="006E5097" w:rsidP="00DE317C">
            <w:pPr>
              <w:pStyle w:val="Tablehead"/>
              <w:rPr>
                <w:rFonts w:ascii="Times New Roman" w:hAnsi="Times New Roman" w:cs="Times New Roman"/>
                <w:i/>
                <w:iCs/>
              </w:rPr>
            </w:pPr>
            <w:r w:rsidRPr="002D71A6">
              <w:rPr>
                <w:rFonts w:ascii="Times New Roman" w:hAnsi="Times New Roman" w:cs="Times New Roman"/>
                <w:i/>
                <w:iCs/>
              </w:rPr>
              <w:t>t</w:t>
            </w:r>
          </w:p>
        </w:tc>
        <w:tc>
          <w:tcPr>
            <w:tcW w:w="709" w:type="dxa"/>
            <w:vAlign w:val="center"/>
          </w:tcPr>
          <w:p w14:paraId="03EDC03E" w14:textId="77777777" w:rsidR="006E5097" w:rsidRPr="002D71A6" w:rsidRDefault="006E5097" w:rsidP="00DE317C">
            <w:pPr>
              <w:pStyle w:val="Tablehead"/>
              <w:rPr>
                <w:rFonts w:ascii="Times New Roman" w:hAnsi="Times New Roman" w:cs="Times New Roman"/>
                <w:i/>
                <w:iCs/>
              </w:rPr>
            </w:pPr>
            <w:r w:rsidRPr="002D71A6">
              <w:rPr>
                <w:rFonts w:ascii="Times New Roman" w:hAnsi="Times New Roman" w:cs="Times New Roman"/>
                <w:i/>
                <w:iCs/>
              </w:rPr>
              <w:t>u</w:t>
            </w:r>
          </w:p>
        </w:tc>
        <w:tc>
          <w:tcPr>
            <w:tcW w:w="997" w:type="dxa"/>
            <w:vAlign w:val="center"/>
          </w:tcPr>
          <w:p w14:paraId="52F4B4A2" w14:textId="77777777" w:rsidR="006E5097" w:rsidRPr="002D71A6" w:rsidRDefault="006E5097" w:rsidP="00DE317C">
            <w:pPr>
              <w:pStyle w:val="Tablehead"/>
              <w:rPr>
                <w:rFonts w:ascii="Times New Roman" w:hAnsi="Times New Roman" w:cs="Times New Roman"/>
                <w:i/>
                <w:iCs/>
              </w:rPr>
            </w:pPr>
            <w:r w:rsidRPr="002D71A6">
              <w:rPr>
                <w:rFonts w:ascii="Times New Roman" w:hAnsi="Times New Roman" w:cs="Times New Roman"/>
                <w:i/>
                <w:iCs/>
              </w:rPr>
              <w:t>v</w:t>
            </w:r>
          </w:p>
        </w:tc>
        <w:tc>
          <w:tcPr>
            <w:tcW w:w="1105" w:type="dxa"/>
            <w:vAlign w:val="center"/>
          </w:tcPr>
          <w:p w14:paraId="10C287D7" w14:textId="77777777" w:rsidR="006E5097" w:rsidRPr="002D71A6" w:rsidRDefault="006E5097" w:rsidP="00DE317C">
            <w:pPr>
              <w:pStyle w:val="Tablehead"/>
              <w:rPr>
                <w:rFonts w:ascii="Times New Roman" w:hAnsi="Times New Roman" w:cs="Times New Roman"/>
                <w:i/>
                <w:iCs/>
              </w:rPr>
            </w:pPr>
            <w:r w:rsidRPr="002D71A6">
              <w:rPr>
                <w:rFonts w:ascii="Times New Roman" w:hAnsi="Times New Roman" w:cs="Times New Roman"/>
                <w:i/>
                <w:iCs/>
              </w:rPr>
              <w:t>w</w:t>
            </w:r>
          </w:p>
        </w:tc>
        <w:tc>
          <w:tcPr>
            <w:tcW w:w="1117" w:type="dxa"/>
            <w:vAlign w:val="center"/>
          </w:tcPr>
          <w:p w14:paraId="11E2068B" w14:textId="77777777" w:rsidR="006E5097" w:rsidRPr="002D71A6" w:rsidRDefault="006E5097" w:rsidP="00DE317C">
            <w:pPr>
              <w:pStyle w:val="Tablehead"/>
              <w:rPr>
                <w:rFonts w:ascii="Times New Roman" w:hAnsi="Times New Roman" w:cs="Times New Roman"/>
                <w:i/>
                <w:iCs/>
              </w:rPr>
            </w:pPr>
            <w:r w:rsidRPr="002D71A6">
              <w:rPr>
                <w:rFonts w:ascii="Times New Roman" w:hAnsi="Times New Roman" w:cs="Times New Roman"/>
                <w:i/>
                <w:iCs/>
              </w:rPr>
              <w:t>x</w:t>
            </w:r>
          </w:p>
        </w:tc>
        <w:tc>
          <w:tcPr>
            <w:tcW w:w="1077" w:type="dxa"/>
            <w:vAlign w:val="center"/>
          </w:tcPr>
          <w:p w14:paraId="2721C842" w14:textId="77777777" w:rsidR="006E5097" w:rsidRPr="002D71A6" w:rsidRDefault="006E5097" w:rsidP="00DE317C">
            <w:pPr>
              <w:pStyle w:val="Tablehead"/>
              <w:rPr>
                <w:rFonts w:ascii="Times New Roman" w:hAnsi="Times New Roman" w:cs="Times New Roman"/>
                <w:i/>
                <w:iCs/>
              </w:rPr>
            </w:pPr>
            <w:r w:rsidRPr="002D71A6">
              <w:rPr>
                <w:rFonts w:ascii="Times New Roman" w:hAnsi="Times New Roman" w:cs="Times New Roman"/>
                <w:i/>
                <w:iCs/>
              </w:rPr>
              <w:t>y</w:t>
            </w:r>
          </w:p>
        </w:tc>
        <w:tc>
          <w:tcPr>
            <w:tcW w:w="1085" w:type="dxa"/>
            <w:vAlign w:val="center"/>
          </w:tcPr>
          <w:p w14:paraId="560C4393" w14:textId="77777777" w:rsidR="006E5097" w:rsidRPr="002D71A6" w:rsidRDefault="006E5097" w:rsidP="00DE317C">
            <w:pPr>
              <w:pStyle w:val="Tablehead"/>
              <w:rPr>
                <w:rFonts w:ascii="Times New Roman" w:hAnsi="Times New Roman" w:cs="Times New Roman"/>
                <w:i/>
                <w:iCs/>
              </w:rPr>
            </w:pPr>
            <w:r w:rsidRPr="002D71A6">
              <w:rPr>
                <w:rFonts w:ascii="Times New Roman" w:hAnsi="Times New Roman" w:cs="Times New Roman"/>
                <w:i/>
                <w:iCs/>
              </w:rPr>
              <w:t>z</w:t>
            </w:r>
          </w:p>
        </w:tc>
      </w:tr>
      <w:tr w:rsidR="006E5097" w:rsidRPr="002D71A6" w14:paraId="1EE454B2" w14:textId="77777777" w:rsidTr="00DE317C">
        <w:trPr>
          <w:jc w:val="center"/>
        </w:trPr>
        <w:tc>
          <w:tcPr>
            <w:tcW w:w="1263" w:type="dxa"/>
          </w:tcPr>
          <w:p w14:paraId="3CF7C2F0" w14:textId="77777777" w:rsidR="006E5097" w:rsidRPr="002D71A6" w:rsidRDefault="006E5097" w:rsidP="00DE317C">
            <w:pPr>
              <w:pStyle w:val="Tabletext"/>
              <w:rPr>
                <w:rFonts w:ascii="Times New Roman" w:hAnsi="Times New Roman" w:cs="Times New Roman"/>
              </w:rPr>
            </w:pPr>
            <w:r w:rsidRPr="002D71A6">
              <w:rPr>
                <w:rFonts w:ascii="Times New Roman" w:hAnsi="Times New Roman" w:cs="Times New Roman"/>
              </w:rPr>
              <w:t>Related to:</w:t>
            </w:r>
          </w:p>
        </w:tc>
        <w:tc>
          <w:tcPr>
            <w:tcW w:w="2168" w:type="dxa"/>
            <w:gridSpan w:val="3"/>
          </w:tcPr>
          <w:p w14:paraId="07FE5406"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μ</w:t>
            </w:r>
            <w:r w:rsidRPr="002D71A6">
              <w:rPr>
                <w:rFonts w:ascii="Times New Roman" w:hAnsi="Times New Roman" w:cs="Times New Roman"/>
                <w:vertAlign w:val="subscript"/>
              </w:rPr>
              <w:t>1</w:t>
            </w:r>
          </w:p>
        </w:tc>
        <w:tc>
          <w:tcPr>
            <w:tcW w:w="1706" w:type="dxa"/>
            <w:gridSpan w:val="2"/>
          </w:tcPr>
          <w:p w14:paraId="42EA0DB2"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σ</w:t>
            </w:r>
            <w:r w:rsidRPr="002D71A6">
              <w:rPr>
                <w:rFonts w:ascii="Times New Roman" w:hAnsi="Times New Roman" w:cs="Times New Roman"/>
                <w:vertAlign w:val="subscript"/>
              </w:rPr>
              <w:t>1</w:t>
            </w:r>
          </w:p>
        </w:tc>
        <w:tc>
          <w:tcPr>
            <w:tcW w:w="2222" w:type="dxa"/>
            <w:gridSpan w:val="2"/>
          </w:tcPr>
          <w:p w14:paraId="281C4340"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μ</w:t>
            </w:r>
            <w:r w:rsidRPr="002D71A6">
              <w:rPr>
                <w:rFonts w:ascii="Times New Roman" w:hAnsi="Times New Roman" w:cs="Times New Roman"/>
                <w:vertAlign w:val="subscript"/>
              </w:rPr>
              <w:t>2</w:t>
            </w:r>
          </w:p>
        </w:tc>
        <w:tc>
          <w:tcPr>
            <w:tcW w:w="2162" w:type="dxa"/>
            <w:gridSpan w:val="2"/>
          </w:tcPr>
          <w:p w14:paraId="5F4CC311"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σ</w:t>
            </w:r>
            <w:r w:rsidRPr="002D71A6">
              <w:rPr>
                <w:rFonts w:ascii="Times New Roman" w:hAnsi="Times New Roman" w:cs="Times New Roman"/>
                <w:vertAlign w:val="subscript"/>
              </w:rPr>
              <w:t>2</w:t>
            </w:r>
          </w:p>
        </w:tc>
      </w:tr>
      <w:tr w:rsidR="006E5097" w:rsidRPr="002D71A6" w14:paraId="536338C2" w14:textId="77777777" w:rsidTr="00DE317C">
        <w:trPr>
          <w:jc w:val="center"/>
        </w:trPr>
        <w:tc>
          <w:tcPr>
            <w:tcW w:w="1263" w:type="dxa"/>
          </w:tcPr>
          <w:p w14:paraId="3891EB42" w14:textId="77777777" w:rsidR="006E5097" w:rsidRPr="002D71A6" w:rsidRDefault="006E5097" w:rsidP="00DE317C">
            <w:pPr>
              <w:pStyle w:val="Tabletext"/>
              <w:rPr>
                <w:rFonts w:ascii="Times New Roman" w:hAnsi="Times New Roman" w:cs="Times New Roman"/>
              </w:rPr>
            </w:pPr>
            <w:bookmarkStart w:id="5" w:name="OLE_LINK2"/>
            <w:r w:rsidRPr="002D71A6">
              <w:rPr>
                <w:rFonts w:ascii="Times New Roman" w:hAnsi="Times New Roman" w:cs="Times New Roman"/>
              </w:rPr>
              <w:t>Traditional</w:t>
            </w:r>
          </w:p>
        </w:tc>
        <w:tc>
          <w:tcPr>
            <w:tcW w:w="703" w:type="dxa"/>
          </w:tcPr>
          <w:p w14:paraId="50FB1E77"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12.64</w:t>
            </w:r>
          </w:p>
        </w:tc>
        <w:tc>
          <w:tcPr>
            <w:tcW w:w="745" w:type="dxa"/>
          </w:tcPr>
          <w:p w14:paraId="4CCC8CC1"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3.72</w:t>
            </w:r>
          </w:p>
        </w:tc>
        <w:tc>
          <w:tcPr>
            <w:tcW w:w="720" w:type="dxa"/>
          </w:tcPr>
          <w:p w14:paraId="5E409391"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0.96</w:t>
            </w:r>
          </w:p>
        </w:tc>
        <w:tc>
          <w:tcPr>
            <w:tcW w:w="709" w:type="dxa"/>
          </w:tcPr>
          <w:p w14:paraId="6E69F824"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9.6</w:t>
            </w:r>
          </w:p>
        </w:tc>
        <w:tc>
          <w:tcPr>
            <w:tcW w:w="997" w:type="dxa"/>
          </w:tcPr>
          <w:p w14:paraId="72616E71"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2.0</w:t>
            </w:r>
          </w:p>
        </w:tc>
        <w:tc>
          <w:tcPr>
            <w:tcW w:w="1105" w:type="dxa"/>
          </w:tcPr>
          <w:p w14:paraId="1ED6DE83"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9.1</w:t>
            </w:r>
          </w:p>
        </w:tc>
        <w:tc>
          <w:tcPr>
            <w:tcW w:w="1117" w:type="dxa"/>
          </w:tcPr>
          <w:p w14:paraId="34230C00"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−3.0</w:t>
            </w:r>
          </w:p>
        </w:tc>
        <w:tc>
          <w:tcPr>
            <w:tcW w:w="1077" w:type="dxa"/>
          </w:tcPr>
          <w:p w14:paraId="3F902F9F"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4.5</w:t>
            </w:r>
          </w:p>
        </w:tc>
        <w:tc>
          <w:tcPr>
            <w:tcW w:w="1085" w:type="dxa"/>
          </w:tcPr>
          <w:p w14:paraId="197FB584"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−2.0</w:t>
            </w:r>
          </w:p>
        </w:tc>
      </w:tr>
      <w:bookmarkEnd w:id="5"/>
      <w:tr w:rsidR="006E5097" w:rsidRPr="002D71A6" w14:paraId="11014B9D" w14:textId="77777777" w:rsidTr="00DE317C">
        <w:trPr>
          <w:jc w:val="center"/>
        </w:trPr>
        <w:tc>
          <w:tcPr>
            <w:tcW w:w="1263" w:type="dxa"/>
          </w:tcPr>
          <w:p w14:paraId="20853FF9" w14:textId="77777777" w:rsidR="006E5097" w:rsidRPr="002D71A6" w:rsidRDefault="006E5097" w:rsidP="00DE317C">
            <w:pPr>
              <w:pStyle w:val="Tabletext"/>
              <w:rPr>
                <w:rFonts w:ascii="Times New Roman" w:hAnsi="Times New Roman" w:cs="Times New Roman"/>
              </w:rPr>
            </w:pPr>
            <w:r w:rsidRPr="002D71A6">
              <w:rPr>
                <w:rFonts w:ascii="Times New Roman" w:hAnsi="Times New Roman" w:cs="Times New Roman"/>
              </w:rPr>
              <w:t>Thermally-efficient</w:t>
            </w:r>
          </w:p>
        </w:tc>
        <w:tc>
          <w:tcPr>
            <w:tcW w:w="703" w:type="dxa"/>
          </w:tcPr>
          <w:p w14:paraId="32F3F09A"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28.19</w:t>
            </w:r>
          </w:p>
        </w:tc>
        <w:tc>
          <w:tcPr>
            <w:tcW w:w="745" w:type="dxa"/>
          </w:tcPr>
          <w:p w14:paraId="5361FFD0"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−3.00</w:t>
            </w:r>
          </w:p>
        </w:tc>
        <w:tc>
          <w:tcPr>
            <w:tcW w:w="720" w:type="dxa"/>
          </w:tcPr>
          <w:p w14:paraId="719FAD6B"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8.48</w:t>
            </w:r>
          </w:p>
        </w:tc>
        <w:tc>
          <w:tcPr>
            <w:tcW w:w="709" w:type="dxa"/>
          </w:tcPr>
          <w:p w14:paraId="15CCE06E"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13.5</w:t>
            </w:r>
          </w:p>
        </w:tc>
        <w:tc>
          <w:tcPr>
            <w:tcW w:w="997" w:type="dxa"/>
          </w:tcPr>
          <w:p w14:paraId="6FCA877E"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3.8</w:t>
            </w:r>
          </w:p>
        </w:tc>
        <w:tc>
          <w:tcPr>
            <w:tcW w:w="1105" w:type="dxa"/>
          </w:tcPr>
          <w:p w14:paraId="47BCDB11"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27.8</w:t>
            </w:r>
          </w:p>
        </w:tc>
        <w:tc>
          <w:tcPr>
            <w:tcW w:w="1117" w:type="dxa"/>
          </w:tcPr>
          <w:p w14:paraId="332D0367"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−2.9</w:t>
            </w:r>
          </w:p>
        </w:tc>
        <w:tc>
          <w:tcPr>
            <w:tcW w:w="1077" w:type="dxa"/>
          </w:tcPr>
          <w:p w14:paraId="60E8534B"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9.4</w:t>
            </w:r>
          </w:p>
        </w:tc>
        <w:tc>
          <w:tcPr>
            <w:tcW w:w="1085" w:type="dxa"/>
          </w:tcPr>
          <w:p w14:paraId="4BD04C05" w14:textId="77777777" w:rsidR="006E5097" w:rsidRPr="002D71A6" w:rsidRDefault="006E5097" w:rsidP="00DE317C">
            <w:pPr>
              <w:pStyle w:val="Tabletext"/>
              <w:jc w:val="center"/>
              <w:rPr>
                <w:rFonts w:ascii="Times New Roman" w:hAnsi="Times New Roman" w:cs="Times New Roman"/>
              </w:rPr>
            </w:pPr>
            <w:r w:rsidRPr="002D71A6">
              <w:rPr>
                <w:rFonts w:ascii="Times New Roman" w:hAnsi="Times New Roman" w:cs="Times New Roman"/>
              </w:rPr>
              <w:t>−2.1</w:t>
            </w:r>
          </w:p>
        </w:tc>
      </w:tr>
    </w:tbl>
    <w:p w14:paraId="79BE79CF" w14:textId="77777777" w:rsidR="006E5097" w:rsidRPr="002D71A6" w:rsidRDefault="006E5097" w:rsidP="006E5097">
      <w:pPr>
        <w:pStyle w:val="Tablefin"/>
      </w:pPr>
    </w:p>
    <w:p w14:paraId="1B53E7BF" w14:textId="77777777" w:rsidR="006E5097" w:rsidRPr="002D71A6" w:rsidRDefault="006E5097" w:rsidP="006E5097">
      <w:pPr>
        <w:rPr>
          <w:lang w:eastAsia="zh-CN"/>
        </w:rPr>
      </w:pPr>
      <w:r w:rsidRPr="002D71A6">
        <w:rPr>
          <w:lang w:eastAsia="zh-CN"/>
        </w:rPr>
        <w:t>For illustration, Fig. 1 plots the median building entry loss returned by the model for the two building classes. In any sharing studies, the entire distribution should always be considered. Figure 2 plots the cumulative distribution function for building entry loss predicted at horizontal incidence.</w:t>
      </w:r>
    </w:p>
    <w:p w14:paraId="7CEE5370" w14:textId="77777777" w:rsidR="006E5097" w:rsidRPr="002D71A6" w:rsidRDefault="006E5097" w:rsidP="006E5097">
      <w:pPr>
        <w:pStyle w:val="FigureNo"/>
      </w:pPr>
      <w:r w:rsidRPr="002D71A6">
        <w:lastRenderedPageBreak/>
        <w:t>Figure 1</w:t>
      </w:r>
    </w:p>
    <w:p w14:paraId="5E03F3B6" w14:textId="77777777" w:rsidR="006E5097" w:rsidRPr="002D71A6" w:rsidRDefault="006E5097" w:rsidP="006E5097">
      <w:pPr>
        <w:pStyle w:val="Figuretitle"/>
      </w:pPr>
      <w:r w:rsidRPr="002D71A6">
        <w:t>Median building entry loss predicted at horizontal incidence</w:t>
      </w:r>
    </w:p>
    <w:p w14:paraId="58A9690E" w14:textId="1ECA2553" w:rsidR="006E5097" w:rsidRPr="002D71A6" w:rsidRDefault="002D71A6" w:rsidP="006E5097">
      <w:pPr>
        <w:pStyle w:val="Figure"/>
      </w:pPr>
      <w:r>
        <w:rPr>
          <w:noProof/>
        </w:rPr>
        <w:drawing>
          <wp:inline distT="0" distB="0" distL="0" distR="0" wp14:anchorId="4C06A1BD" wp14:editId="0358D9A7">
            <wp:extent cx="5047498" cy="4236729"/>
            <wp:effectExtent l="0" t="0" r="1270" b="0"/>
            <wp:docPr id="8" name="Picture 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func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7498" cy="4236729"/>
                    </a:xfrm>
                    <a:prstGeom prst="rect">
                      <a:avLst/>
                    </a:prstGeom>
                  </pic:spPr>
                </pic:pic>
              </a:graphicData>
            </a:graphic>
          </wp:inline>
        </w:drawing>
      </w:r>
    </w:p>
    <w:p w14:paraId="7630130D" w14:textId="77777777" w:rsidR="006E5097" w:rsidRPr="002D71A6" w:rsidRDefault="006E5097" w:rsidP="006E5097">
      <w:pPr>
        <w:pStyle w:val="FigureNo"/>
        <w:rPr>
          <w:lang w:eastAsia="zh-CN"/>
        </w:rPr>
      </w:pPr>
      <w:r w:rsidRPr="002D71A6">
        <w:rPr>
          <w:lang w:eastAsia="zh-CN"/>
        </w:rPr>
        <w:lastRenderedPageBreak/>
        <w:t>Figure 2</w:t>
      </w:r>
    </w:p>
    <w:p w14:paraId="2D57D92D" w14:textId="77777777" w:rsidR="006E5097" w:rsidRPr="002D71A6" w:rsidRDefault="006E5097" w:rsidP="006E5097">
      <w:pPr>
        <w:pStyle w:val="Figuretitle"/>
      </w:pPr>
      <w:r w:rsidRPr="002D71A6">
        <w:t>Building entry loss predicted at horizontal incidence</w:t>
      </w:r>
      <w:r w:rsidRPr="002D71A6">
        <w:br/>
        <w:t>(Dashed line: Traditional, Dotted line: Thermally-efficient)</w:t>
      </w:r>
    </w:p>
    <w:p w14:paraId="1E336C24" w14:textId="3D080E16" w:rsidR="006E5097" w:rsidRPr="002D71A6" w:rsidRDefault="006E5097" w:rsidP="006E5097">
      <w:pPr>
        <w:pStyle w:val="Figure"/>
      </w:pPr>
      <w:r w:rsidRPr="002D71A6">
        <w:rPr>
          <w:noProof/>
          <w:lang w:eastAsia="en-GB"/>
        </w:rPr>
        <w:drawing>
          <wp:inline distT="0" distB="0" distL="0" distR="0" wp14:anchorId="162E1EA5" wp14:editId="025A6B06">
            <wp:extent cx="4962154" cy="3819152"/>
            <wp:effectExtent l="0" t="0" r="0" b="0"/>
            <wp:docPr id="7"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different colored lin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62154" cy="3819152"/>
                    </a:xfrm>
                    <a:prstGeom prst="rect">
                      <a:avLst/>
                    </a:prstGeom>
                  </pic:spPr>
                </pic:pic>
              </a:graphicData>
            </a:graphic>
          </wp:inline>
        </w:drawing>
      </w:r>
    </w:p>
    <w:p w14:paraId="791135C2" w14:textId="511C55B5" w:rsidR="00A0305B" w:rsidRPr="002D71A6" w:rsidRDefault="00A0305B" w:rsidP="00A0305B"/>
    <w:p w14:paraId="4710EA1A" w14:textId="77777777" w:rsidR="00A0305B" w:rsidRPr="002D71A6" w:rsidRDefault="00A0305B" w:rsidP="00A0305B"/>
    <w:p w14:paraId="35C85DEC" w14:textId="77777777" w:rsidR="006E5097" w:rsidRPr="002D71A6" w:rsidRDefault="006E5097" w:rsidP="006E5097">
      <w:pPr>
        <w:pStyle w:val="AnnexNoTitle"/>
      </w:pPr>
      <w:r w:rsidRPr="002D71A6">
        <w:t>Annex 2</w:t>
      </w:r>
    </w:p>
    <w:p w14:paraId="62C7ED17" w14:textId="77777777" w:rsidR="006E5097" w:rsidRPr="002D71A6" w:rsidRDefault="006E5097" w:rsidP="006E5097">
      <w:pPr>
        <w:pStyle w:val="Heading1"/>
        <w:rPr>
          <w:lang w:eastAsia="ja-JP"/>
        </w:rPr>
      </w:pPr>
      <w:r w:rsidRPr="002D71A6">
        <w:t>1</w:t>
      </w:r>
      <w:r w:rsidRPr="002D71A6">
        <w:tab/>
        <w:t>Introduction</w:t>
      </w:r>
    </w:p>
    <w:p w14:paraId="2ADF7AB3" w14:textId="77777777" w:rsidR="006E5097" w:rsidRPr="002D71A6" w:rsidRDefault="006E5097" w:rsidP="006E5097">
      <w:r w:rsidRPr="002D71A6">
        <w:t xml:space="preserve">This Annex provides definitions of terms relating to building </w:t>
      </w:r>
      <w:proofErr w:type="gramStart"/>
      <w:r w:rsidRPr="002D71A6">
        <w:t>loss, and</w:t>
      </w:r>
      <w:proofErr w:type="gramEnd"/>
      <w:r w:rsidRPr="002D71A6">
        <w:t xml:space="preserve"> gives guidance on recommended measurement practices.</w:t>
      </w:r>
    </w:p>
    <w:p w14:paraId="5A72FBB8" w14:textId="77777777" w:rsidR="006E5097" w:rsidRPr="002D71A6" w:rsidRDefault="006E5097" w:rsidP="006E5097">
      <w:r w:rsidRPr="002D71A6">
        <w:t xml:space="preserve">Report </w:t>
      </w:r>
      <w:hyperlink r:id="rId26" w:history="1">
        <w:r w:rsidRPr="002D71A6">
          <w:rPr>
            <w:rStyle w:val="Hyperlink"/>
            <w:color w:val="auto"/>
            <w:u w:val="none"/>
          </w:rPr>
          <w:t>ITU-R P.2346</w:t>
        </w:r>
      </w:hyperlink>
      <w:r w:rsidRPr="002D71A6">
        <w:t xml:space="preserve"> contains a compilation of the results of measurements of building entry loss. </w:t>
      </w:r>
    </w:p>
    <w:p w14:paraId="082FA1C1" w14:textId="77777777" w:rsidR="006E5097" w:rsidRPr="002D71A6" w:rsidRDefault="006E5097" w:rsidP="006E5097">
      <w:pPr>
        <w:pStyle w:val="Heading1"/>
      </w:pPr>
      <w:r w:rsidRPr="002D71A6">
        <w:t>2</w:t>
      </w:r>
      <w:r w:rsidRPr="002D71A6">
        <w:tab/>
        <w:t>Description of scenarios involving the outdoor-indoor interface</w:t>
      </w:r>
    </w:p>
    <w:p w14:paraId="265D2FC6" w14:textId="77777777" w:rsidR="006E5097" w:rsidRPr="002D71A6" w:rsidRDefault="006E5097" w:rsidP="006E5097">
      <w:pPr>
        <w:pStyle w:val="Heading2"/>
      </w:pPr>
      <w:r w:rsidRPr="002D71A6">
        <w:t>2.1</w:t>
      </w:r>
      <w:r w:rsidRPr="002D71A6">
        <w:tab/>
        <w:t>Outside-inside propagation: issues concerning entry-loss reference field</w:t>
      </w:r>
    </w:p>
    <w:p w14:paraId="5FFE7D6B" w14:textId="702B802F" w:rsidR="006E5097" w:rsidRPr="002D71A6" w:rsidRDefault="006E5097" w:rsidP="006E5097">
      <w:r w:rsidRPr="002D71A6">
        <w:t xml:space="preserve">A difficulty with defining the entry loss reference field is that the presence of the building will modify signal strengths outside it. Figure 3 illustrates, in somewhat simplified form, the issues involved. The three sections of the </w:t>
      </w:r>
      <w:r w:rsidR="00A0305B" w:rsidRPr="002D71A6">
        <w:t>F</w:t>
      </w:r>
      <w:r w:rsidRPr="002D71A6">
        <w:t>igure show:</w:t>
      </w:r>
    </w:p>
    <w:p w14:paraId="411E5E71" w14:textId="77777777" w:rsidR="006E5097" w:rsidRPr="002D71A6" w:rsidRDefault="006E5097" w:rsidP="006E5097">
      <w:pPr>
        <w:pStyle w:val="enumlev1"/>
      </w:pPr>
      <w:r w:rsidRPr="002D71A6">
        <w:t>a)</w:t>
      </w:r>
      <w:r w:rsidRPr="002D71A6">
        <w:tab/>
        <w:t>A relatively isolated outdoor point receives a direct and ground-reflected ray. In fact both of these rays, in an urban environment, may well arrive from a distant source via diffraction over a building to the left of the Figure. For propagation at small angles to the horizontal, there will be fairly simply and mainly vertical lobing, that is, maxima and minima when the point is moved vertically.</w:t>
      </w:r>
    </w:p>
    <w:p w14:paraId="4519F675" w14:textId="77777777" w:rsidR="006E5097" w:rsidRPr="002D71A6" w:rsidRDefault="006E5097" w:rsidP="006E5097">
      <w:pPr>
        <w:pStyle w:val="enumlev1"/>
      </w:pPr>
      <w:r w:rsidRPr="002D71A6">
        <w:lastRenderedPageBreak/>
        <w:t>b)</w:t>
      </w:r>
      <w:r w:rsidRPr="002D71A6">
        <w:tab/>
        <w:t>Without moving the point, a building is placed just behind it. It now receives two additional rays reflected from the building, one of which is also ground-reflected. The lobing pattern will now have fine structure in both the vertical and horizontal directions.</w:t>
      </w:r>
    </w:p>
    <w:p w14:paraId="1010C571" w14:textId="77777777" w:rsidR="006E5097" w:rsidRPr="002D71A6" w:rsidRDefault="006E5097" w:rsidP="006E5097">
      <w:pPr>
        <w:pStyle w:val="enumlev1"/>
      </w:pPr>
      <w:r w:rsidRPr="002D71A6">
        <w:t>c)</w:t>
      </w:r>
      <w:r w:rsidRPr="002D71A6">
        <w:tab/>
        <w:t>The point is now moved inside the building. For the purposes of illustration the frequency is assumed to be high enough such that only rays entering a window are significant. At a lower frequency, where penetration through the wall is significant, the ray pattern would change.</w:t>
      </w:r>
    </w:p>
    <w:p w14:paraId="6E7338D8" w14:textId="77777777" w:rsidR="006E5097" w:rsidRPr="002D71A6" w:rsidRDefault="006E5097" w:rsidP="006E5097">
      <w:pPr>
        <w:pStyle w:val="FigureNo"/>
      </w:pPr>
      <w:r w:rsidRPr="002D71A6">
        <w:t>Figure 3</w:t>
      </w:r>
    </w:p>
    <w:p w14:paraId="5558AA88" w14:textId="77777777" w:rsidR="006E5097" w:rsidRPr="002D71A6" w:rsidRDefault="006E5097" w:rsidP="006E5097">
      <w:pPr>
        <w:pStyle w:val="Figuretitle"/>
      </w:pPr>
      <w:r w:rsidRPr="002D71A6">
        <w:t>Simplified ray diagrams for outdoor and indoor points</w:t>
      </w:r>
    </w:p>
    <w:p w14:paraId="45930B2F" w14:textId="62462AF7" w:rsidR="006E5097" w:rsidRPr="002D71A6" w:rsidRDefault="002D71A6" w:rsidP="006E5097">
      <w:pPr>
        <w:pStyle w:val="Figure"/>
      </w:pPr>
      <w:r>
        <w:rPr>
          <w:noProof/>
        </w:rPr>
        <w:drawing>
          <wp:inline distT="0" distB="0" distL="0" distR="0" wp14:anchorId="38EB36A6" wp14:editId="57154B22">
            <wp:extent cx="3828296" cy="2520701"/>
            <wp:effectExtent l="0" t="0" r="1270" b="0"/>
            <wp:docPr id="9" name="Picture 9" descr="A diagram of a diagram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diagram of a building&#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28296" cy="2520701"/>
                    </a:xfrm>
                    <a:prstGeom prst="rect">
                      <a:avLst/>
                    </a:prstGeom>
                  </pic:spPr>
                </pic:pic>
              </a:graphicData>
            </a:graphic>
          </wp:inline>
        </w:drawing>
      </w:r>
    </w:p>
    <w:p w14:paraId="3520D381" w14:textId="77777777" w:rsidR="006E5097" w:rsidRPr="002D71A6" w:rsidRDefault="006E5097" w:rsidP="006E5097">
      <w:pPr>
        <w:pStyle w:val="Normalaftertitle"/>
        <w:rPr>
          <w:lang w:eastAsia="ja-JP"/>
        </w:rPr>
      </w:pPr>
      <w:r w:rsidRPr="002D71A6">
        <w:t>Although multipath propagation causes lobing, the power-sum of multiple rays approximates to the spatially-averaged field. In general, therefore, the presence of a building behind a receiver can be expected to increase the received signal strength. Inside the building, particularly close to the illuminated external wall, a larger number of rays is likely to be received, although many will be attenuated by transmission, reflection or diffraction. It is thus possible to have a stronger signal inside than outside.</w:t>
      </w:r>
    </w:p>
    <w:p w14:paraId="475ED600" w14:textId="77777777" w:rsidR="006E5097" w:rsidRPr="002D71A6" w:rsidRDefault="006E5097" w:rsidP="006E5097">
      <w:pPr>
        <w:pStyle w:val="Heading2"/>
      </w:pPr>
      <w:r w:rsidRPr="002D71A6">
        <w:t>2.2</w:t>
      </w:r>
      <w:r w:rsidRPr="002D71A6">
        <w:tab/>
        <w:t>Propagation losses in the built environment</w:t>
      </w:r>
    </w:p>
    <w:p w14:paraId="1C44AB8C" w14:textId="7A22470F" w:rsidR="006E5097" w:rsidRPr="002D71A6" w:rsidRDefault="006E5097" w:rsidP="006E5097">
      <w:pPr>
        <w:rPr>
          <w:lang w:eastAsia="ja-JP"/>
        </w:rPr>
      </w:pPr>
      <w:r w:rsidRPr="002D71A6">
        <w:rPr>
          <w:lang w:eastAsia="ja-JP"/>
        </w:rPr>
        <w:t>Figure 4 shows the different kinds of building losses encountered in an outdoor-indoor and indoor-outdoor scenario. The definitions are given in the next sections.</w:t>
      </w:r>
    </w:p>
    <w:p w14:paraId="1175E2C5" w14:textId="77777777" w:rsidR="006E5097" w:rsidRPr="002D71A6" w:rsidRDefault="006E5097" w:rsidP="006E5097">
      <w:pPr>
        <w:pStyle w:val="FigureNo"/>
        <w:rPr>
          <w:lang w:eastAsia="ja-JP"/>
        </w:rPr>
      </w:pPr>
      <w:r w:rsidRPr="002D71A6">
        <w:rPr>
          <w:lang w:eastAsia="ja-JP"/>
        </w:rPr>
        <w:t>Figure 4</w:t>
      </w:r>
    </w:p>
    <w:p w14:paraId="728948ED" w14:textId="77777777" w:rsidR="006E5097" w:rsidRPr="002D71A6" w:rsidRDefault="006E5097" w:rsidP="006E5097">
      <w:pPr>
        <w:pStyle w:val="Figuretitle"/>
        <w:rPr>
          <w:lang w:eastAsia="ja-JP"/>
        </w:rPr>
      </w:pPr>
      <w:r w:rsidRPr="002D71A6">
        <w:rPr>
          <w:lang w:eastAsia="ja-JP"/>
        </w:rPr>
        <w:t>Different kinds of propagation loss involving buildings</w:t>
      </w:r>
    </w:p>
    <w:p w14:paraId="17BF9021" w14:textId="7C9B0D11" w:rsidR="006E5097" w:rsidRPr="002D71A6" w:rsidRDefault="002D71A6" w:rsidP="006E5097">
      <w:pPr>
        <w:pStyle w:val="Figure"/>
        <w:rPr>
          <w:lang w:eastAsia="ja-JP"/>
        </w:rPr>
      </w:pPr>
      <w:r>
        <w:rPr>
          <w:noProof/>
          <w:lang w:eastAsia="ja-JP"/>
        </w:rPr>
        <w:drawing>
          <wp:inline distT="0" distB="0" distL="0" distR="0" wp14:anchorId="635133D8" wp14:editId="1DF1CC31">
            <wp:extent cx="4087376" cy="1773940"/>
            <wp:effectExtent l="0" t="0" r="8890" b="0"/>
            <wp:docPr id="10" name="Picture 10" descr="A diagram of a rectangular object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rectangular object with arrow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87376" cy="1773940"/>
                    </a:xfrm>
                    <a:prstGeom prst="rect">
                      <a:avLst/>
                    </a:prstGeom>
                  </pic:spPr>
                </pic:pic>
              </a:graphicData>
            </a:graphic>
          </wp:inline>
        </w:drawing>
      </w:r>
    </w:p>
    <w:p w14:paraId="2B090859" w14:textId="77777777" w:rsidR="006E5097" w:rsidRPr="002D71A6" w:rsidRDefault="006E5097" w:rsidP="006E5097">
      <w:pPr>
        <w:pStyle w:val="Heading1"/>
      </w:pPr>
      <w:r w:rsidRPr="002D71A6">
        <w:lastRenderedPageBreak/>
        <w:t>3</w:t>
      </w:r>
      <w:r w:rsidRPr="002D71A6">
        <w:tab/>
        <w:t>Definitions</w:t>
      </w:r>
    </w:p>
    <w:p w14:paraId="14920751" w14:textId="77777777" w:rsidR="006E5097" w:rsidRPr="002D71A6" w:rsidRDefault="006E5097" w:rsidP="006E5097">
      <w:pPr>
        <w:pStyle w:val="Heading2"/>
      </w:pPr>
      <w:r w:rsidRPr="002D71A6">
        <w:t>3.1</w:t>
      </w:r>
      <w:r w:rsidRPr="002D71A6">
        <w:tab/>
        <w:t>Definition of building entry loss</w:t>
      </w:r>
    </w:p>
    <w:p w14:paraId="412F5EC1" w14:textId="77777777" w:rsidR="006E5097" w:rsidRPr="002D71A6" w:rsidRDefault="006E5097" w:rsidP="006E5097">
      <w:r w:rsidRPr="002D71A6">
        <w:t>Building entry loss is the additional loss due to a terminal being inside a building.</w:t>
      </w:r>
    </w:p>
    <w:p w14:paraId="5152F205" w14:textId="77777777" w:rsidR="006E5097" w:rsidRPr="002D71A6" w:rsidRDefault="006E5097" w:rsidP="006E5097">
      <w:pPr>
        <w:pStyle w:val="Heading2"/>
      </w:pPr>
      <w:r w:rsidRPr="002D71A6">
        <w:t>3.2</w:t>
      </w:r>
      <w:r w:rsidRPr="002D71A6">
        <w:tab/>
        <w:t xml:space="preserve">Definition of building </w:t>
      </w:r>
      <w:r w:rsidRPr="002D71A6">
        <w:rPr>
          <w:lang w:eastAsia="ja-JP"/>
        </w:rPr>
        <w:t>shadowing</w:t>
      </w:r>
      <w:r w:rsidRPr="002D71A6">
        <w:t xml:space="preserve"> loss</w:t>
      </w:r>
    </w:p>
    <w:p w14:paraId="761B96D6" w14:textId="77777777" w:rsidR="006E5097" w:rsidRPr="002D71A6" w:rsidRDefault="006E5097" w:rsidP="006E5097">
      <w:r w:rsidRPr="002D71A6">
        <w:t xml:space="preserve">The building </w:t>
      </w:r>
      <w:r w:rsidRPr="002D71A6">
        <w:rPr>
          <w:lang w:eastAsia="ja-JP"/>
        </w:rPr>
        <w:t>shadowing</w:t>
      </w:r>
      <w:r w:rsidRPr="002D71A6">
        <w:t xml:space="preserve"> loss is the difference between the median of the location variability of the signal level outside the illuminated face of a building and the signal level outside the opposite face of the building at the same height above ground, with multipath fading spatially averaged for both signals. It can be considered as the transmission loss through a building.</w:t>
      </w:r>
    </w:p>
    <w:p w14:paraId="1B767499" w14:textId="77777777" w:rsidR="006E5097" w:rsidRPr="002D71A6" w:rsidRDefault="006E5097" w:rsidP="006E5097">
      <w:pPr>
        <w:pStyle w:val="Heading2"/>
        <w:rPr>
          <w:lang w:eastAsia="ja-JP"/>
        </w:rPr>
      </w:pPr>
      <w:r w:rsidRPr="002D71A6">
        <w:t>3.3</w:t>
      </w:r>
      <w:r w:rsidRPr="002D71A6">
        <w:tab/>
        <w:t>Definition of (e.g. wall) penetration</w:t>
      </w:r>
    </w:p>
    <w:p w14:paraId="2A63D7F1" w14:textId="77777777" w:rsidR="006E5097" w:rsidRPr="002D71A6" w:rsidRDefault="006E5097" w:rsidP="006E5097">
      <w:pPr>
        <w:rPr>
          <w:lang w:eastAsia="ja-JP"/>
        </w:rPr>
      </w:pPr>
      <w:r w:rsidRPr="002D71A6">
        <w:rPr>
          <w:lang w:eastAsia="ja-JP"/>
        </w:rPr>
        <w:t>Signals outside a building enter an enclosed building by penetration mostly through walls. Wall penetration can also refer to the penetration through partitions inside buildings. Inside buildings, wall penetration loss is t</w:t>
      </w:r>
      <w:r w:rsidRPr="002D71A6">
        <w:t>he difference between the median of the location</w:t>
      </w:r>
      <w:r w:rsidRPr="002D71A6">
        <w:rPr>
          <w:lang w:eastAsia="ja-JP"/>
        </w:rPr>
        <w:t xml:space="preserve"> </w:t>
      </w:r>
      <w:r w:rsidRPr="002D71A6">
        <w:t xml:space="preserve">variability of the signal level </w:t>
      </w:r>
      <w:r w:rsidRPr="002D71A6">
        <w:rPr>
          <w:lang w:eastAsia="ja-JP"/>
        </w:rPr>
        <w:t xml:space="preserve">on one side of a wall, and the </w:t>
      </w:r>
      <w:r w:rsidRPr="002D71A6">
        <w:t xml:space="preserve">signal level </w:t>
      </w:r>
      <w:r w:rsidRPr="002D71A6">
        <w:rPr>
          <w:lang w:eastAsia="ja-JP"/>
        </w:rPr>
        <w:t>on</w:t>
      </w:r>
      <w:r w:rsidRPr="002D71A6">
        <w:t xml:space="preserve"> the opposite </w:t>
      </w:r>
      <w:r w:rsidRPr="002D71A6">
        <w:rPr>
          <w:lang w:eastAsia="ja-JP"/>
        </w:rPr>
        <w:t xml:space="preserve">side of the wall </w:t>
      </w:r>
      <w:r w:rsidRPr="002D71A6">
        <w:t xml:space="preserve">at the same height </w:t>
      </w:r>
      <w:r w:rsidRPr="002D71A6">
        <w:rPr>
          <w:lang w:eastAsia="ja-JP"/>
        </w:rPr>
        <w:t>above ground</w:t>
      </w:r>
      <w:r w:rsidRPr="002D71A6">
        <w:t xml:space="preserve">, with multipath fading spatially averaged for both signals. It can be considered as the transmission loss through a </w:t>
      </w:r>
      <w:r w:rsidRPr="002D71A6">
        <w:rPr>
          <w:lang w:eastAsia="ja-JP"/>
        </w:rPr>
        <w:t>wall</w:t>
      </w:r>
      <w:r w:rsidRPr="002D71A6">
        <w:t>.</w:t>
      </w:r>
    </w:p>
    <w:p w14:paraId="53600188" w14:textId="77777777" w:rsidR="006E5097" w:rsidRPr="002D71A6" w:rsidRDefault="006E5097" w:rsidP="006E5097">
      <w:pPr>
        <w:pStyle w:val="Heading2"/>
        <w:rPr>
          <w:lang w:eastAsia="ja-JP"/>
        </w:rPr>
      </w:pPr>
      <w:r w:rsidRPr="002D71A6">
        <w:t>3.4</w:t>
      </w:r>
      <w:r w:rsidRPr="002D71A6">
        <w:tab/>
        <w:t>Definition of aperture penetration</w:t>
      </w:r>
    </w:p>
    <w:p w14:paraId="2527951A" w14:textId="77777777" w:rsidR="006E5097" w:rsidRPr="002D71A6" w:rsidRDefault="006E5097" w:rsidP="006E5097">
      <w:pPr>
        <w:rPr>
          <w:lang w:eastAsia="ja-JP"/>
        </w:rPr>
      </w:pPr>
      <w:r w:rsidRPr="002D71A6">
        <w:rPr>
          <w:lang w:eastAsia="ja-JP"/>
        </w:rPr>
        <w:t>Aperture penetration is the penetration of signals from one side of a wall to the other side through openings on the walls like windows.</w:t>
      </w:r>
    </w:p>
    <w:p w14:paraId="7A8FBFFD" w14:textId="77777777" w:rsidR="006E5097" w:rsidRPr="002D71A6" w:rsidRDefault="006E5097" w:rsidP="006E5097">
      <w:pPr>
        <w:pStyle w:val="Heading2"/>
        <w:rPr>
          <w:lang w:eastAsia="ja-JP"/>
        </w:rPr>
      </w:pPr>
      <w:r w:rsidRPr="002D71A6">
        <w:rPr>
          <w:lang w:eastAsia="ja-JP"/>
        </w:rPr>
        <w:t>3.5</w:t>
      </w:r>
      <w:r w:rsidRPr="002D71A6">
        <w:tab/>
      </w:r>
      <w:r w:rsidRPr="002D71A6">
        <w:rPr>
          <w:lang w:eastAsia="ja-JP"/>
        </w:rPr>
        <w:t>Definition of building exit loss</w:t>
      </w:r>
    </w:p>
    <w:p w14:paraId="77C539EE" w14:textId="77777777" w:rsidR="006E5097" w:rsidRPr="002D71A6" w:rsidRDefault="006E5097" w:rsidP="006E5097">
      <w:r w:rsidRPr="002D71A6">
        <w:t>From reciprocity, the numerical value of building exit loss will be the same as the building entry loss. In the remainder of this text the terms are used interchangeably.</w:t>
      </w:r>
    </w:p>
    <w:p w14:paraId="644C4463" w14:textId="77777777" w:rsidR="006E5097" w:rsidRPr="002D71A6" w:rsidRDefault="006E5097" w:rsidP="006E5097">
      <w:pPr>
        <w:pStyle w:val="Heading1"/>
        <w:rPr>
          <w:lang w:eastAsia="zh-CN"/>
        </w:rPr>
      </w:pPr>
      <w:r w:rsidRPr="002D71A6">
        <w:rPr>
          <w:lang w:eastAsia="zh-CN"/>
        </w:rPr>
        <w:t>4</w:t>
      </w:r>
      <w:r w:rsidRPr="002D71A6">
        <w:rPr>
          <w:lang w:eastAsia="zh-CN"/>
        </w:rPr>
        <w:tab/>
        <w:t>Measurement of building entry loss</w:t>
      </w:r>
    </w:p>
    <w:p w14:paraId="5CE87D94" w14:textId="77777777" w:rsidR="006E5097" w:rsidRPr="002D71A6" w:rsidRDefault="006E5097" w:rsidP="006E5097">
      <w:pPr>
        <w:pStyle w:val="Heading2"/>
        <w:rPr>
          <w:lang w:eastAsia="zh-CN"/>
        </w:rPr>
      </w:pPr>
      <w:r w:rsidRPr="002D71A6">
        <w:rPr>
          <w:lang w:eastAsia="zh-CN"/>
        </w:rPr>
        <w:t>4.1</w:t>
      </w:r>
      <w:r w:rsidRPr="002D71A6">
        <w:rPr>
          <w:lang w:eastAsia="zh-CN"/>
        </w:rPr>
        <w:tab/>
        <w:t>Introduction</w:t>
      </w:r>
    </w:p>
    <w:p w14:paraId="5E267B05" w14:textId="77777777" w:rsidR="006E5097" w:rsidRPr="002D71A6" w:rsidRDefault="006E5097" w:rsidP="006E5097">
      <w:r w:rsidRPr="002D71A6">
        <w:t>Building entry loss can be measured as the difference, expressed in dB, between the spatial median of the signal level outside the illuminated face of a building and the spatial median of the signal level inside the building at the same height above ground, shown as “h” in Fig. 5 below (i.e. loss = spatial median external field – spatial median internal field, where measurements are in decibel units). The purpose of the outside measurement is to approximate the field strength which would exist at the indoor location if the building did not exist. Where the distance between the outside and inside measurements is a significant portion of the overall path, the additional free space loss should be allowed for.</w:t>
      </w:r>
    </w:p>
    <w:p w14:paraId="054A4A02" w14:textId="77777777" w:rsidR="006E5097" w:rsidRPr="002D71A6" w:rsidRDefault="006E5097" w:rsidP="006E5097">
      <w:r w:rsidRPr="002D71A6">
        <w:t>The outdoor field should be measured as close as possible to the building while ensuring that near</w:t>
      </w:r>
      <w:r w:rsidRPr="002D71A6">
        <w:noBreakHyphen/>
        <w:t xml:space="preserve">field effects are </w:t>
      </w:r>
      <w:proofErr w:type="gramStart"/>
      <w:r w:rsidRPr="002D71A6">
        <w:t>avoided</w:t>
      </w:r>
      <w:proofErr w:type="gramEnd"/>
      <w:r w:rsidRPr="002D71A6">
        <w:t xml:space="preserve"> and antenna characteristics are unaffected. Measurements made with directional and omnidirectional antennas may be expected to give different results; antenna characteristics should, in any case, be carefully described. Where it is not possible to measure the outdoor field incident on the building a predicted value should be </w:t>
      </w:r>
      <w:proofErr w:type="gramStart"/>
      <w:r w:rsidRPr="002D71A6">
        <w:t>used</w:t>
      </w:r>
      <w:proofErr w:type="gramEnd"/>
      <w:r w:rsidRPr="002D71A6">
        <w:t xml:space="preserve"> and this should be clearly stated.</w:t>
      </w:r>
    </w:p>
    <w:p w14:paraId="0E05E461" w14:textId="77777777" w:rsidR="006E5097" w:rsidRPr="002D71A6" w:rsidRDefault="006E5097" w:rsidP="006E5097">
      <w:r w:rsidRPr="002D71A6">
        <w:t>Measurements should normally be performed with a line of sight (LoS) between the outdoor terminal and one face of the building under test.</w:t>
      </w:r>
    </w:p>
    <w:p w14:paraId="131712D1" w14:textId="77777777" w:rsidR="006E5097" w:rsidRPr="002D71A6" w:rsidRDefault="006E5097" w:rsidP="006E5097">
      <w:pPr>
        <w:pStyle w:val="FigureNo"/>
        <w:rPr>
          <w:lang w:eastAsia="ja-JP"/>
        </w:rPr>
      </w:pPr>
      <w:r w:rsidRPr="002D71A6">
        <w:rPr>
          <w:lang w:eastAsia="ja-JP"/>
        </w:rPr>
        <w:lastRenderedPageBreak/>
        <w:t>Figure 5</w:t>
      </w:r>
    </w:p>
    <w:p w14:paraId="77398A87" w14:textId="77777777" w:rsidR="006E5097" w:rsidRPr="002D71A6" w:rsidRDefault="006E5097" w:rsidP="006E5097">
      <w:pPr>
        <w:pStyle w:val="Figuretitle"/>
        <w:rPr>
          <w:lang w:eastAsia="ja-JP"/>
        </w:rPr>
      </w:pPr>
      <w:r w:rsidRPr="002D71A6">
        <w:rPr>
          <w:lang w:eastAsia="ja-JP"/>
        </w:rPr>
        <w:t>Location of reference and measurement antennas for building entry loss measurement</w:t>
      </w:r>
    </w:p>
    <w:p w14:paraId="75845C7E" w14:textId="2A10D50A" w:rsidR="006E5097" w:rsidRPr="002D71A6" w:rsidRDefault="002D71A6" w:rsidP="006E5097">
      <w:pPr>
        <w:pStyle w:val="Figure"/>
      </w:pPr>
      <w:r>
        <w:rPr>
          <w:noProof/>
        </w:rPr>
        <w:drawing>
          <wp:inline distT="0" distB="0" distL="0" distR="0" wp14:anchorId="62C99EE5" wp14:editId="2453C63A">
            <wp:extent cx="5839980" cy="2700533"/>
            <wp:effectExtent l="0" t="0" r="8890" b="5080"/>
            <wp:docPr id="11" name="Picture 11" descr="Diagram of a building with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of a building with a 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39980" cy="2700533"/>
                    </a:xfrm>
                    <a:prstGeom prst="rect">
                      <a:avLst/>
                    </a:prstGeom>
                  </pic:spPr>
                </pic:pic>
              </a:graphicData>
            </a:graphic>
          </wp:inline>
        </w:drawing>
      </w:r>
    </w:p>
    <w:p w14:paraId="71DD4CED" w14:textId="77777777" w:rsidR="006E5097" w:rsidRPr="002D71A6" w:rsidRDefault="006E5097" w:rsidP="006E5097">
      <w:pPr>
        <w:pStyle w:val="Normalaftertitle"/>
      </w:pPr>
      <w:r w:rsidRPr="002D71A6">
        <w:t xml:space="preserve">The area chosen for spatial averaging inside the building will depend on the particular </w:t>
      </w:r>
      <w:proofErr w:type="gramStart"/>
      <w:r w:rsidRPr="002D71A6">
        <w:t>application, and</w:t>
      </w:r>
      <w:proofErr w:type="gramEnd"/>
      <w:r w:rsidRPr="002D71A6">
        <w:t xml:space="preserve"> should be clearly stated; room-averages have been found to represent a practical and useful basis for discretisation.</w:t>
      </w:r>
    </w:p>
    <w:p w14:paraId="51DD0360" w14:textId="77777777" w:rsidR="006E5097" w:rsidRPr="002D71A6" w:rsidRDefault="006E5097" w:rsidP="006E5097">
      <w:pPr>
        <w:pStyle w:val="Heading2"/>
      </w:pPr>
      <w:r w:rsidRPr="002D71A6">
        <w:t>4.2</w:t>
      </w:r>
      <w:r w:rsidRPr="002D71A6">
        <w:tab/>
        <w:t>Parameters to be recorded</w:t>
      </w:r>
    </w:p>
    <w:p w14:paraId="26D76DA4" w14:textId="77777777" w:rsidR="006E5097" w:rsidRPr="002D71A6" w:rsidRDefault="006E5097" w:rsidP="006E5097">
      <w:r w:rsidRPr="002D71A6">
        <w:t>The following parameters should be recorded when performing measurements of building entry loss.</w:t>
      </w:r>
    </w:p>
    <w:p w14:paraId="3195F868" w14:textId="77777777" w:rsidR="006E5097" w:rsidRPr="002D71A6" w:rsidRDefault="006E5097" w:rsidP="006E5097">
      <w:r w:rsidRPr="002D71A6">
        <w:t xml:space="preserve">It is assumed that each measurement set will consist of a number of samples, with the results being expressed as a tabulated cumulative distribution function of loss. </w:t>
      </w:r>
    </w:p>
    <w:p w14:paraId="616780BA" w14:textId="77777777" w:rsidR="006E5097" w:rsidRPr="002D71A6" w:rsidRDefault="006E5097" w:rsidP="006E5097">
      <w:r w:rsidRPr="002D71A6">
        <w:t>Researchers are asked to provide as much additional detail as possible; in particular, interior and exterior photographs should be supplied wherever possible.</w:t>
      </w:r>
    </w:p>
    <w:p w14:paraId="5AC23C55" w14:textId="77777777" w:rsidR="006E5097" w:rsidRPr="002D71A6" w:rsidRDefault="006E5097" w:rsidP="006E5097">
      <w:pPr>
        <w:pStyle w:val="TableNo"/>
      </w:pPr>
      <w:r w:rsidRPr="002D71A6">
        <w:lastRenderedPageBreak/>
        <w:t>TABLE 2</w:t>
      </w:r>
    </w:p>
    <w:p w14:paraId="68915DC5" w14:textId="77777777" w:rsidR="006E5097" w:rsidRPr="002D71A6" w:rsidRDefault="006E5097" w:rsidP="006E5097">
      <w:pPr>
        <w:pStyle w:val="Tabletitle"/>
      </w:pPr>
      <w:r w:rsidRPr="002D71A6">
        <w:t>Measurement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3892"/>
        <w:gridCol w:w="3005"/>
      </w:tblGrid>
      <w:tr w:rsidR="006E5097" w:rsidRPr="002D71A6" w14:paraId="3B466890" w14:textId="77777777" w:rsidTr="000F7AD5">
        <w:trPr>
          <w:jc w:val="center"/>
        </w:trPr>
        <w:tc>
          <w:tcPr>
            <w:tcW w:w="2739" w:type="dxa"/>
          </w:tcPr>
          <w:p w14:paraId="2BC7470D" w14:textId="77777777" w:rsidR="006E5097" w:rsidRPr="002D71A6" w:rsidRDefault="006E5097" w:rsidP="00DE317C">
            <w:pPr>
              <w:pStyle w:val="Tablehead"/>
            </w:pPr>
            <w:r w:rsidRPr="002D71A6">
              <w:t>Parameter</w:t>
            </w:r>
          </w:p>
        </w:tc>
        <w:tc>
          <w:tcPr>
            <w:tcW w:w="3888" w:type="dxa"/>
          </w:tcPr>
          <w:p w14:paraId="16FD9A90" w14:textId="77777777" w:rsidR="006E5097" w:rsidRPr="002D71A6" w:rsidRDefault="006E5097" w:rsidP="00DE317C">
            <w:pPr>
              <w:pStyle w:val="Tablehead"/>
            </w:pPr>
            <w:r w:rsidRPr="002D71A6">
              <w:t>Units or classification</w:t>
            </w:r>
          </w:p>
        </w:tc>
        <w:tc>
          <w:tcPr>
            <w:tcW w:w="3002" w:type="dxa"/>
          </w:tcPr>
          <w:p w14:paraId="1A1F3BD0" w14:textId="77777777" w:rsidR="006E5097" w:rsidRPr="002D71A6" w:rsidRDefault="006E5097" w:rsidP="00DE317C">
            <w:pPr>
              <w:pStyle w:val="Tablehead"/>
            </w:pPr>
            <w:r w:rsidRPr="002D71A6">
              <w:t>Notes</w:t>
            </w:r>
          </w:p>
        </w:tc>
      </w:tr>
      <w:tr w:rsidR="006E5097" w:rsidRPr="002D71A6" w14:paraId="2EC9DB7D" w14:textId="77777777" w:rsidTr="000F7AD5">
        <w:trPr>
          <w:jc w:val="center"/>
        </w:trPr>
        <w:tc>
          <w:tcPr>
            <w:tcW w:w="2739" w:type="dxa"/>
          </w:tcPr>
          <w:p w14:paraId="17263987" w14:textId="77777777" w:rsidR="006E5097" w:rsidRPr="002D71A6" w:rsidRDefault="006E5097" w:rsidP="00DE317C">
            <w:pPr>
              <w:pStyle w:val="Tabletext"/>
              <w:keepNext/>
              <w:keepLines/>
            </w:pPr>
            <w:r w:rsidRPr="002D71A6">
              <w:t>Frequency</w:t>
            </w:r>
          </w:p>
        </w:tc>
        <w:tc>
          <w:tcPr>
            <w:tcW w:w="3888" w:type="dxa"/>
          </w:tcPr>
          <w:p w14:paraId="3079A205" w14:textId="77777777" w:rsidR="006E5097" w:rsidRPr="002D71A6" w:rsidRDefault="006E5097" w:rsidP="00DE317C">
            <w:pPr>
              <w:pStyle w:val="Tabletext"/>
              <w:keepNext/>
              <w:keepLines/>
            </w:pPr>
            <w:r w:rsidRPr="002D71A6">
              <w:t>MHz</w:t>
            </w:r>
          </w:p>
        </w:tc>
        <w:tc>
          <w:tcPr>
            <w:tcW w:w="3002" w:type="dxa"/>
          </w:tcPr>
          <w:p w14:paraId="45497993" w14:textId="77777777" w:rsidR="006E5097" w:rsidRPr="002D71A6" w:rsidRDefault="006E5097" w:rsidP="00DE317C">
            <w:pPr>
              <w:keepNext/>
              <w:keepLines/>
            </w:pPr>
          </w:p>
        </w:tc>
      </w:tr>
      <w:tr w:rsidR="006E5097" w:rsidRPr="002D71A6" w14:paraId="0F0A0D26" w14:textId="77777777" w:rsidTr="000F7AD5">
        <w:trPr>
          <w:jc w:val="center"/>
        </w:trPr>
        <w:tc>
          <w:tcPr>
            <w:tcW w:w="2739" w:type="dxa"/>
          </w:tcPr>
          <w:p w14:paraId="10F61125" w14:textId="77777777" w:rsidR="006E5097" w:rsidRPr="002D71A6" w:rsidRDefault="006E5097" w:rsidP="00DE317C">
            <w:pPr>
              <w:pStyle w:val="Tabletext"/>
              <w:keepNext/>
              <w:keepLines/>
            </w:pPr>
            <w:r w:rsidRPr="002D71A6">
              <w:t>Bandwidth of test signal</w:t>
            </w:r>
          </w:p>
        </w:tc>
        <w:tc>
          <w:tcPr>
            <w:tcW w:w="3888" w:type="dxa"/>
          </w:tcPr>
          <w:p w14:paraId="4AFC7DE6" w14:textId="77777777" w:rsidR="006E5097" w:rsidRPr="002D71A6" w:rsidRDefault="006E5097" w:rsidP="00DE317C">
            <w:pPr>
              <w:pStyle w:val="Tabletext"/>
              <w:keepNext/>
              <w:keepLines/>
            </w:pPr>
            <w:r w:rsidRPr="002D71A6">
              <w:t>MHz</w:t>
            </w:r>
          </w:p>
        </w:tc>
        <w:tc>
          <w:tcPr>
            <w:tcW w:w="3002" w:type="dxa"/>
          </w:tcPr>
          <w:p w14:paraId="5376C901" w14:textId="77777777" w:rsidR="006E5097" w:rsidRPr="002D71A6" w:rsidRDefault="006E5097" w:rsidP="00DE317C">
            <w:pPr>
              <w:pStyle w:val="Tabletext"/>
              <w:keepNext/>
              <w:keepLines/>
            </w:pPr>
            <w:r w:rsidRPr="002D71A6">
              <w:t>0 MHz if CW source used</w:t>
            </w:r>
          </w:p>
        </w:tc>
      </w:tr>
      <w:tr w:rsidR="006E5097" w:rsidRPr="002D71A6" w14:paraId="4EB3A744" w14:textId="77777777" w:rsidTr="000F7AD5">
        <w:trPr>
          <w:jc w:val="center"/>
        </w:trPr>
        <w:tc>
          <w:tcPr>
            <w:tcW w:w="2739" w:type="dxa"/>
          </w:tcPr>
          <w:p w14:paraId="0FA71FDB" w14:textId="77777777" w:rsidR="006E5097" w:rsidRPr="002D71A6" w:rsidRDefault="006E5097" w:rsidP="00DE317C">
            <w:pPr>
              <w:pStyle w:val="Tabletext"/>
              <w:keepNext/>
              <w:keepLines/>
            </w:pPr>
            <w:r w:rsidRPr="002D71A6">
              <w:t>Surrounding environment</w:t>
            </w:r>
          </w:p>
        </w:tc>
        <w:tc>
          <w:tcPr>
            <w:tcW w:w="3888" w:type="dxa"/>
          </w:tcPr>
          <w:p w14:paraId="197DDF1D" w14:textId="77777777" w:rsidR="006E5097" w:rsidRPr="002D71A6" w:rsidRDefault="006E5097" w:rsidP="00DE317C">
            <w:pPr>
              <w:pStyle w:val="Tabletext"/>
              <w:keepNext/>
              <w:keepLines/>
            </w:pPr>
            <w:r w:rsidRPr="002D71A6">
              <w:t>Open/suburban/urban/dense urban</w:t>
            </w:r>
          </w:p>
        </w:tc>
        <w:tc>
          <w:tcPr>
            <w:tcW w:w="3002" w:type="dxa"/>
          </w:tcPr>
          <w:p w14:paraId="0CE52B1D" w14:textId="77777777" w:rsidR="006E5097" w:rsidRPr="002D71A6" w:rsidRDefault="006E5097" w:rsidP="00381F0A">
            <w:pPr>
              <w:pStyle w:val="Tabletext"/>
              <w:keepNext/>
              <w:keepLines/>
              <w:jc w:val="left"/>
            </w:pPr>
            <w:r w:rsidRPr="002D71A6">
              <w:t>Required to estimate importance of coupling via energy scattered from other buildings</w:t>
            </w:r>
          </w:p>
        </w:tc>
      </w:tr>
      <w:tr w:rsidR="006E5097" w:rsidRPr="002D71A6" w14:paraId="094710B3" w14:textId="77777777" w:rsidTr="000F7AD5">
        <w:trPr>
          <w:jc w:val="center"/>
        </w:trPr>
        <w:tc>
          <w:tcPr>
            <w:tcW w:w="2739" w:type="dxa"/>
          </w:tcPr>
          <w:p w14:paraId="5D24AA3A" w14:textId="77777777" w:rsidR="006E5097" w:rsidRPr="002D71A6" w:rsidRDefault="006E5097" w:rsidP="00DE317C">
            <w:pPr>
              <w:pStyle w:val="Tabletext"/>
              <w:keepNext/>
              <w:keepLines/>
            </w:pPr>
            <w:r w:rsidRPr="002D71A6">
              <w:t>LoS to building?</w:t>
            </w:r>
          </w:p>
        </w:tc>
        <w:tc>
          <w:tcPr>
            <w:tcW w:w="3888" w:type="dxa"/>
          </w:tcPr>
          <w:p w14:paraId="62A35AB2" w14:textId="77777777" w:rsidR="006E5097" w:rsidRPr="002D71A6" w:rsidRDefault="006E5097" w:rsidP="00DE317C">
            <w:pPr>
              <w:pStyle w:val="Tabletext"/>
              <w:keepNext/>
              <w:keepLines/>
            </w:pPr>
            <w:r w:rsidRPr="002D71A6">
              <w:t>Yes/No</w:t>
            </w:r>
          </w:p>
        </w:tc>
        <w:tc>
          <w:tcPr>
            <w:tcW w:w="3002" w:type="dxa"/>
          </w:tcPr>
          <w:p w14:paraId="2FDB4086" w14:textId="77777777" w:rsidR="006E5097" w:rsidRPr="002D71A6" w:rsidRDefault="006E5097" w:rsidP="00381F0A">
            <w:pPr>
              <w:pStyle w:val="Tabletext"/>
              <w:keepNext/>
              <w:keepLines/>
              <w:jc w:val="left"/>
            </w:pPr>
            <w:r w:rsidRPr="002D71A6">
              <w:t>Should normally be LoS to minimise measurement error</w:t>
            </w:r>
          </w:p>
        </w:tc>
      </w:tr>
      <w:tr w:rsidR="006E5097" w:rsidRPr="002D71A6" w14:paraId="1439F76C" w14:textId="77777777" w:rsidTr="000F7AD5">
        <w:trPr>
          <w:jc w:val="center"/>
        </w:trPr>
        <w:tc>
          <w:tcPr>
            <w:tcW w:w="2739" w:type="dxa"/>
          </w:tcPr>
          <w:p w14:paraId="06586977" w14:textId="77777777" w:rsidR="006E5097" w:rsidRPr="002D71A6" w:rsidRDefault="006E5097" w:rsidP="00DE317C">
            <w:pPr>
              <w:pStyle w:val="Tabletext"/>
              <w:keepNext/>
              <w:keepLines/>
            </w:pPr>
            <w:r w:rsidRPr="002D71A6">
              <w:t>Averaging</w:t>
            </w:r>
          </w:p>
        </w:tc>
        <w:tc>
          <w:tcPr>
            <w:tcW w:w="3888" w:type="dxa"/>
          </w:tcPr>
          <w:p w14:paraId="08D2A3D2" w14:textId="77777777" w:rsidR="006E5097" w:rsidRPr="002D71A6" w:rsidRDefault="006E5097" w:rsidP="00DE317C">
            <w:pPr>
              <w:pStyle w:val="Tabletext"/>
              <w:keepNext/>
              <w:keepLines/>
            </w:pPr>
            <w:r w:rsidRPr="002D71A6">
              <w:t>Spectral / spatial / other</w:t>
            </w:r>
          </w:p>
        </w:tc>
        <w:tc>
          <w:tcPr>
            <w:tcW w:w="3002" w:type="dxa"/>
          </w:tcPr>
          <w:p w14:paraId="13E35B80" w14:textId="77777777" w:rsidR="006E5097" w:rsidRPr="002D71A6" w:rsidRDefault="006E5097" w:rsidP="00381F0A">
            <w:pPr>
              <w:pStyle w:val="Tabletext"/>
              <w:keepNext/>
              <w:keepLines/>
              <w:jc w:val="left"/>
            </w:pPr>
            <w:r w:rsidRPr="002D71A6">
              <w:t>Free-format field to allow user to describe form of averaging (if any) used</w:t>
            </w:r>
          </w:p>
        </w:tc>
      </w:tr>
      <w:tr w:rsidR="006E5097" w:rsidRPr="002D71A6" w14:paraId="7C241DCF" w14:textId="77777777" w:rsidTr="000F7AD5">
        <w:trPr>
          <w:jc w:val="center"/>
        </w:trPr>
        <w:tc>
          <w:tcPr>
            <w:tcW w:w="2739" w:type="dxa"/>
          </w:tcPr>
          <w:p w14:paraId="0ED5AD60" w14:textId="77777777" w:rsidR="006E5097" w:rsidRPr="002D71A6" w:rsidRDefault="006E5097" w:rsidP="00DE317C">
            <w:pPr>
              <w:pStyle w:val="Tabletext"/>
              <w:keepNext/>
              <w:keepLines/>
            </w:pPr>
            <w:r w:rsidRPr="002D71A6">
              <w:t>Penetration depth</w:t>
            </w:r>
          </w:p>
        </w:tc>
        <w:tc>
          <w:tcPr>
            <w:tcW w:w="3888" w:type="dxa"/>
          </w:tcPr>
          <w:p w14:paraId="3668E5C3" w14:textId="77777777" w:rsidR="006E5097" w:rsidRPr="002D71A6" w:rsidRDefault="006E5097" w:rsidP="00DE317C">
            <w:pPr>
              <w:pStyle w:val="Tabletext"/>
              <w:keepNext/>
              <w:keepLines/>
            </w:pPr>
            <w:r w:rsidRPr="002D71A6">
              <w:t>1 = indoor terminal in room/space with external wall facing outdoor terminal</w:t>
            </w:r>
          </w:p>
          <w:p w14:paraId="714331EB" w14:textId="77777777" w:rsidR="006E5097" w:rsidRPr="002D71A6" w:rsidRDefault="006E5097" w:rsidP="00EB1666">
            <w:pPr>
              <w:pStyle w:val="Tabletext"/>
              <w:keepNext/>
              <w:keepLines/>
              <w:jc w:val="left"/>
            </w:pPr>
            <w:r w:rsidRPr="002D71A6">
              <w:t>2 = indoor terminal in room/space with no external wall</w:t>
            </w:r>
          </w:p>
          <w:p w14:paraId="39DEFA89" w14:textId="77777777" w:rsidR="006E5097" w:rsidRPr="002D71A6" w:rsidRDefault="006E5097" w:rsidP="00DE317C">
            <w:pPr>
              <w:pStyle w:val="Tabletext"/>
              <w:keepNext/>
              <w:keepLines/>
            </w:pPr>
            <w:r w:rsidRPr="002D71A6">
              <w:t xml:space="preserve">3 = indoor terminal in room/space with </w:t>
            </w:r>
            <w:proofErr w:type="gramStart"/>
            <w:r w:rsidRPr="002D71A6">
              <w:t>other</w:t>
            </w:r>
            <w:proofErr w:type="gramEnd"/>
            <w:r w:rsidRPr="002D71A6">
              <w:t xml:space="preserve"> external wall </w:t>
            </w:r>
          </w:p>
        </w:tc>
        <w:tc>
          <w:tcPr>
            <w:tcW w:w="3002" w:type="dxa"/>
          </w:tcPr>
          <w:p w14:paraId="3A3E1E7B" w14:textId="77777777" w:rsidR="006E5097" w:rsidRPr="002D71A6" w:rsidRDefault="006E5097" w:rsidP="00DE317C">
            <w:pPr>
              <w:keepNext/>
              <w:keepLines/>
            </w:pPr>
          </w:p>
        </w:tc>
      </w:tr>
      <w:tr w:rsidR="006E5097" w:rsidRPr="002D71A6" w14:paraId="548102B3" w14:textId="77777777" w:rsidTr="000F7AD5">
        <w:trPr>
          <w:jc w:val="center"/>
        </w:trPr>
        <w:tc>
          <w:tcPr>
            <w:tcW w:w="2739" w:type="dxa"/>
          </w:tcPr>
          <w:p w14:paraId="10989932" w14:textId="77777777" w:rsidR="006E5097" w:rsidRPr="002D71A6" w:rsidRDefault="006E5097" w:rsidP="00381F0A">
            <w:pPr>
              <w:pStyle w:val="Tabletext"/>
              <w:keepNext/>
              <w:keepLines/>
              <w:jc w:val="left"/>
            </w:pPr>
            <w:r w:rsidRPr="002D71A6">
              <w:t>Floor on which measurements made</w:t>
            </w:r>
          </w:p>
        </w:tc>
        <w:tc>
          <w:tcPr>
            <w:tcW w:w="3888" w:type="dxa"/>
          </w:tcPr>
          <w:p w14:paraId="4939C48B" w14:textId="77777777" w:rsidR="006E5097" w:rsidRPr="002D71A6" w:rsidRDefault="006E5097" w:rsidP="00DE317C">
            <w:pPr>
              <w:keepNext/>
              <w:keepLines/>
            </w:pPr>
          </w:p>
        </w:tc>
        <w:tc>
          <w:tcPr>
            <w:tcW w:w="3002" w:type="dxa"/>
          </w:tcPr>
          <w:p w14:paraId="4835D6DF" w14:textId="77777777" w:rsidR="006E5097" w:rsidRPr="002D71A6" w:rsidRDefault="006E5097" w:rsidP="00DE317C">
            <w:pPr>
              <w:pStyle w:val="Tabletext"/>
              <w:keepNext/>
              <w:keepLines/>
            </w:pPr>
            <w:r w:rsidRPr="002D71A6">
              <w:t>Ground floor = 0</w:t>
            </w:r>
          </w:p>
        </w:tc>
      </w:tr>
      <w:tr w:rsidR="006E5097" w:rsidRPr="002D71A6" w14:paraId="30CE89E2" w14:textId="77777777" w:rsidTr="000F7AD5">
        <w:trPr>
          <w:jc w:val="center"/>
        </w:trPr>
        <w:tc>
          <w:tcPr>
            <w:tcW w:w="2739" w:type="dxa"/>
          </w:tcPr>
          <w:p w14:paraId="7451771F" w14:textId="77777777" w:rsidR="006E5097" w:rsidRPr="002D71A6" w:rsidRDefault="006E5097" w:rsidP="00381F0A">
            <w:pPr>
              <w:pStyle w:val="Tabletext"/>
              <w:keepNext/>
              <w:keepLines/>
              <w:jc w:val="left"/>
            </w:pPr>
            <w:r w:rsidRPr="002D71A6">
              <w:t>Area within which samples taken</w:t>
            </w:r>
          </w:p>
        </w:tc>
        <w:tc>
          <w:tcPr>
            <w:tcW w:w="3888" w:type="dxa"/>
          </w:tcPr>
          <w:p w14:paraId="7453E841" w14:textId="77777777" w:rsidR="006E5097" w:rsidRPr="002D71A6" w:rsidRDefault="006E5097" w:rsidP="00DE317C">
            <w:pPr>
              <w:pStyle w:val="Tabletext"/>
              <w:keepNext/>
              <w:keepLines/>
              <w:rPr>
                <w:vertAlign w:val="superscript"/>
              </w:rPr>
            </w:pPr>
            <w:r w:rsidRPr="002D71A6">
              <w:t>Square metres</w:t>
            </w:r>
          </w:p>
        </w:tc>
        <w:tc>
          <w:tcPr>
            <w:tcW w:w="3002" w:type="dxa"/>
          </w:tcPr>
          <w:p w14:paraId="5201F987" w14:textId="77777777" w:rsidR="006E5097" w:rsidRPr="002D71A6" w:rsidRDefault="006E5097" w:rsidP="00DE317C">
            <w:pPr>
              <w:keepNext/>
              <w:keepLines/>
            </w:pPr>
          </w:p>
        </w:tc>
      </w:tr>
      <w:tr w:rsidR="006E5097" w:rsidRPr="002D71A6" w14:paraId="6FAFAE26" w14:textId="77777777" w:rsidTr="000F7AD5">
        <w:trPr>
          <w:jc w:val="center"/>
        </w:trPr>
        <w:tc>
          <w:tcPr>
            <w:tcW w:w="2739" w:type="dxa"/>
          </w:tcPr>
          <w:p w14:paraId="7E8C74C5" w14:textId="77777777" w:rsidR="006E5097" w:rsidRPr="002D71A6" w:rsidRDefault="006E5097" w:rsidP="00DE317C">
            <w:pPr>
              <w:pStyle w:val="Tabletext"/>
              <w:keepNext/>
              <w:keepLines/>
            </w:pPr>
            <w:r w:rsidRPr="002D71A6">
              <w:t>Number of samples</w:t>
            </w:r>
          </w:p>
        </w:tc>
        <w:tc>
          <w:tcPr>
            <w:tcW w:w="3888" w:type="dxa"/>
          </w:tcPr>
          <w:p w14:paraId="6D68A951" w14:textId="77777777" w:rsidR="006E5097" w:rsidRPr="002D71A6" w:rsidRDefault="006E5097" w:rsidP="00DE317C">
            <w:pPr>
              <w:keepNext/>
              <w:keepLines/>
            </w:pPr>
          </w:p>
        </w:tc>
        <w:tc>
          <w:tcPr>
            <w:tcW w:w="3002" w:type="dxa"/>
          </w:tcPr>
          <w:p w14:paraId="63347D16" w14:textId="77777777" w:rsidR="006E5097" w:rsidRPr="002D71A6" w:rsidRDefault="006E5097" w:rsidP="00381F0A">
            <w:pPr>
              <w:pStyle w:val="Tabletext"/>
              <w:keepNext/>
              <w:keepLines/>
              <w:jc w:val="left"/>
            </w:pPr>
            <w:r w:rsidRPr="002D71A6">
              <w:t>Sufficient number of samples should be taken to provide for statistical confidence in the results</w:t>
            </w:r>
          </w:p>
        </w:tc>
      </w:tr>
      <w:tr w:rsidR="006E5097" w:rsidRPr="002D71A6" w14:paraId="00DF45FD" w14:textId="77777777" w:rsidTr="000F7AD5">
        <w:trPr>
          <w:jc w:val="center"/>
        </w:trPr>
        <w:tc>
          <w:tcPr>
            <w:tcW w:w="2739" w:type="dxa"/>
          </w:tcPr>
          <w:p w14:paraId="41B8DCFE" w14:textId="77777777" w:rsidR="006E5097" w:rsidRPr="002D71A6" w:rsidRDefault="006E5097" w:rsidP="00DE317C">
            <w:pPr>
              <w:pStyle w:val="Tabletext"/>
              <w:keepNext/>
              <w:keepLines/>
            </w:pPr>
            <w:r w:rsidRPr="002D71A6">
              <w:t>Reference</w:t>
            </w:r>
          </w:p>
        </w:tc>
        <w:tc>
          <w:tcPr>
            <w:tcW w:w="3888" w:type="dxa"/>
          </w:tcPr>
          <w:p w14:paraId="6C02D968" w14:textId="77777777" w:rsidR="006E5097" w:rsidRPr="002D71A6" w:rsidRDefault="006E5097" w:rsidP="00381F0A">
            <w:pPr>
              <w:pStyle w:val="Tabletext"/>
              <w:keepNext/>
              <w:keepLines/>
              <w:jc w:val="left"/>
            </w:pPr>
            <w:r w:rsidRPr="002D71A6">
              <w:t>1 = measured median signal</w:t>
            </w:r>
            <w:r w:rsidRPr="002D71A6">
              <w:br/>
              <w:t xml:space="preserve">2 = predicted free space path loss </w:t>
            </w:r>
          </w:p>
        </w:tc>
        <w:tc>
          <w:tcPr>
            <w:tcW w:w="3002" w:type="dxa"/>
          </w:tcPr>
          <w:p w14:paraId="445B6284" w14:textId="77777777" w:rsidR="006E5097" w:rsidRPr="002D71A6" w:rsidRDefault="006E5097" w:rsidP="00381F0A">
            <w:pPr>
              <w:pStyle w:val="Tabletext"/>
              <w:keepNext/>
              <w:keepLines/>
              <w:jc w:val="left"/>
            </w:pPr>
            <w:r w:rsidRPr="002D71A6">
              <w:t>Measurement preferred where possible</w:t>
            </w:r>
          </w:p>
        </w:tc>
      </w:tr>
      <w:tr w:rsidR="006E5097" w:rsidRPr="002D71A6" w14:paraId="15AE72CD" w14:textId="77777777" w:rsidTr="000F7AD5">
        <w:trPr>
          <w:jc w:val="center"/>
        </w:trPr>
        <w:tc>
          <w:tcPr>
            <w:tcW w:w="2739" w:type="dxa"/>
          </w:tcPr>
          <w:p w14:paraId="108C9AD5" w14:textId="77777777" w:rsidR="006E5097" w:rsidRPr="002D71A6" w:rsidRDefault="006E5097" w:rsidP="00381F0A">
            <w:pPr>
              <w:pStyle w:val="Tabletext"/>
              <w:keepNext/>
              <w:keepLines/>
              <w:jc w:val="left"/>
            </w:pPr>
            <w:r w:rsidRPr="002D71A6">
              <w:t>Distance of outdoor terminal from building</w:t>
            </w:r>
          </w:p>
        </w:tc>
        <w:tc>
          <w:tcPr>
            <w:tcW w:w="3888" w:type="dxa"/>
          </w:tcPr>
          <w:p w14:paraId="7D1C9F63" w14:textId="77777777" w:rsidR="006E5097" w:rsidRPr="002D71A6" w:rsidRDefault="006E5097" w:rsidP="00DE317C">
            <w:pPr>
              <w:pStyle w:val="Tabletext"/>
              <w:keepNext/>
              <w:keepLines/>
            </w:pPr>
            <w:r w:rsidRPr="002D71A6">
              <w:t>metres</w:t>
            </w:r>
          </w:p>
        </w:tc>
        <w:tc>
          <w:tcPr>
            <w:tcW w:w="3002" w:type="dxa"/>
          </w:tcPr>
          <w:p w14:paraId="4E1BA5A4" w14:textId="77777777" w:rsidR="006E5097" w:rsidRPr="002D71A6" w:rsidRDefault="006E5097" w:rsidP="00DE317C">
            <w:pPr>
              <w:keepNext/>
              <w:keepLines/>
            </w:pPr>
          </w:p>
        </w:tc>
      </w:tr>
      <w:tr w:rsidR="006E5097" w:rsidRPr="002D71A6" w14:paraId="1171456C" w14:textId="77777777" w:rsidTr="000F7AD5">
        <w:trPr>
          <w:jc w:val="center"/>
        </w:trPr>
        <w:tc>
          <w:tcPr>
            <w:tcW w:w="2739" w:type="dxa"/>
          </w:tcPr>
          <w:p w14:paraId="6076DD5D" w14:textId="77777777" w:rsidR="006E5097" w:rsidRPr="002D71A6" w:rsidRDefault="006E5097" w:rsidP="00381F0A">
            <w:pPr>
              <w:pStyle w:val="Tabletext"/>
              <w:keepNext/>
              <w:keepLines/>
              <w:jc w:val="left"/>
            </w:pPr>
            <w:r w:rsidRPr="002D71A6">
              <w:t>Elevation angle of path</w:t>
            </w:r>
          </w:p>
        </w:tc>
        <w:tc>
          <w:tcPr>
            <w:tcW w:w="3888" w:type="dxa"/>
          </w:tcPr>
          <w:p w14:paraId="4B173025" w14:textId="77777777" w:rsidR="006E5097" w:rsidRPr="002D71A6" w:rsidRDefault="006E5097" w:rsidP="00DE317C">
            <w:pPr>
              <w:pStyle w:val="Tabletext"/>
              <w:keepNext/>
              <w:keepLines/>
            </w:pPr>
            <w:r w:rsidRPr="002D71A6">
              <w:t>degrees</w:t>
            </w:r>
          </w:p>
        </w:tc>
        <w:tc>
          <w:tcPr>
            <w:tcW w:w="3002" w:type="dxa"/>
          </w:tcPr>
          <w:p w14:paraId="539EE2D7" w14:textId="77777777" w:rsidR="006E5097" w:rsidRPr="002D71A6" w:rsidRDefault="006E5097" w:rsidP="00DE317C">
            <w:pPr>
              <w:keepNext/>
              <w:keepLines/>
            </w:pPr>
          </w:p>
        </w:tc>
      </w:tr>
      <w:tr w:rsidR="006E5097" w:rsidRPr="002D71A6" w14:paraId="5B4596BA" w14:textId="77777777" w:rsidTr="000F7AD5">
        <w:trPr>
          <w:jc w:val="center"/>
        </w:trPr>
        <w:tc>
          <w:tcPr>
            <w:tcW w:w="2739" w:type="dxa"/>
          </w:tcPr>
          <w:p w14:paraId="4181089E" w14:textId="77777777" w:rsidR="006E5097" w:rsidRPr="002D71A6" w:rsidRDefault="006E5097" w:rsidP="00381F0A">
            <w:pPr>
              <w:pStyle w:val="Tabletext"/>
              <w:keepNext/>
              <w:keepLines/>
              <w:jc w:val="left"/>
            </w:pPr>
            <w:r w:rsidRPr="002D71A6">
              <w:t>Minimum azimuth with respect to normal to building face</w:t>
            </w:r>
          </w:p>
        </w:tc>
        <w:tc>
          <w:tcPr>
            <w:tcW w:w="3888" w:type="dxa"/>
          </w:tcPr>
          <w:p w14:paraId="0E345AB6" w14:textId="77777777" w:rsidR="006E5097" w:rsidRPr="002D71A6" w:rsidRDefault="006E5097" w:rsidP="00DE317C">
            <w:pPr>
              <w:pStyle w:val="Tabletext"/>
              <w:keepNext/>
              <w:keepLines/>
            </w:pPr>
            <w:r w:rsidRPr="002D71A6">
              <w:t>degrees</w:t>
            </w:r>
          </w:p>
        </w:tc>
        <w:tc>
          <w:tcPr>
            <w:tcW w:w="3002" w:type="dxa"/>
          </w:tcPr>
          <w:p w14:paraId="0988AC45" w14:textId="77777777" w:rsidR="006E5097" w:rsidRPr="002D71A6" w:rsidRDefault="006E5097" w:rsidP="00DE317C">
            <w:pPr>
              <w:keepNext/>
              <w:keepLines/>
            </w:pPr>
          </w:p>
        </w:tc>
      </w:tr>
      <w:tr w:rsidR="006E5097" w:rsidRPr="002D71A6" w14:paraId="53CECAE1" w14:textId="77777777" w:rsidTr="000F7AD5">
        <w:trPr>
          <w:jc w:val="center"/>
        </w:trPr>
        <w:tc>
          <w:tcPr>
            <w:tcW w:w="2739" w:type="dxa"/>
          </w:tcPr>
          <w:p w14:paraId="17B4383D" w14:textId="77777777" w:rsidR="006E5097" w:rsidRPr="002D71A6" w:rsidRDefault="006E5097" w:rsidP="00381F0A">
            <w:pPr>
              <w:pStyle w:val="Tabletext"/>
              <w:keepNext/>
              <w:keepLines/>
              <w:jc w:val="left"/>
            </w:pPr>
            <w:r w:rsidRPr="002D71A6">
              <w:t>Maximum azimuth with respect to normal to building face</w:t>
            </w:r>
          </w:p>
        </w:tc>
        <w:tc>
          <w:tcPr>
            <w:tcW w:w="3888" w:type="dxa"/>
          </w:tcPr>
          <w:p w14:paraId="77DE2764" w14:textId="77777777" w:rsidR="006E5097" w:rsidRPr="002D71A6" w:rsidRDefault="006E5097" w:rsidP="00DE317C">
            <w:pPr>
              <w:pStyle w:val="Tabletext"/>
              <w:keepNext/>
              <w:keepLines/>
            </w:pPr>
            <w:r w:rsidRPr="002D71A6">
              <w:t>degrees</w:t>
            </w:r>
          </w:p>
        </w:tc>
        <w:tc>
          <w:tcPr>
            <w:tcW w:w="3002" w:type="dxa"/>
          </w:tcPr>
          <w:p w14:paraId="209A201D" w14:textId="77777777" w:rsidR="006E5097" w:rsidRPr="002D71A6" w:rsidRDefault="006E5097" w:rsidP="00DE317C">
            <w:pPr>
              <w:keepNext/>
              <w:keepLines/>
            </w:pPr>
          </w:p>
        </w:tc>
      </w:tr>
    </w:tbl>
    <w:p w14:paraId="3F4A0B7B" w14:textId="77777777" w:rsidR="006E5097" w:rsidRPr="002D71A6" w:rsidRDefault="006E5097" w:rsidP="006E5097">
      <w:pPr>
        <w:pStyle w:val="Tablefin"/>
      </w:pPr>
    </w:p>
    <w:p w14:paraId="16A73D2F" w14:textId="77777777" w:rsidR="006E5097" w:rsidRPr="002D71A6" w:rsidRDefault="006E5097" w:rsidP="006E5097">
      <w:pPr>
        <w:pStyle w:val="TableNo"/>
      </w:pPr>
      <w:r w:rsidRPr="002D71A6">
        <w:lastRenderedPageBreak/>
        <w:t>TABLE 3</w:t>
      </w:r>
    </w:p>
    <w:p w14:paraId="28E30333" w14:textId="77777777" w:rsidR="006E5097" w:rsidRPr="002D71A6" w:rsidRDefault="006E5097" w:rsidP="006E5097">
      <w:pPr>
        <w:pStyle w:val="Tabletitle"/>
      </w:pPr>
      <w:r w:rsidRPr="002D71A6">
        <w:t>Building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3858"/>
        <w:gridCol w:w="3015"/>
      </w:tblGrid>
      <w:tr w:rsidR="006E5097" w:rsidRPr="002D71A6" w14:paraId="4AB3830C" w14:textId="77777777" w:rsidTr="000F7AD5">
        <w:trPr>
          <w:cantSplit/>
          <w:tblHeader/>
          <w:jc w:val="center"/>
        </w:trPr>
        <w:tc>
          <w:tcPr>
            <w:tcW w:w="2763" w:type="dxa"/>
          </w:tcPr>
          <w:p w14:paraId="27FE8E2D" w14:textId="77777777" w:rsidR="006E5097" w:rsidRPr="002D71A6" w:rsidRDefault="006E5097" w:rsidP="00DE317C">
            <w:pPr>
              <w:pStyle w:val="Tablehead"/>
              <w:rPr>
                <w:szCs w:val="22"/>
              </w:rPr>
            </w:pPr>
            <w:r w:rsidRPr="002D71A6">
              <w:rPr>
                <w:szCs w:val="22"/>
              </w:rPr>
              <w:t>Parameter</w:t>
            </w:r>
          </w:p>
        </w:tc>
        <w:tc>
          <w:tcPr>
            <w:tcW w:w="3854" w:type="dxa"/>
          </w:tcPr>
          <w:p w14:paraId="6BA1153C" w14:textId="77777777" w:rsidR="006E5097" w:rsidRPr="002D71A6" w:rsidRDefault="006E5097" w:rsidP="00DE317C">
            <w:pPr>
              <w:pStyle w:val="Tablehead"/>
              <w:rPr>
                <w:szCs w:val="22"/>
              </w:rPr>
            </w:pPr>
            <w:r w:rsidRPr="002D71A6">
              <w:rPr>
                <w:szCs w:val="22"/>
              </w:rPr>
              <w:t>Units or classification</w:t>
            </w:r>
          </w:p>
        </w:tc>
        <w:tc>
          <w:tcPr>
            <w:tcW w:w="3012" w:type="dxa"/>
          </w:tcPr>
          <w:p w14:paraId="1DB8842D" w14:textId="77777777" w:rsidR="006E5097" w:rsidRPr="002D71A6" w:rsidRDefault="006E5097" w:rsidP="00DE317C">
            <w:pPr>
              <w:pStyle w:val="Tablehead"/>
              <w:rPr>
                <w:szCs w:val="22"/>
              </w:rPr>
            </w:pPr>
            <w:r w:rsidRPr="002D71A6">
              <w:rPr>
                <w:szCs w:val="22"/>
              </w:rPr>
              <w:t>Notes</w:t>
            </w:r>
          </w:p>
        </w:tc>
      </w:tr>
      <w:tr w:rsidR="006E5097" w:rsidRPr="002D71A6" w14:paraId="4FAA6EDE" w14:textId="77777777" w:rsidTr="000F7AD5">
        <w:trPr>
          <w:cantSplit/>
          <w:jc w:val="center"/>
        </w:trPr>
        <w:tc>
          <w:tcPr>
            <w:tcW w:w="2763" w:type="dxa"/>
          </w:tcPr>
          <w:p w14:paraId="63B72EE3" w14:textId="77777777" w:rsidR="006E5097" w:rsidRPr="002D71A6" w:rsidRDefault="006E5097" w:rsidP="00DE317C">
            <w:pPr>
              <w:pStyle w:val="Tabletext"/>
              <w:keepNext/>
              <w:rPr>
                <w:szCs w:val="22"/>
              </w:rPr>
            </w:pPr>
            <w:r w:rsidRPr="002D71A6">
              <w:rPr>
                <w:szCs w:val="22"/>
              </w:rPr>
              <w:t>Width</w:t>
            </w:r>
          </w:p>
        </w:tc>
        <w:tc>
          <w:tcPr>
            <w:tcW w:w="3854" w:type="dxa"/>
          </w:tcPr>
          <w:p w14:paraId="058E97E8" w14:textId="77777777" w:rsidR="006E5097" w:rsidRPr="002D71A6" w:rsidRDefault="006E5097" w:rsidP="00DE317C">
            <w:pPr>
              <w:pStyle w:val="Tabletext"/>
              <w:keepNext/>
              <w:rPr>
                <w:szCs w:val="22"/>
              </w:rPr>
            </w:pPr>
            <w:r w:rsidRPr="002D71A6">
              <w:rPr>
                <w:szCs w:val="22"/>
              </w:rPr>
              <w:t>metres</w:t>
            </w:r>
          </w:p>
        </w:tc>
        <w:tc>
          <w:tcPr>
            <w:tcW w:w="3012" w:type="dxa"/>
            <w:vMerge w:val="restart"/>
          </w:tcPr>
          <w:p w14:paraId="4A663FCD" w14:textId="77777777" w:rsidR="006E5097" w:rsidRPr="002D71A6" w:rsidRDefault="006E5097" w:rsidP="00C8457F">
            <w:pPr>
              <w:pStyle w:val="Tabletext"/>
              <w:keepNext/>
              <w:jc w:val="left"/>
              <w:rPr>
                <w:szCs w:val="22"/>
              </w:rPr>
            </w:pPr>
            <w:r w:rsidRPr="002D71A6">
              <w:rPr>
                <w:szCs w:val="22"/>
              </w:rPr>
              <w:t>Approximate footprint for irregular building</w:t>
            </w:r>
          </w:p>
        </w:tc>
      </w:tr>
      <w:tr w:rsidR="006E5097" w:rsidRPr="002D71A6" w14:paraId="57A8EB47" w14:textId="77777777" w:rsidTr="000F7AD5">
        <w:trPr>
          <w:cantSplit/>
          <w:jc w:val="center"/>
        </w:trPr>
        <w:tc>
          <w:tcPr>
            <w:tcW w:w="2763" w:type="dxa"/>
          </w:tcPr>
          <w:p w14:paraId="586C1ADB" w14:textId="77777777" w:rsidR="006E5097" w:rsidRPr="002D71A6" w:rsidRDefault="006E5097" w:rsidP="00DE317C">
            <w:pPr>
              <w:pStyle w:val="Tabletext"/>
              <w:keepNext/>
              <w:rPr>
                <w:szCs w:val="22"/>
              </w:rPr>
            </w:pPr>
            <w:r w:rsidRPr="002D71A6">
              <w:rPr>
                <w:szCs w:val="22"/>
              </w:rPr>
              <w:t>Length</w:t>
            </w:r>
          </w:p>
        </w:tc>
        <w:tc>
          <w:tcPr>
            <w:tcW w:w="3854" w:type="dxa"/>
          </w:tcPr>
          <w:p w14:paraId="464F2617" w14:textId="77777777" w:rsidR="006E5097" w:rsidRPr="002D71A6" w:rsidRDefault="006E5097" w:rsidP="00DE317C">
            <w:pPr>
              <w:pStyle w:val="Tabletext"/>
              <w:keepNext/>
              <w:rPr>
                <w:szCs w:val="22"/>
              </w:rPr>
            </w:pPr>
            <w:r w:rsidRPr="002D71A6">
              <w:rPr>
                <w:szCs w:val="22"/>
              </w:rPr>
              <w:t>metres</w:t>
            </w:r>
          </w:p>
        </w:tc>
        <w:tc>
          <w:tcPr>
            <w:tcW w:w="3012" w:type="dxa"/>
            <w:vMerge/>
          </w:tcPr>
          <w:p w14:paraId="657514B9" w14:textId="77777777" w:rsidR="006E5097" w:rsidRPr="002D71A6" w:rsidRDefault="006E5097" w:rsidP="00DE317C">
            <w:pPr>
              <w:pStyle w:val="Tabletext"/>
              <w:rPr>
                <w:szCs w:val="22"/>
              </w:rPr>
            </w:pPr>
          </w:p>
        </w:tc>
      </w:tr>
      <w:tr w:rsidR="006E5097" w:rsidRPr="002D71A6" w14:paraId="24D4D920" w14:textId="77777777" w:rsidTr="000F7AD5">
        <w:trPr>
          <w:cantSplit/>
          <w:jc w:val="center"/>
        </w:trPr>
        <w:tc>
          <w:tcPr>
            <w:tcW w:w="2763" w:type="dxa"/>
          </w:tcPr>
          <w:p w14:paraId="0656D61E" w14:textId="77777777" w:rsidR="006E5097" w:rsidRPr="002D71A6" w:rsidRDefault="006E5097" w:rsidP="00DE317C">
            <w:pPr>
              <w:pStyle w:val="Tabletext"/>
              <w:rPr>
                <w:szCs w:val="22"/>
              </w:rPr>
            </w:pPr>
            <w:r w:rsidRPr="002D71A6">
              <w:rPr>
                <w:szCs w:val="22"/>
              </w:rPr>
              <w:t>Height</w:t>
            </w:r>
          </w:p>
        </w:tc>
        <w:tc>
          <w:tcPr>
            <w:tcW w:w="3854" w:type="dxa"/>
          </w:tcPr>
          <w:p w14:paraId="4C60EFC6" w14:textId="77777777" w:rsidR="006E5097" w:rsidRPr="002D71A6" w:rsidRDefault="006E5097" w:rsidP="00DE317C">
            <w:pPr>
              <w:pStyle w:val="Tabletext"/>
              <w:rPr>
                <w:szCs w:val="22"/>
              </w:rPr>
            </w:pPr>
            <w:r w:rsidRPr="002D71A6">
              <w:rPr>
                <w:szCs w:val="22"/>
              </w:rPr>
              <w:t>metres</w:t>
            </w:r>
          </w:p>
        </w:tc>
        <w:tc>
          <w:tcPr>
            <w:tcW w:w="3012" w:type="dxa"/>
          </w:tcPr>
          <w:p w14:paraId="3DDB6595" w14:textId="77777777" w:rsidR="006E5097" w:rsidRPr="002D71A6" w:rsidRDefault="006E5097" w:rsidP="00DE317C">
            <w:pPr>
              <w:pStyle w:val="Tabletext"/>
              <w:rPr>
                <w:szCs w:val="22"/>
              </w:rPr>
            </w:pPr>
          </w:p>
        </w:tc>
      </w:tr>
      <w:tr w:rsidR="006E5097" w:rsidRPr="002D71A6" w14:paraId="6DD28063" w14:textId="77777777" w:rsidTr="000F7AD5">
        <w:trPr>
          <w:cantSplit/>
          <w:jc w:val="center"/>
        </w:trPr>
        <w:tc>
          <w:tcPr>
            <w:tcW w:w="2763" w:type="dxa"/>
          </w:tcPr>
          <w:p w14:paraId="149A6BDB" w14:textId="77777777" w:rsidR="006E5097" w:rsidRPr="002D71A6" w:rsidRDefault="006E5097" w:rsidP="00DE317C">
            <w:pPr>
              <w:pStyle w:val="Tabletext"/>
              <w:rPr>
                <w:szCs w:val="22"/>
              </w:rPr>
            </w:pPr>
            <w:r w:rsidRPr="002D71A6">
              <w:rPr>
                <w:szCs w:val="22"/>
              </w:rPr>
              <w:t>Total number of floors</w:t>
            </w:r>
          </w:p>
        </w:tc>
        <w:tc>
          <w:tcPr>
            <w:tcW w:w="3854" w:type="dxa"/>
          </w:tcPr>
          <w:p w14:paraId="03287220" w14:textId="77777777" w:rsidR="006E5097" w:rsidRPr="002D71A6" w:rsidRDefault="006E5097" w:rsidP="00DE317C">
            <w:pPr>
              <w:pStyle w:val="Tabletext"/>
              <w:rPr>
                <w:szCs w:val="22"/>
              </w:rPr>
            </w:pPr>
          </w:p>
        </w:tc>
        <w:tc>
          <w:tcPr>
            <w:tcW w:w="3012" w:type="dxa"/>
          </w:tcPr>
          <w:p w14:paraId="41AEE6A1" w14:textId="77777777" w:rsidR="006E5097" w:rsidRPr="002D71A6" w:rsidRDefault="006E5097" w:rsidP="00DE317C">
            <w:pPr>
              <w:pStyle w:val="Tabletext"/>
              <w:rPr>
                <w:szCs w:val="22"/>
              </w:rPr>
            </w:pPr>
          </w:p>
        </w:tc>
      </w:tr>
      <w:tr w:rsidR="006E5097" w:rsidRPr="002D71A6" w14:paraId="36C0D24E" w14:textId="77777777" w:rsidTr="000F7AD5">
        <w:trPr>
          <w:cantSplit/>
          <w:jc w:val="center"/>
        </w:trPr>
        <w:tc>
          <w:tcPr>
            <w:tcW w:w="2763" w:type="dxa"/>
          </w:tcPr>
          <w:p w14:paraId="3F9434E6" w14:textId="77777777" w:rsidR="006E5097" w:rsidRPr="002D71A6" w:rsidRDefault="006E5097" w:rsidP="00DE317C">
            <w:pPr>
              <w:pStyle w:val="Tabletext"/>
              <w:rPr>
                <w:szCs w:val="22"/>
              </w:rPr>
            </w:pPr>
            <w:r w:rsidRPr="002D71A6">
              <w:rPr>
                <w:szCs w:val="22"/>
              </w:rPr>
              <w:t>Thickness of exterior walls</w:t>
            </w:r>
          </w:p>
        </w:tc>
        <w:tc>
          <w:tcPr>
            <w:tcW w:w="3854" w:type="dxa"/>
          </w:tcPr>
          <w:p w14:paraId="33BE3ACA" w14:textId="77777777" w:rsidR="006E5097" w:rsidRPr="002D71A6" w:rsidRDefault="006E5097" w:rsidP="00DE317C">
            <w:pPr>
              <w:pStyle w:val="Tabletext"/>
              <w:rPr>
                <w:szCs w:val="22"/>
              </w:rPr>
            </w:pPr>
            <w:r w:rsidRPr="002D71A6">
              <w:rPr>
                <w:szCs w:val="22"/>
              </w:rPr>
              <w:t>metres</w:t>
            </w:r>
          </w:p>
        </w:tc>
        <w:tc>
          <w:tcPr>
            <w:tcW w:w="3012" w:type="dxa"/>
          </w:tcPr>
          <w:p w14:paraId="23E22C0E" w14:textId="77777777" w:rsidR="006E5097" w:rsidRPr="002D71A6" w:rsidRDefault="006E5097" w:rsidP="00DE317C">
            <w:pPr>
              <w:pStyle w:val="Tabletext"/>
              <w:rPr>
                <w:szCs w:val="22"/>
              </w:rPr>
            </w:pPr>
          </w:p>
        </w:tc>
      </w:tr>
      <w:tr w:rsidR="006E5097" w:rsidRPr="002D71A6" w14:paraId="1C175A3B" w14:textId="77777777" w:rsidTr="000F7AD5">
        <w:trPr>
          <w:cantSplit/>
          <w:jc w:val="center"/>
        </w:trPr>
        <w:tc>
          <w:tcPr>
            <w:tcW w:w="2763" w:type="dxa"/>
          </w:tcPr>
          <w:p w14:paraId="1E50BD2D" w14:textId="77777777" w:rsidR="006E5097" w:rsidRPr="002D71A6" w:rsidRDefault="006E5097" w:rsidP="00DE317C">
            <w:pPr>
              <w:pStyle w:val="Tabletext"/>
              <w:rPr>
                <w:szCs w:val="22"/>
              </w:rPr>
            </w:pPr>
            <w:r w:rsidRPr="002D71A6">
              <w:rPr>
                <w:szCs w:val="22"/>
              </w:rPr>
              <w:t>Thickness of interior walls</w:t>
            </w:r>
          </w:p>
        </w:tc>
        <w:tc>
          <w:tcPr>
            <w:tcW w:w="3854" w:type="dxa"/>
          </w:tcPr>
          <w:p w14:paraId="1A761BBA" w14:textId="77777777" w:rsidR="006E5097" w:rsidRPr="002D71A6" w:rsidRDefault="006E5097" w:rsidP="00DE317C">
            <w:pPr>
              <w:pStyle w:val="Tabletext"/>
              <w:rPr>
                <w:szCs w:val="22"/>
              </w:rPr>
            </w:pPr>
            <w:r w:rsidRPr="002D71A6">
              <w:rPr>
                <w:szCs w:val="22"/>
              </w:rPr>
              <w:t>metres</w:t>
            </w:r>
          </w:p>
        </w:tc>
        <w:tc>
          <w:tcPr>
            <w:tcW w:w="3012" w:type="dxa"/>
          </w:tcPr>
          <w:p w14:paraId="401260C6" w14:textId="77777777" w:rsidR="006E5097" w:rsidRPr="002D71A6" w:rsidRDefault="006E5097" w:rsidP="00DE317C">
            <w:pPr>
              <w:pStyle w:val="Tabletext"/>
              <w:rPr>
                <w:szCs w:val="22"/>
              </w:rPr>
            </w:pPr>
          </w:p>
        </w:tc>
      </w:tr>
      <w:tr w:rsidR="006E5097" w:rsidRPr="002D71A6" w14:paraId="0FBF18B5" w14:textId="77777777" w:rsidTr="000F7AD5">
        <w:trPr>
          <w:cantSplit/>
          <w:jc w:val="center"/>
        </w:trPr>
        <w:tc>
          <w:tcPr>
            <w:tcW w:w="2763" w:type="dxa"/>
          </w:tcPr>
          <w:p w14:paraId="46ED5C28" w14:textId="77777777" w:rsidR="006E5097" w:rsidRPr="002D71A6" w:rsidRDefault="006E5097" w:rsidP="00DE317C">
            <w:pPr>
              <w:pStyle w:val="Tabletext"/>
              <w:rPr>
                <w:szCs w:val="22"/>
              </w:rPr>
            </w:pPr>
            <w:r w:rsidRPr="002D71A6">
              <w:rPr>
                <w:szCs w:val="22"/>
              </w:rPr>
              <w:t>Thickness of floors</w:t>
            </w:r>
          </w:p>
        </w:tc>
        <w:tc>
          <w:tcPr>
            <w:tcW w:w="3854" w:type="dxa"/>
          </w:tcPr>
          <w:p w14:paraId="1AF53264" w14:textId="77777777" w:rsidR="006E5097" w:rsidRPr="002D71A6" w:rsidRDefault="006E5097" w:rsidP="00DE317C">
            <w:pPr>
              <w:pStyle w:val="Tabletext"/>
              <w:rPr>
                <w:szCs w:val="22"/>
              </w:rPr>
            </w:pPr>
            <w:r w:rsidRPr="002D71A6">
              <w:rPr>
                <w:szCs w:val="22"/>
              </w:rPr>
              <w:t>metres</w:t>
            </w:r>
          </w:p>
        </w:tc>
        <w:tc>
          <w:tcPr>
            <w:tcW w:w="3012" w:type="dxa"/>
          </w:tcPr>
          <w:p w14:paraId="4B9AE139" w14:textId="77777777" w:rsidR="006E5097" w:rsidRPr="002D71A6" w:rsidRDefault="006E5097" w:rsidP="00DE317C">
            <w:pPr>
              <w:pStyle w:val="Tabletext"/>
              <w:rPr>
                <w:szCs w:val="22"/>
              </w:rPr>
            </w:pPr>
          </w:p>
        </w:tc>
      </w:tr>
      <w:tr w:rsidR="006E5097" w:rsidRPr="002D71A6" w14:paraId="6B3AC073" w14:textId="77777777" w:rsidTr="000F7AD5">
        <w:trPr>
          <w:cantSplit/>
          <w:jc w:val="center"/>
        </w:trPr>
        <w:tc>
          <w:tcPr>
            <w:tcW w:w="2763" w:type="dxa"/>
          </w:tcPr>
          <w:p w14:paraId="312398CB" w14:textId="77777777" w:rsidR="006E5097" w:rsidRPr="002D71A6" w:rsidRDefault="006E5097" w:rsidP="00C8457F">
            <w:pPr>
              <w:pStyle w:val="Tabletext"/>
              <w:jc w:val="left"/>
              <w:rPr>
                <w:szCs w:val="22"/>
              </w:rPr>
            </w:pPr>
            <w:r w:rsidRPr="002D71A6">
              <w:rPr>
                <w:szCs w:val="22"/>
              </w:rPr>
              <w:t>Proportion of building elevation area composed of windows/apertures</w:t>
            </w:r>
          </w:p>
        </w:tc>
        <w:tc>
          <w:tcPr>
            <w:tcW w:w="3854" w:type="dxa"/>
          </w:tcPr>
          <w:p w14:paraId="3DA970B3" w14:textId="77777777" w:rsidR="006E5097" w:rsidRPr="002D71A6" w:rsidRDefault="006E5097" w:rsidP="00DE317C">
            <w:pPr>
              <w:pStyle w:val="Tabletext"/>
              <w:rPr>
                <w:szCs w:val="22"/>
              </w:rPr>
            </w:pPr>
            <w:r w:rsidRPr="002D71A6">
              <w:rPr>
                <w:szCs w:val="22"/>
              </w:rPr>
              <w:t>%</w:t>
            </w:r>
          </w:p>
        </w:tc>
        <w:tc>
          <w:tcPr>
            <w:tcW w:w="3012" w:type="dxa"/>
          </w:tcPr>
          <w:p w14:paraId="28554B69" w14:textId="77777777" w:rsidR="006E5097" w:rsidRPr="002D71A6" w:rsidRDefault="006E5097" w:rsidP="00DE317C">
            <w:pPr>
              <w:pStyle w:val="Tabletext"/>
              <w:rPr>
                <w:szCs w:val="22"/>
              </w:rPr>
            </w:pPr>
          </w:p>
        </w:tc>
      </w:tr>
      <w:tr w:rsidR="006E5097" w:rsidRPr="002D71A6" w14:paraId="7C671153" w14:textId="77777777" w:rsidTr="000F7AD5">
        <w:trPr>
          <w:cantSplit/>
          <w:jc w:val="center"/>
        </w:trPr>
        <w:tc>
          <w:tcPr>
            <w:tcW w:w="2763" w:type="dxa"/>
          </w:tcPr>
          <w:p w14:paraId="47F5FCA7" w14:textId="77777777" w:rsidR="006E5097" w:rsidRPr="002D71A6" w:rsidRDefault="006E5097" w:rsidP="00DE317C">
            <w:pPr>
              <w:pStyle w:val="Tabletext"/>
              <w:rPr>
                <w:szCs w:val="22"/>
              </w:rPr>
            </w:pPr>
            <w:r w:rsidRPr="002D71A6">
              <w:rPr>
                <w:szCs w:val="22"/>
              </w:rPr>
              <w:t>Window elements</w:t>
            </w:r>
          </w:p>
        </w:tc>
        <w:tc>
          <w:tcPr>
            <w:tcW w:w="3854" w:type="dxa"/>
          </w:tcPr>
          <w:p w14:paraId="42EA7CB1" w14:textId="77777777" w:rsidR="006E5097" w:rsidRPr="002D71A6" w:rsidRDefault="006E5097" w:rsidP="00C8457F">
            <w:pPr>
              <w:pStyle w:val="Tabletext"/>
              <w:jc w:val="left"/>
              <w:rPr>
                <w:szCs w:val="22"/>
              </w:rPr>
            </w:pPr>
            <w:r w:rsidRPr="002D71A6">
              <w:rPr>
                <w:szCs w:val="22"/>
              </w:rPr>
              <w:t>0 = unknown</w:t>
            </w:r>
            <w:r w:rsidRPr="002D71A6">
              <w:rPr>
                <w:szCs w:val="22"/>
              </w:rPr>
              <w:br/>
              <w:t>1 = single</w:t>
            </w:r>
            <w:r w:rsidRPr="002D71A6">
              <w:rPr>
                <w:szCs w:val="22"/>
              </w:rPr>
              <w:br/>
              <w:t>2 = double</w:t>
            </w:r>
            <w:r w:rsidRPr="002D71A6">
              <w:rPr>
                <w:szCs w:val="22"/>
              </w:rPr>
              <w:br/>
              <w:t>3 = triple</w:t>
            </w:r>
            <w:r w:rsidRPr="002D71A6">
              <w:rPr>
                <w:szCs w:val="22"/>
              </w:rPr>
              <w:br/>
              <w:t>9 = other</w:t>
            </w:r>
          </w:p>
        </w:tc>
        <w:tc>
          <w:tcPr>
            <w:tcW w:w="3012" w:type="dxa"/>
          </w:tcPr>
          <w:p w14:paraId="38BE6CF7" w14:textId="77777777" w:rsidR="006E5097" w:rsidRPr="002D71A6" w:rsidRDefault="006E5097" w:rsidP="00DE317C">
            <w:pPr>
              <w:pStyle w:val="Tabletext"/>
              <w:rPr>
                <w:szCs w:val="22"/>
              </w:rPr>
            </w:pPr>
          </w:p>
        </w:tc>
      </w:tr>
      <w:tr w:rsidR="006E5097" w:rsidRPr="002D71A6" w14:paraId="7DED624D" w14:textId="77777777" w:rsidTr="000F7AD5">
        <w:trPr>
          <w:cantSplit/>
          <w:jc w:val="center"/>
        </w:trPr>
        <w:tc>
          <w:tcPr>
            <w:tcW w:w="2763" w:type="dxa"/>
          </w:tcPr>
          <w:p w14:paraId="191095F0" w14:textId="77777777" w:rsidR="006E5097" w:rsidRPr="002D71A6" w:rsidRDefault="006E5097" w:rsidP="00DE317C">
            <w:pPr>
              <w:pStyle w:val="Tabletext"/>
              <w:rPr>
                <w:szCs w:val="22"/>
              </w:rPr>
            </w:pPr>
            <w:r w:rsidRPr="002D71A6">
              <w:rPr>
                <w:szCs w:val="22"/>
              </w:rPr>
              <w:t>Window coating</w:t>
            </w:r>
          </w:p>
        </w:tc>
        <w:tc>
          <w:tcPr>
            <w:tcW w:w="3854" w:type="dxa"/>
          </w:tcPr>
          <w:p w14:paraId="2C54EA89" w14:textId="77777777" w:rsidR="006E5097" w:rsidRPr="002D71A6" w:rsidRDefault="006E5097" w:rsidP="00C8457F">
            <w:pPr>
              <w:pStyle w:val="Tabletext"/>
              <w:jc w:val="left"/>
              <w:rPr>
                <w:szCs w:val="22"/>
              </w:rPr>
            </w:pPr>
            <w:r w:rsidRPr="002D71A6">
              <w:rPr>
                <w:szCs w:val="22"/>
              </w:rPr>
              <w:t>0 = unknown</w:t>
            </w:r>
            <w:r w:rsidRPr="002D71A6">
              <w:rPr>
                <w:szCs w:val="22"/>
              </w:rPr>
              <w:br/>
              <w:t>1 = none</w:t>
            </w:r>
            <w:r w:rsidRPr="002D71A6">
              <w:rPr>
                <w:szCs w:val="22"/>
              </w:rPr>
              <w:br/>
              <w:t>2 = metallised glass</w:t>
            </w:r>
            <w:r w:rsidRPr="002D71A6">
              <w:rPr>
                <w:szCs w:val="22"/>
              </w:rPr>
              <w:br/>
              <w:t>3 = internal wire mesh</w:t>
            </w:r>
            <w:r w:rsidRPr="002D71A6">
              <w:rPr>
                <w:szCs w:val="22"/>
              </w:rPr>
              <w:br/>
              <w:t xml:space="preserve">4 = metal blinds/shutters </w:t>
            </w:r>
            <w:r w:rsidRPr="002D71A6">
              <w:rPr>
                <w:szCs w:val="22"/>
              </w:rPr>
              <w:br/>
              <w:t>9 = other</w:t>
            </w:r>
          </w:p>
        </w:tc>
        <w:tc>
          <w:tcPr>
            <w:tcW w:w="3012" w:type="dxa"/>
          </w:tcPr>
          <w:p w14:paraId="50B65526" w14:textId="77777777" w:rsidR="006E5097" w:rsidRPr="002D71A6" w:rsidRDefault="006E5097" w:rsidP="00DE317C">
            <w:pPr>
              <w:pStyle w:val="Tabletext"/>
              <w:rPr>
                <w:szCs w:val="22"/>
              </w:rPr>
            </w:pPr>
          </w:p>
        </w:tc>
      </w:tr>
      <w:tr w:rsidR="006E5097" w:rsidRPr="002D71A6" w14:paraId="424C4B7C" w14:textId="77777777" w:rsidTr="000F7AD5">
        <w:trPr>
          <w:cantSplit/>
          <w:jc w:val="center"/>
        </w:trPr>
        <w:tc>
          <w:tcPr>
            <w:tcW w:w="2763" w:type="dxa"/>
          </w:tcPr>
          <w:p w14:paraId="16E11977" w14:textId="77777777" w:rsidR="006E5097" w:rsidRPr="002D71A6" w:rsidRDefault="006E5097" w:rsidP="00C8457F">
            <w:pPr>
              <w:pStyle w:val="Tabletext"/>
              <w:jc w:val="left"/>
              <w:rPr>
                <w:szCs w:val="22"/>
              </w:rPr>
            </w:pPr>
            <w:r w:rsidRPr="002D71A6">
              <w:rPr>
                <w:szCs w:val="22"/>
              </w:rPr>
              <w:t>Metallic thermal insulation fitted?</w:t>
            </w:r>
          </w:p>
        </w:tc>
        <w:tc>
          <w:tcPr>
            <w:tcW w:w="3854" w:type="dxa"/>
          </w:tcPr>
          <w:p w14:paraId="549A9683" w14:textId="77777777" w:rsidR="006E5097" w:rsidRPr="002D71A6" w:rsidRDefault="006E5097" w:rsidP="00C8457F">
            <w:pPr>
              <w:pStyle w:val="Tabletext"/>
              <w:jc w:val="left"/>
              <w:rPr>
                <w:szCs w:val="22"/>
              </w:rPr>
            </w:pPr>
            <w:r w:rsidRPr="002D71A6">
              <w:rPr>
                <w:szCs w:val="22"/>
              </w:rPr>
              <w:t>0 = unknown</w:t>
            </w:r>
            <w:r w:rsidRPr="002D71A6">
              <w:rPr>
                <w:szCs w:val="22"/>
              </w:rPr>
              <w:br/>
              <w:t>1 = no</w:t>
            </w:r>
            <w:r w:rsidRPr="002D71A6">
              <w:rPr>
                <w:szCs w:val="22"/>
              </w:rPr>
              <w:br/>
              <w:t>2 = yes</w:t>
            </w:r>
            <w:r w:rsidRPr="002D71A6">
              <w:rPr>
                <w:szCs w:val="22"/>
              </w:rPr>
              <w:br/>
              <w:t>9 = other</w:t>
            </w:r>
          </w:p>
        </w:tc>
        <w:tc>
          <w:tcPr>
            <w:tcW w:w="3012" w:type="dxa"/>
          </w:tcPr>
          <w:p w14:paraId="498D06D7" w14:textId="77777777" w:rsidR="006E5097" w:rsidRPr="002D71A6" w:rsidRDefault="006E5097" w:rsidP="00DE317C">
            <w:pPr>
              <w:pStyle w:val="Tabletext"/>
              <w:rPr>
                <w:szCs w:val="22"/>
              </w:rPr>
            </w:pPr>
          </w:p>
        </w:tc>
      </w:tr>
      <w:tr w:rsidR="006E5097" w:rsidRPr="002D71A6" w14:paraId="1250703F" w14:textId="77777777" w:rsidTr="000F7AD5">
        <w:trPr>
          <w:cantSplit/>
          <w:jc w:val="center"/>
        </w:trPr>
        <w:tc>
          <w:tcPr>
            <w:tcW w:w="2763" w:type="dxa"/>
          </w:tcPr>
          <w:p w14:paraId="03F8A4AC" w14:textId="77777777" w:rsidR="006E5097" w:rsidRPr="002D71A6" w:rsidRDefault="006E5097" w:rsidP="00DE317C">
            <w:pPr>
              <w:pStyle w:val="Tabletext"/>
              <w:rPr>
                <w:szCs w:val="22"/>
              </w:rPr>
            </w:pPr>
            <w:r w:rsidRPr="002D71A6">
              <w:rPr>
                <w:szCs w:val="22"/>
              </w:rPr>
              <w:t>Floor material</w:t>
            </w:r>
          </w:p>
        </w:tc>
        <w:tc>
          <w:tcPr>
            <w:tcW w:w="3854" w:type="dxa"/>
          </w:tcPr>
          <w:p w14:paraId="74D21F0A" w14:textId="77777777" w:rsidR="006E5097" w:rsidRPr="002D71A6" w:rsidRDefault="006E5097" w:rsidP="00C8457F">
            <w:pPr>
              <w:pStyle w:val="Tabletext"/>
              <w:jc w:val="left"/>
              <w:rPr>
                <w:szCs w:val="22"/>
              </w:rPr>
            </w:pPr>
            <w:r w:rsidRPr="002D71A6">
              <w:rPr>
                <w:szCs w:val="22"/>
              </w:rPr>
              <w:t>0 = unknown</w:t>
            </w:r>
            <w:r w:rsidRPr="002D71A6">
              <w:rPr>
                <w:szCs w:val="22"/>
              </w:rPr>
              <w:br/>
              <w:t>1 = wood</w:t>
            </w:r>
            <w:r w:rsidRPr="002D71A6">
              <w:rPr>
                <w:szCs w:val="22"/>
              </w:rPr>
              <w:br/>
              <w:t>2 = metal</w:t>
            </w:r>
            <w:r w:rsidRPr="002D71A6">
              <w:rPr>
                <w:szCs w:val="22"/>
              </w:rPr>
              <w:br/>
              <w:t>3 = concrete</w:t>
            </w:r>
            <w:r w:rsidRPr="002D71A6">
              <w:rPr>
                <w:szCs w:val="22"/>
              </w:rPr>
              <w:br/>
              <w:t>9 = other</w:t>
            </w:r>
          </w:p>
        </w:tc>
        <w:tc>
          <w:tcPr>
            <w:tcW w:w="3012" w:type="dxa"/>
          </w:tcPr>
          <w:p w14:paraId="3BFDCA8E" w14:textId="77777777" w:rsidR="006E5097" w:rsidRPr="002D71A6" w:rsidRDefault="006E5097" w:rsidP="00DE317C">
            <w:pPr>
              <w:pStyle w:val="Tabletext"/>
              <w:rPr>
                <w:szCs w:val="22"/>
              </w:rPr>
            </w:pPr>
          </w:p>
        </w:tc>
      </w:tr>
      <w:tr w:rsidR="006E5097" w:rsidRPr="002D71A6" w14:paraId="34391739" w14:textId="77777777" w:rsidTr="000F7AD5">
        <w:trPr>
          <w:cantSplit/>
          <w:jc w:val="center"/>
        </w:trPr>
        <w:tc>
          <w:tcPr>
            <w:tcW w:w="2763" w:type="dxa"/>
          </w:tcPr>
          <w:p w14:paraId="32EEDF61" w14:textId="77777777" w:rsidR="006E5097" w:rsidRPr="002D71A6" w:rsidRDefault="006E5097" w:rsidP="00C8457F">
            <w:pPr>
              <w:pStyle w:val="Tabletext"/>
              <w:jc w:val="left"/>
              <w:rPr>
                <w:szCs w:val="22"/>
              </w:rPr>
            </w:pPr>
            <w:r w:rsidRPr="002D71A6">
              <w:rPr>
                <w:szCs w:val="22"/>
              </w:rPr>
              <w:t>Primary exterior wall material</w:t>
            </w:r>
          </w:p>
        </w:tc>
        <w:tc>
          <w:tcPr>
            <w:tcW w:w="3854" w:type="dxa"/>
          </w:tcPr>
          <w:p w14:paraId="10FC5273" w14:textId="77777777" w:rsidR="006E5097" w:rsidRPr="002D71A6" w:rsidRDefault="006E5097" w:rsidP="00C8457F">
            <w:pPr>
              <w:pStyle w:val="Tabletext"/>
              <w:jc w:val="left"/>
              <w:rPr>
                <w:szCs w:val="22"/>
                <w:vertAlign w:val="superscript"/>
              </w:rPr>
            </w:pPr>
            <w:r w:rsidRPr="002D71A6">
              <w:rPr>
                <w:szCs w:val="22"/>
              </w:rPr>
              <w:t>0 = unknown</w:t>
            </w:r>
            <w:r w:rsidRPr="002D71A6">
              <w:rPr>
                <w:szCs w:val="22"/>
              </w:rPr>
              <w:br/>
              <w:t xml:space="preserve">1 = stone </w:t>
            </w:r>
            <w:r w:rsidRPr="002D71A6">
              <w:rPr>
                <w:szCs w:val="22"/>
              </w:rPr>
              <w:br/>
              <w:t>2 = brick</w:t>
            </w:r>
            <w:r w:rsidRPr="002D71A6">
              <w:rPr>
                <w:szCs w:val="22"/>
              </w:rPr>
              <w:br/>
              <w:t>3 = brick with cavity</w:t>
            </w:r>
            <w:r w:rsidRPr="002D71A6">
              <w:rPr>
                <w:szCs w:val="22"/>
              </w:rPr>
              <w:br/>
              <w:t>4 = lightweight block</w:t>
            </w:r>
            <w:r w:rsidRPr="002D71A6">
              <w:rPr>
                <w:szCs w:val="22"/>
              </w:rPr>
              <w:br/>
              <w:t>5 = wooden</w:t>
            </w:r>
            <w:r w:rsidRPr="002D71A6">
              <w:rPr>
                <w:szCs w:val="22"/>
              </w:rPr>
              <w:br/>
              <w:t>6 = concrete</w:t>
            </w:r>
            <w:r w:rsidRPr="002D71A6">
              <w:rPr>
                <w:szCs w:val="22"/>
              </w:rPr>
              <w:br/>
              <w:t>7 = glass</w:t>
            </w:r>
            <w:r w:rsidRPr="002D71A6">
              <w:rPr>
                <w:szCs w:val="22"/>
              </w:rPr>
              <w:br/>
              <w:t>8 = metal</w:t>
            </w:r>
            <w:r w:rsidRPr="002D71A6">
              <w:rPr>
                <w:szCs w:val="22"/>
              </w:rPr>
              <w:br/>
              <w:t>9 = other</w:t>
            </w:r>
          </w:p>
        </w:tc>
        <w:tc>
          <w:tcPr>
            <w:tcW w:w="3012" w:type="dxa"/>
          </w:tcPr>
          <w:p w14:paraId="3AF3C0D2" w14:textId="77777777" w:rsidR="006E5097" w:rsidRPr="002D71A6" w:rsidRDefault="006E5097" w:rsidP="00C8457F">
            <w:pPr>
              <w:pStyle w:val="Tabletext"/>
              <w:jc w:val="left"/>
              <w:rPr>
                <w:szCs w:val="22"/>
              </w:rPr>
            </w:pPr>
            <w:r w:rsidRPr="002D71A6">
              <w:rPr>
                <w:szCs w:val="22"/>
              </w:rPr>
              <w:t>Material forming the greatest proportion of the exterior walls</w:t>
            </w:r>
          </w:p>
        </w:tc>
      </w:tr>
    </w:tbl>
    <w:p w14:paraId="0D3CC4DF" w14:textId="77777777" w:rsidR="006E5097" w:rsidRPr="002D71A6" w:rsidRDefault="006E5097" w:rsidP="006E5097">
      <w:r w:rsidRPr="002D71A6">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3858"/>
        <w:gridCol w:w="3015"/>
      </w:tblGrid>
      <w:tr w:rsidR="006E5097" w:rsidRPr="002D71A6" w14:paraId="4EECAC08" w14:textId="77777777" w:rsidTr="000F7AD5">
        <w:trPr>
          <w:cantSplit/>
          <w:jc w:val="center"/>
        </w:trPr>
        <w:tc>
          <w:tcPr>
            <w:tcW w:w="9629" w:type="dxa"/>
            <w:gridSpan w:val="3"/>
            <w:tcBorders>
              <w:top w:val="nil"/>
              <w:left w:val="nil"/>
              <w:right w:val="nil"/>
            </w:tcBorders>
          </w:tcPr>
          <w:p w14:paraId="6F594659" w14:textId="77777777" w:rsidR="006E5097" w:rsidRPr="002D71A6" w:rsidRDefault="006E5097" w:rsidP="00DE317C">
            <w:pPr>
              <w:pStyle w:val="TableNo"/>
              <w:rPr>
                <w:sz w:val="18"/>
                <w:szCs w:val="18"/>
              </w:rPr>
            </w:pPr>
            <w:r w:rsidRPr="002D71A6">
              <w:lastRenderedPageBreak/>
              <w:t>TABLE 3 (</w:t>
            </w:r>
            <w:r w:rsidRPr="002D71A6">
              <w:rPr>
                <w:i/>
                <w:iCs/>
              </w:rPr>
              <w:t>end</w:t>
            </w:r>
            <w:r w:rsidRPr="002D71A6">
              <w:t>)</w:t>
            </w:r>
          </w:p>
        </w:tc>
      </w:tr>
      <w:tr w:rsidR="006E5097" w:rsidRPr="002D71A6" w14:paraId="08E0C7E3" w14:textId="77777777" w:rsidTr="000F7AD5">
        <w:trPr>
          <w:cantSplit/>
          <w:jc w:val="center"/>
        </w:trPr>
        <w:tc>
          <w:tcPr>
            <w:tcW w:w="2763" w:type="dxa"/>
          </w:tcPr>
          <w:p w14:paraId="689097BB" w14:textId="77777777" w:rsidR="006E5097" w:rsidRPr="002D71A6" w:rsidRDefault="006E5097" w:rsidP="00DE317C">
            <w:pPr>
              <w:pStyle w:val="Tablehead"/>
              <w:rPr>
                <w:szCs w:val="22"/>
              </w:rPr>
            </w:pPr>
            <w:r w:rsidRPr="002D71A6">
              <w:rPr>
                <w:szCs w:val="22"/>
              </w:rPr>
              <w:t>Parameter</w:t>
            </w:r>
          </w:p>
        </w:tc>
        <w:tc>
          <w:tcPr>
            <w:tcW w:w="3854" w:type="dxa"/>
          </w:tcPr>
          <w:p w14:paraId="0E19BF32" w14:textId="77777777" w:rsidR="006E5097" w:rsidRPr="002D71A6" w:rsidRDefault="006E5097" w:rsidP="00DE317C">
            <w:pPr>
              <w:pStyle w:val="Tablehead"/>
              <w:rPr>
                <w:szCs w:val="22"/>
              </w:rPr>
            </w:pPr>
            <w:r w:rsidRPr="002D71A6">
              <w:rPr>
                <w:szCs w:val="22"/>
              </w:rPr>
              <w:t>Units or classification</w:t>
            </w:r>
          </w:p>
        </w:tc>
        <w:tc>
          <w:tcPr>
            <w:tcW w:w="3012" w:type="dxa"/>
          </w:tcPr>
          <w:p w14:paraId="0CC8A7FA" w14:textId="77777777" w:rsidR="006E5097" w:rsidRPr="002D71A6" w:rsidRDefault="006E5097" w:rsidP="00DE317C">
            <w:pPr>
              <w:pStyle w:val="Tablehead"/>
              <w:rPr>
                <w:szCs w:val="22"/>
              </w:rPr>
            </w:pPr>
            <w:r w:rsidRPr="002D71A6">
              <w:rPr>
                <w:szCs w:val="22"/>
              </w:rPr>
              <w:t>Notes</w:t>
            </w:r>
          </w:p>
        </w:tc>
      </w:tr>
      <w:tr w:rsidR="006E5097" w:rsidRPr="002D71A6" w14:paraId="22BD6EB2" w14:textId="77777777" w:rsidTr="000F7AD5">
        <w:trPr>
          <w:cantSplit/>
          <w:jc w:val="center"/>
        </w:trPr>
        <w:tc>
          <w:tcPr>
            <w:tcW w:w="2763" w:type="dxa"/>
          </w:tcPr>
          <w:p w14:paraId="32610D6F" w14:textId="77777777" w:rsidR="006E5097" w:rsidRPr="002D71A6" w:rsidRDefault="006E5097" w:rsidP="00C8457F">
            <w:pPr>
              <w:pStyle w:val="Tabletext"/>
              <w:jc w:val="left"/>
              <w:rPr>
                <w:szCs w:val="22"/>
              </w:rPr>
            </w:pPr>
            <w:r w:rsidRPr="002D71A6">
              <w:rPr>
                <w:szCs w:val="22"/>
              </w:rPr>
              <w:t>Secondary exterior wall material</w:t>
            </w:r>
          </w:p>
        </w:tc>
        <w:tc>
          <w:tcPr>
            <w:tcW w:w="3854" w:type="dxa"/>
          </w:tcPr>
          <w:p w14:paraId="504D171E" w14:textId="77777777" w:rsidR="006E5097" w:rsidRPr="002D71A6" w:rsidRDefault="006E5097" w:rsidP="00005419">
            <w:pPr>
              <w:pStyle w:val="Tabletext"/>
              <w:jc w:val="left"/>
              <w:rPr>
                <w:szCs w:val="22"/>
              </w:rPr>
            </w:pPr>
            <w:r w:rsidRPr="002D71A6">
              <w:rPr>
                <w:szCs w:val="22"/>
              </w:rPr>
              <w:t>0 = unknown</w:t>
            </w:r>
            <w:r w:rsidRPr="002D71A6">
              <w:rPr>
                <w:szCs w:val="22"/>
              </w:rPr>
              <w:br/>
              <w:t xml:space="preserve">1 = stone </w:t>
            </w:r>
            <w:r w:rsidRPr="002D71A6">
              <w:rPr>
                <w:szCs w:val="22"/>
              </w:rPr>
              <w:br/>
              <w:t>2 = brick</w:t>
            </w:r>
            <w:r w:rsidRPr="002D71A6">
              <w:rPr>
                <w:szCs w:val="22"/>
              </w:rPr>
              <w:br/>
              <w:t>3 = brick with cavity</w:t>
            </w:r>
            <w:r w:rsidRPr="002D71A6">
              <w:rPr>
                <w:szCs w:val="22"/>
              </w:rPr>
              <w:br/>
              <w:t>4 = lightweight block</w:t>
            </w:r>
            <w:r w:rsidRPr="002D71A6">
              <w:rPr>
                <w:szCs w:val="22"/>
              </w:rPr>
              <w:br/>
              <w:t>5 = wood</w:t>
            </w:r>
            <w:r w:rsidRPr="002D71A6">
              <w:rPr>
                <w:szCs w:val="22"/>
              </w:rPr>
              <w:br/>
              <w:t>6 = concrete</w:t>
            </w:r>
            <w:r w:rsidRPr="002D71A6">
              <w:rPr>
                <w:szCs w:val="22"/>
              </w:rPr>
              <w:br/>
              <w:t>7 = glass</w:t>
            </w:r>
            <w:r w:rsidRPr="002D71A6">
              <w:rPr>
                <w:szCs w:val="22"/>
              </w:rPr>
              <w:br/>
              <w:t>8 = metal</w:t>
            </w:r>
            <w:r w:rsidRPr="002D71A6">
              <w:rPr>
                <w:szCs w:val="22"/>
              </w:rPr>
              <w:br/>
              <w:t>9 = other</w:t>
            </w:r>
          </w:p>
        </w:tc>
        <w:tc>
          <w:tcPr>
            <w:tcW w:w="3012" w:type="dxa"/>
          </w:tcPr>
          <w:p w14:paraId="387CB1CA" w14:textId="77777777" w:rsidR="006E5097" w:rsidRPr="002D71A6" w:rsidRDefault="006E5097" w:rsidP="00DE317C">
            <w:pPr>
              <w:pStyle w:val="Tabletext"/>
              <w:rPr>
                <w:szCs w:val="22"/>
              </w:rPr>
            </w:pPr>
          </w:p>
        </w:tc>
      </w:tr>
      <w:tr w:rsidR="006E5097" w:rsidRPr="002D71A6" w14:paraId="09E05B6A" w14:textId="77777777" w:rsidTr="000F7AD5">
        <w:trPr>
          <w:cantSplit/>
          <w:jc w:val="center"/>
        </w:trPr>
        <w:tc>
          <w:tcPr>
            <w:tcW w:w="2763" w:type="dxa"/>
          </w:tcPr>
          <w:p w14:paraId="584C741C" w14:textId="77777777" w:rsidR="006E5097" w:rsidRPr="002D71A6" w:rsidRDefault="006E5097" w:rsidP="00DE317C">
            <w:pPr>
              <w:pStyle w:val="Tabletext"/>
              <w:rPr>
                <w:szCs w:val="22"/>
              </w:rPr>
            </w:pPr>
            <w:r w:rsidRPr="002D71A6">
              <w:rPr>
                <w:szCs w:val="22"/>
              </w:rPr>
              <w:t>Internal walls</w:t>
            </w:r>
          </w:p>
        </w:tc>
        <w:tc>
          <w:tcPr>
            <w:tcW w:w="3854" w:type="dxa"/>
          </w:tcPr>
          <w:p w14:paraId="080F4106" w14:textId="77777777" w:rsidR="006E5097" w:rsidRPr="002D71A6" w:rsidRDefault="006E5097" w:rsidP="00005419">
            <w:pPr>
              <w:pStyle w:val="Tabletext"/>
              <w:jc w:val="left"/>
              <w:rPr>
                <w:szCs w:val="22"/>
              </w:rPr>
            </w:pPr>
            <w:r w:rsidRPr="002D71A6">
              <w:rPr>
                <w:szCs w:val="22"/>
              </w:rPr>
              <w:t>0 = no interior walls</w:t>
            </w:r>
            <w:r w:rsidRPr="002D71A6">
              <w:rPr>
                <w:szCs w:val="22"/>
              </w:rPr>
              <w:br/>
              <w:t xml:space="preserve">1 = stone </w:t>
            </w:r>
            <w:r w:rsidRPr="002D71A6">
              <w:rPr>
                <w:szCs w:val="22"/>
              </w:rPr>
              <w:br/>
              <w:t>2 = brick</w:t>
            </w:r>
            <w:r w:rsidRPr="002D71A6">
              <w:rPr>
                <w:szCs w:val="22"/>
              </w:rPr>
              <w:br/>
              <w:t>3 = lightweight block</w:t>
            </w:r>
            <w:r w:rsidRPr="002D71A6">
              <w:rPr>
                <w:szCs w:val="22"/>
              </w:rPr>
              <w:br/>
              <w:t>4 = wood</w:t>
            </w:r>
            <w:r w:rsidRPr="002D71A6">
              <w:rPr>
                <w:szCs w:val="22"/>
              </w:rPr>
              <w:br/>
              <w:t>5 = concrete</w:t>
            </w:r>
            <w:r w:rsidRPr="002D71A6">
              <w:rPr>
                <w:szCs w:val="22"/>
              </w:rPr>
              <w:br/>
              <w:t>6 = plasterboard (wooden stud)</w:t>
            </w:r>
            <w:r w:rsidRPr="002D71A6">
              <w:rPr>
                <w:szCs w:val="22"/>
              </w:rPr>
              <w:br/>
              <w:t xml:space="preserve">7 = plasterboard (metal stud) </w:t>
            </w:r>
            <w:r w:rsidRPr="002D71A6">
              <w:rPr>
                <w:szCs w:val="22"/>
              </w:rPr>
              <w:br/>
              <w:t>8 = metallised plasterboard</w:t>
            </w:r>
            <w:r w:rsidRPr="002D71A6">
              <w:rPr>
                <w:szCs w:val="22"/>
              </w:rPr>
              <w:br/>
              <w:t>9 = other</w:t>
            </w:r>
          </w:p>
        </w:tc>
        <w:tc>
          <w:tcPr>
            <w:tcW w:w="3012" w:type="dxa"/>
          </w:tcPr>
          <w:p w14:paraId="4C3E3767" w14:textId="77777777" w:rsidR="006E5097" w:rsidRPr="002D71A6" w:rsidRDefault="006E5097" w:rsidP="00DE317C">
            <w:pPr>
              <w:pStyle w:val="Tabletext"/>
              <w:rPr>
                <w:szCs w:val="22"/>
              </w:rPr>
            </w:pPr>
          </w:p>
        </w:tc>
      </w:tr>
      <w:tr w:rsidR="006E5097" w:rsidRPr="002D71A6" w14:paraId="454C4B6B" w14:textId="77777777" w:rsidTr="000F7AD5">
        <w:trPr>
          <w:cantSplit/>
          <w:jc w:val="center"/>
        </w:trPr>
        <w:tc>
          <w:tcPr>
            <w:tcW w:w="2763" w:type="dxa"/>
          </w:tcPr>
          <w:p w14:paraId="7F1FA1AF" w14:textId="77777777" w:rsidR="006E5097" w:rsidRPr="002D71A6" w:rsidRDefault="006E5097" w:rsidP="00DE317C">
            <w:pPr>
              <w:pStyle w:val="Tabletext"/>
              <w:rPr>
                <w:szCs w:val="22"/>
              </w:rPr>
            </w:pPr>
            <w:r w:rsidRPr="002D71A6">
              <w:rPr>
                <w:szCs w:val="22"/>
              </w:rPr>
              <w:t>Roof materials</w:t>
            </w:r>
          </w:p>
        </w:tc>
        <w:tc>
          <w:tcPr>
            <w:tcW w:w="3854" w:type="dxa"/>
          </w:tcPr>
          <w:p w14:paraId="7B8AAEE8" w14:textId="77777777" w:rsidR="006E5097" w:rsidRPr="002D71A6" w:rsidRDefault="006E5097" w:rsidP="00005419">
            <w:pPr>
              <w:pStyle w:val="Tabletext"/>
              <w:jc w:val="left"/>
              <w:rPr>
                <w:szCs w:val="22"/>
              </w:rPr>
            </w:pPr>
            <w:r w:rsidRPr="002D71A6">
              <w:rPr>
                <w:szCs w:val="22"/>
              </w:rPr>
              <w:t>0 = unknown</w:t>
            </w:r>
            <w:r w:rsidRPr="002D71A6">
              <w:rPr>
                <w:szCs w:val="22"/>
              </w:rPr>
              <w:br/>
              <w:t>1 = concrete tiles</w:t>
            </w:r>
            <w:r w:rsidRPr="002D71A6">
              <w:rPr>
                <w:szCs w:val="22"/>
              </w:rPr>
              <w:br/>
              <w:t>2 = slate tiles</w:t>
            </w:r>
            <w:r w:rsidRPr="002D71A6">
              <w:rPr>
                <w:szCs w:val="22"/>
              </w:rPr>
              <w:br/>
              <w:t>3 = wooden shingles</w:t>
            </w:r>
            <w:r w:rsidRPr="002D71A6">
              <w:rPr>
                <w:szCs w:val="22"/>
              </w:rPr>
              <w:br/>
              <w:t>4 = sheet metal</w:t>
            </w:r>
            <w:r w:rsidRPr="002D71A6">
              <w:rPr>
                <w:szCs w:val="22"/>
              </w:rPr>
              <w:br/>
              <w:t>5 = wood with roofing felt</w:t>
            </w:r>
            <w:r w:rsidRPr="002D71A6">
              <w:rPr>
                <w:szCs w:val="22"/>
              </w:rPr>
              <w:br/>
              <w:t>9 = other</w:t>
            </w:r>
          </w:p>
        </w:tc>
        <w:tc>
          <w:tcPr>
            <w:tcW w:w="3012" w:type="dxa"/>
          </w:tcPr>
          <w:p w14:paraId="1264EFB2" w14:textId="77777777" w:rsidR="006E5097" w:rsidRPr="002D71A6" w:rsidRDefault="006E5097" w:rsidP="00DE317C">
            <w:pPr>
              <w:pStyle w:val="Tabletext"/>
              <w:rPr>
                <w:szCs w:val="22"/>
              </w:rPr>
            </w:pPr>
          </w:p>
        </w:tc>
      </w:tr>
    </w:tbl>
    <w:p w14:paraId="1AF613DA" w14:textId="77777777" w:rsidR="006E5097" w:rsidRPr="002D71A6" w:rsidRDefault="006E5097" w:rsidP="006E5097">
      <w:pPr>
        <w:pStyle w:val="Tablefin"/>
      </w:pPr>
    </w:p>
    <w:p w14:paraId="2433C688" w14:textId="77777777" w:rsidR="00B874C6" w:rsidRPr="002D71A6" w:rsidRDefault="00B874C6" w:rsidP="00B874C6">
      <w:pPr>
        <w:pStyle w:val="Line"/>
      </w:pPr>
    </w:p>
    <w:sectPr w:rsidR="00B874C6" w:rsidRPr="002D71A6" w:rsidSect="007565CC">
      <w:footerReference w:type="default" r:id="rId3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8F9DC" w14:textId="77777777" w:rsidR="006A1B09" w:rsidRDefault="006A1B09">
      <w:r>
        <w:separator/>
      </w:r>
    </w:p>
  </w:endnote>
  <w:endnote w:type="continuationSeparator" w:id="0">
    <w:p w14:paraId="40D02ABF" w14:textId="77777777" w:rsidR="006A1B09" w:rsidRDefault="006A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804020202020204"/>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96D8" w14:textId="77777777" w:rsidR="00301DB3" w:rsidRDefault="00301DB3">
    <w:pPr>
      <w:pStyle w:val="Footer"/>
    </w:pPr>
    <w:r>
      <w:drawing>
        <wp:anchor distT="0" distB="0" distL="0" distR="0" simplePos="0" relativeHeight="251656192" behindDoc="0" locked="0" layoutInCell="1" allowOverlap="1" wp14:anchorId="214E39DD" wp14:editId="510E9FC9">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6F75"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413E3" w14:textId="77777777" w:rsidR="006A1B09" w:rsidRDefault="006A1B09">
      <w:r>
        <w:separator/>
      </w:r>
    </w:p>
  </w:footnote>
  <w:footnote w:type="continuationSeparator" w:id="0">
    <w:p w14:paraId="2FF98F93" w14:textId="77777777" w:rsidR="006A1B09" w:rsidRDefault="006A1B09">
      <w:r>
        <w:continuationSeparator/>
      </w:r>
    </w:p>
  </w:footnote>
  <w:footnote w:id="1">
    <w:p w14:paraId="12C3173F" w14:textId="77777777" w:rsidR="006E5097" w:rsidRPr="00E345BE" w:rsidRDefault="006E5097" w:rsidP="006E5097">
      <w:pPr>
        <w:pStyle w:val="FootnoteText"/>
      </w:pPr>
      <w:r>
        <w:rPr>
          <w:rStyle w:val="FootnoteReference"/>
        </w:rPr>
        <w:footnoteRef/>
      </w:r>
      <w:r w:rsidRPr="00E345BE">
        <w:t xml:space="preserve"> </w:t>
      </w:r>
      <w:r w:rsidRPr="00E345BE">
        <w:tab/>
        <w:t xml:space="preserve">For example, </w:t>
      </w:r>
      <w:r w:rsidRPr="00E345BE">
        <w:rPr>
          <w:lang w:eastAsia="zh-CN"/>
        </w:rPr>
        <w:t xml:space="preserve">U-values of &lt; 0.3 and &lt; 0.9 are representative of thermally efficient main structure and </w:t>
      </w:r>
      <w:r w:rsidRPr="00E345BE">
        <w:t>metallised</w:t>
      </w:r>
      <w:r w:rsidRPr="00E345BE">
        <w:rPr>
          <w:lang w:eastAsia="zh-CN"/>
        </w:rPr>
        <w:t xml:space="preserve"> glass,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C8D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6337EA3E" w14:textId="77777777" w:rsidTr="0019307B">
      <w:tc>
        <w:tcPr>
          <w:tcW w:w="4634" w:type="dxa"/>
          <w:vAlign w:val="center"/>
        </w:tcPr>
        <w:p w14:paraId="35E9D1BA"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61F8B8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4A316407" w14:textId="77777777" w:rsidTr="0019307B">
      <w:tc>
        <w:tcPr>
          <w:tcW w:w="4634" w:type="dxa"/>
          <w:vAlign w:val="center"/>
        </w:tcPr>
        <w:p w14:paraId="73223B90"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03540ADD"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3D72CAC"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465D703" wp14:editId="41F67052">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63FD8A6" wp14:editId="7A67307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C96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D9A1F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3BC49F5" wp14:editId="496E2354">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B4BFB"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6C23" w14:textId="25C26C91"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6A1B09">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D28FF">
      <w:rPr>
        <w:b/>
        <w:bCs/>
        <w:noProof/>
        <w:lang w:val="en-US"/>
      </w:rPr>
      <w:t>ITU-R  P.2109-2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07EF" w14:textId="57D25A40"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6A1B09">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FD28FF">
      <w:rPr>
        <w:b/>
        <w:bCs/>
        <w:noProof/>
      </w:rPr>
      <w:t>ITU-R  P.2109-2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09"/>
    <w:rsid w:val="00005419"/>
    <w:rsid w:val="00013002"/>
    <w:rsid w:val="00036EE3"/>
    <w:rsid w:val="00072484"/>
    <w:rsid w:val="00095530"/>
    <w:rsid w:val="00096612"/>
    <w:rsid w:val="000B1B2B"/>
    <w:rsid w:val="000B7683"/>
    <w:rsid w:val="000D0677"/>
    <w:rsid w:val="000E0548"/>
    <w:rsid w:val="000E6A6E"/>
    <w:rsid w:val="000F7AD5"/>
    <w:rsid w:val="00102934"/>
    <w:rsid w:val="00144B83"/>
    <w:rsid w:val="00147110"/>
    <w:rsid w:val="001511A6"/>
    <w:rsid w:val="00171C4D"/>
    <w:rsid w:val="0019307B"/>
    <w:rsid w:val="001B0927"/>
    <w:rsid w:val="001B164E"/>
    <w:rsid w:val="001B7886"/>
    <w:rsid w:val="001F38BB"/>
    <w:rsid w:val="002058CE"/>
    <w:rsid w:val="002165F1"/>
    <w:rsid w:val="00233211"/>
    <w:rsid w:val="00260B24"/>
    <w:rsid w:val="0027411A"/>
    <w:rsid w:val="00276D21"/>
    <w:rsid w:val="00296D7F"/>
    <w:rsid w:val="002A5D45"/>
    <w:rsid w:val="002B3CF6"/>
    <w:rsid w:val="002C768A"/>
    <w:rsid w:val="002D0BD7"/>
    <w:rsid w:val="002D71A6"/>
    <w:rsid w:val="002D76C4"/>
    <w:rsid w:val="002F5199"/>
    <w:rsid w:val="00301DB3"/>
    <w:rsid w:val="00305119"/>
    <w:rsid w:val="003157F1"/>
    <w:rsid w:val="00356B5D"/>
    <w:rsid w:val="00357707"/>
    <w:rsid w:val="0036528E"/>
    <w:rsid w:val="0036627C"/>
    <w:rsid w:val="0036743B"/>
    <w:rsid w:val="0037469F"/>
    <w:rsid w:val="00381F0A"/>
    <w:rsid w:val="003E5516"/>
    <w:rsid w:val="003F4B75"/>
    <w:rsid w:val="00420DFD"/>
    <w:rsid w:val="00425BC7"/>
    <w:rsid w:val="00437A76"/>
    <w:rsid w:val="004604B2"/>
    <w:rsid w:val="00470E28"/>
    <w:rsid w:val="0047379B"/>
    <w:rsid w:val="00477A11"/>
    <w:rsid w:val="004842E2"/>
    <w:rsid w:val="00486EB3"/>
    <w:rsid w:val="004934C5"/>
    <w:rsid w:val="004A6FEB"/>
    <w:rsid w:val="004E61FF"/>
    <w:rsid w:val="00512A4E"/>
    <w:rsid w:val="005373E0"/>
    <w:rsid w:val="00556548"/>
    <w:rsid w:val="00571B1C"/>
    <w:rsid w:val="00576D47"/>
    <w:rsid w:val="00586EF8"/>
    <w:rsid w:val="005B0371"/>
    <w:rsid w:val="005B49AB"/>
    <w:rsid w:val="005B50E7"/>
    <w:rsid w:val="005C3D29"/>
    <w:rsid w:val="005C4BAB"/>
    <w:rsid w:val="005E12A5"/>
    <w:rsid w:val="005E69F0"/>
    <w:rsid w:val="005E7B4F"/>
    <w:rsid w:val="005F003B"/>
    <w:rsid w:val="00601882"/>
    <w:rsid w:val="00607D68"/>
    <w:rsid w:val="00613212"/>
    <w:rsid w:val="006149B1"/>
    <w:rsid w:val="00640332"/>
    <w:rsid w:val="00656B26"/>
    <w:rsid w:val="00680D2B"/>
    <w:rsid w:val="00681B32"/>
    <w:rsid w:val="00697887"/>
    <w:rsid w:val="006A1B09"/>
    <w:rsid w:val="006B1D2B"/>
    <w:rsid w:val="006C37D5"/>
    <w:rsid w:val="006C4EE8"/>
    <w:rsid w:val="006E1131"/>
    <w:rsid w:val="006E2037"/>
    <w:rsid w:val="006E5097"/>
    <w:rsid w:val="006E6199"/>
    <w:rsid w:val="00701AE0"/>
    <w:rsid w:val="00712870"/>
    <w:rsid w:val="00714AC0"/>
    <w:rsid w:val="0074147D"/>
    <w:rsid w:val="00743D85"/>
    <w:rsid w:val="00744F8B"/>
    <w:rsid w:val="00753CF4"/>
    <w:rsid w:val="007565CC"/>
    <w:rsid w:val="00763B9A"/>
    <w:rsid w:val="007A6AA8"/>
    <w:rsid w:val="007B1357"/>
    <w:rsid w:val="008310C9"/>
    <w:rsid w:val="008335F0"/>
    <w:rsid w:val="00853CC5"/>
    <w:rsid w:val="00877E6E"/>
    <w:rsid w:val="008B083A"/>
    <w:rsid w:val="008B5F63"/>
    <w:rsid w:val="008C7848"/>
    <w:rsid w:val="00906589"/>
    <w:rsid w:val="00906AD6"/>
    <w:rsid w:val="00917AF2"/>
    <w:rsid w:val="0092418A"/>
    <w:rsid w:val="00934ED7"/>
    <w:rsid w:val="009543C3"/>
    <w:rsid w:val="00966E1B"/>
    <w:rsid w:val="00972F51"/>
    <w:rsid w:val="00984A02"/>
    <w:rsid w:val="009947C0"/>
    <w:rsid w:val="009A4039"/>
    <w:rsid w:val="009A41F9"/>
    <w:rsid w:val="009F2D2C"/>
    <w:rsid w:val="009F5580"/>
    <w:rsid w:val="00A0305B"/>
    <w:rsid w:val="00A239D1"/>
    <w:rsid w:val="00A31928"/>
    <w:rsid w:val="00A3435A"/>
    <w:rsid w:val="00A507D4"/>
    <w:rsid w:val="00A62A14"/>
    <w:rsid w:val="00A6617B"/>
    <w:rsid w:val="00A71FE5"/>
    <w:rsid w:val="00A7534B"/>
    <w:rsid w:val="00A86DD2"/>
    <w:rsid w:val="00A936CB"/>
    <w:rsid w:val="00A971A1"/>
    <w:rsid w:val="00AA0D99"/>
    <w:rsid w:val="00AA3AD8"/>
    <w:rsid w:val="00AB0DC8"/>
    <w:rsid w:val="00AB405C"/>
    <w:rsid w:val="00AC015D"/>
    <w:rsid w:val="00AF5326"/>
    <w:rsid w:val="00B019A2"/>
    <w:rsid w:val="00B0286E"/>
    <w:rsid w:val="00B033C8"/>
    <w:rsid w:val="00B065DB"/>
    <w:rsid w:val="00B33425"/>
    <w:rsid w:val="00B42334"/>
    <w:rsid w:val="00B44E24"/>
    <w:rsid w:val="00B51DD9"/>
    <w:rsid w:val="00B54ECC"/>
    <w:rsid w:val="00B60AC0"/>
    <w:rsid w:val="00B714F3"/>
    <w:rsid w:val="00B75A52"/>
    <w:rsid w:val="00B874C6"/>
    <w:rsid w:val="00B87B6B"/>
    <w:rsid w:val="00B9169E"/>
    <w:rsid w:val="00BC5D77"/>
    <w:rsid w:val="00BF487A"/>
    <w:rsid w:val="00BF5544"/>
    <w:rsid w:val="00C15F3E"/>
    <w:rsid w:val="00C46BD9"/>
    <w:rsid w:val="00C55258"/>
    <w:rsid w:val="00C73560"/>
    <w:rsid w:val="00C8457F"/>
    <w:rsid w:val="00C84DB7"/>
    <w:rsid w:val="00C87A35"/>
    <w:rsid w:val="00CB0F14"/>
    <w:rsid w:val="00CD659B"/>
    <w:rsid w:val="00CE0A43"/>
    <w:rsid w:val="00D00118"/>
    <w:rsid w:val="00D14596"/>
    <w:rsid w:val="00D16749"/>
    <w:rsid w:val="00D61962"/>
    <w:rsid w:val="00D72623"/>
    <w:rsid w:val="00D83556"/>
    <w:rsid w:val="00DE5556"/>
    <w:rsid w:val="00DF4176"/>
    <w:rsid w:val="00E0095C"/>
    <w:rsid w:val="00E17240"/>
    <w:rsid w:val="00E74595"/>
    <w:rsid w:val="00E77485"/>
    <w:rsid w:val="00EA306D"/>
    <w:rsid w:val="00EB1666"/>
    <w:rsid w:val="00EB1CB6"/>
    <w:rsid w:val="00EB7C57"/>
    <w:rsid w:val="00ED2695"/>
    <w:rsid w:val="00EE04BA"/>
    <w:rsid w:val="00EE47C4"/>
    <w:rsid w:val="00F30C9B"/>
    <w:rsid w:val="00F354B1"/>
    <w:rsid w:val="00F354D7"/>
    <w:rsid w:val="00F473DF"/>
    <w:rsid w:val="00F6343F"/>
    <w:rsid w:val="00F72776"/>
    <w:rsid w:val="00F92A40"/>
    <w:rsid w:val="00FB0E4E"/>
    <w:rsid w:val="00FD28FF"/>
    <w:rsid w:val="00FE6B04"/>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6E157A75"/>
  <w15:docId w15:val="{933C550C-0425-4627-99D8-D5D894D2D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166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EB1666"/>
    <w:pPr>
      <w:keepNext/>
      <w:keepLines/>
      <w:spacing w:before="480"/>
      <w:ind w:left="794" w:hanging="794"/>
      <w:outlineLvl w:val="0"/>
    </w:pPr>
    <w:rPr>
      <w:b/>
    </w:rPr>
  </w:style>
  <w:style w:type="paragraph" w:styleId="Heading2">
    <w:name w:val="heading 2"/>
    <w:basedOn w:val="Heading1"/>
    <w:next w:val="Normal"/>
    <w:qFormat/>
    <w:rsid w:val="00EB1666"/>
    <w:pPr>
      <w:spacing w:before="320"/>
      <w:outlineLvl w:val="1"/>
    </w:pPr>
  </w:style>
  <w:style w:type="paragraph" w:styleId="Heading3">
    <w:name w:val="heading 3"/>
    <w:basedOn w:val="Heading1"/>
    <w:next w:val="Normal"/>
    <w:qFormat/>
    <w:rsid w:val="00EB1666"/>
    <w:pPr>
      <w:spacing w:before="200"/>
      <w:outlineLvl w:val="2"/>
    </w:pPr>
  </w:style>
  <w:style w:type="paragraph" w:styleId="Heading4">
    <w:name w:val="heading 4"/>
    <w:basedOn w:val="Heading3"/>
    <w:next w:val="Normal"/>
    <w:qFormat/>
    <w:rsid w:val="00EB1666"/>
    <w:pPr>
      <w:tabs>
        <w:tab w:val="clear" w:pos="794"/>
        <w:tab w:val="left" w:pos="992"/>
      </w:tabs>
      <w:ind w:left="992" w:hanging="992"/>
      <w:outlineLvl w:val="3"/>
    </w:pPr>
  </w:style>
  <w:style w:type="paragraph" w:styleId="Heading5">
    <w:name w:val="heading 5"/>
    <w:basedOn w:val="Heading4"/>
    <w:next w:val="Normal"/>
    <w:qFormat/>
    <w:rsid w:val="00EB1666"/>
    <w:pPr>
      <w:outlineLvl w:val="4"/>
    </w:pPr>
  </w:style>
  <w:style w:type="paragraph" w:styleId="Heading6">
    <w:name w:val="heading 6"/>
    <w:basedOn w:val="Heading4"/>
    <w:next w:val="Normal"/>
    <w:qFormat/>
    <w:rsid w:val="00EB1666"/>
    <w:pPr>
      <w:tabs>
        <w:tab w:val="clear" w:pos="992"/>
        <w:tab w:val="clear" w:pos="1191"/>
      </w:tabs>
      <w:ind w:left="1588" w:hanging="1588"/>
      <w:outlineLvl w:val="5"/>
    </w:pPr>
  </w:style>
  <w:style w:type="paragraph" w:styleId="Heading7">
    <w:name w:val="heading 7"/>
    <w:basedOn w:val="Heading6"/>
    <w:next w:val="Normal"/>
    <w:qFormat/>
    <w:rsid w:val="00EB1666"/>
    <w:pPr>
      <w:outlineLvl w:val="6"/>
    </w:pPr>
  </w:style>
  <w:style w:type="paragraph" w:styleId="Heading8">
    <w:name w:val="heading 8"/>
    <w:basedOn w:val="Heading6"/>
    <w:next w:val="Normal"/>
    <w:qFormat/>
    <w:rsid w:val="00EB1666"/>
    <w:pPr>
      <w:outlineLvl w:val="7"/>
    </w:pPr>
  </w:style>
  <w:style w:type="paragraph" w:styleId="Heading9">
    <w:name w:val="heading 9"/>
    <w:basedOn w:val="Heading6"/>
    <w:next w:val="Normal"/>
    <w:qFormat/>
    <w:rsid w:val="00EB166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B166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166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1666"/>
  </w:style>
  <w:style w:type="paragraph" w:customStyle="1" w:styleId="Headingb">
    <w:name w:val="Heading_b"/>
    <w:basedOn w:val="Heading3"/>
    <w:next w:val="Normal"/>
    <w:rsid w:val="00EB1666"/>
    <w:pPr>
      <w:spacing w:before="160"/>
      <w:ind w:left="0" w:firstLine="0"/>
      <w:outlineLvl w:val="9"/>
    </w:pPr>
  </w:style>
  <w:style w:type="paragraph" w:customStyle="1" w:styleId="Headingi">
    <w:name w:val="Heading_i"/>
    <w:basedOn w:val="Heading3"/>
    <w:next w:val="Normal"/>
    <w:rsid w:val="00EB1666"/>
    <w:pPr>
      <w:spacing w:before="160"/>
      <w:ind w:left="0" w:firstLine="0"/>
    </w:pPr>
    <w:rPr>
      <w:b w:val="0"/>
      <w:i/>
    </w:rPr>
  </w:style>
  <w:style w:type="character" w:customStyle="1" w:styleId="href">
    <w:name w:val="href"/>
    <w:basedOn w:val="DefaultParagraphFont"/>
    <w:rsid w:val="00EB1666"/>
  </w:style>
  <w:style w:type="paragraph" w:customStyle="1" w:styleId="AnnexNoTitle">
    <w:name w:val="Annex_NoTitle"/>
    <w:basedOn w:val="Heading1"/>
    <w:next w:val="Normalaftertitle"/>
    <w:link w:val="AnnexNoTitleChar"/>
    <w:rsid w:val="00656B26"/>
    <w:pPr>
      <w:spacing w:after="80"/>
      <w:ind w:left="0" w:firstLine="0"/>
      <w:jc w:val="center"/>
    </w:pPr>
    <w:rPr>
      <w:rFonts w:ascii="Times New Roman Bold" w:hAnsi="Times New Roman Bold"/>
      <w:sz w:val="28"/>
    </w:rPr>
  </w:style>
  <w:style w:type="paragraph" w:customStyle="1" w:styleId="Normalaftertitle">
    <w:name w:val="Normal_after_title"/>
    <w:basedOn w:val="Normal"/>
    <w:next w:val="Normal"/>
    <w:link w:val="NormalaftertitleChar"/>
    <w:rsid w:val="00EB1666"/>
    <w:pPr>
      <w:spacing w:before="320"/>
    </w:pPr>
  </w:style>
  <w:style w:type="paragraph" w:customStyle="1" w:styleId="enumlev2">
    <w:name w:val="enumlev2"/>
    <w:basedOn w:val="enumlev1"/>
    <w:rsid w:val="00EB1666"/>
    <w:pPr>
      <w:ind w:left="1191" w:hanging="397"/>
    </w:pPr>
  </w:style>
  <w:style w:type="paragraph" w:customStyle="1" w:styleId="enumlev1">
    <w:name w:val="enumlev1"/>
    <w:basedOn w:val="Normal"/>
    <w:rsid w:val="00EB1666"/>
    <w:pPr>
      <w:spacing w:before="80"/>
      <w:ind w:left="794" w:hanging="794"/>
    </w:pPr>
  </w:style>
  <w:style w:type="paragraph" w:customStyle="1" w:styleId="enumlev3">
    <w:name w:val="enumlev3"/>
    <w:basedOn w:val="enumlev2"/>
    <w:rsid w:val="00EB1666"/>
    <w:pPr>
      <w:ind w:left="1588"/>
    </w:pPr>
  </w:style>
  <w:style w:type="paragraph" w:customStyle="1" w:styleId="Note">
    <w:name w:val="Note"/>
    <w:basedOn w:val="Normal"/>
    <w:rsid w:val="00EB166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166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EB1666"/>
    <w:pPr>
      <w:keepNext/>
      <w:keepLines/>
      <w:spacing w:before="240"/>
      <w:jc w:val="center"/>
    </w:pPr>
    <w:rPr>
      <w:b/>
      <w:sz w:val="28"/>
    </w:rPr>
  </w:style>
  <w:style w:type="paragraph" w:customStyle="1" w:styleId="Recref">
    <w:name w:val="Rec_ref"/>
    <w:basedOn w:val="Normal"/>
    <w:next w:val="Recdate"/>
    <w:rsid w:val="00EB1666"/>
    <w:pPr>
      <w:jc w:val="center"/>
    </w:pPr>
  </w:style>
  <w:style w:type="paragraph" w:customStyle="1" w:styleId="Recdate">
    <w:name w:val="Rec_date"/>
    <w:basedOn w:val="Recref"/>
    <w:next w:val="Normalaftertitle"/>
    <w:rsid w:val="00EB1666"/>
    <w:pPr>
      <w:jc w:val="right"/>
    </w:pPr>
  </w:style>
  <w:style w:type="paragraph" w:customStyle="1" w:styleId="HeadingSum">
    <w:name w:val="Heading_Sum"/>
    <w:basedOn w:val="Headingb"/>
    <w:next w:val="Normal"/>
    <w:autoRedefine/>
    <w:rsid w:val="00EB1666"/>
    <w:pPr>
      <w:spacing w:before="240"/>
    </w:pPr>
    <w:rPr>
      <w:sz w:val="22"/>
      <w:lang w:val="es-ES_tradnl"/>
    </w:rPr>
  </w:style>
  <w:style w:type="paragraph" w:customStyle="1" w:styleId="AppendixNoTitle">
    <w:name w:val="Appendix_NoTitle"/>
    <w:basedOn w:val="AnnexNoTitle"/>
    <w:next w:val="Normal"/>
    <w:rsid w:val="00EB1666"/>
  </w:style>
  <w:style w:type="paragraph" w:customStyle="1" w:styleId="Tablefin">
    <w:name w:val="Table_fin"/>
    <w:basedOn w:val="Normal"/>
    <w:next w:val="Normal"/>
    <w:rsid w:val="00EB1666"/>
    <w:pPr>
      <w:spacing w:before="0"/>
    </w:pPr>
    <w:rPr>
      <w:sz w:val="20"/>
    </w:rPr>
  </w:style>
  <w:style w:type="paragraph" w:customStyle="1" w:styleId="Tablehead">
    <w:name w:val="Table_head"/>
    <w:basedOn w:val="Normal"/>
    <w:next w:val="Normal"/>
    <w:link w:val="TableheadChar"/>
    <w:rsid w:val="00EB166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16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B1666"/>
    <w:pPr>
      <w:keepNext/>
      <w:spacing w:before="360" w:after="120"/>
      <w:jc w:val="center"/>
    </w:pPr>
  </w:style>
  <w:style w:type="paragraph" w:customStyle="1" w:styleId="Tabletext">
    <w:name w:val="Table_text"/>
    <w:basedOn w:val="Normal"/>
    <w:link w:val="TabletextChar"/>
    <w:rsid w:val="00EB16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B1666"/>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B166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1666"/>
    <w:pPr>
      <w:ind w:left="794"/>
    </w:pPr>
  </w:style>
  <w:style w:type="paragraph" w:customStyle="1" w:styleId="Figurelegend">
    <w:name w:val="Figure_legend"/>
    <w:basedOn w:val="Normal"/>
    <w:rsid w:val="00EB16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B1666"/>
    <w:pPr>
      <w:keepNext/>
      <w:keepLines/>
      <w:spacing w:before="480" w:after="80"/>
      <w:jc w:val="center"/>
    </w:pPr>
    <w:rPr>
      <w:caps/>
      <w:sz w:val="18"/>
    </w:rPr>
  </w:style>
  <w:style w:type="paragraph" w:customStyle="1" w:styleId="Figuretitle">
    <w:name w:val="Figure_title"/>
    <w:basedOn w:val="Normal"/>
    <w:next w:val="Figure"/>
    <w:link w:val="FiguretitleChar"/>
    <w:rsid w:val="00EB1666"/>
    <w:pPr>
      <w:keepNext/>
      <w:spacing w:before="0" w:after="120"/>
      <w:jc w:val="center"/>
    </w:pPr>
    <w:rPr>
      <w:rFonts w:ascii="Times New Roman Bold" w:hAnsi="Times New Roman Bold"/>
      <w:b/>
      <w:sz w:val="18"/>
    </w:rPr>
  </w:style>
  <w:style w:type="paragraph" w:customStyle="1" w:styleId="Figure">
    <w:name w:val="Figure"/>
    <w:basedOn w:val="FigureNo"/>
    <w:next w:val="Normal"/>
    <w:rsid w:val="00EB1666"/>
    <w:pPr>
      <w:keepNext w:val="0"/>
      <w:spacing w:before="0" w:after="240"/>
    </w:pPr>
  </w:style>
  <w:style w:type="paragraph" w:customStyle="1" w:styleId="tocpart">
    <w:name w:val="tocpart"/>
    <w:basedOn w:val="Normal"/>
    <w:rsid w:val="00EB166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1666"/>
    <w:pPr>
      <w:keepNext/>
      <w:keepLines/>
      <w:spacing w:before="480"/>
      <w:jc w:val="center"/>
    </w:pPr>
    <w:rPr>
      <w:sz w:val="28"/>
    </w:rPr>
  </w:style>
  <w:style w:type="paragraph" w:customStyle="1" w:styleId="Arttitle">
    <w:name w:val="Art_title"/>
    <w:basedOn w:val="Normal"/>
    <w:next w:val="Normalaftertitle"/>
    <w:rsid w:val="00EB1666"/>
    <w:pPr>
      <w:keepNext/>
      <w:keepLines/>
      <w:spacing w:before="240"/>
      <w:jc w:val="center"/>
    </w:pPr>
    <w:rPr>
      <w:b/>
      <w:sz w:val="28"/>
    </w:rPr>
  </w:style>
  <w:style w:type="paragraph" w:customStyle="1" w:styleId="Blanc">
    <w:name w:val="Blanc"/>
    <w:basedOn w:val="Normal"/>
    <w:next w:val="Tabletext"/>
    <w:rsid w:val="00EB1666"/>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EB16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B1666"/>
    <w:pPr>
      <w:keepNext/>
      <w:keepLines/>
      <w:spacing w:before="160"/>
      <w:ind w:left="794"/>
    </w:pPr>
    <w:rPr>
      <w:i/>
    </w:rPr>
  </w:style>
  <w:style w:type="paragraph" w:customStyle="1" w:styleId="ChapNo">
    <w:name w:val="Chap_No"/>
    <w:basedOn w:val="ArtNo"/>
    <w:next w:val="Chaptitle"/>
    <w:rsid w:val="00EB1666"/>
    <w:rPr>
      <w:b/>
    </w:rPr>
  </w:style>
  <w:style w:type="paragraph" w:customStyle="1" w:styleId="Chaptitle">
    <w:name w:val="Chap_title"/>
    <w:basedOn w:val="Arttitle"/>
    <w:next w:val="Normalaftertitle"/>
    <w:rsid w:val="00EB1666"/>
  </w:style>
  <w:style w:type="character" w:styleId="FootnoteReference">
    <w:name w:val="footnote reference"/>
    <w:basedOn w:val="DefaultParagraphFont"/>
    <w:rsid w:val="00EB1666"/>
    <w:rPr>
      <w:position w:val="6"/>
      <w:sz w:val="18"/>
    </w:rPr>
  </w:style>
  <w:style w:type="paragraph" w:styleId="FootnoteText">
    <w:name w:val="footnote text"/>
    <w:basedOn w:val="Normal"/>
    <w:link w:val="FootnoteTextChar"/>
    <w:rsid w:val="00EB1666"/>
    <w:pPr>
      <w:keepLines/>
      <w:tabs>
        <w:tab w:val="left" w:pos="255"/>
      </w:tabs>
      <w:ind w:left="255" w:hanging="255"/>
    </w:pPr>
    <w:rPr>
      <w:sz w:val="22"/>
    </w:rPr>
  </w:style>
  <w:style w:type="paragraph" w:styleId="Index1">
    <w:name w:val="index 1"/>
    <w:basedOn w:val="Normal"/>
    <w:next w:val="Normal"/>
    <w:semiHidden/>
    <w:rsid w:val="00EB1666"/>
  </w:style>
  <w:style w:type="paragraph" w:styleId="Index2">
    <w:name w:val="index 2"/>
    <w:basedOn w:val="Normal"/>
    <w:next w:val="Normal"/>
    <w:semiHidden/>
    <w:rsid w:val="00EB1666"/>
    <w:pPr>
      <w:ind w:left="283"/>
    </w:pPr>
  </w:style>
  <w:style w:type="paragraph" w:styleId="Index3">
    <w:name w:val="index 3"/>
    <w:basedOn w:val="Normal"/>
    <w:next w:val="Normal"/>
    <w:semiHidden/>
    <w:rsid w:val="00EB1666"/>
    <w:pPr>
      <w:ind w:left="566"/>
    </w:pPr>
  </w:style>
  <w:style w:type="paragraph" w:styleId="IndexHeading">
    <w:name w:val="index heading"/>
    <w:basedOn w:val="Normal"/>
    <w:next w:val="Index1"/>
    <w:semiHidden/>
    <w:rsid w:val="00EB1666"/>
  </w:style>
  <w:style w:type="paragraph" w:customStyle="1" w:styleId="Line">
    <w:name w:val="Line"/>
    <w:basedOn w:val="Normal"/>
    <w:next w:val="Normal"/>
    <w:rsid w:val="00EB1666"/>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EB166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1666"/>
  </w:style>
  <w:style w:type="paragraph" w:customStyle="1" w:styleId="Partref">
    <w:name w:val="Part_ref"/>
    <w:basedOn w:val="Normal"/>
    <w:next w:val="Normal"/>
    <w:rsid w:val="00EB1666"/>
    <w:pPr>
      <w:keepNext/>
      <w:keepLines/>
      <w:spacing w:after="280"/>
      <w:jc w:val="center"/>
    </w:pPr>
  </w:style>
  <w:style w:type="paragraph" w:customStyle="1" w:styleId="Parttitle">
    <w:name w:val="Part_title"/>
    <w:basedOn w:val="Normal"/>
    <w:next w:val="Normalaftertitle"/>
    <w:rsid w:val="00EB166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1666"/>
  </w:style>
  <w:style w:type="paragraph" w:customStyle="1" w:styleId="QuestionNo">
    <w:name w:val="Question_No"/>
    <w:basedOn w:val="RecNo"/>
    <w:next w:val="Normal"/>
    <w:rsid w:val="00EB1666"/>
  </w:style>
  <w:style w:type="paragraph" w:customStyle="1" w:styleId="Questionref">
    <w:name w:val="Question_ref"/>
    <w:basedOn w:val="Recref"/>
    <w:next w:val="Questiondate"/>
    <w:rsid w:val="00EB1666"/>
  </w:style>
  <w:style w:type="paragraph" w:customStyle="1" w:styleId="Questiontitle">
    <w:name w:val="Question_title"/>
    <w:basedOn w:val="Normal"/>
    <w:next w:val="Questionref"/>
    <w:rsid w:val="00EB1666"/>
  </w:style>
  <w:style w:type="paragraph" w:customStyle="1" w:styleId="Reftext">
    <w:name w:val="Ref_text"/>
    <w:basedOn w:val="Normal"/>
    <w:rsid w:val="00EB1666"/>
    <w:pPr>
      <w:ind w:left="794" w:hanging="794"/>
    </w:pPr>
    <w:rPr>
      <w:sz w:val="22"/>
    </w:rPr>
  </w:style>
  <w:style w:type="paragraph" w:customStyle="1" w:styleId="Reftitle">
    <w:name w:val="Ref_title"/>
    <w:basedOn w:val="Normal"/>
    <w:next w:val="Reftext"/>
    <w:rsid w:val="00EB166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1666"/>
  </w:style>
  <w:style w:type="paragraph" w:customStyle="1" w:styleId="RepNo">
    <w:name w:val="Rep_No"/>
    <w:basedOn w:val="RecNo"/>
    <w:next w:val="Reptitle"/>
    <w:rsid w:val="00EB1666"/>
  </w:style>
  <w:style w:type="paragraph" w:customStyle="1" w:styleId="Reptitle">
    <w:name w:val="Rep_title"/>
    <w:basedOn w:val="Rectitle"/>
    <w:next w:val="Repref"/>
    <w:rsid w:val="00EB1666"/>
  </w:style>
  <w:style w:type="paragraph" w:customStyle="1" w:styleId="Repref">
    <w:name w:val="Rep_ref"/>
    <w:basedOn w:val="Recref"/>
    <w:next w:val="Repdate"/>
    <w:rsid w:val="00EB1666"/>
  </w:style>
  <w:style w:type="paragraph" w:customStyle="1" w:styleId="Resdate">
    <w:name w:val="Res_date"/>
    <w:basedOn w:val="Recdate"/>
    <w:next w:val="Normalaftertitle"/>
    <w:rsid w:val="00EB1666"/>
  </w:style>
  <w:style w:type="paragraph" w:customStyle="1" w:styleId="ResNo">
    <w:name w:val="Res_No"/>
    <w:basedOn w:val="RecNo"/>
    <w:next w:val="Restitle"/>
    <w:rsid w:val="00EB1666"/>
  </w:style>
  <w:style w:type="paragraph" w:customStyle="1" w:styleId="Restitle">
    <w:name w:val="Res_title"/>
    <w:basedOn w:val="Normal"/>
    <w:next w:val="Resref"/>
    <w:rsid w:val="00EB1666"/>
    <w:pPr>
      <w:spacing w:before="240"/>
      <w:jc w:val="center"/>
    </w:pPr>
    <w:rPr>
      <w:b/>
      <w:sz w:val="28"/>
    </w:rPr>
  </w:style>
  <w:style w:type="paragraph" w:customStyle="1" w:styleId="Resref">
    <w:name w:val="Res_ref"/>
    <w:basedOn w:val="Recref"/>
    <w:next w:val="Resdate"/>
    <w:rsid w:val="00EB1666"/>
  </w:style>
  <w:style w:type="paragraph" w:customStyle="1" w:styleId="SectionNo">
    <w:name w:val="Section_No"/>
    <w:basedOn w:val="Normal"/>
    <w:next w:val="Normal"/>
    <w:rsid w:val="00EB1666"/>
  </w:style>
  <w:style w:type="paragraph" w:customStyle="1" w:styleId="Sectiontitle">
    <w:name w:val="Section_title"/>
    <w:basedOn w:val="Normal"/>
    <w:next w:val="Normalaftertitle"/>
    <w:rsid w:val="00EB166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1666"/>
    <w:pPr>
      <w:tabs>
        <w:tab w:val="clear" w:pos="794"/>
        <w:tab w:val="clear" w:pos="1191"/>
        <w:tab w:val="clear" w:pos="1588"/>
        <w:tab w:val="clear" w:pos="1985"/>
        <w:tab w:val="right" w:pos="9611"/>
      </w:tabs>
    </w:pPr>
    <w:rPr>
      <w:i/>
    </w:rPr>
  </w:style>
  <w:style w:type="paragraph" w:styleId="TOC1">
    <w:name w:val="toc 1"/>
    <w:basedOn w:val="Normal"/>
    <w:semiHidden/>
    <w:rsid w:val="00EB166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1666"/>
    <w:pPr>
      <w:tabs>
        <w:tab w:val="clear" w:pos="567"/>
        <w:tab w:val="left" w:pos="1276"/>
      </w:tabs>
      <w:spacing w:before="160"/>
      <w:ind w:left="1276" w:hanging="709"/>
    </w:pPr>
  </w:style>
  <w:style w:type="paragraph" w:styleId="TOC3">
    <w:name w:val="toc 3"/>
    <w:basedOn w:val="TOC2"/>
    <w:semiHidden/>
    <w:rsid w:val="00EB1666"/>
    <w:pPr>
      <w:tabs>
        <w:tab w:val="clear" w:pos="1276"/>
        <w:tab w:val="left" w:pos="2155"/>
      </w:tabs>
      <w:ind w:left="2155" w:hanging="879"/>
    </w:pPr>
  </w:style>
  <w:style w:type="paragraph" w:styleId="TOC4">
    <w:name w:val="toc 4"/>
    <w:basedOn w:val="TOC3"/>
    <w:semiHidden/>
    <w:rsid w:val="00EB1666"/>
    <w:pPr>
      <w:tabs>
        <w:tab w:val="left" w:pos="3261"/>
      </w:tabs>
      <w:spacing w:before="80"/>
      <w:ind w:left="3261" w:hanging="993"/>
    </w:pPr>
  </w:style>
  <w:style w:type="paragraph" w:styleId="TOC5">
    <w:name w:val="toc 5"/>
    <w:basedOn w:val="TOC4"/>
    <w:semiHidden/>
    <w:rsid w:val="00EB1666"/>
  </w:style>
  <w:style w:type="paragraph" w:styleId="TOC6">
    <w:name w:val="toc 6"/>
    <w:basedOn w:val="TOC4"/>
    <w:semiHidden/>
    <w:rsid w:val="00EB1666"/>
  </w:style>
  <w:style w:type="paragraph" w:styleId="TOC7">
    <w:name w:val="toc 7"/>
    <w:basedOn w:val="TOC4"/>
    <w:semiHidden/>
    <w:rsid w:val="00EB1666"/>
  </w:style>
  <w:style w:type="paragraph" w:styleId="TOC8">
    <w:name w:val="toc 8"/>
    <w:basedOn w:val="TOC4"/>
    <w:semiHidden/>
    <w:rsid w:val="00EB1666"/>
  </w:style>
  <w:style w:type="paragraph" w:customStyle="1" w:styleId="Annexref">
    <w:name w:val="Annex_ref"/>
    <w:basedOn w:val="Normal"/>
    <w:next w:val="Normalaftertitle"/>
    <w:rsid w:val="00EB1666"/>
    <w:pPr>
      <w:keepNext/>
      <w:keepLines/>
      <w:spacing w:after="280"/>
      <w:jc w:val="center"/>
    </w:pPr>
  </w:style>
  <w:style w:type="paragraph" w:customStyle="1" w:styleId="Appendixref">
    <w:name w:val="Appendix_ref"/>
    <w:basedOn w:val="Annexref"/>
    <w:next w:val="Normalaftertitle"/>
    <w:rsid w:val="00EB1666"/>
  </w:style>
  <w:style w:type="paragraph" w:customStyle="1" w:styleId="Tabletitle">
    <w:name w:val="Table_title"/>
    <w:basedOn w:val="Normal"/>
    <w:next w:val="Tablehead"/>
    <w:link w:val="Tabletitle0"/>
    <w:rsid w:val="00EB1666"/>
    <w:pPr>
      <w:keepNext/>
      <w:spacing w:before="0" w:after="120"/>
      <w:jc w:val="center"/>
    </w:pPr>
    <w:rPr>
      <w:b/>
    </w:rPr>
  </w:style>
  <w:style w:type="paragraph" w:customStyle="1" w:styleId="Summary">
    <w:name w:val="Summary"/>
    <w:basedOn w:val="Normal"/>
    <w:next w:val="Normalaftertitle"/>
    <w:autoRedefine/>
    <w:rsid w:val="00EB1666"/>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B1666"/>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Reasons">
    <w:name w:val="Reasons"/>
    <w:basedOn w:val="Normal"/>
    <w:qFormat/>
    <w:rsid w:val="006E5097"/>
    <w:pPr>
      <w:tabs>
        <w:tab w:val="clear" w:pos="794"/>
        <w:tab w:val="clear" w:pos="1191"/>
        <w:tab w:val="left" w:pos="1134"/>
      </w:tabs>
      <w:jc w:val="left"/>
    </w:pPr>
  </w:style>
  <w:style w:type="character" w:customStyle="1" w:styleId="FootnoteTextChar">
    <w:name w:val="Footnote Text Char"/>
    <w:basedOn w:val="DefaultParagraphFont"/>
    <w:link w:val="FootnoteText"/>
    <w:rsid w:val="006E5097"/>
    <w:rPr>
      <w:sz w:val="22"/>
      <w:lang w:val="en-GB" w:eastAsia="en-US"/>
    </w:rPr>
  </w:style>
  <w:style w:type="character" w:customStyle="1" w:styleId="FiguretitleChar">
    <w:name w:val="Figure_title Char"/>
    <w:basedOn w:val="DefaultParagraphFont"/>
    <w:link w:val="Figuretitle"/>
    <w:rsid w:val="006E5097"/>
    <w:rPr>
      <w:rFonts w:ascii="Times New Roman Bold" w:hAnsi="Times New Roman Bold"/>
      <w:b/>
      <w:sz w:val="18"/>
      <w:lang w:val="en-GB" w:eastAsia="en-US"/>
    </w:rPr>
  </w:style>
  <w:style w:type="character" w:customStyle="1" w:styleId="EquationlegendChar">
    <w:name w:val="Equation_legend Char"/>
    <w:link w:val="Equationlegend"/>
    <w:locked/>
    <w:rsid w:val="006E5097"/>
    <w:rPr>
      <w:sz w:val="24"/>
      <w:lang w:eastAsia="en-US"/>
    </w:rPr>
  </w:style>
  <w:style w:type="character" w:customStyle="1" w:styleId="TableheadChar">
    <w:name w:val="Table_head Char"/>
    <w:basedOn w:val="DefaultParagraphFont"/>
    <w:link w:val="Tablehead"/>
    <w:locked/>
    <w:rsid w:val="006E5097"/>
    <w:rPr>
      <w:b/>
      <w:sz w:val="22"/>
      <w:lang w:val="en-GB" w:eastAsia="en-US"/>
    </w:rPr>
  </w:style>
  <w:style w:type="character" w:customStyle="1" w:styleId="TableNo0">
    <w:name w:val="Table_No Знак"/>
    <w:link w:val="TableNo"/>
    <w:locked/>
    <w:rsid w:val="006E5097"/>
    <w:rPr>
      <w:sz w:val="24"/>
      <w:lang w:val="en-GB" w:eastAsia="en-US"/>
    </w:rPr>
  </w:style>
  <w:style w:type="character" w:customStyle="1" w:styleId="TabletextChar">
    <w:name w:val="Table_text Char"/>
    <w:basedOn w:val="DefaultParagraphFont"/>
    <w:link w:val="Tabletext"/>
    <w:locked/>
    <w:rsid w:val="006E5097"/>
    <w:rPr>
      <w:sz w:val="22"/>
      <w:lang w:val="en-GB" w:eastAsia="en-US"/>
    </w:rPr>
  </w:style>
  <w:style w:type="character" w:customStyle="1" w:styleId="Tabletitle0">
    <w:name w:val="Table_title Знак"/>
    <w:link w:val="Tabletitle"/>
    <w:locked/>
    <w:rsid w:val="006E5097"/>
    <w:rPr>
      <w:b/>
      <w:sz w:val="24"/>
      <w:lang w:val="en-GB" w:eastAsia="en-US"/>
    </w:rPr>
  </w:style>
  <w:style w:type="character" w:customStyle="1" w:styleId="EquationChar">
    <w:name w:val="Equation Char"/>
    <w:link w:val="Equation"/>
    <w:locked/>
    <w:rsid w:val="006E5097"/>
    <w:rPr>
      <w:sz w:val="24"/>
      <w:lang w:val="en-GB" w:eastAsia="en-US"/>
    </w:rPr>
  </w:style>
  <w:style w:type="character" w:customStyle="1" w:styleId="NormalaftertitleChar">
    <w:name w:val="Normal_after_title Char"/>
    <w:basedOn w:val="DefaultParagraphFont"/>
    <w:link w:val="Normalaftertitle"/>
    <w:locked/>
    <w:rsid w:val="006E5097"/>
    <w:rPr>
      <w:sz w:val="24"/>
      <w:lang w:val="en-GB" w:eastAsia="en-US"/>
    </w:rPr>
  </w:style>
  <w:style w:type="character" w:customStyle="1" w:styleId="AnnexNoTitleChar">
    <w:name w:val="Annex_NoTitle Char"/>
    <w:basedOn w:val="DefaultParagraphFont"/>
    <w:link w:val="AnnexNoTitle"/>
    <w:rsid w:val="00656B26"/>
    <w:rPr>
      <w:rFonts w:ascii="Times New Roman Bold" w:hAnsi="Times New Roman Bold"/>
      <w:b/>
      <w:sz w:val="28"/>
      <w:lang w:val="en-GB" w:eastAsia="en-US"/>
    </w:rPr>
  </w:style>
  <w:style w:type="character" w:customStyle="1" w:styleId="RectitleChar">
    <w:name w:val="Rec_title Char"/>
    <w:link w:val="Rectitle"/>
    <w:locked/>
    <w:rsid w:val="006E5097"/>
    <w:rPr>
      <w:b/>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www.itu.int/rec/R-REC-P.2040/en" TargetMode="External"/><Relationship Id="rId26" Type="http://schemas.openxmlformats.org/officeDocument/2006/relationships/hyperlink" Target="https://www.itu.int/pub/R-REP-P.2346" TargetMode="External"/><Relationship Id="rId3" Type="http://schemas.openxmlformats.org/officeDocument/2006/relationships/settings" Target="settings.xml"/><Relationship Id="rId21" Type="http://schemas.openxmlformats.org/officeDocument/2006/relationships/hyperlink" Target="https://www.itu.int/rec/R-REC-P.2040/en" TargetMode="Externa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yperlink" Target="https://www.itu.int/pub/R-REP-P.2346"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itu.int/rec/R-REC-P.2040/en" TargetMode="External"/><Relationship Id="rId20" Type="http://schemas.openxmlformats.org/officeDocument/2006/relationships/hyperlink" Target="https://www.itu.int/pub/R-REP-P.2346"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l/R-REC/en" TargetMode="Externa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tu.int/pub/R-REP-P.2346" TargetMode="External"/><Relationship Id="rId23" Type="http://schemas.openxmlformats.org/officeDocument/2006/relationships/hyperlink" Target="https://www.itu.int/pub/R-REP-P.2346" TargetMode="External"/><Relationship Id="rId28" Type="http://schemas.openxmlformats.org/officeDocument/2006/relationships/image" Target="media/image6.png"/><Relationship Id="rId10" Type="http://schemas.openxmlformats.org/officeDocument/2006/relationships/hyperlink" Target="http://www.itu.int/ITU-R/go/patents/en" TargetMode="External"/><Relationship Id="rId19" Type="http://schemas.openxmlformats.org/officeDocument/2006/relationships/hyperlink" Target="https://www.itu.int/pub/R-REP-P.2346"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rec/R-REC-P.2040/en" TargetMode="External"/><Relationship Id="rId22" Type="http://schemas.openxmlformats.org/officeDocument/2006/relationships/hyperlink" Target="https://www.itu.int/rec/R-REC-P.2108/en" TargetMode="External"/><Relationship Id="rId27" Type="http://schemas.openxmlformats.org/officeDocument/2006/relationships/image" Target="media/image5.pn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57</TotalTime>
  <Pages>14</Pages>
  <Words>2943</Words>
  <Characters>16981</Characters>
  <Application>Microsoft Office Word</Application>
  <DocSecurity>0</DocSecurity>
  <Lines>1212</Lines>
  <Paragraphs>231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19693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P.2109-2 (08/2023) - Prediction of building entry loss</dc:title>
  <dc:subject/>
  <dc:creator>Gachet, Christelle</dc:creator>
  <cp:keywords/>
  <dc:description>Edition                       1.11.07      SP_x000d_
corr. editeur: 14.2.08/KJ_x000d_
REV - 18-02-08 - HB_x000d_
Récup + PDF: 2.7.09/KJ</dc:description>
  <cp:lastModifiedBy>Gachet, Christelle</cp:lastModifiedBy>
  <cp:revision>16</cp:revision>
  <cp:lastPrinted>2009-07-08T06:55:00Z</cp:lastPrinted>
  <dcterms:created xsi:type="dcterms:W3CDTF">2023-07-18T07:17:00Z</dcterms:created>
  <dcterms:modified xsi:type="dcterms:W3CDTF">2023-08-29T08:34:00Z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