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97" w:rsidRDefault="00BF4497" w:rsidP="00BF4497">
      <w:pPr>
        <w:pStyle w:val="RecNo"/>
        <w:spacing w:before="0"/>
      </w:pPr>
      <w:bookmarkStart w:id="0" w:name="_GoBack"/>
      <w:bookmarkEnd w:id="0"/>
      <w:r>
        <w:t xml:space="preserve">RECOMMANDATION  </w:t>
      </w:r>
      <w:r w:rsidRPr="00C63173">
        <w:rPr>
          <w:rStyle w:val="href"/>
        </w:rPr>
        <w:t>UIT-R  P.1147-</w:t>
      </w:r>
      <w:r>
        <w:rPr>
          <w:rStyle w:val="href"/>
        </w:rPr>
        <w:t>4</w:t>
      </w:r>
      <w:r w:rsidR="00743A15">
        <w:rPr>
          <w:rStyle w:val="FootnoteReference"/>
        </w:rPr>
        <w:footnoteReference w:customMarkFollows="1" w:id="1"/>
        <w:t>*</w:t>
      </w:r>
    </w:p>
    <w:p w:rsidR="00BF4497" w:rsidRDefault="00BF4497" w:rsidP="00BF4497">
      <w:pPr>
        <w:pStyle w:val="Rectitle"/>
      </w:pPr>
      <w:r>
        <w:t>Prévision du champ de l'onde ionosphérique pour les fréquences</w:t>
      </w:r>
      <w:r>
        <w:br/>
        <w:t>comprises entre 150 et 1</w:t>
      </w:r>
      <w:r>
        <w:rPr>
          <w:rFonts w:ascii="Tms Rmn" w:hAnsi="Tms Rmn"/>
          <w:sz w:val="12"/>
        </w:rPr>
        <w:t> </w:t>
      </w:r>
      <w:r>
        <w:t>700 kHz environ</w:t>
      </w:r>
    </w:p>
    <w:p w:rsidR="00BF4497" w:rsidRDefault="00BF4497" w:rsidP="00BF4497">
      <w:pPr>
        <w:pStyle w:val="Recref"/>
      </w:pPr>
      <w:r>
        <w:t>(Question UIT-R 225/3)</w:t>
      </w:r>
    </w:p>
    <w:p w:rsidR="00BF4497" w:rsidRDefault="00BF4497" w:rsidP="00BF4497">
      <w:pPr>
        <w:pStyle w:val="Recdate"/>
      </w:pPr>
    </w:p>
    <w:p w:rsidR="00BF4497" w:rsidRDefault="00BF4497" w:rsidP="00BF4497">
      <w:pPr>
        <w:pStyle w:val="Recdate"/>
      </w:pPr>
      <w:r>
        <w:t>(1995-1999-2003-2005</w:t>
      </w:r>
      <w:r w:rsidR="00E07665">
        <w:t>-2007</w:t>
      </w:r>
      <w:r>
        <w:t>)</w:t>
      </w:r>
    </w:p>
    <w:p w:rsidR="00BF4497" w:rsidRDefault="00BF4497" w:rsidP="00BF4497"/>
    <w:p w:rsidR="000E5BFF" w:rsidRPr="000E5BFF" w:rsidRDefault="000E5BFF" w:rsidP="000E5BFF">
      <w:pPr>
        <w:pStyle w:val="HeadingSum"/>
        <w:rPr>
          <w:lang w:val="fr-FR"/>
        </w:rPr>
      </w:pPr>
      <w:r>
        <w:rPr>
          <w:lang w:val="fr-FR"/>
        </w:rPr>
        <w:t>Domaine de compétence</w:t>
      </w:r>
    </w:p>
    <w:p w:rsidR="000E5BFF" w:rsidRPr="000E5BFF" w:rsidRDefault="000E5BFF" w:rsidP="000E5BFF">
      <w:pPr>
        <w:pStyle w:val="Summary"/>
        <w:rPr>
          <w:lang w:val="fr-FR"/>
        </w:rPr>
      </w:pPr>
      <w:r w:rsidRPr="000E5BFF">
        <w:rPr>
          <w:lang w:val="fr-FR"/>
        </w:rPr>
        <w:t>La présente Recommandation décrit une procédure de prévision pour des fréquences comprises entre 150 et 1 700 kHz environ, pour des trajets d'une longueur d'entre 50 et 12 000 km.</w:t>
      </w:r>
    </w:p>
    <w:p w:rsidR="00BF4497" w:rsidRDefault="00BF4497" w:rsidP="00BF4497">
      <w:pPr>
        <w:pStyle w:val="Normalaftertitle"/>
      </w:pPr>
      <w:r>
        <w:t>L'Assemblée des radiocommunications de l'UIT,</w:t>
      </w:r>
    </w:p>
    <w:p w:rsidR="00BF4497" w:rsidRDefault="00BF4497" w:rsidP="00BF4497">
      <w:pPr>
        <w:pStyle w:val="Call"/>
      </w:pPr>
      <w:r>
        <w:t>considérant</w:t>
      </w:r>
    </w:p>
    <w:p w:rsidR="00BF4497" w:rsidRDefault="00BF4497" w:rsidP="00BF4497">
      <w:r>
        <w:t>a)</w:t>
      </w:r>
      <w:r>
        <w:tab/>
        <w:t>qu'il est nécessaire de fournir des indications aux ingénieurs chargés de la planification des services de radiodiffusion dans les bandes des ondes kilométriques et hectométriques;</w:t>
      </w:r>
    </w:p>
    <w:p w:rsidR="00BF4497" w:rsidRDefault="00BF4497" w:rsidP="00BF4497">
      <w:r>
        <w:t>b)</w:t>
      </w:r>
      <w:r>
        <w:tab/>
        <w:t>qu'il est important de déterminer la distance géographique minimale entre les stations travaillant dans les mêmes canaux ou dans des canaux adjacents afin d'éviter les brouillages occasionnés par la propagation ionosphérique à grande distance;</w:t>
      </w:r>
    </w:p>
    <w:p w:rsidR="00BF4497" w:rsidRDefault="00BF4497" w:rsidP="00BF4497">
      <w:r>
        <w:t>c)</w:t>
      </w:r>
      <w:r>
        <w:tab/>
        <w:t>que, des portions de cette gamme de fréquences étant partagées par la radiodiffusion et d'autres services dans différentes Régions, une méthode précise de prévision des niveaux de brouillage est nécessaire pour assurer une utilisation efficace et méthodique de ces parties du spectre;</w:t>
      </w:r>
    </w:p>
    <w:p w:rsidR="00BF4497" w:rsidRDefault="00BF4497" w:rsidP="00BF4497">
      <w:pPr>
        <w:pStyle w:val="Call"/>
      </w:pPr>
      <w:r>
        <w:t>recommande</w:t>
      </w:r>
    </w:p>
    <w:p w:rsidR="00BF4497" w:rsidRDefault="00BF4497" w:rsidP="00BF4497">
      <w:r>
        <w:t>que la méthode suivante soit adoptée, tout en notant les considérations sur sa précision données dans l'Annexe 1.</w:t>
      </w:r>
    </w:p>
    <w:p w:rsidR="00BF4497" w:rsidRDefault="00BF4497" w:rsidP="00BF4497">
      <w:pPr>
        <w:pStyle w:val="Heading1"/>
      </w:pPr>
      <w:bookmarkStart w:id="1" w:name="_Toc107989255"/>
      <w:r>
        <w:t>1</w:t>
      </w:r>
      <w:r>
        <w:tab/>
        <w:t>Introduction</w:t>
      </w:r>
      <w:bookmarkEnd w:id="1"/>
    </w:p>
    <w:p w:rsidR="00BF4497" w:rsidRDefault="00BF4497" w:rsidP="00BF4497">
      <w:r>
        <w:t>Cette méthode prévoit les valeurs du champ de l'onde ionosphérique produite de nuit par une ou plusieurs antennes verticales rayonnant une puissance donnée, les mesures étant faites au niveau du sol, au moyen d'un cadre dont le plan vertical coïncide avec le plan du grand cercle qui contient la direction de l'émetteur. Cette méthode est fondée sur des mesures qui ont été faites dans les bandes de fréquences attribuées à la radiodiffusion et s'applique pour des trajets d'une longueur comprise entre 50 et 12</w:t>
      </w:r>
      <w:r>
        <w:rPr>
          <w:sz w:val="12"/>
        </w:rPr>
        <w:t> </w:t>
      </w:r>
      <w:r>
        <w:t>000 km, dans ces bandes des ondes kilométriques et des ondes hectométriques en particulier. Voir, à l'Annexe 2, des considérations sur la propagation de l'onde ionosphérique pendant la journée.</w:t>
      </w:r>
    </w:p>
    <w:p w:rsidR="00BF4497" w:rsidRDefault="00BF4497" w:rsidP="00BF4497">
      <w:r>
        <w:t xml:space="preserve">Les Fig. 1, 2 et 3 constituent un élément essentiel de la méthode de prévision. Pour plus de commodité, on a inclus des cartes géomagnétiques (Fig. 5, 6 et 10). Les autres Figures et </w:t>
      </w:r>
      <w:r>
        <w:lastRenderedPageBreak/>
        <w:t>l'Appendice 1 contiennent des données supplémentaires qui permettent de simplifier l'application de la méthode.</w:t>
      </w:r>
    </w:p>
    <w:p w:rsidR="00BF4497" w:rsidRDefault="00BF4497" w:rsidP="00BF4497">
      <w:pPr>
        <w:pStyle w:val="Heading1"/>
      </w:pPr>
      <w:bookmarkStart w:id="2" w:name="_Toc107989256"/>
      <w:r>
        <w:t>2</w:t>
      </w:r>
      <w:r>
        <w:tab/>
        <w:t>Valeur médiane annuelle du champ de nuit</w:t>
      </w:r>
      <w:bookmarkEnd w:id="2"/>
    </w:p>
    <w:p w:rsidR="00BF4497" w:rsidRDefault="00BF4497" w:rsidP="00BF4497">
      <w:r>
        <w:t>Le champ prévu de l'onde ionosphérique est donné par la formule:</w:t>
      </w:r>
    </w:p>
    <w:p w:rsidR="0023139B" w:rsidRDefault="0023139B" w:rsidP="0023139B">
      <w:pPr>
        <w:pStyle w:val="Blanc"/>
      </w:pPr>
      <w:bookmarkStart w:id="3" w:name="F001"/>
    </w:p>
    <w:p w:rsidR="00BF4497" w:rsidRDefault="00BF4497" w:rsidP="00BF4497">
      <w:pPr>
        <w:pStyle w:val="Equation"/>
        <w:rPr>
          <w:lang w:val="es-ES"/>
        </w:rPr>
      </w:pPr>
      <w:r>
        <w:tab/>
      </w:r>
      <w:r>
        <w:tab/>
      </w:r>
      <w:r>
        <w:rPr>
          <w:i/>
          <w:lang w:val="es-ES"/>
        </w:rPr>
        <w:t>E</w:t>
      </w:r>
      <w:r>
        <w:rPr>
          <w:lang w:val="es-ES"/>
        </w:rPr>
        <w:t xml:space="preserve">  </w:t>
      </w:r>
      <w:r>
        <w:rPr>
          <w:rFonts w:ascii="Symbol" w:hAnsi="Symbol"/>
        </w:rPr>
        <w:t></w:t>
      </w:r>
      <w:r>
        <w:rPr>
          <w:lang w:val="es-ES"/>
        </w:rPr>
        <w:t xml:space="preserve">  </w:t>
      </w:r>
      <w:r>
        <w:rPr>
          <w:i/>
          <w:lang w:val="es-ES"/>
        </w:rPr>
        <w:t>V</w:t>
      </w:r>
      <w:r>
        <w:rPr>
          <w:lang w:val="es-ES"/>
        </w:rPr>
        <w:t xml:space="preserve">  </w:t>
      </w:r>
      <w:r>
        <w:rPr>
          <w:rFonts w:ascii="Symbol" w:hAnsi="Symbol"/>
        </w:rPr>
        <w:t></w:t>
      </w:r>
      <w:r>
        <w:rPr>
          <w:lang w:val="es-ES"/>
        </w:rPr>
        <w:t xml:space="preserve">  </w:t>
      </w:r>
      <w:r>
        <w:rPr>
          <w:i/>
          <w:lang w:val="es-ES"/>
        </w:rPr>
        <w:t>E</w:t>
      </w:r>
      <w:r>
        <w:rPr>
          <w:position w:val="-4"/>
          <w:sz w:val="18"/>
          <w:lang w:val="es-ES"/>
        </w:rPr>
        <w:t>0</w:t>
      </w:r>
      <w:r>
        <w:rPr>
          <w:lang w:val="es-ES"/>
        </w:rPr>
        <w:t xml:space="preserve">  –  </w:t>
      </w:r>
      <w:r>
        <w:rPr>
          <w:i/>
          <w:lang w:val="es-ES"/>
        </w:rPr>
        <w:t>L</w:t>
      </w:r>
      <w:r>
        <w:rPr>
          <w:i/>
          <w:position w:val="-4"/>
          <w:sz w:val="18"/>
          <w:lang w:val="es-ES"/>
        </w:rPr>
        <w:t>t</w:t>
      </w:r>
      <w:r>
        <w:rPr>
          <w:lang w:val="es-ES"/>
        </w:rPr>
        <w:t xml:space="preserve">  </w:t>
      </w:r>
      <w:r>
        <w:rPr>
          <w:rFonts w:ascii="Symbol" w:hAnsi="Symbol"/>
        </w:rPr>
        <w:t></w:t>
      </w:r>
      <w:r>
        <w:rPr>
          <w:lang w:val="es-ES"/>
        </w:rPr>
        <w:t xml:space="preserve">  </w:t>
      </w:r>
      <w:r>
        <w:rPr>
          <w:i/>
          <w:lang w:val="es-ES"/>
        </w:rPr>
        <w:t>V</w:t>
      </w:r>
      <w:r>
        <w:rPr>
          <w:lang w:val="es-ES"/>
        </w:rPr>
        <w:t xml:space="preserve">  </w:t>
      </w:r>
      <w:r>
        <w:rPr>
          <w:rFonts w:ascii="Symbol" w:hAnsi="Symbol"/>
        </w:rPr>
        <w:t></w:t>
      </w:r>
      <w:r>
        <w:rPr>
          <w:lang w:val="es-ES"/>
        </w:rPr>
        <w:t xml:space="preserve">  </w:t>
      </w:r>
      <w:r>
        <w:rPr>
          <w:i/>
          <w:lang w:val="es-ES"/>
        </w:rPr>
        <w:t>G</w:t>
      </w:r>
      <w:r>
        <w:rPr>
          <w:i/>
          <w:position w:val="-4"/>
          <w:sz w:val="18"/>
          <w:lang w:val="es-ES"/>
        </w:rPr>
        <w:t>S</w:t>
      </w:r>
      <w:r>
        <w:rPr>
          <w:lang w:val="es-ES"/>
        </w:rPr>
        <w:t xml:space="preserve">  –  </w:t>
      </w:r>
      <w:r>
        <w:rPr>
          <w:i/>
          <w:lang w:val="es-ES"/>
        </w:rPr>
        <w:t>L</w:t>
      </w:r>
      <w:r>
        <w:rPr>
          <w:i/>
          <w:position w:val="-4"/>
          <w:sz w:val="18"/>
          <w:lang w:val="es-ES"/>
        </w:rPr>
        <w:t>p</w:t>
      </w:r>
      <w:r>
        <w:rPr>
          <w:lang w:val="es-ES"/>
        </w:rPr>
        <w:t xml:space="preserve">  </w:t>
      </w:r>
      <w:r>
        <w:rPr>
          <w:rFonts w:ascii="Symbol" w:hAnsi="Symbol"/>
        </w:rPr>
        <w:t></w:t>
      </w:r>
      <w:r>
        <w:rPr>
          <w:lang w:val="es-ES"/>
        </w:rPr>
        <w:t xml:space="preserve">  </w:t>
      </w:r>
      <w:r>
        <w:rPr>
          <w:i/>
          <w:lang w:val="es-ES"/>
        </w:rPr>
        <w:t>A</w:t>
      </w:r>
      <w:r>
        <w:rPr>
          <w:lang w:val="es-ES"/>
        </w:rPr>
        <w:t xml:space="preserve">  –  20 log </w:t>
      </w:r>
      <w:r>
        <w:rPr>
          <w:i/>
          <w:lang w:val="es-ES"/>
        </w:rPr>
        <w:t>p</w:t>
      </w:r>
      <w:r>
        <w:rPr>
          <w:lang w:val="es-ES"/>
        </w:rPr>
        <w:t xml:space="preserve">  –  </w:t>
      </w:r>
      <w:r>
        <w:rPr>
          <w:i/>
          <w:lang w:val="es-ES"/>
        </w:rPr>
        <w:t>L</w:t>
      </w:r>
      <w:r>
        <w:rPr>
          <w:i/>
          <w:position w:val="-4"/>
          <w:sz w:val="18"/>
          <w:lang w:val="es-ES"/>
        </w:rPr>
        <w:t>a</w:t>
      </w:r>
      <w:r>
        <w:rPr>
          <w:lang w:val="es-ES"/>
        </w:rPr>
        <w:t xml:space="preserve">  –  </w:t>
      </w:r>
      <w:r>
        <w:rPr>
          <w:i/>
          <w:lang w:val="es-ES"/>
        </w:rPr>
        <w:t>L</w:t>
      </w:r>
      <w:r>
        <w:rPr>
          <w:i/>
          <w:position w:val="-4"/>
          <w:sz w:val="18"/>
          <w:lang w:val="es-ES"/>
        </w:rPr>
        <w:t>t</w:t>
      </w:r>
      <w:r>
        <w:rPr>
          <w:lang w:val="es-ES"/>
        </w:rPr>
        <w:t xml:space="preserve">  –  </w:t>
      </w:r>
      <w:r>
        <w:rPr>
          <w:i/>
          <w:lang w:val="es-ES"/>
        </w:rPr>
        <w:t>L</w:t>
      </w:r>
      <w:r>
        <w:rPr>
          <w:i/>
          <w:position w:val="-4"/>
          <w:sz w:val="18"/>
          <w:lang w:val="es-ES"/>
        </w:rPr>
        <w:t>r</w:t>
      </w:r>
      <w:r>
        <w:rPr>
          <w:lang w:val="es-ES"/>
        </w:rPr>
        <w:tab/>
        <w:t>(1)</w:t>
      </w:r>
      <w:bookmarkEnd w:id="3"/>
    </w:p>
    <w:p w:rsidR="0023139B" w:rsidRDefault="0023139B" w:rsidP="0023139B">
      <w:pPr>
        <w:pStyle w:val="Blanc"/>
      </w:pPr>
    </w:p>
    <w:p w:rsidR="00BF4497" w:rsidRDefault="00BF4497" w:rsidP="00BF4497">
      <w:r>
        <w:t>dans laquelle:</w:t>
      </w:r>
    </w:p>
    <w:p w:rsidR="00BF4497" w:rsidRPr="00C63173" w:rsidRDefault="00BF4497" w:rsidP="00BF4497">
      <w:pPr>
        <w:pStyle w:val="Equationlegend"/>
        <w:rPr>
          <w:lang w:val="fr-FR"/>
        </w:rPr>
      </w:pPr>
      <w:r w:rsidRPr="00C63173">
        <w:rPr>
          <w:i/>
          <w:lang w:val="fr-FR"/>
        </w:rPr>
        <w:tab/>
        <w:t>E</w:t>
      </w:r>
      <w:r w:rsidRPr="00C63173">
        <w:rPr>
          <w:rFonts w:ascii="Tms Rmn" w:hAnsi="Tms Rmn"/>
          <w:sz w:val="12"/>
          <w:lang w:val="fr-FR"/>
        </w:rPr>
        <w:t> </w:t>
      </w:r>
      <w:r w:rsidRPr="00C63173">
        <w:rPr>
          <w:lang w:val="fr-FR"/>
        </w:rPr>
        <w:t>:</w:t>
      </w:r>
      <w:r w:rsidRPr="00C63173">
        <w:rPr>
          <w:lang w:val="fr-FR"/>
        </w:rPr>
        <w:tab/>
        <w:t>valeur médiane annuelle des médianes semi-horaires du champ (dB(</w:t>
      </w:r>
      <w:r>
        <w:rPr>
          <w:rFonts w:ascii="Symbol" w:hAnsi="Symbol"/>
        </w:rPr>
        <w:t></w:t>
      </w:r>
      <w:r w:rsidRPr="00C63173">
        <w:rPr>
          <w:lang w:val="fr-FR"/>
        </w:rPr>
        <w:t>V/m)) pour une force cymomotrice d'émission donnée</w:t>
      </w:r>
      <w:r w:rsidRPr="00C63173">
        <w:rPr>
          <w:i/>
          <w:lang w:val="fr-FR"/>
        </w:rPr>
        <w:t xml:space="preserve"> V</w:t>
      </w:r>
      <w:r w:rsidRPr="00C63173">
        <w:rPr>
          <w:lang w:val="fr-FR"/>
        </w:rPr>
        <w:t>, et à une heure donnée</w:t>
      </w:r>
      <w:r w:rsidRPr="00C63173">
        <w:rPr>
          <w:i/>
          <w:lang w:val="fr-FR"/>
        </w:rPr>
        <w:t xml:space="preserve"> t</w:t>
      </w:r>
      <w:r w:rsidRPr="00C63173">
        <w:rPr>
          <w:lang w:val="fr-FR"/>
        </w:rPr>
        <w:t xml:space="preserve"> comptée à partir du coucher ou du lever du Soleil suivant le cas</w:t>
      </w:r>
    </w:p>
    <w:p w:rsidR="00BF4497" w:rsidRDefault="00BF4497" w:rsidP="00BF4497">
      <w:pPr>
        <w:pStyle w:val="Equationlegend"/>
        <w:rPr>
          <w:lang w:val="fr-FR"/>
        </w:rPr>
      </w:pPr>
      <w:r>
        <w:rPr>
          <w:i/>
          <w:lang w:val="fr-FR"/>
        </w:rPr>
        <w:tab/>
        <w:t>E</w:t>
      </w:r>
      <w:r>
        <w:rPr>
          <w:iCs/>
          <w:vertAlign w:val="subscript"/>
          <w:lang w:val="fr-FR"/>
        </w:rPr>
        <w:t>0</w:t>
      </w:r>
      <w:r>
        <w:rPr>
          <w:rFonts w:ascii="Tms Rmn" w:hAnsi="Tms Rmn"/>
          <w:sz w:val="12"/>
          <w:lang w:val="fr-FR"/>
        </w:rPr>
        <w:t> </w:t>
      </w:r>
      <w:r>
        <w:rPr>
          <w:lang w:val="fr-FR"/>
        </w:rPr>
        <w:t>:</w:t>
      </w:r>
      <w:r>
        <w:rPr>
          <w:lang w:val="fr-FR"/>
        </w:rPr>
        <w:tab/>
        <w:t>valeur médiane annuelle des médianes semi-horaires du champ (dB(</w:t>
      </w:r>
      <w:r>
        <w:rPr>
          <w:rFonts w:ascii="Symbol" w:hAnsi="Symbol"/>
        </w:rPr>
        <w:t></w:t>
      </w:r>
      <w:r>
        <w:rPr>
          <w:lang w:val="fr-FR"/>
        </w:rPr>
        <w:t>V/m)) pour une force cymomotrice d'émission de 300 V, à l'heure de référence indiquée au § 2.1</w:t>
      </w:r>
    </w:p>
    <w:p w:rsidR="00BF4497" w:rsidRPr="00C63173" w:rsidRDefault="00BF4497" w:rsidP="00BF4497">
      <w:pPr>
        <w:pStyle w:val="Equationlegend"/>
        <w:rPr>
          <w:lang w:val="fr-FR"/>
        </w:rPr>
      </w:pPr>
      <w:r>
        <w:rPr>
          <w:i/>
          <w:lang w:val="fr-FR"/>
        </w:rPr>
        <w:tab/>
      </w:r>
      <w:r w:rsidRPr="00C63173">
        <w:rPr>
          <w:i/>
          <w:lang w:val="fr-FR"/>
        </w:rPr>
        <w:t>V</w:t>
      </w:r>
      <w:r w:rsidRPr="00C63173">
        <w:rPr>
          <w:rFonts w:ascii="Tms Rmn" w:hAnsi="Tms Rmn"/>
          <w:sz w:val="12"/>
          <w:lang w:val="fr-FR"/>
        </w:rPr>
        <w:t> </w:t>
      </w:r>
      <w:r w:rsidRPr="00C63173">
        <w:rPr>
          <w:lang w:val="fr-FR"/>
        </w:rPr>
        <w:t>:</w:t>
      </w:r>
      <w:r w:rsidRPr="00C63173">
        <w:rPr>
          <w:lang w:val="fr-FR"/>
        </w:rPr>
        <w:tab/>
        <w:t>force cymomotrice de l'émetteur (dB par rapport à une force cymomotrice de référence de 300 V) (voir le § 2.2)</w:t>
      </w:r>
    </w:p>
    <w:p w:rsidR="00BF4497" w:rsidRDefault="00BF4497" w:rsidP="00BF4497">
      <w:pPr>
        <w:pStyle w:val="Equationlegend"/>
        <w:rPr>
          <w:lang w:val="fr-FR"/>
        </w:rPr>
      </w:pPr>
      <w:r w:rsidRPr="00C63173">
        <w:rPr>
          <w:i/>
          <w:lang w:val="fr-FR"/>
        </w:rPr>
        <w:tab/>
      </w:r>
      <w:r>
        <w:rPr>
          <w:i/>
          <w:lang w:val="fr-FR"/>
        </w:rPr>
        <w:t>G</w:t>
      </w:r>
      <w:r>
        <w:rPr>
          <w:i/>
          <w:vertAlign w:val="subscript"/>
          <w:lang w:val="fr-FR"/>
        </w:rPr>
        <w:t>S</w:t>
      </w:r>
      <w:r>
        <w:rPr>
          <w:rFonts w:ascii="Tms Rmn" w:hAnsi="Tms Rmn"/>
          <w:sz w:val="12"/>
          <w:lang w:val="fr-FR"/>
        </w:rPr>
        <w:t> </w:t>
      </w:r>
      <w:r>
        <w:rPr>
          <w:lang w:val="fr-FR"/>
        </w:rPr>
        <w:t>:</w:t>
      </w:r>
      <w:r>
        <w:rPr>
          <w:lang w:val="fr-FR"/>
        </w:rPr>
        <w:tab/>
        <w:t>correction du gain dû à la proximité de la mer (dB) (voir le § 2.3)</w:t>
      </w:r>
    </w:p>
    <w:p w:rsidR="00BF4497" w:rsidRDefault="00BF4497" w:rsidP="00BF4497">
      <w:pPr>
        <w:pStyle w:val="Equationlegend"/>
        <w:rPr>
          <w:lang w:val="fr-FR"/>
        </w:rPr>
      </w:pPr>
      <w:r>
        <w:rPr>
          <w:i/>
          <w:lang w:val="fr-FR"/>
        </w:rPr>
        <w:tab/>
        <w:t>L</w:t>
      </w:r>
      <w:r>
        <w:rPr>
          <w:i/>
          <w:vertAlign w:val="subscript"/>
          <w:lang w:val="fr-FR"/>
        </w:rPr>
        <w:t>p</w:t>
      </w:r>
      <w:r>
        <w:rPr>
          <w:rFonts w:ascii="Tms Rmn" w:hAnsi="Tms Rmn"/>
          <w:sz w:val="12"/>
          <w:lang w:val="fr-FR"/>
        </w:rPr>
        <w:t> </w:t>
      </w:r>
      <w:r>
        <w:rPr>
          <w:lang w:val="fr-FR"/>
        </w:rPr>
        <w:t>:</w:t>
      </w:r>
      <w:r>
        <w:rPr>
          <w:lang w:val="fr-FR"/>
        </w:rPr>
        <w:tab/>
        <w:t>surcroît d'affaiblissement par couplage de polarisation (dB) (voir le § 2.4)</w:t>
      </w:r>
    </w:p>
    <w:p w:rsidR="00BF4497" w:rsidRDefault="00BF4497" w:rsidP="00BF4497">
      <w:pPr>
        <w:pStyle w:val="Equationlegend"/>
        <w:spacing w:line="270" w:lineRule="exact"/>
        <w:rPr>
          <w:lang w:val="fr-FR"/>
        </w:rPr>
      </w:pPr>
      <w:r>
        <w:rPr>
          <w:i/>
          <w:lang w:val="fr-FR"/>
        </w:rPr>
        <w:tab/>
      </w:r>
      <w:r w:rsidRPr="00C63173">
        <w:rPr>
          <w:i/>
          <w:lang w:val="fr-FR"/>
        </w:rPr>
        <w:t>A</w:t>
      </w:r>
      <w:r w:rsidRPr="00C63173">
        <w:rPr>
          <w:rFonts w:ascii="Tms Rmn" w:hAnsi="Tms Rmn"/>
          <w:sz w:val="12"/>
          <w:lang w:val="fr-FR"/>
        </w:rPr>
        <w:t> </w:t>
      </w:r>
      <w:r w:rsidRPr="00C63173">
        <w:rPr>
          <w:lang w:val="fr-FR"/>
        </w:rPr>
        <w:t>:</w:t>
      </w:r>
      <w:r w:rsidRPr="00C63173">
        <w:rPr>
          <w:lang w:val="fr-FR"/>
        </w:rPr>
        <w:tab/>
        <w:t xml:space="preserve">constante. Dans la bande des ondes kilométriques, </w:t>
      </w:r>
      <w:r w:rsidRPr="00C63173">
        <w:rPr>
          <w:i/>
          <w:lang w:val="fr-FR"/>
        </w:rPr>
        <w:t>A </w:t>
      </w:r>
      <w:r>
        <w:rPr>
          <w:rFonts w:ascii="Symbol" w:hAnsi="Symbol"/>
        </w:rPr>
        <w:t></w:t>
      </w:r>
      <w:r w:rsidRPr="00C63173">
        <w:rPr>
          <w:lang w:val="fr-FR"/>
        </w:rPr>
        <w:t xml:space="preserve"> 110,2. </w:t>
      </w:r>
      <w:r>
        <w:rPr>
          <w:lang w:val="fr-FR"/>
        </w:rPr>
        <w:t xml:space="preserve">Dans la bande des ondes hectométriques, </w:t>
      </w:r>
      <w:r>
        <w:rPr>
          <w:i/>
          <w:lang w:val="fr-FR"/>
        </w:rPr>
        <w:t>A</w:t>
      </w:r>
      <w:r>
        <w:rPr>
          <w:lang w:val="fr-FR"/>
        </w:rPr>
        <w:t> </w:t>
      </w:r>
      <w:r>
        <w:rPr>
          <w:rFonts w:ascii="Symbol" w:hAnsi="Symbol"/>
        </w:rPr>
        <w:t></w:t>
      </w:r>
      <w:r>
        <w:rPr>
          <w:lang w:val="fr-FR"/>
        </w:rPr>
        <w:t xml:space="preserve"> 107 sauf pour les trajets de propagation dont le point milieu est situé dans la partie de la Région 3 se trouvant au sud du parallèle </w:t>
      </w:r>
      <w:r>
        <w:rPr>
          <w:rFonts w:ascii="Symbol" w:hAnsi="Symbol"/>
        </w:rPr>
        <w:t></w:t>
      </w:r>
      <w:r>
        <w:rPr>
          <w:rFonts w:ascii="Symbol" w:hAnsi="Symbol"/>
        </w:rPr>
        <w:t></w:t>
      </w:r>
      <w:r>
        <w:rPr>
          <w:rFonts w:ascii="Symbol" w:hAnsi="Symbol"/>
        </w:rPr>
        <w:t></w:t>
      </w:r>
      <w:r>
        <w:rPr>
          <w:lang w:val="fr-FR"/>
        </w:rPr>
        <w:t xml:space="preserve"> S. Dans ces cas, </w:t>
      </w:r>
      <w:r>
        <w:rPr>
          <w:i/>
          <w:lang w:val="fr-FR"/>
        </w:rPr>
        <w:t>A</w:t>
      </w:r>
      <w:r>
        <w:rPr>
          <w:lang w:val="fr-FR"/>
        </w:rPr>
        <w:t> </w:t>
      </w:r>
      <w:r>
        <w:rPr>
          <w:rFonts w:ascii="Symbol" w:hAnsi="Symbol"/>
        </w:rPr>
        <w:t></w:t>
      </w:r>
      <w:r>
        <w:rPr>
          <w:lang w:val="fr-FR"/>
        </w:rPr>
        <w:t> 110</w:t>
      </w:r>
    </w:p>
    <w:p w:rsidR="00BF4497" w:rsidRDefault="00BF4497" w:rsidP="00BF4497">
      <w:pPr>
        <w:pStyle w:val="Equationlegend"/>
        <w:rPr>
          <w:lang w:val="fr-FR"/>
        </w:rPr>
      </w:pPr>
      <w:r>
        <w:rPr>
          <w:i/>
          <w:lang w:val="fr-FR"/>
        </w:rPr>
        <w:tab/>
        <w:t>L</w:t>
      </w:r>
      <w:r>
        <w:rPr>
          <w:i/>
          <w:vertAlign w:val="subscript"/>
          <w:lang w:val="fr-FR"/>
        </w:rPr>
        <w:t>a</w:t>
      </w:r>
      <w:r>
        <w:rPr>
          <w:rFonts w:ascii="Tms Rmn" w:hAnsi="Tms Rmn"/>
          <w:sz w:val="12"/>
          <w:lang w:val="fr-FR"/>
        </w:rPr>
        <w:t> </w:t>
      </w:r>
      <w:r>
        <w:rPr>
          <w:lang w:val="fr-FR"/>
        </w:rPr>
        <w:t>:</w:t>
      </w:r>
      <w:r>
        <w:rPr>
          <w:lang w:val="fr-FR"/>
        </w:rPr>
        <w:tab/>
        <w:t>coefficient d'affaiblissement tenant compte de l'absorption ionosphérique et de facteurs connexes (voir le § 2.6)</w:t>
      </w:r>
    </w:p>
    <w:p w:rsidR="00BF4497" w:rsidRDefault="00BF4497" w:rsidP="00BF4497">
      <w:pPr>
        <w:pStyle w:val="Equationlegend"/>
        <w:rPr>
          <w:lang w:val="fr-FR"/>
        </w:rPr>
      </w:pPr>
      <w:r>
        <w:rPr>
          <w:i/>
          <w:lang w:val="fr-FR"/>
        </w:rPr>
        <w:tab/>
        <w:t>L</w:t>
      </w:r>
      <w:r>
        <w:rPr>
          <w:i/>
          <w:vertAlign w:val="subscript"/>
          <w:lang w:val="fr-FR"/>
        </w:rPr>
        <w:t>t</w:t>
      </w:r>
      <w:r>
        <w:rPr>
          <w:rFonts w:ascii="Tms Rmn" w:hAnsi="Tms Rmn"/>
          <w:sz w:val="12"/>
          <w:lang w:val="fr-FR"/>
        </w:rPr>
        <w:t> </w:t>
      </w:r>
      <w:r>
        <w:rPr>
          <w:lang w:val="fr-FR"/>
        </w:rPr>
        <w:t>:</w:t>
      </w:r>
      <w:r>
        <w:rPr>
          <w:lang w:val="fr-FR"/>
        </w:rPr>
        <w:tab/>
        <w:t>coefficient d'affaiblissement horaire (dB) (voir le § 2.7)</w:t>
      </w:r>
    </w:p>
    <w:p w:rsidR="00BF4497" w:rsidRDefault="00BF4497" w:rsidP="00BF4497">
      <w:pPr>
        <w:pStyle w:val="Equationlegend"/>
        <w:rPr>
          <w:lang w:val="fr-FR"/>
        </w:rPr>
      </w:pPr>
      <w:r>
        <w:rPr>
          <w:i/>
          <w:lang w:val="fr-FR"/>
        </w:rPr>
        <w:tab/>
        <w:t>L</w:t>
      </w:r>
      <w:r>
        <w:rPr>
          <w:i/>
          <w:vertAlign w:val="subscript"/>
          <w:lang w:val="fr-FR"/>
        </w:rPr>
        <w:t>r</w:t>
      </w:r>
      <w:r>
        <w:rPr>
          <w:rFonts w:ascii="Tms Rmn" w:hAnsi="Tms Rmn"/>
          <w:sz w:val="12"/>
          <w:lang w:val="fr-FR"/>
        </w:rPr>
        <w:t> </w:t>
      </w:r>
      <w:r>
        <w:rPr>
          <w:lang w:val="fr-FR"/>
        </w:rPr>
        <w:t>:</w:t>
      </w:r>
      <w:r>
        <w:rPr>
          <w:lang w:val="fr-FR"/>
        </w:rPr>
        <w:tab/>
        <w:t>coefficient d'affaiblissement tenant compte de l'activité solaire (voir le § 2.8).</w:t>
      </w:r>
    </w:p>
    <w:p w:rsidR="00BF4497" w:rsidRDefault="00BF4497" w:rsidP="00BF4497">
      <w:r>
        <w:t xml:space="preserve">La Fig. 4 donne </w:t>
      </w:r>
      <w:r>
        <w:rPr>
          <w:i/>
        </w:rPr>
        <w:t>E</w:t>
      </w:r>
      <w:r>
        <w:rPr>
          <w:iCs/>
          <w:vertAlign w:val="subscript"/>
        </w:rPr>
        <w:t>0</w:t>
      </w:r>
      <w:r>
        <w:t xml:space="preserve"> en fonction de la distance </w:t>
      </w:r>
      <w:r>
        <w:rPr>
          <w:i/>
        </w:rPr>
        <w:t>d</w:t>
      </w:r>
      <w:r>
        <w:t xml:space="preserve"> à la surface du sol pour diverses valeurs de fréquences et pour diverses valeurs de latitude géomagnétique dans le cas où </w:t>
      </w:r>
      <w:r>
        <w:rPr>
          <w:i/>
        </w:rPr>
        <w:t>G</w:t>
      </w:r>
      <w:r>
        <w:rPr>
          <w:i/>
          <w:vertAlign w:val="subscript"/>
        </w:rPr>
        <w:t>S</w:t>
      </w:r>
      <w:r>
        <w:t xml:space="preserve">, </w:t>
      </w:r>
      <w:r>
        <w:rPr>
          <w:i/>
        </w:rPr>
        <w:t>L</w:t>
      </w:r>
      <w:r>
        <w:rPr>
          <w:i/>
          <w:vertAlign w:val="subscript"/>
        </w:rPr>
        <w:t>p</w:t>
      </w:r>
      <w:r>
        <w:t xml:space="preserve"> et </w:t>
      </w:r>
      <w:r>
        <w:rPr>
          <w:i/>
        </w:rPr>
        <w:t>R</w:t>
      </w:r>
      <w:r>
        <w:t xml:space="preserve"> sont tous égaux à zéro; </w:t>
      </w:r>
      <w:r>
        <w:rPr>
          <w:i/>
        </w:rPr>
        <w:t>R</w:t>
      </w:r>
      <w:r>
        <w:t xml:space="preserve"> étant la moyenne glissante sur 12 mois du nombre relatif international de taches solaires.</w:t>
      </w:r>
    </w:p>
    <w:p w:rsidR="00BF4497" w:rsidRDefault="00BF4497" w:rsidP="00BF4497">
      <w:pPr>
        <w:pStyle w:val="Heading2"/>
      </w:pPr>
      <w:bookmarkStart w:id="4" w:name="_Toc107989257"/>
      <w:r>
        <w:t>2.1</w:t>
      </w:r>
      <w:r>
        <w:tab/>
        <w:t>Heure de référence</w:t>
      </w:r>
      <w:bookmarkEnd w:id="4"/>
    </w:p>
    <w:p w:rsidR="00BF4497" w:rsidRDefault="00BF4497" w:rsidP="00BF4497">
      <w:r>
        <w:t>On prend pour heure de référence six heures après le coucher du Soleil en un point S de la surface de la Terre. Pour les trajets inférieurs à 2</w:t>
      </w:r>
      <w:r>
        <w:rPr>
          <w:sz w:val="12"/>
        </w:rPr>
        <w:t> </w:t>
      </w:r>
      <w:r>
        <w:t>000 km, S est le point milieu du trajet. Pour les trajets plus longs, S est situé à 750 km de l'extrémité où le Soleil se couche en dernier, cette distance étant comptée le long du grand cercle.</w:t>
      </w:r>
    </w:p>
    <w:p w:rsidR="00BF4497" w:rsidRDefault="00BF4497" w:rsidP="00BF4497">
      <w:pPr>
        <w:pStyle w:val="Heading2"/>
      </w:pPr>
      <w:bookmarkStart w:id="5" w:name="_Toc107989258"/>
      <w:r>
        <w:t>2.2</w:t>
      </w:r>
      <w:r>
        <w:tab/>
        <w:t>Force cymomotrice</w:t>
      </w:r>
      <w:bookmarkEnd w:id="5"/>
    </w:p>
    <w:p w:rsidR="00BF4497" w:rsidRDefault="00BF4497" w:rsidP="00BF4497">
      <w:r>
        <w:t>La force cymomotrice</w:t>
      </w:r>
      <w:r>
        <w:rPr>
          <w:i/>
        </w:rPr>
        <w:t xml:space="preserve"> V</w:t>
      </w:r>
      <w:r>
        <w:t xml:space="preserve"> (dB(300V)) est donnée par la formule:</w:t>
      </w:r>
    </w:p>
    <w:p w:rsidR="00BF4497" w:rsidRDefault="00BF4497" w:rsidP="0023139B">
      <w:pPr>
        <w:pStyle w:val="Blanc"/>
      </w:pPr>
    </w:p>
    <w:p w:rsidR="00BF4497" w:rsidRDefault="00BF4497" w:rsidP="00BF4497">
      <w:pPr>
        <w:pStyle w:val="Equation"/>
        <w:rPr>
          <w:i/>
        </w:rPr>
      </w:pPr>
      <w:bookmarkStart w:id="6" w:name="F002"/>
      <w:r>
        <w:tab/>
      </w:r>
      <w:r>
        <w:tab/>
      </w:r>
      <w:r>
        <w:rPr>
          <w:i/>
        </w:rPr>
        <w:t>V</w:t>
      </w:r>
      <w:r>
        <w:t xml:space="preserve">  </w:t>
      </w:r>
      <w:r>
        <w:rPr>
          <w:rFonts w:ascii="Symbol" w:hAnsi="Symbol"/>
        </w:rPr>
        <w:t></w:t>
      </w:r>
      <w:r>
        <w:t xml:space="preserve">  </w:t>
      </w:r>
      <w:r>
        <w:rPr>
          <w:i/>
        </w:rPr>
        <w:t>P</w:t>
      </w:r>
      <w:r>
        <w:t xml:space="preserve">  </w:t>
      </w:r>
      <w:r>
        <w:rPr>
          <w:rFonts w:ascii="Symbol" w:hAnsi="Symbol"/>
        </w:rPr>
        <w:t></w:t>
      </w:r>
      <w:r>
        <w:t xml:space="preserve">  </w:t>
      </w:r>
      <w:r>
        <w:rPr>
          <w:i/>
        </w:rPr>
        <w:t>G</w:t>
      </w:r>
      <w:r>
        <w:rPr>
          <w:i/>
          <w:position w:val="-4"/>
          <w:sz w:val="18"/>
        </w:rPr>
        <w:t>V</w:t>
      </w:r>
      <w:r>
        <w:t xml:space="preserve">  </w:t>
      </w:r>
      <w:r>
        <w:rPr>
          <w:rFonts w:ascii="Symbol" w:hAnsi="Symbol"/>
        </w:rPr>
        <w:t></w:t>
      </w:r>
      <w:r>
        <w:t xml:space="preserve">  </w:t>
      </w:r>
      <w:r>
        <w:rPr>
          <w:i/>
        </w:rPr>
        <w:t>G</w:t>
      </w:r>
      <w:r>
        <w:rPr>
          <w:i/>
          <w:position w:val="-4"/>
          <w:sz w:val="18"/>
        </w:rPr>
        <w:t>H</w:t>
      </w:r>
      <w:r>
        <w:tab/>
        <w:t>(2)</w:t>
      </w:r>
      <w:bookmarkEnd w:id="6"/>
    </w:p>
    <w:p w:rsidR="00BF4497" w:rsidRDefault="00BF4497" w:rsidP="00BF4497">
      <w:r>
        <w:t>où:</w:t>
      </w:r>
    </w:p>
    <w:p w:rsidR="00BF4497" w:rsidRPr="00C63173" w:rsidRDefault="00BF4497" w:rsidP="00BF4497">
      <w:pPr>
        <w:pStyle w:val="Equationlegend"/>
        <w:rPr>
          <w:lang w:val="fr-FR"/>
        </w:rPr>
      </w:pPr>
      <w:r w:rsidRPr="00C63173">
        <w:rPr>
          <w:i/>
          <w:lang w:val="fr-FR"/>
        </w:rPr>
        <w:tab/>
        <w:t>P</w:t>
      </w:r>
      <w:r w:rsidRPr="00C63173">
        <w:rPr>
          <w:rFonts w:ascii="Tms Rmn" w:hAnsi="Tms Rmn"/>
          <w:sz w:val="12"/>
          <w:lang w:val="fr-FR"/>
        </w:rPr>
        <w:t> </w:t>
      </w:r>
      <w:r w:rsidRPr="00C63173">
        <w:rPr>
          <w:lang w:val="fr-FR"/>
        </w:rPr>
        <w:t>:</w:t>
      </w:r>
      <w:r w:rsidRPr="00C63173">
        <w:rPr>
          <w:lang w:val="fr-FR"/>
        </w:rPr>
        <w:tab/>
        <w:t>puissance rayonnée (dB(1 kW))</w:t>
      </w:r>
    </w:p>
    <w:p w:rsidR="00BF4497" w:rsidRDefault="00BF4497" w:rsidP="00BF4497">
      <w:pPr>
        <w:pStyle w:val="Equationlegend"/>
        <w:rPr>
          <w:lang w:val="fr-FR"/>
        </w:rPr>
      </w:pPr>
      <w:r w:rsidRPr="00C63173">
        <w:rPr>
          <w:i/>
          <w:lang w:val="fr-FR"/>
        </w:rPr>
        <w:lastRenderedPageBreak/>
        <w:tab/>
      </w:r>
      <w:r>
        <w:rPr>
          <w:i/>
          <w:lang w:val="fr-FR"/>
        </w:rPr>
        <w:t>G</w:t>
      </w:r>
      <w:r>
        <w:rPr>
          <w:i/>
          <w:vertAlign w:val="subscript"/>
          <w:lang w:val="fr-FR"/>
        </w:rPr>
        <w:t>V</w:t>
      </w:r>
      <w:r>
        <w:rPr>
          <w:rFonts w:ascii="Tms Rmn" w:hAnsi="Tms Rmn"/>
          <w:sz w:val="12"/>
          <w:lang w:val="fr-FR"/>
        </w:rPr>
        <w:t> </w:t>
      </w:r>
      <w:r>
        <w:rPr>
          <w:lang w:val="fr-FR"/>
        </w:rPr>
        <w:t>:</w:t>
      </w:r>
      <w:r>
        <w:rPr>
          <w:lang w:val="fr-FR"/>
        </w:rPr>
        <w:tab/>
        <w:t>gain de l'antenne d'émission dû à la directivité verticale (dB) (voir la Fig. 1)</w:t>
      </w:r>
    </w:p>
    <w:p w:rsidR="00BF4497" w:rsidRDefault="00BF4497" w:rsidP="00BF4497">
      <w:pPr>
        <w:pStyle w:val="Equationlegend"/>
        <w:spacing w:line="270" w:lineRule="exact"/>
        <w:rPr>
          <w:lang w:val="fr-FR"/>
        </w:rPr>
      </w:pPr>
      <w:r>
        <w:rPr>
          <w:i/>
          <w:lang w:val="fr-FR"/>
        </w:rPr>
        <w:tab/>
        <w:t>G</w:t>
      </w:r>
      <w:r>
        <w:rPr>
          <w:i/>
          <w:vertAlign w:val="subscript"/>
          <w:lang w:val="fr-FR"/>
        </w:rPr>
        <w:t>H</w:t>
      </w:r>
      <w:r>
        <w:rPr>
          <w:rFonts w:ascii="Tms Rmn" w:hAnsi="Tms Rmn"/>
          <w:sz w:val="12"/>
          <w:lang w:val="fr-FR"/>
        </w:rPr>
        <w:t> </w:t>
      </w:r>
      <w:r>
        <w:rPr>
          <w:lang w:val="fr-FR"/>
        </w:rPr>
        <w:t>:</w:t>
      </w:r>
      <w:r>
        <w:rPr>
          <w:lang w:val="fr-FR"/>
        </w:rPr>
        <w:tab/>
        <w:t>gain de l'antenne d'émission dû à la directivité horizontale (dB). Pour les antennes directives,</w:t>
      </w:r>
      <w:r>
        <w:rPr>
          <w:i/>
          <w:lang w:val="fr-FR"/>
        </w:rPr>
        <w:t xml:space="preserve"> G</w:t>
      </w:r>
      <w:r>
        <w:rPr>
          <w:i/>
          <w:vertAlign w:val="subscript"/>
          <w:lang w:val="fr-FR"/>
        </w:rPr>
        <w:t>H</w:t>
      </w:r>
      <w:r>
        <w:rPr>
          <w:lang w:val="fr-FR"/>
        </w:rPr>
        <w:t xml:space="preserve"> est fonction de l'azimut. Pour les antennes omnidirectives,</w:t>
      </w:r>
      <w:r>
        <w:rPr>
          <w:i/>
          <w:lang w:val="fr-FR"/>
        </w:rPr>
        <w:t xml:space="preserve"> G</w:t>
      </w:r>
      <w:r>
        <w:rPr>
          <w:i/>
          <w:vertAlign w:val="subscript"/>
          <w:lang w:val="fr-FR"/>
        </w:rPr>
        <w:t>H</w:t>
      </w:r>
      <w:r>
        <w:rPr>
          <w:lang w:val="fr-FR"/>
        </w:rPr>
        <w:t> </w:t>
      </w:r>
      <w:r>
        <w:rPr>
          <w:rFonts w:ascii="Symbol" w:hAnsi="Symbol"/>
        </w:rPr>
        <w:t></w:t>
      </w:r>
      <w:r>
        <w:rPr>
          <w:lang w:val="fr-FR"/>
        </w:rPr>
        <w:t> 0.</w:t>
      </w:r>
    </w:p>
    <w:p w:rsidR="00BF4497" w:rsidRDefault="00BF4497" w:rsidP="00BF4497">
      <w:pPr>
        <w:pStyle w:val="Heading2"/>
      </w:pPr>
      <w:bookmarkStart w:id="7" w:name="_Toc107989259"/>
      <w:r>
        <w:t>2.3</w:t>
      </w:r>
      <w:r>
        <w:tab/>
        <w:t>Gain dû à la proximité de la mer</w:t>
      </w:r>
      <w:bookmarkEnd w:id="7"/>
    </w:p>
    <w:p w:rsidR="00BF4497" w:rsidRDefault="00BF4497" w:rsidP="00BF4497">
      <w:r>
        <w:t xml:space="preserve">Le gain dû à la proximité de la mer, </w:t>
      </w:r>
      <w:r>
        <w:rPr>
          <w:i/>
        </w:rPr>
        <w:t>G</w:t>
      </w:r>
      <w:r>
        <w:rPr>
          <w:i/>
          <w:vertAlign w:val="subscript"/>
        </w:rPr>
        <w:t>S</w:t>
      </w:r>
      <w:r>
        <w:t>, est le gain supplémentaire qui se manifeste lorsque l'une ou l'autre des extrémités du trajet (ou les deux) sont situées près de la mer; il ne s'applique pas dans le cas de la propagation au</w:t>
      </w:r>
      <w:r>
        <w:noBreakHyphen/>
        <w:t>dessus de l'eau douce. Si une seule des deux extrémités est située près de la mer:</w:t>
      </w:r>
    </w:p>
    <w:p w:rsidR="00BF4497" w:rsidRPr="00C63173" w:rsidRDefault="00BF4497" w:rsidP="00BF4497">
      <w:pPr>
        <w:pStyle w:val="Equation"/>
        <w:tabs>
          <w:tab w:val="clear" w:pos="4820"/>
          <w:tab w:val="left" w:pos="1985"/>
          <w:tab w:val="left" w:pos="4876"/>
          <w:tab w:val="left" w:pos="6124"/>
        </w:tabs>
      </w:pPr>
      <w:r w:rsidRPr="003116FB">
        <w:tab/>
      </w:r>
      <w:r w:rsidRPr="003116FB">
        <w:tab/>
      </w:r>
      <w:r w:rsidRPr="00C63173">
        <w:rPr>
          <w:i/>
          <w:iCs/>
        </w:rPr>
        <w:t>G</w:t>
      </w:r>
      <w:r w:rsidRPr="00C63173">
        <w:rPr>
          <w:i/>
          <w:iCs/>
          <w:vertAlign w:val="subscript"/>
        </w:rPr>
        <w:t>S</w:t>
      </w:r>
      <w:r w:rsidRPr="00C63173">
        <w:t xml:space="preserve">  =  </w:t>
      </w:r>
      <w:r w:rsidRPr="00C63173">
        <w:rPr>
          <w:i/>
          <w:iCs/>
        </w:rPr>
        <w:t>G</w:t>
      </w:r>
      <w:r w:rsidRPr="00C63173">
        <w:rPr>
          <w:vertAlign w:val="subscript"/>
        </w:rPr>
        <w:t>0</w:t>
      </w:r>
      <w:r w:rsidRPr="00C63173">
        <w:t xml:space="preserve">  –  </w:t>
      </w:r>
      <w:r w:rsidRPr="00C63173">
        <w:rPr>
          <w:i/>
          <w:iCs/>
        </w:rPr>
        <w:t>c</w:t>
      </w:r>
      <w:r w:rsidRPr="00C63173">
        <w:rPr>
          <w:vertAlign w:val="subscript"/>
        </w:rPr>
        <w:t>1</w:t>
      </w:r>
      <w:r w:rsidRPr="00C63173">
        <w:t xml:space="preserve">  –  </w:t>
      </w:r>
      <w:r w:rsidRPr="00C63173">
        <w:rPr>
          <w:i/>
          <w:iCs/>
        </w:rPr>
        <w:t>c</w:t>
      </w:r>
      <w:r w:rsidRPr="00C63173">
        <w:rPr>
          <w:vertAlign w:val="subscript"/>
        </w:rPr>
        <w:t>2</w:t>
      </w:r>
      <w:r w:rsidRPr="00C63173">
        <w:tab/>
        <w:t>pour</w:t>
      </w:r>
      <w:r w:rsidRPr="00C63173">
        <w:tab/>
        <w:t>(</w:t>
      </w:r>
      <w:r w:rsidRPr="00C63173">
        <w:rPr>
          <w:i/>
          <w:iCs/>
        </w:rPr>
        <w:t>c</w:t>
      </w:r>
      <w:r w:rsidRPr="00C63173">
        <w:rPr>
          <w:vertAlign w:val="subscript"/>
        </w:rPr>
        <w:t>1</w:t>
      </w:r>
      <w:r w:rsidRPr="00C63173">
        <w:t xml:space="preserve">  +  </w:t>
      </w:r>
      <w:r w:rsidRPr="00C63173">
        <w:rPr>
          <w:i/>
          <w:iCs/>
        </w:rPr>
        <w:t>c</w:t>
      </w:r>
      <w:r w:rsidRPr="00C63173">
        <w:rPr>
          <w:vertAlign w:val="subscript"/>
        </w:rPr>
        <w:t>2</w:t>
      </w:r>
      <w:r w:rsidRPr="00C63173">
        <w:t xml:space="preserve">)  &lt;  </w:t>
      </w:r>
      <w:r w:rsidRPr="00C63173">
        <w:rPr>
          <w:i/>
          <w:iCs/>
        </w:rPr>
        <w:t>G</w:t>
      </w:r>
      <w:r w:rsidRPr="00C63173">
        <w:rPr>
          <w:vertAlign w:val="subscript"/>
        </w:rPr>
        <w:t>0</w:t>
      </w:r>
      <w:r w:rsidRPr="00C63173">
        <w:tab/>
        <w:t>(3)</w:t>
      </w:r>
    </w:p>
    <w:p w:rsidR="00BF4497" w:rsidRPr="003116FB" w:rsidRDefault="00BF4497" w:rsidP="00BF4497">
      <w:pPr>
        <w:pStyle w:val="Equation"/>
        <w:tabs>
          <w:tab w:val="clear" w:pos="4820"/>
          <w:tab w:val="left" w:pos="1985"/>
          <w:tab w:val="left" w:pos="4876"/>
          <w:tab w:val="left" w:pos="6124"/>
        </w:tabs>
        <w:rPr>
          <w:i/>
          <w:iCs/>
        </w:rPr>
      </w:pPr>
      <w:r w:rsidRPr="00C63173">
        <w:tab/>
      </w:r>
      <w:r w:rsidRPr="00C63173">
        <w:tab/>
      </w:r>
      <w:r w:rsidRPr="003116FB">
        <w:rPr>
          <w:i/>
          <w:iCs/>
        </w:rPr>
        <w:t>G</w:t>
      </w:r>
      <w:r w:rsidRPr="003116FB">
        <w:rPr>
          <w:i/>
          <w:iCs/>
          <w:vertAlign w:val="subscript"/>
        </w:rPr>
        <w:t>S</w:t>
      </w:r>
      <w:r w:rsidRPr="003116FB">
        <w:t xml:space="preserve">  =  0</w:t>
      </w:r>
      <w:r w:rsidRPr="003116FB">
        <w:tab/>
        <w:t>pour</w:t>
      </w:r>
      <w:r w:rsidRPr="003116FB">
        <w:tab/>
        <w:t>(</w:t>
      </w:r>
      <w:r w:rsidRPr="003116FB">
        <w:rPr>
          <w:i/>
          <w:iCs/>
        </w:rPr>
        <w:t>c</w:t>
      </w:r>
      <w:r w:rsidRPr="003116FB">
        <w:rPr>
          <w:vertAlign w:val="subscript"/>
        </w:rPr>
        <w:t>1</w:t>
      </w:r>
      <w:r w:rsidRPr="003116FB">
        <w:t xml:space="preserve">  +  </w:t>
      </w:r>
      <w:r w:rsidRPr="003116FB">
        <w:rPr>
          <w:i/>
          <w:iCs/>
        </w:rPr>
        <w:t>c</w:t>
      </w:r>
      <w:r w:rsidRPr="003116FB">
        <w:rPr>
          <w:vertAlign w:val="subscript"/>
        </w:rPr>
        <w:t>2</w:t>
      </w:r>
      <w:r w:rsidRPr="003116FB">
        <w:t xml:space="preserve">)  </w:t>
      </w:r>
      <w:r>
        <w:rPr>
          <w:lang w:val="en-GB"/>
        </w:rPr>
        <w:sym w:font="Symbol" w:char="F0B3"/>
      </w:r>
      <w:r w:rsidRPr="003116FB">
        <w:t xml:space="preserve">  </w:t>
      </w:r>
      <w:r w:rsidRPr="003116FB">
        <w:rPr>
          <w:i/>
          <w:iCs/>
        </w:rPr>
        <w:t>G</w:t>
      </w:r>
      <w:r w:rsidRPr="003116FB">
        <w:rPr>
          <w:vertAlign w:val="subscript"/>
        </w:rPr>
        <w:t>0</w:t>
      </w:r>
      <w:r w:rsidRPr="003116FB">
        <w:tab/>
        <w:t>(4)</w:t>
      </w:r>
    </w:p>
    <w:p w:rsidR="00BF4497" w:rsidRPr="003116FB" w:rsidRDefault="00BF4497" w:rsidP="00BF4497">
      <w:r w:rsidRPr="003116FB">
        <w:t>où:</w:t>
      </w:r>
    </w:p>
    <w:p w:rsidR="00BF4497" w:rsidRDefault="00BF4497" w:rsidP="00BF4497">
      <w:pPr>
        <w:pStyle w:val="Equationlegend"/>
        <w:rPr>
          <w:lang w:val="fr-FR"/>
        </w:rPr>
      </w:pPr>
      <w:r w:rsidRPr="003116FB">
        <w:rPr>
          <w:i/>
          <w:lang w:val="fr-FR"/>
        </w:rPr>
        <w:tab/>
      </w:r>
      <w:r>
        <w:rPr>
          <w:i/>
          <w:lang w:val="fr-FR"/>
        </w:rPr>
        <w:t>G</w:t>
      </w:r>
      <w:r>
        <w:rPr>
          <w:iCs/>
          <w:vertAlign w:val="subscript"/>
          <w:lang w:val="fr-FR"/>
        </w:rPr>
        <w:t>0</w:t>
      </w:r>
      <w:r>
        <w:rPr>
          <w:rFonts w:ascii="Tms Rmn" w:hAnsi="Tms Rmn"/>
          <w:sz w:val="12"/>
          <w:lang w:val="fr-FR"/>
        </w:rPr>
        <w:t> </w:t>
      </w:r>
      <w:r>
        <w:rPr>
          <w:lang w:val="fr-FR"/>
        </w:rPr>
        <w:t>:</w:t>
      </w:r>
      <w:r>
        <w:rPr>
          <w:lang w:val="fr-FR"/>
        </w:rPr>
        <w:tab/>
        <w:t>gain dû à la proximité de la mer (dB), dans le cas où l'extrémité est située sur la côte et où le trajet n'est pas occulté par un autre segment terrestre</w:t>
      </w:r>
    </w:p>
    <w:p w:rsidR="00BF4497" w:rsidRDefault="00BF4497" w:rsidP="00BF4497">
      <w:pPr>
        <w:pStyle w:val="Equationlegend"/>
        <w:rPr>
          <w:lang w:val="fr-FR"/>
        </w:rPr>
      </w:pPr>
      <w:r>
        <w:rPr>
          <w:i/>
          <w:lang w:val="fr-FR"/>
        </w:rPr>
        <w:tab/>
        <w:t>c</w:t>
      </w:r>
      <w:r>
        <w:rPr>
          <w:iCs/>
          <w:vertAlign w:val="subscript"/>
          <w:lang w:val="fr-FR"/>
        </w:rPr>
        <w:t>1</w:t>
      </w:r>
      <w:r>
        <w:rPr>
          <w:rFonts w:ascii="Tms Rmn" w:hAnsi="Tms Rmn"/>
          <w:sz w:val="12"/>
          <w:lang w:val="fr-FR"/>
        </w:rPr>
        <w:t> </w:t>
      </w:r>
      <w:r>
        <w:rPr>
          <w:lang w:val="fr-FR"/>
        </w:rPr>
        <w:t>:</w:t>
      </w:r>
      <w:r>
        <w:rPr>
          <w:lang w:val="fr-FR"/>
        </w:rPr>
        <w:tab/>
        <w:t>correction destinée à tenir compte de la distance entre l'extrémité et la mer</w:t>
      </w:r>
    </w:p>
    <w:p w:rsidR="00BF4497" w:rsidRDefault="00BF4497" w:rsidP="00BF4497">
      <w:pPr>
        <w:pStyle w:val="Equationlegend"/>
        <w:rPr>
          <w:lang w:val="fr-FR"/>
        </w:rPr>
      </w:pPr>
      <w:r>
        <w:rPr>
          <w:i/>
          <w:lang w:val="fr-FR"/>
        </w:rPr>
        <w:tab/>
        <w:t>c</w:t>
      </w:r>
      <w:r>
        <w:rPr>
          <w:iCs/>
          <w:vertAlign w:val="subscript"/>
          <w:lang w:val="fr-FR"/>
        </w:rPr>
        <w:t>2</w:t>
      </w:r>
      <w:r>
        <w:rPr>
          <w:rFonts w:ascii="Tms Rmn" w:hAnsi="Tms Rmn"/>
          <w:sz w:val="12"/>
          <w:lang w:val="fr-FR"/>
        </w:rPr>
        <w:t> </w:t>
      </w:r>
      <w:r>
        <w:rPr>
          <w:lang w:val="fr-FR"/>
        </w:rPr>
        <w:t>:</w:t>
      </w:r>
      <w:r>
        <w:rPr>
          <w:lang w:val="fr-FR"/>
        </w:rPr>
        <w:tab/>
        <w:t>correction destinée à tenir compte de la largeur d'un ou plusieurs bras de mer ou de la présence d'îles.</w:t>
      </w:r>
    </w:p>
    <w:p w:rsidR="00BF4497" w:rsidRDefault="00BF4497" w:rsidP="00BF4497">
      <w:r>
        <w:t>Si les extrémités du trajet sont toutes deux situées près de la mer,</w:t>
      </w:r>
      <w:r>
        <w:rPr>
          <w:i/>
        </w:rPr>
        <w:t xml:space="preserve"> G</w:t>
      </w:r>
      <w:r>
        <w:rPr>
          <w:i/>
          <w:vertAlign w:val="subscript"/>
        </w:rPr>
        <w:t>S</w:t>
      </w:r>
      <w:r>
        <w:t xml:space="preserve"> est la somme des valeurs pour chacune d'elles.</w:t>
      </w:r>
    </w:p>
    <w:p w:rsidR="00BF4497" w:rsidRDefault="00BF4497" w:rsidP="00BF4497">
      <w:pPr>
        <w:spacing w:line="270" w:lineRule="exact"/>
      </w:pPr>
      <w:r>
        <w:rPr>
          <w:i/>
        </w:rPr>
        <w:t>G</w:t>
      </w:r>
      <w:r>
        <w:rPr>
          <w:iCs/>
          <w:vertAlign w:val="subscript"/>
        </w:rPr>
        <w:t>0</w:t>
      </w:r>
      <w:r>
        <w:t xml:space="preserve"> est donné, sur la Fig. 2, en fonction de</w:t>
      </w:r>
      <w:r>
        <w:rPr>
          <w:i/>
        </w:rPr>
        <w:t xml:space="preserve"> d</w:t>
      </w:r>
      <w:r>
        <w:t xml:space="preserve"> pour les bandes des ondes kilométriques et hectométriques. Dans la bande des ondes hectométriques,</w:t>
      </w:r>
      <w:r>
        <w:rPr>
          <w:i/>
        </w:rPr>
        <w:t xml:space="preserve"> G</w:t>
      </w:r>
      <w:r>
        <w:rPr>
          <w:iCs/>
          <w:vertAlign w:val="subscript"/>
        </w:rPr>
        <w:t>0</w:t>
      </w:r>
      <w:r>
        <w:t> </w:t>
      </w:r>
      <w:r>
        <w:rPr>
          <w:rFonts w:ascii="Symbol" w:hAnsi="Symbol"/>
        </w:rPr>
        <w:t></w:t>
      </w:r>
      <w:r>
        <w:t> 10 dB lorsque</w:t>
      </w:r>
      <w:r>
        <w:rPr>
          <w:i/>
        </w:rPr>
        <w:t xml:space="preserve"> d</w:t>
      </w:r>
      <w:r>
        <w:t xml:space="preserve"> est supérieur à 6</w:t>
      </w:r>
      <w:r>
        <w:rPr>
          <w:sz w:val="12"/>
        </w:rPr>
        <w:t> </w:t>
      </w:r>
      <w:r>
        <w:t xml:space="preserve">500 km. Dans la bande des ondes kilométriques, </w:t>
      </w:r>
      <w:r>
        <w:rPr>
          <w:i/>
        </w:rPr>
        <w:t>G</w:t>
      </w:r>
      <w:r>
        <w:rPr>
          <w:iCs/>
          <w:vertAlign w:val="subscript"/>
        </w:rPr>
        <w:t>0</w:t>
      </w:r>
      <w:r>
        <w:t> </w:t>
      </w:r>
      <w:r>
        <w:rPr>
          <w:rFonts w:ascii="Symbol" w:hAnsi="Symbol"/>
        </w:rPr>
        <w:t></w:t>
      </w:r>
      <w:r>
        <w:t xml:space="preserve"> 4,1 dB lorsque </w:t>
      </w:r>
      <w:r>
        <w:rPr>
          <w:i/>
        </w:rPr>
        <w:t>d</w:t>
      </w:r>
      <w:r>
        <w:t xml:space="preserve"> est supérieur à 5</w:t>
      </w:r>
      <w:r>
        <w:rPr>
          <w:sz w:val="12"/>
        </w:rPr>
        <w:t> </w:t>
      </w:r>
      <w:r>
        <w:t xml:space="preserve">000 km, où </w:t>
      </w:r>
      <w:r>
        <w:rPr>
          <w:i/>
        </w:rPr>
        <w:t>d</w:t>
      </w:r>
      <w:r>
        <w:t xml:space="preserve"> est la distance à la surface du sol entre les deux extrémités.</w:t>
      </w:r>
    </w:p>
    <w:p w:rsidR="00BF4497" w:rsidRDefault="00BF4497" w:rsidP="00BF4497">
      <w:r>
        <w:t>Le facteur de correction</w:t>
      </w:r>
      <w:r>
        <w:rPr>
          <w:i/>
        </w:rPr>
        <w:t xml:space="preserve"> c</w:t>
      </w:r>
      <w:r>
        <w:rPr>
          <w:iCs/>
          <w:vertAlign w:val="subscript"/>
        </w:rPr>
        <w:t>1</w:t>
      </w:r>
      <w:r>
        <w:t xml:space="preserve"> est donné par:</w:t>
      </w:r>
    </w:p>
    <w:p w:rsidR="0023139B" w:rsidRDefault="0023139B" w:rsidP="0023139B">
      <w:pPr>
        <w:pStyle w:val="Blanc"/>
      </w:pPr>
    </w:p>
    <w:p w:rsidR="00BF4497" w:rsidRPr="003116FB" w:rsidRDefault="00BF4497" w:rsidP="00BF4497">
      <w:pPr>
        <w:pStyle w:val="Equation"/>
      </w:pPr>
      <w:r w:rsidRPr="003116FB">
        <w:tab/>
      </w:r>
      <w:r w:rsidRPr="003116FB">
        <w:tab/>
      </w:r>
      <w:r>
        <w:rPr>
          <w:position w:val="-30"/>
          <w:lang w:val="en-GB"/>
        </w:rPr>
        <w:object w:dxaOrig="10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pt;height:34.15pt" o:ole="">
            <v:imagedata r:id="rId6" o:title=""/>
          </v:shape>
          <o:OLEObject Type="Embed" ProgID="Equation.3" ShapeID="_x0000_i1025" DrawAspect="Content" ObjectID="_1494312922" r:id="rId7"/>
        </w:object>
      </w:r>
      <w:r w:rsidRPr="003116FB">
        <w:tab/>
        <w:t>(5)</w:t>
      </w:r>
    </w:p>
    <w:p w:rsidR="00BF4497" w:rsidRDefault="00BF4497" w:rsidP="00BF4497">
      <w:r>
        <w:t>où:</w:t>
      </w:r>
    </w:p>
    <w:p w:rsidR="00BF4497" w:rsidRDefault="00BF4497" w:rsidP="00BF4497">
      <w:pPr>
        <w:pStyle w:val="enumlev1"/>
        <w:tabs>
          <w:tab w:val="clear" w:pos="794"/>
          <w:tab w:val="clear" w:pos="1191"/>
          <w:tab w:val="clear" w:pos="1588"/>
          <w:tab w:val="clear" w:pos="1985"/>
          <w:tab w:val="left" w:pos="397"/>
          <w:tab w:val="left" w:pos="851"/>
          <w:tab w:val="left" w:pos="1304"/>
        </w:tabs>
        <w:spacing w:before="86"/>
        <w:ind w:left="1440" w:hanging="1440"/>
      </w:pPr>
      <w:r>
        <w:rPr>
          <w:i/>
        </w:rPr>
        <w:tab/>
        <w:t>s</w:t>
      </w:r>
      <w:r>
        <w:rPr>
          <w:iCs/>
          <w:vertAlign w:val="subscript"/>
        </w:rPr>
        <w:t>1</w:t>
      </w:r>
      <w:r>
        <w:rPr>
          <w:rFonts w:ascii="Tms Rmn" w:hAnsi="Tms Rmn"/>
          <w:position w:val="-4"/>
          <w:sz w:val="12"/>
        </w:rPr>
        <w:t> </w:t>
      </w:r>
      <w:r>
        <w:t>:</w:t>
      </w:r>
      <w:r>
        <w:tab/>
        <w:t>distance de l'extrémité à la mer, mesurée le long de l'arc de grand cercle (km)</w:t>
      </w:r>
    </w:p>
    <w:p w:rsidR="00743A15" w:rsidRDefault="00743A15" w:rsidP="00743A15">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r>
      <w:r w:rsidRPr="001F4C47">
        <w:rPr>
          <w:position w:val="-30"/>
          <w:lang w:val="en-GB"/>
        </w:rPr>
        <w:object w:dxaOrig="1280" w:dyaOrig="760">
          <v:shape id="_x0000_i1026" type="#_x0000_t75" style="width:64.1pt;height:37.85pt" o:ole="">
            <v:imagedata r:id="rId8" o:title=""/>
          </v:shape>
          <o:OLEObject Type="Embed" ProgID="Equation.3" ShapeID="_x0000_i1026" DrawAspect="Content" ObjectID="_1494312923" r:id="rId9"/>
        </w:object>
      </w:r>
      <w:r>
        <w:rPr>
          <w:lang w:val="en-GB"/>
        </w:rPr>
        <w:t xml:space="preserve"> km</w:t>
      </w:r>
    </w:p>
    <w:p w:rsidR="00BF4497" w:rsidRDefault="00BF4497" w:rsidP="00BF4497">
      <w:pPr>
        <w:pStyle w:val="enumlev1"/>
        <w:tabs>
          <w:tab w:val="clear" w:pos="794"/>
          <w:tab w:val="clear" w:pos="1191"/>
          <w:tab w:val="clear" w:pos="1588"/>
          <w:tab w:val="clear" w:pos="1985"/>
          <w:tab w:val="left" w:pos="397"/>
          <w:tab w:val="left" w:pos="851"/>
          <w:tab w:val="left" w:pos="1304"/>
        </w:tabs>
        <w:spacing w:before="86"/>
        <w:ind w:left="1440" w:hanging="1440"/>
      </w:pPr>
      <w:r>
        <w:rPr>
          <w:i/>
        </w:rPr>
        <w:tab/>
      </w:r>
      <w:r>
        <w:rPr>
          <w:i/>
        </w:rPr>
        <w:tab/>
        <w:t>f</w:t>
      </w:r>
      <w:r>
        <w:rPr>
          <w:rFonts w:ascii="Tms Rmn" w:hAnsi="Tms Rmn"/>
          <w:position w:val="-4"/>
          <w:sz w:val="12"/>
        </w:rPr>
        <w:t> </w:t>
      </w:r>
      <w:r>
        <w:t>:</w:t>
      </w:r>
      <w:r>
        <w:tab/>
        <w:t>fréquence (kHz)</w:t>
      </w:r>
    </w:p>
    <w:p w:rsidR="00BF4497" w:rsidRDefault="00BF4497" w:rsidP="00BF4497">
      <w:pPr>
        <w:pStyle w:val="enumlev1"/>
        <w:tabs>
          <w:tab w:val="clear" w:pos="794"/>
          <w:tab w:val="clear" w:pos="1191"/>
          <w:tab w:val="clear" w:pos="1588"/>
          <w:tab w:val="clear" w:pos="1985"/>
          <w:tab w:val="left" w:pos="397"/>
          <w:tab w:val="left" w:pos="851"/>
          <w:tab w:val="left" w:pos="1428"/>
        </w:tabs>
        <w:spacing w:before="86"/>
        <w:ind w:left="1440" w:hanging="1440"/>
      </w:pPr>
      <w:r>
        <w:rPr>
          <w:i/>
        </w:rPr>
        <w:tab/>
      </w:r>
      <w:r>
        <w:rPr>
          <w:i/>
        </w:rPr>
        <w:tab/>
        <w:t>Q</w:t>
      </w:r>
      <w:r>
        <w:rPr>
          <w:iCs/>
          <w:vertAlign w:val="subscript"/>
        </w:rPr>
        <w:t>1</w:t>
      </w:r>
      <w:r>
        <w:t xml:space="preserve"> </w:t>
      </w:r>
      <w:r>
        <w:rPr>
          <w:rFonts w:ascii="Symbol" w:hAnsi="Symbol"/>
        </w:rPr>
        <w:t></w:t>
      </w:r>
      <w:r>
        <w:rPr>
          <w:rFonts w:ascii="Symbol" w:hAnsi="Symbol"/>
        </w:rPr>
        <w:tab/>
      </w:r>
      <w:r>
        <w:t>0,30 dans la bande des ondes kilométriques et 1,4 dans la bande des ondes hectométriques.</w:t>
      </w:r>
    </w:p>
    <w:p w:rsidR="00BF4497" w:rsidRDefault="00BF4497" w:rsidP="00BF4497">
      <w:r>
        <w:t>Le facteur de correction</w:t>
      </w:r>
      <w:r>
        <w:rPr>
          <w:i/>
        </w:rPr>
        <w:t xml:space="preserve"> c</w:t>
      </w:r>
      <w:r>
        <w:rPr>
          <w:iCs/>
          <w:vertAlign w:val="subscript"/>
        </w:rPr>
        <w:t>2</w:t>
      </w:r>
      <w:r>
        <w:t xml:space="preserve"> est donné par:</w:t>
      </w:r>
    </w:p>
    <w:p w:rsidR="0023139B" w:rsidRDefault="0023139B" w:rsidP="0023139B">
      <w:pPr>
        <w:pStyle w:val="Blanc"/>
      </w:pPr>
    </w:p>
    <w:p w:rsidR="00BF4497" w:rsidRPr="003116FB" w:rsidRDefault="00BF4497" w:rsidP="00BF4497">
      <w:pPr>
        <w:pStyle w:val="Equation"/>
        <w:tabs>
          <w:tab w:val="clear" w:pos="4820"/>
          <w:tab w:val="left" w:pos="2410"/>
          <w:tab w:val="left" w:pos="5245"/>
          <w:tab w:val="left" w:pos="6521"/>
        </w:tabs>
      </w:pPr>
      <w:r w:rsidRPr="003116FB">
        <w:tab/>
      </w:r>
      <w:r w:rsidRPr="003116FB">
        <w:tab/>
      </w:r>
      <w:r>
        <w:rPr>
          <w:position w:val="-32"/>
          <w:lang w:val="en-GB"/>
        </w:rPr>
        <w:object w:dxaOrig="1820" w:dyaOrig="760">
          <v:shape id="_x0000_i1027" type="#_x0000_t75" style="width:91.15pt;height:37.85pt" o:ole="">
            <v:imagedata r:id="rId10" o:title=""/>
          </v:shape>
          <o:OLEObject Type="Embed" ProgID="Equation.3" ShapeID="_x0000_i1027" DrawAspect="Content" ObjectID="_1494312924" r:id="rId11"/>
        </w:object>
      </w:r>
      <w:r w:rsidRPr="003116FB">
        <w:tab/>
        <w:t>pour</w:t>
      </w:r>
      <w:r w:rsidRPr="003116FB">
        <w:tab/>
      </w:r>
      <w:r w:rsidRPr="003116FB">
        <w:rPr>
          <w:i/>
          <w:iCs/>
        </w:rPr>
        <w:t>s</w:t>
      </w:r>
      <w:r w:rsidRPr="003116FB">
        <w:rPr>
          <w:vertAlign w:val="subscript"/>
        </w:rPr>
        <w:t>2</w:t>
      </w:r>
      <w:r w:rsidRPr="003116FB">
        <w:t xml:space="preserve">  </w:t>
      </w:r>
      <w:r>
        <w:rPr>
          <w:lang w:val="en-GB"/>
        </w:rPr>
        <w:sym w:font="Symbol" w:char="F03C"/>
      </w:r>
      <w:r w:rsidRPr="003116FB">
        <w:t xml:space="preserve">  r</w:t>
      </w:r>
      <w:r w:rsidRPr="003116FB">
        <w:rPr>
          <w:vertAlign w:val="subscript"/>
        </w:rPr>
        <w:t>2</w:t>
      </w:r>
      <w:r w:rsidRPr="003116FB">
        <w:tab/>
        <w:t>(6)</w:t>
      </w:r>
    </w:p>
    <w:p w:rsidR="00BF4497" w:rsidRPr="003116FB" w:rsidRDefault="00BF4497" w:rsidP="00BF4497">
      <w:pPr>
        <w:pStyle w:val="Equation"/>
        <w:tabs>
          <w:tab w:val="clear" w:pos="4820"/>
          <w:tab w:val="left" w:pos="2410"/>
          <w:tab w:val="left" w:pos="5245"/>
          <w:tab w:val="left" w:pos="6521"/>
        </w:tabs>
      </w:pPr>
      <w:r w:rsidRPr="003116FB">
        <w:tab/>
      </w:r>
      <w:r w:rsidRPr="003116FB">
        <w:tab/>
      </w:r>
      <w:r>
        <w:rPr>
          <w:position w:val="-10"/>
          <w:lang w:val="en-GB"/>
        </w:rPr>
        <w:object w:dxaOrig="639" w:dyaOrig="340">
          <v:shape id="_x0000_i1028" type="#_x0000_t75" style="width:32.05pt;height:17.05pt" o:ole="">
            <v:imagedata r:id="rId12" o:title=""/>
          </v:shape>
          <o:OLEObject Type="Embed" ProgID="Equation.3" ShapeID="_x0000_i1028" DrawAspect="Content" ObjectID="_1494312925" r:id="rId13"/>
        </w:object>
      </w:r>
      <w:r w:rsidRPr="003116FB">
        <w:tab/>
        <w:t>pour</w:t>
      </w:r>
      <w:r w:rsidRPr="003116FB">
        <w:tab/>
      </w:r>
      <w:r w:rsidRPr="003116FB">
        <w:rPr>
          <w:i/>
          <w:iCs/>
        </w:rPr>
        <w:t>s</w:t>
      </w:r>
      <w:r w:rsidRPr="003116FB">
        <w:rPr>
          <w:vertAlign w:val="subscript"/>
        </w:rPr>
        <w:t>2</w:t>
      </w:r>
      <w:r w:rsidRPr="003116FB">
        <w:t xml:space="preserve">  </w:t>
      </w:r>
      <w:r>
        <w:rPr>
          <w:lang w:val="en-GB"/>
        </w:rPr>
        <w:sym w:font="Symbol" w:char="F0B3"/>
      </w:r>
      <w:r w:rsidRPr="003116FB">
        <w:t xml:space="preserve">  </w:t>
      </w:r>
      <w:r w:rsidRPr="003116FB">
        <w:rPr>
          <w:i/>
          <w:iCs/>
        </w:rPr>
        <w:t>r</w:t>
      </w:r>
      <w:r w:rsidRPr="003116FB">
        <w:rPr>
          <w:vertAlign w:val="subscript"/>
        </w:rPr>
        <w:t>2</w:t>
      </w:r>
      <w:r w:rsidRPr="003116FB">
        <w:tab/>
        <w:t>(7)</w:t>
      </w:r>
    </w:p>
    <w:p w:rsidR="00BF4497" w:rsidRDefault="00BF4497" w:rsidP="00BF4497">
      <w:r>
        <w:t>où:</w:t>
      </w:r>
    </w:p>
    <w:p w:rsidR="00BF4497" w:rsidRDefault="00BF4497" w:rsidP="00BF4497">
      <w:pPr>
        <w:pStyle w:val="enumlev1"/>
        <w:tabs>
          <w:tab w:val="clear" w:pos="794"/>
          <w:tab w:val="clear" w:pos="1191"/>
          <w:tab w:val="clear" w:pos="1588"/>
          <w:tab w:val="clear" w:pos="1985"/>
          <w:tab w:val="left" w:pos="397"/>
          <w:tab w:val="left" w:pos="851"/>
        </w:tabs>
        <w:spacing w:before="86"/>
        <w:ind w:left="851" w:hanging="851"/>
      </w:pPr>
      <w:r>
        <w:rPr>
          <w:i/>
        </w:rPr>
        <w:lastRenderedPageBreak/>
        <w:tab/>
        <w:t>s</w:t>
      </w:r>
      <w:r>
        <w:rPr>
          <w:iCs/>
          <w:vertAlign w:val="subscript"/>
        </w:rPr>
        <w:t>2</w:t>
      </w:r>
      <w:r>
        <w:rPr>
          <w:rFonts w:ascii="Tms Rmn" w:hAnsi="Tms Rmn"/>
          <w:sz w:val="12"/>
        </w:rPr>
        <w:t> </w:t>
      </w:r>
      <w:r>
        <w:t>:</w:t>
      </w:r>
      <w:r>
        <w:tab/>
        <w:t>distance de l'extrémité à la section terrestre suivante, mesurée le long de l'arc de grand cercle (km)</w:t>
      </w:r>
    </w:p>
    <w:p w:rsidR="00743A15" w:rsidRDefault="00743A15" w:rsidP="00743A15">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r>
      <w:r w:rsidRPr="001F4C47">
        <w:rPr>
          <w:position w:val="-30"/>
          <w:lang w:val="en-GB"/>
        </w:rPr>
        <w:object w:dxaOrig="1359" w:dyaOrig="760">
          <v:shape id="_x0000_i1029" type="#_x0000_t75" style="width:67.85pt;height:37.85pt" o:ole="">
            <v:imagedata r:id="rId14" o:title=""/>
          </v:shape>
          <o:OLEObject Type="Embed" ProgID="Equation.3" ShapeID="_x0000_i1029" DrawAspect="Content" ObjectID="_1494312926" r:id="rId15"/>
        </w:object>
      </w:r>
      <w:r>
        <w:rPr>
          <w:lang w:val="en-GB"/>
        </w:rPr>
        <w:t xml:space="preserve"> km</w:t>
      </w:r>
    </w:p>
    <w:p w:rsidR="00BF4497" w:rsidRDefault="00BF4497" w:rsidP="00BF4497">
      <w:pPr>
        <w:pStyle w:val="enumlev1"/>
        <w:tabs>
          <w:tab w:val="clear" w:pos="794"/>
          <w:tab w:val="clear" w:pos="1191"/>
          <w:tab w:val="clear" w:pos="1588"/>
          <w:tab w:val="clear" w:pos="1985"/>
          <w:tab w:val="left" w:pos="397"/>
          <w:tab w:val="left" w:pos="851"/>
          <w:tab w:val="left" w:pos="1428"/>
        </w:tabs>
        <w:spacing w:before="86"/>
        <w:ind w:left="1440" w:hanging="1440"/>
      </w:pPr>
      <w:r>
        <w:rPr>
          <w:i/>
        </w:rPr>
        <w:tab/>
      </w:r>
      <w:r>
        <w:rPr>
          <w:i/>
        </w:rPr>
        <w:tab/>
        <w:t>Q</w:t>
      </w:r>
      <w:r>
        <w:rPr>
          <w:iCs/>
          <w:vertAlign w:val="subscript"/>
        </w:rPr>
        <w:t>2</w:t>
      </w:r>
      <w:r>
        <w:t> </w:t>
      </w:r>
      <w:r>
        <w:rPr>
          <w:rFonts w:ascii="Symbol" w:hAnsi="Symbol"/>
        </w:rPr>
        <w:t></w:t>
      </w:r>
      <w:r>
        <w:rPr>
          <w:rFonts w:ascii="Symbol" w:hAnsi="Symbol"/>
        </w:rPr>
        <w:tab/>
      </w:r>
      <w:r>
        <w:t>0,25 dans la bande des ondes kilométriques et 1,2 dans la bande des ondes hectométriques</w:t>
      </w:r>
    </w:p>
    <w:p w:rsidR="00BF4497" w:rsidRDefault="00BF4497" w:rsidP="00BF4497">
      <w:pPr>
        <w:pStyle w:val="enumlev1"/>
        <w:tabs>
          <w:tab w:val="clear" w:pos="794"/>
          <w:tab w:val="clear" w:pos="1191"/>
          <w:tab w:val="clear" w:pos="1588"/>
          <w:tab w:val="clear" w:pos="1985"/>
          <w:tab w:val="left" w:pos="397"/>
          <w:tab w:val="left" w:pos="851"/>
        </w:tabs>
        <w:spacing w:before="86"/>
        <w:ind w:left="1440" w:hanging="1440"/>
      </w:pPr>
      <w:r>
        <w:tab/>
      </w:r>
      <w:r>
        <w:rPr>
          <w:rFonts w:ascii="Symbol" w:hAnsi="Symbol"/>
        </w:rPr>
        <w:t></w:t>
      </w:r>
      <w:r>
        <w:rPr>
          <w:rFonts w:ascii="Tms Rmn" w:hAnsi="Tms Rmn"/>
          <w:sz w:val="12"/>
        </w:rPr>
        <w:t> </w:t>
      </w:r>
      <w:r>
        <w:t>:</w:t>
      </w:r>
      <w:r>
        <w:tab/>
        <w:t>proportion de terre dans la section du trajet comprise entre</w:t>
      </w:r>
      <w:r>
        <w:rPr>
          <w:i/>
        </w:rPr>
        <w:t xml:space="preserve"> r</w:t>
      </w:r>
      <w:r>
        <w:rPr>
          <w:iCs/>
          <w:vertAlign w:val="subscript"/>
        </w:rPr>
        <w:t>2</w:t>
      </w:r>
      <w:r>
        <w:t xml:space="preserve"> et</w:t>
      </w:r>
      <w:r>
        <w:rPr>
          <w:i/>
        </w:rPr>
        <w:t xml:space="preserve"> s</w:t>
      </w:r>
      <w:r>
        <w:rPr>
          <w:iCs/>
          <w:vertAlign w:val="subscript"/>
        </w:rPr>
        <w:t>2</w:t>
      </w:r>
      <w:r>
        <w:t xml:space="preserve"> (0 </w:t>
      </w:r>
      <w:r>
        <w:rPr>
          <w:rFonts w:ascii="Symbol" w:hAnsi="Symbol"/>
        </w:rPr>
        <w:t></w:t>
      </w:r>
      <w:r>
        <w:t> </w:t>
      </w:r>
      <w:r>
        <w:rPr>
          <w:rFonts w:ascii="Symbol" w:hAnsi="Symbol"/>
        </w:rPr>
        <w:t></w:t>
      </w:r>
      <w:r>
        <w:t> </w:t>
      </w:r>
      <w:r>
        <w:rPr>
          <w:rFonts w:ascii="Symbol" w:hAnsi="Symbol"/>
        </w:rPr>
        <w:t></w:t>
      </w:r>
      <w:r>
        <w:t> 1).</w:t>
      </w:r>
    </w:p>
    <w:p w:rsidR="00BF4497" w:rsidRDefault="00BF4497" w:rsidP="00BF4497">
      <w:pPr>
        <w:spacing w:line="270" w:lineRule="exact"/>
      </w:pPr>
      <w:r>
        <w:t xml:space="preserve">Lorsqu'on effectue ces calculs à l'aide d'un ordinateur et que l'on ne dispose pas d'une banque de données de terrain permettant de calculer le pourcentage </w:t>
      </w:r>
      <w:r>
        <w:rPr>
          <w:rFonts w:ascii="Symbol" w:hAnsi="Symbol"/>
        </w:rPr>
        <w:t></w:t>
      </w:r>
      <w:r>
        <w:t xml:space="preserve">, on peut poser </w:t>
      </w:r>
      <w:r>
        <w:rPr>
          <w:rFonts w:ascii="Symbol" w:hAnsi="Symbol"/>
        </w:rPr>
        <w:t></w:t>
      </w:r>
      <w:r>
        <w:t> </w:t>
      </w:r>
      <w:r>
        <w:rPr>
          <w:rFonts w:ascii="Symbol" w:hAnsi="Symbol"/>
        </w:rPr>
        <w:t></w:t>
      </w:r>
      <w:r>
        <w:t> 1/2, ce qui revient à supposer une répartition terre/mer de 50% dans la section du trajet comprise entre </w:t>
      </w:r>
      <w:r>
        <w:rPr>
          <w:i/>
        </w:rPr>
        <w:t>r</w:t>
      </w:r>
      <w:r>
        <w:rPr>
          <w:iCs/>
          <w:vertAlign w:val="subscript"/>
        </w:rPr>
        <w:t>2</w:t>
      </w:r>
      <w:r>
        <w:t xml:space="preserve"> et </w:t>
      </w:r>
      <w:r>
        <w:rPr>
          <w:i/>
        </w:rPr>
        <w:t>s</w:t>
      </w:r>
      <w:r>
        <w:rPr>
          <w:iCs/>
          <w:vertAlign w:val="subscript"/>
        </w:rPr>
        <w:t>2</w:t>
      </w:r>
      <w:r>
        <w:t>.</w:t>
      </w:r>
    </w:p>
    <w:p w:rsidR="00BF4497" w:rsidRDefault="00BF4497" w:rsidP="00BF4497">
      <w:r>
        <w:t>Pour faciliter les calculs, on a tracé la Fig. 8a qui représente</w:t>
      </w:r>
      <w:r>
        <w:rPr>
          <w:i/>
        </w:rPr>
        <w:t xml:space="preserve"> r</w:t>
      </w:r>
      <w:r>
        <w:rPr>
          <w:iCs/>
          <w:vertAlign w:val="subscript"/>
        </w:rPr>
        <w:t>1</w:t>
      </w:r>
      <w:r>
        <w:t>, distance maximale à la mer pour laquelle il y a lieu de calculer le gain dû à la mer, et la Fig. 8b qui représente</w:t>
      </w:r>
      <w:r>
        <w:rPr>
          <w:i/>
        </w:rPr>
        <w:t xml:space="preserve"> r</w:t>
      </w:r>
      <w:r>
        <w:rPr>
          <w:iCs/>
          <w:vertAlign w:val="subscript"/>
        </w:rPr>
        <w:t>2</w:t>
      </w:r>
      <w:r>
        <w:t>, distance maximale à la prochaine section de terre pour laquelle il y a lieu d'appliquer la correction </w:t>
      </w:r>
      <w:r>
        <w:rPr>
          <w:i/>
        </w:rPr>
        <w:t>c</w:t>
      </w:r>
      <w:r>
        <w:rPr>
          <w:iCs/>
          <w:vertAlign w:val="subscript"/>
        </w:rPr>
        <w:t>2</w:t>
      </w:r>
      <w:r>
        <w:t>. Ces deux Figures ont été tracées pour diverses valeurs de la fréquence.</w:t>
      </w:r>
    </w:p>
    <w:p w:rsidR="00BF4497" w:rsidRDefault="00BF4497" w:rsidP="00BF4497">
      <w:pPr>
        <w:pStyle w:val="Heading2"/>
      </w:pPr>
      <w:bookmarkStart w:id="8" w:name="_Toc107989260"/>
      <w:r>
        <w:t>2.4</w:t>
      </w:r>
      <w:r>
        <w:tab/>
        <w:t>Affaiblissement par couplage de polarisation</w:t>
      </w:r>
      <w:bookmarkEnd w:id="8"/>
    </w:p>
    <w:p w:rsidR="00BF4497" w:rsidRDefault="00BF4497" w:rsidP="00BF4497">
      <w:pPr>
        <w:spacing w:line="270" w:lineRule="exact"/>
      </w:pPr>
      <w:r>
        <w:rPr>
          <w:i/>
        </w:rPr>
        <w:t>L</w:t>
      </w:r>
      <w:r>
        <w:rPr>
          <w:i/>
          <w:vertAlign w:val="subscript"/>
        </w:rPr>
        <w:t>p</w:t>
      </w:r>
      <w:r>
        <w:t xml:space="preserve"> est le surcroît d'affaiblissement par couplage de polarisation (dB). Dans la bande des ondes kilométriques,</w:t>
      </w:r>
      <w:r>
        <w:rPr>
          <w:i/>
        </w:rPr>
        <w:t xml:space="preserve"> L</w:t>
      </w:r>
      <w:r>
        <w:rPr>
          <w:i/>
          <w:vertAlign w:val="subscript"/>
        </w:rPr>
        <w:t>p</w:t>
      </w:r>
      <w:r>
        <w:t> </w:t>
      </w:r>
      <w:r>
        <w:rPr>
          <w:rFonts w:ascii="Symbol" w:hAnsi="Symbol"/>
        </w:rPr>
        <w:t></w:t>
      </w:r>
      <w:r>
        <w:t> 0. Dans la bande des ondes hectométriques,</w:t>
      </w:r>
      <w:r>
        <w:rPr>
          <w:i/>
        </w:rPr>
        <w:t xml:space="preserve"> L</w:t>
      </w:r>
      <w:r>
        <w:rPr>
          <w:i/>
          <w:vertAlign w:val="subscript"/>
        </w:rPr>
        <w:t>p</w:t>
      </w:r>
      <w:r>
        <w:t xml:space="preserve"> est donné à chaque extrémité par l'une des deux formules suivantes:</w:t>
      </w:r>
    </w:p>
    <w:p w:rsidR="00BF4497" w:rsidRDefault="00BF4497" w:rsidP="00BF4497">
      <w:pPr>
        <w:spacing w:before="0" w:line="270" w:lineRule="exact"/>
      </w:pPr>
    </w:p>
    <w:p w:rsidR="00BF4497" w:rsidRPr="00C63173" w:rsidRDefault="00BF4497" w:rsidP="00BF4497">
      <w:pPr>
        <w:pStyle w:val="Equation"/>
        <w:tabs>
          <w:tab w:val="clear" w:pos="4820"/>
          <w:tab w:val="left" w:pos="1440"/>
          <w:tab w:val="left" w:pos="5760"/>
          <w:tab w:val="left" w:pos="6917"/>
          <w:tab w:val="left" w:pos="7740"/>
        </w:tabs>
      </w:pPr>
      <w:r w:rsidRPr="003116FB">
        <w:tab/>
      </w:r>
      <w:r w:rsidRPr="003116FB">
        <w:tab/>
      </w:r>
      <w:r>
        <w:rPr>
          <w:position w:val="-14"/>
          <w:lang w:val="en-GB"/>
        </w:rPr>
        <w:object w:dxaOrig="3019" w:dyaOrig="440">
          <v:shape id="_x0000_i1030" type="#_x0000_t75" style="width:151.1pt;height:22.05pt" o:ole="">
            <v:imagedata r:id="rId16" o:title=""/>
          </v:shape>
          <o:OLEObject Type="Embed" ProgID="Equation.3" ShapeID="_x0000_i1030" DrawAspect="Content" ObjectID="_1494312927" r:id="rId17"/>
        </w:object>
      </w:r>
      <w:r w:rsidRPr="00C63173">
        <w:tab/>
        <w:t>dB</w:t>
      </w:r>
      <w:r w:rsidRPr="00C63173">
        <w:tab/>
      </w:r>
      <w:r>
        <w:t>pour</w:t>
      </w:r>
      <w:r w:rsidRPr="00C63173">
        <w:tab/>
      </w:r>
      <w:r>
        <w:rPr>
          <w:position w:val="-6"/>
          <w:lang w:val="en-GB"/>
        </w:rPr>
        <w:object w:dxaOrig="760" w:dyaOrig="279">
          <v:shape id="_x0000_i1031" type="#_x0000_t75" style="width:37.85pt;height:14.15pt" o:ole="">
            <v:imagedata r:id="rId18" o:title=""/>
          </v:shape>
          <o:OLEObject Type="Embed" ProgID="Equation.3" ShapeID="_x0000_i1031" DrawAspect="Content" ObjectID="_1494312928" r:id="rId19"/>
        </w:object>
      </w:r>
      <w:r w:rsidRPr="00C63173">
        <w:br/>
      </w:r>
      <w:r w:rsidRPr="00C63173">
        <w:tab/>
      </w:r>
      <w:r w:rsidRPr="00C63173">
        <w:tab/>
      </w:r>
      <w:r w:rsidRPr="00C63173">
        <w:tab/>
      </w:r>
      <w:r w:rsidRPr="00C63173">
        <w:tab/>
      </w:r>
      <w:r w:rsidRPr="00C63173">
        <w:tab/>
      </w:r>
      <w:r w:rsidRPr="00C63173">
        <w:tab/>
        <w:t>(8)</w:t>
      </w:r>
      <w:r w:rsidRPr="00C63173">
        <w:br/>
      </w:r>
      <w:r w:rsidRPr="00C63173">
        <w:tab/>
      </w:r>
      <w:r w:rsidRPr="00C63173">
        <w:tab/>
      </w:r>
      <w:r>
        <w:rPr>
          <w:position w:val="-14"/>
          <w:lang w:val="en-GB"/>
        </w:rPr>
        <w:object w:dxaOrig="700" w:dyaOrig="380">
          <v:shape id="_x0000_i1032" type="#_x0000_t75" style="width:34.95pt;height:19.15pt" o:ole="">
            <v:imagedata r:id="rId20" o:title=""/>
          </v:shape>
          <o:OLEObject Type="Embed" ProgID="Equation.3" ShapeID="_x0000_i1032" DrawAspect="Content" ObjectID="_1494312929" r:id="rId21"/>
        </w:object>
      </w:r>
      <w:r w:rsidRPr="00C63173">
        <w:tab/>
      </w:r>
      <w:r w:rsidRPr="00C63173">
        <w:tab/>
      </w:r>
      <w:r>
        <w:t>pour</w:t>
      </w:r>
      <w:r w:rsidRPr="00C63173">
        <w:tab/>
      </w:r>
      <w:r>
        <w:rPr>
          <w:position w:val="-6"/>
          <w:lang w:val="en-GB"/>
        </w:rPr>
        <w:object w:dxaOrig="760" w:dyaOrig="279">
          <v:shape id="_x0000_i1033" type="#_x0000_t75" style="width:37.85pt;height:14.15pt" o:ole="">
            <v:imagedata r:id="rId22" o:title=""/>
          </v:shape>
          <o:OLEObject Type="Embed" ProgID="Equation.3" ShapeID="_x0000_i1033" DrawAspect="Content" ObjectID="_1494312930" r:id="rId23"/>
        </w:object>
      </w:r>
    </w:p>
    <w:p w:rsidR="00BF4497" w:rsidRDefault="00BF4497" w:rsidP="00BF4497">
      <w:pPr>
        <w:spacing w:line="270" w:lineRule="exact"/>
      </w:pPr>
    </w:p>
    <w:p w:rsidR="00BF4497" w:rsidRDefault="00BF4497" w:rsidP="00BF4497">
      <w:pPr>
        <w:spacing w:line="270" w:lineRule="exact"/>
      </w:pPr>
      <w:r>
        <w:t xml:space="preserve">où </w:t>
      </w:r>
      <w:r>
        <w:rPr>
          <w:i/>
        </w:rPr>
        <w:t>I</w:t>
      </w:r>
      <w:r>
        <w:t xml:space="preserve"> est l'inclinaison magnétique N ou S en degrés à l'extrémité et </w:t>
      </w:r>
      <w:r>
        <w:rPr>
          <w:rFonts w:ascii="Symbol" w:hAnsi="Symbol"/>
        </w:rPr>
        <w:t></w:t>
      </w:r>
      <w:r>
        <w:t xml:space="preserve"> l'azimut du trajet mesuré en degrés par rapport à la direction magnétique est-ouest, de telle sorte que |</w:t>
      </w:r>
      <w:r>
        <w:rPr>
          <w:sz w:val="8"/>
        </w:rPr>
        <w:t> </w:t>
      </w:r>
      <w:r>
        <w:rPr>
          <w:rFonts w:ascii="Symbol" w:hAnsi="Symbol"/>
        </w:rPr>
        <w:t></w:t>
      </w:r>
      <w:r>
        <w:rPr>
          <w:sz w:val="8"/>
        </w:rPr>
        <w:t> </w:t>
      </w:r>
      <w:r>
        <w:t>| soit inférieur ou égal à 90</w:t>
      </w:r>
      <w:r>
        <w:rPr>
          <w:rFonts w:ascii="Symbol" w:hAnsi="Symbol"/>
        </w:rPr>
        <w:t></w:t>
      </w:r>
      <w:r>
        <w:t xml:space="preserve">. </w:t>
      </w:r>
      <w:r>
        <w:rPr>
          <w:i/>
        </w:rPr>
        <w:t>L</w:t>
      </w:r>
      <w:r>
        <w:rPr>
          <w:i/>
          <w:vertAlign w:val="subscript"/>
        </w:rPr>
        <w:t>p</w:t>
      </w:r>
      <w:r>
        <w:t xml:space="preserve"> doit être évalué séparément pour les deux extrémités car </w:t>
      </w:r>
      <w:r>
        <w:rPr>
          <w:rFonts w:ascii="Symbol" w:hAnsi="Symbol"/>
        </w:rPr>
        <w:t></w:t>
      </w:r>
      <w:r>
        <w:t xml:space="preserve"> et </w:t>
      </w:r>
      <w:r>
        <w:rPr>
          <w:i/>
        </w:rPr>
        <w:t>I</w:t>
      </w:r>
      <w:r>
        <w:t xml:space="preserve"> peuvent y avoir des valeurs différentes; les deux valeurs de </w:t>
      </w:r>
      <w:r>
        <w:rPr>
          <w:i/>
        </w:rPr>
        <w:t>L</w:t>
      </w:r>
      <w:r>
        <w:rPr>
          <w:i/>
          <w:vertAlign w:val="subscript"/>
        </w:rPr>
        <w:t>p</w:t>
      </w:r>
      <w:r>
        <w:t xml:space="preserve"> sont ensuite additionnées. Pour déterminer </w:t>
      </w:r>
      <w:r>
        <w:rPr>
          <w:rFonts w:ascii="Symbol" w:hAnsi="Symbol"/>
        </w:rPr>
        <w:t></w:t>
      </w:r>
      <w:r>
        <w:t xml:space="preserve"> et </w:t>
      </w:r>
      <w:r>
        <w:rPr>
          <w:i/>
        </w:rPr>
        <w:t>I</w:t>
      </w:r>
      <w:r>
        <w:t>, il convient d'utiliser les valeurs les plus précises de l'inclinaison et de la déclinaison magnétique dont on dispose (voir, par exemple, les Fig. 5 et 6).</w:t>
      </w:r>
    </w:p>
    <w:p w:rsidR="00BF4497" w:rsidRDefault="00BF4497" w:rsidP="00BF4497">
      <w:r>
        <w:t xml:space="preserve">La Fig. 7 représente les valeurs de </w:t>
      </w:r>
      <w:r>
        <w:rPr>
          <w:i/>
        </w:rPr>
        <w:t>L</w:t>
      </w:r>
      <w:r>
        <w:rPr>
          <w:i/>
          <w:vertAlign w:val="subscript"/>
        </w:rPr>
        <w:t>p</w:t>
      </w:r>
      <w:r>
        <w:t xml:space="preserve"> calculées d'après la formule (8).</w:t>
      </w:r>
    </w:p>
    <w:p w:rsidR="00BF4497" w:rsidRDefault="00BF4497" w:rsidP="00BF4497">
      <w:pPr>
        <w:pStyle w:val="Heading2"/>
      </w:pPr>
      <w:bookmarkStart w:id="9" w:name="_Toc107989261"/>
      <w:r>
        <w:t>2.5</w:t>
      </w:r>
      <w:r>
        <w:tab/>
        <w:t xml:space="preserve">Longueur du trajet parcouru par l'onde, </w:t>
      </w:r>
      <w:r>
        <w:rPr>
          <w:i/>
        </w:rPr>
        <w:t>p</w:t>
      </w:r>
      <w:bookmarkEnd w:id="9"/>
    </w:p>
    <w:p w:rsidR="00BF4497" w:rsidRDefault="00BF4497" w:rsidP="00BF4497">
      <w:r>
        <w:t>Pour des trajets de longueur supérieure à 1</w:t>
      </w:r>
      <w:r>
        <w:rPr>
          <w:sz w:val="12"/>
        </w:rPr>
        <w:t> </w:t>
      </w:r>
      <w:r>
        <w:t>000 km,</w:t>
      </w:r>
      <w:r>
        <w:rPr>
          <w:i/>
        </w:rPr>
        <w:t xml:space="preserve"> p</w:t>
      </w:r>
      <w:r>
        <w:t xml:space="preserve"> (km) est sensiblement égal à la distance au sol</w:t>
      </w:r>
      <w:r>
        <w:rPr>
          <w:i/>
        </w:rPr>
        <w:t xml:space="preserve"> d</w:t>
      </w:r>
      <w:r>
        <w:t xml:space="preserve"> (km) entre l'émetteur et le récepteur. Pour les trajets plus courts:</w:t>
      </w:r>
    </w:p>
    <w:p w:rsidR="00BF4497" w:rsidRDefault="00BF4497" w:rsidP="00BF4497">
      <w:pPr>
        <w:spacing w:before="0"/>
      </w:pPr>
    </w:p>
    <w:p w:rsidR="00BF4497" w:rsidRDefault="00BF4497" w:rsidP="00BF4497">
      <w:pPr>
        <w:pStyle w:val="Equation"/>
      </w:pPr>
      <w:bookmarkStart w:id="10" w:name="F007"/>
      <w:r>
        <w:tab/>
      </w:r>
      <w:r>
        <w:tab/>
      </w:r>
      <w:r>
        <w:rPr>
          <w:i/>
        </w:rPr>
        <w:t>p</w:t>
      </w:r>
      <w:r>
        <w:t xml:space="preserve">  </w:t>
      </w:r>
      <w:r>
        <w:rPr>
          <w:rFonts w:ascii="Symbol" w:hAnsi="Symbol"/>
        </w:rPr>
        <w:t></w:t>
      </w:r>
      <w:r>
        <w:t xml:space="preserve">  </w:t>
      </w:r>
      <w:r>
        <w:rPr>
          <w:sz w:val="30"/>
        </w:rPr>
        <w:t>(</w:t>
      </w:r>
      <w:r>
        <w:rPr>
          <w:i/>
        </w:rPr>
        <w:t>d</w:t>
      </w:r>
      <w:r>
        <w:rPr>
          <w:sz w:val="12"/>
        </w:rPr>
        <w:t> </w:t>
      </w:r>
      <w:r>
        <w:rPr>
          <w:position w:val="6"/>
          <w:sz w:val="18"/>
        </w:rPr>
        <w:t>2</w:t>
      </w:r>
      <w:r>
        <w:t xml:space="preserve">  </w:t>
      </w:r>
      <w:r>
        <w:rPr>
          <w:rFonts w:ascii="Symbol" w:hAnsi="Symbol"/>
        </w:rPr>
        <w:t></w:t>
      </w:r>
      <w:r>
        <w:t xml:space="preserve">  40</w:t>
      </w:r>
      <w:r>
        <w:rPr>
          <w:sz w:val="12"/>
        </w:rPr>
        <w:t> </w:t>
      </w:r>
      <w:r>
        <w:t>000</w:t>
      </w:r>
      <w:r>
        <w:rPr>
          <w:sz w:val="30"/>
        </w:rPr>
        <w:t>)</w:t>
      </w:r>
      <w:r>
        <w:rPr>
          <w:position w:val="10"/>
          <w:sz w:val="18"/>
        </w:rPr>
        <w:t>½</w:t>
      </w:r>
      <w:r>
        <w:tab/>
        <w:t>(9)</w:t>
      </w:r>
      <w:bookmarkEnd w:id="10"/>
    </w:p>
    <w:p w:rsidR="00BF4497" w:rsidRDefault="00BF4497" w:rsidP="00BF4497"/>
    <w:p w:rsidR="00BF4497" w:rsidRDefault="00BF4497" w:rsidP="00BF4497">
      <w:r>
        <w:t>La formule (9) peut être utilisée avec une erreur négligeable pour n'importe quelle longueur de trajet. Afin d'éviter toute discontinuité du champ en fonction de la distance, cette formule devra être utilisée dans tous les cas où les distances sont toutes deux inférieures à 1</w:t>
      </w:r>
      <w:r>
        <w:rPr>
          <w:sz w:val="12"/>
        </w:rPr>
        <w:t> </w:t>
      </w:r>
      <w:r>
        <w:t>000 km ou supérieures à 1</w:t>
      </w:r>
      <w:r>
        <w:rPr>
          <w:rFonts w:ascii="Tms Rmn" w:hAnsi="Tms Rmn"/>
          <w:sz w:val="12"/>
        </w:rPr>
        <w:t> </w:t>
      </w:r>
      <w:r>
        <w:t>000 km.</w:t>
      </w:r>
    </w:p>
    <w:p w:rsidR="00BF4497" w:rsidRDefault="00BF4497" w:rsidP="00BF4497">
      <w:pPr>
        <w:pStyle w:val="FigureNo"/>
      </w:pPr>
      <w:r>
        <w:lastRenderedPageBreak/>
        <w:t>FIGURE  1</w:t>
      </w:r>
    </w:p>
    <w:p w:rsidR="00BF4497" w:rsidRPr="00AC3DD9" w:rsidRDefault="00BF4497" w:rsidP="00BF4497">
      <w:pPr>
        <w:pStyle w:val="Figuretitle"/>
      </w:pPr>
      <w:r>
        <w:t>Gain de l'antenne d'émission (</w:t>
      </w:r>
      <w:r w:rsidRPr="00F80C26">
        <w:rPr>
          <w:i/>
        </w:rPr>
        <w:t>G</w:t>
      </w:r>
      <w:r w:rsidRPr="00AC3DD9">
        <w:rPr>
          <w:i/>
          <w:szCs w:val="18"/>
          <w:vertAlign w:val="subscript"/>
        </w:rPr>
        <w:t>v</w:t>
      </w:r>
      <w:r w:rsidRPr="00AC3DD9">
        <w:t>)</w:t>
      </w:r>
      <w:r>
        <w:t xml:space="preserve"> pour des antennes verticales simples</w:t>
      </w:r>
      <w:r>
        <w:br/>
        <w:t>au-dessus d'un sol parfait</w:t>
      </w:r>
    </w:p>
    <w:p w:rsidR="00BF4497" w:rsidRDefault="00BF4497" w:rsidP="00BF4497">
      <w:pPr>
        <w:pStyle w:val="Figure"/>
      </w:pPr>
      <w:r>
        <w:object w:dxaOrig="8552" w:dyaOrig="11118">
          <v:shape id="_x0000_i1034" type="#_x0000_t75" style="width:427.4pt;height:556pt" o:ole="">
            <v:imagedata r:id="rId24" o:title=""/>
          </v:shape>
          <o:OLEObject Type="Embed" ProgID="CorelDRAW.Graphic.12" ShapeID="_x0000_i1034" DrawAspect="Content" ObjectID="_1494312931" r:id="rId25"/>
        </w:object>
      </w:r>
    </w:p>
    <w:p w:rsidR="00BF4497" w:rsidRDefault="00BF4497" w:rsidP="00BF4497">
      <w:pPr>
        <w:pStyle w:val="FigureNo"/>
        <w:spacing w:before="240"/>
      </w:pPr>
      <w:r>
        <w:object w:dxaOrig="7968" w:dyaOrig="8271">
          <v:shape id="_x0000_i1035" type="#_x0000_t75" style="width:398.3pt;height:413.25pt" o:ole="" o:allowoverlap="f">
            <v:imagedata r:id="rId26" o:title=""/>
          </v:shape>
          <o:OLEObject Type="Embed" ProgID="CorelDRAW.Graphic.12" ShapeID="_x0000_i1035" DrawAspect="Content" ObjectID="_1494312932" r:id="rId27"/>
        </w:object>
      </w:r>
    </w:p>
    <w:p w:rsidR="00BF4497" w:rsidRDefault="00BF4497" w:rsidP="00BF4497"/>
    <w:p w:rsidR="00BF4497" w:rsidRDefault="00BF4497" w:rsidP="00BF4497">
      <w:pPr>
        <w:pStyle w:val="FigureNo"/>
        <w:spacing w:before="240"/>
      </w:pPr>
      <w:r>
        <w:object w:dxaOrig="6028" w:dyaOrig="4834">
          <v:shape id="_x0000_i1036" type="#_x0000_t75" style="width:301.3pt;height:241.4pt" o:ole="" o:allowoverlap="f">
            <v:imagedata r:id="rId28" o:title=""/>
          </v:shape>
          <o:OLEObject Type="Embed" ProgID="CorelDRAW.Graphic.12" ShapeID="_x0000_i1036" DrawAspect="Content" ObjectID="_1494312933" r:id="rId29"/>
        </w:object>
      </w:r>
    </w:p>
    <w:p w:rsidR="00BF4497" w:rsidRDefault="00BF4497" w:rsidP="00BF4497">
      <w:pPr>
        <w:pStyle w:val="Heading2"/>
      </w:pPr>
      <w:r>
        <w:br w:type="page"/>
      </w:r>
      <w:bookmarkStart w:id="11" w:name="_Toc107989262"/>
      <w:r>
        <w:lastRenderedPageBreak/>
        <w:t>2.6</w:t>
      </w:r>
      <w:r>
        <w:tab/>
        <w:t>Coefficient d'affaiblissement tenant compte de l'absorption ionosphérique et de facteurs connexes</w:t>
      </w:r>
      <w:bookmarkEnd w:id="11"/>
    </w:p>
    <w:p w:rsidR="00BF4497" w:rsidRDefault="00BF4497" w:rsidP="00BF4497">
      <w:r>
        <w:rPr>
          <w:i/>
        </w:rPr>
        <w:t>L</w:t>
      </w:r>
      <w:r>
        <w:rPr>
          <w:i/>
          <w:vertAlign w:val="subscript"/>
        </w:rPr>
        <w:t>a</w:t>
      </w:r>
      <w:r>
        <w:t xml:space="preserve"> est le coefficient d'affaiblissement tenant compte de l'absorption ionosphérique, de la focalisation et de l'affaiblissement aux extrémités et entre bonds dans le cas des trajets à plusieurs bonds:</w:t>
      </w:r>
    </w:p>
    <w:p w:rsidR="00BF4497" w:rsidRDefault="00BF4497" w:rsidP="00BF4497">
      <w:pPr>
        <w:pStyle w:val="Equation"/>
      </w:pPr>
      <w:bookmarkStart w:id="12" w:name="F010"/>
      <w:r>
        <w:tab/>
      </w:r>
      <w:r>
        <w:tab/>
      </w:r>
      <w:r>
        <w:fldChar w:fldCharType="begin"/>
      </w:r>
      <w:r>
        <w:instrText xml:space="preserve">eq </w:instrText>
      </w:r>
      <w:r>
        <w:rPr>
          <w:i/>
        </w:rPr>
        <w:instrText>L</w:instrText>
      </w:r>
      <w:r>
        <w:rPr>
          <w:i/>
          <w:position w:val="-4"/>
          <w:sz w:val="18"/>
        </w:rPr>
        <w:instrText>a</w:instrText>
      </w:r>
      <w:r>
        <w:instrText xml:space="preserve">  </w:instrText>
      </w:r>
      <w:r>
        <w:rPr>
          <w:rFonts w:ascii="Symbol" w:hAnsi="Symbol"/>
        </w:rPr>
        <w:instrText>=</w:instrText>
      </w:r>
      <w:r>
        <w:instrText xml:space="preserve">  </w:instrText>
      </w:r>
      <w:r>
        <w:rPr>
          <w:i/>
        </w:rPr>
        <w:instrText>k</w:instrText>
      </w:r>
      <w:r>
        <w:instrText xml:space="preserve">  \r(;</w:instrText>
      </w:r>
      <w:r>
        <w:rPr>
          <w:i/>
        </w:rPr>
        <w:instrText>p</w:instrText>
      </w:r>
      <w:r>
        <w:instrText xml:space="preserve"> / 1</w:instrText>
      </w:r>
      <w:r>
        <w:rPr>
          <w:sz w:val="12"/>
        </w:rPr>
        <w:instrText> </w:instrText>
      </w:r>
      <w:r>
        <w:instrText>000)</w:instrText>
      </w:r>
      <w:r>
        <w:fldChar w:fldCharType="end"/>
      </w:r>
      <w:r>
        <w:tab/>
        <w:t>(10)</w:t>
      </w:r>
      <w:bookmarkEnd w:id="12"/>
    </w:p>
    <w:p w:rsidR="00BF4497" w:rsidRDefault="00BF4497" w:rsidP="00BF4497">
      <w:r>
        <w:t xml:space="preserve">et le coefficient d'affaiblissement de référence </w:t>
      </w:r>
      <w:r>
        <w:rPr>
          <w:i/>
        </w:rPr>
        <w:t>k</w:t>
      </w:r>
      <w:r>
        <w:t xml:space="preserve"> est donné par:</w:t>
      </w:r>
    </w:p>
    <w:p w:rsidR="00BF4497" w:rsidRDefault="00BF4497" w:rsidP="00BF4497">
      <w:pPr>
        <w:pStyle w:val="Equation"/>
      </w:pPr>
      <w:bookmarkStart w:id="13" w:name="F011"/>
      <w:bookmarkStart w:id="14" w:name="F006"/>
      <w:bookmarkStart w:id="15" w:name="F005"/>
      <w:bookmarkStart w:id="16" w:name="F004"/>
      <w:bookmarkStart w:id="17" w:name="F003"/>
      <w:bookmarkStart w:id="18" w:name="F008"/>
      <w:r>
        <w:tab/>
      </w:r>
      <w:r>
        <w:tab/>
      </w:r>
      <w:r>
        <w:rPr>
          <w:i/>
        </w:rPr>
        <w:t>k</w:t>
      </w:r>
      <w:r>
        <w:t xml:space="preserve">  </w:t>
      </w:r>
      <w:r>
        <w:rPr>
          <w:rFonts w:ascii="Symbol" w:hAnsi="Symbol"/>
        </w:rPr>
        <w:t></w:t>
      </w:r>
      <w:r>
        <w:t xml:space="preserve">  </w:t>
      </w:r>
      <w:r>
        <w:rPr>
          <w:sz w:val="28"/>
        </w:rPr>
        <w:t>(</w:t>
      </w:r>
      <w:r>
        <w:t>2</w:t>
      </w:r>
      <w:r>
        <w:rPr>
          <w:rFonts w:ascii="Symbol" w:hAnsi="Symbol"/>
        </w:rPr>
        <w:t></w:t>
      </w:r>
      <w:r>
        <w:t xml:space="preserve">  </w:t>
      </w:r>
      <w:r>
        <w:rPr>
          <w:rFonts w:ascii="Symbol" w:hAnsi="Symbol"/>
        </w:rPr>
        <w:t></w:t>
      </w:r>
      <w:r>
        <w:t xml:space="preserve">  4,95 tg</w:t>
      </w:r>
      <w:r>
        <w:rPr>
          <w:position w:val="6"/>
          <w:sz w:val="18"/>
        </w:rPr>
        <w:t>2</w:t>
      </w:r>
      <w:r>
        <w:t xml:space="preserve"> </w:t>
      </w:r>
      <w:r>
        <w:rPr>
          <w:rFonts w:ascii="Symbol" w:hAnsi="Symbol"/>
        </w:rPr>
        <w:t></w:t>
      </w:r>
      <w:r>
        <w:rPr>
          <w:sz w:val="28"/>
        </w:rPr>
        <w:t>)</w:t>
      </w:r>
      <w:r>
        <w:tab/>
        <w:t>(11)</w:t>
      </w:r>
      <w:bookmarkEnd w:id="13"/>
      <w:bookmarkEnd w:id="14"/>
      <w:bookmarkEnd w:id="15"/>
      <w:bookmarkEnd w:id="16"/>
      <w:bookmarkEnd w:id="17"/>
    </w:p>
    <w:p w:rsidR="00BF4497" w:rsidRDefault="00BF4497" w:rsidP="00BF4497">
      <w:pPr>
        <w:spacing w:line="270" w:lineRule="exact"/>
      </w:pPr>
      <w:r>
        <w:t xml:space="preserve">Dans l'équation (11), </w:t>
      </w:r>
      <w:r>
        <w:rPr>
          <w:rFonts w:ascii="Symbol" w:hAnsi="Symbol"/>
        </w:rPr>
        <w:t></w:t>
      </w:r>
      <w:r>
        <w:t xml:space="preserve"> est la latitude géomagnétique (dipôle) du point milieu du trajet étudié. Les latitudes sont positives dans l'hémisphère Nord et négatives dans l'hémisphère Sud. Il est possible d'utiliser la Fig. 10 pour obtenir la latitude géomagnétique à partir des coordonnées géographiques connues du point milieu. Si </w:t>
      </w:r>
      <w:r>
        <w:rPr>
          <w:rFonts w:ascii="Symbol" w:hAnsi="Symbol"/>
        </w:rPr>
        <w:t></w:t>
      </w:r>
      <w:r>
        <w:t xml:space="preserve"> est supérieur à </w:t>
      </w:r>
      <w:r>
        <w:rPr>
          <w:rFonts w:ascii="Symbol" w:hAnsi="Symbol"/>
        </w:rPr>
        <w:t></w:t>
      </w:r>
      <w:r>
        <w:t>60</w:t>
      </w:r>
      <w:r>
        <w:rPr>
          <w:rFonts w:ascii="Symbol" w:hAnsi="Symbol"/>
        </w:rPr>
        <w:t></w:t>
      </w:r>
      <w:r>
        <w:t xml:space="preserve">, on utilise l'équation (11) avec </w:t>
      </w:r>
      <w:r>
        <w:rPr>
          <w:rFonts w:ascii="Symbol" w:hAnsi="Symbol"/>
        </w:rPr>
        <w:t></w:t>
      </w:r>
      <w:r>
        <w:t> </w:t>
      </w:r>
      <w:r>
        <w:rPr>
          <w:rFonts w:ascii="Symbol" w:hAnsi="Symbol"/>
        </w:rPr>
        <w:t></w:t>
      </w:r>
      <w:r>
        <w:t> </w:t>
      </w:r>
      <w:r>
        <w:rPr>
          <w:rFonts w:ascii="Symbol" w:hAnsi="Symbol"/>
        </w:rPr>
        <w:t></w:t>
      </w:r>
      <w:r>
        <w:t>60</w:t>
      </w:r>
      <w:r>
        <w:rPr>
          <w:rFonts w:ascii="Symbol" w:hAnsi="Symbol"/>
        </w:rPr>
        <w:t></w:t>
      </w:r>
      <w:r>
        <w:t xml:space="preserve">. Si </w:t>
      </w:r>
      <w:r>
        <w:rPr>
          <w:rFonts w:ascii="Symbol" w:hAnsi="Symbol"/>
        </w:rPr>
        <w:t></w:t>
      </w:r>
      <w:r>
        <w:t xml:space="preserve"> est inférieur à –60</w:t>
      </w:r>
      <w:r>
        <w:rPr>
          <w:rFonts w:ascii="Symbol" w:hAnsi="Symbol"/>
        </w:rPr>
        <w:t></w:t>
      </w:r>
      <w:r>
        <w:t xml:space="preserve">, on utilise l'équation (11) avec </w:t>
      </w:r>
      <w:r>
        <w:rPr>
          <w:rFonts w:ascii="Symbol" w:hAnsi="Symbol"/>
        </w:rPr>
        <w:t></w:t>
      </w:r>
      <w:r>
        <w:t> </w:t>
      </w:r>
      <w:r>
        <w:rPr>
          <w:rFonts w:ascii="Symbol" w:hAnsi="Symbol"/>
        </w:rPr>
        <w:t></w:t>
      </w:r>
      <w:r>
        <w:t> –60</w:t>
      </w:r>
      <w:r>
        <w:rPr>
          <w:rFonts w:ascii="Symbol" w:hAnsi="Symbol"/>
        </w:rPr>
        <w:t></w:t>
      </w:r>
      <w:r>
        <w:t>. Les trajets de longueur supérieure à 3</w:t>
      </w:r>
      <w:r>
        <w:rPr>
          <w:rFonts w:ascii="Tms Rmn" w:hAnsi="Tms Rmn"/>
          <w:sz w:val="12"/>
        </w:rPr>
        <w:t> </w:t>
      </w:r>
      <w:r>
        <w:t xml:space="preserve">000 km sont divisés en deux parties égales et on détermine </w:t>
      </w:r>
      <w:r>
        <w:rPr>
          <w:i/>
        </w:rPr>
        <w:t>k</w:t>
      </w:r>
      <w:r>
        <w:t xml:space="preserve"> pour chaque partie à partir de l'équation (11). La moyenne algébrique des deux valeurs de </w:t>
      </w:r>
      <w:r>
        <w:rPr>
          <w:i/>
        </w:rPr>
        <w:t>k</w:t>
      </w:r>
      <w:r>
        <w:t xml:space="preserve"> (</w:t>
      </w:r>
      <w:r>
        <w:rPr>
          <w:i/>
        </w:rPr>
        <w:t>k</w:t>
      </w:r>
      <w:r>
        <w:rPr>
          <w:i/>
          <w:vertAlign w:val="subscript"/>
        </w:rPr>
        <w:t>eff</w:t>
      </w:r>
      <w:r>
        <w:rPr>
          <w:rFonts w:ascii="Tms Rmn" w:hAnsi="Tms Rmn"/>
          <w:i/>
          <w:position w:val="-4"/>
          <w:sz w:val="8"/>
        </w:rPr>
        <w:t> </w:t>
      </w:r>
      <w:r>
        <w:t>) sert alors pour calculer le champ (voir également la Fig. 9).</w:t>
      </w:r>
    </w:p>
    <w:p w:rsidR="00BF4497" w:rsidRDefault="00BF4497" w:rsidP="00BF4497">
      <w:pPr>
        <w:pStyle w:val="Heading2"/>
      </w:pPr>
      <w:bookmarkStart w:id="19" w:name="_Toc107989263"/>
      <w:bookmarkEnd w:id="18"/>
      <w:r>
        <w:t>2.7</w:t>
      </w:r>
      <w:r>
        <w:tab/>
        <w:t>Coefficient d'affaiblissement horaire</w:t>
      </w:r>
      <w:bookmarkEnd w:id="19"/>
    </w:p>
    <w:p w:rsidR="00BF4497" w:rsidRDefault="00BF4497" w:rsidP="00BF4497">
      <w:r>
        <w:t>Le coefficient d'affaiblissement horaire,</w:t>
      </w:r>
      <w:r>
        <w:rPr>
          <w:i/>
        </w:rPr>
        <w:t xml:space="preserve"> L</w:t>
      </w:r>
      <w:r>
        <w:rPr>
          <w:i/>
          <w:vertAlign w:val="subscript"/>
        </w:rPr>
        <w:t>t</w:t>
      </w:r>
      <w:r>
        <w:t xml:space="preserve"> (dB), est donné à la Fig. 3. </w:t>
      </w:r>
      <w:r>
        <w:rPr>
          <w:i/>
        </w:rPr>
        <w:t>t</w:t>
      </w:r>
      <w:r>
        <w:t xml:space="preserve"> représente le nombre d'heures après le coucher ou le lever du Soleil selon le cas. Ces heures sont prises au niveau du sol, au point milieu du trajet pour des trajets dont</w:t>
      </w:r>
      <w:r>
        <w:rPr>
          <w:i/>
        </w:rPr>
        <w:t xml:space="preserve"> d</w:t>
      </w:r>
      <w:r>
        <w:t xml:space="preserve"> est inférieur à 2</w:t>
      </w:r>
      <w:r>
        <w:rPr>
          <w:sz w:val="12"/>
        </w:rPr>
        <w:t> </w:t>
      </w:r>
      <w:r>
        <w:t>000 km. Pour les trajets supérieurs à 2 000 km, ces heures sont déterminées à 750 km de chaque extrémité, et l'heure choisie est telle que l'angle d'élévation solaire est supérieur. Les fortes valeurs du coefficient d'affaiblissement horaire au voisinage de la mi-journée ne sont pas définies (voir la Fig. 3). Pour des heures de cette période, on utilisera une valeur limite de 30 dB. Le coefficient d'affaiblissement horaire ne doit pas être calculé pour les trajets aux latitudes élevées pour lesquels le lever ou le coucher du Soleil ne se produit pas, ni pour les saisons pendant lesquelles il en est de même.</w:t>
      </w:r>
    </w:p>
    <w:p w:rsidR="00BF4497" w:rsidRDefault="00BF4497" w:rsidP="00BF4497">
      <w:r>
        <w:t>Les équations qui équivalent généralement à ces courbes à 0,5 dB près sont données au § 1 de l'Appendice 1. La Fig. 3 représente la variation diurne moyenne annuelle.</w:t>
      </w:r>
    </w:p>
    <w:p w:rsidR="00BF4497" w:rsidRDefault="00BF4497" w:rsidP="00BF4497">
      <w:r>
        <w:t>La Fig. 11 donne l'heure du coucher et du lever du Soleil en fonction de l'époque de l'année et de la latitude géographique. Les équations équivalant à ces courbes pour le coucher et le lever du Soleil sont données au § 2 de l'Appendice 1.</w:t>
      </w:r>
    </w:p>
    <w:p w:rsidR="00BF4497" w:rsidRDefault="00BF4497" w:rsidP="00BF4497">
      <w:pPr>
        <w:pStyle w:val="Heading2"/>
      </w:pPr>
      <w:bookmarkStart w:id="20" w:name="_Toc107989264"/>
      <w:r>
        <w:t>2.8</w:t>
      </w:r>
      <w:r>
        <w:tab/>
        <w:t>Coefficient d'affaiblissement tenant compte de l'activité solaire</w:t>
      </w:r>
      <w:bookmarkEnd w:id="20"/>
    </w:p>
    <w:p w:rsidR="00BF4497" w:rsidRDefault="00BF4497" w:rsidP="00BF4497">
      <w:r>
        <w:rPr>
          <w:i/>
        </w:rPr>
        <w:t>L</w:t>
      </w:r>
      <w:r>
        <w:rPr>
          <w:i/>
          <w:vertAlign w:val="subscript"/>
        </w:rPr>
        <w:t>r</w:t>
      </w:r>
      <w:r>
        <w:t xml:space="preserve"> est le coefficient d'affaiblissement qui tient compte de l'activité solaire; il est donné par les formules suivantes:</w:t>
      </w:r>
    </w:p>
    <w:p w:rsidR="00BF4497" w:rsidRDefault="00BF4497" w:rsidP="00BF4497">
      <w:pPr>
        <w:pStyle w:val="enumlev1"/>
        <w:tabs>
          <w:tab w:val="clear" w:pos="794"/>
          <w:tab w:val="clear" w:pos="1191"/>
          <w:tab w:val="clear" w:pos="1588"/>
          <w:tab w:val="clear" w:pos="1985"/>
          <w:tab w:val="left" w:pos="5760"/>
        </w:tabs>
        <w:spacing w:before="86"/>
        <w:ind w:left="2552" w:hanging="2552"/>
      </w:pPr>
      <w:r>
        <w:t>dans la bande des ondes kilométriques,</w:t>
      </w:r>
      <w:r>
        <w:tab/>
      </w:r>
      <w:r>
        <w:rPr>
          <w:i/>
        </w:rPr>
        <w:t>L</w:t>
      </w:r>
      <w:r>
        <w:rPr>
          <w:i/>
          <w:vertAlign w:val="subscript"/>
        </w:rPr>
        <w:t>r</w:t>
      </w:r>
      <w:r>
        <w:t> </w:t>
      </w:r>
      <w:r>
        <w:rPr>
          <w:rFonts w:ascii="Symbol" w:hAnsi="Symbol"/>
        </w:rPr>
        <w:t></w:t>
      </w:r>
      <w:r>
        <w:t> 0</w:t>
      </w:r>
    </w:p>
    <w:p w:rsidR="00BF4497" w:rsidRDefault="00BF4497" w:rsidP="00BF4497">
      <w:pPr>
        <w:pStyle w:val="enumlev1"/>
        <w:tabs>
          <w:tab w:val="clear" w:pos="794"/>
          <w:tab w:val="clear" w:pos="1191"/>
          <w:tab w:val="clear" w:pos="1588"/>
          <w:tab w:val="clear" w:pos="1985"/>
          <w:tab w:val="left" w:pos="3402"/>
          <w:tab w:val="left" w:pos="3799"/>
          <w:tab w:val="left" w:pos="5103"/>
          <w:tab w:val="left" w:pos="5760"/>
        </w:tabs>
        <w:spacing w:before="86"/>
        <w:ind w:left="3402" w:hanging="3402"/>
      </w:pPr>
      <w:r>
        <w:t>dans la bande des ondes hectométriques, si   |</w:t>
      </w:r>
      <w:r>
        <w:rPr>
          <w:sz w:val="8"/>
        </w:rPr>
        <w:t> </w:t>
      </w:r>
      <w:r>
        <w:rPr>
          <w:rFonts w:ascii="Symbol" w:hAnsi="Symbol"/>
        </w:rPr>
        <w:t></w:t>
      </w:r>
      <w:r>
        <w:rPr>
          <w:sz w:val="8"/>
        </w:rPr>
        <w:t> </w:t>
      </w:r>
      <w:r>
        <w:t>| </w:t>
      </w:r>
      <w:r>
        <w:rPr>
          <w:rFonts w:ascii="Symbol" w:hAnsi="Symbol"/>
        </w:rPr>
        <w:t></w:t>
      </w:r>
      <w:r>
        <w:t> 45</w:t>
      </w:r>
      <w:r>
        <w:rPr>
          <w:rFonts w:ascii="Symbol" w:hAnsi="Symbol"/>
        </w:rPr>
        <w:t></w:t>
      </w:r>
      <w:r>
        <w:t>,</w:t>
      </w:r>
      <w:r>
        <w:tab/>
      </w:r>
      <w:r>
        <w:rPr>
          <w:i/>
        </w:rPr>
        <w:t>L</w:t>
      </w:r>
      <w:r>
        <w:rPr>
          <w:i/>
          <w:vertAlign w:val="subscript"/>
        </w:rPr>
        <w:t>r</w:t>
      </w:r>
      <w:r>
        <w:t> </w:t>
      </w:r>
      <w:r>
        <w:rPr>
          <w:rFonts w:ascii="Symbol" w:hAnsi="Symbol"/>
        </w:rPr>
        <w:t></w:t>
      </w:r>
      <w:r>
        <w:t> 0</w:t>
      </w:r>
    </w:p>
    <w:p w:rsidR="00BF4497" w:rsidRDefault="00BF4497" w:rsidP="00BF4497">
      <w:pPr>
        <w:pStyle w:val="enumlev1"/>
        <w:tabs>
          <w:tab w:val="clear" w:pos="794"/>
          <w:tab w:val="clear" w:pos="1191"/>
          <w:tab w:val="clear" w:pos="1588"/>
          <w:tab w:val="clear" w:pos="1985"/>
          <w:tab w:val="left" w:pos="3402"/>
          <w:tab w:val="left" w:pos="3799"/>
          <w:tab w:val="left" w:pos="5103"/>
          <w:tab w:val="left" w:pos="5760"/>
          <w:tab w:val="right" w:pos="9696"/>
        </w:tabs>
        <w:spacing w:before="86"/>
        <w:ind w:left="3402" w:hanging="3402"/>
      </w:pPr>
      <w:r>
        <w:t>dans la bande des ondes hectométriques, si   |</w:t>
      </w:r>
      <w:r>
        <w:rPr>
          <w:sz w:val="8"/>
        </w:rPr>
        <w:t> </w:t>
      </w:r>
      <w:r>
        <w:rPr>
          <w:rFonts w:ascii="Symbol" w:hAnsi="Symbol"/>
        </w:rPr>
        <w:t></w:t>
      </w:r>
      <w:r>
        <w:rPr>
          <w:sz w:val="8"/>
        </w:rPr>
        <w:t> </w:t>
      </w:r>
      <w:r>
        <w:t>| </w:t>
      </w:r>
      <w:r>
        <w:rPr>
          <w:rFonts w:ascii="Symbol" w:hAnsi="Symbol"/>
        </w:rPr>
        <w:t></w:t>
      </w:r>
      <w:r>
        <w:t> 45</w:t>
      </w:r>
      <w:r>
        <w:rPr>
          <w:rFonts w:ascii="Symbol" w:hAnsi="Symbol"/>
        </w:rPr>
        <w:t></w:t>
      </w:r>
      <w:r>
        <w:t>,</w:t>
      </w:r>
      <w:r>
        <w:tab/>
      </w:r>
      <w:r>
        <w:rPr>
          <w:i/>
        </w:rPr>
        <w:t>L</w:t>
      </w:r>
      <w:r>
        <w:rPr>
          <w:i/>
          <w:vertAlign w:val="subscript"/>
        </w:rPr>
        <w:t>r</w:t>
      </w:r>
      <w:r>
        <w:t> </w:t>
      </w:r>
      <w:r>
        <w:rPr>
          <w:rFonts w:ascii="Symbol" w:hAnsi="Symbol"/>
        </w:rPr>
        <w:t></w:t>
      </w:r>
      <w:r>
        <w:t> </w:t>
      </w:r>
      <w:r>
        <w:rPr>
          <w:i/>
        </w:rPr>
        <w:t>b</w:t>
      </w:r>
      <w:r>
        <w:t>(</w:t>
      </w:r>
      <w:r>
        <w:rPr>
          <w:i/>
        </w:rPr>
        <w:t>R</w:t>
      </w:r>
      <w:r>
        <w:t>/100) (</w:t>
      </w:r>
      <w:r>
        <w:rPr>
          <w:i/>
        </w:rPr>
        <w:t>p</w:t>
      </w:r>
      <w:r>
        <w:t>/1</w:t>
      </w:r>
      <w:r>
        <w:rPr>
          <w:rFonts w:ascii="Tms Rmn" w:hAnsi="Tms Rmn"/>
          <w:sz w:val="12"/>
        </w:rPr>
        <w:t> </w:t>
      </w:r>
      <w:r>
        <w:t>000)               dB</w:t>
      </w:r>
      <w:r>
        <w:tab/>
        <w:t>(12)</w:t>
      </w:r>
    </w:p>
    <w:p w:rsidR="00BF4497" w:rsidRDefault="00BF4497" w:rsidP="00BF4497">
      <w:r>
        <w:t>où:</w:t>
      </w:r>
    </w:p>
    <w:p w:rsidR="00BF4497" w:rsidRDefault="00BF4497" w:rsidP="00BF4497">
      <w:pPr>
        <w:pStyle w:val="enumlev1"/>
        <w:tabs>
          <w:tab w:val="left" w:pos="5760"/>
          <w:tab w:val="right" w:pos="9696"/>
        </w:tabs>
        <w:ind w:left="5760" w:hanging="5760"/>
      </w:pPr>
      <w:r>
        <w:tab/>
      </w:r>
      <w:r>
        <w:rPr>
          <w:i/>
        </w:rPr>
        <w:t>b</w:t>
      </w:r>
      <w:r>
        <w:t> </w:t>
      </w:r>
      <w:r>
        <w:rPr>
          <w:rFonts w:ascii="Symbol" w:hAnsi="Symbol"/>
        </w:rPr>
        <w:t></w:t>
      </w:r>
      <w:r>
        <w:t> (|</w:t>
      </w:r>
      <w:r>
        <w:rPr>
          <w:sz w:val="8"/>
        </w:rPr>
        <w:t> </w:t>
      </w:r>
      <w:r>
        <w:rPr>
          <w:rFonts w:ascii="Symbol" w:hAnsi="Symbol"/>
        </w:rPr>
        <w:t></w:t>
      </w:r>
      <w:r>
        <w:rPr>
          <w:sz w:val="8"/>
        </w:rPr>
        <w:t> </w:t>
      </w:r>
      <w:r>
        <w:t>| – 45)/3</w:t>
      </w:r>
      <w:r>
        <w:tab/>
        <w:t>sauf en Europe où on prend</w:t>
      </w:r>
      <w:r>
        <w:tab/>
        <w:t>(13)</w:t>
      </w:r>
      <w:r>
        <w:br/>
      </w:r>
      <w:r>
        <w:rPr>
          <w:i/>
        </w:rPr>
        <w:t>b</w:t>
      </w:r>
      <w:r>
        <w:t> </w:t>
      </w:r>
      <w:r>
        <w:rPr>
          <w:rFonts w:ascii="Symbol" w:hAnsi="Symbol"/>
        </w:rPr>
        <w:t></w:t>
      </w:r>
      <w:r>
        <w:t> 1 quelle que soit la latitude.</w:t>
      </w:r>
    </w:p>
    <w:p w:rsidR="00BF4497" w:rsidRDefault="00BF4497" w:rsidP="00BF4497">
      <w:r>
        <w:t>Les trajets de longueur supérieure à 3</w:t>
      </w:r>
      <w:r>
        <w:rPr>
          <w:rFonts w:ascii="Tms Rmn" w:hAnsi="Tms Rmn"/>
          <w:sz w:val="12"/>
        </w:rPr>
        <w:t> </w:t>
      </w:r>
      <w:r>
        <w:t>000 km sont divisés en deux parties égales, comme indiqué au § 2.6. Les valeurs de </w:t>
      </w:r>
      <w:r>
        <w:rPr>
          <w:i/>
        </w:rPr>
        <w:t>L</w:t>
      </w:r>
      <w:r>
        <w:rPr>
          <w:i/>
          <w:vertAlign w:val="subscript"/>
        </w:rPr>
        <w:t>r</w:t>
      </w:r>
      <w:r>
        <w:t xml:space="preserve"> sont évaluées pour chacune des parties, puis additionnées.</w:t>
      </w:r>
    </w:p>
    <w:p w:rsidR="00BF4497" w:rsidRDefault="00BF4497" w:rsidP="00BF4497">
      <w:pPr>
        <w:pStyle w:val="Heading1"/>
      </w:pPr>
      <w:r>
        <w:br w:type="page"/>
      </w:r>
      <w:bookmarkStart w:id="21" w:name="_Toc107989265"/>
      <w:r>
        <w:lastRenderedPageBreak/>
        <w:t>3</w:t>
      </w:r>
      <w:r>
        <w:tab/>
        <w:t>Variations du champ nocturne d'un jour à l'autre et durant de courtes périodes</w:t>
      </w:r>
      <w:bookmarkEnd w:id="21"/>
    </w:p>
    <w:p w:rsidR="00BF4497" w:rsidRDefault="00BF4497" w:rsidP="00BF4497">
      <w:r>
        <w:t xml:space="preserve">La différence, </w:t>
      </w:r>
      <w:r>
        <w:sym w:font="Symbol" w:char="F044"/>
      </w:r>
      <w:r>
        <w:t>(</w:t>
      </w:r>
      <w:r>
        <w:rPr>
          <w:i/>
          <w:iCs/>
        </w:rPr>
        <w:t>w</w:t>
      </w:r>
      <w:r>
        <w:t xml:space="preserve">), où </w:t>
      </w:r>
      <w:r>
        <w:rPr>
          <w:i/>
          <w:iCs/>
        </w:rPr>
        <w:t>w</w:t>
      </w:r>
      <w:r>
        <w:t xml:space="preserve"> prend généralement la valeur de 10 ou 1, entre le champ dépassé pendant </w:t>
      </w:r>
      <w:r>
        <w:rPr>
          <w:i/>
          <w:iCs/>
        </w:rPr>
        <w:t>w </w:t>
      </w:r>
      <w:r>
        <w:t>% du temps et la valeur médiane annuelle, pour un nombre d'heures donné après le coucher ou le lever du soleil, est donnée par:</w:t>
      </w:r>
    </w:p>
    <w:p w:rsidR="00BF4497" w:rsidRDefault="00BF4497" w:rsidP="00BF4497">
      <w:pPr>
        <w:pStyle w:val="Equation"/>
        <w:tabs>
          <w:tab w:val="left" w:pos="4253"/>
          <w:tab w:val="left" w:pos="4998"/>
          <w:tab w:val="left" w:pos="5278"/>
          <w:tab w:val="left" w:pos="7088"/>
        </w:tabs>
      </w:pPr>
      <w:r>
        <w:t xml:space="preserve">dans la bande des ondes kilométriques: </w:t>
      </w:r>
      <w:r>
        <w:tab/>
      </w:r>
      <w:r>
        <w:rPr>
          <w:rFonts w:ascii="Symbol" w:hAnsi="Symbol"/>
        </w:rPr>
        <w:t></w:t>
      </w:r>
      <w:r>
        <w:rPr>
          <w:rFonts w:ascii="Symbol" w:hAnsi="Symbol"/>
        </w:rPr>
        <w:t></w:t>
      </w:r>
      <w:r>
        <w:t>(10)</w:t>
      </w:r>
      <w:r>
        <w:tab/>
      </w:r>
      <w:r>
        <w:rPr>
          <w:rFonts w:ascii="Symbol" w:hAnsi="Symbol"/>
        </w:rPr>
        <w:t></w:t>
      </w:r>
      <w:r>
        <w:tab/>
        <w:t>6,5</w:t>
      </w:r>
      <w:r>
        <w:tab/>
        <w:t>dB</w:t>
      </w:r>
      <w:r>
        <w:tab/>
        <w:t>(14)</w:t>
      </w:r>
    </w:p>
    <w:p w:rsidR="00BF4497" w:rsidRDefault="00BF4497" w:rsidP="00BF4497">
      <w:pPr>
        <w:pStyle w:val="Equation"/>
        <w:tabs>
          <w:tab w:val="left" w:pos="4253"/>
          <w:tab w:val="left" w:pos="4998"/>
          <w:tab w:val="left" w:pos="5278"/>
          <w:tab w:val="left" w:pos="7088"/>
        </w:tabs>
      </w:pPr>
      <w:r>
        <w:t xml:space="preserve">et </w:t>
      </w:r>
      <w:r>
        <w:tab/>
      </w:r>
      <w:r>
        <w:tab/>
      </w:r>
      <w:r>
        <w:rPr>
          <w:rFonts w:ascii="Symbol" w:hAnsi="Symbol"/>
        </w:rPr>
        <w:t></w:t>
      </w:r>
      <w:r>
        <w:t xml:space="preserve"> (1)</w:t>
      </w:r>
      <w:r>
        <w:tab/>
      </w:r>
      <w:r>
        <w:tab/>
      </w:r>
      <w:r>
        <w:rPr>
          <w:rFonts w:ascii="Symbol" w:hAnsi="Symbol"/>
        </w:rPr>
        <w:t></w:t>
      </w:r>
      <w:r>
        <w:tab/>
        <w:t>11,5</w:t>
      </w:r>
      <w:r>
        <w:tab/>
        <w:t>dB</w:t>
      </w:r>
      <w:r>
        <w:tab/>
        <w:t>(15)</w:t>
      </w:r>
    </w:p>
    <w:p w:rsidR="00BF4497" w:rsidRDefault="00BF4497" w:rsidP="00BF4497">
      <w:pPr>
        <w:pStyle w:val="Equation"/>
        <w:tabs>
          <w:tab w:val="left" w:pos="4253"/>
          <w:tab w:val="left" w:pos="4998"/>
          <w:tab w:val="left" w:pos="5278"/>
          <w:tab w:val="left" w:pos="7088"/>
        </w:tabs>
      </w:pPr>
      <w:r>
        <w:t xml:space="preserve">dans la bande des ondes hectométriques: </w:t>
      </w:r>
      <w:r>
        <w:tab/>
      </w:r>
      <w:r>
        <w:rPr>
          <w:rFonts w:ascii="Symbol" w:hAnsi="Symbol"/>
        </w:rPr>
        <w:t></w:t>
      </w:r>
      <w:r>
        <w:t xml:space="preserve"> (10)</w:t>
      </w:r>
      <w:r>
        <w:tab/>
      </w:r>
      <w:r>
        <w:rPr>
          <w:rFonts w:ascii="Symbol" w:hAnsi="Symbol"/>
        </w:rPr>
        <w:t></w:t>
      </w:r>
      <w:r>
        <w:tab/>
        <w:t>0,2 |</w:t>
      </w:r>
      <w:r>
        <w:rPr>
          <w:sz w:val="8"/>
        </w:rPr>
        <w:t> </w:t>
      </w:r>
      <w:r>
        <w:rPr>
          <w:rFonts w:ascii="Symbol" w:hAnsi="Symbol"/>
        </w:rPr>
        <w:t></w:t>
      </w:r>
      <w:r>
        <w:rPr>
          <w:sz w:val="8"/>
        </w:rPr>
        <w:t> </w:t>
      </w:r>
      <w:r>
        <w:t>| – 2</w:t>
      </w:r>
      <w:r>
        <w:tab/>
        <w:t>dB</w:t>
      </w:r>
      <w:r>
        <w:tab/>
        <w:t>(16)</w:t>
      </w:r>
    </w:p>
    <w:p w:rsidR="00BF4497" w:rsidRDefault="00BF4497" w:rsidP="00BF4497">
      <w:pPr>
        <w:pStyle w:val="Equation"/>
        <w:tabs>
          <w:tab w:val="left" w:pos="4253"/>
          <w:tab w:val="left" w:pos="4998"/>
          <w:tab w:val="left" w:pos="5278"/>
          <w:tab w:val="left" w:pos="7088"/>
        </w:tabs>
      </w:pPr>
      <w:r>
        <w:t xml:space="preserve">et </w:t>
      </w:r>
      <w:r>
        <w:tab/>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ab/>
      </w:r>
      <w:r>
        <w:rPr>
          <w:rFonts w:ascii="Symbol" w:hAnsi="Symbol"/>
        </w:rPr>
        <w:tab/>
      </w:r>
      <w:r>
        <w:rPr>
          <w:rFonts w:ascii="Symbol" w:hAnsi="Symbol"/>
        </w:rPr>
        <w:t></w:t>
      </w:r>
      <w:r>
        <w:tab/>
        <w:t>0,2 |</w:t>
      </w:r>
      <w:r>
        <w:rPr>
          <w:sz w:val="8"/>
        </w:rPr>
        <w:t> </w:t>
      </w:r>
      <w:r>
        <w:rPr>
          <w:rFonts w:ascii="Symbol" w:hAnsi="Symbol"/>
        </w:rPr>
        <w:t></w:t>
      </w:r>
      <w:r>
        <w:rPr>
          <w:sz w:val="8"/>
        </w:rPr>
        <w:t> </w:t>
      </w:r>
      <w:r>
        <w:t>| + 3</w:t>
      </w:r>
      <w:r>
        <w:tab/>
        <w:t>dB</w:t>
      </w:r>
      <w:r>
        <w:tab/>
        <w:t>(17)</w:t>
      </w:r>
    </w:p>
    <w:p w:rsidR="00BF4497" w:rsidRDefault="00BF4497" w:rsidP="00BF4497">
      <w:r>
        <w:t xml:space="preserve">Dans la formule (16), </w:t>
      </w:r>
      <w:r>
        <w:rPr>
          <w:rFonts w:ascii="Symbol" w:hAnsi="Symbol"/>
        </w:rPr>
        <w:t></w:t>
      </w:r>
      <w:r>
        <w:t xml:space="preserve"> (10) est supérieur ou égal à 6 dB mais inférieur ou égal à 10 dB. Dans la formule (17), </w:t>
      </w:r>
      <w:r>
        <w:rPr>
          <w:rFonts w:ascii="Symbol" w:hAnsi="Symbol"/>
        </w:rPr>
        <w:t></w:t>
      </w:r>
      <w:r>
        <w:t xml:space="preserve"> (1) est supérieur ou égal à 11 dB mais inférieur ou égal à 15 dB.</w:t>
      </w:r>
    </w:p>
    <w:p w:rsidR="0023139B" w:rsidRDefault="0023139B" w:rsidP="00BF4497"/>
    <w:p w:rsidR="00BF4497" w:rsidRDefault="00BF4497" w:rsidP="00BF4497">
      <w:pPr>
        <w:pStyle w:val="FigureNo"/>
      </w:pPr>
      <w:r>
        <w:t>FIGURE  4</w:t>
      </w:r>
      <w:r w:rsidRPr="00C70956">
        <w:rPr>
          <w:caps w:val="0"/>
          <w:szCs w:val="18"/>
        </w:rPr>
        <w:t>a</w:t>
      </w:r>
    </w:p>
    <w:p w:rsidR="00BF4497" w:rsidRPr="00C70956" w:rsidRDefault="00BF4497" w:rsidP="00BF4497">
      <w:pPr>
        <w:pStyle w:val="Figuretitle"/>
      </w:pPr>
      <w:r>
        <w:t xml:space="preserve">Courbes représentant </w:t>
      </w:r>
      <w:r w:rsidRPr="00C70956">
        <w:rPr>
          <w:i/>
        </w:rPr>
        <w:t>E</w:t>
      </w:r>
      <w:r w:rsidRPr="00C70956">
        <w:rPr>
          <w:szCs w:val="18"/>
          <w:vertAlign w:val="subscript"/>
        </w:rPr>
        <w:t>0</w:t>
      </w:r>
      <w:r>
        <w:t xml:space="preserve"> pour la bande des ondes kilométriques, dans le cas</w:t>
      </w:r>
      <w:r>
        <w:br/>
        <w:t xml:space="preserve">où </w:t>
      </w:r>
      <w:r w:rsidRPr="00C70956">
        <w:rPr>
          <w:i/>
        </w:rPr>
        <w:t>G</w:t>
      </w:r>
      <w:r w:rsidRPr="00C70956">
        <w:rPr>
          <w:i/>
          <w:szCs w:val="18"/>
          <w:vertAlign w:val="subscript"/>
        </w:rPr>
        <w:t>S</w:t>
      </w:r>
      <w:r>
        <w:t xml:space="preserve">, </w:t>
      </w:r>
      <w:r w:rsidRPr="00C70956">
        <w:rPr>
          <w:i/>
        </w:rPr>
        <w:t>L</w:t>
      </w:r>
      <w:r w:rsidRPr="00C70956">
        <w:rPr>
          <w:i/>
          <w:szCs w:val="18"/>
          <w:vertAlign w:val="subscript"/>
        </w:rPr>
        <w:t>p</w:t>
      </w:r>
      <w:r>
        <w:t xml:space="preserve"> et </w:t>
      </w:r>
      <w:r w:rsidRPr="00F80C26">
        <w:rPr>
          <w:i/>
        </w:rPr>
        <w:t>R</w:t>
      </w:r>
      <w:r>
        <w:t xml:space="preserve"> sont tous égaux à zéro et pour des valeurs constantes</w:t>
      </w:r>
      <w:r>
        <w:br/>
        <w:t>de la latitude géomagnétique</w:t>
      </w:r>
    </w:p>
    <w:p w:rsidR="00BF4497" w:rsidRDefault="00BF4497" w:rsidP="00BF4497">
      <w:pPr>
        <w:pStyle w:val="Figure"/>
      </w:pPr>
      <w:r>
        <w:object w:dxaOrig="4897" w:dyaOrig="7762">
          <v:shape id="_x0000_i1037" type="#_x0000_t75" style="width:244.7pt;height:387.9pt" o:ole="">
            <v:imagedata r:id="rId30" o:title=""/>
          </v:shape>
          <o:OLEObject Type="Embed" ProgID="CorelDRAW.Graphic.12" ShapeID="_x0000_i1037" DrawAspect="Content" ObjectID="_1494312934" r:id="rId31"/>
        </w:object>
      </w:r>
    </w:p>
    <w:p w:rsidR="00BF4497" w:rsidRDefault="00BF4497" w:rsidP="00BF4497">
      <w:r>
        <w:br w:type="page"/>
      </w:r>
    </w:p>
    <w:p w:rsidR="00BF4497" w:rsidRDefault="00BF4497" w:rsidP="00BF4497">
      <w:pPr>
        <w:pStyle w:val="FigureNo"/>
      </w:pPr>
      <w:r>
        <w:t>FIGURE  4</w:t>
      </w:r>
      <w:r>
        <w:rPr>
          <w:caps w:val="0"/>
          <w:szCs w:val="18"/>
        </w:rPr>
        <w:t>b</w:t>
      </w:r>
    </w:p>
    <w:p w:rsidR="00BF4497" w:rsidRPr="00C70956" w:rsidRDefault="00BF4497" w:rsidP="00BF4497">
      <w:pPr>
        <w:pStyle w:val="Figuretitle"/>
      </w:pPr>
      <w:r>
        <w:t xml:space="preserve">Courbes représentant </w:t>
      </w:r>
      <w:r w:rsidRPr="00C70956">
        <w:rPr>
          <w:i/>
        </w:rPr>
        <w:t>E</w:t>
      </w:r>
      <w:r w:rsidRPr="00C70956">
        <w:rPr>
          <w:szCs w:val="18"/>
          <w:vertAlign w:val="subscript"/>
        </w:rPr>
        <w:t>0</w:t>
      </w:r>
      <w:r>
        <w:t xml:space="preserve"> pour la bande des ondes hectométriques, dans le cas</w:t>
      </w:r>
      <w:r>
        <w:br/>
        <w:t xml:space="preserve">où </w:t>
      </w:r>
      <w:r w:rsidRPr="00C70956">
        <w:rPr>
          <w:i/>
        </w:rPr>
        <w:t>G</w:t>
      </w:r>
      <w:r w:rsidRPr="00C70956">
        <w:rPr>
          <w:i/>
          <w:szCs w:val="18"/>
          <w:vertAlign w:val="subscript"/>
        </w:rPr>
        <w:t>S</w:t>
      </w:r>
      <w:r>
        <w:t xml:space="preserve">, </w:t>
      </w:r>
      <w:r w:rsidRPr="00C70956">
        <w:rPr>
          <w:i/>
        </w:rPr>
        <w:t>L</w:t>
      </w:r>
      <w:r w:rsidRPr="00C70956">
        <w:rPr>
          <w:i/>
          <w:szCs w:val="18"/>
          <w:vertAlign w:val="subscript"/>
        </w:rPr>
        <w:t>p</w:t>
      </w:r>
      <w:r>
        <w:t xml:space="preserve"> et </w:t>
      </w:r>
      <w:r w:rsidRPr="00F80C26">
        <w:rPr>
          <w:i/>
        </w:rPr>
        <w:t>R</w:t>
      </w:r>
      <w:r>
        <w:t xml:space="preserve"> sont tous égaux à zéro et pour des valeurs constantes</w:t>
      </w:r>
      <w:r>
        <w:br/>
        <w:t>de la latitude géomagnétique</w:t>
      </w:r>
    </w:p>
    <w:p w:rsidR="00BF4497" w:rsidRDefault="00BF4497" w:rsidP="00BF4497">
      <w:pPr>
        <w:pStyle w:val="Figure"/>
      </w:pPr>
      <w:r>
        <w:object w:dxaOrig="5988" w:dyaOrig="8483">
          <v:shape id="_x0000_i1038" type="#_x0000_t75" style="width:299.25pt;height:424.5pt" o:ole="">
            <v:imagedata r:id="rId32" o:title=""/>
          </v:shape>
          <o:OLEObject Type="Embed" ProgID="CorelDRAW.Graphic.12" ShapeID="_x0000_i1038" DrawAspect="Content" ObjectID="_1494312935" r:id="rId33"/>
        </w:object>
      </w:r>
    </w:p>
    <w:p w:rsidR="00BF4497" w:rsidRDefault="00BF4497" w:rsidP="00BF4497"/>
    <w:p w:rsidR="00BF4497" w:rsidRDefault="00BF4497" w:rsidP="00BF4497">
      <w:r>
        <w:br w:type="page"/>
      </w:r>
    </w:p>
    <w:p w:rsidR="00BF4497" w:rsidRDefault="00BF4497" w:rsidP="00BF4497">
      <w:pPr>
        <w:pStyle w:val="FigureNo"/>
      </w:pPr>
      <w:r>
        <w:object w:dxaOrig="9542" w:dyaOrig="8778">
          <v:shape id="_x0000_i1039" type="#_x0000_t75" style="width:476.95pt;height:439.1pt" o:ole="" o:allowoverlap="f">
            <v:imagedata r:id="rId34" o:title=""/>
          </v:shape>
          <o:OLEObject Type="Embed" ProgID="CorelDRAW.Graphic.12" ShapeID="_x0000_i1039" DrawAspect="Content" ObjectID="_1494312936" r:id="rId35"/>
        </w:object>
      </w:r>
    </w:p>
    <w:p w:rsidR="00BF4497" w:rsidRDefault="00BF4497" w:rsidP="00BF4497"/>
    <w:p w:rsidR="00BF4497" w:rsidRDefault="00BF4497" w:rsidP="00BF4497">
      <w:pPr>
        <w:rPr>
          <w:lang w:val="en-US"/>
        </w:rPr>
      </w:pPr>
      <w:r>
        <w:rPr>
          <w:lang w:val="en-US"/>
        </w:rPr>
        <w:br w:type="page"/>
      </w:r>
    </w:p>
    <w:p w:rsidR="00BF4497" w:rsidRDefault="00BF4497" w:rsidP="00BF4497">
      <w:pPr>
        <w:pStyle w:val="FigureNo"/>
        <w:rPr>
          <w:lang w:val="en-US"/>
        </w:rPr>
      </w:pPr>
      <w:r>
        <w:object w:dxaOrig="9554" w:dyaOrig="8689">
          <v:shape id="_x0000_i1040" type="#_x0000_t75" style="width:477.8pt;height:434.5pt" o:ole="" o:allowoverlap="f">
            <v:imagedata r:id="rId36" o:title=""/>
          </v:shape>
          <o:OLEObject Type="Embed" ProgID="CorelDRAW.Graphic.12" ShapeID="_x0000_i1040" DrawAspect="Content" ObjectID="_1494312937" r:id="rId37"/>
        </w:object>
      </w:r>
    </w:p>
    <w:p w:rsidR="00BF4497" w:rsidRDefault="00BF4497" w:rsidP="00BF4497">
      <w:pPr>
        <w:rPr>
          <w:lang w:val="en-US"/>
        </w:rPr>
      </w:pPr>
    </w:p>
    <w:p w:rsidR="00BF4497" w:rsidRDefault="00BF4497" w:rsidP="00BF4497">
      <w:pPr>
        <w:rPr>
          <w:lang w:val="en-US"/>
        </w:rPr>
      </w:pPr>
      <w:r>
        <w:rPr>
          <w:lang w:val="en-US"/>
        </w:rPr>
        <w:br w:type="page"/>
      </w:r>
    </w:p>
    <w:p w:rsidR="00BF4497" w:rsidRDefault="00BF4497" w:rsidP="00BF4497">
      <w:pPr>
        <w:pStyle w:val="FigureNo"/>
        <w:rPr>
          <w:lang w:val="en-US"/>
        </w:rPr>
      </w:pPr>
      <w:r>
        <w:object w:dxaOrig="8650" w:dyaOrig="7150">
          <v:shape id="_x0000_i1041" type="#_x0000_t75" style="width:432.85pt;height:357.9pt" o:ole="" o:allowoverlap="f">
            <v:imagedata r:id="rId38" o:title=""/>
          </v:shape>
          <o:OLEObject Type="Embed" ProgID="CorelDRAW.Graphic.12" ShapeID="_x0000_i1041" DrawAspect="Content" ObjectID="_1494312938" r:id="rId39"/>
        </w:object>
      </w:r>
    </w:p>
    <w:p w:rsidR="00BF4497" w:rsidRDefault="00BF4497" w:rsidP="00BF4497">
      <w:pPr>
        <w:rPr>
          <w:lang w:val="en-US"/>
        </w:rPr>
      </w:pPr>
    </w:p>
    <w:p w:rsidR="00BF4497" w:rsidRDefault="00BF4497" w:rsidP="00BF4497">
      <w:r>
        <w:br w:type="page"/>
      </w:r>
    </w:p>
    <w:p w:rsidR="00BF4497" w:rsidRDefault="000E5BFF" w:rsidP="00BF4497">
      <w:pPr>
        <w:pStyle w:val="FigureNo"/>
      </w:pPr>
      <w:r>
        <w:object w:dxaOrig="8921" w:dyaOrig="10294">
          <v:shape id="_x0000_i1042" type="#_x0000_t75" style="width:446.15pt;height:514.8pt" o:ole="" o:allowoverlap="f">
            <v:imagedata r:id="rId40" o:title=""/>
          </v:shape>
          <o:OLEObject Type="Embed" ProgID="CorelDRAW.Graphic.12" ShapeID="_x0000_i1042" DrawAspect="Content" ObjectID="_1494312939" r:id="rId41"/>
        </w:object>
      </w:r>
    </w:p>
    <w:p w:rsidR="00BF4497" w:rsidRDefault="00BF4497" w:rsidP="00BF4497"/>
    <w:p w:rsidR="00BF4497" w:rsidRDefault="00BF4497" w:rsidP="00BF4497">
      <w:r>
        <w:br w:type="page"/>
      </w:r>
    </w:p>
    <w:p w:rsidR="00BF4497" w:rsidRDefault="000E5BFF" w:rsidP="00BF4497">
      <w:pPr>
        <w:pStyle w:val="FigureNo"/>
      </w:pPr>
      <w:r>
        <w:object w:dxaOrig="8937" w:dyaOrig="10206">
          <v:shape id="_x0000_i1043" type="#_x0000_t75" style="width:447pt;height:509.85pt" o:ole="" o:allowoverlap="f">
            <v:imagedata r:id="rId42" o:title=""/>
          </v:shape>
          <o:OLEObject Type="Embed" ProgID="CorelDRAW.Graphic.12" ShapeID="_x0000_i1043" DrawAspect="Content" ObjectID="_1494312940" r:id="rId43"/>
        </w:object>
      </w:r>
    </w:p>
    <w:p w:rsidR="00BF4497" w:rsidRDefault="00BF4497" w:rsidP="00BF4497"/>
    <w:p w:rsidR="00BF4497" w:rsidRDefault="00BF4497" w:rsidP="00BF4497">
      <w:r>
        <w:br w:type="page"/>
      </w:r>
    </w:p>
    <w:p w:rsidR="00BF4497" w:rsidRDefault="00BF4497" w:rsidP="00BF4497">
      <w:pPr>
        <w:pStyle w:val="FigureNo"/>
      </w:pPr>
      <w:r>
        <w:object w:dxaOrig="4373" w:dyaOrig="7463">
          <v:shape id="_x0000_i1044" type="#_x0000_t75" style="width:218.9pt;height:373.3pt" o:ole="" o:allowoverlap="f">
            <v:imagedata r:id="rId44" o:title=""/>
          </v:shape>
          <o:OLEObject Type="Embed" ProgID="CorelDRAW.Graphic.12" ShapeID="_x0000_i1044" DrawAspect="Content" ObjectID="_1494312941" r:id="rId45"/>
        </w:object>
      </w:r>
    </w:p>
    <w:p w:rsidR="00BF4497" w:rsidRDefault="00BF4497" w:rsidP="00BF4497"/>
    <w:p w:rsidR="00BF4497" w:rsidRDefault="00BF4497" w:rsidP="00BF4497">
      <w:pPr>
        <w:rPr>
          <w:lang w:val="en-US"/>
        </w:rPr>
      </w:pPr>
      <w:r>
        <w:rPr>
          <w:lang w:val="en-US"/>
        </w:rPr>
        <w:br w:type="page"/>
      </w:r>
    </w:p>
    <w:p w:rsidR="00BF4497" w:rsidRDefault="00BF4497" w:rsidP="00BF4497">
      <w:pPr>
        <w:pStyle w:val="FigureNo"/>
        <w:rPr>
          <w:lang w:val="en-US"/>
        </w:rPr>
      </w:pPr>
      <w:r>
        <w:object w:dxaOrig="9564" w:dyaOrig="9343">
          <v:shape id="_x0000_i1045" type="#_x0000_t75" style="width:478.6pt;height:466.95pt" o:ole="" o:allowoverlap="f">
            <v:imagedata r:id="rId46" o:title=""/>
          </v:shape>
          <o:OLEObject Type="Embed" ProgID="CorelDRAW.Graphic.12" ShapeID="_x0000_i1045" DrawAspect="Content" ObjectID="_1494312942" r:id="rId47"/>
        </w:object>
      </w:r>
    </w:p>
    <w:p w:rsidR="00BF4497" w:rsidRDefault="00BF4497" w:rsidP="00BF4497">
      <w:pPr>
        <w:rPr>
          <w:lang w:val="en-US"/>
        </w:rPr>
      </w:pPr>
    </w:p>
    <w:p w:rsidR="00BF4497" w:rsidRDefault="00BF4497" w:rsidP="00BF4497">
      <w:pPr>
        <w:pStyle w:val="FigureNo"/>
      </w:pPr>
      <w:r>
        <w:object w:dxaOrig="9498" w:dyaOrig="9633">
          <v:shape id="_x0000_i1046" type="#_x0000_t75" style="width:474.85pt;height:481.55pt" o:ole="" o:allowoverlap="f">
            <v:imagedata r:id="rId48" o:title=""/>
          </v:shape>
          <o:OLEObject Type="Embed" ProgID="CorelDRAW.Graphic.12" ShapeID="_x0000_i1046" DrawAspect="Content" ObjectID="_1494312943" r:id="rId49"/>
        </w:object>
      </w:r>
    </w:p>
    <w:p w:rsidR="00BF4497" w:rsidRDefault="00BF4497" w:rsidP="00BF4497"/>
    <w:p w:rsidR="00BF4497" w:rsidRDefault="00BF4497" w:rsidP="00BF4497">
      <w:pPr>
        <w:pStyle w:val="AppendixNoTitle"/>
      </w:pPr>
      <w:bookmarkStart w:id="22" w:name="_Toc107989266"/>
      <w:r>
        <w:t>Appendice 1</w:t>
      </w:r>
      <w:bookmarkEnd w:id="22"/>
    </w:p>
    <w:p w:rsidR="00BF4497" w:rsidRDefault="00BF4497" w:rsidP="00BF4497">
      <w:pPr>
        <w:pStyle w:val="Normalaftertitle"/>
      </w:pPr>
      <w:r>
        <w:t>Le présent Appendice contient des équations susceptibles de remplacer les Fig. 3 et 11, pour évaluer le coefficient d'affaiblissement horaire et les heures du coucher et du lever du Soleil. Les symboles supplémentaires suivants sont utilisés dans le présent Appendice:</w:t>
      </w:r>
    </w:p>
    <w:p w:rsidR="00BF4497" w:rsidRDefault="00BF4497" w:rsidP="00BF4497">
      <w:pPr>
        <w:pStyle w:val="Headingi"/>
      </w:pPr>
      <w:r>
        <w:t>Liste des symboles</w:t>
      </w:r>
    </w:p>
    <w:p w:rsidR="00BF4497" w:rsidRPr="00C63173" w:rsidRDefault="00BF4497" w:rsidP="00BF4497">
      <w:pPr>
        <w:pStyle w:val="Equationlegend"/>
        <w:spacing w:line="270" w:lineRule="exact"/>
        <w:rPr>
          <w:lang w:val="fr-FR"/>
        </w:rPr>
      </w:pPr>
      <w:r w:rsidRPr="00C63173">
        <w:rPr>
          <w:lang w:val="fr-FR"/>
        </w:rPr>
        <w:tab/>
      </w:r>
      <w:r>
        <w:rPr>
          <w:rFonts w:ascii="Symbol" w:hAnsi="Symbol"/>
        </w:rPr>
        <w:t></w:t>
      </w:r>
      <w:r w:rsidRPr="00C63173">
        <w:rPr>
          <w:rFonts w:ascii="Tms Rmn" w:hAnsi="Tms Rmn"/>
          <w:sz w:val="12"/>
          <w:lang w:val="fr-FR"/>
        </w:rPr>
        <w:t> </w:t>
      </w:r>
      <w:r w:rsidRPr="00C63173">
        <w:rPr>
          <w:lang w:val="fr-FR"/>
        </w:rPr>
        <w:t>:</w:t>
      </w:r>
      <w:r w:rsidRPr="00C63173">
        <w:rPr>
          <w:lang w:val="fr-FR"/>
        </w:rPr>
        <w:tab/>
        <w:t>latitude géographique d'un point sur le trajet (degrés)</w:t>
      </w:r>
    </w:p>
    <w:p w:rsidR="00BF4497" w:rsidRPr="00C63173" w:rsidRDefault="00BF4497" w:rsidP="00BF4497">
      <w:pPr>
        <w:pStyle w:val="Equationlegend"/>
        <w:spacing w:line="270" w:lineRule="exact"/>
        <w:rPr>
          <w:lang w:val="fr-FR"/>
        </w:rPr>
      </w:pPr>
      <w:r w:rsidRPr="00C63173">
        <w:rPr>
          <w:lang w:val="fr-FR"/>
        </w:rPr>
        <w:tab/>
      </w:r>
      <w:r>
        <w:rPr>
          <w:rFonts w:ascii="Symbol" w:hAnsi="Symbol"/>
        </w:rPr>
        <w:t></w:t>
      </w:r>
      <w:r w:rsidRPr="00C63173">
        <w:rPr>
          <w:rFonts w:ascii="Tms Rmn" w:hAnsi="Tms Rmn"/>
          <w:sz w:val="12"/>
          <w:lang w:val="fr-FR"/>
        </w:rPr>
        <w:t> </w:t>
      </w:r>
      <w:r w:rsidRPr="00C63173">
        <w:rPr>
          <w:lang w:val="fr-FR"/>
        </w:rPr>
        <w:t>:</w:t>
      </w:r>
      <w:r w:rsidRPr="00C63173">
        <w:rPr>
          <w:lang w:val="fr-FR"/>
        </w:rPr>
        <w:tab/>
        <w:t>longitude géographique d'un point sur le trajet (degrés)</w:t>
      </w:r>
    </w:p>
    <w:p w:rsidR="00BF4497" w:rsidRPr="00C63173" w:rsidRDefault="00BF4497" w:rsidP="00BF4497">
      <w:pPr>
        <w:pStyle w:val="Equationlegend"/>
        <w:rPr>
          <w:lang w:val="fr-FR"/>
        </w:rPr>
      </w:pPr>
      <w:r w:rsidRPr="00C63173">
        <w:rPr>
          <w:i/>
          <w:lang w:val="fr-FR"/>
        </w:rPr>
        <w:tab/>
        <w:t>S</w:t>
      </w:r>
      <w:r w:rsidRPr="00C63173">
        <w:rPr>
          <w:rFonts w:ascii="Tms Rmn" w:hAnsi="Tms Rmn"/>
          <w:sz w:val="12"/>
          <w:lang w:val="fr-FR"/>
        </w:rPr>
        <w:t> </w:t>
      </w:r>
      <w:r w:rsidRPr="00C63173">
        <w:rPr>
          <w:lang w:val="fr-FR"/>
        </w:rPr>
        <w:t>:</w:t>
      </w:r>
      <w:r w:rsidRPr="00C63173">
        <w:rPr>
          <w:lang w:val="fr-FR"/>
        </w:rPr>
        <w:tab/>
        <w:t>heure moyenne locale du coucher ou du lever du Soleil à un point donné (h).</w:t>
      </w:r>
    </w:p>
    <w:p w:rsidR="00BF4497" w:rsidRDefault="00BF4497" w:rsidP="00BF4497">
      <w:r>
        <w:t>Les coordonnées nord et est sont supposées être positives et les coordonnées sud et ouest négatives.</w:t>
      </w:r>
    </w:p>
    <w:p w:rsidR="00BF4497" w:rsidRDefault="00BF4497" w:rsidP="00BF4497">
      <w:pPr>
        <w:pStyle w:val="Heading1"/>
      </w:pPr>
      <w:r>
        <w:br w:type="page"/>
      </w:r>
      <w:bookmarkStart w:id="23" w:name="_Toc107989267"/>
      <w:r>
        <w:lastRenderedPageBreak/>
        <w:t>1</w:t>
      </w:r>
      <w:r>
        <w:tab/>
        <w:t xml:space="preserve">Coefficient d'affaiblissement horaire, </w:t>
      </w:r>
      <w:r>
        <w:rPr>
          <w:i/>
        </w:rPr>
        <w:t>L</w:t>
      </w:r>
      <w:r>
        <w:rPr>
          <w:i/>
          <w:vertAlign w:val="subscript"/>
        </w:rPr>
        <w:t>t</w:t>
      </w:r>
      <w:bookmarkEnd w:id="23"/>
    </w:p>
    <w:p w:rsidR="00BF4497" w:rsidRDefault="00BF4497" w:rsidP="00BF4497">
      <w:pPr>
        <w:spacing w:line="270" w:lineRule="exact"/>
      </w:pPr>
      <w:r>
        <w:t xml:space="preserve">Ces équations peuvent être utilisées à la place des courbes de la Fig. 3, dans les limites fixées de </w:t>
      </w:r>
      <w:r>
        <w:rPr>
          <w:i/>
        </w:rPr>
        <w:t>t</w:t>
      </w:r>
      <w:r>
        <w:t>. Pour les heures intermédiaires (par exemple, autour de minuit),</w:t>
      </w:r>
      <w:r>
        <w:rPr>
          <w:i/>
        </w:rPr>
        <w:t xml:space="preserve"> L</w:t>
      </w:r>
      <w:r>
        <w:rPr>
          <w:i/>
          <w:vertAlign w:val="subscript"/>
        </w:rPr>
        <w:t>t</w:t>
      </w:r>
      <w:r>
        <w:t> </w:t>
      </w:r>
      <w:r>
        <w:rPr>
          <w:rFonts w:ascii="Symbol" w:hAnsi="Symbol"/>
        </w:rPr>
        <w:t></w:t>
      </w:r>
      <w:r>
        <w:t> 0.</w:t>
      </w:r>
    </w:p>
    <w:p w:rsidR="00BF4497" w:rsidRDefault="00BF4497" w:rsidP="00BF4497">
      <w:pPr>
        <w:pStyle w:val="Equation"/>
        <w:tabs>
          <w:tab w:val="left" w:pos="7020"/>
        </w:tabs>
      </w:pPr>
      <w:r>
        <w:rPr>
          <w:i/>
        </w:rPr>
        <w:tab/>
        <w:t>L</w:t>
      </w:r>
      <w:r>
        <w:rPr>
          <w:i/>
          <w:position w:val="-4"/>
          <w:sz w:val="16"/>
        </w:rPr>
        <w:t>t</w:t>
      </w:r>
      <w:r>
        <w:t xml:space="preserve">  (coucher)  </w:t>
      </w:r>
      <w:r>
        <w:rPr>
          <w:rFonts w:ascii="Symbol" w:hAnsi="Symbol"/>
        </w:rPr>
        <w:t></w:t>
      </w:r>
      <w:r>
        <w:t xml:space="preserve">  12,40  –  9,248</w:t>
      </w:r>
      <w:r>
        <w:rPr>
          <w:i/>
        </w:rPr>
        <w:t xml:space="preserve"> t</w:t>
      </w:r>
      <w:r>
        <w:t xml:space="preserve">  </w:t>
      </w:r>
      <w:r>
        <w:rPr>
          <w:rFonts w:ascii="Symbol" w:hAnsi="Symbol"/>
        </w:rPr>
        <w:t></w:t>
      </w:r>
      <w:r>
        <w:t xml:space="preserve">  2,892</w:t>
      </w:r>
      <w:r>
        <w:rPr>
          <w:i/>
        </w:rPr>
        <w:t xml:space="preserve"> t</w:t>
      </w:r>
      <w:r>
        <w:rPr>
          <w:position w:val="4"/>
          <w:sz w:val="16"/>
        </w:rPr>
        <w:t>2</w:t>
      </w:r>
      <w:r>
        <w:t xml:space="preserve">  –  0,3343</w:t>
      </w:r>
      <w:r>
        <w:rPr>
          <w:i/>
        </w:rPr>
        <w:t xml:space="preserve"> t</w:t>
      </w:r>
      <w:r>
        <w:rPr>
          <w:position w:val="4"/>
          <w:sz w:val="16"/>
        </w:rPr>
        <w:t>3</w:t>
      </w:r>
      <w:r>
        <w:tab/>
        <w:t xml:space="preserve">pour –1 </w:t>
      </w:r>
      <w:r>
        <w:rPr>
          <w:rFonts w:ascii="Symbol" w:hAnsi="Symbol"/>
        </w:rPr>
        <w:t></w:t>
      </w:r>
      <w:r>
        <w:rPr>
          <w:i/>
        </w:rPr>
        <w:t xml:space="preserve"> t</w:t>
      </w:r>
      <w:r>
        <w:t xml:space="preserve"> (coucher) </w:t>
      </w:r>
      <w:r>
        <w:rPr>
          <w:rFonts w:ascii="Symbol" w:hAnsi="Symbol"/>
        </w:rPr>
        <w:t></w:t>
      </w:r>
      <w:r>
        <w:t xml:space="preserve"> 4</w:t>
      </w:r>
    </w:p>
    <w:p w:rsidR="00BF4497" w:rsidRDefault="00BF4497" w:rsidP="00BF4497">
      <w:pPr>
        <w:pStyle w:val="Equation"/>
        <w:tabs>
          <w:tab w:val="left" w:pos="7020"/>
        </w:tabs>
      </w:pPr>
      <w:r>
        <w:rPr>
          <w:i/>
        </w:rPr>
        <w:tab/>
        <w:t>L</w:t>
      </w:r>
      <w:r>
        <w:rPr>
          <w:i/>
          <w:position w:val="-4"/>
          <w:sz w:val="16"/>
        </w:rPr>
        <w:t>t</w:t>
      </w:r>
      <w:r>
        <w:t xml:space="preserve">  (lever)  </w:t>
      </w:r>
      <w:r>
        <w:rPr>
          <w:rFonts w:ascii="Symbol" w:hAnsi="Symbol"/>
        </w:rPr>
        <w:t></w:t>
      </w:r>
      <w:r>
        <w:t xml:space="preserve">  9,6  </w:t>
      </w:r>
      <w:r>
        <w:rPr>
          <w:rFonts w:ascii="Symbol" w:hAnsi="Symbol"/>
        </w:rPr>
        <w:t></w:t>
      </w:r>
      <w:r>
        <w:t xml:space="preserve">  12,2</w:t>
      </w:r>
      <w:r>
        <w:rPr>
          <w:i/>
        </w:rPr>
        <w:t xml:space="preserve"> t</w:t>
      </w:r>
      <w:r>
        <w:t xml:space="preserve">  </w:t>
      </w:r>
      <w:r>
        <w:rPr>
          <w:rFonts w:ascii="Symbol" w:hAnsi="Symbol"/>
        </w:rPr>
        <w:t></w:t>
      </w:r>
      <w:r>
        <w:t xml:space="preserve">  5,62</w:t>
      </w:r>
      <w:r>
        <w:rPr>
          <w:i/>
        </w:rPr>
        <w:t xml:space="preserve"> t</w:t>
      </w:r>
      <w:r>
        <w:rPr>
          <w:position w:val="4"/>
          <w:sz w:val="16"/>
        </w:rPr>
        <w:t>2</w:t>
      </w:r>
      <w:r>
        <w:t xml:space="preserve">  </w:t>
      </w:r>
      <w:r>
        <w:rPr>
          <w:rFonts w:ascii="Symbol" w:hAnsi="Symbol"/>
        </w:rPr>
        <w:t></w:t>
      </w:r>
      <w:r>
        <w:t xml:space="preserve">  0,86</w:t>
      </w:r>
      <w:r>
        <w:rPr>
          <w:i/>
        </w:rPr>
        <w:t xml:space="preserve"> t</w:t>
      </w:r>
      <w:r>
        <w:rPr>
          <w:position w:val="4"/>
          <w:sz w:val="16"/>
        </w:rPr>
        <w:t>3</w:t>
      </w:r>
      <w:r>
        <w:tab/>
        <w:t xml:space="preserve">pour –3 </w:t>
      </w:r>
      <w:r>
        <w:rPr>
          <w:rFonts w:ascii="Symbol" w:hAnsi="Symbol"/>
        </w:rPr>
        <w:t></w:t>
      </w:r>
      <w:r>
        <w:rPr>
          <w:i/>
        </w:rPr>
        <w:t xml:space="preserve"> t</w:t>
      </w:r>
      <w:r>
        <w:t xml:space="preserve"> (lever) </w:t>
      </w:r>
      <w:r>
        <w:rPr>
          <w:rFonts w:ascii="Symbol" w:hAnsi="Symbol"/>
        </w:rPr>
        <w:t></w:t>
      </w:r>
      <w:r>
        <w:t xml:space="preserve"> 1</w:t>
      </w:r>
    </w:p>
    <w:p w:rsidR="00BF4497" w:rsidRDefault="00BF4497" w:rsidP="00BF4497">
      <w:r>
        <w:t>où</w:t>
      </w:r>
      <w:r>
        <w:rPr>
          <w:i/>
        </w:rPr>
        <w:t xml:space="preserve"> t</w:t>
      </w:r>
      <w:r>
        <w:t xml:space="preserve"> représente l'heure comptée à partir du coucher ou du lever du Soleil au point milieu du trajet.</w:t>
      </w:r>
    </w:p>
    <w:p w:rsidR="00BF4497" w:rsidRDefault="00BF4497" w:rsidP="00BF4497">
      <w:pPr>
        <w:pStyle w:val="Heading1"/>
        <w:spacing w:before="360"/>
      </w:pPr>
      <w:bookmarkStart w:id="24" w:name="_Toc107989268"/>
      <w:r>
        <w:t>2</w:t>
      </w:r>
      <w:r>
        <w:tab/>
        <w:t>Heures du coucher et du lever du Soleil</w:t>
      </w:r>
      <w:bookmarkEnd w:id="24"/>
    </w:p>
    <w:p w:rsidR="00BF4497" w:rsidRDefault="00BF4497" w:rsidP="00BF4497">
      <w:pPr>
        <w:spacing w:line="270" w:lineRule="exact"/>
      </w:pPr>
      <w:r>
        <w:t>Pour les sites en dehors des régions polaires, c'est-à-dire pour lesquels | </w:t>
      </w:r>
      <w:r>
        <w:rPr>
          <w:rFonts w:ascii="Symbol" w:hAnsi="Symbol"/>
        </w:rPr>
        <w:t></w:t>
      </w:r>
      <w:r>
        <w:t> | </w:t>
      </w:r>
      <w:r>
        <w:rPr>
          <w:rFonts w:ascii="Symbol" w:hAnsi="Symbol"/>
        </w:rPr>
        <w:t></w:t>
      </w:r>
      <w:r>
        <w:t> 65</w:t>
      </w:r>
      <w:r>
        <w:rPr>
          <w:rFonts w:ascii="Symbol" w:hAnsi="Symbol"/>
        </w:rPr>
        <w:t></w:t>
      </w:r>
      <w:r>
        <w:t xml:space="preserve">, les heures du coucher et du lever du Soleil peuvent être calculées, avec une précision de </w:t>
      </w:r>
      <w:r>
        <w:rPr>
          <w:rFonts w:ascii="Symbol" w:hAnsi="Symbol"/>
        </w:rPr>
        <w:t></w:t>
      </w:r>
      <w:r>
        <w:rPr>
          <w:rFonts w:ascii="Tms Rmn" w:hAnsi="Tms Rmn"/>
          <w:sz w:val="12"/>
        </w:rPr>
        <w:t> </w:t>
      </w:r>
      <w:r>
        <w:t>2 min, comme indiqué ci-après:</w:t>
      </w:r>
    </w:p>
    <w:p w:rsidR="00BF4497" w:rsidRDefault="00BF4497" w:rsidP="00BF4497">
      <w:pPr>
        <w:pStyle w:val="Equationlegend"/>
        <w:rPr>
          <w:lang w:val="fr-FR"/>
        </w:rPr>
      </w:pPr>
      <w:r w:rsidRPr="00C63173">
        <w:rPr>
          <w:i/>
          <w:lang w:val="fr-FR"/>
        </w:rPr>
        <w:tab/>
      </w:r>
      <w:r>
        <w:rPr>
          <w:i/>
          <w:lang w:val="fr-FR"/>
        </w:rPr>
        <w:t>N</w:t>
      </w:r>
      <w:r>
        <w:rPr>
          <w:rFonts w:ascii="Tms Rmn" w:hAnsi="Tms Rmn"/>
          <w:sz w:val="12"/>
          <w:lang w:val="fr-FR"/>
        </w:rPr>
        <w:t> </w:t>
      </w:r>
      <w:r>
        <w:rPr>
          <w:lang w:val="fr-FR"/>
        </w:rPr>
        <w:t>:</w:t>
      </w:r>
      <w:r>
        <w:rPr>
          <w:lang w:val="fr-FR"/>
        </w:rPr>
        <w:tab/>
        <w:t>jour de l'année, par exemple: 1</w:t>
      </w:r>
      <w:r>
        <w:rPr>
          <w:vertAlign w:val="superscript"/>
          <w:lang w:val="fr-FR"/>
        </w:rPr>
        <w:t>er</w:t>
      </w:r>
      <w:r>
        <w:rPr>
          <w:lang w:val="fr-FR"/>
        </w:rPr>
        <w:t xml:space="preserve"> janvier </w:t>
      </w:r>
      <w:r>
        <w:rPr>
          <w:rFonts w:ascii="Symbol" w:hAnsi="Symbol"/>
        </w:rPr>
        <w:t></w:t>
      </w:r>
      <w:r>
        <w:rPr>
          <w:lang w:val="fr-FR"/>
        </w:rPr>
        <w:t> 1</w:t>
      </w:r>
    </w:p>
    <w:p w:rsidR="00BF4497" w:rsidRDefault="00BF4497" w:rsidP="00BF4497">
      <w:pPr>
        <w:pStyle w:val="Equationlegend"/>
        <w:rPr>
          <w:lang w:val="fr-FR"/>
        </w:rPr>
      </w:pPr>
      <w:r>
        <w:rPr>
          <w:i/>
          <w:lang w:val="fr-FR"/>
        </w:rPr>
        <w:tab/>
      </w:r>
      <w:r>
        <w:rPr>
          <w:i/>
          <w:position w:val="-10"/>
          <w:lang w:val="fr-FR"/>
        </w:rPr>
        <w:object w:dxaOrig="380" w:dyaOrig="320">
          <v:shape id="_x0000_i1047" type="#_x0000_t75" style="width:19.15pt;height:15.8pt" o:ole="">
            <v:imagedata r:id="rId50" o:title=""/>
          </v:shape>
          <o:OLEObject Type="Embed" ProgID="Equation.3" ShapeID="_x0000_i1047" DrawAspect="Content" ObjectID="_1494312944" r:id="rId51"/>
        </w:object>
      </w:r>
      <w:r>
        <w:rPr>
          <w:lang w:val="fr-FR"/>
        </w:rPr>
        <w:t>:</w:t>
      </w:r>
      <w:r>
        <w:rPr>
          <w:lang w:val="fr-FR"/>
        </w:rPr>
        <w:tab/>
        <w:t>heure locale, approximative de l'événement, par exemple: coucher du Soleil: 1800 h, lever du Soleil: 0600 h</w:t>
      </w:r>
    </w:p>
    <w:p w:rsidR="00BF4497" w:rsidRDefault="00BF4497" w:rsidP="00BF4497">
      <w:pPr>
        <w:pStyle w:val="Equationlegend"/>
        <w:rPr>
          <w:lang w:val="fr-FR"/>
        </w:rPr>
      </w:pPr>
      <w:r>
        <w:rPr>
          <w:i/>
          <w:lang w:val="fr-FR"/>
        </w:rPr>
        <w:tab/>
        <w:t>Z</w:t>
      </w:r>
      <w:r>
        <w:rPr>
          <w:rFonts w:ascii="Tms Rmn" w:hAnsi="Tms Rmn"/>
          <w:sz w:val="12"/>
          <w:lang w:val="fr-FR"/>
        </w:rPr>
        <w:t> </w:t>
      </w:r>
      <w:r>
        <w:rPr>
          <w:lang w:val="fr-FR"/>
        </w:rPr>
        <w:t>:</w:t>
      </w:r>
      <w:r>
        <w:rPr>
          <w:lang w:val="fr-FR"/>
        </w:rPr>
        <w:tab/>
        <w:t xml:space="preserve">distance zénithale du Soleil (degrés) </w:t>
      </w:r>
      <w:r>
        <w:rPr>
          <w:rFonts w:ascii="Symbol" w:hAnsi="Symbol"/>
        </w:rPr>
        <w:t></w:t>
      </w:r>
      <w:r>
        <w:rPr>
          <w:lang w:val="fr-FR"/>
        </w:rPr>
        <w:t xml:space="preserve"> 90,8333</w:t>
      </w:r>
      <w:r>
        <w:rPr>
          <w:rFonts w:ascii="Symbol" w:hAnsi="Symbol"/>
        </w:rPr>
        <w:t></w:t>
      </w:r>
      <w:r>
        <w:rPr>
          <w:lang w:val="fr-FR"/>
        </w:rPr>
        <w:t xml:space="preserve"> (90</w:t>
      </w:r>
      <w:r>
        <w:rPr>
          <w:rFonts w:ascii="Symbol" w:hAnsi="Symbol"/>
        </w:rPr>
        <w:t></w:t>
      </w:r>
      <w:r>
        <w:rPr>
          <w:lang w:val="fr-FR"/>
        </w:rPr>
        <w:t>50</w:t>
      </w:r>
      <w:r>
        <w:rPr>
          <w:rFonts w:ascii="Symbol" w:hAnsi="Symbol"/>
        </w:rPr>
        <w:t></w:t>
      </w:r>
      <w:r>
        <w:rPr>
          <w:sz w:val="12"/>
          <w:lang w:val="fr-FR"/>
        </w:rPr>
        <w:t> </w:t>
      </w:r>
      <w:r>
        <w:rPr>
          <w:lang w:val="fr-FR"/>
        </w:rPr>
        <w:t>) pour le coucher ou le lever du Soleil.</w:t>
      </w:r>
    </w:p>
    <w:p w:rsidR="00BF4497" w:rsidRDefault="00BF4497" w:rsidP="00BF4497">
      <w:r>
        <w:rPr>
          <w:i/>
        </w:rPr>
        <w:t>Etape 1:</w:t>
      </w:r>
      <w:r>
        <w:t>  Calculer la longitude de l'observateur,</w:t>
      </w:r>
      <w:r>
        <w:rPr>
          <w:i/>
        </w:rPr>
        <w:t xml:space="preserve"> B</w:t>
      </w:r>
      <w:r>
        <w:t>:</w:t>
      </w:r>
    </w:p>
    <w:p w:rsidR="00BF4497" w:rsidRDefault="00BF4497" w:rsidP="00BF4497">
      <w:pPr>
        <w:pStyle w:val="Equation"/>
      </w:pPr>
      <w:bookmarkStart w:id="25" w:name="F012"/>
      <w:r>
        <w:tab/>
      </w:r>
      <w:r>
        <w:tab/>
      </w:r>
      <w:r>
        <w:rPr>
          <w:i/>
        </w:rPr>
        <w:t>B</w:t>
      </w:r>
      <w:r>
        <w:t xml:space="preserve">  </w:t>
      </w:r>
      <w:r>
        <w:rPr>
          <w:rFonts w:ascii="Symbol" w:hAnsi="Symbol"/>
        </w:rPr>
        <w:t></w:t>
      </w:r>
      <w:r>
        <w:t xml:space="preserve">  </w:t>
      </w:r>
      <w:r>
        <w:rPr>
          <w:rFonts w:ascii="Symbol" w:hAnsi="Symbol"/>
        </w:rPr>
        <w:t></w:t>
      </w:r>
      <w:r>
        <w:t xml:space="preserve"> / 15               h</w:t>
      </w:r>
      <w:bookmarkEnd w:id="25"/>
    </w:p>
    <w:p w:rsidR="00BF4497" w:rsidRDefault="00BF4497" w:rsidP="00BF4497">
      <w:r>
        <w:rPr>
          <w:i/>
        </w:rPr>
        <w:t>Etape 2:</w:t>
      </w:r>
      <w:r>
        <w:t>  Calculer la date de l'événement,</w:t>
      </w:r>
      <w:r>
        <w:rPr>
          <w:i/>
        </w:rPr>
        <w:t xml:space="preserve"> Y</w:t>
      </w:r>
      <w:r>
        <w:t>:</w:t>
      </w:r>
    </w:p>
    <w:p w:rsidR="00BF4497" w:rsidRDefault="00BF4497" w:rsidP="00BF4497">
      <w:pPr>
        <w:pStyle w:val="Equation"/>
      </w:pPr>
      <w:bookmarkStart w:id="26" w:name="F013"/>
      <w:r>
        <w:tab/>
      </w:r>
      <w:r>
        <w:tab/>
      </w:r>
      <w:r>
        <w:rPr>
          <w:i/>
        </w:rPr>
        <w:t>Y</w:t>
      </w:r>
      <w:r>
        <w:t xml:space="preserve">  </w:t>
      </w:r>
      <w:r>
        <w:rPr>
          <w:rFonts w:ascii="Symbol" w:hAnsi="Symbol"/>
        </w:rPr>
        <w:t></w:t>
      </w:r>
      <w:r>
        <w:t xml:space="preserve">  </w:t>
      </w:r>
      <w:r>
        <w:rPr>
          <w:i/>
        </w:rPr>
        <w:t>N</w:t>
      </w:r>
      <w:r>
        <w:t xml:space="preserve">  </w:t>
      </w:r>
      <w:r>
        <w:rPr>
          <w:rFonts w:ascii="Symbol" w:hAnsi="Symbol"/>
        </w:rPr>
        <w:t></w:t>
      </w:r>
      <w:r>
        <w:t xml:space="preserve">  (</w:t>
      </w:r>
      <w:r>
        <w:rPr>
          <w:i/>
        </w:rPr>
        <w:t>S</w:t>
      </w:r>
      <w:r>
        <w:rPr>
          <w:rFonts w:ascii="Symbol" w:hAnsi="Symbol"/>
        </w:rPr>
        <w:t></w:t>
      </w:r>
      <w:r>
        <w:t xml:space="preserve">  –  </w:t>
      </w:r>
      <w:r>
        <w:rPr>
          <w:i/>
        </w:rPr>
        <w:t>B</w:t>
      </w:r>
      <w:r>
        <w:t>) / 24               jours</w:t>
      </w:r>
      <w:bookmarkEnd w:id="26"/>
    </w:p>
    <w:p w:rsidR="00BF4497" w:rsidRDefault="00BF4497" w:rsidP="00BF4497">
      <w:r>
        <w:rPr>
          <w:i/>
        </w:rPr>
        <w:t>Etape 3:</w:t>
      </w:r>
      <w:r>
        <w:t>  Calculer l'anomalie moyenne du Soleil,</w:t>
      </w:r>
      <w:r>
        <w:rPr>
          <w:i/>
        </w:rPr>
        <w:t xml:space="preserve"> M</w:t>
      </w:r>
      <w:r>
        <w:t>:</w:t>
      </w:r>
    </w:p>
    <w:p w:rsidR="00BF4497" w:rsidRDefault="00BF4497" w:rsidP="00BF4497">
      <w:pPr>
        <w:pStyle w:val="Equation"/>
      </w:pPr>
      <w:bookmarkStart w:id="27" w:name="F014"/>
      <w:r>
        <w:tab/>
      </w:r>
      <w:r>
        <w:tab/>
      </w:r>
      <w:r>
        <w:rPr>
          <w:i/>
        </w:rPr>
        <w:t>M</w:t>
      </w:r>
      <w:r>
        <w:t xml:space="preserve">  </w:t>
      </w:r>
      <w:r>
        <w:rPr>
          <w:rFonts w:ascii="Symbol" w:hAnsi="Symbol"/>
        </w:rPr>
        <w:t></w:t>
      </w:r>
      <w:r>
        <w:t xml:space="preserve">  0,985600  </w:t>
      </w:r>
      <w:r>
        <w:rPr>
          <w:i/>
        </w:rPr>
        <w:t>Y</w:t>
      </w:r>
      <w:r>
        <w:t xml:space="preserve">  –  3,289               degrés</w:t>
      </w:r>
      <w:bookmarkEnd w:id="27"/>
    </w:p>
    <w:p w:rsidR="00BF4497" w:rsidRDefault="00BF4497" w:rsidP="00BF4497">
      <w:r>
        <w:rPr>
          <w:i/>
        </w:rPr>
        <w:t>Etape 4:</w:t>
      </w:r>
      <w:r>
        <w:t>  Calculer la longitude du Soleil,</w:t>
      </w:r>
      <w:r>
        <w:rPr>
          <w:i/>
        </w:rPr>
        <w:t xml:space="preserve"> L</w:t>
      </w:r>
      <w:r>
        <w:t>:</w:t>
      </w:r>
    </w:p>
    <w:p w:rsidR="00BF4497" w:rsidRDefault="00BF4497" w:rsidP="00BF4497">
      <w:pPr>
        <w:pStyle w:val="Equation"/>
        <w:rPr>
          <w:lang w:val="es-ES"/>
        </w:rPr>
      </w:pPr>
      <w:bookmarkStart w:id="28" w:name="F015"/>
      <w:r>
        <w:tab/>
      </w:r>
      <w:r>
        <w:tab/>
      </w:r>
      <w:r>
        <w:rPr>
          <w:i/>
          <w:lang w:val="es-ES"/>
        </w:rPr>
        <w:t>L</w:t>
      </w:r>
      <w:r>
        <w:rPr>
          <w:lang w:val="es-ES"/>
        </w:rPr>
        <w:t xml:space="preserve">  </w:t>
      </w:r>
      <w:r>
        <w:rPr>
          <w:rFonts w:ascii="Symbol" w:hAnsi="Symbol"/>
        </w:rPr>
        <w:t></w:t>
      </w:r>
      <w:r>
        <w:rPr>
          <w:lang w:val="es-ES"/>
        </w:rPr>
        <w:t xml:space="preserve">  </w:t>
      </w:r>
      <w:r>
        <w:rPr>
          <w:i/>
          <w:lang w:val="es-ES"/>
        </w:rPr>
        <w:t>M</w:t>
      </w:r>
      <w:r>
        <w:rPr>
          <w:lang w:val="es-ES"/>
        </w:rPr>
        <w:t xml:space="preserve">  </w:t>
      </w:r>
      <w:r>
        <w:rPr>
          <w:rFonts w:ascii="Symbol" w:hAnsi="Symbol"/>
        </w:rPr>
        <w:t></w:t>
      </w:r>
      <w:r>
        <w:rPr>
          <w:lang w:val="es-ES"/>
        </w:rPr>
        <w:t xml:space="preserve">  1,916 sin </w:t>
      </w:r>
      <w:r>
        <w:rPr>
          <w:i/>
          <w:lang w:val="es-ES"/>
        </w:rPr>
        <w:t>M</w:t>
      </w:r>
      <w:r>
        <w:rPr>
          <w:lang w:val="es-ES"/>
        </w:rPr>
        <w:t xml:space="preserve">  </w:t>
      </w:r>
      <w:r>
        <w:rPr>
          <w:rFonts w:ascii="Symbol" w:hAnsi="Symbol"/>
        </w:rPr>
        <w:t></w:t>
      </w:r>
      <w:r>
        <w:rPr>
          <w:lang w:val="es-ES"/>
        </w:rPr>
        <w:t xml:space="preserve">  0,020 sin 2 </w:t>
      </w:r>
      <w:r>
        <w:rPr>
          <w:i/>
          <w:lang w:val="es-ES"/>
        </w:rPr>
        <w:t>M</w:t>
      </w:r>
      <w:r>
        <w:rPr>
          <w:lang w:val="es-ES"/>
        </w:rPr>
        <w:t xml:space="preserve">  </w:t>
      </w:r>
      <w:r>
        <w:rPr>
          <w:rFonts w:ascii="Symbol" w:hAnsi="Symbol"/>
        </w:rPr>
        <w:t></w:t>
      </w:r>
      <w:r>
        <w:rPr>
          <w:lang w:val="es-ES"/>
        </w:rPr>
        <w:t xml:space="preserve">  282,634               degrés</w:t>
      </w:r>
      <w:bookmarkEnd w:id="28"/>
    </w:p>
    <w:p w:rsidR="00BF4497" w:rsidRDefault="00BF4497" w:rsidP="00BF4497">
      <w:r>
        <w:t>Noter dans quel quadrant se situe</w:t>
      </w:r>
      <w:r>
        <w:rPr>
          <w:i/>
        </w:rPr>
        <w:t xml:space="preserve"> L</w:t>
      </w:r>
      <w:r>
        <w:t>.</w:t>
      </w:r>
    </w:p>
    <w:p w:rsidR="00BF4497" w:rsidRDefault="00BF4497" w:rsidP="00BF4497">
      <w:r>
        <w:rPr>
          <w:i/>
        </w:rPr>
        <w:t>Etape 5:</w:t>
      </w:r>
      <w:r>
        <w:t>  Calculer l'ascension droite du Soleil,</w:t>
      </w:r>
      <w:r>
        <w:rPr>
          <w:i/>
        </w:rPr>
        <w:t xml:space="preserve"> RA</w:t>
      </w:r>
      <w:r>
        <w:t>:</w:t>
      </w:r>
    </w:p>
    <w:p w:rsidR="00BF4497" w:rsidRPr="00C63173" w:rsidRDefault="00BF4497" w:rsidP="00BF4497">
      <w:pPr>
        <w:pStyle w:val="Equation"/>
      </w:pPr>
      <w:bookmarkStart w:id="29" w:name="F016"/>
      <w:r>
        <w:tab/>
      </w:r>
      <w:r>
        <w:tab/>
      </w:r>
      <w:r w:rsidRPr="00C63173">
        <w:t xml:space="preserve">tg </w:t>
      </w:r>
      <w:r w:rsidRPr="00C63173">
        <w:rPr>
          <w:i/>
        </w:rPr>
        <w:t>RA</w:t>
      </w:r>
      <w:r w:rsidRPr="00C63173">
        <w:t xml:space="preserve">  </w:t>
      </w:r>
      <w:r>
        <w:rPr>
          <w:rFonts w:ascii="Symbol" w:hAnsi="Symbol"/>
        </w:rPr>
        <w:t></w:t>
      </w:r>
      <w:r w:rsidRPr="00C63173">
        <w:t xml:space="preserve">  0,91746  tg </w:t>
      </w:r>
      <w:r w:rsidRPr="00C63173">
        <w:rPr>
          <w:i/>
        </w:rPr>
        <w:t>L</w:t>
      </w:r>
      <w:bookmarkEnd w:id="29"/>
    </w:p>
    <w:p w:rsidR="00BF4497" w:rsidRDefault="00BF4497" w:rsidP="00BF4497">
      <w:r>
        <w:t>Noter que</w:t>
      </w:r>
      <w:r>
        <w:rPr>
          <w:i/>
        </w:rPr>
        <w:t xml:space="preserve"> RA</w:t>
      </w:r>
      <w:r>
        <w:t xml:space="preserve"> doit se trouver dans le même quadrant que</w:t>
      </w:r>
      <w:r>
        <w:rPr>
          <w:i/>
        </w:rPr>
        <w:t xml:space="preserve"> L</w:t>
      </w:r>
      <w:r>
        <w:t>.</w:t>
      </w:r>
    </w:p>
    <w:p w:rsidR="00BF4497" w:rsidRDefault="00BF4497" w:rsidP="00BF4497">
      <w:r>
        <w:rPr>
          <w:i/>
        </w:rPr>
        <w:t>Etape 6:</w:t>
      </w:r>
      <w:r>
        <w:t>  Calculer la déclinaison du Soleil,</w:t>
      </w:r>
      <w:r>
        <w:rPr>
          <w:i/>
        </w:rPr>
        <w:t xml:space="preserve"> s</w:t>
      </w:r>
      <w:r>
        <w:t>:</w:t>
      </w:r>
    </w:p>
    <w:p w:rsidR="00BF4497" w:rsidRDefault="00BF4497" w:rsidP="00BF4497">
      <w:pPr>
        <w:pStyle w:val="enumlev1"/>
        <w:rPr>
          <w:lang w:val="es-ES"/>
        </w:rPr>
      </w:pPr>
      <w:r>
        <w:tab/>
      </w:r>
      <w:r>
        <w:rPr>
          <w:lang w:val="es-ES"/>
        </w:rPr>
        <w:t>sin</w:t>
      </w:r>
      <w:r>
        <w:rPr>
          <w:i/>
          <w:lang w:val="es-ES"/>
        </w:rPr>
        <w:t xml:space="preserve"> s</w:t>
      </w:r>
      <w:r>
        <w:rPr>
          <w:lang w:val="es-ES"/>
        </w:rPr>
        <w:t xml:space="preserve"> </w:t>
      </w:r>
      <w:r>
        <w:rPr>
          <w:rFonts w:ascii="Symbol" w:hAnsi="Symbol"/>
        </w:rPr>
        <w:t></w:t>
      </w:r>
      <w:r>
        <w:rPr>
          <w:lang w:val="es-ES"/>
        </w:rPr>
        <w:t xml:space="preserve"> 0,39782 sin</w:t>
      </w:r>
      <w:r>
        <w:rPr>
          <w:i/>
          <w:lang w:val="es-ES"/>
        </w:rPr>
        <w:t xml:space="preserve"> L</w:t>
      </w:r>
      <w:r>
        <w:rPr>
          <w:lang w:val="es-ES"/>
        </w:rPr>
        <w:t>, d'où:</w:t>
      </w:r>
    </w:p>
    <w:p w:rsidR="00BF4497" w:rsidRDefault="00BF4497" w:rsidP="00BF4497">
      <w:pPr>
        <w:pStyle w:val="Equation"/>
      </w:pPr>
      <w:r>
        <w:rPr>
          <w:lang w:val="es-ES"/>
        </w:rPr>
        <w:tab/>
      </w:r>
      <w:r>
        <w:rPr>
          <w:lang w:val="es-ES"/>
        </w:rPr>
        <w:tab/>
      </w:r>
      <w:r>
        <w:fldChar w:fldCharType="begin"/>
      </w:r>
      <w:r>
        <w:instrText xml:space="preserve">eq cos </w:instrText>
      </w:r>
      <w:r>
        <w:rPr>
          <w:i/>
        </w:rPr>
        <w:instrText>s</w:instrText>
      </w:r>
      <w:r>
        <w:instrText xml:space="preserve">  </w:instrText>
      </w:r>
      <w:r>
        <w:rPr>
          <w:rFonts w:ascii="Symbol" w:hAnsi="Symbol"/>
        </w:rPr>
        <w:instrText>=</w:instrText>
      </w:r>
      <w:r>
        <w:instrText xml:space="preserve">  </w:instrText>
      </w:r>
      <w:r>
        <w:rPr>
          <w:rFonts w:ascii="Symbol" w:hAnsi="Symbol"/>
        </w:rPr>
        <w:instrText>+</w:instrText>
      </w:r>
      <w:r>
        <w:instrText xml:space="preserve">  \r(;1  –  sin</w:instrText>
      </w:r>
      <w:r>
        <w:rPr>
          <w:position w:val="6"/>
          <w:sz w:val="18"/>
        </w:rPr>
        <w:instrText>2</w:instrText>
      </w:r>
      <w:r>
        <w:instrText xml:space="preserve"> </w:instrText>
      </w:r>
      <w:r>
        <w:rPr>
          <w:i/>
        </w:rPr>
        <w:instrText>s</w:instrText>
      </w:r>
      <w:r>
        <w:instrText>)</w:instrText>
      </w:r>
      <w:r>
        <w:fldChar w:fldCharType="end"/>
      </w:r>
    </w:p>
    <w:p w:rsidR="00BF4497" w:rsidRDefault="00BF4497" w:rsidP="00BF4497">
      <w:r>
        <w:t>Noter que</w:t>
      </w:r>
      <w:r>
        <w:rPr>
          <w:i/>
        </w:rPr>
        <w:t xml:space="preserve"> s</w:t>
      </w:r>
      <w:r>
        <w:t xml:space="preserve"> peut être positif ou négatif mais que cos</w:t>
      </w:r>
      <w:r>
        <w:rPr>
          <w:i/>
        </w:rPr>
        <w:t xml:space="preserve"> s</w:t>
      </w:r>
      <w:r>
        <w:t xml:space="preserve"> doit toujours être positif.</w:t>
      </w:r>
    </w:p>
    <w:p w:rsidR="00BF4497" w:rsidRDefault="00BF4497" w:rsidP="00BF4497">
      <w:r>
        <w:rPr>
          <w:i/>
        </w:rPr>
        <w:t>Etape 7:</w:t>
      </w:r>
      <w:r>
        <w:t>  Calculer l'heure solaire locale (exprimée en unité d'angle),</w:t>
      </w:r>
      <w:r>
        <w:rPr>
          <w:i/>
        </w:rPr>
        <w:t xml:space="preserve"> H</w:t>
      </w:r>
      <w:r>
        <w:t>:</w:t>
      </w:r>
    </w:p>
    <w:p w:rsidR="00BF4497" w:rsidRDefault="00BF4497" w:rsidP="00BF4497">
      <w:pPr>
        <w:pStyle w:val="Equation"/>
        <w:rPr>
          <w:lang w:val="es-ES"/>
        </w:rPr>
      </w:pPr>
      <w:bookmarkStart w:id="30" w:name="F018"/>
      <w:r>
        <w:tab/>
      </w:r>
      <w:r>
        <w:tab/>
      </w:r>
      <w:r>
        <w:rPr>
          <w:lang w:val="es-ES"/>
        </w:rPr>
        <w:t xml:space="preserve">cos </w:t>
      </w:r>
      <w:r>
        <w:rPr>
          <w:i/>
          <w:lang w:val="es-ES"/>
        </w:rPr>
        <w:t>H</w:t>
      </w:r>
      <w:r>
        <w:rPr>
          <w:lang w:val="es-ES"/>
        </w:rPr>
        <w:t xml:space="preserve">  </w:t>
      </w:r>
      <w:r>
        <w:rPr>
          <w:rFonts w:ascii="Symbol" w:hAnsi="Symbol"/>
        </w:rPr>
        <w:t></w:t>
      </w:r>
      <w:r>
        <w:rPr>
          <w:lang w:val="es-ES"/>
        </w:rPr>
        <w:t xml:space="preserve">  </w:t>
      </w:r>
      <w:r>
        <w:rPr>
          <w:i/>
          <w:lang w:val="es-ES"/>
        </w:rPr>
        <w:t>x</w:t>
      </w:r>
      <w:r>
        <w:rPr>
          <w:lang w:val="es-ES"/>
        </w:rPr>
        <w:t xml:space="preserve">  </w:t>
      </w:r>
      <w:r>
        <w:rPr>
          <w:rFonts w:ascii="Symbol" w:hAnsi="Symbol"/>
        </w:rPr>
        <w:t></w:t>
      </w:r>
      <w:r>
        <w:rPr>
          <w:lang w:val="es-ES"/>
        </w:rPr>
        <w:t xml:space="preserve">  (cos </w:t>
      </w:r>
      <w:r>
        <w:rPr>
          <w:i/>
          <w:lang w:val="es-ES"/>
        </w:rPr>
        <w:t>Z</w:t>
      </w:r>
      <w:r>
        <w:rPr>
          <w:lang w:val="es-ES"/>
        </w:rPr>
        <w:t xml:space="preserve">  –  sin </w:t>
      </w:r>
      <w:r>
        <w:rPr>
          <w:i/>
          <w:lang w:val="es-ES"/>
        </w:rPr>
        <w:t>s</w:t>
      </w:r>
      <w:r>
        <w:rPr>
          <w:lang w:val="es-ES"/>
        </w:rPr>
        <w:t xml:space="preserve"> · sin </w:t>
      </w:r>
      <w:r>
        <w:rPr>
          <w:rFonts w:ascii="Symbol" w:hAnsi="Symbol"/>
        </w:rPr>
        <w:t></w:t>
      </w:r>
      <w:r>
        <w:rPr>
          <w:lang w:val="es-ES"/>
        </w:rPr>
        <w:t xml:space="preserve">) / (cos </w:t>
      </w:r>
      <w:r>
        <w:rPr>
          <w:i/>
          <w:lang w:val="es-ES"/>
        </w:rPr>
        <w:t>s</w:t>
      </w:r>
      <w:r>
        <w:rPr>
          <w:lang w:val="es-ES"/>
        </w:rPr>
        <w:t xml:space="preserve"> · cos </w:t>
      </w:r>
      <w:r>
        <w:rPr>
          <w:rFonts w:ascii="Symbol" w:hAnsi="Symbol"/>
        </w:rPr>
        <w:t></w:t>
      </w:r>
      <w:r>
        <w:rPr>
          <w:lang w:val="es-ES"/>
        </w:rPr>
        <w:t>)</w:t>
      </w:r>
      <w:bookmarkEnd w:id="30"/>
    </w:p>
    <w:p w:rsidR="00BF4497" w:rsidRDefault="00BF4497" w:rsidP="00BF4497">
      <w:r>
        <w:t>Noter que si | </w:t>
      </w:r>
      <w:r>
        <w:rPr>
          <w:i/>
        </w:rPr>
        <w:t>x</w:t>
      </w:r>
      <w:r>
        <w:t> | </w:t>
      </w:r>
      <w:r>
        <w:rPr>
          <w:rFonts w:ascii="Symbol" w:hAnsi="Symbol"/>
        </w:rPr>
        <w:t></w:t>
      </w:r>
      <w:r>
        <w:t> 1, il n'y a ni lever ni coucher du Soleil.</w:t>
      </w:r>
    </w:p>
    <w:p w:rsidR="00BF4497" w:rsidRDefault="00BF4497" w:rsidP="00BF4497">
      <w:pPr>
        <w:spacing w:line="270" w:lineRule="exact"/>
      </w:pPr>
      <w:r>
        <w:t>A partir de cos</w:t>
      </w:r>
      <w:r>
        <w:rPr>
          <w:i/>
        </w:rPr>
        <w:t xml:space="preserve"> H</w:t>
      </w:r>
      <w:r>
        <w:t>, on obtient</w:t>
      </w:r>
      <w:r>
        <w:rPr>
          <w:i/>
        </w:rPr>
        <w:t xml:space="preserve"> H</w:t>
      </w:r>
      <w:r>
        <w:t xml:space="preserve"> en degrés; pour le lever du Soleil: 180 </w:t>
      </w:r>
      <w:r>
        <w:rPr>
          <w:rFonts w:ascii="Symbol" w:hAnsi="Symbol"/>
        </w:rPr>
        <w:t></w:t>
      </w:r>
      <w:r>
        <w:t> </w:t>
      </w:r>
      <w:r>
        <w:rPr>
          <w:i/>
        </w:rPr>
        <w:t>H</w:t>
      </w:r>
      <w:r>
        <w:t> </w:t>
      </w:r>
      <w:r>
        <w:rPr>
          <w:rFonts w:ascii="Symbol" w:hAnsi="Symbol"/>
        </w:rPr>
        <w:t></w:t>
      </w:r>
      <w:r>
        <w:t> 360, pour le coucher du Soleil: 0 </w:t>
      </w:r>
      <w:r>
        <w:rPr>
          <w:rFonts w:ascii="Symbol" w:hAnsi="Symbol"/>
        </w:rPr>
        <w:t></w:t>
      </w:r>
      <w:r>
        <w:t> </w:t>
      </w:r>
      <w:r>
        <w:rPr>
          <w:i/>
        </w:rPr>
        <w:t>H</w:t>
      </w:r>
      <w:r>
        <w:t> </w:t>
      </w:r>
      <w:r>
        <w:rPr>
          <w:rFonts w:ascii="Symbol" w:hAnsi="Symbol"/>
        </w:rPr>
        <w:t></w:t>
      </w:r>
      <w:r>
        <w:t> 180.</w:t>
      </w:r>
    </w:p>
    <w:p w:rsidR="00BF4497" w:rsidRDefault="00BF4497" w:rsidP="00BF4497">
      <w:r>
        <w:rPr>
          <w:i/>
        </w:rPr>
        <w:br w:type="page"/>
      </w:r>
      <w:r>
        <w:rPr>
          <w:i/>
        </w:rPr>
        <w:lastRenderedPageBreak/>
        <w:t>Etape 8:</w:t>
      </w:r>
      <w:r>
        <w:t>  Calculer l'heure (temps local moyen) de l'événement,</w:t>
      </w:r>
      <w:r>
        <w:rPr>
          <w:i/>
        </w:rPr>
        <w:t xml:space="preserve"> S</w:t>
      </w:r>
      <w:r>
        <w:t>:</w:t>
      </w:r>
    </w:p>
    <w:p w:rsidR="0023139B" w:rsidRDefault="0023139B" w:rsidP="0023139B">
      <w:pPr>
        <w:pStyle w:val="Blanc"/>
      </w:pPr>
      <w:bookmarkStart w:id="31" w:name="F019"/>
      <w:bookmarkStart w:id="32" w:name="F017"/>
    </w:p>
    <w:p w:rsidR="00BF4497" w:rsidRPr="00C63173" w:rsidRDefault="00BF4497" w:rsidP="00BF4497">
      <w:pPr>
        <w:pStyle w:val="Equation"/>
      </w:pPr>
      <w:r>
        <w:tab/>
      </w:r>
      <w:r>
        <w:tab/>
      </w:r>
      <w:r w:rsidRPr="00C63173">
        <w:rPr>
          <w:i/>
        </w:rPr>
        <w:t>S</w:t>
      </w:r>
      <w:r w:rsidRPr="00C63173">
        <w:t xml:space="preserve">  </w:t>
      </w:r>
      <w:r>
        <w:rPr>
          <w:rFonts w:ascii="Symbol" w:hAnsi="Symbol"/>
        </w:rPr>
        <w:t></w:t>
      </w:r>
      <w:r w:rsidRPr="00C63173">
        <w:t xml:space="preserve">  </w:t>
      </w:r>
      <w:r w:rsidRPr="00C63173">
        <w:rPr>
          <w:i/>
        </w:rPr>
        <w:t>H</w:t>
      </w:r>
      <w:r w:rsidRPr="00C63173">
        <w:t xml:space="preserve"> / 15  </w:t>
      </w:r>
      <w:r>
        <w:rPr>
          <w:rFonts w:ascii="Symbol" w:hAnsi="Symbol"/>
        </w:rPr>
        <w:t></w:t>
      </w:r>
      <w:r w:rsidRPr="00C63173">
        <w:t xml:space="preserve">  </w:t>
      </w:r>
      <w:r w:rsidRPr="00C63173">
        <w:rPr>
          <w:i/>
        </w:rPr>
        <w:t>RA</w:t>
      </w:r>
      <w:r w:rsidRPr="00C63173">
        <w:t xml:space="preserve"> / 15  –  0,065710 </w:t>
      </w:r>
      <w:r w:rsidRPr="00C63173">
        <w:rPr>
          <w:i/>
        </w:rPr>
        <w:t>Y</w:t>
      </w:r>
      <w:r w:rsidRPr="00C63173">
        <w:t xml:space="preserve">  –  6,622</w:t>
      </w:r>
      <w:bookmarkEnd w:id="31"/>
      <w:bookmarkEnd w:id="32"/>
    </w:p>
    <w:p w:rsidR="0023139B" w:rsidRDefault="0023139B" w:rsidP="0023139B">
      <w:pPr>
        <w:pStyle w:val="Blanc"/>
      </w:pPr>
    </w:p>
    <w:p w:rsidR="00BF4497" w:rsidRDefault="00BF4497" w:rsidP="00BF4497">
      <w:pPr>
        <w:spacing w:line="270" w:lineRule="exact"/>
      </w:pPr>
      <w:r>
        <w:t>Noter que</w:t>
      </w:r>
      <w:r>
        <w:rPr>
          <w:i/>
        </w:rPr>
        <w:t xml:space="preserve"> S</w:t>
      </w:r>
      <w:r>
        <w:t xml:space="preserve"> est exprimé en heures et que des multiples de 24 doivent être ajoutés ou retranchés jusqu'à ce que 0 </w:t>
      </w:r>
      <w:r>
        <w:rPr>
          <w:rFonts w:ascii="Symbol" w:hAnsi="Symbol"/>
        </w:rPr>
        <w:t></w:t>
      </w:r>
      <w:r>
        <w:t> </w:t>
      </w:r>
      <w:r>
        <w:rPr>
          <w:i/>
        </w:rPr>
        <w:t>S</w:t>
      </w:r>
      <w:r>
        <w:t> </w:t>
      </w:r>
      <w:r>
        <w:rPr>
          <w:rFonts w:ascii="Symbol" w:hAnsi="Symbol"/>
        </w:rPr>
        <w:t></w:t>
      </w:r>
      <w:r>
        <w:t> 24.</w:t>
      </w:r>
    </w:p>
    <w:p w:rsidR="00BF4497" w:rsidRDefault="00BF4497" w:rsidP="00BF4497">
      <w:pPr>
        <w:tabs>
          <w:tab w:val="right" w:pos="5529"/>
        </w:tabs>
        <w:spacing w:line="270" w:lineRule="exact"/>
      </w:pPr>
      <w:r>
        <w:t>A noter que</w:t>
      </w:r>
      <w:r>
        <w:rPr>
          <w:i/>
        </w:rPr>
        <w:t xml:space="preserve"> S</w:t>
      </w:r>
      <w:r>
        <w:t xml:space="preserve"> représente l'heure locale au point concerné. Le temps légal correspondant est</w:t>
      </w:r>
      <w:r>
        <w:rPr>
          <w:i/>
        </w:rPr>
        <w:t xml:space="preserve"> S</w:t>
      </w:r>
      <w:r>
        <w:t> </w:t>
      </w:r>
      <w:r>
        <w:rPr>
          <w:rFonts w:ascii="Symbol" w:hAnsi="Symbol"/>
        </w:rPr>
        <w:noBreakHyphen/>
      </w:r>
      <w:r>
        <w:rPr>
          <w:i/>
        </w:rPr>
        <w:t> B</w:t>
      </w:r>
      <w:r>
        <w:t> </w:t>
      </w:r>
      <w:r>
        <w:rPr>
          <w:rFonts w:ascii="Symbol" w:hAnsi="Symbol"/>
        </w:rPr>
        <w:t></w:t>
      </w:r>
      <w:r>
        <w:t> </w:t>
      </w:r>
      <w:r>
        <w:rPr>
          <w:rFonts w:ascii="Symbol" w:hAnsi="Symbol"/>
        </w:rPr>
        <w:t></w:t>
      </w:r>
      <w:r>
        <w:rPr>
          <w:i/>
          <w:iCs/>
          <w:vertAlign w:val="subscript"/>
        </w:rPr>
        <w:t>m</w:t>
      </w:r>
      <w:r>
        <w:rPr>
          <w:rFonts w:ascii="Tms Rmn" w:hAnsi="Tms Rmn"/>
          <w:i/>
          <w:position w:val="-4"/>
          <w:sz w:val="8"/>
        </w:rPr>
        <w:t> </w:t>
      </w:r>
      <w:r>
        <w:t xml:space="preserve">/15 (h), où </w:t>
      </w:r>
      <w:r>
        <w:rPr>
          <w:rFonts w:ascii="Symbol" w:hAnsi="Symbol"/>
        </w:rPr>
        <w:t></w:t>
      </w:r>
      <w:r>
        <w:rPr>
          <w:i/>
          <w:iCs/>
          <w:vertAlign w:val="subscript"/>
        </w:rPr>
        <w:t>m</w:t>
      </w:r>
      <w:r>
        <w:t xml:space="preserve"> est la longitude du méridien de référence pour la zone de temps concernée (degrés), de sorte que, par exemple, le temps universel </w:t>
      </w:r>
      <w:r>
        <w:rPr>
          <w:rFonts w:ascii="Symbol" w:hAnsi="Symbol"/>
        </w:rPr>
        <w:t></w:t>
      </w:r>
      <w:r>
        <w:t> </w:t>
      </w:r>
      <w:r>
        <w:rPr>
          <w:i/>
        </w:rPr>
        <w:t>S</w:t>
      </w:r>
      <w:r>
        <w:t> – </w:t>
      </w:r>
      <w:r>
        <w:rPr>
          <w:i/>
        </w:rPr>
        <w:t>B</w:t>
      </w:r>
      <w:r>
        <w:t>.</w:t>
      </w:r>
    </w:p>
    <w:p w:rsidR="00BF4497" w:rsidRDefault="00BF4497" w:rsidP="00BF4497">
      <w:pPr>
        <w:tabs>
          <w:tab w:val="right" w:pos="5529"/>
        </w:tabs>
        <w:spacing w:line="270" w:lineRule="exact"/>
      </w:pPr>
    </w:p>
    <w:p w:rsidR="0023139B" w:rsidRDefault="0023139B" w:rsidP="00BF4497">
      <w:pPr>
        <w:tabs>
          <w:tab w:val="right" w:pos="5529"/>
        </w:tabs>
        <w:spacing w:line="270" w:lineRule="exact"/>
      </w:pPr>
    </w:p>
    <w:p w:rsidR="00BF4497" w:rsidRDefault="00BF4497" w:rsidP="00BF4497">
      <w:pPr>
        <w:tabs>
          <w:tab w:val="right" w:pos="5529"/>
        </w:tabs>
        <w:spacing w:line="270" w:lineRule="exact"/>
      </w:pPr>
    </w:p>
    <w:p w:rsidR="00BF4497" w:rsidRDefault="00BF4497" w:rsidP="00BF4497">
      <w:pPr>
        <w:pStyle w:val="AnnexNoTitle"/>
      </w:pPr>
      <w:bookmarkStart w:id="33" w:name="_Toc107989269"/>
      <w:r>
        <w:t>Annexe 1</w:t>
      </w:r>
      <w:r>
        <w:br/>
      </w:r>
      <w:r>
        <w:br/>
        <w:t>Précision de la méthode</w:t>
      </w:r>
      <w:bookmarkEnd w:id="33"/>
    </w:p>
    <w:p w:rsidR="00BF4497" w:rsidRDefault="00BF4497" w:rsidP="00BF4497">
      <w:pPr>
        <w:pStyle w:val="Normalaftertitle"/>
      </w:pPr>
      <w:r>
        <w:t>La méthode s'applique dans les bandes des ondes kilométriques et des ondes hectométriques, pour des trajets de longueur comprise entre 50 et 12</w:t>
      </w:r>
      <w:r>
        <w:rPr>
          <w:rFonts w:ascii="Tms Rmn" w:hAnsi="Tms Rmn"/>
          <w:sz w:val="12"/>
        </w:rPr>
        <w:t> </w:t>
      </w:r>
      <w:r>
        <w:t>000 km. Elle n'a cependant été vérifiée, dans la bande des ondes kilométriques, que pour des longueurs de trajet inférieures à 7</w:t>
      </w:r>
      <w:r>
        <w:rPr>
          <w:rFonts w:ascii="Tms Rmn" w:hAnsi="Tms Rmn"/>
          <w:sz w:val="12"/>
        </w:rPr>
        <w:t> </w:t>
      </w:r>
      <w:r>
        <w:t>500 km.</w:t>
      </w:r>
    </w:p>
    <w:p w:rsidR="00BF4497" w:rsidRDefault="00BF4497" w:rsidP="00BF4497">
      <w:r>
        <w:t>Le traitement spécial réservé à la partie sud de la Région 3 aurait pu ne pas être nécessaire si la «latitude magnétique corrigée» avait été utilisée à la place de la latitude géomagnétique. De toute façon, la méthode ne doit être utilisée qu'avec précaution aux latitudes géomagnétiques supérieures à 60</w:t>
      </w:r>
      <w:r>
        <w:rPr>
          <w:rFonts w:ascii="Symbol" w:hAnsi="Symbol"/>
        </w:rPr>
        <w:t></w:t>
      </w:r>
      <w:r>
        <w:t>.</w:t>
      </w:r>
    </w:p>
    <w:p w:rsidR="00BF4497" w:rsidRDefault="00BF4497" w:rsidP="00BF4497">
      <w:r>
        <w:t>La formule (6) qui décrit la façon dont</w:t>
      </w:r>
      <w:r>
        <w:rPr>
          <w:i/>
        </w:rPr>
        <w:t xml:space="preserve"> G</w:t>
      </w:r>
      <w:r>
        <w:rPr>
          <w:i/>
          <w:vertAlign w:val="subscript"/>
        </w:rPr>
        <w:t>S</w:t>
      </w:r>
      <w:r>
        <w:t xml:space="preserve"> est modifié par la valeur de la distance</w:t>
      </w:r>
      <w:r>
        <w:rPr>
          <w:i/>
        </w:rPr>
        <w:t xml:space="preserve"> s</w:t>
      </w:r>
      <w:r>
        <w:rPr>
          <w:iCs/>
          <w:vertAlign w:val="subscript"/>
        </w:rPr>
        <w:t>2</w:t>
      </w:r>
      <w:r>
        <w:t xml:space="preserve"> jusqu'au segment de terre suivant est théorique et doit donc être considérée comme provisoire en attendant de disposer de résultats de mesures.</w:t>
      </w:r>
    </w:p>
    <w:p w:rsidR="00BF4497" w:rsidRDefault="00BF4497" w:rsidP="00BF4497">
      <w:r>
        <w:t>La méthode prévoit le champ qui devrait être observé si l'émetteur et le récepteur sont situés sur un sol de conductivité moyenne, généralement de 3 à 10 mS/m. Dans certaines zones (voir, par exemple, la Recommandation UIT</w:t>
      </w:r>
      <w:r>
        <w:noBreakHyphen/>
        <w:t>R P.832), la conductivité réelle peut tomber à 0,5 mS/m ou atteindre 40 mS/m. Si la conductivité du sol à l'une ou à l'autre extrémité est d'un ordre de grandeur inférieur à 10 mS/m, le champ pourra avoir jusqu'à 10 dB de moins. Si la conductivité du sol aux deux extrémités est d'un ordre de grandeur inférieur à 10 mS/m, la réduction du champ sera doublée. La valeur de l'affaiblissement est fonction de la longueur du trajet et elle est la plus forte pour les ondes s'approchant de l'incidence rasante. La méthode peut être améliorée en faisant une correction lorsque la conductivité du sol est sensiblement différente de celle d'un sol moyen, par exemple en utilisant les renseignements donnés dans le Manuel de l'UIT-R sur l'ionosphère et ses effets sur la propagation des ondes radioélectriques.</w:t>
      </w:r>
    </w:p>
    <w:p w:rsidR="00BF4497" w:rsidRDefault="00BF4497" w:rsidP="00BF4497">
      <w:pPr>
        <w:spacing w:line="270" w:lineRule="exact"/>
      </w:pPr>
      <w:r>
        <w:t>Dans cette méthode, on suppose que la réflexion ne se produit que sur la couche E, ou que les réflexions par la couche E sont prépondérantes. Cependant, si</w:t>
      </w:r>
      <w:r>
        <w:rPr>
          <w:i/>
        </w:rPr>
        <w:t xml:space="preserve"> f</w:t>
      </w:r>
      <w:r>
        <w:t> </w:t>
      </w:r>
      <w:r>
        <w:rPr>
          <w:rFonts w:ascii="Symbol" w:hAnsi="Symbol"/>
        </w:rPr>
        <w:t></w:t>
      </w:r>
      <w:r>
        <w:t> (foE) sec </w:t>
      </w:r>
      <w:r>
        <w:rPr>
          <w:i/>
        </w:rPr>
        <w:t>i</w:t>
      </w:r>
      <w:r>
        <w:t>, où foE est la fréquence critique de la couche E et</w:t>
      </w:r>
      <w:r>
        <w:rPr>
          <w:i/>
        </w:rPr>
        <w:t xml:space="preserve"> i</w:t>
      </w:r>
      <w:r>
        <w:t xml:space="preserve"> est l'angle d'incidence sur la couche E, l'onde traversera la couche E et sera réfléchie par la couche F. Ceci apparaîtra principalement dans le haut de la bande des ondes hectométriques, pour des distances inférieures à 500 km, et surtout tard dans la nuit et pendant les périodes d'activité solaire minimale. Dans ce cas, la méthode peut encore être utilisée à condition de calculer</w:t>
      </w:r>
      <w:r>
        <w:rPr>
          <w:i/>
        </w:rPr>
        <w:t xml:space="preserve"> p</w:t>
      </w:r>
      <w:r>
        <w:t xml:space="preserve"> en tenant compte d'une réflexion sur la couche F à une hauteur de 220 km, et de calculer la force cymomotrice </w:t>
      </w:r>
      <w:r>
        <w:rPr>
          <w:i/>
        </w:rPr>
        <w:t>V</w:t>
      </w:r>
      <w:r>
        <w:t xml:space="preserve"> pour l'angle d'élévation correspondant.</w:t>
      </w:r>
    </w:p>
    <w:p w:rsidR="00BF4497" w:rsidRDefault="00BF4497" w:rsidP="00BF4497">
      <w:pPr>
        <w:keepLines/>
      </w:pPr>
      <w:r>
        <w:lastRenderedPageBreak/>
        <w:t>Des mesures faites aux Etats-Unis d'Amérique conduisent à penser que la Fig. 3 (coefficient d'affaiblissement horaire) est vraisemblablement précise pour les fréquences voisines de 1</w:t>
      </w:r>
      <w:r>
        <w:rPr>
          <w:rFonts w:ascii="Tms Rmn" w:hAnsi="Tms Rmn"/>
          <w:sz w:val="12"/>
        </w:rPr>
        <w:t> </w:t>
      </w:r>
      <w:r>
        <w:t>000 kHz pour une année de faible activité solaire. Lorsque la fréquence s'écarte de cette valeur, surtout pendant les heures de transition, on risque de commettre des erreurs appréciables. Ces mesures montrent aussi que l'effet de l'activité solaire est considérablement plus grand deux heures après le coucher du Soleil que six heures après. Pour une année de forte activité solaire, la différence entre le champ six heures après le coucher du Soleil et le champ deux heures après peut donc être beaucoup plus grande que celle qui apparaît sur la Fig. 3.</w:t>
      </w:r>
    </w:p>
    <w:p w:rsidR="00BF4497" w:rsidRDefault="00BF4497" w:rsidP="00BF4497">
      <w:r>
        <w:t>La nuit, les ondes hectométriques qui se propagent par l'ionosphère aux latitudes tempérées ont un champ plus intense au printemps et en automne qu'en été et en hiver, le champ minimal se produisant en été. La variation totale peut atteindre 15 dB aux fréquences les plus basses de la bande des ondes hectométriques, pour tomber à environ 3 dB dans la partie supérieure de la bande. Aux ondes kilométriques, on observe une tendance opposée de la variation saisonnière pendant la nuit, avec un maximum d'été prononcé. La variation saisonnière est beaucoup plus faible aux latitudes tropicales.</w:t>
      </w:r>
    </w:p>
    <w:p w:rsidR="00BF4497" w:rsidRDefault="00BF4497" w:rsidP="00BF4497"/>
    <w:p w:rsidR="0023139B" w:rsidRDefault="0023139B" w:rsidP="00BF4497"/>
    <w:p w:rsidR="0023139B" w:rsidRDefault="0023139B" w:rsidP="00BF4497"/>
    <w:p w:rsidR="0023139B" w:rsidRDefault="0023139B" w:rsidP="00BF4497"/>
    <w:p w:rsidR="00BF4497" w:rsidRDefault="00BF4497" w:rsidP="00BF4497"/>
    <w:p w:rsidR="00BF4497" w:rsidRDefault="00BF4497" w:rsidP="00BF4497">
      <w:pPr>
        <w:pStyle w:val="AnnexNoTitle"/>
      </w:pPr>
      <w:bookmarkStart w:id="34" w:name="_Toc107989270"/>
      <w:r>
        <w:t>Annexe 2</w:t>
      </w:r>
      <w:r>
        <w:br/>
      </w:r>
      <w:r>
        <w:br/>
        <w:t>Considérations sur la propagation de l'onde ionosphérique pendant la journée</w:t>
      </w:r>
      <w:bookmarkEnd w:id="34"/>
    </w:p>
    <w:p w:rsidR="00BF4497" w:rsidRDefault="00BF4497" w:rsidP="00BF4497">
      <w:pPr>
        <w:pStyle w:val="Heading1"/>
      </w:pPr>
      <w:bookmarkStart w:id="35" w:name="_Toc107989271"/>
      <w:r>
        <w:t>1</w:t>
      </w:r>
      <w:r>
        <w:tab/>
        <w:t>Cas des ondes kilométriques</w:t>
      </w:r>
      <w:bookmarkEnd w:id="35"/>
    </w:p>
    <w:p w:rsidR="00BF4497" w:rsidRDefault="00BF4497" w:rsidP="00BF4497">
      <w:r>
        <w:t>Pour les ondes kilométriques, les valeurs du champ en milieu de journée sont inférieures de 7 à 45 dB aux valeurs du champ en milieu de nuit. L'écart dépend de la fréquence, de la distance et de la saison (voir également la Recommandation UIT</w:t>
      </w:r>
      <w:r>
        <w:noBreakHyphen/>
        <w:t>R P.684).</w:t>
      </w:r>
    </w:p>
    <w:p w:rsidR="00BF4497" w:rsidRDefault="00BF4497" w:rsidP="00BF4497">
      <w:pPr>
        <w:pStyle w:val="Heading1"/>
      </w:pPr>
      <w:bookmarkStart w:id="36" w:name="_Toc107989272"/>
      <w:r>
        <w:t>2</w:t>
      </w:r>
      <w:r>
        <w:tab/>
        <w:t>Cas des ondes hectométriques</w:t>
      </w:r>
      <w:bookmarkEnd w:id="36"/>
    </w:p>
    <w:p w:rsidR="00BF4497" w:rsidRDefault="00BF4497" w:rsidP="00BF4497">
      <w:r>
        <w:t>La représentation graphique du champ de l'onde ionosphérique en milieu de journée en fonction de la saison à partir des données disponibles montre une variation cohérente comportant une valeur maximale pendant l'hiver. Le champ moyen pendant l'hiver est supérieur de 10 dB environ à la valeur médiane annuelle et le rapport hiver/été peut dépasser 30 dB. La valeur médiane annuelle du champ en milieu de journée est inférieure de 43 dB environ à la valeur médiane annuelle du champ six heures après le coucher du Soleil. Le champ dépassé pendant 10% des jours de l'année est supérieur de 13 dB environ à la valeur médiane annuelle. Voir également le Manuel de l'UIT-R sur l'ionosphère et ses effets sur la propagation des ondes radioélectriques.</w:t>
      </w:r>
    </w:p>
    <w:p w:rsidR="00BF4497" w:rsidRDefault="00BF4497" w:rsidP="00BF4497"/>
    <w:p w:rsidR="00BF4497" w:rsidRDefault="00BF4497" w:rsidP="00BF4497"/>
    <w:p w:rsidR="00BF4497" w:rsidRPr="003116FB" w:rsidRDefault="00BF4497" w:rsidP="00BF4497">
      <w:pPr>
        <w:pStyle w:val="Line"/>
        <w:rPr>
          <w:lang w:val="fr-FR"/>
        </w:rPr>
      </w:pPr>
    </w:p>
    <w:p w:rsidR="00A6617B" w:rsidRPr="00BF4497" w:rsidRDefault="00A6617B" w:rsidP="00A6617B"/>
    <w:sectPr w:rsidR="00A6617B" w:rsidRPr="00BF4497">
      <w:headerReference w:type="even" r:id="rId52"/>
      <w:headerReference w:type="default" r:id="rId5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BFF" w:rsidRDefault="000E5BFF">
      <w:r>
        <w:separator/>
      </w:r>
    </w:p>
  </w:endnote>
  <w:endnote w:type="continuationSeparator" w:id="0">
    <w:p w:rsidR="000E5BFF" w:rsidRDefault="000E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BFF" w:rsidRDefault="000E5BFF">
      <w:r>
        <w:separator/>
      </w:r>
    </w:p>
  </w:footnote>
  <w:footnote w:type="continuationSeparator" w:id="0">
    <w:p w:rsidR="000E5BFF" w:rsidRDefault="000E5BFF">
      <w:r>
        <w:continuationSeparator/>
      </w:r>
    </w:p>
  </w:footnote>
  <w:footnote w:id="1">
    <w:p w:rsidR="00743A15" w:rsidRPr="00743A15" w:rsidRDefault="00743A15" w:rsidP="00743A15">
      <w:pPr>
        <w:pStyle w:val="FootnoteText"/>
        <w:rPr>
          <w:lang w:val="fr-CH"/>
        </w:rPr>
      </w:pPr>
      <w:r>
        <w:rPr>
          <w:rStyle w:val="FootnoteReference"/>
        </w:rPr>
        <w:t>*</w:t>
      </w:r>
      <w:r>
        <w:t xml:space="preserve"> </w:t>
      </w:r>
      <w:r>
        <w:rPr>
          <w:lang w:val="fr-CH"/>
        </w:rPr>
        <w:tab/>
        <w:t>La Commission d'études 3</w:t>
      </w:r>
      <w:r w:rsidRPr="008B51CB">
        <w:rPr>
          <w:lang w:val="fr-CH"/>
        </w:rPr>
        <w:t xml:space="preserve"> des radiocommunications a apporté des modifications rédactionnelles à la présente Recommandation en </w:t>
      </w:r>
      <w:r>
        <w:rPr>
          <w:lang w:val="fr-CH"/>
        </w:rPr>
        <w:t xml:space="preserve">avril 2015 </w:t>
      </w:r>
      <w:r w:rsidRPr="008B51CB">
        <w:rPr>
          <w:lang w:val="fr-CH"/>
        </w:rPr>
        <w:t>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BFF" w:rsidRDefault="000E5B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7A82">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07A8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07A82">
      <w:rPr>
        <w:b/>
        <w:bCs/>
        <w:noProof/>
      </w:rPr>
      <w:t>UIT-R  P.1147-4</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BFF" w:rsidRDefault="000E5BFF">
    <w:pPr>
      <w:pStyle w:val="Header"/>
    </w:pPr>
    <w:r>
      <w:tab/>
    </w:r>
    <w:r>
      <w:rPr>
        <w:b/>
        <w:bCs/>
      </w:rPr>
      <w:fldChar w:fldCharType="begin"/>
    </w:r>
    <w:r>
      <w:rPr>
        <w:b/>
        <w:bCs/>
      </w:rPr>
      <w:instrText xml:space="preserve"> DOCPROPERTY "Header" \* MERGEFORMAT </w:instrText>
    </w:r>
    <w:r>
      <w:rPr>
        <w:b/>
        <w:bCs/>
      </w:rPr>
      <w:fldChar w:fldCharType="separate"/>
    </w:r>
    <w:r w:rsidR="00607A8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07A82">
      <w:rPr>
        <w:b/>
        <w:bCs/>
        <w:noProof/>
      </w:rPr>
      <w:t>UIT-R  P.1147-4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7A82">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8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7665"/>
    <w:rsid w:val="000E5BFF"/>
    <w:rsid w:val="0023139B"/>
    <w:rsid w:val="002D76C4"/>
    <w:rsid w:val="00607A82"/>
    <w:rsid w:val="00607D68"/>
    <w:rsid w:val="006C56EA"/>
    <w:rsid w:val="00743A15"/>
    <w:rsid w:val="008F3E6C"/>
    <w:rsid w:val="00A6617B"/>
    <w:rsid w:val="00AB0DC8"/>
    <w:rsid w:val="00B44E24"/>
    <w:rsid w:val="00BF4497"/>
    <w:rsid w:val="00DF4176"/>
    <w:rsid w:val="00E07665"/>
    <w:rsid w:val="00FC01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15:docId w15:val="{7DFE12DD-5DC7-4155-A9DD-067F616A1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Normal"/>
    <w:rsid w:val="00A6617B"/>
    <w:pPr>
      <w:keepNext w:val="0"/>
      <w:spacing w:before="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8" Type="http://schemas.openxmlformats.org/officeDocument/2006/relationships/image" Target="media/image2.wmf"/><Relationship Id="rId51" Type="http://schemas.openxmlformats.org/officeDocument/2006/relationships/oleObject" Target="embeddings/oleObject23.bin"/><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1</TotalTime>
  <Pages>1</Pages>
  <Words>3370</Words>
  <Characters>18873</Characters>
  <Application>Microsoft Office Word</Application>
  <DocSecurity>0</DocSecurity>
  <Lines>650</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2.07.07      SP_x000d_
1ère épreuve               13.07.07      SP</dc:description>
  <cp:lastModifiedBy>Gachet, Christelle</cp:lastModifiedBy>
  <cp:revision>5</cp:revision>
  <cp:lastPrinted>2015-05-28T07:56:00Z</cp:lastPrinted>
  <dcterms:created xsi:type="dcterms:W3CDTF">2015-05-28T07:42:00Z</dcterms:created>
  <dcterms:modified xsi:type="dcterms:W3CDTF">2015-05-28T07:56:00Z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