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p w:rsidR="00DA4AF8" w:rsidRPr="00FE5596" w:rsidRDefault="00DA4AF8" w:rsidP="00DA4AF8">
      <w:pPr>
        <w:rPr>
          <w:lang w:val="es-ES_tradnl"/>
        </w:rPr>
      </w:pPr>
    </w:p>
    <w:tbl>
      <w:tblPr>
        <w:tblW w:w="10089" w:type="dxa"/>
        <w:tblLook w:val="01E0" w:firstRow="1" w:lastRow="1" w:firstColumn="1" w:lastColumn="1" w:noHBand="0" w:noVBand="0"/>
      </w:tblPr>
      <w:tblGrid>
        <w:gridCol w:w="10089"/>
      </w:tblGrid>
      <w:tr w:rsidR="00DA4AF8" w:rsidRPr="00FE5596" w:rsidTr="005C6D8F">
        <w:tc>
          <w:tcPr>
            <w:tcW w:w="10089" w:type="dxa"/>
          </w:tcPr>
          <w:p w:rsidR="00DA4AF8" w:rsidRPr="00FE5596" w:rsidRDefault="00DA4AF8" w:rsidP="005C6D8F">
            <w:pPr>
              <w:spacing w:before="380" w:line="280" w:lineRule="exact"/>
              <w:jc w:val="right"/>
              <w:rPr>
                <w:rFonts w:ascii="Tahoma" w:hAnsi="Tahoma" w:cs="Tahoma"/>
                <w:b/>
                <w:bCs/>
                <w:iCs/>
                <w:color w:val="243285"/>
                <w:sz w:val="32"/>
                <w:szCs w:val="32"/>
                <w:lang w:val="es-ES_tradnl"/>
              </w:rPr>
            </w:pPr>
          </w:p>
          <w:p w:rsidR="00DA4AF8" w:rsidRPr="00FE5596" w:rsidRDefault="00DA4AF8" w:rsidP="00AD1C56">
            <w:pPr>
              <w:spacing w:before="380" w:line="28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6</w:t>
            </w:r>
            <w:r w:rsidR="00AD1C56">
              <w:rPr>
                <w:rFonts w:ascii="Tahoma" w:hAnsi="Tahoma" w:cs="Tahoma"/>
                <w:b/>
                <w:bCs/>
                <w:iCs/>
                <w:color w:val="243285"/>
                <w:sz w:val="36"/>
                <w:szCs w:val="36"/>
                <w:lang w:val="es-ES_tradnl"/>
              </w:rPr>
              <w:t>93</w:t>
            </w:r>
            <w:r w:rsidRPr="00FE5596">
              <w:rPr>
                <w:rFonts w:ascii="Tahoma" w:hAnsi="Tahoma" w:cs="Tahoma"/>
                <w:b/>
                <w:bCs/>
                <w:iCs/>
                <w:color w:val="243285"/>
                <w:sz w:val="36"/>
                <w:szCs w:val="36"/>
                <w:lang w:val="es-ES_tradnl"/>
              </w:rPr>
              <w:t>-</w:t>
            </w:r>
            <w:r w:rsidR="00AD1C56">
              <w:rPr>
                <w:rFonts w:ascii="Tahoma" w:hAnsi="Tahoma" w:cs="Tahoma"/>
                <w:b/>
                <w:bCs/>
                <w:iCs/>
                <w:color w:val="243285"/>
                <w:sz w:val="36"/>
                <w:szCs w:val="36"/>
                <w:lang w:val="es-ES_tradnl"/>
              </w:rPr>
              <w:t>1</w:t>
            </w:r>
          </w:p>
          <w:p w:rsidR="00DA4AF8" w:rsidRPr="00FE5596" w:rsidRDefault="00DA4AF8" w:rsidP="005C6D8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Pr="00FE5596">
              <w:rPr>
                <w:rFonts w:ascii="Tahoma" w:hAnsi="Tahoma" w:cs="Tahoma"/>
                <w:b/>
                <w:bCs/>
                <w:iCs/>
                <w:color w:val="243285"/>
                <w:szCs w:val="24"/>
                <w:lang w:val="es-ES_tradnl"/>
              </w:rPr>
              <w:t>/2012)</w:t>
            </w:r>
          </w:p>
        </w:tc>
      </w:tr>
      <w:tr w:rsidR="00DA4AF8" w:rsidRPr="00C47D0D" w:rsidTr="005C6D8F">
        <w:tc>
          <w:tcPr>
            <w:tcW w:w="10089" w:type="dxa"/>
          </w:tcPr>
          <w:p w:rsidR="00DA4AF8" w:rsidRPr="00FE5596" w:rsidRDefault="00DA4AF8" w:rsidP="005C6D8F">
            <w:pPr>
              <w:spacing w:before="80" w:line="500" w:lineRule="exact"/>
              <w:jc w:val="right"/>
              <w:rPr>
                <w:rFonts w:ascii="Tahoma" w:hAnsi="Tahoma" w:cs="Tahoma"/>
                <w:b/>
                <w:bCs/>
                <w:iCs/>
                <w:color w:val="243285"/>
                <w:sz w:val="44"/>
                <w:szCs w:val="44"/>
                <w:lang w:val="es-ES_tradnl"/>
              </w:rPr>
            </w:pPr>
          </w:p>
          <w:p w:rsidR="00DA4AF8" w:rsidRPr="00FE5596" w:rsidRDefault="00DA4AF8" w:rsidP="005C6D8F">
            <w:pPr>
              <w:spacing w:before="80" w:line="500" w:lineRule="exact"/>
              <w:jc w:val="right"/>
              <w:rPr>
                <w:rFonts w:ascii="Tahoma" w:hAnsi="Tahoma" w:cs="Tahoma"/>
                <w:b/>
                <w:bCs/>
                <w:iCs/>
                <w:color w:val="243285"/>
                <w:sz w:val="44"/>
                <w:szCs w:val="44"/>
                <w:lang w:val="es-ES_tradnl"/>
              </w:rPr>
            </w:pPr>
          </w:p>
          <w:p w:rsidR="00DA4AF8" w:rsidRPr="00FE5596" w:rsidRDefault="00AD1C56" w:rsidP="00C47D0D">
            <w:pPr>
              <w:spacing w:before="80" w:line="500" w:lineRule="exact"/>
              <w:jc w:val="right"/>
              <w:rPr>
                <w:rFonts w:ascii="Tahoma" w:hAnsi="Tahoma" w:cs="Tahoma"/>
                <w:b/>
                <w:bCs/>
                <w:color w:val="243285"/>
                <w:sz w:val="44"/>
                <w:szCs w:val="44"/>
                <w:lang w:val="es-ES_tradnl"/>
              </w:rPr>
            </w:pPr>
            <w:r w:rsidRPr="00F63E4C">
              <w:rPr>
                <w:rFonts w:ascii="Tahoma" w:hAnsi="Tahoma" w:cs="Tahoma"/>
                <w:b/>
                <w:bCs/>
                <w:iCs/>
                <w:color w:val="243285"/>
                <w:sz w:val="44"/>
                <w:szCs w:val="44"/>
                <w:lang w:val="es-ES_tradnl"/>
              </w:rPr>
              <w:t>Car</w:t>
            </w:r>
            <w:bookmarkStart w:id="0" w:name="_GoBack"/>
            <w:bookmarkEnd w:id="0"/>
            <w:r w:rsidRPr="00F63E4C">
              <w:rPr>
                <w:rFonts w:ascii="Tahoma" w:hAnsi="Tahoma" w:cs="Tahoma"/>
                <w:b/>
                <w:bCs/>
                <w:iCs/>
                <w:color w:val="243285"/>
                <w:sz w:val="44"/>
                <w:szCs w:val="44"/>
                <w:lang w:val="es-ES_tradnl"/>
              </w:rPr>
              <w:t>acterísticas técnicas de las radiobalizas d</w:t>
            </w:r>
            <w:r>
              <w:rPr>
                <w:rFonts w:ascii="Tahoma" w:hAnsi="Tahoma" w:cs="Tahoma"/>
                <w:b/>
                <w:bCs/>
                <w:iCs/>
                <w:color w:val="243285"/>
                <w:sz w:val="44"/>
                <w:szCs w:val="44"/>
                <w:lang w:val="es-ES_tradnl"/>
              </w:rPr>
              <w:t>e localización de siniestros</w:t>
            </w:r>
            <w:r w:rsidR="00C47D0D">
              <w:rPr>
                <w:rFonts w:ascii="Tahoma" w:hAnsi="Tahoma" w:cs="Tahoma"/>
                <w:b/>
                <w:bCs/>
                <w:iCs/>
                <w:color w:val="243285"/>
                <w:sz w:val="44"/>
                <w:szCs w:val="44"/>
                <w:lang w:val="es-ES_tradnl"/>
              </w:rPr>
              <w:t xml:space="preserve"> </w:t>
            </w:r>
            <w:r>
              <w:rPr>
                <w:rFonts w:ascii="Tahoma" w:hAnsi="Tahoma" w:cs="Tahoma"/>
                <w:b/>
                <w:bCs/>
                <w:iCs/>
                <w:color w:val="243285"/>
                <w:sz w:val="44"/>
                <w:szCs w:val="44"/>
                <w:lang w:val="es-ES_tradnl"/>
              </w:rPr>
              <w:t>en</w:t>
            </w:r>
            <w:r w:rsidR="00C47D0D">
              <w:rPr>
                <w:rFonts w:ascii="Tahoma" w:hAnsi="Tahoma" w:cs="Tahoma"/>
                <w:b/>
                <w:bCs/>
                <w:iCs/>
                <w:color w:val="243285"/>
                <w:sz w:val="44"/>
                <w:szCs w:val="44"/>
                <w:lang w:val="es-ES_tradnl"/>
              </w:rPr>
              <w:br/>
            </w:r>
            <w:r w:rsidRPr="00F63E4C">
              <w:rPr>
                <w:rFonts w:ascii="Tahoma" w:hAnsi="Tahoma" w:cs="Tahoma"/>
                <w:b/>
                <w:bCs/>
                <w:iCs/>
                <w:color w:val="243285"/>
                <w:sz w:val="44"/>
                <w:szCs w:val="44"/>
                <w:lang w:val="es-ES_tradnl"/>
              </w:rPr>
              <w:t>ondas</w:t>
            </w:r>
            <w:r w:rsidR="00C47D0D">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métricas que</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utilizan</w:t>
            </w:r>
            <w:r w:rsidR="00C47D0D">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llamada</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selectiva digital</w:t>
            </w:r>
            <w:r>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(RLS</w:t>
            </w:r>
            <w:r w:rsidR="00C47D0D">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en ondas</w:t>
            </w:r>
            <w:r w:rsidR="00C47D0D">
              <w:rPr>
                <w:rFonts w:ascii="Tahoma" w:hAnsi="Tahoma" w:cs="Tahoma"/>
                <w:b/>
                <w:bCs/>
                <w:iCs/>
                <w:color w:val="243285"/>
                <w:sz w:val="44"/>
                <w:szCs w:val="44"/>
                <w:lang w:val="es-ES_tradnl"/>
              </w:rPr>
              <w:br/>
            </w:r>
            <w:r w:rsidRPr="00F63E4C">
              <w:rPr>
                <w:rFonts w:ascii="Tahoma" w:hAnsi="Tahoma" w:cs="Tahoma"/>
                <w:b/>
                <w:bCs/>
                <w:iCs/>
                <w:color w:val="243285"/>
                <w:sz w:val="44"/>
                <w:szCs w:val="44"/>
                <w:lang w:val="es-ES_tradnl"/>
              </w:rPr>
              <w:t>métricas</w:t>
            </w:r>
            <w:r w:rsidR="00BD74BC">
              <w:rPr>
                <w:rFonts w:ascii="Tahoma" w:hAnsi="Tahoma" w:cs="Tahoma"/>
                <w:b/>
                <w:bCs/>
                <w:iCs/>
                <w:color w:val="243285"/>
                <w:sz w:val="44"/>
                <w:szCs w:val="44"/>
                <w:lang w:val="es-ES_tradnl"/>
              </w:rPr>
              <w:t xml:space="preserve"> </w:t>
            </w:r>
            <w:r w:rsidRPr="00F63E4C">
              <w:rPr>
                <w:rFonts w:ascii="Tahoma" w:hAnsi="Tahoma" w:cs="Tahoma"/>
                <w:b/>
                <w:bCs/>
                <w:iCs/>
                <w:color w:val="243285"/>
                <w:sz w:val="44"/>
                <w:szCs w:val="44"/>
                <w:lang w:val="es-ES_tradnl"/>
              </w:rPr>
              <w:t>con LLSD)</w:t>
            </w:r>
          </w:p>
          <w:p w:rsidR="00DA4AF8" w:rsidRPr="00FE5596" w:rsidRDefault="00DA4AF8" w:rsidP="005C6D8F">
            <w:pPr>
              <w:spacing w:before="80" w:line="500" w:lineRule="exact"/>
              <w:jc w:val="right"/>
              <w:rPr>
                <w:rFonts w:ascii="Tahoma" w:hAnsi="Tahoma" w:cs="Tahoma"/>
                <w:b/>
                <w:bCs/>
                <w:iCs/>
                <w:color w:val="243285"/>
                <w:sz w:val="44"/>
                <w:szCs w:val="44"/>
                <w:lang w:val="es-ES_tradnl"/>
              </w:rPr>
            </w:pPr>
          </w:p>
        </w:tc>
      </w:tr>
      <w:tr w:rsidR="00DA4AF8" w:rsidRPr="00C47D0D" w:rsidTr="005C6D8F">
        <w:tc>
          <w:tcPr>
            <w:tcW w:w="10089" w:type="dxa"/>
          </w:tcPr>
          <w:p w:rsidR="00DA4AF8" w:rsidRPr="00FE5596" w:rsidRDefault="00DA4AF8" w:rsidP="005C6D8F">
            <w:pPr>
              <w:spacing w:before="80" w:line="280" w:lineRule="exact"/>
              <w:ind w:right="640"/>
              <w:rPr>
                <w:rFonts w:ascii="Tahoma" w:hAnsi="Tahoma" w:cs="Tahoma"/>
                <w:b/>
                <w:bCs/>
                <w:iCs/>
                <w:color w:val="243285"/>
                <w:sz w:val="32"/>
                <w:szCs w:val="32"/>
                <w:lang w:val="es-ES_tradnl"/>
              </w:rPr>
            </w:pPr>
          </w:p>
          <w:p w:rsidR="00DA4AF8" w:rsidRPr="00FE5596" w:rsidRDefault="00DA4AF8" w:rsidP="005C6D8F">
            <w:pPr>
              <w:spacing w:before="80" w:line="280" w:lineRule="exact"/>
              <w:ind w:right="640"/>
              <w:rPr>
                <w:rFonts w:ascii="Tahoma" w:hAnsi="Tahoma" w:cs="Tahoma"/>
                <w:b/>
                <w:bCs/>
                <w:iCs/>
                <w:color w:val="243285"/>
                <w:sz w:val="32"/>
                <w:szCs w:val="32"/>
                <w:lang w:val="es-ES_tradnl"/>
              </w:rPr>
            </w:pPr>
          </w:p>
          <w:p w:rsidR="00DA4AF8" w:rsidRPr="00FE5596" w:rsidRDefault="00DA4AF8" w:rsidP="005C6D8F">
            <w:pPr>
              <w:spacing w:before="80" w:after="180" w:line="360" w:lineRule="exact"/>
              <w:ind w:right="720"/>
              <w:rPr>
                <w:rFonts w:ascii="Tahoma" w:hAnsi="Tahoma" w:cs="Tahoma"/>
                <w:b/>
                <w:bCs/>
                <w:iCs/>
                <w:color w:val="243285"/>
                <w:sz w:val="36"/>
                <w:szCs w:val="36"/>
                <w:lang w:val="es-ES_tradnl"/>
              </w:rPr>
            </w:pPr>
          </w:p>
          <w:p w:rsidR="00DA4AF8" w:rsidRPr="00FE5596" w:rsidRDefault="00DA4AF8" w:rsidP="005C6D8F">
            <w:pPr>
              <w:spacing w:before="80" w:after="180" w:line="36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Serie M</w:t>
            </w:r>
          </w:p>
          <w:p w:rsidR="00DA4AF8" w:rsidRPr="00FE5596" w:rsidRDefault="00DA4AF8" w:rsidP="005C6D8F">
            <w:pPr>
              <w:spacing w:before="80" w:line="42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Servicios móviles, de radiodeterminación,</w:t>
            </w:r>
            <w:r w:rsidRPr="00FE5596">
              <w:rPr>
                <w:rFonts w:ascii="Tahoma" w:hAnsi="Tahoma" w:cs="Tahoma"/>
                <w:b/>
                <w:bCs/>
                <w:iCs/>
                <w:color w:val="243285"/>
                <w:sz w:val="36"/>
                <w:szCs w:val="36"/>
                <w:lang w:val="es-ES_tradnl"/>
              </w:rPr>
              <w:br/>
              <w:t>de aficionados y otros servicios</w:t>
            </w:r>
            <w:r w:rsidRPr="00FE5596">
              <w:rPr>
                <w:rFonts w:ascii="Tahoma" w:hAnsi="Tahoma" w:cs="Tahoma"/>
                <w:b/>
                <w:bCs/>
                <w:iCs/>
                <w:color w:val="243285"/>
                <w:sz w:val="36"/>
                <w:szCs w:val="36"/>
                <w:lang w:val="es-ES_tradnl"/>
              </w:rPr>
              <w:br/>
              <w:t>por satélite conexos</w:t>
            </w:r>
          </w:p>
        </w:tc>
      </w:tr>
    </w:tbl>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spacing w:before="80"/>
        <w:rPr>
          <w:i/>
          <w:sz w:val="22"/>
          <w:lang w:val="es-ES_tradnl"/>
        </w:rPr>
      </w:pPr>
    </w:p>
    <w:p w:rsidR="00DA4AF8" w:rsidRPr="00FE5596" w:rsidRDefault="00DA4AF8" w:rsidP="00DA4AF8">
      <w:pPr>
        <w:pStyle w:val="Equation"/>
        <w:tabs>
          <w:tab w:val="clear" w:pos="4820"/>
          <w:tab w:val="clear" w:pos="9639"/>
          <w:tab w:val="left" w:pos="1191"/>
          <w:tab w:val="left" w:pos="1588"/>
          <w:tab w:val="left" w:pos="1985"/>
        </w:tabs>
        <w:rPr>
          <w:rFonts w:ascii="Palatino Linotype" w:hAnsi="Palatino Linotype"/>
          <w:lang w:val="es-ES_tradnl"/>
        </w:rPr>
        <w:sectPr w:rsidR="00DA4AF8" w:rsidRPr="00FE5596">
          <w:headerReference w:type="even" r:id="rId8"/>
          <w:headerReference w:type="default" r:id="rId9"/>
          <w:pgSz w:w="11907" w:h="16840" w:code="9"/>
          <w:pgMar w:top="1089" w:right="1089" w:bottom="284" w:left="1089" w:header="567" w:footer="284" w:gutter="0"/>
          <w:pgNumType w:start="1"/>
          <w:cols w:space="720"/>
        </w:sectPr>
      </w:pPr>
    </w:p>
    <w:p w:rsidR="00DA4AF8" w:rsidRPr="00FE5596" w:rsidRDefault="00DA4AF8" w:rsidP="00DA4A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FE5596">
        <w:rPr>
          <w:bCs/>
          <w:sz w:val="24"/>
          <w:szCs w:val="24"/>
          <w:lang w:val="es-ES_tradnl"/>
        </w:rPr>
        <w:lastRenderedPageBreak/>
        <w:t>Prólogo</w:t>
      </w:r>
    </w:p>
    <w:p w:rsidR="00DA4AF8" w:rsidRPr="00FE5596" w:rsidRDefault="00DA4AF8" w:rsidP="00DA4AF8">
      <w:pPr>
        <w:spacing w:before="180"/>
        <w:rPr>
          <w:sz w:val="20"/>
          <w:lang w:val="es-ES_tradnl"/>
        </w:rPr>
      </w:pPr>
      <w:r w:rsidRPr="00FE5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A4AF8" w:rsidRPr="00FE5596" w:rsidRDefault="00DA4AF8" w:rsidP="00DA4AF8">
      <w:pPr>
        <w:rPr>
          <w:sz w:val="20"/>
          <w:lang w:val="es-ES_tradnl"/>
        </w:rPr>
      </w:pPr>
      <w:r w:rsidRPr="00FE5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A4AF8" w:rsidRPr="00FE5596" w:rsidRDefault="00DA4AF8" w:rsidP="00DA4AF8">
      <w:pPr>
        <w:pStyle w:val="Heading1"/>
        <w:spacing w:before="340"/>
        <w:jc w:val="center"/>
        <w:rPr>
          <w:szCs w:val="24"/>
          <w:lang w:val="es-ES_tradnl"/>
        </w:rPr>
      </w:pPr>
      <w:r w:rsidRPr="00FE5596">
        <w:rPr>
          <w:lang w:val="es-ES_tradnl"/>
        </w:rPr>
        <w:t>Política sobre Derechos de Propiedad Intelectual</w:t>
      </w:r>
      <w:r w:rsidRPr="00FE5596">
        <w:rPr>
          <w:szCs w:val="24"/>
          <w:lang w:val="es-ES_tradnl"/>
        </w:rPr>
        <w:t xml:space="preserve"> (IPR)</w:t>
      </w:r>
    </w:p>
    <w:p w:rsidR="00DA4AF8" w:rsidRPr="00FE5596" w:rsidRDefault="00DA4AF8" w:rsidP="00DA4AF8">
      <w:pPr>
        <w:spacing w:before="180"/>
        <w:rPr>
          <w:sz w:val="20"/>
          <w:lang w:val="es-ES_tradnl"/>
        </w:rPr>
      </w:pPr>
      <w:r w:rsidRPr="00FE5596">
        <w:rPr>
          <w:sz w:val="20"/>
          <w:lang w:val="es-ES_tradnl"/>
        </w:rPr>
        <w:t>La política del UIT</w:t>
      </w:r>
      <w:r w:rsidRPr="00FE5596">
        <w:rPr>
          <w:sz w:val="20"/>
          <w:lang w:val="es-ES_tradnl"/>
        </w:rPr>
        <w:noBreakHyphen/>
        <w:t>R sobre Derechos de Propiedad Intelectual se describe en la Política Común de Patentes UIT</w:t>
      </w:r>
      <w:r w:rsidRPr="00FE5596">
        <w:rPr>
          <w:sz w:val="20"/>
          <w:lang w:val="es-ES_tradnl"/>
        </w:rPr>
        <w:noBreakHyphen/>
        <w:t>T/UIT</w:t>
      </w:r>
      <w:r w:rsidRPr="00FE5596">
        <w:rPr>
          <w:sz w:val="20"/>
          <w:lang w:val="es-ES_tradnl"/>
        </w:rPr>
        <w:noBreakHyphen/>
        <w:t>R/ISO/CEI a la que</w:t>
      </w:r>
      <w:r w:rsidR="00C82EF5">
        <w:rPr>
          <w:sz w:val="20"/>
          <w:lang w:val="es-ES_tradnl"/>
        </w:rPr>
        <w:t xml:space="preserve"> se hace referencia en el Anexo </w:t>
      </w:r>
      <w:r w:rsidRPr="00FE5596">
        <w:rPr>
          <w:sz w:val="20"/>
          <w:lang w:val="es-ES_tradnl"/>
        </w:rPr>
        <w:t>1 a la Resolución UIT</w:t>
      </w:r>
      <w:r w:rsidRPr="00FE559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E5596">
          <w:rPr>
            <w:rStyle w:val="Hyperlink"/>
            <w:sz w:val="20"/>
            <w:lang w:val="es-ES_tradnl"/>
          </w:rPr>
          <w:t>http://www.itu.int/ITU-R/go/patents/es</w:t>
        </w:r>
      </w:hyperlink>
      <w:r w:rsidRPr="00FE5596">
        <w:rPr>
          <w:sz w:val="20"/>
          <w:lang w:val="es-ES_tradnl"/>
        </w:rPr>
        <w:t>, donde también aparecen las Directrices para la implementación de la Política Común de Patentes UIT</w:t>
      </w:r>
      <w:r w:rsidRPr="00FE5596">
        <w:rPr>
          <w:sz w:val="20"/>
          <w:lang w:val="es-ES_tradnl"/>
        </w:rPr>
        <w:noBreakHyphen/>
        <w:t>T/UIT</w:t>
      </w:r>
      <w:r w:rsidRPr="00FE5596">
        <w:rPr>
          <w:sz w:val="20"/>
          <w:lang w:val="es-ES_tradnl"/>
        </w:rPr>
        <w:noBreakHyphen/>
        <w:t>R/ISO/CEI y la base de datos sobre información de patentes del UIT</w:t>
      </w:r>
      <w:r w:rsidRPr="00FE5596">
        <w:rPr>
          <w:sz w:val="20"/>
          <w:lang w:val="es-ES_tradnl"/>
        </w:rPr>
        <w:noBreakHyphen/>
        <w:t>R sobre este asunto.</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4AF8" w:rsidRPr="00C47D0D" w:rsidTr="005C6D8F">
        <w:tc>
          <w:tcPr>
            <w:tcW w:w="9360" w:type="dxa"/>
            <w:gridSpan w:val="2"/>
          </w:tcPr>
          <w:p w:rsidR="00DA4AF8" w:rsidRPr="00FE5596" w:rsidRDefault="00DA4AF8" w:rsidP="005C6D8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E5596">
              <w:rPr>
                <w:sz w:val="22"/>
                <w:szCs w:val="22"/>
                <w:lang w:val="es-ES_tradnl"/>
              </w:rPr>
              <w:t xml:space="preserve">Series de las Recomendaciones UIT-R </w:t>
            </w:r>
          </w:p>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E5596">
              <w:rPr>
                <w:b w:val="0"/>
                <w:sz w:val="18"/>
                <w:szCs w:val="18"/>
                <w:lang w:val="es-ES_tradnl"/>
              </w:rPr>
              <w:t xml:space="preserve">(También disponible en línea en </w:t>
            </w:r>
            <w:hyperlink r:id="rId11" w:history="1">
              <w:r w:rsidRPr="00FE5596">
                <w:rPr>
                  <w:rStyle w:val="Hyperlink"/>
                  <w:b w:val="0"/>
                  <w:bCs/>
                  <w:sz w:val="18"/>
                  <w:szCs w:val="18"/>
                  <w:lang w:val="es-ES_tradnl"/>
                </w:rPr>
                <w:t>http://www.itu.int/publ/R-REC/es</w:t>
              </w:r>
            </w:hyperlink>
            <w:r w:rsidRPr="00FE5596">
              <w:rPr>
                <w:b w:val="0"/>
                <w:bCs/>
                <w:sz w:val="18"/>
                <w:szCs w:val="18"/>
                <w:lang w:val="es-ES_tradnl"/>
              </w:rPr>
              <w:t>)</w:t>
            </w:r>
          </w:p>
        </w:tc>
      </w:tr>
      <w:tr w:rsidR="00DA4AF8" w:rsidRPr="00FE5596" w:rsidTr="005C6D8F">
        <w:tc>
          <w:tcPr>
            <w:tcW w:w="1140" w:type="dxa"/>
          </w:tcPr>
          <w:p w:rsidR="00DA4AF8" w:rsidRPr="00FE5596" w:rsidRDefault="00DA4AF8" w:rsidP="005C6D8F">
            <w:pPr>
              <w:spacing w:before="180" w:after="100"/>
              <w:ind w:left="57"/>
              <w:rPr>
                <w:b/>
                <w:bCs/>
                <w:sz w:val="20"/>
                <w:lang w:val="es-ES_tradnl"/>
              </w:rPr>
            </w:pPr>
            <w:r w:rsidRPr="00FE5596">
              <w:rPr>
                <w:b/>
                <w:bCs/>
                <w:sz w:val="20"/>
                <w:lang w:val="es-ES_tradnl"/>
              </w:rPr>
              <w:t>Series</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E5596">
              <w:rPr>
                <w:bCs/>
                <w:sz w:val="20"/>
                <w:lang w:val="es-ES_tradnl"/>
              </w:rPr>
              <w:t>Título</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BO</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Distribución por satélite</w:t>
            </w:r>
          </w:p>
        </w:tc>
      </w:tr>
      <w:tr w:rsidR="00DA4AF8" w:rsidRPr="00C47D0D"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BR</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Registro para producción, archivo y reproducción; películas en televisión</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BS</w:t>
            </w:r>
          </w:p>
        </w:tc>
        <w:tc>
          <w:tcPr>
            <w:tcW w:w="8220" w:type="dxa"/>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(sonora)</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BT</w:t>
            </w:r>
          </w:p>
        </w:tc>
        <w:tc>
          <w:tcPr>
            <w:tcW w:w="8220" w:type="dxa"/>
            <w:shd w:val="clear" w:color="auto" w:fill="auto"/>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(televisión)</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F</w:t>
            </w:r>
          </w:p>
        </w:tc>
        <w:tc>
          <w:tcPr>
            <w:tcW w:w="8220" w:type="dxa"/>
            <w:shd w:val="clear" w:color="auto" w:fill="auto"/>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Servicio fijo</w:t>
            </w:r>
          </w:p>
        </w:tc>
      </w:tr>
      <w:tr w:rsidR="00DA4AF8" w:rsidRPr="00C47D0D" w:rsidTr="005C6D8F">
        <w:tc>
          <w:tcPr>
            <w:tcW w:w="1140" w:type="dxa"/>
            <w:shd w:val="clear" w:color="auto" w:fill="F3F3F3"/>
          </w:tcPr>
          <w:p w:rsidR="00DA4AF8" w:rsidRPr="00FE5596" w:rsidRDefault="00DA4AF8" w:rsidP="005C6D8F">
            <w:pPr>
              <w:spacing w:before="30" w:after="30"/>
              <w:ind w:left="57"/>
              <w:jc w:val="left"/>
              <w:rPr>
                <w:b/>
                <w:bCs/>
                <w:color w:val="000080"/>
                <w:sz w:val="20"/>
                <w:lang w:val="es-ES_tradnl"/>
              </w:rPr>
            </w:pPr>
            <w:r w:rsidRPr="00FE5596">
              <w:rPr>
                <w:b/>
                <w:bCs/>
                <w:color w:val="000080"/>
                <w:sz w:val="20"/>
                <w:lang w:val="es-ES_tradnl"/>
              </w:rPr>
              <w:t>M</w:t>
            </w:r>
          </w:p>
        </w:tc>
        <w:tc>
          <w:tcPr>
            <w:tcW w:w="8220" w:type="dxa"/>
            <w:shd w:val="clear" w:color="auto" w:fill="F3F3F3"/>
          </w:tcPr>
          <w:p w:rsidR="00DA4AF8" w:rsidRPr="00FE5596" w:rsidRDefault="00DA4AF8" w:rsidP="005C6D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E5596">
              <w:rPr>
                <w:bCs/>
                <w:color w:val="000080"/>
                <w:sz w:val="20"/>
                <w:lang w:val="es-ES_tradnl"/>
              </w:rPr>
              <w:t>Servicios móviles, de radiodeterminación, de aficionados y otros servicios por satélite conexos</w:t>
            </w:r>
          </w:p>
        </w:tc>
      </w:tr>
      <w:tr w:rsidR="00DA4AF8" w:rsidRPr="00C47D0D"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P</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Propagación de las ondas radioeléctricas</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RA</w:t>
            </w:r>
          </w:p>
        </w:tc>
        <w:tc>
          <w:tcPr>
            <w:tcW w:w="8220" w:type="dxa"/>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Radioastronomía</w:t>
            </w:r>
          </w:p>
        </w:tc>
      </w:tr>
      <w:tr w:rsidR="00DA4AF8" w:rsidRPr="00C47D0D"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RS</w:t>
            </w:r>
          </w:p>
        </w:tc>
        <w:tc>
          <w:tcPr>
            <w:tcW w:w="8220" w:type="dxa"/>
          </w:tcPr>
          <w:p w:rsidR="00DA4AF8" w:rsidRPr="00FE5596" w:rsidRDefault="00DA4AF8" w:rsidP="005C6D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Sistemas de detección a distancia</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Servicio fijo por satélite</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SA</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Aplicaciones espaciales y meteorología</w:t>
            </w:r>
          </w:p>
        </w:tc>
      </w:tr>
      <w:tr w:rsidR="00DA4AF8" w:rsidRPr="00C47D0D"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SF</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Compartición de frecuencias y coordinación entre los sistemas del servicio fijo por satélite y del servicio fijo</w:t>
            </w:r>
          </w:p>
        </w:tc>
      </w:tr>
      <w:tr w:rsidR="00DA4AF8" w:rsidRPr="00FE5596" w:rsidTr="005C6D8F">
        <w:tc>
          <w:tcPr>
            <w:tcW w:w="1140" w:type="dxa"/>
            <w:shd w:val="clear" w:color="auto" w:fill="auto"/>
          </w:tcPr>
          <w:p w:rsidR="00DA4AF8" w:rsidRPr="00FE5596" w:rsidRDefault="00DA4AF8" w:rsidP="005C6D8F">
            <w:pPr>
              <w:spacing w:before="30" w:after="30"/>
              <w:ind w:left="57"/>
              <w:jc w:val="left"/>
              <w:rPr>
                <w:b/>
                <w:bCs/>
                <w:sz w:val="20"/>
                <w:lang w:val="es-ES_tradnl"/>
              </w:rPr>
            </w:pPr>
            <w:r w:rsidRPr="00FE5596">
              <w:rPr>
                <w:b/>
                <w:bCs/>
                <w:sz w:val="20"/>
                <w:lang w:val="es-ES_tradnl"/>
              </w:rPr>
              <w:t>SM</w:t>
            </w:r>
          </w:p>
        </w:tc>
        <w:tc>
          <w:tcPr>
            <w:tcW w:w="8220" w:type="dxa"/>
            <w:shd w:val="clear" w:color="auto" w:fill="auto"/>
          </w:tcPr>
          <w:p w:rsidR="00DA4AF8" w:rsidRPr="00FE5596" w:rsidRDefault="00DA4AF8" w:rsidP="005C6D8F">
            <w:pPr>
              <w:spacing w:before="30" w:after="30"/>
              <w:jc w:val="left"/>
              <w:rPr>
                <w:sz w:val="20"/>
                <w:lang w:val="es-ES_tradnl"/>
              </w:rPr>
            </w:pPr>
            <w:r w:rsidRPr="00FE5596">
              <w:rPr>
                <w:sz w:val="20"/>
                <w:lang w:val="es-ES_tradnl"/>
              </w:rPr>
              <w:t>Gestión del espectro</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SNG</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Periodismo electrónico por satélite</w:t>
            </w:r>
          </w:p>
        </w:tc>
      </w:tr>
      <w:tr w:rsidR="00DA4AF8" w:rsidRPr="00C47D0D"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TF</w:t>
            </w:r>
          </w:p>
        </w:tc>
        <w:tc>
          <w:tcPr>
            <w:tcW w:w="8220" w:type="dxa"/>
          </w:tcPr>
          <w:p w:rsidR="00DA4AF8" w:rsidRPr="00FE5596" w:rsidRDefault="00DA4AF8" w:rsidP="005C6D8F">
            <w:pPr>
              <w:spacing w:before="30" w:after="30"/>
              <w:jc w:val="left"/>
              <w:rPr>
                <w:bCs/>
                <w:sz w:val="20"/>
                <w:lang w:val="es-ES_tradnl"/>
              </w:rPr>
            </w:pPr>
            <w:r w:rsidRPr="00FE5596">
              <w:rPr>
                <w:bCs/>
                <w:sz w:val="20"/>
                <w:lang w:val="es-ES_tradnl"/>
              </w:rPr>
              <w:t>Emisiones de frecuencias patrón y señales horarias</w:t>
            </w:r>
          </w:p>
        </w:tc>
      </w:tr>
      <w:tr w:rsidR="00DA4AF8" w:rsidRPr="00FE5596" w:rsidTr="005C6D8F">
        <w:tc>
          <w:tcPr>
            <w:tcW w:w="1140" w:type="dxa"/>
          </w:tcPr>
          <w:p w:rsidR="00DA4AF8" w:rsidRPr="00FE5596" w:rsidRDefault="00DA4AF8" w:rsidP="005C6D8F">
            <w:pPr>
              <w:spacing w:before="30" w:after="30"/>
              <w:ind w:left="57"/>
              <w:jc w:val="left"/>
              <w:rPr>
                <w:b/>
                <w:bCs/>
                <w:sz w:val="20"/>
                <w:lang w:val="es-ES_tradnl"/>
              </w:rPr>
            </w:pPr>
            <w:r w:rsidRPr="00FE5596">
              <w:rPr>
                <w:b/>
                <w:bCs/>
                <w:sz w:val="20"/>
                <w:lang w:val="es-ES_tradnl"/>
              </w:rPr>
              <w:t>V</w:t>
            </w:r>
          </w:p>
        </w:tc>
        <w:tc>
          <w:tcPr>
            <w:tcW w:w="8220" w:type="dxa"/>
          </w:tcPr>
          <w:p w:rsidR="00DA4AF8" w:rsidRPr="00FE5596" w:rsidRDefault="00DA4AF8" w:rsidP="005C6D8F">
            <w:pPr>
              <w:spacing w:before="30" w:after="140"/>
              <w:jc w:val="left"/>
              <w:rPr>
                <w:bCs/>
                <w:sz w:val="20"/>
                <w:lang w:val="es-ES_tradnl"/>
              </w:rPr>
            </w:pPr>
            <w:r w:rsidRPr="00FE5596">
              <w:rPr>
                <w:bCs/>
                <w:sz w:val="20"/>
                <w:lang w:val="es-ES_tradnl"/>
              </w:rPr>
              <w:t>Vocabulario y cuestiones afines</w:t>
            </w:r>
          </w:p>
        </w:tc>
      </w:tr>
    </w:tbl>
    <w:p w:rsidR="00DA4AF8" w:rsidRPr="00FE5596" w:rsidRDefault="00DA4AF8" w:rsidP="00DA4AF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A4AF8" w:rsidRPr="00FE5596" w:rsidTr="005C6D8F">
        <w:tc>
          <w:tcPr>
            <w:tcW w:w="720" w:type="dxa"/>
          </w:tcPr>
          <w:p w:rsidR="00DA4AF8" w:rsidRPr="00FE5596" w:rsidRDefault="00DA4AF8" w:rsidP="005C6D8F">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4AF8" w:rsidRPr="00C47D0D" w:rsidTr="005C6D8F">
        <w:tc>
          <w:tcPr>
            <w:tcW w:w="9360" w:type="dxa"/>
          </w:tcPr>
          <w:p w:rsidR="00DA4AF8" w:rsidRPr="00FE5596" w:rsidRDefault="00DA4AF8" w:rsidP="005C6D8F">
            <w:pPr>
              <w:spacing w:before="92" w:after="92"/>
              <w:jc w:val="left"/>
              <w:rPr>
                <w:i/>
                <w:iCs/>
                <w:sz w:val="20"/>
                <w:lang w:val="es-ES_tradnl"/>
              </w:rPr>
            </w:pPr>
            <w:r w:rsidRPr="00FE5596">
              <w:rPr>
                <w:b/>
                <w:bCs/>
                <w:i/>
                <w:iCs/>
                <w:sz w:val="20"/>
                <w:lang w:val="es-ES_tradnl"/>
              </w:rPr>
              <w:t>Nota</w:t>
            </w:r>
            <w:r w:rsidRPr="00FE5596">
              <w:rPr>
                <w:i/>
                <w:iCs/>
                <w:sz w:val="20"/>
                <w:lang w:val="es-ES_tradnl"/>
              </w:rPr>
              <w:t xml:space="preserve">: Esta Recomendación UIT-R fue aprobada en inglés conforme al procedimiento detallado en la </w:t>
            </w:r>
            <w:r w:rsidRPr="00FE5596">
              <w:rPr>
                <w:i/>
                <w:iCs/>
                <w:sz w:val="20"/>
                <w:lang w:val="es-ES_tradnl"/>
              </w:rPr>
              <w:br/>
              <w:t>Resolución UIT-R 1.</w:t>
            </w:r>
          </w:p>
        </w:tc>
      </w:tr>
    </w:tbl>
    <w:p w:rsidR="00DA4AF8" w:rsidRPr="00FE5596" w:rsidRDefault="00DA4AF8" w:rsidP="00DA4AF8">
      <w:pPr>
        <w:spacing w:before="0"/>
        <w:jc w:val="center"/>
        <w:rPr>
          <w:sz w:val="22"/>
          <w:lang w:val="es-ES_tradnl"/>
        </w:rPr>
      </w:pPr>
    </w:p>
    <w:p w:rsidR="00DA4AF8" w:rsidRPr="00FE5596" w:rsidRDefault="00DA4AF8" w:rsidP="00DA4AF8">
      <w:pPr>
        <w:spacing w:before="60"/>
        <w:jc w:val="right"/>
        <w:rPr>
          <w:i/>
          <w:iCs/>
          <w:sz w:val="20"/>
          <w:lang w:val="es-ES_tradnl"/>
        </w:rPr>
      </w:pPr>
      <w:r w:rsidRPr="00FE5596">
        <w:rPr>
          <w:i/>
          <w:iCs/>
          <w:sz w:val="20"/>
          <w:lang w:val="es-ES_tradnl"/>
        </w:rPr>
        <w:t>Publicación electrónica</w:t>
      </w:r>
    </w:p>
    <w:p w:rsidR="00DA4AF8" w:rsidRPr="00FE5596" w:rsidRDefault="00DA4AF8" w:rsidP="00DA4AF8">
      <w:pPr>
        <w:spacing w:before="0" w:after="40"/>
        <w:jc w:val="right"/>
        <w:rPr>
          <w:sz w:val="20"/>
          <w:lang w:val="es-ES_tradnl"/>
        </w:rPr>
      </w:pPr>
      <w:r w:rsidRPr="00FE5596">
        <w:rPr>
          <w:sz w:val="20"/>
          <w:lang w:val="es-ES_tradnl"/>
        </w:rPr>
        <w:t>Ginebra, 2015</w:t>
      </w:r>
    </w:p>
    <w:p w:rsidR="00DA4AF8" w:rsidRPr="00FE5596" w:rsidRDefault="00DA4AF8" w:rsidP="00DA4AF8">
      <w:pPr>
        <w:spacing w:before="0"/>
        <w:jc w:val="center"/>
        <w:rPr>
          <w:sz w:val="22"/>
          <w:lang w:val="es-ES_tradnl"/>
        </w:rPr>
      </w:pPr>
    </w:p>
    <w:p w:rsidR="00DA4AF8" w:rsidRPr="00FE5596" w:rsidRDefault="00DA4AF8" w:rsidP="00DA4AF8">
      <w:pPr>
        <w:spacing w:before="0"/>
        <w:jc w:val="center"/>
        <w:rPr>
          <w:sz w:val="20"/>
          <w:lang w:val="es-ES_tradnl"/>
        </w:rPr>
      </w:pPr>
      <w:r w:rsidRPr="00FE5596">
        <w:rPr>
          <w:sz w:val="20"/>
          <w:lang w:val="es-ES_tradnl"/>
        </w:rPr>
        <w:sym w:font="Symbol" w:char="F0E3"/>
      </w:r>
      <w:r w:rsidRPr="00FE5596">
        <w:rPr>
          <w:sz w:val="20"/>
          <w:lang w:val="es-ES_tradnl"/>
        </w:rPr>
        <w:t xml:space="preserve"> UIT </w:t>
      </w:r>
      <w:bookmarkStart w:id="2" w:name="iiannee"/>
      <w:bookmarkEnd w:id="2"/>
      <w:r w:rsidRPr="00FE5596">
        <w:rPr>
          <w:sz w:val="20"/>
          <w:lang w:val="es-ES_tradnl"/>
        </w:rPr>
        <w:t>2015</w:t>
      </w:r>
    </w:p>
    <w:p w:rsidR="00DA4AF8" w:rsidRPr="00FE5596" w:rsidRDefault="00DA4AF8" w:rsidP="00DA4AF8">
      <w:pPr>
        <w:spacing w:before="80"/>
        <w:rPr>
          <w:sz w:val="18"/>
          <w:szCs w:val="18"/>
          <w:lang w:val="es-ES_tradnl"/>
        </w:rPr>
      </w:pPr>
      <w:r w:rsidRPr="00FE5596">
        <w:rPr>
          <w:sz w:val="18"/>
          <w:szCs w:val="18"/>
          <w:lang w:val="es-ES_tradnl"/>
        </w:rPr>
        <w:t>Reservados todos los derechos. Ninguna parte de esta publicación puede reproducirse por ningún procedimiento sin previa autorización escrita por parte de la UIT.</w:t>
      </w:r>
    </w:p>
    <w:p w:rsidR="00DA4AF8" w:rsidRPr="00FE5596" w:rsidRDefault="00DA4AF8" w:rsidP="00DA4AF8">
      <w:pPr>
        <w:spacing w:before="160"/>
        <w:rPr>
          <w:i/>
          <w:sz w:val="20"/>
          <w:highlight w:val="yellow"/>
          <w:lang w:val="es-ES_tradnl"/>
        </w:rPr>
        <w:sectPr w:rsidR="00DA4AF8" w:rsidRPr="00FE5596"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DA4AF8" w:rsidRPr="00FE5596" w:rsidRDefault="00DA4AF8" w:rsidP="00AD1C56">
      <w:pPr>
        <w:pStyle w:val="RecNo"/>
        <w:spacing w:before="0"/>
        <w:rPr>
          <w:lang w:val="es-ES_tradnl"/>
        </w:rPr>
      </w:pPr>
      <w:bookmarkStart w:id="3" w:name="irecnoe"/>
      <w:bookmarkEnd w:id="3"/>
      <w:r w:rsidRPr="00FE5596">
        <w:rPr>
          <w:lang w:val="es-ES_tradnl"/>
        </w:rPr>
        <w:lastRenderedPageBreak/>
        <w:t xml:space="preserve">RECOMENDACIÓN  </w:t>
      </w:r>
      <w:r w:rsidRPr="00FE5596">
        <w:rPr>
          <w:rStyle w:val="href"/>
          <w:lang w:val="es-ES_tradnl"/>
        </w:rPr>
        <w:t>UIT-R  M.</w:t>
      </w:r>
      <w:r>
        <w:rPr>
          <w:rStyle w:val="href"/>
          <w:lang w:val="es-ES_tradnl"/>
        </w:rPr>
        <w:t>6</w:t>
      </w:r>
      <w:r w:rsidR="00AD1C56">
        <w:rPr>
          <w:rStyle w:val="href"/>
          <w:lang w:val="es-ES_tradnl"/>
        </w:rPr>
        <w:t>93</w:t>
      </w:r>
      <w:r w:rsidRPr="00FE5596">
        <w:rPr>
          <w:rStyle w:val="href"/>
          <w:lang w:val="es-ES_tradnl"/>
        </w:rPr>
        <w:t>-</w:t>
      </w:r>
      <w:r w:rsidR="00AD1C56">
        <w:rPr>
          <w:rStyle w:val="href"/>
          <w:lang w:val="es-ES_tradnl"/>
        </w:rPr>
        <w:t>1</w:t>
      </w:r>
    </w:p>
    <w:p w:rsidR="00DA4AF8" w:rsidRDefault="00AD1C56" w:rsidP="00D159E0">
      <w:pPr>
        <w:pStyle w:val="Rectitle"/>
        <w:rPr>
          <w:lang w:val="es-ES_tradnl"/>
        </w:rPr>
      </w:pPr>
      <w:r>
        <w:rPr>
          <w:lang w:val="es-ES_tradnl"/>
        </w:rPr>
        <w:t>C</w:t>
      </w:r>
      <w:r w:rsidRPr="00F63E4C">
        <w:rPr>
          <w:lang w:val="es-ES_tradnl"/>
        </w:rPr>
        <w:t>aracterísticas</w:t>
      </w:r>
      <w:r>
        <w:rPr>
          <w:lang w:val="es-ES_tradnl"/>
        </w:rPr>
        <w:t xml:space="preserve"> </w:t>
      </w:r>
      <w:r w:rsidRPr="00F63E4C">
        <w:rPr>
          <w:lang w:val="es-ES_tradnl"/>
        </w:rPr>
        <w:t>técnicas</w:t>
      </w:r>
      <w:r>
        <w:rPr>
          <w:lang w:val="es-ES_tradnl"/>
        </w:rPr>
        <w:t xml:space="preserve"> </w:t>
      </w:r>
      <w:r w:rsidRPr="00F63E4C">
        <w:rPr>
          <w:lang w:val="es-ES_tradnl"/>
        </w:rPr>
        <w:t>de</w:t>
      </w:r>
      <w:r>
        <w:rPr>
          <w:lang w:val="es-ES_tradnl"/>
        </w:rPr>
        <w:t xml:space="preserve"> </w:t>
      </w:r>
      <w:r w:rsidRPr="00F63E4C">
        <w:rPr>
          <w:lang w:val="es-ES_tradnl"/>
        </w:rPr>
        <w:t>las</w:t>
      </w:r>
      <w:r>
        <w:rPr>
          <w:lang w:val="es-ES_tradnl"/>
        </w:rPr>
        <w:t xml:space="preserve"> </w:t>
      </w:r>
      <w:r w:rsidRPr="00F63E4C">
        <w:rPr>
          <w:lang w:val="es-ES_tradnl"/>
        </w:rPr>
        <w:t>radiobalizas</w:t>
      </w:r>
      <w:r>
        <w:rPr>
          <w:lang w:val="es-ES_tradnl"/>
        </w:rPr>
        <w:t xml:space="preserve"> </w:t>
      </w:r>
      <w:r w:rsidRPr="00F63E4C">
        <w:rPr>
          <w:lang w:val="es-ES_tradnl"/>
        </w:rPr>
        <w:t>de</w:t>
      </w:r>
      <w:r>
        <w:rPr>
          <w:lang w:val="es-ES_tradnl"/>
        </w:rPr>
        <w:t xml:space="preserve"> </w:t>
      </w:r>
      <w:r w:rsidRPr="00F63E4C">
        <w:rPr>
          <w:lang w:val="es-ES_tradnl"/>
        </w:rPr>
        <w:t>localización</w:t>
      </w:r>
      <w:r>
        <w:rPr>
          <w:lang w:val="es-ES_tradnl"/>
        </w:rPr>
        <w:t xml:space="preserve"> </w:t>
      </w:r>
      <w:r w:rsidRPr="00F63E4C">
        <w:rPr>
          <w:lang w:val="es-ES_tradnl"/>
        </w:rPr>
        <w:t>de</w:t>
      </w:r>
      <w:r>
        <w:rPr>
          <w:lang w:val="es-ES_tradnl"/>
        </w:rPr>
        <w:t xml:space="preserve"> </w:t>
      </w:r>
      <w:r w:rsidRPr="00F63E4C">
        <w:rPr>
          <w:lang w:val="es-ES_tradnl"/>
        </w:rPr>
        <w:t>siniestros</w:t>
      </w:r>
      <w:r w:rsidR="00BD74BC">
        <w:rPr>
          <w:lang w:val="es-ES_tradnl"/>
        </w:rPr>
        <w:t xml:space="preserve"> </w:t>
      </w:r>
      <w:r>
        <w:rPr>
          <w:lang w:val="es-ES_tradnl"/>
        </w:rPr>
        <w:br/>
      </w:r>
      <w:r w:rsidRPr="00F63E4C">
        <w:rPr>
          <w:lang w:val="es-ES_tradnl"/>
        </w:rPr>
        <w:t>en</w:t>
      </w:r>
      <w:r>
        <w:rPr>
          <w:lang w:val="es-ES_tradnl"/>
        </w:rPr>
        <w:t xml:space="preserve"> </w:t>
      </w:r>
      <w:r w:rsidRPr="00F63E4C">
        <w:rPr>
          <w:lang w:val="es-ES_tradnl"/>
        </w:rPr>
        <w:t>ondas</w:t>
      </w:r>
      <w:r>
        <w:rPr>
          <w:lang w:val="es-ES_tradnl"/>
        </w:rPr>
        <w:t xml:space="preserve"> </w:t>
      </w:r>
      <w:r w:rsidRPr="00F63E4C">
        <w:rPr>
          <w:lang w:val="es-ES_tradnl"/>
        </w:rPr>
        <w:t>métricas</w:t>
      </w:r>
      <w:r>
        <w:rPr>
          <w:lang w:val="es-ES_tradnl"/>
        </w:rPr>
        <w:t xml:space="preserve"> </w:t>
      </w:r>
      <w:r w:rsidRPr="00F63E4C">
        <w:rPr>
          <w:lang w:val="es-ES_tradnl"/>
        </w:rPr>
        <w:t>que</w:t>
      </w:r>
      <w:r>
        <w:rPr>
          <w:lang w:val="es-ES_tradnl"/>
        </w:rPr>
        <w:t xml:space="preserve"> </w:t>
      </w:r>
      <w:r w:rsidRPr="00F63E4C">
        <w:rPr>
          <w:lang w:val="es-ES_tradnl"/>
        </w:rPr>
        <w:t>utilizan</w:t>
      </w:r>
      <w:r>
        <w:rPr>
          <w:lang w:val="es-ES_tradnl"/>
        </w:rPr>
        <w:t xml:space="preserve"> </w:t>
      </w:r>
      <w:r w:rsidRPr="00F63E4C">
        <w:rPr>
          <w:lang w:val="es-ES_tradnl"/>
        </w:rPr>
        <w:t>llamada</w:t>
      </w:r>
      <w:r>
        <w:rPr>
          <w:lang w:val="es-ES_tradnl"/>
        </w:rPr>
        <w:t xml:space="preserve"> </w:t>
      </w:r>
      <w:r w:rsidRPr="00F63E4C">
        <w:rPr>
          <w:lang w:val="es-ES_tradnl"/>
        </w:rPr>
        <w:t>selectiva</w:t>
      </w:r>
      <w:r>
        <w:rPr>
          <w:lang w:val="es-ES_tradnl"/>
        </w:rPr>
        <w:t xml:space="preserve"> </w:t>
      </w:r>
      <w:r w:rsidRPr="00F63E4C">
        <w:rPr>
          <w:lang w:val="es-ES_tradnl"/>
        </w:rPr>
        <w:t>digital</w:t>
      </w:r>
      <w:r>
        <w:rPr>
          <w:lang w:val="es-ES_tradnl"/>
        </w:rPr>
        <w:t xml:space="preserve"> </w:t>
      </w:r>
      <w:r>
        <w:rPr>
          <w:lang w:val="es-ES_tradnl"/>
        </w:rPr>
        <w:br/>
      </w:r>
      <w:r w:rsidRPr="00F63E4C">
        <w:rPr>
          <w:lang w:val="es-ES_tradnl"/>
        </w:rPr>
        <w:t>(RLS</w:t>
      </w:r>
      <w:r>
        <w:rPr>
          <w:lang w:val="es-ES_tradnl"/>
        </w:rPr>
        <w:t xml:space="preserve"> </w:t>
      </w:r>
      <w:r w:rsidRPr="00F63E4C">
        <w:rPr>
          <w:lang w:val="es-ES_tradnl"/>
        </w:rPr>
        <w:t>en</w:t>
      </w:r>
      <w:r>
        <w:rPr>
          <w:lang w:val="es-ES_tradnl"/>
        </w:rPr>
        <w:t xml:space="preserve"> </w:t>
      </w:r>
      <w:r w:rsidRPr="00F63E4C">
        <w:rPr>
          <w:lang w:val="es-ES_tradnl"/>
        </w:rPr>
        <w:t>ondas</w:t>
      </w:r>
      <w:r>
        <w:rPr>
          <w:lang w:val="es-ES_tradnl"/>
        </w:rPr>
        <w:t xml:space="preserve"> </w:t>
      </w:r>
      <w:r w:rsidRPr="00F63E4C">
        <w:rPr>
          <w:lang w:val="es-ES_tradnl"/>
        </w:rPr>
        <w:t>métricas</w:t>
      </w:r>
      <w:r>
        <w:rPr>
          <w:lang w:val="es-ES_tradnl"/>
        </w:rPr>
        <w:t xml:space="preserve"> </w:t>
      </w:r>
      <w:r w:rsidRPr="00F63E4C">
        <w:rPr>
          <w:lang w:val="es-ES_tradnl"/>
        </w:rPr>
        <w:t>con</w:t>
      </w:r>
      <w:r>
        <w:rPr>
          <w:lang w:val="es-ES_tradnl"/>
        </w:rPr>
        <w:t xml:space="preserve"> </w:t>
      </w:r>
      <w:r w:rsidRPr="00F63E4C">
        <w:rPr>
          <w:lang w:val="es-ES_tradnl"/>
        </w:rPr>
        <w:t>LLSD)</w:t>
      </w:r>
    </w:p>
    <w:p w:rsidR="004D752B" w:rsidRPr="00BD74BC" w:rsidRDefault="004D752B" w:rsidP="004D752B">
      <w:pPr>
        <w:pStyle w:val="Blanc"/>
        <w:rPr>
          <w:lang w:val="es-ES_tradnl"/>
        </w:rPr>
      </w:pPr>
    </w:p>
    <w:p w:rsidR="00DA4AF8" w:rsidRPr="0042756C" w:rsidRDefault="00AD1C56" w:rsidP="00DA4AF8">
      <w:pPr>
        <w:pStyle w:val="Recdate"/>
        <w:rPr>
          <w:lang w:val="es-ES_tradnl"/>
        </w:rPr>
      </w:pPr>
      <w:r>
        <w:rPr>
          <w:lang w:val="es-ES"/>
        </w:rPr>
        <w:t>(1990-2012)</w:t>
      </w:r>
    </w:p>
    <w:p w:rsidR="004D752B" w:rsidRPr="00C47D0D" w:rsidRDefault="004D752B" w:rsidP="004D752B">
      <w:pPr>
        <w:pStyle w:val="Blanc"/>
        <w:rPr>
          <w:lang w:val="es-ES_tradnl"/>
        </w:rPr>
      </w:pPr>
    </w:p>
    <w:p w:rsidR="00DA4AF8" w:rsidRDefault="00DA4AF8" w:rsidP="00DA4AF8">
      <w:pPr>
        <w:pStyle w:val="HeadingSum"/>
      </w:pPr>
      <w:r w:rsidRPr="00FE5596">
        <w:t>Cometido</w:t>
      </w:r>
    </w:p>
    <w:p w:rsidR="00AD1C56" w:rsidRDefault="00AD1C56" w:rsidP="00AD1C56">
      <w:pPr>
        <w:pStyle w:val="Summary"/>
      </w:pPr>
      <w:r w:rsidRPr="00AD1C56">
        <w:t>En esta Recomendación se describen las características técnicas de una radiobaliza de localización. Esta baliza funciona en la banda de ondas métricas, en atribuciones exclusivas para el servicio móvil marítimo, y utiliza el sistema de llamada selectiva digital (LLSD) descrito en la Recomendación UIT-R M.493. Se hará referencia a esta radiobaliza por la sigla RLS en ondas métricas.</w:t>
      </w:r>
    </w:p>
    <w:p w:rsidR="00C65790" w:rsidRPr="00C65790" w:rsidRDefault="00C65790" w:rsidP="00C65790">
      <w:pPr>
        <w:pStyle w:val="Normalaftertitle"/>
        <w:rPr>
          <w:lang w:val="es-ES_tradnl"/>
        </w:rPr>
      </w:pPr>
      <w:r w:rsidRPr="00C65790">
        <w:rPr>
          <w:lang w:val="es-ES_tradnl"/>
        </w:rPr>
        <w:t>La Asamblea de Radiocomunicaciones,</w:t>
      </w:r>
    </w:p>
    <w:p w:rsidR="00AD1C56" w:rsidRPr="008D09F4" w:rsidRDefault="00AD1C56" w:rsidP="00C65790">
      <w:pPr>
        <w:pStyle w:val="Call"/>
        <w:rPr>
          <w:lang w:val="es-ES" w:eastAsia="zh-CN"/>
        </w:rPr>
      </w:pPr>
      <w:r w:rsidRPr="008D09F4">
        <w:rPr>
          <w:lang w:val="es-ES" w:eastAsia="zh-CN"/>
        </w:rPr>
        <w:t>considerando</w:t>
      </w:r>
    </w:p>
    <w:p w:rsidR="00AD1C56" w:rsidRPr="00F63E4C" w:rsidRDefault="00AD1C56" w:rsidP="00C65790">
      <w:pPr>
        <w:rPr>
          <w:lang w:val="es-ES" w:eastAsia="zh-CN"/>
        </w:rPr>
      </w:pPr>
      <w:r w:rsidRPr="00F63E4C">
        <w:rPr>
          <w:i/>
          <w:lang w:val="es-ES" w:eastAsia="zh-CN"/>
        </w:rPr>
        <w:t>a)</w:t>
      </w:r>
      <w:r w:rsidRPr="00F63E4C">
        <w:rPr>
          <w:lang w:val="es-ES" w:eastAsia="zh-CN"/>
        </w:rPr>
        <w:tab/>
        <w:t>que las funciones de alerta y localización forman parte de las exigencias básicas del</w:t>
      </w:r>
      <w:r w:rsidRPr="00D72A29">
        <w:rPr>
          <w:lang w:val="es-ES_tradnl"/>
        </w:rPr>
        <w:t xml:space="preserve"> </w:t>
      </w:r>
      <w:r w:rsidRPr="00F63E4C">
        <w:rPr>
          <w:lang w:val="es-ES" w:eastAsia="zh-CN"/>
        </w:rPr>
        <w:t>Sistema Mundial de Socorro y Seguridad Marítimos (SMSSM);</w:t>
      </w:r>
    </w:p>
    <w:p w:rsidR="00AD1C56" w:rsidRDefault="00AD1C56" w:rsidP="00C65790">
      <w:pPr>
        <w:rPr>
          <w:lang w:val="es-ES" w:eastAsia="zh-CN"/>
        </w:rPr>
      </w:pPr>
      <w:r w:rsidRPr="00F63E4C">
        <w:rPr>
          <w:i/>
          <w:lang w:val="es-ES" w:eastAsia="zh-CN"/>
        </w:rPr>
        <w:t>b)</w:t>
      </w:r>
      <w:r w:rsidRPr="00F63E4C">
        <w:rPr>
          <w:lang w:val="es-ES" w:eastAsia="zh-CN"/>
        </w:rPr>
        <w:tab/>
        <w:t xml:space="preserve">que </w:t>
      </w:r>
      <w:r>
        <w:rPr>
          <w:lang w:val="es-ES" w:eastAsia="zh-CN"/>
        </w:rPr>
        <w:t xml:space="preserve">las características del sistema LLSD se recogen en la Recomendación </w:t>
      </w:r>
      <w:r w:rsidRPr="008D09F4">
        <w:rPr>
          <w:lang w:val="es-ES" w:eastAsia="zh-CN"/>
        </w:rPr>
        <w:t>UIT-R M.493</w:t>
      </w:r>
      <w:r>
        <w:rPr>
          <w:lang w:val="es-ES" w:eastAsia="zh-CN"/>
        </w:rPr>
        <w:t>;</w:t>
      </w:r>
    </w:p>
    <w:p w:rsidR="00AD1C56" w:rsidRPr="00F63E4C" w:rsidRDefault="00AD1C56" w:rsidP="00C65790">
      <w:pPr>
        <w:rPr>
          <w:lang w:val="es-ES" w:eastAsia="zh-CN"/>
        </w:rPr>
      </w:pPr>
      <w:r w:rsidRPr="008D09F4">
        <w:rPr>
          <w:i/>
          <w:iCs/>
          <w:lang w:val="es-ES" w:eastAsia="zh-CN"/>
        </w:rPr>
        <w:t>c)</w:t>
      </w:r>
      <w:r>
        <w:rPr>
          <w:lang w:val="es-ES" w:eastAsia="zh-CN"/>
        </w:rPr>
        <w:tab/>
      </w:r>
      <w:r w:rsidRPr="00F63E4C">
        <w:rPr>
          <w:lang w:val="es-ES" w:eastAsia="zh-CN"/>
        </w:rPr>
        <w:t xml:space="preserve">que las características del transpondedor de radar de búsqueda y salvamento (SART) para fines de localización se indican en la Recomendación </w:t>
      </w:r>
      <w:r>
        <w:rPr>
          <w:lang w:val="es-ES" w:eastAsia="zh-CN"/>
        </w:rPr>
        <w:t>M.</w:t>
      </w:r>
      <w:r w:rsidRPr="00F63E4C">
        <w:rPr>
          <w:lang w:val="es-ES" w:eastAsia="zh-CN"/>
        </w:rPr>
        <w:t>628,</w:t>
      </w:r>
    </w:p>
    <w:p w:rsidR="00AD1C56" w:rsidRPr="008D09F4" w:rsidRDefault="00AD1C56" w:rsidP="00C65790">
      <w:pPr>
        <w:pStyle w:val="Call"/>
        <w:rPr>
          <w:lang w:val="es-ES" w:eastAsia="zh-CN"/>
        </w:rPr>
      </w:pPr>
      <w:r w:rsidRPr="008D09F4">
        <w:rPr>
          <w:lang w:val="es-ES" w:eastAsia="zh-CN"/>
        </w:rPr>
        <w:t>reconociendo</w:t>
      </w:r>
    </w:p>
    <w:p w:rsidR="00AD1C56" w:rsidRDefault="00AD1C56" w:rsidP="0021037D">
      <w:pPr>
        <w:rPr>
          <w:lang w:val="es-ES" w:eastAsia="zh-CN"/>
        </w:rPr>
      </w:pPr>
      <w:r w:rsidRPr="00F63E4C">
        <w:rPr>
          <w:lang w:val="es-ES" w:eastAsia="zh-CN"/>
        </w:rPr>
        <w:tab/>
      </w:r>
      <w:r w:rsidRPr="008D09F4">
        <w:rPr>
          <w:lang w:val="es-ES" w:eastAsia="zh-CN"/>
        </w:rPr>
        <w:t>que el capítulo IV del Convenio SOLAS de 1974, enmendado en 1988, permite utilizar RLS en ondas métricas con LLSD en las zonas marítimas A1</w:t>
      </w:r>
      <w:r w:rsidR="0021037D">
        <w:rPr>
          <w:rStyle w:val="FootnoteReference"/>
          <w:lang w:val="es-ES" w:eastAsia="zh-CN"/>
        </w:rPr>
        <w:footnoteReference w:id="1"/>
      </w:r>
      <w:r w:rsidRPr="008D09F4">
        <w:rPr>
          <w:lang w:val="es-ES" w:eastAsia="zh-CN"/>
        </w:rPr>
        <w:t xml:space="preserve"> en lugar de RLS por satélite</w:t>
      </w:r>
      <w:r>
        <w:rPr>
          <w:lang w:val="es-ES" w:eastAsia="zh-CN"/>
        </w:rPr>
        <w:t>,</w:t>
      </w:r>
    </w:p>
    <w:p w:rsidR="00AD1C56" w:rsidRDefault="00AD1C56" w:rsidP="00C65790">
      <w:pPr>
        <w:pStyle w:val="Call"/>
        <w:rPr>
          <w:lang w:val="es-ES" w:eastAsia="zh-CN"/>
        </w:rPr>
      </w:pPr>
      <w:r>
        <w:rPr>
          <w:lang w:val="es-ES" w:eastAsia="zh-CN"/>
        </w:rPr>
        <w:t>recomienda</w:t>
      </w:r>
    </w:p>
    <w:p w:rsidR="00AD1C56" w:rsidRPr="00F63E4C" w:rsidRDefault="00AD1C56" w:rsidP="00C65790">
      <w:pPr>
        <w:rPr>
          <w:lang w:val="es-ES" w:eastAsia="zh-CN"/>
        </w:rPr>
      </w:pPr>
      <w:r>
        <w:rPr>
          <w:lang w:val="es-ES" w:eastAsia="zh-CN"/>
        </w:rPr>
        <w:t>que las características técnicas de las RLS en ondas métricas con LLSD se ajusten a lo dispuesto en el Anexo 1 y en la recomendación UIT-R M.493</w:t>
      </w:r>
      <w:r w:rsidRPr="00F63E4C">
        <w:rPr>
          <w:lang w:val="es-ES" w:eastAsia="zh-CN"/>
        </w:rPr>
        <w:t>.</w:t>
      </w:r>
    </w:p>
    <w:p w:rsidR="00AD1C56" w:rsidRPr="00F63E4C" w:rsidRDefault="00AD1C56" w:rsidP="00C65790">
      <w:pPr>
        <w:pStyle w:val="AnnexNoTitle"/>
        <w:rPr>
          <w:lang w:val="es-ES" w:eastAsia="zh-CN"/>
        </w:rPr>
      </w:pPr>
      <w:r w:rsidRPr="003F6207">
        <w:rPr>
          <w:lang w:val="es-ES_tradnl"/>
        </w:rPr>
        <w:lastRenderedPageBreak/>
        <w:t>Anexo</w:t>
      </w:r>
      <w:r>
        <w:rPr>
          <w:lang w:val="es-ES" w:eastAsia="zh-CN"/>
        </w:rPr>
        <w:t xml:space="preserve">  1</w:t>
      </w:r>
      <w:r w:rsidR="00C65790">
        <w:rPr>
          <w:lang w:val="es-ES" w:eastAsia="zh-CN"/>
        </w:rPr>
        <w:br/>
      </w:r>
      <w:r w:rsidR="00C65790">
        <w:rPr>
          <w:lang w:val="es-ES" w:eastAsia="zh-CN"/>
        </w:rPr>
        <w:br/>
        <w:t>Características técnicas mínimas de las RLS</w:t>
      </w:r>
      <w:r w:rsidR="00C65790">
        <w:rPr>
          <w:lang w:val="es-ES" w:eastAsia="zh-CN"/>
        </w:rPr>
        <w:br/>
        <w:t xml:space="preserve">en ondas métricas con </w:t>
      </w:r>
      <w:r w:rsidR="00C65790" w:rsidRPr="00F63E4C">
        <w:rPr>
          <w:lang w:val="es-ES" w:eastAsia="zh-CN"/>
        </w:rPr>
        <w:t>LLSD</w:t>
      </w:r>
    </w:p>
    <w:p w:rsidR="00AD1C56" w:rsidRPr="00F63E4C" w:rsidRDefault="00AD1C56" w:rsidP="004D752B">
      <w:pPr>
        <w:pStyle w:val="Heading1"/>
        <w:rPr>
          <w:lang w:val="es-ES" w:eastAsia="zh-CN"/>
        </w:rPr>
      </w:pPr>
      <w:r w:rsidRPr="00F63E4C">
        <w:rPr>
          <w:lang w:val="es-ES" w:eastAsia="zh-CN"/>
        </w:rPr>
        <w:t>1</w:t>
      </w:r>
      <w:r w:rsidRPr="00F63E4C">
        <w:rPr>
          <w:lang w:val="es-ES" w:eastAsia="zh-CN"/>
        </w:rPr>
        <w:tab/>
        <w:t>Generalidades</w:t>
      </w:r>
    </w:p>
    <w:p w:rsidR="00AD1C56" w:rsidRPr="00F63E4C" w:rsidRDefault="00AD1C56" w:rsidP="004D752B">
      <w:pPr>
        <w:pStyle w:val="enumlev1"/>
        <w:keepNext/>
        <w:keepLines/>
        <w:rPr>
          <w:lang w:val="es-ES" w:eastAsia="zh-CN"/>
        </w:rPr>
      </w:pPr>
      <w:r w:rsidRPr="00F63E4C">
        <w:rPr>
          <w:lang w:val="es-ES" w:eastAsia="zh-CN"/>
        </w:rPr>
        <w:t>–</w:t>
      </w:r>
      <w:r w:rsidRPr="00F63E4C">
        <w:rPr>
          <w:lang w:val="es-ES" w:eastAsia="zh-CN"/>
        </w:rPr>
        <w:tab/>
        <w:t xml:space="preserve">Las RLS en ondas métricas con LLSD deben ser capaces de transmitir alertas de socorro con el sistema de llamada selectiva digital, y proporcionar medios de localización o de radiorrecalado. Para tener en cuenta las necesidades del SMSSM, en el punto 8.3.1 de la Reglamentación IV del Convenio SOLAS se exige la utilización de una SART (véase la Recomendación </w:t>
      </w:r>
      <w:r>
        <w:rPr>
          <w:lang w:val="es-ES" w:eastAsia="zh-CN"/>
        </w:rPr>
        <w:t>UIT-R M.</w:t>
      </w:r>
      <w:r w:rsidRPr="00F63E4C">
        <w:rPr>
          <w:lang w:val="es-ES" w:eastAsia="zh-CN"/>
        </w:rPr>
        <w:t>628).</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Las RLS deben disponer de una batería de capacidad suficiente para permitir su funcionamiento durante por lo menos 48 h.</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Las RLS deben ser capaces de funcionar en las condiciones ambientales siguientes:</w:t>
      </w:r>
    </w:p>
    <w:p w:rsidR="00AD1C56" w:rsidRPr="00F63E4C" w:rsidRDefault="00AD1C56" w:rsidP="00A23185">
      <w:pPr>
        <w:pStyle w:val="enumlev2"/>
        <w:rPr>
          <w:lang w:val="es-ES" w:eastAsia="zh-CN"/>
        </w:rPr>
      </w:pPr>
      <w:r w:rsidRPr="00F63E4C">
        <w:rPr>
          <w:lang w:val="es-ES" w:eastAsia="zh-CN"/>
        </w:rPr>
        <w:t>–</w:t>
      </w:r>
      <w:r w:rsidRPr="00F63E4C">
        <w:rPr>
          <w:lang w:val="es-ES" w:eastAsia="zh-CN"/>
        </w:rPr>
        <w:tab/>
        <w:t>temperaturas ambiente de –20</w:t>
      </w:r>
      <w:r>
        <w:rPr>
          <w:lang w:val="es-ES" w:eastAsia="zh-CN"/>
        </w:rPr>
        <w:t xml:space="preserve">° </w:t>
      </w:r>
      <w:r w:rsidRPr="00F63E4C">
        <w:rPr>
          <w:lang w:val="es-ES" w:eastAsia="zh-CN"/>
        </w:rPr>
        <w:t xml:space="preserve">C a </w:t>
      </w:r>
      <w:r w:rsidR="00A23185">
        <w:rPr>
          <w:lang w:val="es-ES" w:eastAsia="zh-CN"/>
        </w:rPr>
        <w:t>+</w:t>
      </w:r>
      <w:r w:rsidRPr="00F63E4C">
        <w:rPr>
          <w:lang w:val="es-ES" w:eastAsia="zh-CN"/>
        </w:rPr>
        <w:t>55</w:t>
      </w:r>
      <w:r>
        <w:rPr>
          <w:lang w:val="es-ES" w:eastAsia="zh-CN"/>
        </w:rPr>
        <w:t xml:space="preserve">° </w:t>
      </w:r>
      <w:r w:rsidRPr="00F63E4C">
        <w:rPr>
          <w:lang w:val="es-ES" w:eastAsia="zh-CN"/>
        </w:rPr>
        <w:t>C,</w:t>
      </w:r>
    </w:p>
    <w:p w:rsidR="00AD1C56" w:rsidRPr="00F63E4C" w:rsidRDefault="00AD1C56" w:rsidP="004D752B">
      <w:pPr>
        <w:pStyle w:val="enumlev2"/>
        <w:rPr>
          <w:lang w:val="es-ES" w:eastAsia="zh-CN"/>
        </w:rPr>
      </w:pPr>
      <w:r w:rsidRPr="00F63E4C">
        <w:rPr>
          <w:lang w:val="es-ES" w:eastAsia="zh-CN"/>
        </w:rPr>
        <w:t>–</w:t>
      </w:r>
      <w:r w:rsidRPr="00F63E4C">
        <w:rPr>
          <w:lang w:val="es-ES" w:eastAsia="zh-CN"/>
        </w:rPr>
        <w:tab/>
        <w:t>formación de hielo,</w:t>
      </w:r>
    </w:p>
    <w:p w:rsidR="00AD1C56" w:rsidRPr="00F63E4C" w:rsidRDefault="00AD1C56" w:rsidP="004D752B">
      <w:pPr>
        <w:pStyle w:val="enumlev2"/>
        <w:rPr>
          <w:lang w:val="es-ES" w:eastAsia="zh-CN"/>
        </w:rPr>
      </w:pPr>
      <w:r w:rsidRPr="00F63E4C">
        <w:rPr>
          <w:lang w:val="es-ES" w:eastAsia="zh-CN"/>
        </w:rPr>
        <w:t>–</w:t>
      </w:r>
      <w:r w:rsidRPr="00F63E4C">
        <w:rPr>
          <w:lang w:val="es-ES" w:eastAsia="zh-CN"/>
        </w:rPr>
        <w:tab/>
        <w:t>velocidades de viento relativas de hasta 100 nudos,</w:t>
      </w:r>
    </w:p>
    <w:p w:rsidR="00AD1C56" w:rsidRPr="00F63E4C" w:rsidRDefault="00AD1C56" w:rsidP="00A23185">
      <w:pPr>
        <w:pStyle w:val="enumlev2"/>
        <w:rPr>
          <w:lang w:val="es-ES" w:eastAsia="zh-CN"/>
        </w:rPr>
      </w:pPr>
      <w:r w:rsidRPr="00F63E4C">
        <w:rPr>
          <w:lang w:val="es-ES" w:eastAsia="zh-CN"/>
        </w:rPr>
        <w:t>–</w:t>
      </w:r>
      <w:r w:rsidRPr="00F63E4C">
        <w:rPr>
          <w:lang w:val="es-ES" w:eastAsia="zh-CN"/>
        </w:rPr>
        <w:tab/>
        <w:t>tras haber permanecido almacenadas a temperaturas de –30</w:t>
      </w:r>
      <w:r w:rsidR="0021037D">
        <w:rPr>
          <w:lang w:val="es-ES" w:eastAsia="zh-CN"/>
        </w:rPr>
        <w:t xml:space="preserve">° </w:t>
      </w:r>
      <w:r w:rsidRPr="00F63E4C">
        <w:rPr>
          <w:lang w:val="es-ES" w:eastAsia="zh-CN"/>
        </w:rPr>
        <w:t xml:space="preserve">C a </w:t>
      </w:r>
      <w:r w:rsidR="00A23185">
        <w:rPr>
          <w:lang w:val="es-ES" w:eastAsia="zh-CN"/>
        </w:rPr>
        <w:t>+</w:t>
      </w:r>
      <w:r w:rsidRPr="00F63E4C">
        <w:rPr>
          <w:lang w:val="es-ES" w:eastAsia="zh-CN"/>
        </w:rPr>
        <w:t>65</w:t>
      </w:r>
      <w:r w:rsidR="0021037D">
        <w:rPr>
          <w:lang w:val="es-ES" w:eastAsia="zh-CN"/>
        </w:rPr>
        <w:t xml:space="preserve">° </w:t>
      </w:r>
      <w:r w:rsidRPr="00F63E4C">
        <w:rPr>
          <w:lang w:val="es-ES" w:eastAsia="zh-CN"/>
        </w:rPr>
        <w:t>C.</w:t>
      </w:r>
    </w:p>
    <w:p w:rsidR="00AD1C56" w:rsidRPr="00F63E4C" w:rsidRDefault="00AD1C56" w:rsidP="004D752B">
      <w:pPr>
        <w:pStyle w:val="Heading1"/>
        <w:rPr>
          <w:lang w:val="es-ES" w:eastAsia="zh-CN"/>
        </w:rPr>
      </w:pPr>
      <w:r w:rsidRPr="00F63E4C">
        <w:rPr>
          <w:lang w:val="es-ES" w:eastAsia="zh-CN"/>
        </w:rPr>
        <w:t>2</w:t>
      </w:r>
      <w:r w:rsidRPr="00F63E4C">
        <w:rPr>
          <w:lang w:val="es-ES" w:eastAsia="zh-CN"/>
        </w:rPr>
        <w:tab/>
        <w:t>Transmisiones de alerta</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Las señales de alerta deben transmitirse en la frecuencia de 156,525 MHz utilizando la clase de emisión G2B.</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 tolerancia de frecuencia no debe rebasar 10 partes por millón.</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 anchura de banda necesaria debe ser inferior a 16 kHz.</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 emisión debe tener polarización vertical. La antena debe ser omnidireccional en el plano acimutal y tener altura suficiente para que la emisión se reciba con el alcance máximo de la zona marítima A1.</w:t>
      </w:r>
    </w:p>
    <w:p w:rsidR="00AD1C56" w:rsidRDefault="00AD1C56" w:rsidP="004D752B">
      <w:pPr>
        <w:pStyle w:val="enumlev1"/>
        <w:rPr>
          <w:lang w:val="es-ES" w:eastAsia="zh-CN"/>
        </w:rPr>
      </w:pPr>
      <w:r w:rsidRPr="00F63E4C">
        <w:rPr>
          <w:lang w:val="es-ES" w:eastAsia="zh-CN"/>
        </w:rPr>
        <w:t>–</w:t>
      </w:r>
      <w:r w:rsidRPr="00F63E4C">
        <w:rPr>
          <w:lang w:val="es-ES" w:eastAsia="zh-CN"/>
        </w:rPr>
        <w:tab/>
        <w:t>La potencia de salida debe ser de 100 mW por lo menos</w:t>
      </w:r>
      <w:r>
        <w:rPr>
          <w:rStyle w:val="FootnoteReference"/>
          <w:lang w:val="es-ES" w:eastAsia="zh-CN"/>
        </w:rPr>
        <w:footnoteReference w:id="2"/>
      </w:r>
      <w:r w:rsidRPr="00F63E4C">
        <w:rPr>
          <w:lang w:val="es-ES" w:eastAsia="zh-CN"/>
        </w:rPr>
        <w:t>.</w:t>
      </w:r>
    </w:p>
    <w:p w:rsidR="00AD1C56" w:rsidRPr="00F63E4C" w:rsidRDefault="00AD1C56" w:rsidP="004D752B">
      <w:pPr>
        <w:pStyle w:val="Heading1"/>
        <w:rPr>
          <w:lang w:val="es-ES" w:eastAsia="zh-CN"/>
        </w:rPr>
      </w:pPr>
      <w:r w:rsidRPr="00F63E4C">
        <w:rPr>
          <w:lang w:val="es-ES" w:eastAsia="zh-CN"/>
        </w:rPr>
        <w:t>3</w:t>
      </w:r>
      <w:r w:rsidRPr="00F63E4C">
        <w:rPr>
          <w:lang w:val="es-ES" w:eastAsia="zh-CN"/>
        </w:rPr>
        <w:tab/>
        <w:t>Formato de mensaje y secuencia de transmisión de la LLSD</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 xml:space="preserve">Las características técnicas de los mensajes de LLSD deben conformarse a la secuencia de la «llamada de socorro» especificada en la Recomendación </w:t>
      </w:r>
      <w:r w:rsidRPr="00DA43A0">
        <w:rPr>
          <w:lang w:val="es-ES" w:eastAsia="zh-CN"/>
        </w:rPr>
        <w:t>UIT-R M.</w:t>
      </w:r>
      <w:r w:rsidRPr="00F63E4C">
        <w:rPr>
          <w:lang w:val="es-ES" w:eastAsia="zh-CN"/>
        </w:rPr>
        <w:t>493.</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La indicación «naturaleza del peligro» debe ser «emisión de una RLS» (símbolo N.° 112).</w:t>
      </w:r>
    </w:p>
    <w:p w:rsidR="00AD1C56" w:rsidRPr="00F63E4C" w:rsidRDefault="00AD1C56" w:rsidP="004D752B">
      <w:pPr>
        <w:pStyle w:val="enumlev1"/>
        <w:rPr>
          <w:lang w:val="es-ES" w:eastAsia="zh-CN"/>
        </w:rPr>
      </w:pPr>
      <w:r w:rsidRPr="00F63E4C">
        <w:rPr>
          <w:lang w:val="es-ES" w:eastAsia="zh-CN"/>
        </w:rPr>
        <w:t>–</w:t>
      </w:r>
      <w:r w:rsidRPr="00F63E4C">
        <w:rPr>
          <w:lang w:val="es-ES" w:eastAsia="zh-CN"/>
        </w:rPr>
        <w:tab/>
        <w:t xml:space="preserve">La información «coordenadas del lugar de socorro» y «hora» puede no incluirse. En </w:t>
      </w:r>
      <w:r w:rsidR="00A03A4E">
        <w:rPr>
          <w:lang w:val="es-ES" w:eastAsia="zh-CN"/>
        </w:rPr>
        <w:t>este caso debe incluirse respec</w:t>
      </w:r>
      <w:r w:rsidRPr="00F63E4C">
        <w:rPr>
          <w:lang w:val="es-ES" w:eastAsia="zh-CN"/>
        </w:rPr>
        <w:t xml:space="preserve">tivamente la cifra 9 repetida 10 veces y la cifra 8 repetida 4 veces, como se especifica en la Recomendación </w:t>
      </w:r>
      <w:r>
        <w:rPr>
          <w:lang w:val="es-ES" w:eastAsia="zh-CN"/>
        </w:rPr>
        <w:t>UIT-R M.</w:t>
      </w:r>
      <w:r w:rsidRPr="00F63E4C">
        <w:rPr>
          <w:lang w:val="es-ES" w:eastAsia="zh-CN"/>
        </w:rPr>
        <w:t>493.</w:t>
      </w:r>
    </w:p>
    <w:p w:rsidR="00AD1C56" w:rsidRPr="00F63E4C" w:rsidRDefault="00AD1C56" w:rsidP="004D752B">
      <w:pPr>
        <w:pStyle w:val="enumlev1"/>
        <w:keepNext/>
        <w:keepLines/>
        <w:rPr>
          <w:lang w:val="es-ES" w:eastAsia="zh-CN"/>
        </w:rPr>
      </w:pPr>
      <w:r w:rsidRPr="00F63E4C">
        <w:rPr>
          <w:lang w:val="es-ES" w:eastAsia="zh-CN"/>
        </w:rPr>
        <w:lastRenderedPageBreak/>
        <w:t>–</w:t>
      </w:r>
      <w:r w:rsidRPr="00F63E4C">
        <w:rPr>
          <w:lang w:val="es-ES" w:eastAsia="zh-CN"/>
        </w:rPr>
        <w:tab/>
        <w:t>La indicación «tipo de comunicación siguiente» debe ser «ninguna información» (símbolo N.° 126), lo que indica que no seguirá ninguna otra comunicación.</w:t>
      </w:r>
    </w:p>
    <w:p w:rsidR="00AD1C56" w:rsidRPr="00F63E4C" w:rsidRDefault="00AD1C56" w:rsidP="00A23185">
      <w:pPr>
        <w:pStyle w:val="enumlev1"/>
        <w:rPr>
          <w:lang w:val="es-ES" w:eastAsia="zh-CN"/>
        </w:rPr>
      </w:pPr>
      <w:r w:rsidRPr="00F63E4C">
        <w:rPr>
          <w:lang w:val="es-ES" w:eastAsia="zh-CN"/>
        </w:rPr>
        <w:t>–</w:t>
      </w:r>
      <w:r w:rsidRPr="00F63E4C">
        <w:rPr>
          <w:lang w:val="es-ES" w:eastAsia="zh-CN"/>
        </w:rPr>
        <w:tab/>
        <w:t>Las señales de alerta deben transmitirse en ráfagas. Cada ráfaga debe consistir en cinco</w:t>
      </w:r>
      <w:r w:rsidR="004D752B">
        <w:rPr>
          <w:lang w:val="es-ES" w:eastAsia="zh-CN"/>
        </w:rPr>
        <w:t> </w:t>
      </w:r>
      <w:r w:rsidRPr="00F63E4C">
        <w:rPr>
          <w:lang w:val="es-ES" w:eastAsia="zh-CN"/>
        </w:rPr>
        <w:t>secuencias de LLSD sucesivas, efectuándose la (</w:t>
      </w:r>
      <w:r w:rsidRPr="00F63E4C">
        <w:rPr>
          <w:i/>
          <w:lang w:val="es-ES" w:eastAsia="zh-CN"/>
        </w:rPr>
        <w:t>N</w:t>
      </w:r>
      <w:r w:rsidRPr="00F63E4C">
        <w:rPr>
          <w:lang w:val="es-ES" w:eastAsia="zh-CN"/>
        </w:rPr>
        <w:t xml:space="preserve"> </w:t>
      </w:r>
      <w:r w:rsidR="00A23185">
        <w:rPr>
          <w:lang w:val="es-ES" w:eastAsia="zh-CN"/>
        </w:rPr>
        <w:t>+</w:t>
      </w:r>
      <w:r w:rsidRPr="00F63E4C">
        <w:rPr>
          <w:lang w:val="es-ES" w:eastAsia="zh-CN"/>
        </w:rPr>
        <w:t xml:space="preserve"> 1)ésima ráfaga de transmisión a un intervalo </w:t>
      </w:r>
      <w:r w:rsidRPr="00F63E4C">
        <w:rPr>
          <w:i/>
          <w:lang w:val="es-ES" w:eastAsia="zh-CN"/>
        </w:rPr>
        <w:t>T</w:t>
      </w:r>
      <w:r w:rsidRPr="00AD11AB">
        <w:rPr>
          <w:i/>
          <w:iCs/>
          <w:vertAlign w:val="subscript"/>
          <w:lang w:val="es-ES_tradnl"/>
        </w:rPr>
        <w:t>n</w:t>
      </w:r>
      <w:r w:rsidRPr="00F63E4C">
        <w:rPr>
          <w:lang w:val="es-ES" w:eastAsia="zh-CN"/>
        </w:rPr>
        <w:t xml:space="preserve"> después de la (</w:t>
      </w:r>
      <w:r w:rsidRPr="00F63E4C">
        <w:rPr>
          <w:i/>
          <w:lang w:val="es-ES" w:eastAsia="zh-CN"/>
        </w:rPr>
        <w:t>N</w:t>
      </w:r>
      <w:r w:rsidRPr="00F63E4C">
        <w:rPr>
          <w:lang w:val="es-ES" w:eastAsia="zh-CN"/>
        </w:rPr>
        <w:t xml:space="preserve">)ésima ráfaga según se indica en la </w:t>
      </w:r>
      <w:r w:rsidR="00AD11AB" w:rsidRPr="00F63E4C">
        <w:rPr>
          <w:lang w:val="es-ES" w:eastAsia="zh-CN"/>
        </w:rPr>
        <w:t>Fig</w:t>
      </w:r>
      <w:r w:rsidRPr="00F63E4C">
        <w:rPr>
          <w:lang w:val="es-ES" w:eastAsia="zh-CN"/>
        </w:rPr>
        <w:t>. 1, donde:</w:t>
      </w:r>
    </w:p>
    <w:p w:rsidR="004D752B" w:rsidRPr="00AD11AB" w:rsidRDefault="004D752B" w:rsidP="004D752B">
      <w:pPr>
        <w:pStyle w:val="Blanc"/>
        <w:rPr>
          <w:lang w:val="es-ES_tradnl"/>
        </w:rPr>
      </w:pPr>
    </w:p>
    <w:p w:rsidR="004D752B" w:rsidRPr="00A23185" w:rsidRDefault="004D752B" w:rsidP="00A23185">
      <w:pPr>
        <w:pStyle w:val="Equation"/>
        <w:rPr>
          <w:lang w:val="es-ES_tradnl"/>
        </w:rPr>
      </w:pPr>
      <w:r w:rsidRPr="004D752B">
        <w:rPr>
          <w:i/>
          <w:lang w:val="es-ES_tradnl"/>
        </w:rPr>
        <w:tab/>
      </w:r>
      <w:r w:rsidRPr="004D752B">
        <w:rPr>
          <w:i/>
          <w:lang w:val="es-ES_tradnl"/>
        </w:rPr>
        <w:tab/>
      </w:r>
      <w:r w:rsidRPr="00A23185">
        <w:rPr>
          <w:i/>
          <w:lang w:val="es-ES_tradnl"/>
        </w:rPr>
        <w:t>T</w:t>
      </w:r>
      <w:r w:rsidRPr="00A23185">
        <w:rPr>
          <w:i/>
          <w:position w:val="-4"/>
          <w:sz w:val="18"/>
          <w:lang w:val="es-ES_tradnl"/>
        </w:rPr>
        <w:t>n</w:t>
      </w:r>
      <w:r w:rsidRPr="00A23185">
        <w:rPr>
          <w:lang w:val="es-ES_tradnl"/>
        </w:rPr>
        <w:t xml:space="preserve"> </w:t>
      </w:r>
      <w:r w:rsidR="00A23185" w:rsidRPr="00A23185">
        <w:rPr>
          <w:lang w:val="es-ES_tradnl"/>
        </w:rPr>
        <w:t>=</w:t>
      </w:r>
      <w:r w:rsidRPr="00A23185">
        <w:rPr>
          <w:lang w:val="es-ES_tradnl"/>
        </w:rPr>
        <w:t xml:space="preserve"> (240 </w:t>
      </w:r>
      <w:r w:rsidR="00A23185">
        <w:rPr>
          <w:lang w:val="es-ES_tradnl"/>
        </w:rPr>
        <w:t>+</w:t>
      </w:r>
      <w:r w:rsidRPr="00A23185">
        <w:rPr>
          <w:lang w:val="es-ES_tradnl"/>
        </w:rPr>
        <w:t xml:space="preserve"> 10 </w:t>
      </w:r>
      <w:r w:rsidRPr="00A23185">
        <w:rPr>
          <w:i/>
          <w:lang w:val="es-ES_tradnl"/>
        </w:rPr>
        <w:t>N</w:t>
      </w:r>
      <w:r w:rsidRPr="00A23185">
        <w:rPr>
          <w:lang w:val="es-ES_tradnl"/>
        </w:rPr>
        <w:t>) s (</w:t>
      </w:r>
      <w:r w:rsidR="00A23185">
        <w:rPr>
          <w:lang w:val="es-ES_tradnl"/>
        </w:rPr>
        <w:t>±</w:t>
      </w:r>
      <w:r w:rsidRPr="00A23185">
        <w:rPr>
          <w:lang w:val="es-ES_tradnl"/>
        </w:rPr>
        <w:t>5%) y</w:t>
      </w:r>
    </w:p>
    <w:p w:rsidR="004D752B" w:rsidRPr="00A23185" w:rsidRDefault="004D752B" w:rsidP="00FD6F77">
      <w:pPr>
        <w:pStyle w:val="Equation"/>
        <w:rPr>
          <w:lang w:val="es-ES_tradnl"/>
        </w:rPr>
      </w:pPr>
      <w:r w:rsidRPr="00A23185">
        <w:rPr>
          <w:i/>
          <w:lang w:val="es-ES_tradnl"/>
        </w:rPr>
        <w:tab/>
      </w:r>
      <w:r w:rsidRPr="00A23185">
        <w:rPr>
          <w:i/>
          <w:lang w:val="es-ES_tradnl"/>
        </w:rPr>
        <w:tab/>
        <w:t>N</w:t>
      </w:r>
      <w:r w:rsidRPr="00A23185">
        <w:rPr>
          <w:lang w:val="es-ES_tradnl"/>
        </w:rPr>
        <w:t xml:space="preserve"> </w:t>
      </w:r>
      <w:r w:rsidR="00A23185">
        <w:rPr>
          <w:lang w:val="es-ES_tradnl"/>
        </w:rPr>
        <w:t>=</w:t>
      </w:r>
      <w:r w:rsidRPr="00A23185">
        <w:rPr>
          <w:lang w:val="es-ES_tradnl"/>
        </w:rPr>
        <w:t xml:space="preserve"> 0, 1, 2, 3, </w:t>
      </w:r>
      <w:r w:rsidR="00A23185">
        <w:rPr>
          <w:lang w:val="es-ES_tradnl"/>
        </w:rPr>
        <w:t>...,</w:t>
      </w:r>
      <w:r w:rsidR="00914291" w:rsidRPr="00A23185">
        <w:rPr>
          <w:lang w:val="es-ES_tradnl"/>
        </w:rPr>
        <w:t xml:space="preserve"> etc.</w:t>
      </w:r>
    </w:p>
    <w:p w:rsidR="004D752B" w:rsidRPr="00A23185" w:rsidRDefault="004D752B" w:rsidP="004D752B">
      <w:pPr>
        <w:pStyle w:val="Blanc"/>
        <w:rPr>
          <w:lang w:val="es-ES_tradnl"/>
        </w:rPr>
      </w:pPr>
    </w:p>
    <w:p w:rsidR="004D752B" w:rsidRPr="00A23185" w:rsidRDefault="004D752B" w:rsidP="004D752B">
      <w:pPr>
        <w:pStyle w:val="FigureNo"/>
        <w:rPr>
          <w:lang w:val="es-ES_tradnl"/>
        </w:rPr>
      </w:pPr>
      <w:r w:rsidRPr="00A23185">
        <w:rPr>
          <w:lang w:val="es-ES_tradnl"/>
        </w:rPr>
        <w:t>FIGURA 1</w:t>
      </w:r>
    </w:p>
    <w:p w:rsidR="004D752B" w:rsidRPr="00A23185" w:rsidRDefault="004D752B" w:rsidP="004D752B">
      <w:pPr>
        <w:pStyle w:val="Figure"/>
        <w:rPr>
          <w:noProof/>
          <w:lang w:val="es-ES_tradnl" w:eastAsia="zh-CN"/>
        </w:rPr>
      </w:pPr>
      <w:r>
        <w:rPr>
          <w:noProof/>
          <w:lang w:val="en-US" w:eastAsia="zh-CN"/>
        </w:rPr>
        <w:object w:dxaOrig="4784" w:dyaOrig="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pt;height:72.45pt" o:ole="">
            <v:imagedata r:id="rId14" o:title=""/>
          </v:shape>
          <o:OLEObject Type="Embed" ProgID="CorelDRAW.Graphic.14" ShapeID="_x0000_i1025" DrawAspect="Content" ObjectID="_1496556614" r:id="rId15"/>
        </w:object>
      </w:r>
    </w:p>
    <w:p w:rsidR="004D752B" w:rsidRPr="00A23185" w:rsidRDefault="004D752B" w:rsidP="004D752B">
      <w:pPr>
        <w:rPr>
          <w:lang w:val="es-ES_tradnl" w:eastAsia="zh-CN"/>
        </w:rPr>
      </w:pPr>
    </w:p>
    <w:p w:rsidR="004D752B" w:rsidRPr="00A23185" w:rsidRDefault="004D752B" w:rsidP="00483478">
      <w:pPr>
        <w:rPr>
          <w:lang w:val="es-ES_tradnl"/>
        </w:rPr>
      </w:pPr>
    </w:p>
    <w:p w:rsidR="004D752B" w:rsidRPr="00A23185" w:rsidRDefault="004D752B">
      <w:pPr>
        <w:jc w:val="center"/>
        <w:rPr>
          <w:lang w:val="es-ES_tradnl"/>
        </w:rPr>
      </w:pPr>
      <w:r w:rsidRPr="00A23185">
        <w:rPr>
          <w:lang w:val="es-ES_tradnl"/>
        </w:rPr>
        <w:t>______________</w:t>
      </w:r>
    </w:p>
    <w:sectPr w:rsidR="004D752B" w:rsidRPr="00A23185" w:rsidSect="00AD1C56">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AF8" w:rsidRDefault="00DA4AF8">
      <w:r>
        <w:separator/>
      </w:r>
    </w:p>
  </w:endnote>
  <w:endnote w:type="continuationSeparator" w:id="0">
    <w:p w:rsidR="00DA4AF8" w:rsidRDefault="00DA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AF8" w:rsidRDefault="00DA4AF8">
      <w:r>
        <w:separator/>
      </w:r>
    </w:p>
  </w:footnote>
  <w:footnote w:type="continuationSeparator" w:id="0">
    <w:p w:rsidR="00DA4AF8" w:rsidRDefault="00DA4AF8">
      <w:r>
        <w:continuationSeparator/>
      </w:r>
    </w:p>
  </w:footnote>
  <w:footnote w:id="1">
    <w:p w:rsidR="0021037D" w:rsidRPr="0021037D" w:rsidRDefault="0021037D">
      <w:pPr>
        <w:pStyle w:val="FootnoteText"/>
        <w:rPr>
          <w:lang w:val="es-ES_tradnl"/>
        </w:rPr>
      </w:pPr>
      <w:r>
        <w:rPr>
          <w:rStyle w:val="FootnoteReference"/>
        </w:rPr>
        <w:footnoteRef/>
      </w:r>
      <w:r w:rsidRPr="0021037D">
        <w:rPr>
          <w:lang w:val="es-ES_tradnl"/>
        </w:rPr>
        <w:t xml:space="preserve"> </w:t>
      </w:r>
      <w:r>
        <w:rPr>
          <w:lang w:val="es-ES_tradnl"/>
        </w:rPr>
        <w:tab/>
      </w:r>
      <w:r w:rsidRPr="005F1C21">
        <w:rPr>
          <w:lang w:val="es-ES_tradnl"/>
        </w:rPr>
        <w:t>«La Zona marítima A1» es una zona que se encuentra dentro de la cobertura radiotelefónica de al menos una estación costera en ondas métricas en la que se dispone de un medio de alerta LLSD permanente; dicha zona vendrá delimitada por cada gobierno contratante del Convenio SOLAS de 1974.</w:t>
      </w:r>
    </w:p>
  </w:footnote>
  <w:footnote w:id="2">
    <w:p w:rsidR="00AD1C56" w:rsidRPr="00DA43A0" w:rsidRDefault="00AD1C56" w:rsidP="00AD1C56">
      <w:pPr>
        <w:pStyle w:val="FootnoteText"/>
        <w:rPr>
          <w:lang w:val="es-ES"/>
        </w:rPr>
      </w:pPr>
      <w:r>
        <w:rPr>
          <w:rStyle w:val="FootnoteReference"/>
        </w:rPr>
        <w:footnoteRef/>
      </w:r>
      <w:r w:rsidRPr="005F1C21">
        <w:rPr>
          <w:lang w:val="es-ES_tradnl"/>
        </w:rPr>
        <w:t xml:space="preserve"> </w:t>
      </w:r>
      <w:r>
        <w:rPr>
          <w:lang w:val="es-ES_tradnl"/>
        </w:rPr>
        <w:tab/>
      </w:r>
      <w:r w:rsidRPr="005F1C21">
        <w:rPr>
          <w:lang w:val="es-ES_tradnl"/>
        </w:rPr>
        <w:t>La potencia de salida exigida para dar a una señal de alerta barco-costera el alcance máximo de la zona marítima A1 debe ser por lo menos de 6 W, con una altura apropiada de antena por encima del nivel del mar.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sidP="00CB1354">
    <w:pPr>
      <w:ind w:right="360" w:firstLine="360"/>
    </w:pPr>
    <w:r>
      <w:rPr>
        <w:noProof/>
        <w:lang w:val="es-ES_tradnl" w:eastAsia="zh-CN"/>
      </w:rPr>
      <w:drawing>
        <wp:anchor distT="0" distB="0" distL="114300" distR="114300" simplePos="0" relativeHeight="251659776" behindDoc="0" locked="0" layoutInCell="1" allowOverlap="1" wp14:anchorId="2147B0D7" wp14:editId="5657F25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8752" behindDoc="1" locked="0" layoutInCell="1" allowOverlap="1" wp14:anchorId="06F98D7D" wp14:editId="2EB5B4A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47D0D">
      <w:rPr>
        <w:rStyle w:val="PageNumber"/>
        <w:b/>
        <w:bCs/>
        <w:noProof/>
      </w:rPr>
      <w:t>ii</w:t>
    </w:r>
    <w:r>
      <w:rPr>
        <w:rStyle w:val="PageNumber"/>
        <w:b/>
        <w:bCs/>
      </w:rPr>
      <w:fldChar w:fldCharType="end"/>
    </w:r>
    <w:r>
      <w:tab/>
    </w:r>
    <w:fldSimple w:instr=" DOCPROPERTY &quot;Header&quot; \* MERGEFORMAT ">
      <w:r w:rsidR="00C47D0D" w:rsidRPr="00C47D0D">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47D0D">
      <w:rPr>
        <w:b/>
        <w:bCs/>
        <w:noProof/>
      </w:rPr>
      <w:t>UIT-R  M.693-1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F8" w:rsidRDefault="00DA4AF8">
    <w:r>
      <w:tab/>
    </w:r>
    <w:fldSimple w:instr=" DOCPROPERTY &quot;Header&quot; \* MERGEFORMAT ">
      <w:r w:rsidR="00C47D0D" w:rsidRPr="00C47D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7D0D">
      <w:rPr>
        <w:b/>
        <w:bCs/>
        <w:noProof/>
      </w:rPr>
      <w:t>UIT-R  M.693-1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47D0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47D0D" w:rsidRPr="00C47D0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47D0D">
      <w:rPr>
        <w:b/>
        <w:bCs/>
        <w:noProof/>
      </w:rPr>
      <w:t>UIT-R  M.693-1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47D0D" w:rsidRPr="00C47D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294E">
      <w:rPr>
        <w:b/>
        <w:bCs/>
        <w:noProof/>
      </w:rPr>
      <w:t>UIT-R  M.693-1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294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1E5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82E8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2B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ED0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6EF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6076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021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08D2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CD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ACF55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F8"/>
    <w:rsid w:val="00191C99"/>
    <w:rsid w:val="001A1780"/>
    <w:rsid w:val="001C30E7"/>
    <w:rsid w:val="001D38D0"/>
    <w:rsid w:val="0021037D"/>
    <w:rsid w:val="00217EBF"/>
    <w:rsid w:val="00242AEE"/>
    <w:rsid w:val="002D76C4"/>
    <w:rsid w:val="00336F6E"/>
    <w:rsid w:val="00356236"/>
    <w:rsid w:val="00362242"/>
    <w:rsid w:val="003F2B68"/>
    <w:rsid w:val="00483478"/>
    <w:rsid w:val="004D752B"/>
    <w:rsid w:val="004F3682"/>
    <w:rsid w:val="0052529D"/>
    <w:rsid w:val="00556EE1"/>
    <w:rsid w:val="005673B8"/>
    <w:rsid w:val="005C23A5"/>
    <w:rsid w:val="005F19F4"/>
    <w:rsid w:val="00602F03"/>
    <w:rsid w:val="00607D68"/>
    <w:rsid w:val="006619B4"/>
    <w:rsid w:val="006634BC"/>
    <w:rsid w:val="00664C80"/>
    <w:rsid w:val="00672A53"/>
    <w:rsid w:val="007468DA"/>
    <w:rsid w:val="00752D86"/>
    <w:rsid w:val="0077462F"/>
    <w:rsid w:val="00797927"/>
    <w:rsid w:val="007D3750"/>
    <w:rsid w:val="007F6532"/>
    <w:rsid w:val="008F1A53"/>
    <w:rsid w:val="00914291"/>
    <w:rsid w:val="009B344C"/>
    <w:rsid w:val="009E00A8"/>
    <w:rsid w:val="00A03A4E"/>
    <w:rsid w:val="00A16638"/>
    <w:rsid w:val="00A23185"/>
    <w:rsid w:val="00A6617B"/>
    <w:rsid w:val="00AB0DC8"/>
    <w:rsid w:val="00AB2827"/>
    <w:rsid w:val="00AD11AB"/>
    <w:rsid w:val="00AD1C56"/>
    <w:rsid w:val="00B1294E"/>
    <w:rsid w:val="00B44E24"/>
    <w:rsid w:val="00B566B6"/>
    <w:rsid w:val="00BA0F18"/>
    <w:rsid w:val="00BB56C8"/>
    <w:rsid w:val="00BD676D"/>
    <w:rsid w:val="00BD74BC"/>
    <w:rsid w:val="00C1336A"/>
    <w:rsid w:val="00C47D0D"/>
    <w:rsid w:val="00C5400F"/>
    <w:rsid w:val="00C65790"/>
    <w:rsid w:val="00C82EF5"/>
    <w:rsid w:val="00CE7378"/>
    <w:rsid w:val="00D159E0"/>
    <w:rsid w:val="00DA4AF8"/>
    <w:rsid w:val="00DF08AE"/>
    <w:rsid w:val="00DF4176"/>
    <w:rsid w:val="00FD6F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BCE0EC4E-46A2-4A96-A8FA-CF93D29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C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D1C56"/>
    <w:pPr>
      <w:keepNext/>
      <w:keepLines/>
      <w:spacing w:before="480"/>
      <w:ind w:left="794" w:hanging="794"/>
      <w:outlineLvl w:val="0"/>
    </w:pPr>
    <w:rPr>
      <w:b/>
    </w:rPr>
  </w:style>
  <w:style w:type="paragraph" w:styleId="Heading2">
    <w:name w:val="heading 2"/>
    <w:basedOn w:val="Heading1"/>
    <w:next w:val="Normal"/>
    <w:qFormat/>
    <w:rsid w:val="00AD1C56"/>
    <w:pPr>
      <w:spacing w:before="320"/>
      <w:outlineLvl w:val="1"/>
    </w:pPr>
  </w:style>
  <w:style w:type="paragraph" w:styleId="Heading3">
    <w:name w:val="heading 3"/>
    <w:basedOn w:val="Heading1"/>
    <w:next w:val="Normal"/>
    <w:qFormat/>
    <w:rsid w:val="00AD1C56"/>
    <w:pPr>
      <w:spacing w:before="200"/>
      <w:outlineLvl w:val="2"/>
    </w:pPr>
  </w:style>
  <w:style w:type="paragraph" w:styleId="Heading4">
    <w:name w:val="heading 4"/>
    <w:basedOn w:val="Heading3"/>
    <w:next w:val="Normal"/>
    <w:qFormat/>
    <w:rsid w:val="00AD1C56"/>
    <w:pPr>
      <w:tabs>
        <w:tab w:val="clear" w:pos="794"/>
        <w:tab w:val="left" w:pos="992"/>
      </w:tabs>
      <w:ind w:left="992" w:hanging="992"/>
      <w:outlineLvl w:val="3"/>
    </w:pPr>
  </w:style>
  <w:style w:type="paragraph" w:styleId="Heading5">
    <w:name w:val="heading 5"/>
    <w:basedOn w:val="Heading4"/>
    <w:next w:val="Normal"/>
    <w:qFormat/>
    <w:rsid w:val="00AD1C56"/>
    <w:pPr>
      <w:outlineLvl w:val="4"/>
    </w:pPr>
  </w:style>
  <w:style w:type="paragraph" w:styleId="Heading6">
    <w:name w:val="heading 6"/>
    <w:basedOn w:val="Heading4"/>
    <w:next w:val="Normal"/>
    <w:qFormat/>
    <w:rsid w:val="00AD1C56"/>
    <w:pPr>
      <w:tabs>
        <w:tab w:val="clear" w:pos="992"/>
        <w:tab w:val="clear" w:pos="1191"/>
      </w:tabs>
      <w:ind w:left="1588" w:hanging="1588"/>
      <w:outlineLvl w:val="5"/>
    </w:pPr>
  </w:style>
  <w:style w:type="paragraph" w:styleId="Heading7">
    <w:name w:val="heading 7"/>
    <w:basedOn w:val="Heading6"/>
    <w:next w:val="Normal"/>
    <w:qFormat/>
    <w:rsid w:val="00AD1C56"/>
    <w:pPr>
      <w:outlineLvl w:val="6"/>
    </w:pPr>
  </w:style>
  <w:style w:type="paragraph" w:styleId="Heading8">
    <w:name w:val="heading 8"/>
    <w:basedOn w:val="Heading6"/>
    <w:next w:val="Normal"/>
    <w:qFormat/>
    <w:rsid w:val="00AD1C56"/>
    <w:pPr>
      <w:outlineLvl w:val="7"/>
    </w:pPr>
  </w:style>
  <w:style w:type="paragraph" w:styleId="Heading9">
    <w:name w:val="heading 9"/>
    <w:basedOn w:val="Heading6"/>
    <w:next w:val="Normal"/>
    <w:qFormat/>
    <w:rsid w:val="00AD1C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1C5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D1C5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D1C56"/>
  </w:style>
  <w:style w:type="paragraph" w:customStyle="1" w:styleId="Headingb">
    <w:name w:val="Heading_b"/>
    <w:basedOn w:val="Heading3"/>
    <w:next w:val="Normal"/>
    <w:rsid w:val="00AD1C56"/>
    <w:pPr>
      <w:spacing w:before="160"/>
      <w:ind w:left="0" w:firstLine="0"/>
      <w:outlineLvl w:val="9"/>
    </w:pPr>
  </w:style>
  <w:style w:type="paragraph" w:customStyle="1" w:styleId="Headingi">
    <w:name w:val="Heading_i"/>
    <w:basedOn w:val="Heading3"/>
    <w:next w:val="Normal"/>
    <w:rsid w:val="00AD1C56"/>
    <w:pPr>
      <w:spacing w:before="160"/>
      <w:ind w:left="0" w:firstLine="0"/>
    </w:pPr>
    <w:rPr>
      <w:b w:val="0"/>
      <w:i/>
    </w:rPr>
  </w:style>
  <w:style w:type="character" w:customStyle="1" w:styleId="href">
    <w:name w:val="href"/>
    <w:basedOn w:val="DefaultParagraphFont"/>
    <w:rsid w:val="00AD1C56"/>
  </w:style>
  <w:style w:type="paragraph" w:customStyle="1" w:styleId="enumlev1">
    <w:name w:val="enumlev1"/>
    <w:basedOn w:val="Normal"/>
    <w:rsid w:val="00AD1C56"/>
    <w:pPr>
      <w:spacing w:before="80"/>
      <w:ind w:left="794" w:hanging="794"/>
    </w:pPr>
  </w:style>
  <w:style w:type="paragraph" w:customStyle="1" w:styleId="enumlev2">
    <w:name w:val="enumlev2"/>
    <w:basedOn w:val="enumlev1"/>
    <w:rsid w:val="00AD1C56"/>
    <w:pPr>
      <w:ind w:left="1191" w:hanging="397"/>
    </w:pPr>
  </w:style>
  <w:style w:type="paragraph" w:customStyle="1" w:styleId="enumlev3">
    <w:name w:val="enumlev3"/>
    <w:basedOn w:val="enumlev2"/>
    <w:rsid w:val="00AD1C56"/>
    <w:pPr>
      <w:ind w:left="1588"/>
    </w:pPr>
  </w:style>
  <w:style w:type="paragraph" w:customStyle="1" w:styleId="Normalaftertitle">
    <w:name w:val="Normal_after_title"/>
    <w:basedOn w:val="Normal"/>
    <w:next w:val="Normal"/>
    <w:rsid w:val="00AD1C56"/>
    <w:pPr>
      <w:spacing w:before="320"/>
    </w:pPr>
  </w:style>
  <w:style w:type="paragraph" w:customStyle="1" w:styleId="Note">
    <w:name w:val="Note"/>
    <w:basedOn w:val="Normal"/>
    <w:rsid w:val="00AD1C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D1C5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D1C56"/>
    <w:pPr>
      <w:spacing w:before="240"/>
    </w:pPr>
    <w:rPr>
      <w:sz w:val="22"/>
      <w:lang w:val="es-ES_tradnl"/>
    </w:rPr>
  </w:style>
  <w:style w:type="paragraph" w:customStyle="1" w:styleId="Recref">
    <w:name w:val="Rec_ref"/>
    <w:basedOn w:val="Normal"/>
    <w:next w:val="Recdate"/>
    <w:rsid w:val="00AD1C56"/>
    <w:pPr>
      <w:jc w:val="center"/>
    </w:pPr>
  </w:style>
  <w:style w:type="paragraph" w:customStyle="1" w:styleId="Recdate">
    <w:name w:val="Rec_date"/>
    <w:basedOn w:val="Recref"/>
    <w:next w:val="Normalaftertitle"/>
    <w:rsid w:val="00AD1C56"/>
    <w:pPr>
      <w:jc w:val="right"/>
    </w:pPr>
  </w:style>
  <w:style w:type="paragraph" w:customStyle="1" w:styleId="AnnexNoTitle">
    <w:name w:val="Annex_NoTitle"/>
    <w:basedOn w:val="Normal"/>
    <w:next w:val="Normalaftertitle"/>
    <w:rsid w:val="00AD1C56"/>
    <w:pPr>
      <w:keepNext/>
      <w:keepLines/>
      <w:spacing w:before="480" w:after="80"/>
      <w:jc w:val="center"/>
    </w:pPr>
    <w:rPr>
      <w:b/>
      <w:sz w:val="28"/>
    </w:rPr>
  </w:style>
  <w:style w:type="paragraph" w:customStyle="1" w:styleId="AppendixNoTitle">
    <w:name w:val="Appendix_NoTitle"/>
    <w:basedOn w:val="AnnexNoTitle"/>
    <w:next w:val="Normal"/>
    <w:rsid w:val="00AD1C56"/>
  </w:style>
  <w:style w:type="paragraph" w:customStyle="1" w:styleId="Tablefin">
    <w:name w:val="Table_fin"/>
    <w:basedOn w:val="Normal"/>
    <w:next w:val="Normal"/>
    <w:rsid w:val="00AD1C56"/>
    <w:pPr>
      <w:spacing w:before="0"/>
    </w:pPr>
    <w:rPr>
      <w:sz w:val="20"/>
      <w:lang w:val="en-GB"/>
    </w:rPr>
  </w:style>
  <w:style w:type="paragraph" w:customStyle="1" w:styleId="Tablehead">
    <w:name w:val="Table_head"/>
    <w:basedOn w:val="Normal"/>
    <w:next w:val="Normal"/>
    <w:link w:val="TableheadChar"/>
    <w:rsid w:val="00AD1C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D1C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D1C56"/>
    <w:pPr>
      <w:keepNext/>
      <w:spacing w:before="360" w:after="120"/>
      <w:jc w:val="center"/>
    </w:pPr>
  </w:style>
  <w:style w:type="paragraph" w:customStyle="1" w:styleId="Tabletext">
    <w:name w:val="Table_text"/>
    <w:basedOn w:val="Normal"/>
    <w:link w:val="TabletextChar"/>
    <w:rsid w:val="00AD1C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D1C56"/>
    <w:pPr>
      <w:tabs>
        <w:tab w:val="clear" w:pos="1191"/>
        <w:tab w:val="clear" w:pos="1588"/>
        <w:tab w:val="clear" w:pos="1985"/>
        <w:tab w:val="center" w:pos="4820"/>
        <w:tab w:val="right" w:pos="9639"/>
      </w:tabs>
    </w:pPr>
  </w:style>
  <w:style w:type="paragraph" w:customStyle="1" w:styleId="Equationlegend">
    <w:name w:val="Equation_legend"/>
    <w:basedOn w:val="NormalIndent"/>
    <w:rsid w:val="00AD1C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D1C56"/>
    <w:pPr>
      <w:ind w:left="794"/>
    </w:pPr>
  </w:style>
  <w:style w:type="paragraph" w:customStyle="1" w:styleId="Figurelegend">
    <w:name w:val="Figure_legend"/>
    <w:basedOn w:val="Normal"/>
    <w:rsid w:val="00AD1C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D1C56"/>
    <w:pPr>
      <w:keepNext/>
      <w:keepLines/>
      <w:spacing w:before="480" w:after="80"/>
      <w:jc w:val="center"/>
    </w:pPr>
    <w:rPr>
      <w:caps/>
      <w:sz w:val="18"/>
    </w:rPr>
  </w:style>
  <w:style w:type="paragraph" w:customStyle="1" w:styleId="tocpart">
    <w:name w:val="tocpart"/>
    <w:basedOn w:val="Normal"/>
    <w:rsid w:val="00AD1C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D1C56"/>
    <w:pPr>
      <w:keepNext/>
      <w:keepLines/>
      <w:spacing w:before="480"/>
      <w:jc w:val="center"/>
    </w:pPr>
    <w:rPr>
      <w:sz w:val="28"/>
    </w:rPr>
  </w:style>
  <w:style w:type="paragraph" w:customStyle="1" w:styleId="Arttitle">
    <w:name w:val="Art_title"/>
    <w:basedOn w:val="Normal"/>
    <w:next w:val="Normalaftertitle"/>
    <w:rsid w:val="00AD1C56"/>
    <w:pPr>
      <w:keepNext/>
      <w:keepLines/>
      <w:spacing w:before="240"/>
      <w:jc w:val="center"/>
    </w:pPr>
    <w:rPr>
      <w:b/>
      <w:sz w:val="28"/>
    </w:rPr>
  </w:style>
  <w:style w:type="paragraph" w:customStyle="1" w:styleId="Blanc">
    <w:name w:val="Blanc"/>
    <w:basedOn w:val="Normal"/>
    <w:next w:val="Tabletext"/>
    <w:rsid w:val="00AD1C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D1C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D1C56"/>
    <w:pPr>
      <w:keepNext/>
      <w:keepLines/>
      <w:spacing w:before="160"/>
      <w:ind w:left="794"/>
    </w:pPr>
    <w:rPr>
      <w:i/>
    </w:rPr>
  </w:style>
  <w:style w:type="paragraph" w:customStyle="1" w:styleId="ChapNo">
    <w:name w:val="Chap_No"/>
    <w:basedOn w:val="ArtNo"/>
    <w:next w:val="Chaptitle"/>
    <w:rsid w:val="00AD1C56"/>
    <w:rPr>
      <w:b/>
    </w:rPr>
  </w:style>
  <w:style w:type="paragraph" w:customStyle="1" w:styleId="Chaptitle">
    <w:name w:val="Chap_title"/>
    <w:basedOn w:val="Arttitle"/>
    <w:next w:val="Normalaftertitle"/>
    <w:rsid w:val="00AD1C56"/>
  </w:style>
  <w:style w:type="character" w:styleId="FootnoteReference">
    <w:name w:val="footnote reference"/>
    <w:basedOn w:val="DefaultParagraphFont"/>
    <w:semiHidden/>
    <w:rsid w:val="00AD1C56"/>
    <w:rPr>
      <w:position w:val="6"/>
      <w:sz w:val="18"/>
    </w:rPr>
  </w:style>
  <w:style w:type="paragraph" w:styleId="FootnoteText">
    <w:name w:val="footnote text"/>
    <w:basedOn w:val="Normal"/>
    <w:link w:val="FootnoteTextChar"/>
    <w:semiHidden/>
    <w:rsid w:val="00AD1C56"/>
    <w:pPr>
      <w:keepLines/>
      <w:tabs>
        <w:tab w:val="left" w:pos="255"/>
      </w:tabs>
      <w:ind w:left="255" w:hanging="255"/>
    </w:pPr>
    <w:rPr>
      <w:sz w:val="22"/>
    </w:rPr>
  </w:style>
  <w:style w:type="paragraph" w:styleId="Index1">
    <w:name w:val="index 1"/>
    <w:basedOn w:val="Normal"/>
    <w:next w:val="Normal"/>
    <w:semiHidden/>
    <w:rsid w:val="00AD1C56"/>
  </w:style>
  <w:style w:type="paragraph" w:styleId="Index2">
    <w:name w:val="index 2"/>
    <w:basedOn w:val="Normal"/>
    <w:next w:val="Normal"/>
    <w:semiHidden/>
    <w:rsid w:val="00AD1C56"/>
    <w:pPr>
      <w:ind w:left="283"/>
    </w:pPr>
  </w:style>
  <w:style w:type="paragraph" w:styleId="Index3">
    <w:name w:val="index 3"/>
    <w:basedOn w:val="Normal"/>
    <w:next w:val="Normal"/>
    <w:semiHidden/>
    <w:rsid w:val="00AD1C56"/>
    <w:pPr>
      <w:ind w:left="566"/>
    </w:pPr>
  </w:style>
  <w:style w:type="paragraph" w:styleId="IndexHeading">
    <w:name w:val="index heading"/>
    <w:basedOn w:val="Normal"/>
    <w:next w:val="Index1"/>
    <w:semiHidden/>
    <w:rsid w:val="00AD1C56"/>
  </w:style>
  <w:style w:type="paragraph" w:customStyle="1" w:styleId="Line">
    <w:name w:val="Line"/>
    <w:basedOn w:val="Normal"/>
    <w:next w:val="Normal"/>
    <w:rsid w:val="00AD1C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D1C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D1C56"/>
  </w:style>
  <w:style w:type="paragraph" w:customStyle="1" w:styleId="Partref">
    <w:name w:val="Part_ref"/>
    <w:basedOn w:val="Normal"/>
    <w:next w:val="Normal"/>
    <w:rsid w:val="00AD1C56"/>
    <w:pPr>
      <w:keepNext/>
      <w:keepLines/>
      <w:spacing w:after="280"/>
      <w:jc w:val="center"/>
    </w:pPr>
  </w:style>
  <w:style w:type="paragraph" w:customStyle="1" w:styleId="Parttitle">
    <w:name w:val="Part_title"/>
    <w:basedOn w:val="Normal"/>
    <w:next w:val="Normalaftertitle"/>
    <w:rsid w:val="00AD1C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D1C56"/>
  </w:style>
  <w:style w:type="paragraph" w:customStyle="1" w:styleId="QuestionNo">
    <w:name w:val="Question_No"/>
    <w:basedOn w:val="RecNo"/>
    <w:next w:val="Normal"/>
    <w:rsid w:val="00AD1C56"/>
  </w:style>
  <w:style w:type="paragraph" w:customStyle="1" w:styleId="Questionref">
    <w:name w:val="Question_ref"/>
    <w:basedOn w:val="Recref"/>
    <w:next w:val="Questiondate"/>
    <w:rsid w:val="00AD1C56"/>
  </w:style>
  <w:style w:type="paragraph" w:customStyle="1" w:styleId="Questiontitle">
    <w:name w:val="Question_title"/>
    <w:basedOn w:val="Normal"/>
    <w:next w:val="Questionref"/>
    <w:rsid w:val="00AD1C56"/>
  </w:style>
  <w:style w:type="paragraph" w:customStyle="1" w:styleId="Reftext">
    <w:name w:val="Ref_text"/>
    <w:basedOn w:val="Normal"/>
    <w:rsid w:val="00AD1C56"/>
    <w:pPr>
      <w:ind w:left="794" w:hanging="794"/>
    </w:pPr>
    <w:rPr>
      <w:sz w:val="22"/>
    </w:rPr>
  </w:style>
  <w:style w:type="paragraph" w:customStyle="1" w:styleId="Reftitle">
    <w:name w:val="Ref_title"/>
    <w:basedOn w:val="Normal"/>
    <w:next w:val="Reftext"/>
    <w:rsid w:val="00AD1C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D1C56"/>
  </w:style>
  <w:style w:type="paragraph" w:customStyle="1" w:styleId="RepNo">
    <w:name w:val="Rep_No"/>
    <w:basedOn w:val="RecNo"/>
    <w:next w:val="Reptitle"/>
    <w:rsid w:val="00AD1C56"/>
  </w:style>
  <w:style w:type="paragraph" w:customStyle="1" w:styleId="Repref">
    <w:name w:val="Rep_ref"/>
    <w:basedOn w:val="Recref"/>
    <w:next w:val="Repdate"/>
    <w:rsid w:val="00AD1C56"/>
  </w:style>
  <w:style w:type="paragraph" w:customStyle="1" w:styleId="Reptitle">
    <w:name w:val="Rep_title"/>
    <w:basedOn w:val="Rectitle"/>
    <w:next w:val="Repref"/>
    <w:rsid w:val="00AD1C56"/>
  </w:style>
  <w:style w:type="paragraph" w:customStyle="1" w:styleId="Resdate">
    <w:name w:val="Res_date"/>
    <w:basedOn w:val="Recdate"/>
    <w:next w:val="Normalaftertitle"/>
    <w:rsid w:val="00AD1C56"/>
  </w:style>
  <w:style w:type="paragraph" w:customStyle="1" w:styleId="ResNo">
    <w:name w:val="Res_No"/>
    <w:basedOn w:val="RecNo"/>
    <w:next w:val="Restitle"/>
    <w:rsid w:val="00AD1C56"/>
  </w:style>
  <w:style w:type="paragraph" w:customStyle="1" w:styleId="Resref">
    <w:name w:val="Res_ref"/>
    <w:basedOn w:val="Recref"/>
    <w:next w:val="Resdate"/>
    <w:rsid w:val="00AD1C56"/>
  </w:style>
  <w:style w:type="paragraph" w:customStyle="1" w:styleId="Restitle">
    <w:name w:val="Res_title"/>
    <w:basedOn w:val="Normal"/>
    <w:next w:val="Resref"/>
    <w:rsid w:val="00AD1C56"/>
    <w:pPr>
      <w:spacing w:before="240"/>
      <w:jc w:val="center"/>
    </w:pPr>
    <w:rPr>
      <w:b/>
      <w:sz w:val="28"/>
    </w:rPr>
  </w:style>
  <w:style w:type="paragraph" w:customStyle="1" w:styleId="SectionNo">
    <w:name w:val="Section_No"/>
    <w:basedOn w:val="Normal"/>
    <w:next w:val="Normal"/>
    <w:rsid w:val="00AD1C56"/>
  </w:style>
  <w:style w:type="paragraph" w:customStyle="1" w:styleId="Sectiontitle">
    <w:name w:val="Section_title"/>
    <w:basedOn w:val="Normal"/>
    <w:next w:val="Normalaftertitle"/>
    <w:rsid w:val="00AD1C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D1C56"/>
    <w:pPr>
      <w:tabs>
        <w:tab w:val="clear" w:pos="794"/>
        <w:tab w:val="clear" w:pos="1191"/>
        <w:tab w:val="clear" w:pos="1588"/>
        <w:tab w:val="clear" w:pos="1985"/>
        <w:tab w:val="right" w:pos="9611"/>
      </w:tabs>
    </w:pPr>
    <w:rPr>
      <w:i/>
    </w:rPr>
  </w:style>
  <w:style w:type="paragraph" w:styleId="TOC1">
    <w:name w:val="toc 1"/>
    <w:basedOn w:val="Normal"/>
    <w:semiHidden/>
    <w:rsid w:val="00AD1C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D1C56"/>
    <w:pPr>
      <w:tabs>
        <w:tab w:val="clear" w:pos="567"/>
        <w:tab w:val="left" w:pos="1276"/>
      </w:tabs>
      <w:spacing w:before="160"/>
      <w:ind w:left="1276" w:hanging="709"/>
    </w:pPr>
  </w:style>
  <w:style w:type="paragraph" w:styleId="TOC3">
    <w:name w:val="toc 3"/>
    <w:basedOn w:val="TOC2"/>
    <w:semiHidden/>
    <w:rsid w:val="00AD1C56"/>
    <w:pPr>
      <w:tabs>
        <w:tab w:val="clear" w:pos="1276"/>
        <w:tab w:val="left" w:pos="2155"/>
      </w:tabs>
      <w:ind w:left="2155" w:hanging="879"/>
    </w:pPr>
  </w:style>
  <w:style w:type="paragraph" w:styleId="TOC4">
    <w:name w:val="toc 4"/>
    <w:basedOn w:val="TOC3"/>
    <w:semiHidden/>
    <w:rsid w:val="00AD1C56"/>
    <w:pPr>
      <w:tabs>
        <w:tab w:val="left" w:pos="3261"/>
      </w:tabs>
      <w:spacing w:before="80"/>
      <w:ind w:left="3261" w:hanging="993"/>
    </w:pPr>
  </w:style>
  <w:style w:type="paragraph" w:styleId="TOC5">
    <w:name w:val="toc 5"/>
    <w:basedOn w:val="TOC4"/>
    <w:semiHidden/>
    <w:rsid w:val="00AD1C56"/>
  </w:style>
  <w:style w:type="paragraph" w:styleId="TOC6">
    <w:name w:val="toc 6"/>
    <w:basedOn w:val="TOC4"/>
    <w:semiHidden/>
    <w:rsid w:val="00AD1C56"/>
  </w:style>
  <w:style w:type="paragraph" w:styleId="TOC7">
    <w:name w:val="toc 7"/>
    <w:basedOn w:val="TOC4"/>
    <w:semiHidden/>
    <w:rsid w:val="00AD1C56"/>
  </w:style>
  <w:style w:type="paragraph" w:styleId="TOC8">
    <w:name w:val="toc 8"/>
    <w:basedOn w:val="TOC4"/>
    <w:semiHidden/>
    <w:rsid w:val="00AD1C56"/>
  </w:style>
  <w:style w:type="paragraph" w:customStyle="1" w:styleId="Rectitle">
    <w:name w:val="Rec_title"/>
    <w:basedOn w:val="Normal"/>
    <w:next w:val="Recref"/>
    <w:rsid w:val="00AD1C56"/>
    <w:pPr>
      <w:keepNext/>
      <w:keepLines/>
      <w:spacing w:before="240"/>
      <w:jc w:val="center"/>
    </w:pPr>
    <w:rPr>
      <w:b/>
      <w:sz w:val="28"/>
    </w:rPr>
  </w:style>
  <w:style w:type="paragraph" w:customStyle="1" w:styleId="Annexref">
    <w:name w:val="Annex_ref"/>
    <w:basedOn w:val="Normal"/>
    <w:next w:val="Normalaftertitle"/>
    <w:rsid w:val="00AD1C56"/>
    <w:pPr>
      <w:keepNext/>
      <w:keepLines/>
      <w:spacing w:after="280"/>
      <w:jc w:val="center"/>
    </w:pPr>
  </w:style>
  <w:style w:type="paragraph" w:customStyle="1" w:styleId="Appendixref">
    <w:name w:val="Appendix_ref"/>
    <w:basedOn w:val="Annexref"/>
    <w:next w:val="Normalaftertitle"/>
    <w:rsid w:val="00AD1C56"/>
  </w:style>
  <w:style w:type="paragraph" w:customStyle="1" w:styleId="Figuretitle">
    <w:name w:val="Figure_title"/>
    <w:basedOn w:val="Normal"/>
    <w:next w:val="Figure"/>
    <w:rsid w:val="00AD1C5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D1C56"/>
    <w:pPr>
      <w:keepNext/>
      <w:spacing w:before="0" w:after="120"/>
      <w:jc w:val="center"/>
    </w:pPr>
    <w:rPr>
      <w:b/>
    </w:rPr>
  </w:style>
  <w:style w:type="paragraph" w:customStyle="1" w:styleId="Summary">
    <w:name w:val="Summary"/>
    <w:basedOn w:val="Normal"/>
    <w:next w:val="Normalaftertitle"/>
    <w:autoRedefine/>
    <w:rsid w:val="00AD1C56"/>
    <w:pPr>
      <w:spacing w:after="480"/>
    </w:pPr>
    <w:rPr>
      <w:sz w:val="22"/>
      <w:lang w:val="es-ES_tradnl"/>
    </w:rPr>
  </w:style>
  <w:style w:type="paragraph" w:customStyle="1" w:styleId="TableLegendNote">
    <w:name w:val="Table_Legend_Note"/>
    <w:basedOn w:val="Tablelegend"/>
    <w:next w:val="Tablelegend"/>
    <w:rsid w:val="00AD1C56"/>
    <w:pPr>
      <w:ind w:left="-85" w:firstLine="0"/>
    </w:pPr>
    <w:rPr>
      <w:lang w:val="en-US"/>
    </w:rPr>
  </w:style>
  <w:style w:type="paragraph" w:customStyle="1" w:styleId="Figure">
    <w:name w:val="Figure"/>
    <w:basedOn w:val="FigureNo"/>
    <w:next w:val="Normal"/>
    <w:link w:val="FigureChar"/>
    <w:rsid w:val="00AD1C56"/>
    <w:pPr>
      <w:keepNext w:val="0"/>
      <w:spacing w:before="0" w:after="240"/>
    </w:pPr>
  </w:style>
  <w:style w:type="character" w:styleId="Hyperlink">
    <w:name w:val="Hyperlink"/>
    <w:basedOn w:val="DefaultParagraphFont"/>
    <w:uiPriority w:val="99"/>
    <w:rsid w:val="00DA4AF8"/>
    <w:rPr>
      <w:color w:val="0000FF"/>
      <w:u w:val="single"/>
    </w:rPr>
  </w:style>
  <w:style w:type="character" w:customStyle="1" w:styleId="TableheadChar">
    <w:name w:val="Table_head Char"/>
    <w:basedOn w:val="DefaultParagraphFont"/>
    <w:link w:val="Tablehead"/>
    <w:locked/>
    <w:rsid w:val="00DA4AF8"/>
    <w:rPr>
      <w:b/>
      <w:sz w:val="22"/>
      <w:lang w:val="fr-FR" w:eastAsia="en-US"/>
    </w:rPr>
  </w:style>
  <w:style w:type="character" w:customStyle="1" w:styleId="TabletextChar">
    <w:name w:val="Table_text Char"/>
    <w:basedOn w:val="DefaultParagraphFont"/>
    <w:link w:val="Tabletext"/>
    <w:locked/>
    <w:rsid w:val="00DA4AF8"/>
    <w:rPr>
      <w:sz w:val="22"/>
      <w:lang w:val="fr-FR" w:eastAsia="en-US"/>
    </w:rPr>
  </w:style>
  <w:style w:type="character" w:customStyle="1" w:styleId="Heading1Char">
    <w:name w:val="Heading 1 Char"/>
    <w:basedOn w:val="DefaultParagraphFont"/>
    <w:link w:val="Heading1"/>
    <w:rsid w:val="00DA4AF8"/>
    <w:rPr>
      <w:b/>
      <w:sz w:val="24"/>
      <w:lang w:val="fr-FR" w:eastAsia="en-US"/>
    </w:rPr>
  </w:style>
  <w:style w:type="character" w:customStyle="1" w:styleId="HeaderChar">
    <w:name w:val="Header Char"/>
    <w:basedOn w:val="DefaultParagraphFont"/>
    <w:link w:val="Header"/>
    <w:rsid w:val="00DA4AF8"/>
    <w:rPr>
      <w:sz w:val="24"/>
      <w:lang w:val="fr-FR" w:eastAsia="en-US"/>
    </w:rPr>
  </w:style>
  <w:style w:type="character" w:customStyle="1" w:styleId="FootnoteTextChar">
    <w:name w:val="Footnote Text Char"/>
    <w:basedOn w:val="DefaultParagraphFont"/>
    <w:link w:val="FootnoteText"/>
    <w:semiHidden/>
    <w:rsid w:val="00AD1C56"/>
    <w:rPr>
      <w:sz w:val="22"/>
      <w:lang w:val="fr-FR" w:eastAsia="en-US"/>
    </w:rPr>
  </w:style>
  <w:style w:type="character" w:customStyle="1" w:styleId="FigureChar">
    <w:name w:val="Figure Char"/>
    <w:basedOn w:val="DefaultParagraphFont"/>
    <w:link w:val="Figure"/>
    <w:locked/>
    <w:rsid w:val="004D752B"/>
    <w:rPr>
      <w:caps/>
      <w:sz w:val="18"/>
      <w:lang w:val="fr-FR" w:eastAsia="en-US"/>
    </w:rPr>
  </w:style>
  <w:style w:type="character" w:customStyle="1" w:styleId="FigureNoChar">
    <w:name w:val="Figure_No Char"/>
    <w:basedOn w:val="DefaultParagraphFont"/>
    <w:link w:val="FigureNo"/>
    <w:locked/>
    <w:rsid w:val="004D752B"/>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1D5A3-1DE6-4F02-AEDB-81AB243D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5</Pages>
  <Words>1040</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20</cp:revision>
  <cp:lastPrinted>2015-06-23T07:06:00Z</cp:lastPrinted>
  <dcterms:created xsi:type="dcterms:W3CDTF">2015-06-22T08:11:00Z</dcterms:created>
  <dcterms:modified xsi:type="dcterms:W3CDTF">2015-06-23T07:22:00Z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