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1D5" w:rsidRDefault="000721D5"/>
    <w:p w:rsidR="000721D5" w:rsidRDefault="000721D5"/>
    <w:p w:rsidR="000721D5" w:rsidRDefault="000721D5"/>
    <w:p w:rsidR="000721D5" w:rsidRDefault="000721D5"/>
    <w:p w:rsidR="000721D5" w:rsidRDefault="000721D5"/>
    <w:p w:rsidR="000721D5" w:rsidRDefault="000721D5"/>
    <w:p w:rsidR="000721D5" w:rsidRDefault="000721D5"/>
    <w:p w:rsidR="000721D5" w:rsidRDefault="000721D5"/>
    <w:p w:rsidR="000721D5" w:rsidRDefault="000721D5"/>
    <w:p w:rsidR="000721D5" w:rsidRDefault="000721D5"/>
    <w:p w:rsidR="000721D5" w:rsidRDefault="000721D5"/>
    <w:p w:rsidR="000721D5" w:rsidRDefault="000721D5"/>
    <w:tbl>
      <w:tblPr>
        <w:tblW w:w="10089" w:type="dxa"/>
        <w:tblLook w:val="01E0" w:firstRow="1" w:lastRow="1" w:firstColumn="1" w:lastColumn="1" w:noHBand="0" w:noVBand="0"/>
      </w:tblPr>
      <w:tblGrid>
        <w:gridCol w:w="10089"/>
      </w:tblGrid>
      <w:tr w:rsidR="000721D5" w:rsidRPr="00A443C2">
        <w:tc>
          <w:tcPr>
            <w:tcW w:w="10089" w:type="dxa"/>
          </w:tcPr>
          <w:p w:rsidR="000721D5" w:rsidRPr="00B033C8" w:rsidRDefault="000721D5" w:rsidP="00013002">
            <w:pPr>
              <w:spacing w:before="380" w:line="280" w:lineRule="exact"/>
              <w:jc w:val="right"/>
              <w:rPr>
                <w:rFonts w:ascii="Tahoma" w:hAnsi="Tahoma" w:cs="Tahoma"/>
                <w:b/>
                <w:bCs/>
                <w:iCs/>
                <w:color w:val="243285"/>
                <w:sz w:val="32"/>
                <w:szCs w:val="32"/>
                <w:lang w:val="en-US"/>
              </w:rPr>
            </w:pPr>
          </w:p>
          <w:p w:rsidR="000721D5" w:rsidRPr="00A443C2" w:rsidRDefault="000721D5" w:rsidP="000721D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629-1</w:t>
            </w:r>
          </w:p>
          <w:p w:rsidR="000721D5" w:rsidRPr="00A443C2" w:rsidRDefault="000721D5" w:rsidP="00DB067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DB0675">
              <w:rPr>
                <w:rFonts w:ascii="Tahoma" w:hAnsi="Tahoma" w:cs="Tahoma"/>
                <w:b/>
                <w:bCs/>
                <w:iCs/>
                <w:color w:val="243285"/>
                <w:szCs w:val="24"/>
              </w:rPr>
              <w:t>0</w:t>
            </w:r>
            <w:bookmarkStart w:id="0" w:name="_GoBack"/>
            <w:bookmarkEnd w:id="0"/>
            <w:r w:rsidR="00DA44BA">
              <w:rPr>
                <w:rFonts w:ascii="Tahoma" w:hAnsi="Tahoma" w:cs="Tahoma"/>
                <w:b/>
                <w:bCs/>
                <w:iCs/>
                <w:color w:val="243285"/>
                <w:szCs w:val="24"/>
              </w:rPr>
              <w:t>2</w:t>
            </w:r>
            <w:r w:rsidRPr="00A443C2">
              <w:rPr>
                <w:rFonts w:ascii="Tahoma" w:hAnsi="Tahoma" w:cs="Tahoma"/>
                <w:b/>
                <w:bCs/>
                <w:iCs/>
                <w:color w:val="243285"/>
                <w:szCs w:val="24"/>
              </w:rPr>
              <w:t>/</w:t>
            </w:r>
            <w:r w:rsidR="00DA44BA">
              <w:rPr>
                <w:rFonts w:ascii="Tahoma" w:hAnsi="Tahoma" w:cs="Tahoma"/>
                <w:b/>
                <w:bCs/>
                <w:iCs/>
                <w:color w:val="243285"/>
                <w:szCs w:val="24"/>
              </w:rPr>
              <w:t>2013</w:t>
            </w:r>
            <w:r w:rsidRPr="00A443C2">
              <w:rPr>
                <w:rFonts w:ascii="Tahoma" w:hAnsi="Tahoma" w:cs="Tahoma"/>
                <w:b/>
                <w:bCs/>
                <w:iCs/>
                <w:color w:val="243285"/>
                <w:szCs w:val="24"/>
              </w:rPr>
              <w:t>)</w:t>
            </w:r>
          </w:p>
        </w:tc>
      </w:tr>
      <w:tr w:rsidR="000721D5" w:rsidRPr="00F54FBD">
        <w:tc>
          <w:tcPr>
            <w:tcW w:w="10089" w:type="dxa"/>
          </w:tcPr>
          <w:p w:rsidR="000721D5" w:rsidRDefault="000721D5" w:rsidP="00123FD5">
            <w:pPr>
              <w:spacing w:before="80" w:line="500" w:lineRule="exact"/>
              <w:jc w:val="right"/>
              <w:rPr>
                <w:rFonts w:ascii="Tahoma" w:hAnsi="Tahoma" w:cs="Tahoma"/>
                <w:b/>
                <w:bCs/>
                <w:iCs/>
                <w:color w:val="243285"/>
                <w:sz w:val="44"/>
                <w:szCs w:val="44"/>
              </w:rPr>
            </w:pPr>
          </w:p>
          <w:p w:rsidR="000721D5" w:rsidRPr="00E430C8" w:rsidRDefault="00E430C8" w:rsidP="00E430C8">
            <w:pPr>
              <w:spacing w:before="80" w:line="500" w:lineRule="exact"/>
              <w:jc w:val="right"/>
              <w:rPr>
                <w:rFonts w:ascii="Tahoma" w:hAnsi="Tahoma" w:cs="Tahoma"/>
                <w:b/>
                <w:bCs/>
                <w:iCs/>
                <w:color w:val="243285"/>
                <w:sz w:val="44"/>
                <w:szCs w:val="44"/>
              </w:rPr>
            </w:pPr>
            <w:r w:rsidRPr="00E430C8">
              <w:rPr>
                <w:rFonts w:ascii="Tahoma" w:hAnsi="Tahoma" w:cs="Tahoma"/>
                <w:b/>
                <w:bCs/>
                <w:color w:val="243285"/>
                <w:sz w:val="44"/>
                <w:szCs w:val="44"/>
              </w:rPr>
              <w:t>Utilisation par le service de radionavigation</w:t>
            </w:r>
            <w:r>
              <w:rPr>
                <w:rFonts w:ascii="Tahoma" w:hAnsi="Tahoma" w:cs="Tahoma"/>
                <w:b/>
                <w:bCs/>
                <w:color w:val="243285"/>
                <w:sz w:val="44"/>
                <w:szCs w:val="44"/>
              </w:rPr>
              <w:t xml:space="preserve"> </w:t>
            </w:r>
            <w:r w:rsidRPr="00E430C8">
              <w:rPr>
                <w:rFonts w:ascii="Tahoma" w:hAnsi="Tahoma" w:cs="Tahoma"/>
                <w:b/>
                <w:bCs/>
                <w:color w:val="243285"/>
                <w:sz w:val="44"/>
                <w:szCs w:val="44"/>
              </w:rPr>
              <w:t>des bandes de fréquences</w:t>
            </w:r>
            <w:r>
              <w:rPr>
                <w:rFonts w:ascii="Tahoma" w:hAnsi="Tahoma" w:cs="Tahoma"/>
                <w:b/>
                <w:bCs/>
                <w:color w:val="243285"/>
                <w:sz w:val="44"/>
                <w:szCs w:val="44"/>
              </w:rPr>
              <w:t xml:space="preserve"> </w:t>
            </w:r>
            <w:r w:rsidRPr="00E430C8">
              <w:rPr>
                <w:rFonts w:ascii="Tahoma" w:hAnsi="Tahoma" w:cs="Tahoma"/>
                <w:b/>
                <w:bCs/>
                <w:color w:val="243285"/>
                <w:sz w:val="44"/>
                <w:szCs w:val="44"/>
              </w:rPr>
              <w:t>2 900-3 100 MHz,</w:t>
            </w:r>
            <w:r>
              <w:rPr>
                <w:rFonts w:ascii="Tahoma" w:hAnsi="Tahoma" w:cs="Tahoma"/>
                <w:b/>
                <w:bCs/>
                <w:color w:val="243285"/>
                <w:sz w:val="44"/>
                <w:szCs w:val="44"/>
              </w:rPr>
              <w:t xml:space="preserve"> </w:t>
            </w:r>
            <w:r w:rsidRPr="00E430C8">
              <w:rPr>
                <w:rFonts w:ascii="Tahoma" w:hAnsi="Tahoma" w:cs="Tahoma"/>
                <w:b/>
                <w:bCs/>
                <w:color w:val="243285"/>
                <w:sz w:val="44"/>
                <w:szCs w:val="44"/>
              </w:rPr>
              <w:t>5 470-5 650 MHz, 9 200-9 300 MHz,</w:t>
            </w:r>
            <w:r>
              <w:rPr>
                <w:rFonts w:ascii="Tahoma" w:hAnsi="Tahoma" w:cs="Tahoma"/>
                <w:b/>
                <w:bCs/>
                <w:color w:val="243285"/>
                <w:sz w:val="44"/>
                <w:szCs w:val="44"/>
              </w:rPr>
              <w:t xml:space="preserve"> </w:t>
            </w:r>
            <w:r w:rsidRPr="00E430C8">
              <w:rPr>
                <w:rFonts w:ascii="Tahoma" w:hAnsi="Tahoma" w:cs="Tahoma"/>
                <w:b/>
                <w:bCs/>
                <w:color w:val="243285"/>
                <w:sz w:val="44"/>
                <w:szCs w:val="44"/>
              </w:rPr>
              <w:t>9</w:t>
            </w:r>
            <w:r>
              <w:rPr>
                <w:rFonts w:ascii="Tahoma" w:hAnsi="Tahoma" w:cs="Tahoma"/>
                <w:b/>
                <w:bCs/>
                <w:color w:val="243285"/>
                <w:sz w:val="44"/>
                <w:szCs w:val="44"/>
              </w:rPr>
              <w:t> </w:t>
            </w:r>
            <w:r w:rsidRPr="00E430C8">
              <w:rPr>
                <w:rFonts w:ascii="Tahoma" w:hAnsi="Tahoma" w:cs="Tahoma"/>
                <w:b/>
                <w:bCs/>
                <w:color w:val="243285"/>
                <w:sz w:val="44"/>
                <w:szCs w:val="44"/>
              </w:rPr>
              <w:t>300</w:t>
            </w:r>
            <w:r>
              <w:rPr>
                <w:rFonts w:ascii="Tahoma" w:hAnsi="Tahoma" w:cs="Tahoma"/>
                <w:b/>
                <w:bCs/>
                <w:color w:val="243285"/>
                <w:sz w:val="44"/>
                <w:szCs w:val="44"/>
              </w:rPr>
              <w:noBreakHyphen/>
            </w:r>
            <w:r w:rsidRPr="00E430C8">
              <w:rPr>
                <w:rFonts w:ascii="Tahoma" w:hAnsi="Tahoma" w:cs="Tahoma"/>
                <w:b/>
                <w:bCs/>
                <w:color w:val="243285"/>
                <w:sz w:val="44"/>
                <w:szCs w:val="44"/>
              </w:rPr>
              <w:t>9</w:t>
            </w:r>
            <w:r>
              <w:rPr>
                <w:rFonts w:ascii="Tahoma" w:hAnsi="Tahoma" w:cs="Tahoma"/>
                <w:b/>
                <w:bCs/>
                <w:color w:val="243285"/>
                <w:sz w:val="44"/>
                <w:szCs w:val="44"/>
              </w:rPr>
              <w:t> </w:t>
            </w:r>
            <w:r w:rsidRPr="00E430C8">
              <w:rPr>
                <w:rFonts w:ascii="Tahoma" w:hAnsi="Tahoma" w:cs="Tahoma"/>
                <w:b/>
                <w:bCs/>
                <w:color w:val="243285"/>
                <w:sz w:val="44"/>
                <w:szCs w:val="44"/>
              </w:rPr>
              <w:t>500 MHz et 9 500-9 800 MHz</w:t>
            </w:r>
          </w:p>
        </w:tc>
      </w:tr>
      <w:tr w:rsidR="000721D5" w:rsidRPr="00F54FBD">
        <w:tc>
          <w:tcPr>
            <w:tcW w:w="10089" w:type="dxa"/>
          </w:tcPr>
          <w:p w:rsidR="000721D5" w:rsidRPr="00F54FBD" w:rsidRDefault="000721D5" w:rsidP="00AD267B">
            <w:pPr>
              <w:spacing w:before="80" w:line="280" w:lineRule="exact"/>
              <w:ind w:right="640"/>
              <w:rPr>
                <w:rFonts w:ascii="Tahoma" w:hAnsi="Tahoma" w:cs="Tahoma"/>
                <w:b/>
                <w:bCs/>
                <w:iCs/>
                <w:color w:val="243285"/>
                <w:sz w:val="32"/>
                <w:szCs w:val="32"/>
              </w:rPr>
            </w:pPr>
          </w:p>
          <w:p w:rsidR="000721D5" w:rsidRPr="00F54FBD" w:rsidRDefault="000721D5" w:rsidP="00AD267B">
            <w:pPr>
              <w:spacing w:before="80" w:line="280" w:lineRule="exact"/>
              <w:ind w:right="640"/>
              <w:rPr>
                <w:rFonts w:ascii="Tahoma" w:hAnsi="Tahoma" w:cs="Tahoma"/>
                <w:b/>
                <w:bCs/>
                <w:iCs/>
                <w:color w:val="243285"/>
                <w:sz w:val="32"/>
                <w:szCs w:val="32"/>
              </w:rPr>
            </w:pPr>
          </w:p>
          <w:p w:rsidR="000721D5" w:rsidRPr="00F54FBD" w:rsidRDefault="000721D5" w:rsidP="004A4D65">
            <w:pPr>
              <w:spacing w:before="80" w:after="180" w:line="360" w:lineRule="exact"/>
              <w:ind w:right="720"/>
              <w:rPr>
                <w:rFonts w:ascii="Tahoma" w:hAnsi="Tahoma" w:cs="Tahoma"/>
                <w:b/>
                <w:bCs/>
                <w:iCs/>
                <w:color w:val="243285"/>
                <w:sz w:val="36"/>
                <w:szCs w:val="36"/>
              </w:rPr>
            </w:pPr>
          </w:p>
          <w:p w:rsidR="000721D5" w:rsidRPr="00F54FBD" w:rsidRDefault="000721D5"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0721D5" w:rsidRPr="00F54FBD" w:rsidRDefault="000721D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0721D5" w:rsidRPr="00F54FBD" w:rsidRDefault="000721D5" w:rsidP="00CD659B">
      <w:pPr>
        <w:spacing w:before="80"/>
        <w:rPr>
          <w:i/>
          <w:sz w:val="22"/>
        </w:rPr>
      </w:pPr>
    </w:p>
    <w:p w:rsidR="000721D5" w:rsidRPr="00F54FBD" w:rsidRDefault="000721D5" w:rsidP="00CD659B">
      <w:pPr>
        <w:spacing w:before="80"/>
        <w:rPr>
          <w:i/>
          <w:sz w:val="22"/>
        </w:rPr>
      </w:pPr>
    </w:p>
    <w:p w:rsidR="000721D5" w:rsidRPr="00F54FBD" w:rsidRDefault="000721D5" w:rsidP="00CD659B">
      <w:pPr>
        <w:spacing w:before="80"/>
        <w:rPr>
          <w:i/>
          <w:sz w:val="22"/>
        </w:rPr>
      </w:pPr>
    </w:p>
    <w:p w:rsidR="000721D5" w:rsidRPr="00F54FBD" w:rsidRDefault="000721D5" w:rsidP="00CD659B">
      <w:pPr>
        <w:spacing w:before="80"/>
        <w:rPr>
          <w:i/>
          <w:sz w:val="22"/>
        </w:rPr>
      </w:pPr>
    </w:p>
    <w:p w:rsidR="000721D5" w:rsidRPr="00F54FBD" w:rsidRDefault="000721D5" w:rsidP="00CD659B">
      <w:pPr>
        <w:spacing w:before="80"/>
        <w:rPr>
          <w:i/>
          <w:sz w:val="22"/>
        </w:rPr>
      </w:pPr>
    </w:p>
    <w:p w:rsidR="000721D5" w:rsidRPr="00F54FBD" w:rsidRDefault="000721D5" w:rsidP="00CD659B">
      <w:pPr>
        <w:spacing w:before="80"/>
        <w:rPr>
          <w:i/>
          <w:sz w:val="22"/>
        </w:rPr>
      </w:pPr>
    </w:p>
    <w:p w:rsidR="000721D5" w:rsidRPr="00F54FBD" w:rsidRDefault="000721D5" w:rsidP="00CD659B">
      <w:pPr>
        <w:pStyle w:val="Equation"/>
        <w:tabs>
          <w:tab w:val="clear" w:pos="4820"/>
          <w:tab w:val="clear" w:pos="9639"/>
          <w:tab w:val="left" w:pos="1191"/>
          <w:tab w:val="left" w:pos="1588"/>
          <w:tab w:val="left" w:pos="1985"/>
        </w:tabs>
        <w:rPr>
          <w:rFonts w:ascii="Palatino Linotype" w:hAnsi="Palatino Linotype"/>
        </w:rPr>
        <w:sectPr w:rsidR="000721D5" w:rsidRPr="00F54FBD" w:rsidSect="008A5C8B">
          <w:headerReference w:type="even" r:id="rId7"/>
          <w:headerReference w:type="default" r:id="rId8"/>
          <w:pgSz w:w="11907" w:h="16834" w:code="9"/>
          <w:pgMar w:top="1418" w:right="1134" w:bottom="1134" w:left="1134" w:header="720" w:footer="482" w:gutter="0"/>
          <w:paperSrc w:first="15" w:other="15"/>
          <w:cols w:space="720"/>
        </w:sectPr>
      </w:pPr>
    </w:p>
    <w:p w:rsidR="000721D5" w:rsidRPr="00F54FBD" w:rsidRDefault="000721D5"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0721D5" w:rsidRPr="00F54FBD" w:rsidRDefault="000721D5"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721D5" w:rsidRPr="00F54FBD" w:rsidRDefault="000721D5"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721D5" w:rsidRPr="00E44CBB" w:rsidRDefault="000721D5"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721D5" w:rsidRPr="00E44CBB" w:rsidRDefault="000721D5"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721D5" w:rsidRPr="00C95B6F" w:rsidRDefault="000721D5"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721D5" w:rsidRPr="009454F8">
        <w:tc>
          <w:tcPr>
            <w:tcW w:w="9360" w:type="dxa"/>
            <w:gridSpan w:val="2"/>
          </w:tcPr>
          <w:p w:rsidR="000721D5" w:rsidRPr="009454F8" w:rsidRDefault="000721D5"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721D5" w:rsidRPr="009454F8" w:rsidRDefault="000721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721D5" w:rsidRPr="00036EE3">
        <w:tc>
          <w:tcPr>
            <w:tcW w:w="1140" w:type="dxa"/>
          </w:tcPr>
          <w:p w:rsidR="000721D5" w:rsidRPr="00614CC6" w:rsidRDefault="000721D5" w:rsidP="00614CC6">
            <w:pPr>
              <w:spacing w:before="90" w:after="100"/>
              <w:ind w:left="57"/>
              <w:rPr>
                <w:b/>
                <w:bCs/>
                <w:sz w:val="20"/>
                <w:lang w:val="en-US"/>
              </w:rPr>
            </w:pPr>
            <w:r w:rsidRPr="00614CC6">
              <w:rPr>
                <w:b/>
                <w:bCs/>
                <w:sz w:val="20"/>
                <w:lang w:val="en-US"/>
              </w:rPr>
              <w:t>Séries</w:t>
            </w:r>
          </w:p>
        </w:tc>
        <w:tc>
          <w:tcPr>
            <w:tcW w:w="8220" w:type="dxa"/>
          </w:tcPr>
          <w:p w:rsidR="000721D5" w:rsidRPr="00614CC6" w:rsidRDefault="000721D5"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721D5" w:rsidRPr="00036EE3">
        <w:tc>
          <w:tcPr>
            <w:tcW w:w="1140" w:type="dxa"/>
          </w:tcPr>
          <w:p w:rsidR="000721D5" w:rsidRPr="00614CC6" w:rsidRDefault="000721D5" w:rsidP="00F336CC">
            <w:pPr>
              <w:spacing w:before="30" w:after="30"/>
              <w:ind w:left="57"/>
              <w:jc w:val="left"/>
              <w:rPr>
                <w:b/>
                <w:bCs/>
                <w:sz w:val="20"/>
                <w:lang w:val="en-US"/>
              </w:rPr>
            </w:pPr>
            <w:r w:rsidRPr="00614CC6">
              <w:rPr>
                <w:b/>
                <w:bCs/>
                <w:sz w:val="20"/>
                <w:lang w:val="en-US"/>
              </w:rPr>
              <w:t>BO</w:t>
            </w:r>
          </w:p>
        </w:tc>
        <w:tc>
          <w:tcPr>
            <w:tcW w:w="8220" w:type="dxa"/>
          </w:tcPr>
          <w:p w:rsidR="000721D5" w:rsidRPr="00614CC6" w:rsidRDefault="000721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721D5" w:rsidRPr="009454F8">
        <w:tc>
          <w:tcPr>
            <w:tcW w:w="1140" w:type="dxa"/>
          </w:tcPr>
          <w:p w:rsidR="000721D5" w:rsidRPr="00614CC6" w:rsidRDefault="000721D5" w:rsidP="00F336CC">
            <w:pPr>
              <w:spacing w:before="30" w:after="30"/>
              <w:ind w:left="57"/>
              <w:jc w:val="left"/>
              <w:rPr>
                <w:b/>
                <w:bCs/>
                <w:sz w:val="20"/>
                <w:lang w:val="en-US"/>
              </w:rPr>
            </w:pPr>
            <w:r w:rsidRPr="00614CC6">
              <w:rPr>
                <w:b/>
                <w:bCs/>
                <w:sz w:val="20"/>
                <w:lang w:val="en-US"/>
              </w:rPr>
              <w:t>BR</w:t>
            </w:r>
          </w:p>
        </w:tc>
        <w:tc>
          <w:tcPr>
            <w:tcW w:w="8220" w:type="dxa"/>
          </w:tcPr>
          <w:p w:rsidR="000721D5" w:rsidRPr="00614CC6" w:rsidRDefault="000721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721D5" w:rsidRPr="00036EE3">
        <w:tc>
          <w:tcPr>
            <w:tcW w:w="1140" w:type="dxa"/>
          </w:tcPr>
          <w:p w:rsidR="000721D5" w:rsidRPr="00614CC6" w:rsidRDefault="000721D5" w:rsidP="00F336CC">
            <w:pPr>
              <w:spacing w:before="30" w:after="30"/>
              <w:ind w:left="57"/>
              <w:jc w:val="left"/>
              <w:rPr>
                <w:b/>
                <w:bCs/>
                <w:sz w:val="20"/>
                <w:lang w:val="en-US"/>
              </w:rPr>
            </w:pPr>
            <w:r w:rsidRPr="00614CC6">
              <w:rPr>
                <w:b/>
                <w:bCs/>
                <w:sz w:val="20"/>
                <w:lang w:val="en-US"/>
              </w:rPr>
              <w:t>BS</w:t>
            </w:r>
          </w:p>
        </w:tc>
        <w:tc>
          <w:tcPr>
            <w:tcW w:w="8220" w:type="dxa"/>
          </w:tcPr>
          <w:p w:rsidR="000721D5" w:rsidRPr="00614CC6" w:rsidRDefault="000721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721D5" w:rsidRPr="00ED2695">
        <w:tc>
          <w:tcPr>
            <w:tcW w:w="1140" w:type="dxa"/>
            <w:shd w:val="clear" w:color="auto" w:fill="auto"/>
          </w:tcPr>
          <w:p w:rsidR="000721D5" w:rsidRPr="00614CC6" w:rsidRDefault="000721D5"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0721D5" w:rsidRPr="00614CC6" w:rsidRDefault="000721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721D5" w:rsidRPr="00036EE3">
        <w:tc>
          <w:tcPr>
            <w:tcW w:w="1140" w:type="dxa"/>
            <w:shd w:val="clear" w:color="auto" w:fill="auto"/>
          </w:tcPr>
          <w:p w:rsidR="000721D5" w:rsidRPr="00614CC6" w:rsidRDefault="000721D5"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0721D5" w:rsidRPr="00614CC6" w:rsidRDefault="000721D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721D5" w:rsidRPr="00592F9F">
        <w:tc>
          <w:tcPr>
            <w:tcW w:w="1140" w:type="dxa"/>
            <w:shd w:val="clear" w:color="auto" w:fill="F3F3F3"/>
          </w:tcPr>
          <w:p w:rsidR="000721D5" w:rsidRPr="00592F9F" w:rsidRDefault="000721D5"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0721D5" w:rsidRPr="00592F9F" w:rsidRDefault="000721D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0721D5" w:rsidRPr="00036EE3">
        <w:tc>
          <w:tcPr>
            <w:tcW w:w="1140" w:type="dxa"/>
          </w:tcPr>
          <w:p w:rsidR="000721D5" w:rsidRPr="00614CC6" w:rsidRDefault="000721D5" w:rsidP="00F336CC">
            <w:pPr>
              <w:spacing w:before="30" w:after="30"/>
              <w:ind w:left="57"/>
              <w:jc w:val="left"/>
              <w:rPr>
                <w:b/>
                <w:bCs/>
                <w:sz w:val="20"/>
                <w:lang w:val="fr-CH"/>
              </w:rPr>
            </w:pPr>
            <w:r w:rsidRPr="00614CC6">
              <w:rPr>
                <w:b/>
                <w:bCs/>
                <w:sz w:val="20"/>
                <w:lang w:val="fr-CH"/>
              </w:rPr>
              <w:t>P</w:t>
            </w:r>
          </w:p>
        </w:tc>
        <w:tc>
          <w:tcPr>
            <w:tcW w:w="8220" w:type="dxa"/>
          </w:tcPr>
          <w:p w:rsidR="000721D5" w:rsidRPr="00614CC6" w:rsidRDefault="000721D5" w:rsidP="00F336CC">
            <w:pPr>
              <w:spacing w:before="30" w:after="30"/>
              <w:jc w:val="left"/>
              <w:rPr>
                <w:sz w:val="20"/>
                <w:lang w:val="fr-CH"/>
              </w:rPr>
            </w:pPr>
            <w:r w:rsidRPr="00614CC6">
              <w:rPr>
                <w:sz w:val="20"/>
              </w:rPr>
              <w:t>Propagation des ondes radioélectriques</w:t>
            </w:r>
          </w:p>
        </w:tc>
      </w:tr>
      <w:tr w:rsidR="000721D5" w:rsidRPr="00036EE3">
        <w:tc>
          <w:tcPr>
            <w:tcW w:w="1140" w:type="dxa"/>
          </w:tcPr>
          <w:p w:rsidR="000721D5" w:rsidRPr="00614CC6" w:rsidRDefault="000721D5" w:rsidP="00F336CC">
            <w:pPr>
              <w:spacing w:before="30" w:after="30"/>
              <w:ind w:left="57"/>
              <w:jc w:val="left"/>
              <w:rPr>
                <w:b/>
                <w:bCs/>
                <w:sz w:val="20"/>
                <w:lang w:val="en-US"/>
              </w:rPr>
            </w:pPr>
            <w:r w:rsidRPr="00614CC6">
              <w:rPr>
                <w:b/>
                <w:bCs/>
                <w:sz w:val="20"/>
                <w:lang w:val="en-US"/>
              </w:rPr>
              <w:t>RA</w:t>
            </w:r>
          </w:p>
        </w:tc>
        <w:tc>
          <w:tcPr>
            <w:tcW w:w="8220" w:type="dxa"/>
          </w:tcPr>
          <w:p w:rsidR="000721D5" w:rsidRPr="00614CC6" w:rsidRDefault="000721D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721D5" w:rsidRPr="00036EE3">
        <w:tc>
          <w:tcPr>
            <w:tcW w:w="1140" w:type="dxa"/>
          </w:tcPr>
          <w:p w:rsidR="000721D5" w:rsidRPr="00614CC6" w:rsidRDefault="000721D5" w:rsidP="00F336CC">
            <w:pPr>
              <w:spacing w:before="30" w:after="30"/>
              <w:ind w:left="57"/>
              <w:jc w:val="left"/>
              <w:rPr>
                <w:b/>
                <w:bCs/>
                <w:sz w:val="20"/>
                <w:lang w:val="en-US"/>
              </w:rPr>
            </w:pPr>
            <w:r w:rsidRPr="00614CC6">
              <w:rPr>
                <w:b/>
                <w:bCs/>
                <w:sz w:val="20"/>
                <w:lang w:val="en-US"/>
              </w:rPr>
              <w:t>RS</w:t>
            </w:r>
          </w:p>
        </w:tc>
        <w:tc>
          <w:tcPr>
            <w:tcW w:w="8220" w:type="dxa"/>
          </w:tcPr>
          <w:p w:rsidR="000721D5" w:rsidRPr="00614CC6" w:rsidRDefault="000721D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721D5" w:rsidRPr="00036EE3">
        <w:tc>
          <w:tcPr>
            <w:tcW w:w="1140" w:type="dxa"/>
          </w:tcPr>
          <w:p w:rsidR="000721D5" w:rsidRPr="00614CC6" w:rsidRDefault="000721D5" w:rsidP="00F336CC">
            <w:pPr>
              <w:spacing w:before="30" w:after="30"/>
              <w:ind w:left="57"/>
              <w:jc w:val="left"/>
              <w:rPr>
                <w:b/>
                <w:bCs/>
                <w:sz w:val="20"/>
                <w:lang w:val="en-US"/>
              </w:rPr>
            </w:pPr>
            <w:r w:rsidRPr="00614CC6">
              <w:rPr>
                <w:b/>
                <w:bCs/>
                <w:sz w:val="20"/>
                <w:lang w:val="en-US"/>
              </w:rPr>
              <w:t>S</w:t>
            </w:r>
          </w:p>
        </w:tc>
        <w:tc>
          <w:tcPr>
            <w:tcW w:w="8220" w:type="dxa"/>
          </w:tcPr>
          <w:p w:rsidR="000721D5" w:rsidRPr="00614CC6" w:rsidRDefault="000721D5" w:rsidP="00F336CC">
            <w:pPr>
              <w:spacing w:before="30" w:after="30"/>
              <w:jc w:val="left"/>
              <w:rPr>
                <w:sz w:val="20"/>
                <w:lang w:val="en-US"/>
              </w:rPr>
            </w:pPr>
            <w:r w:rsidRPr="00614CC6">
              <w:rPr>
                <w:sz w:val="20"/>
              </w:rPr>
              <w:t>Service fixe par satellite</w:t>
            </w:r>
          </w:p>
        </w:tc>
      </w:tr>
      <w:tr w:rsidR="000721D5" w:rsidRPr="00036EE3">
        <w:tc>
          <w:tcPr>
            <w:tcW w:w="1140" w:type="dxa"/>
          </w:tcPr>
          <w:p w:rsidR="000721D5" w:rsidRPr="00614CC6" w:rsidRDefault="000721D5" w:rsidP="00F336CC">
            <w:pPr>
              <w:spacing w:before="30" w:after="30"/>
              <w:ind w:left="57"/>
              <w:jc w:val="left"/>
              <w:rPr>
                <w:b/>
                <w:bCs/>
                <w:sz w:val="20"/>
                <w:lang w:val="en-US"/>
              </w:rPr>
            </w:pPr>
            <w:r w:rsidRPr="00614CC6">
              <w:rPr>
                <w:b/>
                <w:bCs/>
                <w:sz w:val="20"/>
                <w:lang w:val="en-US"/>
              </w:rPr>
              <w:t>SA</w:t>
            </w:r>
          </w:p>
        </w:tc>
        <w:tc>
          <w:tcPr>
            <w:tcW w:w="8220" w:type="dxa"/>
          </w:tcPr>
          <w:p w:rsidR="000721D5" w:rsidRPr="00614CC6" w:rsidRDefault="000721D5" w:rsidP="00F336CC">
            <w:pPr>
              <w:spacing w:before="30" w:after="30"/>
              <w:jc w:val="left"/>
              <w:rPr>
                <w:sz w:val="20"/>
                <w:lang w:val="en-US"/>
              </w:rPr>
            </w:pPr>
            <w:r w:rsidRPr="00614CC6">
              <w:rPr>
                <w:sz w:val="20"/>
              </w:rPr>
              <w:t>Applications spatiales et météorologie</w:t>
            </w:r>
          </w:p>
        </w:tc>
      </w:tr>
      <w:tr w:rsidR="000721D5" w:rsidRPr="00614CC6">
        <w:tc>
          <w:tcPr>
            <w:tcW w:w="1140" w:type="dxa"/>
          </w:tcPr>
          <w:p w:rsidR="000721D5" w:rsidRPr="00614CC6" w:rsidRDefault="000721D5" w:rsidP="00F336CC">
            <w:pPr>
              <w:spacing w:before="30" w:after="30"/>
              <w:ind w:left="57"/>
              <w:jc w:val="left"/>
              <w:rPr>
                <w:b/>
                <w:bCs/>
                <w:sz w:val="20"/>
                <w:lang w:val="en-US"/>
              </w:rPr>
            </w:pPr>
            <w:r w:rsidRPr="00614CC6">
              <w:rPr>
                <w:b/>
                <w:bCs/>
                <w:sz w:val="20"/>
                <w:lang w:val="en-US"/>
              </w:rPr>
              <w:t>SF</w:t>
            </w:r>
          </w:p>
        </w:tc>
        <w:tc>
          <w:tcPr>
            <w:tcW w:w="8220" w:type="dxa"/>
          </w:tcPr>
          <w:p w:rsidR="000721D5" w:rsidRPr="00614CC6" w:rsidRDefault="000721D5" w:rsidP="00F336CC">
            <w:pPr>
              <w:spacing w:before="30" w:after="30"/>
              <w:jc w:val="left"/>
              <w:rPr>
                <w:sz w:val="20"/>
              </w:rPr>
            </w:pPr>
            <w:r w:rsidRPr="00614CC6">
              <w:rPr>
                <w:sz w:val="20"/>
              </w:rPr>
              <w:t>Partage des fréquences et coordination entre les systèmes du service fixe par satellite et du service fixe</w:t>
            </w:r>
          </w:p>
        </w:tc>
      </w:tr>
      <w:tr w:rsidR="000721D5" w:rsidRPr="00036EE3">
        <w:tc>
          <w:tcPr>
            <w:tcW w:w="1140" w:type="dxa"/>
            <w:shd w:val="clear" w:color="auto" w:fill="auto"/>
          </w:tcPr>
          <w:p w:rsidR="000721D5" w:rsidRPr="00592F9F" w:rsidRDefault="000721D5"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0721D5" w:rsidRPr="00592F9F" w:rsidRDefault="000721D5" w:rsidP="00F336CC">
            <w:pPr>
              <w:spacing w:before="30" w:after="30"/>
              <w:jc w:val="left"/>
              <w:rPr>
                <w:sz w:val="20"/>
                <w:lang w:val="en-US"/>
              </w:rPr>
            </w:pPr>
            <w:r w:rsidRPr="00592F9F">
              <w:rPr>
                <w:sz w:val="20"/>
              </w:rPr>
              <w:t>Gestion du spectre</w:t>
            </w:r>
          </w:p>
        </w:tc>
      </w:tr>
      <w:tr w:rsidR="000721D5" w:rsidRPr="00036EE3">
        <w:tc>
          <w:tcPr>
            <w:tcW w:w="1140" w:type="dxa"/>
          </w:tcPr>
          <w:p w:rsidR="000721D5" w:rsidRPr="00614CC6" w:rsidRDefault="000721D5" w:rsidP="00F336CC">
            <w:pPr>
              <w:spacing w:before="30" w:after="30"/>
              <w:ind w:left="57"/>
              <w:jc w:val="left"/>
              <w:rPr>
                <w:b/>
                <w:bCs/>
                <w:sz w:val="20"/>
                <w:lang w:val="en-US"/>
              </w:rPr>
            </w:pPr>
            <w:r w:rsidRPr="00614CC6">
              <w:rPr>
                <w:b/>
                <w:bCs/>
                <w:sz w:val="20"/>
                <w:lang w:val="en-US"/>
              </w:rPr>
              <w:t>SNG</w:t>
            </w:r>
          </w:p>
        </w:tc>
        <w:tc>
          <w:tcPr>
            <w:tcW w:w="8220" w:type="dxa"/>
          </w:tcPr>
          <w:p w:rsidR="000721D5" w:rsidRPr="00614CC6" w:rsidRDefault="000721D5" w:rsidP="00F336CC">
            <w:pPr>
              <w:spacing w:before="30" w:after="30"/>
              <w:jc w:val="left"/>
              <w:rPr>
                <w:sz w:val="20"/>
                <w:lang w:val="en-US"/>
              </w:rPr>
            </w:pPr>
            <w:r w:rsidRPr="00614CC6">
              <w:rPr>
                <w:sz w:val="20"/>
              </w:rPr>
              <w:t>Reportage d'actualités par satellite</w:t>
            </w:r>
          </w:p>
        </w:tc>
      </w:tr>
      <w:tr w:rsidR="000721D5" w:rsidRPr="00614CC6">
        <w:tc>
          <w:tcPr>
            <w:tcW w:w="1140" w:type="dxa"/>
          </w:tcPr>
          <w:p w:rsidR="000721D5" w:rsidRPr="00614CC6" w:rsidRDefault="000721D5" w:rsidP="00F336CC">
            <w:pPr>
              <w:spacing w:before="30" w:after="30"/>
              <w:ind w:left="57"/>
              <w:jc w:val="left"/>
              <w:rPr>
                <w:b/>
                <w:bCs/>
                <w:sz w:val="20"/>
                <w:lang w:val="en-US"/>
              </w:rPr>
            </w:pPr>
            <w:r w:rsidRPr="00614CC6">
              <w:rPr>
                <w:b/>
                <w:bCs/>
                <w:sz w:val="20"/>
                <w:lang w:val="en-US"/>
              </w:rPr>
              <w:t>TF</w:t>
            </w:r>
          </w:p>
        </w:tc>
        <w:tc>
          <w:tcPr>
            <w:tcW w:w="8220" w:type="dxa"/>
          </w:tcPr>
          <w:p w:rsidR="000721D5" w:rsidRPr="00614CC6" w:rsidRDefault="000721D5" w:rsidP="00F336CC">
            <w:pPr>
              <w:spacing w:before="30" w:after="30"/>
              <w:jc w:val="left"/>
              <w:rPr>
                <w:sz w:val="20"/>
              </w:rPr>
            </w:pPr>
            <w:r w:rsidRPr="00614CC6">
              <w:rPr>
                <w:sz w:val="20"/>
              </w:rPr>
              <w:t>Emissions de fréquences étalon et de signaux horaires</w:t>
            </w:r>
          </w:p>
        </w:tc>
      </w:tr>
      <w:tr w:rsidR="000721D5" w:rsidRPr="00036EE3">
        <w:tc>
          <w:tcPr>
            <w:tcW w:w="1140" w:type="dxa"/>
          </w:tcPr>
          <w:p w:rsidR="000721D5" w:rsidRPr="00614CC6" w:rsidRDefault="000721D5" w:rsidP="00F336CC">
            <w:pPr>
              <w:spacing w:before="30" w:after="30"/>
              <w:ind w:left="57"/>
              <w:jc w:val="left"/>
              <w:rPr>
                <w:b/>
                <w:bCs/>
                <w:sz w:val="20"/>
                <w:lang w:val="en-US"/>
              </w:rPr>
            </w:pPr>
            <w:r w:rsidRPr="00614CC6">
              <w:rPr>
                <w:b/>
                <w:bCs/>
                <w:sz w:val="20"/>
                <w:lang w:val="en-US"/>
              </w:rPr>
              <w:t>V</w:t>
            </w:r>
          </w:p>
        </w:tc>
        <w:tc>
          <w:tcPr>
            <w:tcW w:w="8220" w:type="dxa"/>
          </w:tcPr>
          <w:p w:rsidR="000721D5" w:rsidRPr="00614CC6" w:rsidRDefault="000721D5" w:rsidP="00614CC6">
            <w:pPr>
              <w:spacing w:before="30" w:after="140"/>
              <w:jc w:val="left"/>
              <w:rPr>
                <w:sz w:val="20"/>
                <w:lang w:val="en-US"/>
              </w:rPr>
            </w:pPr>
            <w:r w:rsidRPr="00614CC6">
              <w:rPr>
                <w:sz w:val="20"/>
              </w:rPr>
              <w:t>Vocabulaire et sujets associés</w:t>
            </w:r>
          </w:p>
        </w:tc>
      </w:tr>
    </w:tbl>
    <w:p w:rsidR="000721D5" w:rsidRPr="00036EE3" w:rsidRDefault="000721D5" w:rsidP="00614CC6">
      <w:pPr>
        <w:spacing w:before="0"/>
        <w:jc w:val="center"/>
        <w:rPr>
          <w:sz w:val="20"/>
          <w:lang w:val="en-US"/>
        </w:rPr>
      </w:pPr>
    </w:p>
    <w:p w:rsidR="000721D5" w:rsidRPr="00036EE3" w:rsidRDefault="000721D5"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721D5" w:rsidRPr="00756B4D">
        <w:tc>
          <w:tcPr>
            <w:tcW w:w="9360" w:type="dxa"/>
          </w:tcPr>
          <w:p w:rsidR="000721D5" w:rsidRPr="00756B4D" w:rsidRDefault="000721D5" w:rsidP="00422AE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721D5" w:rsidRPr="00756B4D" w:rsidRDefault="000721D5" w:rsidP="00F54FBD">
      <w:pPr>
        <w:spacing w:before="0"/>
        <w:jc w:val="center"/>
        <w:rPr>
          <w:sz w:val="22"/>
        </w:rPr>
      </w:pPr>
    </w:p>
    <w:p w:rsidR="000721D5" w:rsidRPr="00614CC6" w:rsidRDefault="000721D5" w:rsidP="00756B4D">
      <w:pPr>
        <w:spacing w:before="100"/>
        <w:jc w:val="right"/>
        <w:rPr>
          <w:i/>
          <w:iCs/>
          <w:sz w:val="20"/>
        </w:rPr>
      </w:pPr>
      <w:r w:rsidRPr="00614CC6">
        <w:rPr>
          <w:i/>
          <w:iCs/>
          <w:sz w:val="20"/>
        </w:rPr>
        <w:t>Publication électronique</w:t>
      </w:r>
    </w:p>
    <w:p w:rsidR="000721D5" w:rsidRPr="00614CC6" w:rsidRDefault="000721D5" w:rsidP="00C95B6F">
      <w:pPr>
        <w:spacing w:before="0"/>
        <w:jc w:val="right"/>
        <w:rPr>
          <w:sz w:val="20"/>
        </w:rPr>
      </w:pPr>
      <w:r w:rsidRPr="00614CC6">
        <w:rPr>
          <w:sz w:val="20"/>
        </w:rPr>
        <w:t>Genève, 20</w:t>
      </w:r>
      <w:r>
        <w:rPr>
          <w:sz w:val="20"/>
        </w:rPr>
        <w:t>13</w:t>
      </w:r>
    </w:p>
    <w:p w:rsidR="000721D5" w:rsidRPr="00614CC6" w:rsidRDefault="000721D5" w:rsidP="008F5522">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13</w:t>
      </w:r>
    </w:p>
    <w:p w:rsidR="000721D5" w:rsidRPr="00614CC6" w:rsidRDefault="000721D5"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721D5" w:rsidRPr="00614CC6" w:rsidRDefault="000721D5" w:rsidP="00CD659B">
      <w:pPr>
        <w:spacing w:before="160"/>
        <w:rPr>
          <w:i/>
          <w:sz w:val="20"/>
          <w:highlight w:val="yellow"/>
        </w:rPr>
        <w:sectPr w:rsidR="000721D5"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0721D5" w:rsidRPr="00DA44BA" w:rsidRDefault="000721D5" w:rsidP="000721D5">
      <w:pPr>
        <w:pStyle w:val="RecNo"/>
        <w:spacing w:before="0"/>
      </w:pPr>
      <w:bookmarkStart w:id="3" w:name="irecnoe"/>
      <w:bookmarkEnd w:id="3"/>
      <w:r w:rsidRPr="00756B4D">
        <w:lastRenderedPageBreak/>
        <w:t>RE</w:t>
      </w:r>
      <w:r w:rsidRPr="00DA44BA">
        <w:t xml:space="preserve">COMMANDATION  </w:t>
      </w:r>
      <w:r w:rsidRPr="00DA44BA">
        <w:rPr>
          <w:rStyle w:val="href"/>
        </w:rPr>
        <w:t>UIT-R  M.629-1</w:t>
      </w:r>
      <w:r w:rsidRPr="00DA44BA">
        <w:rPr>
          <w:rStyle w:val="FootnoteReference"/>
        </w:rPr>
        <w:footnoteReference w:customMarkFollows="1" w:id="1"/>
        <w:t>*</w:t>
      </w:r>
    </w:p>
    <w:p w:rsidR="000721D5" w:rsidRPr="00DA44BA" w:rsidRDefault="000721D5" w:rsidP="00E430C8">
      <w:pPr>
        <w:pStyle w:val="Rectitle"/>
      </w:pPr>
      <w:r w:rsidRPr="00DA44BA">
        <w:t>Utilisation par le service de radionavigation des bandes de fréquences</w:t>
      </w:r>
      <w:r w:rsidRPr="00DA44BA">
        <w:br/>
        <w:t>2 900-3 100 MHz, 5 470-5 650 MHz, 9 200-9 300 MHz,</w:t>
      </w:r>
      <w:r w:rsidRPr="00DA44BA">
        <w:br/>
        <w:t>9 300-9 500 MHz et 9 500-9 800 MHz</w:t>
      </w:r>
    </w:p>
    <w:p w:rsidR="000721D5" w:rsidRPr="00242309" w:rsidRDefault="000721D5" w:rsidP="000721D5">
      <w:pPr>
        <w:pStyle w:val="Recdate"/>
      </w:pPr>
      <w:r w:rsidRPr="00242309">
        <w:t>(1986-2013)</w:t>
      </w:r>
    </w:p>
    <w:p w:rsidR="000721D5" w:rsidRPr="00DA44BA" w:rsidRDefault="000721D5" w:rsidP="000721D5">
      <w:pPr>
        <w:pStyle w:val="HeadingSum"/>
        <w:rPr>
          <w:lang w:val="fr-FR"/>
        </w:rPr>
      </w:pPr>
      <w:r w:rsidRPr="00DA44BA">
        <w:rPr>
          <w:lang w:val="fr-FR"/>
        </w:rPr>
        <w:t>Domaine d'application</w:t>
      </w:r>
    </w:p>
    <w:p w:rsidR="000721D5" w:rsidRPr="00DA44BA" w:rsidRDefault="000721D5" w:rsidP="000721D5">
      <w:pPr>
        <w:pStyle w:val="Summary"/>
        <w:rPr>
          <w:lang w:val="fr-FR"/>
        </w:rPr>
      </w:pPr>
      <w:r w:rsidRPr="00DA44BA">
        <w:rPr>
          <w:lang w:val="fr-FR"/>
        </w:rPr>
        <w:t xml:space="preserve">Compte tenu de l'importance des radars de navire et des radars aéronautiques pour la navigation ainsi que des balises-radar, aux fins de la sécurité de la navigation en mer et de la navigation aérienne, dans les bandes 2 900-3 100 MHz, 5 470-5 650 MHz, 9 200-9 300 MHz, 9 300-9 500 MHz et 9 500-9 800 MHz, la présente Recommandation vise à ce que les bandes de fonctionnement soient optimisées pour la détection des balises-radar. </w:t>
      </w:r>
    </w:p>
    <w:p w:rsidR="000721D5" w:rsidRPr="00DA44BA" w:rsidRDefault="000721D5" w:rsidP="000721D5">
      <w:pPr>
        <w:pStyle w:val="Summary"/>
        <w:rPr>
          <w:lang w:val="fr-FR"/>
        </w:rPr>
      </w:pPr>
      <w:r w:rsidRPr="00DA44BA">
        <w:rPr>
          <w:lang w:val="fr-FR"/>
        </w:rPr>
        <w:t>Elle vise également à garantir la compatibilité des radars, des équipements de navire et des balises-radar aéronautiques, et à inciter à ne pas utiliser de transpondeurs radar qui pourraient être confondus avec des balises-radar, ce qui peut être dangereux pour la navigation. Les transpondeurs radar de navire doivent fonctionner uniquement dans certaines bandes, et il convient de réduire autant que possible l'utilisation de certaines bandes utilisées par les radars d'aéronef pour la navigation. Etant donné que certains transpondeurs radar sont utilisés pour des opérations de recherche et le sauvetage, ils devraient présenter des caractéristiques permettant d'éviter de les confondre avec des balises-radar.</w:t>
      </w:r>
    </w:p>
    <w:p w:rsidR="000721D5" w:rsidRPr="00DA44BA" w:rsidRDefault="000721D5" w:rsidP="000721D5">
      <w:pPr>
        <w:pStyle w:val="Normalaftertitle"/>
      </w:pPr>
      <w:r w:rsidRPr="00DA44BA">
        <w:t>L'Assemblée des radiocommunications de l'UIT,</w:t>
      </w:r>
    </w:p>
    <w:p w:rsidR="000721D5" w:rsidRPr="00DA44BA" w:rsidRDefault="000721D5" w:rsidP="000721D5">
      <w:pPr>
        <w:pStyle w:val="Call"/>
      </w:pPr>
      <w:r w:rsidRPr="00DA44BA">
        <w:t>considérant</w:t>
      </w:r>
    </w:p>
    <w:p w:rsidR="000721D5" w:rsidRPr="00DA44BA" w:rsidRDefault="000721D5" w:rsidP="000721D5">
      <w:r w:rsidRPr="00DA44BA">
        <w:rPr>
          <w:iCs/>
        </w:rPr>
        <w:t>a)</w:t>
      </w:r>
      <w:r w:rsidRPr="00DA44BA">
        <w:tab/>
        <w:t>que la compatibilité entre les radars maritimes et les balises-radar du service de radionavigation est essentielle pour assurer la sécurité de la navigation en mer;</w:t>
      </w:r>
    </w:p>
    <w:p w:rsidR="000721D5" w:rsidRPr="00DA44BA" w:rsidRDefault="000721D5" w:rsidP="000721D5">
      <w:r w:rsidRPr="00DA44BA">
        <w:rPr>
          <w:iCs/>
        </w:rPr>
        <w:t>b)</w:t>
      </w:r>
      <w:r w:rsidRPr="00DA44BA">
        <w:tab/>
        <w:t>que les balises-radar doivent, pour être compatibles, fonctionner dans les bandes de fréquences utilisées par les radars de navire;</w:t>
      </w:r>
    </w:p>
    <w:p w:rsidR="000721D5" w:rsidRPr="00DA44BA" w:rsidRDefault="000721D5" w:rsidP="000721D5">
      <w:r w:rsidRPr="00DA44BA">
        <w:rPr>
          <w:iCs/>
        </w:rPr>
        <w:t>c)</w:t>
      </w:r>
      <w:r w:rsidRPr="00DA44BA">
        <w:tab/>
        <w:t>qu'une majorité des radars maritimes pour la navigation fonctionnent dans l'une des deux bandes 2 900</w:t>
      </w:r>
      <w:r w:rsidRPr="00DA44BA">
        <w:noBreakHyphen/>
        <w:t>3 100 et 9 200-9 500 MHz;</w:t>
      </w:r>
    </w:p>
    <w:p w:rsidR="000721D5" w:rsidRPr="00DA44BA" w:rsidRDefault="000721D5" w:rsidP="000721D5">
      <w:r w:rsidRPr="00DA44BA">
        <w:rPr>
          <w:iCs/>
        </w:rPr>
        <w:t>d)</w:t>
      </w:r>
      <w:r w:rsidRPr="00DA44BA">
        <w:tab/>
        <w:t>qu'un certain nombre de radars de navire pour la navigation fonctionnent dans l'une des deux bandes 5 470</w:t>
      </w:r>
      <w:r w:rsidRPr="00DA44BA">
        <w:noBreakHyphen/>
        <w:t>5 650 MHz et 9 500-9 800 MHz;</w:t>
      </w:r>
    </w:p>
    <w:p w:rsidR="000721D5" w:rsidRPr="00DA44BA" w:rsidRDefault="000721D5" w:rsidP="00027CED">
      <w:r w:rsidRPr="00DA44BA">
        <w:rPr>
          <w:iCs/>
        </w:rPr>
        <w:t>e)</w:t>
      </w:r>
      <w:r w:rsidRPr="00DA44BA">
        <w:tab/>
        <w:t>que beaucoup de radars d'aéronef pour la navigation fonctionnent dans la bande</w:t>
      </w:r>
      <w:r w:rsidR="00027CED">
        <w:t xml:space="preserve"> </w:t>
      </w:r>
      <w:r w:rsidRPr="00DA44BA">
        <w:t>9 300</w:t>
      </w:r>
      <w:r w:rsidRPr="00DA44BA">
        <w:noBreakHyphen/>
        <w:t>9 500 MHz;</w:t>
      </w:r>
    </w:p>
    <w:p w:rsidR="000721D5" w:rsidRPr="00DA44BA" w:rsidRDefault="000721D5" w:rsidP="000721D5">
      <w:r w:rsidRPr="00DA44BA">
        <w:t>f)</w:t>
      </w:r>
      <w:r w:rsidRPr="00DA44BA">
        <w:tab/>
        <w:t>que les balises-radar aéronautiques fonctionnent dans la bande 9 300-9 320 MHz;</w:t>
      </w:r>
    </w:p>
    <w:p w:rsidR="000721D5" w:rsidRPr="00DA44BA" w:rsidRDefault="000721D5" w:rsidP="000721D5">
      <w:r w:rsidRPr="00DA44BA">
        <w:t>g)</w:t>
      </w:r>
      <w:r w:rsidRPr="00DA44BA">
        <w:tab/>
        <w:t>que d'autres transpondeurs radar pourraient, dans certaines cas, contribuer à la sécurité de la navigation;</w:t>
      </w:r>
    </w:p>
    <w:p w:rsidR="000721D5" w:rsidRPr="00DA44BA" w:rsidRDefault="000721D5" w:rsidP="000721D5">
      <w:r w:rsidRPr="00DA44BA">
        <w:t>h)</w:t>
      </w:r>
      <w:r w:rsidRPr="00DA44BA">
        <w:tab/>
        <w:t>que les transpondeurs radar utilisés pour les opérations de recherche et de sauvetage ont un code d'identification unique qui devrait éviter de les confondre avec des balises-radar,</w:t>
      </w:r>
    </w:p>
    <w:p w:rsidR="000721D5" w:rsidRPr="00DA44BA" w:rsidRDefault="000721D5" w:rsidP="000721D5">
      <w:pPr>
        <w:pStyle w:val="Call"/>
      </w:pPr>
      <w:r w:rsidRPr="00DA44BA">
        <w:lastRenderedPageBreak/>
        <w:t>recommande</w:t>
      </w:r>
    </w:p>
    <w:p w:rsidR="000721D5" w:rsidRPr="00DA44BA" w:rsidRDefault="000721D5" w:rsidP="000721D5">
      <w:r w:rsidRPr="00DA44BA">
        <w:rPr>
          <w:b/>
        </w:rPr>
        <w:t>1</w:t>
      </w:r>
      <w:r w:rsidRPr="00DA44BA">
        <w:tab/>
        <w:t>que les concepteurs de radars maritimes du service de radionavigation maritime s'assurent, dans la mesure du possible, de la compatibilité de ces radars avec les balises-radar utilisées par les administrations aux fins de la sécurité de la navigation;</w:t>
      </w:r>
    </w:p>
    <w:p w:rsidR="000721D5" w:rsidRPr="00DA44BA" w:rsidRDefault="000721D5" w:rsidP="000721D5">
      <w:r w:rsidRPr="00DA44BA">
        <w:rPr>
          <w:b/>
        </w:rPr>
        <w:t>2</w:t>
      </w:r>
      <w:r w:rsidRPr="00DA44BA">
        <w:tab/>
        <w:t>que les radars de navire classiques à impulsions du service de radionavigation maritime ne fonctionnent pas dans la bande 9 500-9 800 MHz.</w:t>
      </w:r>
    </w:p>
    <w:p w:rsidR="000721D5" w:rsidRPr="00DA44BA" w:rsidRDefault="000721D5" w:rsidP="000721D5"/>
    <w:p w:rsidR="00F67184" w:rsidRPr="00DA44BA" w:rsidRDefault="00F67184" w:rsidP="000721D5"/>
    <w:p w:rsidR="000721D5" w:rsidRPr="00DA44BA" w:rsidRDefault="000721D5" w:rsidP="000721D5">
      <w:pPr>
        <w:pStyle w:val="Line"/>
        <w:rPr>
          <w:lang w:val="fr-FR"/>
        </w:rPr>
      </w:pPr>
    </w:p>
    <w:sectPr w:rsidR="000721D5" w:rsidRPr="00DA44BA" w:rsidSect="00F67184">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1D5" w:rsidRDefault="000721D5">
      <w:r>
        <w:separator/>
      </w:r>
    </w:p>
  </w:endnote>
  <w:endnote w:type="continuationSeparator" w:id="0">
    <w:p w:rsidR="000721D5" w:rsidRDefault="00072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1D5" w:rsidRDefault="000721D5">
      <w:r>
        <w:separator/>
      </w:r>
    </w:p>
  </w:footnote>
  <w:footnote w:type="continuationSeparator" w:id="0">
    <w:p w:rsidR="000721D5" w:rsidRDefault="000721D5">
      <w:r>
        <w:continuationSeparator/>
      </w:r>
    </w:p>
  </w:footnote>
  <w:footnote w:id="1">
    <w:p w:rsidR="000721D5" w:rsidRDefault="000721D5" w:rsidP="000721D5">
      <w:pPr>
        <w:pStyle w:val="FootnoteText"/>
      </w:pPr>
      <w:r>
        <w:rPr>
          <w:rStyle w:val="FootnoteReference"/>
        </w:rPr>
        <w:t>*</w:t>
      </w:r>
      <w:r>
        <w:t xml:space="preserve"> </w:t>
      </w:r>
      <w:r>
        <w:tab/>
        <w:t xml:space="preserve">Le Directeur du Bureau des radiocommunications est prié de porter la présente Recommandation à l'attention de l'Organisation maritime internationale (OMI), de l'Organisation de l'aviation civile internationale (OACI) et de </w:t>
      </w:r>
      <w:r w:rsidRPr="004F4547">
        <w:t>l'Association internationale d</w:t>
      </w:r>
      <w:r>
        <w:t>e signalisation maritime (AISM).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1D5" w:rsidRDefault="000721D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1D5" w:rsidRDefault="000721D5" w:rsidP="00C668C8">
    <w:pPr>
      <w:pStyle w:val="Header"/>
      <w:ind w:right="360" w:firstLine="360"/>
    </w:pPr>
    <w:r>
      <w:rPr>
        <w:noProof/>
        <w:lang w:val="en-US" w:eastAsia="zh-CN"/>
      </w:rPr>
      <w:drawing>
        <wp:anchor distT="0" distB="0" distL="114300" distR="114300" simplePos="0" relativeHeight="251659264" behindDoc="1" locked="0" layoutInCell="1" allowOverlap="1" wp14:anchorId="0625E7FD" wp14:editId="77418A2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1D5" w:rsidRPr="00837CB5" w:rsidRDefault="000721D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B0675">
      <w:rPr>
        <w:rStyle w:val="PageNumber"/>
        <w:b/>
        <w:bCs/>
        <w:noProof/>
      </w:rPr>
      <w:t>ii</w:t>
    </w:r>
    <w:r>
      <w:rPr>
        <w:rStyle w:val="PageNumber"/>
        <w:b/>
        <w:bCs/>
      </w:rPr>
      <w:fldChar w:fldCharType="end"/>
    </w:r>
    <w:r w:rsidRPr="00837CB5">
      <w:tab/>
    </w:r>
    <w:fldSimple w:instr=" DOCPROPERTY &quot;Header&quot; \* MERGEFORMAT ">
      <w:r w:rsidR="00DA44BA" w:rsidRPr="00DA44B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B0675">
      <w:rPr>
        <w:b/>
        <w:bCs/>
        <w:noProof/>
      </w:rPr>
      <w:t>UIT-R  M.629-1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1D5" w:rsidRDefault="000721D5">
    <w:pPr>
      <w:pStyle w:val="Header"/>
    </w:pPr>
    <w:r>
      <w:tab/>
    </w:r>
    <w:fldSimple w:instr=" DOCPROPERTY &quot;Header&quot; \* MERGEFORMAT ">
      <w:r w:rsidR="00DA44BA" w:rsidRPr="00DA44B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A44BA">
      <w:rPr>
        <w:b/>
        <w:bCs/>
        <w:noProof/>
      </w:rPr>
      <w:t>UIT-R  M.629-1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B0675">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A44BA" w:rsidRPr="00DA44B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B0675">
      <w:rPr>
        <w:b/>
        <w:bCs/>
        <w:noProof/>
      </w:rPr>
      <w:t>UIT-R  M.629-1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DB0675">
      <w:fldChar w:fldCharType="begin"/>
    </w:r>
    <w:r w:rsidR="00DB0675">
      <w:instrText xml:space="preserve"> DOCPROPERTY "Header" \* MERGEFORMAT </w:instrText>
    </w:r>
    <w:r w:rsidR="00DB0675">
      <w:fldChar w:fldCharType="separate"/>
    </w:r>
    <w:r w:rsidR="00DA44BA" w:rsidRPr="00DA44BA">
      <w:rPr>
        <w:b/>
        <w:bCs/>
      </w:rPr>
      <w:t xml:space="preserve">Rec. </w:t>
    </w:r>
    <w:r w:rsidR="00DB0675">
      <w:rPr>
        <w:b/>
        <w:bCs/>
      </w:rPr>
      <w:fldChar w:fldCharType="end"/>
    </w:r>
    <w:r>
      <w:rPr>
        <w:b/>
        <w:bCs/>
      </w:rPr>
      <w:t xml:space="preserve"> </w:t>
    </w:r>
    <w:r>
      <w:rPr>
        <w:b/>
        <w:bCs/>
      </w:rPr>
      <w:fldChar w:fldCharType="begin"/>
    </w:r>
    <w:r>
      <w:rPr>
        <w:b/>
        <w:bCs/>
      </w:rPr>
      <w:instrText>styleref href</w:instrText>
    </w:r>
    <w:r>
      <w:rPr>
        <w:b/>
        <w:bCs/>
      </w:rPr>
      <w:fldChar w:fldCharType="separate"/>
    </w:r>
    <w:r w:rsidR="00DB0675">
      <w:rPr>
        <w:b/>
        <w:bCs/>
        <w:noProof/>
      </w:rPr>
      <w:t>UIT-R  M.629-1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B0675">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1D5"/>
    <w:rsid w:val="00027CED"/>
    <w:rsid w:val="000721D5"/>
    <w:rsid w:val="000A65BB"/>
    <w:rsid w:val="00217EBF"/>
    <w:rsid w:val="00242309"/>
    <w:rsid w:val="00242AEE"/>
    <w:rsid w:val="002D76C4"/>
    <w:rsid w:val="0052529D"/>
    <w:rsid w:val="00607D68"/>
    <w:rsid w:val="007468DA"/>
    <w:rsid w:val="007B35CA"/>
    <w:rsid w:val="009E00A8"/>
    <w:rsid w:val="00A6617B"/>
    <w:rsid w:val="00AB0DC8"/>
    <w:rsid w:val="00B44E24"/>
    <w:rsid w:val="00DA44BA"/>
    <w:rsid w:val="00DB0675"/>
    <w:rsid w:val="00DF4176"/>
    <w:rsid w:val="00E430C8"/>
    <w:rsid w:val="00F06B67"/>
    <w:rsid w:val="00F671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0721D5"/>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721D5"/>
    <w:rPr>
      <w:color w:val="0000FF"/>
      <w:u w:val="single"/>
    </w:rPr>
  </w:style>
  <w:style w:type="character" w:customStyle="1" w:styleId="FootnoteTextChar">
    <w:name w:val="Footnote Text Char"/>
    <w:basedOn w:val="DefaultParagraphFont"/>
    <w:link w:val="FootnoteText"/>
    <w:rsid w:val="000721D5"/>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0721D5"/>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721D5"/>
    <w:rPr>
      <w:color w:val="0000FF"/>
      <w:u w:val="single"/>
    </w:rPr>
  </w:style>
  <w:style w:type="character" w:customStyle="1" w:styleId="FootnoteTextChar">
    <w:name w:val="Footnote Text Char"/>
    <w:basedOn w:val="DefaultParagraphFont"/>
    <w:link w:val="FootnoteText"/>
    <w:rsid w:val="000721D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297</TotalTime>
  <Pages>4</Pages>
  <Words>865</Words>
  <Characters>4984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10</cp:revision>
  <cp:lastPrinted>2005-02-10T15:54:00Z</cp:lastPrinted>
  <dcterms:created xsi:type="dcterms:W3CDTF">2013-12-10T10:29:00Z</dcterms:created>
  <dcterms:modified xsi:type="dcterms:W3CDTF">2013-12-12T13:06:00Z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