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5C9" w:rsidRDefault="00CF65C9" w:rsidP="00CF65C9"/>
    <w:p w:rsidR="00CF65C9" w:rsidRDefault="00CF65C9" w:rsidP="00CF65C9"/>
    <w:p w:rsidR="00CF65C9" w:rsidRDefault="00CF65C9" w:rsidP="00CF65C9"/>
    <w:p w:rsidR="00CF65C9" w:rsidRDefault="00CF65C9" w:rsidP="00CF65C9"/>
    <w:p w:rsidR="00CF65C9" w:rsidRDefault="00CF65C9" w:rsidP="00CF65C9"/>
    <w:p w:rsidR="00CF65C9" w:rsidRDefault="00CF65C9" w:rsidP="00CF65C9"/>
    <w:p w:rsidR="00CF65C9" w:rsidRDefault="00CF65C9" w:rsidP="00CF65C9"/>
    <w:p w:rsidR="00CF65C9" w:rsidRDefault="00CF65C9" w:rsidP="00CF65C9"/>
    <w:p w:rsidR="00CF65C9" w:rsidRDefault="00CF65C9" w:rsidP="00CF65C9"/>
    <w:p w:rsidR="00CF65C9" w:rsidRDefault="00CF65C9" w:rsidP="00CF65C9"/>
    <w:p w:rsidR="00CF65C9" w:rsidRDefault="00CF65C9" w:rsidP="00CF65C9"/>
    <w:p w:rsidR="00CF65C9" w:rsidRDefault="00CF65C9" w:rsidP="00CF65C9"/>
    <w:tbl>
      <w:tblPr>
        <w:tblW w:w="10089" w:type="dxa"/>
        <w:tblLook w:val="01E0" w:firstRow="1" w:lastRow="1" w:firstColumn="1" w:lastColumn="1" w:noHBand="0" w:noVBand="0"/>
      </w:tblPr>
      <w:tblGrid>
        <w:gridCol w:w="10089"/>
      </w:tblGrid>
      <w:tr w:rsidR="00CF65C9" w:rsidRPr="00A443C2" w:rsidTr="00BE3063">
        <w:tc>
          <w:tcPr>
            <w:tcW w:w="10089" w:type="dxa"/>
          </w:tcPr>
          <w:p w:rsidR="00CF65C9" w:rsidRPr="00B033C8" w:rsidRDefault="00CF65C9" w:rsidP="00BE3063">
            <w:pPr>
              <w:spacing w:before="380" w:line="280" w:lineRule="exact"/>
              <w:jc w:val="right"/>
              <w:rPr>
                <w:rFonts w:ascii="Tahoma" w:hAnsi="Tahoma" w:cs="Tahoma"/>
                <w:b/>
                <w:bCs/>
                <w:iCs/>
                <w:color w:val="243285"/>
                <w:sz w:val="32"/>
                <w:szCs w:val="32"/>
                <w:lang w:val="en-US"/>
              </w:rPr>
            </w:pPr>
          </w:p>
          <w:p w:rsidR="00CF65C9" w:rsidRPr="00A443C2" w:rsidRDefault="00CF65C9" w:rsidP="00BC739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bookmarkStart w:id="0" w:name="_GoBack"/>
            <w:bookmarkEnd w:id="0"/>
            <w:r w:rsidRPr="00A443C2">
              <w:rPr>
                <w:rFonts w:ascii="Tahoma" w:hAnsi="Tahoma" w:cs="Tahoma"/>
                <w:b/>
                <w:bCs/>
                <w:iCs/>
                <w:color w:val="243285"/>
                <w:sz w:val="36"/>
                <w:szCs w:val="36"/>
              </w:rPr>
              <w:t>andation  UIT-R  M.</w:t>
            </w:r>
            <w:r w:rsidR="00BC7390">
              <w:rPr>
                <w:rFonts w:ascii="Tahoma" w:hAnsi="Tahoma" w:cs="Tahoma"/>
                <w:b/>
                <w:bCs/>
                <w:iCs/>
                <w:color w:val="243285"/>
                <w:sz w:val="36"/>
                <w:szCs w:val="36"/>
              </w:rPr>
              <w:t>628-5</w:t>
            </w:r>
          </w:p>
          <w:p w:rsidR="00CF65C9" w:rsidRPr="00A443C2" w:rsidRDefault="00CF65C9" w:rsidP="009A4B2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BC7390">
              <w:rPr>
                <w:rFonts w:ascii="Tahoma" w:hAnsi="Tahoma" w:cs="Tahoma"/>
                <w:b/>
                <w:bCs/>
                <w:iCs/>
                <w:color w:val="243285"/>
                <w:szCs w:val="24"/>
              </w:rPr>
              <w:t>3</w:t>
            </w:r>
            <w:r w:rsidRPr="00A443C2">
              <w:rPr>
                <w:rFonts w:ascii="Tahoma" w:hAnsi="Tahoma" w:cs="Tahoma"/>
                <w:b/>
                <w:bCs/>
                <w:iCs/>
                <w:color w:val="243285"/>
                <w:szCs w:val="24"/>
              </w:rPr>
              <w:t>/</w:t>
            </w:r>
            <w:r w:rsidR="00BC7390">
              <w:rPr>
                <w:rFonts w:ascii="Tahoma" w:hAnsi="Tahoma" w:cs="Tahoma"/>
                <w:b/>
                <w:bCs/>
                <w:iCs/>
                <w:color w:val="243285"/>
                <w:szCs w:val="24"/>
              </w:rPr>
              <w:t>201</w:t>
            </w:r>
            <w:r w:rsidR="009A4B21">
              <w:rPr>
                <w:rFonts w:ascii="Tahoma" w:hAnsi="Tahoma" w:cs="Tahoma"/>
                <w:b/>
                <w:bCs/>
                <w:iCs/>
                <w:color w:val="243285"/>
                <w:szCs w:val="24"/>
              </w:rPr>
              <w:t>2</w:t>
            </w:r>
            <w:r w:rsidRPr="00A443C2">
              <w:rPr>
                <w:rFonts w:ascii="Tahoma" w:hAnsi="Tahoma" w:cs="Tahoma"/>
                <w:b/>
                <w:bCs/>
                <w:iCs/>
                <w:color w:val="243285"/>
                <w:szCs w:val="24"/>
              </w:rPr>
              <w:t>)</w:t>
            </w:r>
          </w:p>
        </w:tc>
      </w:tr>
      <w:tr w:rsidR="00CF65C9" w:rsidRPr="00F54FBD" w:rsidTr="00BE3063">
        <w:tc>
          <w:tcPr>
            <w:tcW w:w="10089" w:type="dxa"/>
          </w:tcPr>
          <w:p w:rsidR="00CF65C9" w:rsidRDefault="00CF65C9" w:rsidP="00BE3063">
            <w:pPr>
              <w:spacing w:before="80" w:line="500" w:lineRule="exact"/>
              <w:jc w:val="right"/>
              <w:rPr>
                <w:rFonts w:ascii="Tahoma" w:hAnsi="Tahoma" w:cs="Tahoma"/>
                <w:b/>
                <w:bCs/>
                <w:iCs/>
                <w:color w:val="243285"/>
                <w:sz w:val="44"/>
                <w:szCs w:val="44"/>
              </w:rPr>
            </w:pPr>
          </w:p>
          <w:p w:rsidR="00CF65C9" w:rsidRDefault="00BC7390" w:rsidP="00BC7390">
            <w:pPr>
              <w:spacing w:before="80" w:line="500" w:lineRule="exact"/>
              <w:jc w:val="right"/>
              <w:rPr>
                <w:rFonts w:ascii="Tahoma" w:hAnsi="Tahoma" w:cs="Tahoma"/>
                <w:b/>
                <w:bCs/>
                <w:iCs/>
                <w:color w:val="243285"/>
                <w:sz w:val="44"/>
                <w:szCs w:val="44"/>
              </w:rPr>
            </w:pPr>
            <w:r w:rsidRPr="00BC7390">
              <w:rPr>
                <w:rFonts w:ascii="Tahoma" w:hAnsi="Tahoma" w:cs="Tahoma"/>
                <w:b/>
                <w:bCs/>
                <w:iCs/>
                <w:color w:val="243285"/>
                <w:sz w:val="44"/>
                <w:szCs w:val="44"/>
                <w:lang w:val="fr-CH"/>
              </w:rPr>
              <w:t>Caractéristiques techniques des répondeurs radar de recherche et de sauvetage</w:t>
            </w:r>
          </w:p>
          <w:p w:rsidR="00CF65C9" w:rsidRPr="00F54FBD" w:rsidRDefault="00CF65C9" w:rsidP="00BE3063">
            <w:pPr>
              <w:spacing w:before="80" w:line="500" w:lineRule="exact"/>
              <w:jc w:val="right"/>
              <w:rPr>
                <w:rFonts w:ascii="Tahoma" w:hAnsi="Tahoma" w:cs="Tahoma"/>
                <w:b/>
                <w:bCs/>
                <w:iCs/>
                <w:color w:val="243285"/>
                <w:sz w:val="44"/>
                <w:szCs w:val="44"/>
              </w:rPr>
            </w:pPr>
          </w:p>
        </w:tc>
      </w:tr>
      <w:tr w:rsidR="00CF65C9" w:rsidRPr="00F54FBD" w:rsidTr="00BE3063">
        <w:tc>
          <w:tcPr>
            <w:tcW w:w="10089" w:type="dxa"/>
          </w:tcPr>
          <w:p w:rsidR="00CF65C9" w:rsidRPr="00F54FBD" w:rsidRDefault="00CF65C9" w:rsidP="00BE3063">
            <w:pPr>
              <w:spacing w:before="80" w:line="280" w:lineRule="exact"/>
              <w:ind w:right="640"/>
              <w:rPr>
                <w:rFonts w:ascii="Tahoma" w:hAnsi="Tahoma" w:cs="Tahoma"/>
                <w:b/>
                <w:bCs/>
                <w:iCs/>
                <w:color w:val="243285"/>
                <w:sz w:val="32"/>
                <w:szCs w:val="32"/>
              </w:rPr>
            </w:pPr>
          </w:p>
          <w:p w:rsidR="00CF65C9" w:rsidRPr="00F54FBD" w:rsidRDefault="00CF65C9" w:rsidP="00BE3063">
            <w:pPr>
              <w:spacing w:before="80" w:line="280" w:lineRule="exact"/>
              <w:ind w:right="640"/>
              <w:rPr>
                <w:rFonts w:ascii="Tahoma" w:hAnsi="Tahoma" w:cs="Tahoma"/>
                <w:b/>
                <w:bCs/>
                <w:iCs/>
                <w:color w:val="243285"/>
                <w:sz w:val="32"/>
                <w:szCs w:val="32"/>
              </w:rPr>
            </w:pPr>
          </w:p>
          <w:p w:rsidR="00CF65C9" w:rsidRPr="00F54FBD" w:rsidRDefault="00CF65C9" w:rsidP="00BE3063">
            <w:pPr>
              <w:spacing w:before="80" w:after="180" w:line="360" w:lineRule="exact"/>
              <w:ind w:right="720"/>
              <w:rPr>
                <w:rFonts w:ascii="Tahoma" w:hAnsi="Tahoma" w:cs="Tahoma"/>
                <w:b/>
                <w:bCs/>
                <w:iCs/>
                <w:color w:val="243285"/>
                <w:sz w:val="36"/>
                <w:szCs w:val="36"/>
              </w:rPr>
            </w:pPr>
          </w:p>
          <w:p w:rsidR="00CF65C9" w:rsidRPr="00F54FBD" w:rsidRDefault="00CF65C9" w:rsidP="00BE306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CF65C9" w:rsidRPr="00F54FBD" w:rsidRDefault="00CF65C9" w:rsidP="00BE306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CF65C9" w:rsidRPr="00F54FBD" w:rsidRDefault="00CF65C9" w:rsidP="00CF65C9">
      <w:pPr>
        <w:spacing w:before="80"/>
        <w:rPr>
          <w:i/>
          <w:sz w:val="22"/>
        </w:rPr>
      </w:pPr>
    </w:p>
    <w:p w:rsidR="00CF65C9" w:rsidRPr="00F54FBD" w:rsidRDefault="00CF65C9" w:rsidP="00CF65C9">
      <w:pPr>
        <w:spacing w:before="80"/>
        <w:rPr>
          <w:i/>
          <w:sz w:val="22"/>
        </w:rPr>
      </w:pPr>
    </w:p>
    <w:p w:rsidR="00CF65C9" w:rsidRPr="00F54FBD" w:rsidRDefault="00CF65C9" w:rsidP="00CF65C9">
      <w:pPr>
        <w:spacing w:before="80"/>
        <w:rPr>
          <w:i/>
          <w:sz w:val="22"/>
        </w:rPr>
      </w:pPr>
    </w:p>
    <w:p w:rsidR="00CF65C9" w:rsidRPr="00F54FBD" w:rsidRDefault="00CF65C9" w:rsidP="00CF65C9">
      <w:pPr>
        <w:spacing w:before="80"/>
        <w:rPr>
          <w:i/>
          <w:sz w:val="22"/>
        </w:rPr>
      </w:pPr>
    </w:p>
    <w:p w:rsidR="00CF65C9" w:rsidRPr="00F54FBD" w:rsidRDefault="00CF65C9" w:rsidP="00CF65C9">
      <w:pPr>
        <w:spacing w:before="80"/>
        <w:rPr>
          <w:i/>
          <w:sz w:val="22"/>
        </w:rPr>
      </w:pPr>
    </w:p>
    <w:p w:rsidR="00CF65C9" w:rsidRPr="00F54FBD" w:rsidRDefault="00CF65C9" w:rsidP="00CF65C9">
      <w:pPr>
        <w:spacing w:before="80"/>
        <w:rPr>
          <w:i/>
          <w:sz w:val="22"/>
        </w:rPr>
      </w:pPr>
    </w:p>
    <w:p w:rsidR="00CF65C9" w:rsidRPr="00F54FBD" w:rsidRDefault="00CF65C9" w:rsidP="00CF65C9">
      <w:pPr>
        <w:pStyle w:val="Equation"/>
        <w:tabs>
          <w:tab w:val="clear" w:pos="4820"/>
          <w:tab w:val="clear" w:pos="9639"/>
          <w:tab w:val="left" w:pos="1191"/>
          <w:tab w:val="left" w:pos="1588"/>
          <w:tab w:val="left" w:pos="1985"/>
        </w:tabs>
        <w:rPr>
          <w:rFonts w:ascii="Palatino Linotype" w:hAnsi="Palatino Linotype"/>
        </w:rPr>
        <w:sectPr w:rsidR="00CF65C9" w:rsidRPr="00F54FBD">
          <w:headerReference w:type="even" r:id="rId6"/>
          <w:headerReference w:type="default" r:id="rId7"/>
          <w:pgSz w:w="11907" w:h="16840" w:code="9"/>
          <w:pgMar w:top="1089" w:right="1089" w:bottom="284" w:left="1089" w:header="567" w:footer="284" w:gutter="0"/>
          <w:pgNumType w:start="1"/>
          <w:cols w:space="720"/>
        </w:sectPr>
      </w:pPr>
    </w:p>
    <w:p w:rsidR="00CF65C9" w:rsidRPr="00F54FBD" w:rsidRDefault="00CF65C9" w:rsidP="00CF65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F65C9" w:rsidRPr="00F54FBD" w:rsidRDefault="00CF65C9" w:rsidP="00CF65C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F65C9" w:rsidRPr="00F54FBD" w:rsidRDefault="00CF65C9" w:rsidP="00CF65C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F65C9" w:rsidRPr="00E44CBB" w:rsidRDefault="00CF65C9" w:rsidP="00CF65C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F65C9" w:rsidRPr="00E44CBB" w:rsidRDefault="00CF65C9" w:rsidP="00CF65C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F65C9" w:rsidRPr="00C95B6F" w:rsidRDefault="00CF65C9" w:rsidP="00CF65C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F65C9" w:rsidRPr="009454F8" w:rsidTr="00BE3063">
        <w:tc>
          <w:tcPr>
            <w:tcW w:w="9360" w:type="dxa"/>
            <w:gridSpan w:val="2"/>
          </w:tcPr>
          <w:p w:rsidR="00CF65C9" w:rsidRPr="009454F8" w:rsidRDefault="00CF65C9" w:rsidP="00BE306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F65C9" w:rsidRPr="009454F8" w:rsidRDefault="00CF65C9"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CF65C9" w:rsidRPr="00036EE3" w:rsidTr="00BE3063">
        <w:tc>
          <w:tcPr>
            <w:tcW w:w="1140" w:type="dxa"/>
          </w:tcPr>
          <w:p w:rsidR="00CF65C9" w:rsidRPr="00614CC6" w:rsidRDefault="00CF65C9" w:rsidP="00BE3063">
            <w:pPr>
              <w:spacing w:before="90" w:after="100"/>
              <w:ind w:left="57"/>
              <w:rPr>
                <w:b/>
                <w:bCs/>
                <w:sz w:val="20"/>
                <w:lang w:val="en-US"/>
              </w:rPr>
            </w:pPr>
            <w:r w:rsidRPr="00614CC6">
              <w:rPr>
                <w:b/>
                <w:bCs/>
                <w:sz w:val="20"/>
                <w:lang w:val="en-US"/>
              </w:rPr>
              <w:t>Séries</w:t>
            </w:r>
          </w:p>
        </w:tc>
        <w:tc>
          <w:tcPr>
            <w:tcW w:w="8220" w:type="dxa"/>
          </w:tcPr>
          <w:p w:rsidR="00CF65C9" w:rsidRPr="00614CC6" w:rsidRDefault="00CF65C9"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F65C9" w:rsidRPr="00036EE3" w:rsidTr="00BE3063">
        <w:tc>
          <w:tcPr>
            <w:tcW w:w="1140" w:type="dxa"/>
          </w:tcPr>
          <w:p w:rsidR="00CF65C9" w:rsidRPr="00614CC6" w:rsidRDefault="00CF65C9" w:rsidP="00BE3063">
            <w:pPr>
              <w:spacing w:before="30" w:after="30"/>
              <w:ind w:left="57"/>
              <w:jc w:val="left"/>
              <w:rPr>
                <w:b/>
                <w:bCs/>
                <w:sz w:val="20"/>
                <w:lang w:val="en-US"/>
              </w:rPr>
            </w:pPr>
            <w:r w:rsidRPr="00614CC6">
              <w:rPr>
                <w:b/>
                <w:bCs/>
                <w:sz w:val="20"/>
                <w:lang w:val="en-US"/>
              </w:rPr>
              <w:t>BO</w:t>
            </w:r>
          </w:p>
        </w:tc>
        <w:tc>
          <w:tcPr>
            <w:tcW w:w="8220" w:type="dxa"/>
          </w:tcPr>
          <w:p w:rsidR="00CF65C9" w:rsidRPr="00614CC6" w:rsidRDefault="00CF65C9"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CF65C9" w:rsidRPr="009454F8" w:rsidTr="00BE3063">
        <w:tc>
          <w:tcPr>
            <w:tcW w:w="1140" w:type="dxa"/>
          </w:tcPr>
          <w:p w:rsidR="00CF65C9" w:rsidRPr="00614CC6" w:rsidRDefault="00CF65C9" w:rsidP="00BE3063">
            <w:pPr>
              <w:spacing w:before="30" w:after="30"/>
              <w:ind w:left="57"/>
              <w:jc w:val="left"/>
              <w:rPr>
                <w:b/>
                <w:bCs/>
                <w:sz w:val="20"/>
                <w:lang w:val="en-US"/>
              </w:rPr>
            </w:pPr>
            <w:r w:rsidRPr="00614CC6">
              <w:rPr>
                <w:b/>
                <w:bCs/>
                <w:sz w:val="20"/>
                <w:lang w:val="en-US"/>
              </w:rPr>
              <w:t>BR</w:t>
            </w:r>
          </w:p>
        </w:tc>
        <w:tc>
          <w:tcPr>
            <w:tcW w:w="8220" w:type="dxa"/>
          </w:tcPr>
          <w:p w:rsidR="00CF65C9" w:rsidRPr="00614CC6" w:rsidRDefault="00CF65C9"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F65C9" w:rsidRPr="00036EE3" w:rsidTr="00BE3063">
        <w:tc>
          <w:tcPr>
            <w:tcW w:w="1140" w:type="dxa"/>
          </w:tcPr>
          <w:p w:rsidR="00CF65C9" w:rsidRPr="00614CC6" w:rsidRDefault="00CF65C9" w:rsidP="00BE3063">
            <w:pPr>
              <w:spacing w:before="30" w:after="30"/>
              <w:ind w:left="57"/>
              <w:jc w:val="left"/>
              <w:rPr>
                <w:b/>
                <w:bCs/>
                <w:sz w:val="20"/>
                <w:lang w:val="en-US"/>
              </w:rPr>
            </w:pPr>
            <w:r w:rsidRPr="00614CC6">
              <w:rPr>
                <w:b/>
                <w:bCs/>
                <w:sz w:val="20"/>
                <w:lang w:val="en-US"/>
              </w:rPr>
              <w:t>BS</w:t>
            </w:r>
          </w:p>
        </w:tc>
        <w:tc>
          <w:tcPr>
            <w:tcW w:w="8220" w:type="dxa"/>
          </w:tcPr>
          <w:p w:rsidR="00CF65C9" w:rsidRPr="00614CC6" w:rsidRDefault="00CF65C9"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CF65C9" w:rsidRPr="00ED2695" w:rsidTr="00BE3063">
        <w:tc>
          <w:tcPr>
            <w:tcW w:w="1140" w:type="dxa"/>
            <w:shd w:val="clear" w:color="auto" w:fill="auto"/>
          </w:tcPr>
          <w:p w:rsidR="00CF65C9" w:rsidRPr="00614CC6" w:rsidRDefault="00CF65C9" w:rsidP="00BE3063">
            <w:pPr>
              <w:spacing w:before="30" w:after="30"/>
              <w:ind w:left="57"/>
              <w:jc w:val="left"/>
              <w:rPr>
                <w:b/>
                <w:bCs/>
                <w:sz w:val="20"/>
                <w:lang w:val="en-US"/>
              </w:rPr>
            </w:pPr>
            <w:r w:rsidRPr="00614CC6">
              <w:rPr>
                <w:b/>
                <w:bCs/>
                <w:sz w:val="20"/>
                <w:lang w:val="en-US"/>
              </w:rPr>
              <w:t>BT</w:t>
            </w:r>
          </w:p>
        </w:tc>
        <w:tc>
          <w:tcPr>
            <w:tcW w:w="8220" w:type="dxa"/>
            <w:shd w:val="clear" w:color="auto" w:fill="auto"/>
          </w:tcPr>
          <w:p w:rsidR="00CF65C9" w:rsidRPr="00614CC6" w:rsidRDefault="00CF65C9"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F65C9" w:rsidRPr="00036EE3" w:rsidTr="00BE3063">
        <w:tc>
          <w:tcPr>
            <w:tcW w:w="1140" w:type="dxa"/>
            <w:shd w:val="clear" w:color="auto" w:fill="auto"/>
          </w:tcPr>
          <w:p w:rsidR="00CF65C9" w:rsidRPr="00614CC6" w:rsidRDefault="00CF65C9" w:rsidP="00BE3063">
            <w:pPr>
              <w:spacing w:before="30" w:after="30"/>
              <w:ind w:left="57"/>
              <w:jc w:val="left"/>
              <w:rPr>
                <w:b/>
                <w:bCs/>
                <w:sz w:val="20"/>
                <w:lang w:val="fr-CH"/>
              </w:rPr>
            </w:pPr>
            <w:r w:rsidRPr="00614CC6">
              <w:rPr>
                <w:b/>
                <w:bCs/>
                <w:sz w:val="20"/>
                <w:lang w:val="fr-CH"/>
              </w:rPr>
              <w:t>F</w:t>
            </w:r>
          </w:p>
        </w:tc>
        <w:tc>
          <w:tcPr>
            <w:tcW w:w="8220" w:type="dxa"/>
            <w:shd w:val="clear" w:color="auto" w:fill="auto"/>
          </w:tcPr>
          <w:p w:rsidR="00CF65C9" w:rsidRPr="00614CC6" w:rsidRDefault="00CF65C9" w:rsidP="00BE30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CF65C9" w:rsidRPr="00592F9F" w:rsidTr="00BE3063">
        <w:tc>
          <w:tcPr>
            <w:tcW w:w="1140" w:type="dxa"/>
            <w:shd w:val="clear" w:color="auto" w:fill="F3F3F3"/>
          </w:tcPr>
          <w:p w:rsidR="00CF65C9" w:rsidRPr="00592F9F" w:rsidRDefault="00CF65C9" w:rsidP="00BE3063">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CF65C9" w:rsidRPr="00592F9F" w:rsidRDefault="00CF65C9" w:rsidP="00BE30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CF65C9" w:rsidRPr="00036EE3" w:rsidTr="00BE3063">
        <w:tc>
          <w:tcPr>
            <w:tcW w:w="1140" w:type="dxa"/>
          </w:tcPr>
          <w:p w:rsidR="00CF65C9" w:rsidRPr="00614CC6" w:rsidRDefault="00CF65C9" w:rsidP="00BE3063">
            <w:pPr>
              <w:spacing w:before="30" w:after="30"/>
              <w:ind w:left="57"/>
              <w:jc w:val="left"/>
              <w:rPr>
                <w:b/>
                <w:bCs/>
                <w:sz w:val="20"/>
                <w:lang w:val="fr-CH"/>
              </w:rPr>
            </w:pPr>
            <w:r w:rsidRPr="00614CC6">
              <w:rPr>
                <w:b/>
                <w:bCs/>
                <w:sz w:val="20"/>
                <w:lang w:val="fr-CH"/>
              </w:rPr>
              <w:t>P</w:t>
            </w:r>
          </w:p>
        </w:tc>
        <w:tc>
          <w:tcPr>
            <w:tcW w:w="8220" w:type="dxa"/>
          </w:tcPr>
          <w:p w:rsidR="00CF65C9" w:rsidRPr="00614CC6" w:rsidRDefault="00CF65C9" w:rsidP="00BE3063">
            <w:pPr>
              <w:spacing w:before="30" w:after="30"/>
              <w:jc w:val="left"/>
              <w:rPr>
                <w:sz w:val="20"/>
                <w:lang w:val="fr-CH"/>
              </w:rPr>
            </w:pPr>
            <w:r w:rsidRPr="00614CC6">
              <w:rPr>
                <w:sz w:val="20"/>
              </w:rPr>
              <w:t>Propagation des ondes radioélectriques</w:t>
            </w:r>
          </w:p>
        </w:tc>
      </w:tr>
      <w:tr w:rsidR="00CF65C9" w:rsidRPr="00036EE3" w:rsidTr="00BE3063">
        <w:tc>
          <w:tcPr>
            <w:tcW w:w="1140" w:type="dxa"/>
          </w:tcPr>
          <w:p w:rsidR="00CF65C9" w:rsidRPr="00614CC6" w:rsidRDefault="00CF65C9" w:rsidP="00BE3063">
            <w:pPr>
              <w:spacing w:before="30" w:after="30"/>
              <w:ind w:left="57"/>
              <w:jc w:val="left"/>
              <w:rPr>
                <w:b/>
                <w:bCs/>
                <w:sz w:val="20"/>
                <w:lang w:val="en-US"/>
              </w:rPr>
            </w:pPr>
            <w:r w:rsidRPr="00614CC6">
              <w:rPr>
                <w:b/>
                <w:bCs/>
                <w:sz w:val="20"/>
                <w:lang w:val="en-US"/>
              </w:rPr>
              <w:t>RA</w:t>
            </w:r>
          </w:p>
        </w:tc>
        <w:tc>
          <w:tcPr>
            <w:tcW w:w="8220" w:type="dxa"/>
          </w:tcPr>
          <w:p w:rsidR="00CF65C9" w:rsidRPr="00614CC6" w:rsidRDefault="00CF65C9" w:rsidP="00BE30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F65C9" w:rsidRPr="00036EE3" w:rsidTr="00BE3063">
        <w:tc>
          <w:tcPr>
            <w:tcW w:w="1140" w:type="dxa"/>
          </w:tcPr>
          <w:p w:rsidR="00CF65C9" w:rsidRPr="00614CC6" w:rsidRDefault="00CF65C9" w:rsidP="00BE3063">
            <w:pPr>
              <w:spacing w:before="30" w:after="30"/>
              <w:ind w:left="57"/>
              <w:jc w:val="left"/>
              <w:rPr>
                <w:b/>
                <w:bCs/>
                <w:sz w:val="20"/>
                <w:lang w:val="en-US"/>
              </w:rPr>
            </w:pPr>
            <w:r w:rsidRPr="00614CC6">
              <w:rPr>
                <w:b/>
                <w:bCs/>
                <w:sz w:val="20"/>
                <w:lang w:val="en-US"/>
              </w:rPr>
              <w:t>RS</w:t>
            </w:r>
          </w:p>
        </w:tc>
        <w:tc>
          <w:tcPr>
            <w:tcW w:w="8220" w:type="dxa"/>
          </w:tcPr>
          <w:p w:rsidR="00CF65C9" w:rsidRPr="00614CC6" w:rsidRDefault="00CF65C9" w:rsidP="00BE30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F65C9" w:rsidRPr="00036EE3" w:rsidTr="00BE3063">
        <w:tc>
          <w:tcPr>
            <w:tcW w:w="1140" w:type="dxa"/>
          </w:tcPr>
          <w:p w:rsidR="00CF65C9" w:rsidRPr="00614CC6" w:rsidRDefault="00CF65C9" w:rsidP="00BE3063">
            <w:pPr>
              <w:spacing w:before="30" w:after="30"/>
              <w:ind w:left="57"/>
              <w:jc w:val="left"/>
              <w:rPr>
                <w:b/>
                <w:bCs/>
                <w:sz w:val="20"/>
                <w:lang w:val="en-US"/>
              </w:rPr>
            </w:pPr>
            <w:r w:rsidRPr="00614CC6">
              <w:rPr>
                <w:b/>
                <w:bCs/>
                <w:sz w:val="20"/>
                <w:lang w:val="en-US"/>
              </w:rPr>
              <w:t>S</w:t>
            </w:r>
          </w:p>
        </w:tc>
        <w:tc>
          <w:tcPr>
            <w:tcW w:w="8220" w:type="dxa"/>
          </w:tcPr>
          <w:p w:rsidR="00CF65C9" w:rsidRPr="00614CC6" w:rsidRDefault="00CF65C9" w:rsidP="00BE3063">
            <w:pPr>
              <w:spacing w:before="30" w:after="30"/>
              <w:jc w:val="left"/>
              <w:rPr>
                <w:sz w:val="20"/>
                <w:lang w:val="en-US"/>
              </w:rPr>
            </w:pPr>
            <w:r w:rsidRPr="00614CC6">
              <w:rPr>
                <w:sz w:val="20"/>
              </w:rPr>
              <w:t>Service fixe par satellite</w:t>
            </w:r>
          </w:p>
        </w:tc>
      </w:tr>
      <w:tr w:rsidR="00CF65C9" w:rsidRPr="00036EE3" w:rsidTr="00BE3063">
        <w:tc>
          <w:tcPr>
            <w:tcW w:w="1140" w:type="dxa"/>
          </w:tcPr>
          <w:p w:rsidR="00CF65C9" w:rsidRPr="00614CC6" w:rsidRDefault="00CF65C9" w:rsidP="00BE3063">
            <w:pPr>
              <w:spacing w:before="30" w:after="30"/>
              <w:ind w:left="57"/>
              <w:jc w:val="left"/>
              <w:rPr>
                <w:b/>
                <w:bCs/>
                <w:sz w:val="20"/>
                <w:lang w:val="en-US"/>
              </w:rPr>
            </w:pPr>
            <w:r w:rsidRPr="00614CC6">
              <w:rPr>
                <w:b/>
                <w:bCs/>
                <w:sz w:val="20"/>
                <w:lang w:val="en-US"/>
              </w:rPr>
              <w:t>SA</w:t>
            </w:r>
          </w:p>
        </w:tc>
        <w:tc>
          <w:tcPr>
            <w:tcW w:w="8220" w:type="dxa"/>
          </w:tcPr>
          <w:p w:rsidR="00CF65C9" w:rsidRPr="00614CC6" w:rsidRDefault="00CF65C9" w:rsidP="00BE3063">
            <w:pPr>
              <w:spacing w:before="30" w:after="30"/>
              <w:jc w:val="left"/>
              <w:rPr>
                <w:sz w:val="20"/>
                <w:lang w:val="en-US"/>
              </w:rPr>
            </w:pPr>
            <w:r w:rsidRPr="00614CC6">
              <w:rPr>
                <w:sz w:val="20"/>
              </w:rPr>
              <w:t>Applications spatiales et météorologie</w:t>
            </w:r>
          </w:p>
        </w:tc>
      </w:tr>
      <w:tr w:rsidR="00CF65C9" w:rsidRPr="00614CC6" w:rsidTr="00BE3063">
        <w:tc>
          <w:tcPr>
            <w:tcW w:w="1140" w:type="dxa"/>
          </w:tcPr>
          <w:p w:rsidR="00CF65C9" w:rsidRPr="00614CC6" w:rsidRDefault="00CF65C9" w:rsidP="00BE3063">
            <w:pPr>
              <w:spacing w:before="30" w:after="30"/>
              <w:ind w:left="57"/>
              <w:jc w:val="left"/>
              <w:rPr>
                <w:b/>
                <w:bCs/>
                <w:sz w:val="20"/>
                <w:lang w:val="en-US"/>
              </w:rPr>
            </w:pPr>
            <w:r w:rsidRPr="00614CC6">
              <w:rPr>
                <w:b/>
                <w:bCs/>
                <w:sz w:val="20"/>
                <w:lang w:val="en-US"/>
              </w:rPr>
              <w:t>SF</w:t>
            </w:r>
          </w:p>
        </w:tc>
        <w:tc>
          <w:tcPr>
            <w:tcW w:w="8220" w:type="dxa"/>
          </w:tcPr>
          <w:p w:rsidR="00CF65C9" w:rsidRPr="00614CC6" w:rsidRDefault="00CF65C9" w:rsidP="00BE3063">
            <w:pPr>
              <w:spacing w:before="30" w:after="30"/>
              <w:jc w:val="left"/>
              <w:rPr>
                <w:sz w:val="20"/>
              </w:rPr>
            </w:pPr>
            <w:r w:rsidRPr="00614CC6">
              <w:rPr>
                <w:sz w:val="20"/>
              </w:rPr>
              <w:t>Partage des fréquences et coordination entre les systèmes du service fixe par satellite et du service fixe</w:t>
            </w:r>
          </w:p>
        </w:tc>
      </w:tr>
      <w:tr w:rsidR="00CF65C9" w:rsidRPr="00036EE3" w:rsidTr="00BE3063">
        <w:tc>
          <w:tcPr>
            <w:tcW w:w="1140" w:type="dxa"/>
            <w:shd w:val="clear" w:color="auto" w:fill="auto"/>
          </w:tcPr>
          <w:p w:rsidR="00CF65C9" w:rsidRPr="00592F9F" w:rsidRDefault="00CF65C9" w:rsidP="00BE3063">
            <w:pPr>
              <w:spacing w:before="30" w:after="30"/>
              <w:ind w:left="57"/>
              <w:jc w:val="left"/>
              <w:rPr>
                <w:b/>
                <w:bCs/>
                <w:sz w:val="20"/>
                <w:lang w:val="en-US"/>
              </w:rPr>
            </w:pPr>
            <w:r w:rsidRPr="00592F9F">
              <w:rPr>
                <w:b/>
                <w:bCs/>
                <w:sz w:val="20"/>
                <w:lang w:val="en-US"/>
              </w:rPr>
              <w:t>SM</w:t>
            </w:r>
          </w:p>
        </w:tc>
        <w:tc>
          <w:tcPr>
            <w:tcW w:w="8220" w:type="dxa"/>
            <w:shd w:val="clear" w:color="auto" w:fill="auto"/>
          </w:tcPr>
          <w:p w:rsidR="00CF65C9" w:rsidRPr="00592F9F" w:rsidRDefault="00CF65C9" w:rsidP="00BE3063">
            <w:pPr>
              <w:spacing w:before="30" w:after="30"/>
              <w:jc w:val="left"/>
              <w:rPr>
                <w:sz w:val="20"/>
                <w:lang w:val="en-US"/>
              </w:rPr>
            </w:pPr>
            <w:r w:rsidRPr="00592F9F">
              <w:rPr>
                <w:sz w:val="20"/>
              </w:rPr>
              <w:t>Gestion du spectre</w:t>
            </w:r>
          </w:p>
        </w:tc>
      </w:tr>
      <w:tr w:rsidR="00CF65C9" w:rsidRPr="00036EE3" w:rsidTr="00BE3063">
        <w:tc>
          <w:tcPr>
            <w:tcW w:w="1140" w:type="dxa"/>
          </w:tcPr>
          <w:p w:rsidR="00CF65C9" w:rsidRPr="00614CC6" w:rsidRDefault="00CF65C9" w:rsidP="00BE3063">
            <w:pPr>
              <w:spacing w:before="30" w:after="30"/>
              <w:ind w:left="57"/>
              <w:jc w:val="left"/>
              <w:rPr>
                <w:b/>
                <w:bCs/>
                <w:sz w:val="20"/>
                <w:lang w:val="en-US"/>
              </w:rPr>
            </w:pPr>
            <w:r w:rsidRPr="00614CC6">
              <w:rPr>
                <w:b/>
                <w:bCs/>
                <w:sz w:val="20"/>
                <w:lang w:val="en-US"/>
              </w:rPr>
              <w:t>SNG</w:t>
            </w:r>
          </w:p>
        </w:tc>
        <w:tc>
          <w:tcPr>
            <w:tcW w:w="8220" w:type="dxa"/>
          </w:tcPr>
          <w:p w:rsidR="00CF65C9" w:rsidRPr="00614CC6" w:rsidRDefault="00CF65C9" w:rsidP="00BE3063">
            <w:pPr>
              <w:spacing w:before="30" w:after="30"/>
              <w:jc w:val="left"/>
              <w:rPr>
                <w:sz w:val="20"/>
                <w:lang w:val="en-US"/>
              </w:rPr>
            </w:pPr>
            <w:r w:rsidRPr="00614CC6">
              <w:rPr>
                <w:sz w:val="20"/>
              </w:rPr>
              <w:t>Reportage d'actualités par satellite</w:t>
            </w:r>
          </w:p>
        </w:tc>
      </w:tr>
      <w:tr w:rsidR="00CF65C9" w:rsidRPr="00614CC6" w:rsidTr="00BE3063">
        <w:tc>
          <w:tcPr>
            <w:tcW w:w="1140" w:type="dxa"/>
          </w:tcPr>
          <w:p w:rsidR="00CF65C9" w:rsidRPr="00614CC6" w:rsidRDefault="00CF65C9" w:rsidP="00BE3063">
            <w:pPr>
              <w:spacing w:before="30" w:after="30"/>
              <w:ind w:left="57"/>
              <w:jc w:val="left"/>
              <w:rPr>
                <w:b/>
                <w:bCs/>
                <w:sz w:val="20"/>
                <w:lang w:val="en-US"/>
              </w:rPr>
            </w:pPr>
            <w:r w:rsidRPr="00614CC6">
              <w:rPr>
                <w:b/>
                <w:bCs/>
                <w:sz w:val="20"/>
                <w:lang w:val="en-US"/>
              </w:rPr>
              <w:t>TF</w:t>
            </w:r>
          </w:p>
        </w:tc>
        <w:tc>
          <w:tcPr>
            <w:tcW w:w="8220" w:type="dxa"/>
          </w:tcPr>
          <w:p w:rsidR="00CF65C9" w:rsidRPr="00614CC6" w:rsidRDefault="00CF65C9" w:rsidP="00BE3063">
            <w:pPr>
              <w:spacing w:before="30" w:after="30"/>
              <w:jc w:val="left"/>
              <w:rPr>
                <w:sz w:val="20"/>
              </w:rPr>
            </w:pPr>
            <w:r w:rsidRPr="00614CC6">
              <w:rPr>
                <w:sz w:val="20"/>
              </w:rPr>
              <w:t>Emissions de fréquences étalon et de signaux horaires</w:t>
            </w:r>
          </w:p>
        </w:tc>
      </w:tr>
      <w:tr w:rsidR="00CF65C9" w:rsidRPr="00036EE3" w:rsidTr="00BE3063">
        <w:tc>
          <w:tcPr>
            <w:tcW w:w="1140" w:type="dxa"/>
          </w:tcPr>
          <w:p w:rsidR="00CF65C9" w:rsidRPr="00614CC6" w:rsidRDefault="00CF65C9" w:rsidP="00BE3063">
            <w:pPr>
              <w:spacing w:before="30" w:after="30"/>
              <w:ind w:left="57"/>
              <w:jc w:val="left"/>
              <w:rPr>
                <w:b/>
                <w:bCs/>
                <w:sz w:val="20"/>
                <w:lang w:val="en-US"/>
              </w:rPr>
            </w:pPr>
            <w:r w:rsidRPr="00614CC6">
              <w:rPr>
                <w:b/>
                <w:bCs/>
                <w:sz w:val="20"/>
                <w:lang w:val="en-US"/>
              </w:rPr>
              <w:t>V</w:t>
            </w:r>
          </w:p>
        </w:tc>
        <w:tc>
          <w:tcPr>
            <w:tcW w:w="8220" w:type="dxa"/>
          </w:tcPr>
          <w:p w:rsidR="00CF65C9" w:rsidRPr="00614CC6" w:rsidRDefault="00CF65C9" w:rsidP="00BE3063">
            <w:pPr>
              <w:spacing w:before="30" w:after="140"/>
              <w:jc w:val="left"/>
              <w:rPr>
                <w:sz w:val="20"/>
                <w:lang w:val="en-US"/>
              </w:rPr>
            </w:pPr>
            <w:r w:rsidRPr="00614CC6">
              <w:rPr>
                <w:sz w:val="20"/>
              </w:rPr>
              <w:t>Vocabulaire et sujets associés</w:t>
            </w:r>
          </w:p>
        </w:tc>
      </w:tr>
    </w:tbl>
    <w:p w:rsidR="00CF65C9" w:rsidRPr="00036EE3" w:rsidRDefault="00CF65C9" w:rsidP="00CF65C9">
      <w:pPr>
        <w:spacing w:before="0"/>
        <w:jc w:val="center"/>
        <w:rPr>
          <w:sz w:val="20"/>
          <w:lang w:val="en-US"/>
        </w:rPr>
      </w:pPr>
    </w:p>
    <w:p w:rsidR="00CF65C9" w:rsidRPr="00036EE3" w:rsidRDefault="00CF65C9" w:rsidP="00CF65C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F65C9" w:rsidRPr="00756B4D" w:rsidTr="00BE3063">
        <w:tc>
          <w:tcPr>
            <w:tcW w:w="9360" w:type="dxa"/>
          </w:tcPr>
          <w:p w:rsidR="00CF65C9" w:rsidRPr="00756B4D" w:rsidRDefault="00CF65C9" w:rsidP="00BE306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F65C9" w:rsidRPr="00756B4D" w:rsidRDefault="00CF65C9" w:rsidP="00CF65C9">
      <w:pPr>
        <w:spacing w:before="0"/>
        <w:jc w:val="center"/>
        <w:rPr>
          <w:sz w:val="22"/>
        </w:rPr>
      </w:pPr>
    </w:p>
    <w:p w:rsidR="00CF65C9" w:rsidRPr="00614CC6" w:rsidRDefault="00CF65C9" w:rsidP="00CF65C9">
      <w:pPr>
        <w:spacing w:before="100"/>
        <w:jc w:val="right"/>
        <w:rPr>
          <w:i/>
          <w:iCs/>
          <w:sz w:val="20"/>
        </w:rPr>
      </w:pPr>
      <w:r w:rsidRPr="00614CC6">
        <w:rPr>
          <w:i/>
          <w:iCs/>
          <w:sz w:val="20"/>
        </w:rPr>
        <w:t>Publication électronique</w:t>
      </w:r>
    </w:p>
    <w:p w:rsidR="00CF65C9" w:rsidRPr="00614CC6" w:rsidRDefault="00CF65C9" w:rsidP="00CF65C9">
      <w:pPr>
        <w:spacing w:before="0"/>
        <w:jc w:val="right"/>
        <w:rPr>
          <w:sz w:val="20"/>
        </w:rPr>
      </w:pPr>
      <w:r w:rsidRPr="00614CC6">
        <w:rPr>
          <w:sz w:val="20"/>
        </w:rPr>
        <w:t>Genève, 20</w:t>
      </w:r>
      <w:r>
        <w:rPr>
          <w:sz w:val="20"/>
        </w:rPr>
        <w:t>15</w:t>
      </w:r>
    </w:p>
    <w:p w:rsidR="00CF65C9" w:rsidRPr="00614CC6" w:rsidRDefault="00CF65C9" w:rsidP="00CF65C9">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15</w:t>
      </w:r>
    </w:p>
    <w:p w:rsidR="00CF65C9" w:rsidRPr="00614CC6" w:rsidRDefault="00CF65C9" w:rsidP="00CF65C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F65C9" w:rsidRPr="00614CC6" w:rsidRDefault="00CF65C9" w:rsidP="00CF65C9">
      <w:pPr>
        <w:spacing w:before="160"/>
        <w:rPr>
          <w:i/>
          <w:sz w:val="20"/>
          <w:highlight w:val="yellow"/>
        </w:rPr>
        <w:sectPr w:rsidR="00CF65C9"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CF65C9" w:rsidRPr="00756B4D" w:rsidRDefault="00CF65C9" w:rsidP="00BC7390">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sidR="00BC7390">
        <w:rPr>
          <w:rStyle w:val="href"/>
        </w:rPr>
        <w:t>628-5</w:t>
      </w:r>
      <w:r w:rsidR="00BC7390">
        <w:rPr>
          <w:rStyle w:val="FootnoteReference"/>
        </w:rPr>
        <w:footnoteReference w:id="1"/>
      </w:r>
    </w:p>
    <w:p w:rsidR="00A6617B" w:rsidRDefault="00BC7390" w:rsidP="00BC7390">
      <w:pPr>
        <w:pStyle w:val="Rectitle"/>
        <w:rPr>
          <w:lang w:val="fr-CH"/>
        </w:rPr>
      </w:pPr>
      <w:r w:rsidRPr="00F21A2F">
        <w:rPr>
          <w:lang w:val="fr-CH"/>
        </w:rPr>
        <w:t>Caractéristiques techniques des répondeurs radar</w:t>
      </w:r>
      <w:r>
        <w:rPr>
          <w:lang w:val="fr-CH"/>
        </w:rPr>
        <w:t xml:space="preserve"> </w:t>
      </w:r>
      <w:r w:rsidR="00916FCC">
        <w:rPr>
          <w:lang w:val="fr-CH"/>
        </w:rPr>
        <w:br/>
      </w:r>
      <w:r w:rsidRPr="00F21A2F">
        <w:rPr>
          <w:lang w:val="fr-CH"/>
        </w:rPr>
        <w:t>de recherche et de sauvetage</w:t>
      </w:r>
    </w:p>
    <w:p w:rsidR="00916FCC" w:rsidRPr="00916FCC" w:rsidRDefault="00916FCC" w:rsidP="00916FCC">
      <w:pPr>
        <w:pStyle w:val="Recref"/>
        <w:rPr>
          <w:lang w:val="fr-CH"/>
        </w:rPr>
      </w:pPr>
    </w:p>
    <w:p w:rsidR="00BC7390" w:rsidRDefault="00BC7390" w:rsidP="00BC7390">
      <w:pPr>
        <w:pStyle w:val="Recdate"/>
        <w:rPr>
          <w:lang w:val="fr-CH"/>
        </w:rPr>
      </w:pPr>
      <w:r w:rsidRPr="004416CB">
        <w:rPr>
          <w:lang w:val="fr-CH"/>
        </w:rPr>
        <w:t>(1986-1990-1992-1994</w:t>
      </w:r>
      <w:r>
        <w:rPr>
          <w:lang w:val="fr-CH"/>
        </w:rPr>
        <w:t>-2006-2012</w:t>
      </w:r>
      <w:r w:rsidRPr="004416CB">
        <w:rPr>
          <w:lang w:val="fr-CH"/>
        </w:rPr>
        <w:t>)</w:t>
      </w:r>
    </w:p>
    <w:p w:rsidR="00BC7390" w:rsidRPr="00F21A2F" w:rsidRDefault="00BC7390" w:rsidP="00BC7390">
      <w:pPr>
        <w:pStyle w:val="HeadingSum"/>
        <w:rPr>
          <w:lang w:val="fr-CH"/>
        </w:rPr>
      </w:pPr>
      <w:r w:rsidRPr="00F21A2F">
        <w:rPr>
          <w:lang w:val="fr-CH"/>
        </w:rPr>
        <w:t xml:space="preserve">Domaine de compétence </w:t>
      </w:r>
    </w:p>
    <w:p w:rsidR="00BC7390" w:rsidRPr="009A4B21" w:rsidRDefault="00BC7390" w:rsidP="00916FCC">
      <w:pPr>
        <w:pStyle w:val="Summary"/>
        <w:rPr>
          <w:lang w:val="fr-CH"/>
        </w:rPr>
      </w:pPr>
      <w:r w:rsidRPr="009A4B21">
        <w:rPr>
          <w:lang w:val="fr-CH"/>
        </w:rPr>
        <w:t>La présente Recommandation contient les caractéristiques techniques des répondeurs radar de recherche et de sauvetage (balises SART). Une balise SART est employée pour localiser un navire ou un engin de sauvetage lorsqu'il est en détresse en mer.</w:t>
      </w:r>
    </w:p>
    <w:p w:rsidR="00BC7390" w:rsidRPr="009A4B21" w:rsidRDefault="00BC7390" w:rsidP="00916FCC">
      <w:pPr>
        <w:pStyle w:val="Summary"/>
        <w:rPr>
          <w:lang w:val="fr-CH"/>
        </w:rPr>
      </w:pPr>
      <w:r w:rsidRPr="009A4B21">
        <w:rPr>
          <w:lang w:val="fr-CH"/>
        </w:rPr>
        <w:t>Un navire ou un engin de sauvetage en mer peut utiliser une balise SART pour indiquer qu'il est en détresse. La balise SART peut être détectée par des radars fonctionnant dans la bande 9</w:t>
      </w:r>
      <w:r w:rsidR="009A4B21">
        <w:rPr>
          <w:lang w:val="fr-CH"/>
        </w:rPr>
        <w:t> </w:t>
      </w:r>
      <w:r w:rsidRPr="009A4B21">
        <w:rPr>
          <w:lang w:val="fr-CH"/>
        </w:rPr>
        <w:t>200-9</w:t>
      </w:r>
      <w:r w:rsidR="009A4B21">
        <w:rPr>
          <w:lang w:val="fr-CH"/>
        </w:rPr>
        <w:t> </w:t>
      </w:r>
      <w:r w:rsidRPr="009A4B21">
        <w:rPr>
          <w:lang w:val="fr-CH"/>
        </w:rPr>
        <w:t>500 MHz.</w:t>
      </w:r>
    </w:p>
    <w:p w:rsidR="00BC7390" w:rsidRPr="00A4058F" w:rsidRDefault="00BC7390" w:rsidP="00BC7390">
      <w:pPr>
        <w:pStyle w:val="Normalaftertitle"/>
      </w:pPr>
      <w:r w:rsidRPr="00A4058F">
        <w:t>L'Assemblée des radiocommunications de l'UIT,</w:t>
      </w:r>
    </w:p>
    <w:p w:rsidR="00BC7390" w:rsidRPr="00A4058F" w:rsidRDefault="00BC7390" w:rsidP="00BC7390">
      <w:pPr>
        <w:pStyle w:val="Call"/>
      </w:pPr>
      <w:r w:rsidRPr="00A4058F">
        <w:t>considérant</w:t>
      </w:r>
    </w:p>
    <w:p w:rsidR="00BC7390" w:rsidRDefault="00BC7390" w:rsidP="00F026BF">
      <w:r w:rsidRPr="007022F9">
        <w:rPr>
          <w:i/>
          <w:iCs/>
        </w:rPr>
        <w:t>a)</w:t>
      </w:r>
      <w:r>
        <w:tab/>
        <w:t>qu</w:t>
      </w:r>
      <w:r w:rsidR="00F026BF">
        <w:t>'</w:t>
      </w:r>
      <w:r>
        <w:t xml:space="preserve">il est nécessaire de localiser les navires ou les engins de sauvetage </w:t>
      </w:r>
      <w:r w:rsidRPr="00FF0630">
        <w:t>lorsqu'ils sont en détresse en mer</w:t>
      </w:r>
      <w:r>
        <w:t>;</w:t>
      </w:r>
    </w:p>
    <w:p w:rsidR="00BC7390" w:rsidRDefault="00BC7390" w:rsidP="00F026BF">
      <w:r w:rsidRPr="007022F9">
        <w:rPr>
          <w:i/>
          <w:iCs/>
        </w:rPr>
        <w:t>b)</w:t>
      </w:r>
      <w:r>
        <w:tab/>
        <w:t>que le Système mondial de détresse et de sécurité en mer (SMDSM) permet de satisfaire en partie ce besoin;</w:t>
      </w:r>
    </w:p>
    <w:p w:rsidR="00BC7390" w:rsidRDefault="00BC7390" w:rsidP="00D5561D">
      <w:r w:rsidRPr="007022F9">
        <w:rPr>
          <w:i/>
          <w:iCs/>
        </w:rPr>
        <w:t>c)</w:t>
      </w:r>
      <w:r w:rsidR="00F026BF">
        <w:tab/>
        <w:t>que l'</w:t>
      </w:r>
      <w:r>
        <w:t xml:space="preserve">emport à bord des navires de </w:t>
      </w:r>
      <w:r w:rsidR="00D5561D">
        <w:t>répondeurs</w:t>
      </w:r>
      <w:r w:rsidR="00F026BF">
        <w:t xml:space="preserve"> radar permet d'</w:t>
      </w:r>
      <w:r>
        <w:t>améliorer la localisation des navires et des engins de sauvetage</w:t>
      </w:r>
      <w:r w:rsidR="00F026BF">
        <w:t>;</w:t>
      </w:r>
    </w:p>
    <w:p w:rsidR="00BC7390" w:rsidRDefault="00BC7390" w:rsidP="00F026BF">
      <w:r w:rsidRPr="007022F9">
        <w:rPr>
          <w:i/>
          <w:iCs/>
        </w:rPr>
        <w:t>d)</w:t>
      </w:r>
      <w:r>
        <w:tab/>
        <w:t>qu</w:t>
      </w:r>
      <w:r w:rsidR="00F026BF">
        <w:t>'</w:t>
      </w:r>
      <w:r>
        <w:t xml:space="preserve">un système de localisation est plus efficace si le </w:t>
      </w:r>
      <w:r w:rsidR="00BB1014">
        <w:t xml:space="preserve">répondeur </w:t>
      </w:r>
      <w:r>
        <w:t>rad</w:t>
      </w:r>
      <w:r w:rsidR="00BB1014">
        <w:t>a</w:t>
      </w:r>
      <w:r>
        <w:t>r est conforme aux caractéris</w:t>
      </w:r>
      <w:r w:rsidR="00F026BF">
        <w:t>tiques techniques d'</w:t>
      </w:r>
      <w:r>
        <w:t>exploitation convenues au niveau international;</w:t>
      </w:r>
    </w:p>
    <w:p w:rsidR="00BC7390" w:rsidRDefault="00BC7390" w:rsidP="00D368D3">
      <w:r w:rsidRPr="007022F9">
        <w:rPr>
          <w:i/>
          <w:iCs/>
        </w:rPr>
        <w:t>e)</w:t>
      </w:r>
      <w:r>
        <w:tab/>
        <w:t>que l'Organisation maritime internationale (OMI) a adopté une Recommandation sur les normes de fonctionnement des répondeurs radar des engins de survie utilisés dans les opérations de recherche et de sauvetage</w:t>
      </w:r>
      <w:r w:rsidR="00D368D3">
        <w:t>,</w:t>
      </w:r>
    </w:p>
    <w:p w:rsidR="00BC7390" w:rsidRDefault="00BC7390" w:rsidP="00BC7390">
      <w:pPr>
        <w:pStyle w:val="Call"/>
      </w:pPr>
      <w:r>
        <w:t>reconnaissant</w:t>
      </w:r>
    </w:p>
    <w:p w:rsidR="00BC7390" w:rsidRDefault="00BC7390" w:rsidP="007022F9">
      <w:r>
        <w:t xml:space="preserve">que la </w:t>
      </w:r>
      <w:r w:rsidRPr="004F339D">
        <w:t>Convention internationale sur la sécurité de la vie en mer (SOLAS)</w:t>
      </w:r>
      <w:r>
        <w:t xml:space="preserve"> exige l’emport à bord des navires d’un ou de plusieurs </w:t>
      </w:r>
      <w:r w:rsidR="00D368D3">
        <w:t xml:space="preserve">répondeurs </w:t>
      </w:r>
      <w:r>
        <w:t>fonctionnant dans la bande 9</w:t>
      </w:r>
      <w:r w:rsidR="009A4B21">
        <w:t> </w:t>
      </w:r>
      <w:r>
        <w:t>200-9</w:t>
      </w:r>
      <w:r w:rsidR="009A4B21">
        <w:t> </w:t>
      </w:r>
      <w:r>
        <w:t>500 MHz</w:t>
      </w:r>
      <w:r w:rsidR="00D368D3">
        <w:t>,</w:t>
      </w:r>
    </w:p>
    <w:p w:rsidR="00BC7390" w:rsidRPr="00A4058F" w:rsidRDefault="00BC7390" w:rsidP="00BC7390">
      <w:pPr>
        <w:pStyle w:val="Call"/>
      </w:pPr>
      <w:r w:rsidRPr="00A4058F">
        <w:t>recommande</w:t>
      </w:r>
    </w:p>
    <w:p w:rsidR="00BC7390" w:rsidRDefault="00BC7390" w:rsidP="00BC7390">
      <w:r>
        <w:rPr>
          <w:b/>
        </w:rPr>
        <w:t>1</w:t>
      </w:r>
      <w:r>
        <w:tab/>
        <w:t>que les caractéristiques techniques des répondeurs radar de recherche et de sauvetage (SART) fonctionnant dans la gamme des fréquences 9 200-9 500 MHz soient conformes aux spécifications de l'Annexe 1;</w:t>
      </w:r>
    </w:p>
    <w:p w:rsidR="00BC7390" w:rsidRDefault="00BC7390" w:rsidP="00E90388">
      <w:r>
        <w:rPr>
          <w:b/>
        </w:rPr>
        <w:t>2</w:t>
      </w:r>
      <w:r>
        <w:tab/>
        <w:t xml:space="preserve">que la distance maximale de détection d'une balise SART de caractéristiques techniques conformes à l'Annexe 1 par un radar conforme à la </w:t>
      </w:r>
      <w:r w:rsidR="00E90388">
        <w:t>dernièr</w:t>
      </w:r>
      <w:r>
        <w:t>e version pertinente de la Résolution de l'OMI soit évaluée à partir des mesures de ses caractéristiques techniques conformément à la méthode théorique décrite en Annexe 2;</w:t>
      </w:r>
    </w:p>
    <w:p w:rsidR="00BC7390" w:rsidRPr="00F1178E" w:rsidRDefault="00BC7390" w:rsidP="0067552A">
      <w:pPr>
        <w:rPr>
          <w:lang w:val="fr-CH"/>
        </w:rPr>
      </w:pPr>
      <w:r>
        <w:rPr>
          <w:b/>
          <w:lang w:val="fr-CH"/>
        </w:rPr>
        <w:lastRenderedPageBreak/>
        <w:t>3</w:t>
      </w:r>
      <w:r>
        <w:rPr>
          <w:b/>
          <w:lang w:val="fr-CH"/>
        </w:rPr>
        <w:tab/>
      </w:r>
      <w:r>
        <w:rPr>
          <w:lang w:val="fr-CH"/>
        </w:rPr>
        <w:t>que les No</w:t>
      </w:r>
      <w:r w:rsidR="00DD265D">
        <w:rPr>
          <w:lang w:val="fr-CH"/>
        </w:rPr>
        <w:t xml:space="preserve">tes </w:t>
      </w:r>
      <w:r>
        <w:rPr>
          <w:lang w:val="fr-CH"/>
        </w:rPr>
        <w:t>ci-après soient considérées comme faisant partie de la présente Recommandation.</w:t>
      </w:r>
    </w:p>
    <w:p w:rsidR="00BC7390" w:rsidRDefault="00BC7390" w:rsidP="00F026BF">
      <w:r w:rsidRPr="00663CD3">
        <w:t>NOTE</w:t>
      </w:r>
      <w:r>
        <w:t> </w:t>
      </w:r>
      <w:r w:rsidRPr="00663CD3">
        <w:t>1</w:t>
      </w:r>
      <w:r>
        <w:t> – L'évaluation des affaiblissements de propagation du signal de balise SART provoqués par l'engin de survie et ses occupants figure en Annexe 3.</w:t>
      </w:r>
    </w:p>
    <w:p w:rsidR="00BC7390" w:rsidRPr="004416CB" w:rsidRDefault="00BC7390" w:rsidP="00F026BF">
      <w:pPr>
        <w:rPr>
          <w:lang w:val="fr-CH"/>
        </w:rPr>
      </w:pPr>
      <w:r w:rsidRPr="00084391">
        <w:rPr>
          <w:lang w:val="fr-CH"/>
        </w:rPr>
        <w:t>NOTE</w:t>
      </w:r>
      <w:r>
        <w:rPr>
          <w:lang w:val="fr-CH"/>
        </w:rPr>
        <w:t> </w:t>
      </w:r>
      <w:r w:rsidRPr="00084391">
        <w:rPr>
          <w:lang w:val="fr-CH"/>
        </w:rPr>
        <w:t>2</w:t>
      </w:r>
      <w:r>
        <w:rPr>
          <w:lang w:val="fr-CH"/>
        </w:rPr>
        <w:t> – Les caractéristiques techniques des balises SART à polarisation circulaire sont décrites à l'Annexe</w:t>
      </w:r>
      <w:r w:rsidR="00916FCC">
        <w:rPr>
          <w:lang w:val="fr-CH"/>
        </w:rPr>
        <w:t> </w:t>
      </w:r>
      <w:r>
        <w:rPr>
          <w:lang w:val="fr-CH"/>
        </w:rPr>
        <w:t>4.</w:t>
      </w:r>
    </w:p>
    <w:p w:rsidR="00BC7390" w:rsidRPr="00A4058F" w:rsidRDefault="00BC7390" w:rsidP="00DD3E74">
      <w:pPr>
        <w:pStyle w:val="AnnexNoTitle"/>
      </w:pPr>
      <w:r w:rsidRPr="00A4058F">
        <w:t>Annexe 1</w:t>
      </w:r>
      <w:r>
        <w:br/>
      </w:r>
      <w:r>
        <w:br/>
      </w:r>
      <w:r w:rsidRPr="00A4058F">
        <w:t>Caractéristiques techniques des répondeurs radar de recherche</w:t>
      </w:r>
      <w:r>
        <w:br/>
      </w:r>
      <w:r w:rsidRPr="00A4058F">
        <w:t>et de sauvetage</w:t>
      </w:r>
      <w:r>
        <w:t xml:space="preserve"> </w:t>
      </w:r>
      <w:r w:rsidRPr="00A4058F">
        <w:t>fonctionnant dans la bande 9 200-9 500 MHz</w:t>
      </w:r>
    </w:p>
    <w:p w:rsidR="00BC7390" w:rsidRDefault="00BC7390" w:rsidP="00F026BF">
      <w:pPr>
        <w:pStyle w:val="Normalaftertitle"/>
      </w:pPr>
      <w:r>
        <w:rPr>
          <w:b/>
        </w:rPr>
        <w:t>1</w:t>
      </w:r>
      <w:r>
        <w:tab/>
        <w:t>Fréquence: 9 200-9 500 MHz.</w:t>
      </w:r>
    </w:p>
    <w:p w:rsidR="00BC7390" w:rsidRDefault="00BC7390" w:rsidP="00BC7390">
      <w:r>
        <w:rPr>
          <w:b/>
        </w:rPr>
        <w:t>2</w:t>
      </w:r>
      <w:r>
        <w:tab/>
        <w:t>Polarisation: horizontale ou circulaire.</w:t>
      </w:r>
    </w:p>
    <w:p w:rsidR="00BC7390" w:rsidRDefault="00BC7390" w:rsidP="00BC7390">
      <w:r>
        <w:rPr>
          <w:b/>
        </w:rPr>
        <w:t>3</w:t>
      </w:r>
      <w:r>
        <w:tab/>
        <w:t xml:space="preserve">Rythme de balayage: 5 </w:t>
      </w:r>
      <w:r>
        <w:rPr>
          <w:rFonts w:ascii="Symbol" w:hAnsi="Symbol"/>
        </w:rPr>
        <w:t></w:t>
      </w:r>
      <w:r>
        <w:t>s pour 200 MHz, nominal.</w:t>
      </w:r>
    </w:p>
    <w:p w:rsidR="00BC7390" w:rsidRDefault="00BC7390" w:rsidP="00BC7390">
      <w:r>
        <w:rPr>
          <w:b/>
        </w:rPr>
        <w:t>4</w:t>
      </w:r>
      <w:r>
        <w:tab/>
        <w:t>Le signal de réponse devrait comporter 12 balayages.</w:t>
      </w:r>
    </w:p>
    <w:p w:rsidR="00BC7390" w:rsidRDefault="00BC7390" w:rsidP="00BC7390">
      <w:pPr>
        <w:tabs>
          <w:tab w:val="clear" w:pos="1985"/>
          <w:tab w:val="left" w:pos="2410"/>
          <w:tab w:val="left" w:pos="2977"/>
          <w:tab w:val="left" w:pos="3060"/>
        </w:tabs>
      </w:pPr>
      <w:r>
        <w:rPr>
          <w:b/>
        </w:rPr>
        <w:t>5</w:t>
      </w:r>
      <w:r>
        <w:tab/>
        <w:t>Forme de balayage:</w:t>
      </w:r>
      <w:r>
        <w:tab/>
        <w:t>en dents de scie,</w:t>
      </w:r>
    </w:p>
    <w:p w:rsidR="00BC7390" w:rsidRDefault="00BC7390" w:rsidP="00BC7390">
      <w:pPr>
        <w:pStyle w:val="enumlev1"/>
        <w:tabs>
          <w:tab w:val="clear" w:pos="1191"/>
          <w:tab w:val="clear" w:pos="1588"/>
          <w:tab w:val="clear" w:pos="1985"/>
          <w:tab w:val="left" w:pos="2977"/>
        </w:tabs>
      </w:pPr>
      <w:r>
        <w:tab/>
      </w:r>
      <w:r>
        <w:tab/>
        <w:t xml:space="preserve">temps de balayage-aller: 7,5 </w:t>
      </w:r>
      <w:r>
        <w:rPr>
          <w:rFonts w:ascii="Symbol" w:hAnsi="Symbol"/>
        </w:rPr>
        <w:t></w:t>
      </w:r>
      <w:r>
        <w:t xml:space="preserve">s </w:t>
      </w:r>
      <w:r>
        <w:rPr>
          <w:rFonts w:ascii="Symbol" w:hAnsi="Symbol"/>
        </w:rPr>
        <w:t></w:t>
      </w:r>
      <w:r>
        <w:t xml:space="preserve"> 1 </w:t>
      </w:r>
      <w:r>
        <w:rPr>
          <w:rFonts w:ascii="Symbol" w:hAnsi="Symbol"/>
        </w:rPr>
        <w:t></w:t>
      </w:r>
      <w:r>
        <w:t>s,</w:t>
      </w:r>
    </w:p>
    <w:p w:rsidR="00BC7390" w:rsidRDefault="00BC7390" w:rsidP="00BC7390">
      <w:pPr>
        <w:pStyle w:val="enumlev1"/>
        <w:tabs>
          <w:tab w:val="clear" w:pos="1191"/>
          <w:tab w:val="clear" w:pos="1588"/>
          <w:tab w:val="clear" w:pos="1985"/>
          <w:tab w:val="left" w:pos="2977"/>
        </w:tabs>
      </w:pPr>
      <w:r>
        <w:tab/>
      </w:r>
      <w:r>
        <w:tab/>
        <w:t xml:space="preserve">temps de balayage-retour: 0,4 </w:t>
      </w:r>
      <w:r>
        <w:rPr>
          <w:rFonts w:ascii="Symbol" w:hAnsi="Symbol"/>
        </w:rPr>
        <w:t></w:t>
      </w:r>
      <w:r>
        <w:t xml:space="preserve">s </w:t>
      </w:r>
      <w:r>
        <w:rPr>
          <w:rFonts w:ascii="Symbol" w:hAnsi="Symbol"/>
        </w:rPr>
        <w:t></w:t>
      </w:r>
      <w:r>
        <w:t xml:space="preserve"> 0,1 </w:t>
      </w:r>
      <w:r>
        <w:rPr>
          <w:rFonts w:ascii="Symbol" w:hAnsi="Symbol"/>
        </w:rPr>
        <w:t></w:t>
      </w:r>
      <w:r>
        <w:t>s.</w:t>
      </w:r>
    </w:p>
    <w:p w:rsidR="00BC7390" w:rsidRDefault="00BC7390" w:rsidP="00BC7390">
      <w:pPr>
        <w:pStyle w:val="enumlev1"/>
        <w:tabs>
          <w:tab w:val="clear" w:pos="1191"/>
          <w:tab w:val="clear" w:pos="1588"/>
          <w:tab w:val="clear" w:pos="1985"/>
          <w:tab w:val="left" w:pos="2977"/>
        </w:tabs>
        <w:ind w:left="0" w:firstLine="794"/>
      </w:pPr>
      <w:r>
        <w:tab/>
        <w:t>La réponse devrait commencer par un balayage-retour.</w:t>
      </w:r>
    </w:p>
    <w:p w:rsidR="00BC7390" w:rsidRDefault="00BC7390" w:rsidP="00BC7390">
      <w:r>
        <w:rPr>
          <w:b/>
        </w:rPr>
        <w:t>6</w:t>
      </w:r>
      <w:r>
        <w:tab/>
        <w:t xml:space="preserve">Emission d'impulsions: 100 </w:t>
      </w:r>
      <w:r>
        <w:rPr>
          <w:rFonts w:ascii="Symbol" w:hAnsi="Symbol"/>
        </w:rPr>
        <w:t></w:t>
      </w:r>
      <w:r>
        <w:t>s nominal.</w:t>
      </w:r>
    </w:p>
    <w:p w:rsidR="00BC7390" w:rsidRDefault="00BC7390" w:rsidP="00BC7390">
      <w:r>
        <w:rPr>
          <w:b/>
        </w:rPr>
        <w:t>7</w:t>
      </w:r>
      <w:r>
        <w:tab/>
        <w:t xml:space="preserve">p.i.r.e.: pas inférieure à 400 mW (équivalant à </w:t>
      </w:r>
      <w:r>
        <w:rPr>
          <w:rFonts w:ascii="Symbol" w:hAnsi="Symbol"/>
        </w:rPr>
        <w:t></w:t>
      </w:r>
      <w:r>
        <w:t>26 dBm).</w:t>
      </w:r>
    </w:p>
    <w:p w:rsidR="00BC7390" w:rsidRDefault="00BC7390" w:rsidP="00BC7390">
      <w:pPr>
        <w:ind w:left="794" w:hanging="794"/>
      </w:pPr>
      <w:r>
        <w:rPr>
          <w:b/>
        </w:rPr>
        <w:t>8</w:t>
      </w:r>
      <w:r>
        <w:tab/>
        <w:t>Sensibilité efficace du récepteur: meilleure que –50 dBm (équivalant à 0,1 mW/m</w:t>
      </w:r>
      <w:r>
        <w:rPr>
          <w:position w:val="6"/>
          <w:sz w:val="16"/>
        </w:rPr>
        <w:t>2</w:t>
      </w:r>
      <w:r>
        <w:t>) (voir la Note 1).</w:t>
      </w:r>
    </w:p>
    <w:p w:rsidR="00BC7390" w:rsidRDefault="00BC7390" w:rsidP="00BC7390">
      <w:pPr>
        <w:tabs>
          <w:tab w:val="clear" w:pos="1191"/>
          <w:tab w:val="clear" w:pos="1588"/>
          <w:tab w:val="clear" w:pos="1985"/>
          <w:tab w:val="left" w:pos="3629"/>
        </w:tabs>
        <w:ind w:left="3629" w:hanging="3629"/>
      </w:pPr>
      <w:r>
        <w:rPr>
          <w:b/>
        </w:rPr>
        <w:t>9</w:t>
      </w:r>
      <w:r>
        <w:tab/>
        <w:t>Durée de fonctionnement:</w:t>
      </w:r>
      <w:r>
        <w:tab/>
        <w:t>96 h en position d'attente suivies de 8 h de transmission du répondeur interrogé continuellement avec une fréquence de répétition d'impulsion de 1 kHz.</w:t>
      </w:r>
    </w:p>
    <w:p w:rsidR="00BC7390" w:rsidRDefault="00BC7390" w:rsidP="00BC7390">
      <w:pPr>
        <w:tabs>
          <w:tab w:val="clear" w:pos="1191"/>
          <w:tab w:val="clear" w:pos="1588"/>
          <w:tab w:val="clear" w:pos="1985"/>
          <w:tab w:val="left" w:pos="4536"/>
        </w:tabs>
        <w:ind w:left="4536" w:hanging="4536"/>
        <w:jc w:val="left"/>
      </w:pPr>
      <w:r>
        <w:rPr>
          <w:b/>
        </w:rPr>
        <w:t>10</w:t>
      </w:r>
      <w:r>
        <w:tab/>
        <w:t>Gamme de températures: ambiantes:</w:t>
      </w:r>
      <w:r>
        <w:tab/>
        <w:t>de –20</w:t>
      </w:r>
      <w:r>
        <w:rPr>
          <w:rFonts w:ascii="Tms Rmn" w:hAnsi="Tms Rmn"/>
          <w:sz w:val="12"/>
        </w:rPr>
        <w:t> </w:t>
      </w:r>
      <w:r>
        <w:t xml:space="preserve">°C à </w:t>
      </w:r>
      <w:r>
        <w:rPr>
          <w:rFonts w:ascii="Symbol" w:hAnsi="Symbol"/>
        </w:rPr>
        <w:t></w:t>
      </w:r>
      <w:r>
        <w:t>55</w:t>
      </w:r>
      <w:r>
        <w:rPr>
          <w:rFonts w:ascii="Tms Rmn" w:hAnsi="Tms Rmn"/>
          <w:sz w:val="12"/>
        </w:rPr>
        <w:t> </w:t>
      </w:r>
      <w:r>
        <w:t>°C,</w:t>
      </w:r>
      <w:r>
        <w:br/>
        <w:t>en stockage à bord: de –30</w:t>
      </w:r>
      <w:r>
        <w:rPr>
          <w:rFonts w:ascii="Tms Rmn" w:hAnsi="Tms Rmn"/>
          <w:sz w:val="12"/>
        </w:rPr>
        <w:t> </w:t>
      </w:r>
      <w:r>
        <w:t>°C à </w:t>
      </w:r>
      <w:r>
        <w:rPr>
          <w:rFonts w:ascii="Symbol" w:hAnsi="Symbol"/>
        </w:rPr>
        <w:t></w:t>
      </w:r>
      <w:r>
        <w:t>65</w:t>
      </w:r>
      <w:r>
        <w:rPr>
          <w:rFonts w:ascii="Tms Rmn" w:hAnsi="Tms Rmn"/>
          <w:sz w:val="12"/>
        </w:rPr>
        <w:t> </w:t>
      </w:r>
      <w:r>
        <w:t>°C.</w:t>
      </w:r>
    </w:p>
    <w:p w:rsidR="00BC7390" w:rsidRDefault="00BC7390" w:rsidP="00BC7390">
      <w:r>
        <w:rPr>
          <w:b/>
        </w:rPr>
        <w:t>11</w:t>
      </w:r>
      <w:r>
        <w:tab/>
        <w:t xml:space="preserve">Temps de récupération après excitation: 10 </w:t>
      </w:r>
      <w:r>
        <w:rPr>
          <w:rFonts w:ascii="Symbol" w:hAnsi="Symbol"/>
        </w:rPr>
        <w:t></w:t>
      </w:r>
      <w:r>
        <w:t>s ou moins.</w:t>
      </w:r>
    </w:p>
    <w:p w:rsidR="00BC7390" w:rsidRDefault="00BC7390" w:rsidP="00BC7390">
      <w:r>
        <w:rPr>
          <w:b/>
        </w:rPr>
        <w:t>12</w:t>
      </w:r>
      <w:r>
        <w:tab/>
        <w:t xml:space="preserve">Hauteur effective de l'antenne: </w:t>
      </w:r>
      <w:r>
        <w:rPr>
          <w:rFonts w:ascii="Symbol" w:hAnsi="Symbol"/>
        </w:rPr>
        <w:t></w:t>
      </w:r>
      <w:r>
        <w:t>1 m (voir la Note 2).</w:t>
      </w:r>
    </w:p>
    <w:p w:rsidR="00BC7390" w:rsidRDefault="00BC7390" w:rsidP="00BC7390">
      <w:r>
        <w:rPr>
          <w:b/>
        </w:rPr>
        <w:t>13</w:t>
      </w:r>
      <w:r>
        <w:tab/>
        <w:t xml:space="preserve">Intervalle entre la réception du signal radar et le début de l'émission: 0,5 </w:t>
      </w:r>
      <w:r>
        <w:rPr>
          <w:rFonts w:ascii="Symbol" w:hAnsi="Symbol"/>
        </w:rPr>
        <w:t></w:t>
      </w:r>
      <w:r>
        <w:t>s ou moins.</w:t>
      </w:r>
    </w:p>
    <w:p w:rsidR="00BC7390" w:rsidRDefault="00BC7390" w:rsidP="00BC7390">
      <w:pPr>
        <w:ind w:left="5040" w:hanging="5040"/>
      </w:pPr>
      <w:r>
        <w:rPr>
          <w:b/>
        </w:rPr>
        <w:t>14</w:t>
      </w:r>
      <w:r>
        <w:tab/>
        <w:t>Largeur verticale du faisceau de l'antenne:</w:t>
      </w:r>
      <w:r>
        <w:tab/>
        <w:t xml:space="preserve">au moins </w:t>
      </w:r>
      <w:r>
        <w:rPr>
          <w:rFonts w:ascii="Symbol" w:hAnsi="Symbol"/>
        </w:rPr>
        <w:t></w:t>
      </w:r>
      <w:r>
        <w:t xml:space="preserve"> 12,5° par rapport au plan horizontal du répondeur radar.</w:t>
      </w:r>
    </w:p>
    <w:p w:rsidR="00BC7390" w:rsidRDefault="00BC7390" w:rsidP="00BC7390">
      <w:r>
        <w:rPr>
          <w:b/>
        </w:rPr>
        <w:t>15</w:t>
      </w:r>
      <w:r>
        <w:tab/>
        <w:t xml:space="preserve">Largeur en azimut du faisceau de l'antenne: équidirectif à </w:t>
      </w:r>
      <w:r>
        <w:rPr>
          <w:rFonts w:ascii="Symbol" w:hAnsi="Symbol"/>
        </w:rPr>
        <w:t></w:t>
      </w:r>
      <w:r>
        <w:t xml:space="preserve"> 2 dB.</w:t>
      </w:r>
    </w:p>
    <w:p w:rsidR="00BC7390" w:rsidRDefault="00BC7390" w:rsidP="0067552A">
      <w:pPr>
        <w:pStyle w:val="Note"/>
      </w:pPr>
      <w:r w:rsidRPr="00663CD3">
        <w:t>NOTE</w:t>
      </w:r>
      <w:r>
        <w:t> </w:t>
      </w:r>
      <w:r w:rsidRPr="00663CD3">
        <w:t>1</w:t>
      </w:r>
      <w:r>
        <w:t> – La sensibilité effective du récepteur inclut le gain de l'antenne.</w:t>
      </w:r>
    </w:p>
    <w:p w:rsidR="00BC7390" w:rsidRDefault="00BC7390" w:rsidP="0067552A">
      <w:pPr>
        <w:pStyle w:val="Note"/>
        <w:ind w:left="567" w:hanging="567"/>
      </w:pPr>
      <w:r>
        <w:t>–</w:t>
      </w:r>
      <w:r>
        <w:tab/>
        <w:t>La sensibilité effective du récepteur meilleure que –50 dBm s'applique aux impulsions du radar interrogateur (moyennes et longues) supérieures à 400 ns.</w:t>
      </w:r>
    </w:p>
    <w:p w:rsidR="00BC7390" w:rsidRDefault="00BC7390" w:rsidP="0067552A">
      <w:pPr>
        <w:pStyle w:val="Note"/>
        <w:ind w:left="567" w:hanging="567"/>
      </w:pPr>
      <w:r>
        <w:t>–</w:t>
      </w:r>
      <w:r>
        <w:tab/>
        <w:t>La sensibilité effective du récepteur meilleure que –37 dBm s'applique aux impulsions du radar interrogateur (courtes) inférieures ou égales à 100 ns.</w:t>
      </w:r>
    </w:p>
    <w:p w:rsidR="00BC7390" w:rsidRDefault="00BC7390" w:rsidP="0067552A">
      <w:pPr>
        <w:pStyle w:val="Note"/>
        <w:ind w:left="567" w:hanging="567"/>
      </w:pPr>
      <w:r>
        <w:lastRenderedPageBreak/>
        <w:t>–</w:t>
      </w:r>
      <w:r>
        <w:tab/>
        <w:t>Le récepteur devrait pouvoir fonctionner correctement lorsqu'il est soumis au champ rayonné (28 dB(W/m</w:t>
      </w:r>
      <w:r>
        <w:rPr>
          <w:position w:val="6"/>
          <w:sz w:val="16"/>
        </w:rPr>
        <w:t>2</w:t>
      </w:r>
      <w:r>
        <w:t>)) émis par un radar de navire conformément à la Résolution MSC.192(79) de l'OMI, à toute distance supérieure à 20 m.</w:t>
      </w:r>
    </w:p>
    <w:p w:rsidR="00BC7390" w:rsidRDefault="00BC7390" w:rsidP="0067552A">
      <w:pPr>
        <w:pStyle w:val="Note"/>
      </w:pPr>
      <w:r w:rsidRPr="00250B8B">
        <w:t>NOTE</w:t>
      </w:r>
      <w:r>
        <w:t> </w:t>
      </w:r>
      <w:r w:rsidRPr="00250B8B">
        <w:t>2</w:t>
      </w:r>
      <w:r>
        <w:t> – Cette hauteur effective d'antenne s'applique aux équipements couverts par les Règles III/6.2.2 et IV/7.1.3 des amendements de 1988 à la Convention SOLAS de 1974.</w:t>
      </w:r>
    </w:p>
    <w:p w:rsidR="00BC7390" w:rsidRPr="00A4058F" w:rsidRDefault="00F026BF" w:rsidP="00DD3E74">
      <w:pPr>
        <w:pStyle w:val="AnnexNoTitle"/>
      </w:pPr>
      <w:r>
        <w:t xml:space="preserve">Annexe </w:t>
      </w:r>
      <w:r w:rsidR="00BC7390" w:rsidRPr="00A4058F">
        <w:t>2</w:t>
      </w:r>
    </w:p>
    <w:p w:rsidR="00BC7390" w:rsidRPr="00A4058F" w:rsidRDefault="00BC7390" w:rsidP="00BC7390">
      <w:pPr>
        <w:pStyle w:val="Normalaftertitle"/>
      </w:pPr>
      <w:r w:rsidRPr="00A4058F">
        <w:t>La distance maximale de détection d'une balise SART rayonnant une p.i.r.e. donnée ou mesurée et associée à un récepteur de sensibilité efficace donnée ou mesurée déployé avec un radar conforme à la Résolution </w:t>
      </w:r>
      <w:r>
        <w:t>MSC.192(79)</w:t>
      </w:r>
      <w:r w:rsidRPr="00A4058F">
        <w:t xml:space="preserve"> de l'OMI peut être évaluée au moyen de la Fig. 1.</w:t>
      </w:r>
    </w:p>
    <w:p w:rsidR="00BC7390" w:rsidRDefault="00BC7390" w:rsidP="00BC7390">
      <w:r>
        <w:t>Les paramètres principaux du radar sont:</w:t>
      </w:r>
    </w:p>
    <w:p w:rsidR="00BC7390" w:rsidRDefault="00BC7390" w:rsidP="00BC7390">
      <w:pPr>
        <w:pStyle w:val="enumlev1"/>
      </w:pPr>
      <w:r>
        <w:t>–</w:t>
      </w:r>
      <w:r>
        <w:tab/>
        <w:t>puissance émise: 25 kW,</w:t>
      </w:r>
    </w:p>
    <w:p w:rsidR="00BC7390" w:rsidRDefault="00BC7390" w:rsidP="00BC7390">
      <w:pPr>
        <w:pStyle w:val="enumlev1"/>
      </w:pPr>
      <w:r>
        <w:t>–</w:t>
      </w:r>
      <w:r>
        <w:tab/>
        <w:t>gain de l'antenne: 30 dBi,</w:t>
      </w:r>
    </w:p>
    <w:p w:rsidR="00BC7390" w:rsidRDefault="00BC7390" w:rsidP="00BC7390">
      <w:pPr>
        <w:pStyle w:val="enumlev1"/>
      </w:pPr>
      <w:r>
        <w:t>–</w:t>
      </w:r>
      <w:r>
        <w:tab/>
        <w:t>hauteur de l'antenne: 15 m,</w:t>
      </w:r>
    </w:p>
    <w:p w:rsidR="00BC7390" w:rsidRDefault="00BC7390" w:rsidP="00BC7390">
      <w:pPr>
        <w:pStyle w:val="enumlev1"/>
      </w:pPr>
      <w:r>
        <w:t>–</w:t>
      </w:r>
      <w:r>
        <w:tab/>
        <w:t>sensibilité du récepteur: –94 dB.</w:t>
      </w:r>
    </w:p>
    <w:p w:rsidR="00BC7390" w:rsidRDefault="00BC7390" w:rsidP="00BC7390">
      <w:r>
        <w:t>La Fig. 1 représente les courbes de propagation des signaux des balises SART dans des conditions de mer assez calme (0,3 m de hauteur des vagues) pour des hauteurs d'antenne de 0,5; 1 et 1,5 m. Par mer plus agitée, le coefficient de réflexion de la mer diminue et les courbes tendent vers celles de propagation en espace libre, qui est fonction de l'indice de réfraction de l'atmosphère. Pour une balise SART à 1 m de hauteur, la distance de détection maximale est au moins de 5 MN.</w:t>
      </w:r>
    </w:p>
    <w:p w:rsidR="00BC7390" w:rsidRDefault="00BC7390" w:rsidP="00BC7390">
      <w:r>
        <w:t>Le mode d'emploi de la Fig. 1 est:</w:t>
      </w:r>
    </w:p>
    <w:p w:rsidR="00BC7390" w:rsidRDefault="00BC7390" w:rsidP="00BC7390">
      <w:pPr>
        <w:pStyle w:val="enumlev1"/>
      </w:pPr>
      <w:r>
        <w:t>–</w:t>
      </w:r>
      <w:r>
        <w:tab/>
        <w:t>calculer la puissance reçue par le radar (</w:t>
      </w:r>
      <w:r w:rsidRPr="00EE5926">
        <w:rPr>
          <w:i/>
        </w:rPr>
        <w:t>P</w:t>
      </w:r>
      <w:r w:rsidRPr="00EE5926">
        <w:rPr>
          <w:i/>
          <w:szCs w:val="24"/>
          <w:vertAlign w:val="subscript"/>
        </w:rPr>
        <w:t>r</w:t>
      </w:r>
      <w:r>
        <w:t>) à 1 MN par la formule:</w:t>
      </w:r>
    </w:p>
    <w:p w:rsidR="00BC7390" w:rsidRDefault="00BC7390" w:rsidP="00BC7390">
      <w:pPr>
        <w:pStyle w:val="enumlev2"/>
        <w:ind w:firstLine="0"/>
        <w:jc w:val="left"/>
      </w:pPr>
      <w:r>
        <w:rPr>
          <w:i/>
        </w:rPr>
        <w:t>P</w:t>
      </w:r>
      <w:r>
        <w:rPr>
          <w:i/>
          <w:position w:val="-4"/>
          <w:sz w:val="16"/>
        </w:rPr>
        <w:t>r</w:t>
      </w:r>
      <w:r>
        <w:rPr>
          <w:position w:val="-4"/>
          <w:sz w:val="16"/>
        </w:rPr>
        <w:t xml:space="preserve">  </w:t>
      </w:r>
      <w:r>
        <w:t>=</w:t>
      </w:r>
      <w:r w:rsidR="006D04F6">
        <w:t xml:space="preserve"> </w:t>
      </w:r>
      <w:r>
        <w:t xml:space="preserve">p.i.r.e. SART </w:t>
      </w:r>
      <w:r>
        <w:rPr>
          <w:rFonts w:ascii="Symbol" w:hAnsi="Symbol"/>
        </w:rPr>
        <w:t></w:t>
      </w:r>
      <w:r>
        <w:t xml:space="preserve"> gain de l'antenne </w:t>
      </w:r>
      <w:r>
        <w:rPr>
          <w:rFonts w:ascii="Symbol" w:hAnsi="Symbol"/>
        </w:rPr>
        <w:t></w:t>
      </w:r>
      <w:r>
        <w:t xml:space="preserve"> (</w:t>
      </w:r>
      <w:r>
        <w:sym w:font="Symbol" w:char="F06C"/>
      </w:r>
      <w:r>
        <w:t xml:space="preserve">/4 </w:t>
      </w:r>
      <w:r>
        <w:rPr>
          <w:rFonts w:ascii="Symbol" w:hAnsi="Symbol"/>
        </w:rPr>
        <w:t></w:t>
      </w:r>
      <w:r>
        <w:t xml:space="preserve"> </w:t>
      </w:r>
      <w:r>
        <w:rPr>
          <w:i/>
        </w:rPr>
        <w:t>R</w:t>
      </w:r>
      <w:r>
        <w:t>)</w:t>
      </w:r>
      <w:r>
        <w:rPr>
          <w:position w:val="6"/>
          <w:sz w:val="16"/>
        </w:rPr>
        <w:t>2</w:t>
      </w:r>
      <w:r>
        <w:rPr>
          <w:position w:val="6"/>
          <w:sz w:val="18"/>
        </w:rPr>
        <w:br/>
      </w:r>
      <w:r>
        <w:t xml:space="preserve">ou </w:t>
      </w:r>
      <w:r>
        <w:rPr>
          <w:i/>
        </w:rPr>
        <w:t>P</w:t>
      </w:r>
      <w:r>
        <w:rPr>
          <w:i/>
          <w:position w:val="-4"/>
          <w:sz w:val="16"/>
        </w:rPr>
        <w:t xml:space="preserve">r </w:t>
      </w:r>
      <w:r>
        <w:t>(dBm)</w:t>
      </w:r>
      <w:r w:rsidR="006D04F6">
        <w:t xml:space="preserve"> </w:t>
      </w:r>
      <w:r>
        <w:t>=</w:t>
      </w:r>
      <w:r w:rsidR="006D04F6">
        <w:t xml:space="preserve"> </w:t>
      </w:r>
      <w:r>
        <w:t>p.i.r.e. SART (dBm) – 87 dB;</w:t>
      </w:r>
    </w:p>
    <w:p w:rsidR="00BC7390" w:rsidRDefault="00BC7390" w:rsidP="00BC7390">
      <w:pPr>
        <w:pStyle w:val="enumlev1"/>
      </w:pPr>
      <w:r>
        <w:t>–</w:t>
      </w:r>
      <w:r>
        <w:tab/>
        <w:t xml:space="preserve">marquer la valeur </w:t>
      </w:r>
      <w:r>
        <w:rPr>
          <w:i/>
        </w:rPr>
        <w:t>P</w:t>
      </w:r>
      <w:r>
        <w:rPr>
          <w:i/>
          <w:position w:val="-4"/>
          <w:sz w:val="16"/>
        </w:rPr>
        <w:t>r</w:t>
      </w:r>
      <w:r>
        <w:rPr>
          <w:position w:val="-4"/>
          <w:sz w:val="16"/>
        </w:rPr>
        <w:t xml:space="preserve"> </w:t>
      </w:r>
      <w:r>
        <w:t>calculée au point A sur l'échelle de la puissance reçue par le radar et compléter l'échelle (10 dB par division);</w:t>
      </w:r>
    </w:p>
    <w:p w:rsidR="00BC7390" w:rsidRDefault="00BC7390" w:rsidP="00BC7390">
      <w:pPr>
        <w:pStyle w:val="enumlev1"/>
      </w:pPr>
      <w:r>
        <w:t>–</w:t>
      </w:r>
      <w:r>
        <w:tab/>
        <w:t>marquer le point correspondant à la sensibilité effective du récepteur (ERS) de la balise SART sur l'échelle de la puissance reçue par le répondeur, tracer la parallèle à la droite des abscisses en ce point et lire au point d'intersection avec la courbe de propagation appropriée la distance maximale de détection du radar vers la balise SART;</w:t>
      </w:r>
    </w:p>
    <w:p w:rsidR="00BC7390" w:rsidRDefault="00BC7390" w:rsidP="00BC7390">
      <w:pPr>
        <w:pStyle w:val="enumlev1"/>
      </w:pPr>
      <w:r>
        <w:t>–</w:t>
      </w:r>
      <w:r>
        <w:tab/>
        <w:t>tracer la droite passant par le point correspondant au niveau de –94 dBm sur l'échelle de la puissance reçue par le radar et lire au point d'intersection avec la courbe de propagation appropriée la distance maximale de détection de la balise SART vers le radar.</w:t>
      </w:r>
    </w:p>
    <w:p w:rsidR="009C6AEC" w:rsidRDefault="00BC7390" w:rsidP="009C6AEC">
      <w:r>
        <w:t>La plus petite de ces valeurs est la valeur de la distance maximale de détection de la balise SART, qui doit être au moins de 5 MN conformément à la Résolution A.802(19) de l'OMI.</w:t>
      </w:r>
    </w:p>
    <w:p w:rsidR="00BC7390" w:rsidRDefault="009C6AEC" w:rsidP="007022F9">
      <w:pPr>
        <w:pStyle w:val="FigureNo"/>
      </w:pPr>
      <w:r>
        <w:lastRenderedPageBreak/>
        <w:t>figure 1</w:t>
      </w:r>
    </w:p>
    <w:p w:rsidR="009C6AEC" w:rsidRPr="009C6AEC" w:rsidRDefault="009C6AEC" w:rsidP="00F026BF">
      <w:pPr>
        <w:pStyle w:val="Figuretitle"/>
      </w:pPr>
      <w:r>
        <w:t>Courbes de propagation pour déterminer la distance maximale de détection</w:t>
      </w:r>
    </w:p>
    <w:p w:rsidR="0067552A" w:rsidRDefault="00E43FF2" w:rsidP="0067552A">
      <w:pPr>
        <w:pStyle w:val="FigureNo"/>
      </w:pPr>
      <w:r>
        <w:object w:dxaOrig="6048" w:dyaOrig="8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469.5pt" o:ole="">
            <v:imagedata r:id="rId12" o:title=""/>
          </v:shape>
          <o:OLEObject Type="Embed" ProgID="CorelDraw.Graphic.16" ShapeID="_x0000_i1025" DrawAspect="Content" ObjectID="_1496143690" r:id="rId13"/>
        </w:object>
      </w:r>
    </w:p>
    <w:p w:rsidR="00BC7390" w:rsidRPr="00A4058F" w:rsidRDefault="00BC7390" w:rsidP="00DD3E74">
      <w:pPr>
        <w:pStyle w:val="AnnexNoTitle"/>
      </w:pPr>
      <w:r>
        <w:br w:type="page"/>
      </w:r>
      <w:r w:rsidR="00F026BF">
        <w:lastRenderedPageBreak/>
        <w:t xml:space="preserve">Annexe </w:t>
      </w:r>
      <w:r w:rsidRPr="00A4058F">
        <w:t>3</w:t>
      </w:r>
      <w:r>
        <w:br/>
      </w:r>
      <w:r>
        <w:br/>
      </w:r>
      <w:r w:rsidRPr="00A4058F">
        <w:t>Effets de la hauteur de l'antenne et du masquage du trajet du signal</w:t>
      </w:r>
      <w:r w:rsidR="00F026BF">
        <w:t xml:space="preserve"> </w:t>
      </w:r>
      <w:r>
        <w:br/>
      </w:r>
      <w:r w:rsidRPr="00A4058F">
        <w:t>causé</w:t>
      </w:r>
      <w:r>
        <w:t xml:space="preserve"> </w:t>
      </w:r>
      <w:r w:rsidRPr="00A4058F">
        <w:t>par un engin de</w:t>
      </w:r>
      <w:r>
        <w:t xml:space="preserve"> </w:t>
      </w:r>
      <w:r w:rsidRPr="00A4058F">
        <w:t>survie et ses occupants sur la distance de</w:t>
      </w:r>
      <w:r w:rsidR="00F026BF">
        <w:t xml:space="preserve"> </w:t>
      </w:r>
      <w:r>
        <w:br/>
      </w:r>
      <w:r w:rsidRPr="00A4058F">
        <w:t>détection d'une balise SART</w:t>
      </w:r>
    </w:p>
    <w:p w:rsidR="00BC7390" w:rsidRDefault="00BC7390" w:rsidP="00430564">
      <w:pPr>
        <w:pStyle w:val="Heading1"/>
      </w:pPr>
      <w:r>
        <w:t>1</w:t>
      </w:r>
      <w:r>
        <w:tab/>
        <w:t>Introduction</w:t>
      </w:r>
    </w:p>
    <w:p w:rsidR="00BC7390" w:rsidRDefault="00BC7390" w:rsidP="00BC7390">
      <w:r>
        <w:t>La présente Annexe traite des effets sur les signaux SART, de la hauteur de l'antenne de la balise SART au</w:t>
      </w:r>
      <w:r>
        <w:noBreakHyphen/>
        <w:t>dessus de la mer, et de l'affaiblissement causé par les matériaux de l'engin de survie et par ses occupants.</w:t>
      </w:r>
    </w:p>
    <w:p w:rsidR="00BC7390" w:rsidRDefault="00BC7390" w:rsidP="00BC7390">
      <w:pPr>
        <w:pStyle w:val="Heading1"/>
      </w:pPr>
      <w:r>
        <w:t>2</w:t>
      </w:r>
      <w:r>
        <w:tab/>
        <w:t>Effets de la hauteur de la balise SART sur la distance de détection</w:t>
      </w:r>
    </w:p>
    <w:p w:rsidR="00BC7390" w:rsidRDefault="00BC7390" w:rsidP="00BC7390">
      <w:r>
        <w:t>La présente Recommandation spécifie que l'antenne doit être placée à au moins 1 m au-dessus de la mer, pour que la distance de détection soit de 5 milles nautiques, valeur requise par la Résolution A.802(19) de l'OMI. Des essais réels ont confirmé cette valeur. Les essais effectués sur un échantillon de six répondeurs, de différents fabricants, ont montré que les distances de détection étaient comprises entre 8,2 MN et 9,2 MN pour une antenne placée à 1 m de hauteur.</w:t>
      </w:r>
    </w:p>
    <w:p w:rsidR="00BC7390" w:rsidRDefault="00BC7390" w:rsidP="00430564">
      <w:pPr>
        <w:pStyle w:val="Heading2"/>
      </w:pPr>
      <w:r w:rsidRPr="00250B8B">
        <w:t>2.1</w:t>
      </w:r>
      <w:r>
        <w:tab/>
        <w:t>Les essais ont aussi montré l'importance d'installer l'antenne au moins à cette hauteur. Les résultats suivants ont été obtenus dans un engin de survie:</w:t>
      </w:r>
    </w:p>
    <w:p w:rsidR="00BC7390" w:rsidRDefault="00BC7390" w:rsidP="00BC7390">
      <w:pPr>
        <w:pStyle w:val="enumlev1"/>
        <w:tabs>
          <w:tab w:val="left" w:pos="4111"/>
        </w:tabs>
      </w:pPr>
      <w:r>
        <w:t>–</w:t>
      </w:r>
      <w:r>
        <w:tab/>
        <w:t>SART sur le plancher:</w:t>
      </w:r>
      <w:r>
        <w:tab/>
        <w:t>distance 1,8 MN</w:t>
      </w:r>
    </w:p>
    <w:p w:rsidR="00BC7390" w:rsidRDefault="00BC7390" w:rsidP="00BC7390">
      <w:pPr>
        <w:pStyle w:val="enumlev1"/>
        <w:tabs>
          <w:tab w:val="left" w:pos="4111"/>
        </w:tabs>
      </w:pPr>
      <w:r>
        <w:t>–</w:t>
      </w:r>
      <w:r>
        <w:tab/>
        <w:t>SART vertical sur le plancher:</w:t>
      </w:r>
      <w:r>
        <w:tab/>
        <w:t>distance 2,5 MN</w:t>
      </w:r>
    </w:p>
    <w:p w:rsidR="00BC7390" w:rsidRDefault="00BC7390" w:rsidP="00BC7390">
      <w:pPr>
        <w:pStyle w:val="enumlev1"/>
        <w:tabs>
          <w:tab w:val="left" w:pos="4111"/>
        </w:tabs>
      </w:pPr>
      <w:r>
        <w:t>–</w:t>
      </w:r>
      <w:r>
        <w:tab/>
        <w:t>SART flottant sur l'eau:</w:t>
      </w:r>
      <w:r>
        <w:tab/>
        <w:t>distance 2,0 MN.</w:t>
      </w:r>
    </w:p>
    <w:p w:rsidR="00BC7390" w:rsidRDefault="00BC7390" w:rsidP="00BC7390">
      <w:pPr>
        <w:pStyle w:val="Heading1"/>
      </w:pPr>
      <w:r>
        <w:t>3</w:t>
      </w:r>
      <w:r>
        <w:tab/>
        <w:t>Effets de l'engin de survie sur le signal SART</w:t>
      </w:r>
    </w:p>
    <w:p w:rsidR="00BC7390" w:rsidRDefault="00BC7390" w:rsidP="00BC7390">
      <w:r>
        <w:t>Des essais ont été effectués sur un engin de survie avec une antenne placée à 1 m de hauteur, pour déterminer l'existence d'un effet de masquage dû aux occupants ou aux matériaux de l'engin.</w:t>
      </w:r>
    </w:p>
    <w:p w:rsidR="00BC7390" w:rsidRDefault="00BC7390" w:rsidP="00BC7390">
      <w:r w:rsidRPr="00250B8B">
        <w:rPr>
          <w:b/>
        </w:rPr>
        <w:t>3.1</w:t>
      </w:r>
      <w:r>
        <w:tab/>
        <w:t>Les Fig. 2-4 donnent les résultats obtenus avec deux modèles différents d'engin de survie de 8 personnes aux normes SOLAS. Dans les deux cas, la balise était placée au centre d'un plateau tournant en champ libre et était déclenchée par les impulsions d'un radar. Chaque série de mesures était réalisée avec et sans le radeau et ses survivants, la balise étant placée au centre du plateau tournant.</w:t>
      </w:r>
    </w:p>
    <w:p w:rsidR="00BC7390" w:rsidRDefault="00BC7390" w:rsidP="00BC7390">
      <w:r w:rsidRPr="00250B8B">
        <w:rPr>
          <w:b/>
        </w:rPr>
        <w:t>3.2</w:t>
      </w:r>
      <w:r>
        <w:tab/>
        <w:t>La Fig. 2 montre les résultats obtenus à partir d'une balise SART montée sur un mât télescopique à l'emplacement de l'antenne du radeau. Dans ce cas, l'antenne du SART était au niveau du tube support de l'auvent du radeau. L'un de ces radeaux a eu peu d'effet sur le signal, l'autre (qui a un tube au carbone) provoqua une diminution de signal dans un angle d'environ 30°.</w:t>
      </w:r>
    </w:p>
    <w:p w:rsidR="00BC7390" w:rsidRDefault="00BC7390" w:rsidP="00BC7390">
      <w:r w:rsidRPr="00250B8B">
        <w:rPr>
          <w:b/>
        </w:rPr>
        <w:t>3.3</w:t>
      </w:r>
      <w:r>
        <w:tab/>
        <w:t xml:space="preserve">La Fig. 3 montre les résultats obtenus avec les mêmes radeaux, la balise étant accrochée au tube, à l'intérieur de l'auvent. Une plus faible diminution de signal a été constatée, due aux tubes au carbone, lorsque le signal passait à travers leurs sections verticales. Des diminutions étaient aussi provoquées par la présence de rubans réfléchissants, à l'extérieur des auvents. Sur un radeau, il a été constaté une importante réduction du signal dans un angle réduit, due à la présence de batteries au lithium placées sous l'auvent et servant à l'alimentation des feux de position du radeau. </w:t>
      </w:r>
    </w:p>
    <w:p w:rsidR="00BC7390" w:rsidRDefault="00BC7390" w:rsidP="00BC7390">
      <w:r w:rsidRPr="00250B8B">
        <w:rPr>
          <w:b/>
        </w:rPr>
        <w:t>3.4</w:t>
      </w:r>
      <w:r>
        <w:tab/>
        <w:t>La Fig. 4 montre l'effet de masquage dû à un survivant tenant la balise SART à bout de bras. Dans ce cas, la hauteur de la balise SART n'est que de 0,5 m.</w:t>
      </w:r>
    </w:p>
    <w:p w:rsidR="00BC7390" w:rsidRDefault="00046C5A" w:rsidP="00BC7390">
      <w:pPr>
        <w:pStyle w:val="FigureNo"/>
      </w:pPr>
      <w:r>
        <w:object w:dxaOrig="6172" w:dyaOrig="8326">
          <v:shape id="_x0000_i1026" type="#_x0000_t75" style="width:308.25pt;height:417pt" o:ole="">
            <v:imagedata r:id="rId14" o:title=""/>
          </v:shape>
          <o:OLEObject Type="Embed" ProgID="CorelDraw.Graphic.16" ShapeID="_x0000_i1026" DrawAspect="Content" ObjectID="_1496143691" r:id="rId15"/>
        </w:object>
      </w:r>
    </w:p>
    <w:p w:rsidR="00BC7390" w:rsidRDefault="00BC7390" w:rsidP="00BC7390">
      <w:r>
        <w:rPr>
          <w:b/>
        </w:rPr>
        <w:br w:type="page"/>
      </w:r>
    </w:p>
    <w:p w:rsidR="00BC7390" w:rsidRDefault="00DE17E8" w:rsidP="00BC7390">
      <w:pPr>
        <w:pStyle w:val="FigureNo"/>
      </w:pPr>
      <w:r>
        <w:object w:dxaOrig="6172" w:dyaOrig="8373">
          <v:shape id="_x0000_i1027" type="#_x0000_t75" style="width:308.25pt;height:416.25pt" o:ole="">
            <v:imagedata r:id="rId16" o:title=""/>
          </v:shape>
          <o:OLEObject Type="Embed" ProgID="CorelDraw.Graphic.16" ShapeID="_x0000_i1027" DrawAspect="Content" ObjectID="_1496143692" r:id="rId17"/>
        </w:object>
      </w:r>
    </w:p>
    <w:p w:rsidR="00BC7390" w:rsidRDefault="00DE17E8" w:rsidP="00BC7390">
      <w:pPr>
        <w:pStyle w:val="FigureNo"/>
      </w:pPr>
      <w:r>
        <w:object w:dxaOrig="6174" w:dyaOrig="7648">
          <v:shape id="_x0000_i1028" type="#_x0000_t75" style="width:308.25pt;height:383.25pt" o:ole="">
            <v:imagedata r:id="rId18" o:title=""/>
          </v:shape>
          <o:OLEObject Type="Embed" ProgID="CorelDraw.Graphic.16" ShapeID="_x0000_i1028" DrawAspect="Content" ObjectID="_1496143693" r:id="rId19"/>
        </w:object>
      </w:r>
    </w:p>
    <w:p w:rsidR="00D704D4" w:rsidRDefault="00D704D4" w:rsidP="00BC7390">
      <w:pPr>
        <w:rPr>
          <w:b/>
        </w:rPr>
      </w:pPr>
    </w:p>
    <w:p w:rsidR="00BC7390" w:rsidRDefault="00BC7390" w:rsidP="00BC7390">
      <w:r w:rsidRPr="00250B8B">
        <w:rPr>
          <w:b/>
        </w:rPr>
        <w:t>3.5</w:t>
      </w:r>
      <w:r>
        <w:tab/>
        <w:t>Les distances de détection approximatives sont indiquées sur chaque Figure. Elles sont théoriques, sachant que la distance de détection est de 8 MN pour une hauteur de l'antenne de 1 m et de 7 MN pour une hauteur de l'antenne de 0,5 m.</w:t>
      </w:r>
    </w:p>
    <w:p w:rsidR="00BC7390" w:rsidRDefault="00BC7390" w:rsidP="00BC7390">
      <w:r w:rsidRPr="00250B8B">
        <w:rPr>
          <w:b/>
        </w:rPr>
        <w:t>3.6</w:t>
      </w:r>
      <w:r>
        <w:tab/>
        <w:t>Les Figures montrent que de meilleurs résultats ont été obtenus avec la balise SART sur le mât, et dans ce cas, la réduction de la distance de détection, due à l'engin de survie, ne dépassait pas, en général, 0,5 MN. Dans tous les cas, il y avait une diminution de performance de 1,5-2,0 MN dans des secteurs étroits, mais en pratique, l'engin de survie se déplaçant, ce n'est pas un problème opérationnel important. La diminution de la Fig. 4 provoquée par une personne n'est pas significative, car une personne assise dans un engin de survie ne dépasse pas la hauteur de l'antenne.</w:t>
      </w:r>
    </w:p>
    <w:p w:rsidR="00BC7390" w:rsidRDefault="00BC7390" w:rsidP="00DD3E74">
      <w:pPr>
        <w:keepNext/>
        <w:keepLines/>
      </w:pPr>
      <w:r w:rsidRPr="00250B8B">
        <w:rPr>
          <w:b/>
        </w:rPr>
        <w:lastRenderedPageBreak/>
        <w:t>3.7</w:t>
      </w:r>
      <w:r>
        <w:tab/>
        <w:t>Ces résultats ont été obtenus avec un engin sec pendant les essais. Le Tableau 1 donne les pertes de propagation, dues aux matériaux des auvents et des tubes, pour plusieurs engins de survie de différents fabricants. Les deux dernières lignes correspondent au cas où les matériaux sont arrosés d'eau de mer. Elles montrent que, dans le cas le plus défavorable, les pertes supplémentaires dues à l'arrosage sont de 3,35 dB, ce qui correspond à une réduction de la distance de détection d'environ 0,5</w:t>
      </w:r>
      <w:r w:rsidR="00DD3E74">
        <w:t> </w:t>
      </w:r>
      <w:r>
        <w:t>MN.</w:t>
      </w:r>
    </w:p>
    <w:p w:rsidR="00BC7390" w:rsidRPr="00A4058F" w:rsidRDefault="00BC7390" w:rsidP="00600017">
      <w:pPr>
        <w:pStyle w:val="TableNo"/>
      </w:pPr>
      <w:r w:rsidRPr="00A4058F">
        <w:t>TABLEAU 1</w:t>
      </w:r>
    </w:p>
    <w:p w:rsidR="00BC7390" w:rsidRPr="00A4058F" w:rsidRDefault="00BC7390" w:rsidP="00857396">
      <w:pPr>
        <w:pStyle w:val="Tabletitle"/>
      </w:pPr>
      <w:r w:rsidRPr="00A4058F">
        <w:t>Pertes de transmission à travers l'auvent du radeau de survie (résultats de mesures)</w:t>
      </w:r>
    </w:p>
    <w:tbl>
      <w:tblPr>
        <w:tblW w:w="9639" w:type="dxa"/>
        <w:jc w:val="center"/>
        <w:tblLayout w:type="fixed"/>
        <w:tblLook w:val="0000" w:firstRow="0" w:lastRow="0" w:firstColumn="0" w:lastColumn="0" w:noHBand="0" w:noVBand="0"/>
      </w:tblPr>
      <w:tblGrid>
        <w:gridCol w:w="787"/>
        <w:gridCol w:w="1473"/>
        <w:gridCol w:w="1276"/>
        <w:gridCol w:w="992"/>
        <w:gridCol w:w="1189"/>
        <w:gridCol w:w="1308"/>
        <w:gridCol w:w="1308"/>
        <w:gridCol w:w="1306"/>
      </w:tblGrid>
      <w:tr w:rsidR="00BC7390" w:rsidTr="00D704D4">
        <w:trPr>
          <w:cantSplit/>
          <w:jc w:val="center"/>
        </w:trPr>
        <w:tc>
          <w:tcPr>
            <w:tcW w:w="787" w:type="dxa"/>
            <w:vMerge w:val="restart"/>
            <w:tcBorders>
              <w:top w:val="single" w:sz="6" w:space="0" w:color="auto"/>
              <w:left w:val="single" w:sz="6" w:space="0" w:color="auto"/>
              <w:right w:val="single" w:sz="6" w:space="0" w:color="auto"/>
            </w:tcBorders>
            <w:vAlign w:val="center"/>
          </w:tcPr>
          <w:p w:rsidR="00BC7390" w:rsidRDefault="00BC7390" w:rsidP="00857396">
            <w:pPr>
              <w:pStyle w:val="Tablehead"/>
            </w:pPr>
            <w:r>
              <w:t>Essai</w:t>
            </w:r>
          </w:p>
        </w:tc>
        <w:tc>
          <w:tcPr>
            <w:tcW w:w="1473" w:type="dxa"/>
            <w:vMerge w:val="restart"/>
            <w:tcBorders>
              <w:top w:val="single" w:sz="6" w:space="0" w:color="auto"/>
              <w:left w:val="single" w:sz="6" w:space="0" w:color="auto"/>
              <w:right w:val="single" w:sz="6" w:space="0" w:color="auto"/>
            </w:tcBorders>
            <w:vAlign w:val="center"/>
          </w:tcPr>
          <w:p w:rsidR="00BC7390" w:rsidRDefault="00BC7390" w:rsidP="00857396">
            <w:pPr>
              <w:pStyle w:val="Tablehead"/>
            </w:pPr>
            <w:r>
              <w:t>Echantillon</w:t>
            </w:r>
          </w:p>
        </w:tc>
        <w:tc>
          <w:tcPr>
            <w:tcW w:w="1276" w:type="dxa"/>
            <w:vMerge w:val="restart"/>
            <w:tcBorders>
              <w:top w:val="single" w:sz="6" w:space="0" w:color="auto"/>
              <w:left w:val="single" w:sz="6" w:space="0" w:color="auto"/>
              <w:right w:val="single" w:sz="6" w:space="0" w:color="auto"/>
            </w:tcBorders>
            <w:vAlign w:val="center"/>
          </w:tcPr>
          <w:p w:rsidR="00BC7390" w:rsidRDefault="00BC7390" w:rsidP="00857396">
            <w:pPr>
              <w:pStyle w:val="Tablehead"/>
            </w:pPr>
            <w:r>
              <w:t>Epaisseur</w:t>
            </w:r>
            <w:r>
              <w:br/>
              <w:t>(mm)</w:t>
            </w:r>
          </w:p>
        </w:tc>
        <w:tc>
          <w:tcPr>
            <w:tcW w:w="992" w:type="dxa"/>
            <w:vMerge w:val="restart"/>
            <w:tcBorders>
              <w:top w:val="single" w:sz="6" w:space="0" w:color="auto"/>
              <w:left w:val="single" w:sz="6" w:space="0" w:color="auto"/>
              <w:right w:val="single" w:sz="6" w:space="0" w:color="auto"/>
            </w:tcBorders>
            <w:vAlign w:val="center"/>
          </w:tcPr>
          <w:p w:rsidR="00BC7390" w:rsidRDefault="00BC7390" w:rsidP="00857396">
            <w:pPr>
              <w:pStyle w:val="Tablehead"/>
            </w:pPr>
            <w:r>
              <w:t>Poids</w:t>
            </w:r>
            <w:r>
              <w:br/>
              <w:t>(kg/m</w:t>
            </w:r>
            <w:r>
              <w:rPr>
                <w:position w:val="6"/>
                <w:sz w:val="14"/>
              </w:rPr>
              <w:t>2</w:t>
            </w:r>
            <w:r>
              <w:t>)</w:t>
            </w:r>
          </w:p>
        </w:tc>
        <w:tc>
          <w:tcPr>
            <w:tcW w:w="5111" w:type="dxa"/>
            <w:gridSpan w:val="4"/>
            <w:tcBorders>
              <w:top w:val="single" w:sz="6" w:space="0" w:color="auto"/>
              <w:left w:val="single" w:sz="6" w:space="0" w:color="auto"/>
              <w:bottom w:val="single" w:sz="6" w:space="0" w:color="auto"/>
              <w:right w:val="single" w:sz="6" w:space="0" w:color="auto"/>
            </w:tcBorders>
          </w:tcPr>
          <w:p w:rsidR="00BC7390" w:rsidRPr="00250B8B" w:rsidRDefault="00BC7390" w:rsidP="00857396">
            <w:pPr>
              <w:pStyle w:val="Tablehead"/>
            </w:pPr>
            <w:r w:rsidRPr="00A4058F">
              <w:t xml:space="preserve">Pertes de transmission (dB) en fonction </w:t>
            </w:r>
            <w:r w:rsidR="00D704D4">
              <w:br/>
            </w:r>
            <w:r w:rsidRPr="00A4058F">
              <w:t>de l'inclinaison de l'auvent</w:t>
            </w:r>
          </w:p>
        </w:tc>
      </w:tr>
      <w:tr w:rsidR="00BC7390" w:rsidTr="00D704D4">
        <w:trPr>
          <w:cantSplit/>
          <w:jc w:val="center"/>
        </w:trPr>
        <w:tc>
          <w:tcPr>
            <w:tcW w:w="787" w:type="dxa"/>
            <w:vMerge/>
            <w:tcBorders>
              <w:left w:val="single" w:sz="6" w:space="0" w:color="auto"/>
              <w:right w:val="single" w:sz="6" w:space="0" w:color="auto"/>
            </w:tcBorders>
          </w:tcPr>
          <w:p w:rsidR="00BC7390" w:rsidRPr="00250B8B" w:rsidRDefault="00BC7390" w:rsidP="00BE3063">
            <w:pPr>
              <w:pStyle w:val="TableText0"/>
              <w:jc w:val="center"/>
              <w:rPr>
                <w:lang w:val="fr-FR"/>
              </w:rPr>
            </w:pPr>
          </w:p>
        </w:tc>
        <w:tc>
          <w:tcPr>
            <w:tcW w:w="1473" w:type="dxa"/>
            <w:vMerge/>
            <w:tcBorders>
              <w:left w:val="single" w:sz="6" w:space="0" w:color="auto"/>
              <w:right w:val="single" w:sz="6" w:space="0" w:color="auto"/>
            </w:tcBorders>
          </w:tcPr>
          <w:p w:rsidR="00BC7390" w:rsidRPr="00250B8B" w:rsidRDefault="00BC7390" w:rsidP="00BE3063">
            <w:pPr>
              <w:pStyle w:val="TableText0"/>
              <w:jc w:val="left"/>
              <w:rPr>
                <w:lang w:val="fr-FR"/>
              </w:rPr>
            </w:pPr>
          </w:p>
        </w:tc>
        <w:tc>
          <w:tcPr>
            <w:tcW w:w="1276" w:type="dxa"/>
            <w:vMerge/>
            <w:tcBorders>
              <w:left w:val="single" w:sz="6" w:space="0" w:color="auto"/>
              <w:right w:val="single" w:sz="6" w:space="0" w:color="auto"/>
            </w:tcBorders>
          </w:tcPr>
          <w:p w:rsidR="00BC7390" w:rsidRPr="00250B8B" w:rsidRDefault="00BC7390" w:rsidP="00BE3063">
            <w:pPr>
              <w:pStyle w:val="TableText0"/>
              <w:jc w:val="center"/>
              <w:rPr>
                <w:lang w:val="fr-FR"/>
              </w:rPr>
            </w:pPr>
          </w:p>
        </w:tc>
        <w:tc>
          <w:tcPr>
            <w:tcW w:w="992" w:type="dxa"/>
            <w:vMerge/>
            <w:tcBorders>
              <w:left w:val="single" w:sz="6" w:space="0" w:color="auto"/>
              <w:right w:val="single" w:sz="6" w:space="0" w:color="auto"/>
            </w:tcBorders>
          </w:tcPr>
          <w:p w:rsidR="00BC7390" w:rsidRPr="00250B8B" w:rsidRDefault="00BC7390" w:rsidP="00BE3063">
            <w:pPr>
              <w:pStyle w:val="TableText0"/>
              <w:jc w:val="center"/>
              <w:rPr>
                <w:lang w:val="fr-FR"/>
              </w:rPr>
            </w:pPr>
          </w:p>
        </w:tc>
        <w:tc>
          <w:tcPr>
            <w:tcW w:w="5111" w:type="dxa"/>
            <w:gridSpan w:val="4"/>
            <w:tcBorders>
              <w:top w:val="single" w:sz="6" w:space="0" w:color="auto"/>
              <w:left w:val="single" w:sz="6" w:space="0" w:color="auto"/>
              <w:bottom w:val="single" w:sz="6" w:space="0" w:color="auto"/>
              <w:right w:val="single" w:sz="6" w:space="0" w:color="auto"/>
            </w:tcBorders>
          </w:tcPr>
          <w:p w:rsidR="00BC7390" w:rsidRPr="00250B8B" w:rsidRDefault="00BC7390" w:rsidP="00BE3063">
            <w:pPr>
              <w:pStyle w:val="TableText0"/>
              <w:jc w:val="center"/>
              <w:rPr>
                <w:lang w:val="fr-FR"/>
              </w:rPr>
            </w:pPr>
            <w:r w:rsidRPr="00D704D4">
              <w:rPr>
                <w:lang w:val="fr-CH"/>
              </w:rPr>
              <w:t>Inclinaison</w:t>
            </w:r>
          </w:p>
        </w:tc>
      </w:tr>
      <w:tr w:rsidR="00BC7390" w:rsidTr="00D704D4">
        <w:trPr>
          <w:cantSplit/>
          <w:jc w:val="center"/>
        </w:trPr>
        <w:tc>
          <w:tcPr>
            <w:tcW w:w="787" w:type="dxa"/>
            <w:vMerge/>
            <w:tcBorders>
              <w:left w:val="single" w:sz="6" w:space="0" w:color="auto"/>
              <w:bottom w:val="single" w:sz="6" w:space="0" w:color="auto"/>
              <w:right w:val="single" w:sz="6" w:space="0" w:color="auto"/>
            </w:tcBorders>
          </w:tcPr>
          <w:p w:rsidR="00BC7390" w:rsidRPr="00250B8B" w:rsidRDefault="00BC7390" w:rsidP="00BE3063">
            <w:pPr>
              <w:pStyle w:val="TableText0"/>
              <w:jc w:val="center"/>
              <w:rPr>
                <w:lang w:val="fr-FR"/>
              </w:rPr>
            </w:pPr>
          </w:p>
        </w:tc>
        <w:tc>
          <w:tcPr>
            <w:tcW w:w="1473" w:type="dxa"/>
            <w:vMerge/>
            <w:tcBorders>
              <w:left w:val="single" w:sz="6" w:space="0" w:color="auto"/>
              <w:bottom w:val="single" w:sz="6" w:space="0" w:color="auto"/>
              <w:right w:val="single" w:sz="6" w:space="0" w:color="auto"/>
            </w:tcBorders>
          </w:tcPr>
          <w:p w:rsidR="00BC7390" w:rsidRPr="00250B8B" w:rsidRDefault="00BC7390" w:rsidP="00BE3063">
            <w:pPr>
              <w:pStyle w:val="TableText0"/>
              <w:jc w:val="left"/>
              <w:rPr>
                <w:lang w:val="fr-FR"/>
              </w:rPr>
            </w:pPr>
          </w:p>
        </w:tc>
        <w:tc>
          <w:tcPr>
            <w:tcW w:w="1276" w:type="dxa"/>
            <w:vMerge/>
            <w:tcBorders>
              <w:left w:val="single" w:sz="6" w:space="0" w:color="auto"/>
              <w:bottom w:val="single" w:sz="6" w:space="0" w:color="auto"/>
              <w:right w:val="single" w:sz="6" w:space="0" w:color="auto"/>
            </w:tcBorders>
          </w:tcPr>
          <w:p w:rsidR="00BC7390" w:rsidRPr="00250B8B" w:rsidRDefault="00BC7390" w:rsidP="00BE3063">
            <w:pPr>
              <w:pStyle w:val="TableText0"/>
              <w:jc w:val="center"/>
              <w:rPr>
                <w:lang w:val="fr-FR"/>
              </w:rPr>
            </w:pPr>
          </w:p>
        </w:tc>
        <w:tc>
          <w:tcPr>
            <w:tcW w:w="992" w:type="dxa"/>
            <w:vMerge/>
            <w:tcBorders>
              <w:left w:val="single" w:sz="6" w:space="0" w:color="auto"/>
              <w:bottom w:val="single" w:sz="6" w:space="0" w:color="auto"/>
              <w:right w:val="single" w:sz="6" w:space="0" w:color="auto"/>
            </w:tcBorders>
          </w:tcPr>
          <w:p w:rsidR="00BC7390" w:rsidRPr="00250B8B" w:rsidRDefault="00BC7390" w:rsidP="00BE3063">
            <w:pPr>
              <w:pStyle w:val="TableText0"/>
              <w:jc w:val="center"/>
              <w:rPr>
                <w:lang w:val="fr-FR"/>
              </w:rPr>
            </w:pPr>
          </w:p>
        </w:tc>
        <w:tc>
          <w:tcPr>
            <w:tcW w:w="1189" w:type="dxa"/>
            <w:tcBorders>
              <w:top w:val="single" w:sz="6" w:space="0" w:color="auto"/>
              <w:left w:val="single" w:sz="6" w:space="0" w:color="auto"/>
              <w:bottom w:val="single" w:sz="6" w:space="0" w:color="auto"/>
              <w:right w:val="single" w:sz="6" w:space="0" w:color="auto"/>
            </w:tcBorders>
          </w:tcPr>
          <w:p w:rsidR="00BC7390" w:rsidRPr="00250B8B" w:rsidRDefault="00BC7390" w:rsidP="00BE3063">
            <w:pPr>
              <w:pStyle w:val="TableText0"/>
              <w:jc w:val="center"/>
              <w:rPr>
                <w:lang w:val="fr-FR"/>
              </w:rPr>
            </w:pPr>
            <w:r>
              <w:rPr>
                <w:rFonts w:ascii="Symbol" w:hAnsi="Symbol"/>
              </w:rPr>
              <w:t></w:t>
            </w:r>
            <w:r w:rsidRPr="00D704D4">
              <w:rPr>
                <w:lang w:val="fr-CH"/>
              </w:rPr>
              <w:t xml:space="preserve"> = 0°</w:t>
            </w:r>
          </w:p>
        </w:tc>
        <w:tc>
          <w:tcPr>
            <w:tcW w:w="1308" w:type="dxa"/>
            <w:tcBorders>
              <w:top w:val="single" w:sz="6" w:space="0" w:color="auto"/>
              <w:left w:val="single" w:sz="6" w:space="0" w:color="auto"/>
              <w:bottom w:val="single" w:sz="6" w:space="0" w:color="auto"/>
              <w:right w:val="single" w:sz="6" w:space="0" w:color="auto"/>
            </w:tcBorders>
          </w:tcPr>
          <w:p w:rsidR="00BC7390" w:rsidRPr="00250B8B" w:rsidRDefault="00BC7390" w:rsidP="00BE3063">
            <w:pPr>
              <w:pStyle w:val="TableText0"/>
              <w:jc w:val="center"/>
              <w:rPr>
                <w:lang w:val="fr-FR"/>
              </w:rPr>
            </w:pPr>
            <w:r>
              <w:rPr>
                <w:rFonts w:ascii="Symbol" w:hAnsi="Symbol"/>
              </w:rPr>
              <w:t></w:t>
            </w:r>
            <w:r w:rsidRPr="00D704D4">
              <w:rPr>
                <w:lang w:val="fr-CH"/>
              </w:rPr>
              <w:t xml:space="preserve"> = 30°</w:t>
            </w:r>
          </w:p>
        </w:tc>
        <w:tc>
          <w:tcPr>
            <w:tcW w:w="1308" w:type="dxa"/>
            <w:tcBorders>
              <w:top w:val="single" w:sz="6" w:space="0" w:color="auto"/>
              <w:left w:val="single" w:sz="6" w:space="0" w:color="auto"/>
              <w:bottom w:val="single" w:sz="6" w:space="0" w:color="auto"/>
              <w:right w:val="single" w:sz="6" w:space="0" w:color="auto"/>
            </w:tcBorders>
          </w:tcPr>
          <w:p w:rsidR="00BC7390" w:rsidRPr="00250B8B" w:rsidRDefault="00BC7390" w:rsidP="00BE3063">
            <w:pPr>
              <w:pStyle w:val="TableText0"/>
              <w:jc w:val="center"/>
              <w:rPr>
                <w:lang w:val="fr-FR"/>
              </w:rPr>
            </w:pPr>
            <w:r>
              <w:rPr>
                <w:rFonts w:ascii="Symbol" w:hAnsi="Symbol"/>
              </w:rPr>
              <w:t></w:t>
            </w:r>
            <w:r w:rsidRPr="00D704D4">
              <w:rPr>
                <w:lang w:val="fr-CH"/>
              </w:rPr>
              <w:t xml:space="preserve"> = 45°</w:t>
            </w:r>
          </w:p>
        </w:tc>
        <w:tc>
          <w:tcPr>
            <w:tcW w:w="1306" w:type="dxa"/>
            <w:tcBorders>
              <w:top w:val="single" w:sz="6" w:space="0" w:color="auto"/>
              <w:left w:val="single" w:sz="6" w:space="0" w:color="auto"/>
              <w:bottom w:val="single" w:sz="6" w:space="0" w:color="auto"/>
              <w:right w:val="single" w:sz="6" w:space="0" w:color="auto"/>
            </w:tcBorders>
          </w:tcPr>
          <w:p w:rsidR="00BC7390" w:rsidRPr="00250B8B" w:rsidRDefault="00BC7390" w:rsidP="00BE3063">
            <w:pPr>
              <w:pStyle w:val="TableText0"/>
              <w:jc w:val="center"/>
              <w:rPr>
                <w:lang w:val="fr-FR"/>
              </w:rPr>
            </w:pPr>
            <w:r>
              <w:rPr>
                <w:rFonts w:ascii="Symbol" w:hAnsi="Symbol"/>
              </w:rPr>
              <w:t></w:t>
            </w:r>
            <w:r w:rsidRPr="00D704D4">
              <w:rPr>
                <w:lang w:val="fr-CH"/>
              </w:rPr>
              <w:t xml:space="preserve"> = 60°</w:t>
            </w:r>
          </w:p>
        </w:tc>
      </w:tr>
      <w:tr w:rsidR="00BC7390" w:rsidTr="00D704D4">
        <w:trPr>
          <w:cantSplit/>
          <w:jc w:val="center"/>
        </w:trPr>
        <w:tc>
          <w:tcPr>
            <w:tcW w:w="787" w:type="dxa"/>
            <w:tcBorders>
              <w:top w:val="single" w:sz="6" w:space="0" w:color="auto"/>
              <w:left w:val="single" w:sz="6" w:space="0" w:color="auto"/>
              <w:bottom w:val="single" w:sz="6" w:space="0" w:color="auto"/>
              <w:right w:val="single" w:sz="6" w:space="0" w:color="auto"/>
            </w:tcBorders>
          </w:tcPr>
          <w:p w:rsidR="00BC7390" w:rsidRPr="00D704D4" w:rsidRDefault="00BC7390" w:rsidP="00BE3063">
            <w:pPr>
              <w:pStyle w:val="TableText0"/>
              <w:jc w:val="center"/>
              <w:rPr>
                <w:lang w:val="fr-CH"/>
              </w:rPr>
            </w:pPr>
            <w:r w:rsidRPr="00D704D4">
              <w:rPr>
                <w:lang w:val="fr-CH"/>
              </w:rPr>
              <w:t>1</w:t>
            </w:r>
          </w:p>
        </w:tc>
        <w:tc>
          <w:tcPr>
            <w:tcW w:w="1473" w:type="dxa"/>
            <w:tcBorders>
              <w:left w:val="single" w:sz="6" w:space="0" w:color="auto"/>
              <w:bottom w:val="single" w:sz="6" w:space="0" w:color="auto"/>
              <w:right w:val="single" w:sz="6" w:space="0" w:color="auto"/>
            </w:tcBorders>
          </w:tcPr>
          <w:p w:rsidR="00BC7390" w:rsidRPr="00D704D4" w:rsidRDefault="00BC7390" w:rsidP="00BE3063">
            <w:pPr>
              <w:pStyle w:val="TableText0"/>
              <w:jc w:val="left"/>
              <w:rPr>
                <w:lang w:val="fr-CH"/>
              </w:rPr>
            </w:pPr>
            <w:r w:rsidRPr="00D704D4">
              <w:rPr>
                <w:lang w:val="fr-CH"/>
              </w:rPr>
              <w:t>Auvent</w:t>
            </w:r>
            <w:r w:rsidRPr="00D704D4">
              <w:rPr>
                <w:lang w:val="fr-CH"/>
              </w:rPr>
              <w:br/>
              <w:t>société A</w:t>
            </w:r>
          </w:p>
        </w:tc>
        <w:tc>
          <w:tcPr>
            <w:tcW w:w="1276" w:type="dxa"/>
            <w:tcBorders>
              <w:left w:val="single" w:sz="6" w:space="0" w:color="auto"/>
              <w:bottom w:val="single" w:sz="6" w:space="0" w:color="auto"/>
              <w:right w:val="single" w:sz="6" w:space="0" w:color="auto"/>
            </w:tcBorders>
          </w:tcPr>
          <w:p w:rsidR="00BC7390" w:rsidRPr="00D704D4" w:rsidRDefault="00BC7390" w:rsidP="00BE3063">
            <w:pPr>
              <w:pStyle w:val="TableText0"/>
              <w:jc w:val="center"/>
              <w:rPr>
                <w:lang w:val="fr-CH"/>
              </w:rPr>
            </w:pPr>
            <w:r w:rsidRPr="00D704D4">
              <w:rPr>
                <w:lang w:val="fr-CH"/>
              </w:rPr>
              <w:t>0,18</w:t>
            </w:r>
          </w:p>
        </w:tc>
        <w:tc>
          <w:tcPr>
            <w:tcW w:w="992" w:type="dxa"/>
            <w:tcBorders>
              <w:left w:val="single" w:sz="6" w:space="0" w:color="auto"/>
              <w:bottom w:val="single" w:sz="6" w:space="0" w:color="auto"/>
              <w:right w:val="single" w:sz="6" w:space="0" w:color="auto"/>
            </w:tcBorders>
          </w:tcPr>
          <w:p w:rsidR="00BC7390" w:rsidRPr="00D704D4" w:rsidRDefault="00BC7390" w:rsidP="00BE3063">
            <w:pPr>
              <w:pStyle w:val="TableText0"/>
              <w:jc w:val="center"/>
              <w:rPr>
                <w:lang w:val="fr-CH"/>
              </w:rPr>
            </w:pPr>
            <w:r w:rsidRPr="00D704D4">
              <w:rPr>
                <w:lang w:val="fr-CH"/>
              </w:rPr>
              <w:t>0,22</w:t>
            </w:r>
          </w:p>
        </w:tc>
        <w:tc>
          <w:tcPr>
            <w:tcW w:w="1189" w:type="dxa"/>
            <w:tcBorders>
              <w:left w:val="single" w:sz="6" w:space="0" w:color="auto"/>
              <w:bottom w:val="single" w:sz="6" w:space="0" w:color="auto"/>
              <w:right w:val="single" w:sz="6" w:space="0" w:color="auto"/>
            </w:tcBorders>
          </w:tcPr>
          <w:p w:rsidR="00BC7390" w:rsidRPr="00D704D4" w:rsidRDefault="00BC7390" w:rsidP="00BE3063">
            <w:pPr>
              <w:pStyle w:val="TableText0"/>
              <w:jc w:val="center"/>
              <w:rPr>
                <w:lang w:val="fr-CH"/>
              </w:rPr>
            </w:pPr>
            <w:r w:rsidRPr="00D704D4">
              <w:rPr>
                <w:lang w:val="fr-CH"/>
              </w:rPr>
              <w:t>0</w:t>
            </w:r>
          </w:p>
        </w:tc>
        <w:tc>
          <w:tcPr>
            <w:tcW w:w="1308" w:type="dxa"/>
            <w:tcBorders>
              <w:left w:val="single" w:sz="6" w:space="0" w:color="auto"/>
              <w:bottom w:val="single" w:sz="6" w:space="0" w:color="auto"/>
              <w:right w:val="single" w:sz="6" w:space="0" w:color="auto"/>
            </w:tcBorders>
          </w:tcPr>
          <w:p w:rsidR="00BC7390" w:rsidRPr="00D704D4" w:rsidRDefault="00BC7390" w:rsidP="00BE3063">
            <w:pPr>
              <w:pStyle w:val="TableText0"/>
              <w:jc w:val="center"/>
              <w:rPr>
                <w:lang w:val="fr-CH"/>
              </w:rPr>
            </w:pPr>
            <w:r w:rsidRPr="00D704D4">
              <w:rPr>
                <w:lang w:val="fr-CH"/>
              </w:rPr>
              <w:t>–0,1</w:t>
            </w:r>
          </w:p>
        </w:tc>
        <w:tc>
          <w:tcPr>
            <w:tcW w:w="1308" w:type="dxa"/>
            <w:tcBorders>
              <w:left w:val="single" w:sz="6" w:space="0" w:color="auto"/>
              <w:bottom w:val="single" w:sz="6" w:space="0" w:color="auto"/>
              <w:right w:val="single" w:sz="6" w:space="0" w:color="auto"/>
            </w:tcBorders>
          </w:tcPr>
          <w:p w:rsidR="00BC7390" w:rsidRPr="00D704D4" w:rsidRDefault="00BC7390" w:rsidP="00BE3063">
            <w:pPr>
              <w:pStyle w:val="TableText0"/>
              <w:jc w:val="center"/>
              <w:rPr>
                <w:lang w:val="fr-CH"/>
              </w:rPr>
            </w:pPr>
            <w:r w:rsidRPr="00D704D4">
              <w:rPr>
                <w:lang w:val="fr-CH"/>
              </w:rPr>
              <w:t>–0,2</w:t>
            </w:r>
          </w:p>
        </w:tc>
        <w:tc>
          <w:tcPr>
            <w:tcW w:w="1306" w:type="dxa"/>
            <w:tcBorders>
              <w:left w:val="single" w:sz="6" w:space="0" w:color="auto"/>
              <w:bottom w:val="single" w:sz="6" w:space="0" w:color="auto"/>
              <w:right w:val="single" w:sz="6" w:space="0" w:color="auto"/>
            </w:tcBorders>
          </w:tcPr>
          <w:p w:rsidR="00BC7390" w:rsidRPr="00D704D4" w:rsidRDefault="00BC7390" w:rsidP="00BE3063">
            <w:pPr>
              <w:pStyle w:val="TableText0"/>
              <w:jc w:val="center"/>
              <w:rPr>
                <w:lang w:val="fr-CH"/>
              </w:rPr>
            </w:pPr>
            <w:r w:rsidRPr="00D704D4">
              <w:rPr>
                <w:lang w:val="fr-CH"/>
              </w:rPr>
              <w:t>0</w:t>
            </w:r>
          </w:p>
        </w:tc>
      </w:tr>
      <w:tr w:rsidR="00BC7390" w:rsidTr="00D704D4">
        <w:trPr>
          <w:cantSplit/>
          <w:jc w:val="center"/>
        </w:trPr>
        <w:tc>
          <w:tcPr>
            <w:tcW w:w="787" w:type="dxa"/>
            <w:tcBorders>
              <w:top w:val="single" w:sz="6" w:space="0" w:color="auto"/>
              <w:left w:val="single" w:sz="6" w:space="0" w:color="auto"/>
              <w:bottom w:val="single" w:sz="6" w:space="0" w:color="auto"/>
              <w:right w:val="single" w:sz="6" w:space="0" w:color="auto"/>
            </w:tcBorders>
          </w:tcPr>
          <w:p w:rsidR="00BC7390" w:rsidRPr="00D704D4" w:rsidRDefault="00BC7390" w:rsidP="00BE3063">
            <w:pPr>
              <w:pStyle w:val="TableText0"/>
              <w:jc w:val="center"/>
              <w:rPr>
                <w:lang w:val="fr-CH"/>
              </w:rPr>
            </w:pPr>
            <w:r w:rsidRPr="00D704D4">
              <w:rPr>
                <w:lang w:val="fr-CH"/>
              </w:rPr>
              <w:t>2</w:t>
            </w:r>
          </w:p>
        </w:tc>
        <w:tc>
          <w:tcPr>
            <w:tcW w:w="1473" w:type="dxa"/>
            <w:tcBorders>
              <w:top w:val="single" w:sz="6" w:space="0" w:color="auto"/>
              <w:left w:val="single" w:sz="6" w:space="0" w:color="auto"/>
              <w:bottom w:val="single" w:sz="6" w:space="0" w:color="auto"/>
              <w:right w:val="single" w:sz="6" w:space="0" w:color="auto"/>
            </w:tcBorders>
          </w:tcPr>
          <w:p w:rsidR="00BC7390" w:rsidRPr="00D704D4" w:rsidRDefault="00BC7390" w:rsidP="00BE3063">
            <w:pPr>
              <w:pStyle w:val="TableText0"/>
              <w:jc w:val="left"/>
              <w:rPr>
                <w:lang w:val="fr-CH"/>
              </w:rPr>
            </w:pPr>
            <w:r w:rsidRPr="00D704D4">
              <w:rPr>
                <w:lang w:val="fr-CH"/>
              </w:rPr>
              <w:t>Tube</w:t>
            </w:r>
            <w:r w:rsidRPr="00D704D4">
              <w:rPr>
                <w:lang w:val="fr-CH"/>
              </w:rPr>
              <w:br/>
              <w:t>société A</w:t>
            </w:r>
          </w:p>
        </w:tc>
        <w:tc>
          <w:tcPr>
            <w:tcW w:w="1276" w:type="dxa"/>
            <w:tcBorders>
              <w:top w:val="single" w:sz="6" w:space="0" w:color="auto"/>
              <w:left w:val="single" w:sz="6" w:space="0" w:color="auto"/>
              <w:bottom w:val="single" w:sz="6" w:space="0" w:color="auto"/>
              <w:right w:val="single" w:sz="6" w:space="0" w:color="auto"/>
            </w:tcBorders>
          </w:tcPr>
          <w:p w:rsidR="00BC7390" w:rsidRPr="00D704D4" w:rsidRDefault="00BC7390" w:rsidP="00BE3063">
            <w:pPr>
              <w:pStyle w:val="TableText0"/>
              <w:jc w:val="center"/>
              <w:rPr>
                <w:lang w:val="fr-CH"/>
              </w:rPr>
            </w:pPr>
            <w:r w:rsidRPr="00D704D4">
              <w:rPr>
                <w:lang w:val="fr-CH"/>
              </w:rPr>
              <w:t>0,53</w:t>
            </w:r>
          </w:p>
        </w:tc>
        <w:tc>
          <w:tcPr>
            <w:tcW w:w="992" w:type="dxa"/>
            <w:tcBorders>
              <w:top w:val="single" w:sz="6" w:space="0" w:color="auto"/>
              <w:left w:val="single" w:sz="6" w:space="0" w:color="auto"/>
              <w:bottom w:val="single" w:sz="6" w:space="0" w:color="auto"/>
              <w:right w:val="single" w:sz="6" w:space="0" w:color="auto"/>
            </w:tcBorders>
          </w:tcPr>
          <w:p w:rsidR="00BC7390" w:rsidRPr="00D704D4" w:rsidRDefault="00BC7390" w:rsidP="00BE3063">
            <w:pPr>
              <w:pStyle w:val="TableText0"/>
              <w:jc w:val="center"/>
              <w:rPr>
                <w:lang w:val="fr-CH"/>
              </w:rPr>
            </w:pPr>
            <w:r w:rsidRPr="00D704D4">
              <w:rPr>
                <w:lang w:val="fr-CH"/>
              </w:rPr>
              <w:t>0,7</w:t>
            </w:r>
          </w:p>
        </w:tc>
        <w:tc>
          <w:tcPr>
            <w:tcW w:w="1189"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rsidRPr="00D704D4">
              <w:rPr>
                <w:lang w:val="fr-CH"/>
              </w:rPr>
              <w:t>–0,</w:t>
            </w:r>
            <w:r>
              <w:t>05</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–0,05</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–0,3</w:t>
            </w:r>
          </w:p>
        </w:tc>
        <w:tc>
          <w:tcPr>
            <w:tcW w:w="130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–0,2</w:t>
            </w:r>
          </w:p>
        </w:tc>
      </w:tr>
      <w:tr w:rsidR="00BC7390" w:rsidTr="00D704D4">
        <w:trPr>
          <w:cantSplit/>
          <w:jc w:val="center"/>
        </w:trPr>
        <w:tc>
          <w:tcPr>
            <w:tcW w:w="787"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3</w:t>
            </w:r>
          </w:p>
        </w:tc>
        <w:tc>
          <w:tcPr>
            <w:tcW w:w="1473"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left"/>
            </w:pPr>
            <w:r>
              <w:t xml:space="preserve">Auvent </w:t>
            </w:r>
            <w:r>
              <w:br/>
              <w:t>société B</w:t>
            </w:r>
          </w:p>
        </w:tc>
        <w:tc>
          <w:tcPr>
            <w:tcW w:w="127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0,25</w:t>
            </w:r>
          </w:p>
        </w:tc>
        <w:tc>
          <w:tcPr>
            <w:tcW w:w="992"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0,27</w:t>
            </w:r>
          </w:p>
        </w:tc>
        <w:tc>
          <w:tcPr>
            <w:tcW w:w="1189"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–0,1</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–0,15</w:t>
            </w:r>
          </w:p>
        </w:tc>
        <w:tc>
          <w:tcPr>
            <w:tcW w:w="130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–0,05</w:t>
            </w:r>
          </w:p>
        </w:tc>
      </w:tr>
      <w:tr w:rsidR="00BC7390" w:rsidTr="00D704D4">
        <w:trPr>
          <w:cantSplit/>
          <w:jc w:val="center"/>
        </w:trPr>
        <w:tc>
          <w:tcPr>
            <w:tcW w:w="787"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4</w:t>
            </w:r>
          </w:p>
        </w:tc>
        <w:tc>
          <w:tcPr>
            <w:tcW w:w="1473"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left"/>
            </w:pPr>
            <w:r>
              <w:t>Tube</w:t>
            </w:r>
            <w:r>
              <w:br/>
              <w:t>société B</w:t>
            </w:r>
          </w:p>
        </w:tc>
        <w:tc>
          <w:tcPr>
            <w:tcW w:w="127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0,57</w:t>
            </w:r>
          </w:p>
        </w:tc>
        <w:tc>
          <w:tcPr>
            <w:tcW w:w="992"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0,67</w:t>
            </w:r>
          </w:p>
        </w:tc>
        <w:tc>
          <w:tcPr>
            <w:tcW w:w="1189"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–0,4</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–0,4</w:t>
            </w:r>
          </w:p>
        </w:tc>
        <w:tc>
          <w:tcPr>
            <w:tcW w:w="130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–0,45</w:t>
            </w:r>
          </w:p>
        </w:tc>
      </w:tr>
      <w:tr w:rsidR="00BC7390" w:rsidTr="00D704D4">
        <w:trPr>
          <w:cantSplit/>
          <w:jc w:val="center"/>
        </w:trPr>
        <w:tc>
          <w:tcPr>
            <w:tcW w:w="787"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5</w:t>
            </w:r>
          </w:p>
        </w:tc>
        <w:tc>
          <w:tcPr>
            <w:tcW w:w="1473"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left"/>
            </w:pPr>
            <w:r>
              <w:t>Auvent</w:t>
            </w:r>
            <w:r>
              <w:br/>
              <w:t>société C</w:t>
            </w:r>
          </w:p>
        </w:tc>
        <w:tc>
          <w:tcPr>
            <w:tcW w:w="127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0,26</w:t>
            </w:r>
          </w:p>
        </w:tc>
        <w:tc>
          <w:tcPr>
            <w:tcW w:w="992"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0,3</w:t>
            </w:r>
          </w:p>
        </w:tc>
        <w:tc>
          <w:tcPr>
            <w:tcW w:w="1189"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–0,2</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–0,5</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–0,3</w:t>
            </w:r>
          </w:p>
        </w:tc>
        <w:tc>
          <w:tcPr>
            <w:tcW w:w="130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–0,4</w:t>
            </w:r>
          </w:p>
        </w:tc>
      </w:tr>
      <w:tr w:rsidR="00BC7390" w:rsidTr="00D704D4">
        <w:trPr>
          <w:cantSplit/>
          <w:jc w:val="center"/>
        </w:trPr>
        <w:tc>
          <w:tcPr>
            <w:tcW w:w="787"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6</w:t>
            </w:r>
          </w:p>
        </w:tc>
        <w:tc>
          <w:tcPr>
            <w:tcW w:w="1473"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left"/>
            </w:pPr>
            <w:r>
              <w:t>Tube</w:t>
            </w:r>
            <w:r>
              <w:br/>
              <w:t>société C</w:t>
            </w:r>
          </w:p>
        </w:tc>
        <w:tc>
          <w:tcPr>
            <w:tcW w:w="127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0,54</w:t>
            </w:r>
          </w:p>
        </w:tc>
        <w:tc>
          <w:tcPr>
            <w:tcW w:w="992"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0,67</w:t>
            </w:r>
          </w:p>
        </w:tc>
        <w:tc>
          <w:tcPr>
            <w:tcW w:w="1189"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–0,6</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–1,4</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–1,9</w:t>
            </w:r>
          </w:p>
        </w:tc>
        <w:tc>
          <w:tcPr>
            <w:tcW w:w="130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–2,4</w:t>
            </w:r>
          </w:p>
        </w:tc>
      </w:tr>
      <w:tr w:rsidR="00BC7390" w:rsidTr="00D704D4">
        <w:trPr>
          <w:cantSplit/>
          <w:jc w:val="center"/>
        </w:trPr>
        <w:tc>
          <w:tcPr>
            <w:tcW w:w="787"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7</w:t>
            </w:r>
          </w:p>
        </w:tc>
        <w:tc>
          <w:tcPr>
            <w:tcW w:w="1473"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left"/>
            </w:pPr>
            <w:r>
              <w:t>Auvent essai «1» arrosé (4,8% NaCl)</w:t>
            </w:r>
          </w:p>
        </w:tc>
        <w:tc>
          <w:tcPr>
            <w:tcW w:w="127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w:t>
            </w:r>
          </w:p>
        </w:tc>
        <w:tc>
          <w:tcPr>
            <w:tcW w:w="992"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w:t>
            </w:r>
          </w:p>
        </w:tc>
        <w:tc>
          <w:tcPr>
            <w:tcW w:w="1189"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–0,35</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–0,55</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–0,95</w:t>
            </w:r>
          </w:p>
        </w:tc>
        <w:tc>
          <w:tcPr>
            <w:tcW w:w="130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–1,1</w:t>
            </w:r>
          </w:p>
        </w:tc>
      </w:tr>
      <w:tr w:rsidR="00BC7390" w:rsidTr="00D704D4">
        <w:trPr>
          <w:cantSplit/>
          <w:jc w:val="center"/>
        </w:trPr>
        <w:tc>
          <w:tcPr>
            <w:tcW w:w="787"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8</w:t>
            </w:r>
          </w:p>
        </w:tc>
        <w:tc>
          <w:tcPr>
            <w:tcW w:w="1473"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left"/>
            </w:pPr>
            <w:r>
              <w:t>Auvent essai «3» arrosé (4,8% NaCl)</w:t>
            </w:r>
          </w:p>
        </w:tc>
        <w:tc>
          <w:tcPr>
            <w:tcW w:w="127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w:t>
            </w:r>
          </w:p>
        </w:tc>
        <w:tc>
          <w:tcPr>
            <w:tcW w:w="992"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w:t>
            </w:r>
          </w:p>
        </w:tc>
        <w:tc>
          <w:tcPr>
            <w:tcW w:w="1189"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–1,3</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–1,9</w:t>
            </w:r>
          </w:p>
        </w:tc>
        <w:tc>
          <w:tcPr>
            <w:tcW w:w="1308"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–2,6</w:t>
            </w:r>
          </w:p>
        </w:tc>
        <w:tc>
          <w:tcPr>
            <w:tcW w:w="1306" w:type="dxa"/>
            <w:tcBorders>
              <w:top w:val="single" w:sz="6" w:space="0" w:color="auto"/>
              <w:left w:val="single" w:sz="6" w:space="0" w:color="auto"/>
              <w:bottom w:val="single" w:sz="6" w:space="0" w:color="auto"/>
              <w:right w:val="single" w:sz="6" w:space="0" w:color="auto"/>
            </w:tcBorders>
          </w:tcPr>
          <w:p w:rsidR="00BC7390" w:rsidRDefault="00BC7390" w:rsidP="00BE3063">
            <w:pPr>
              <w:pStyle w:val="TableText0"/>
              <w:jc w:val="center"/>
            </w:pPr>
            <w:r>
              <w:t>–3,4</w:t>
            </w:r>
          </w:p>
        </w:tc>
      </w:tr>
      <w:tr w:rsidR="00BC7390" w:rsidTr="00BE3063">
        <w:trPr>
          <w:cantSplit/>
          <w:jc w:val="center"/>
        </w:trPr>
        <w:tc>
          <w:tcPr>
            <w:tcW w:w="9639" w:type="dxa"/>
            <w:gridSpan w:val="8"/>
          </w:tcPr>
          <w:p w:rsidR="00BC7390" w:rsidRPr="00A4058F" w:rsidRDefault="00BC7390" w:rsidP="00BE3063">
            <w:pPr>
              <w:pStyle w:val="TableLegend0"/>
              <w:ind w:left="-57"/>
              <w:jc w:val="left"/>
              <w:rPr>
                <w:lang w:val="fr-FR"/>
              </w:rPr>
            </w:pPr>
            <w:r w:rsidRPr="00A4058F">
              <w:rPr>
                <w:lang w:val="fr-FR"/>
              </w:rPr>
              <w:t xml:space="preserve">Fréquence de mesure: </w:t>
            </w:r>
            <w:r>
              <w:rPr>
                <w:lang w:val="fr-FR"/>
              </w:rPr>
              <w:t>9,4</w:t>
            </w:r>
            <w:r w:rsidRPr="00A4058F">
              <w:rPr>
                <w:lang w:val="fr-FR"/>
              </w:rPr>
              <w:t xml:space="preserve"> </w:t>
            </w:r>
            <w:r>
              <w:rPr>
                <w:lang w:val="fr-FR"/>
              </w:rPr>
              <w:t>G</w:t>
            </w:r>
            <w:r w:rsidRPr="00A4058F">
              <w:rPr>
                <w:lang w:val="fr-FR"/>
              </w:rPr>
              <w:t>Hz</w:t>
            </w:r>
            <w:r w:rsidRPr="00A4058F">
              <w:rPr>
                <w:lang w:val="fr-FR"/>
              </w:rPr>
              <w:br/>
              <w:t xml:space="preserve">Dimensions de l'échantillon: 600 </w:t>
            </w:r>
            <w:r>
              <w:rPr>
                <w:rFonts w:ascii="Symbol" w:hAnsi="Symbol"/>
              </w:rPr>
              <w:t></w:t>
            </w:r>
            <w:r w:rsidRPr="00A4058F">
              <w:rPr>
                <w:lang w:val="fr-FR"/>
              </w:rPr>
              <w:t xml:space="preserve"> 800 mm</w:t>
            </w:r>
          </w:p>
        </w:tc>
      </w:tr>
    </w:tbl>
    <w:p w:rsidR="00E43FF2" w:rsidRDefault="00E43FF2" w:rsidP="00E43FF2">
      <w:pPr>
        <w:pStyle w:val="Tablefin"/>
      </w:pPr>
    </w:p>
    <w:p w:rsidR="00BC7390" w:rsidRDefault="00BC7390" w:rsidP="00BC7390">
      <w:pPr>
        <w:pStyle w:val="Heading1"/>
      </w:pPr>
      <w:r>
        <w:t>4</w:t>
      </w:r>
      <w:r>
        <w:tab/>
        <w:t>Conclusions</w:t>
      </w:r>
    </w:p>
    <w:p w:rsidR="00BC7390" w:rsidRDefault="00BC7390" w:rsidP="00BC7390">
      <w:r>
        <w:t>Les essais montrent que, si la balise SART est correctement positionnée, la distance de détection requise par l'OMI est atteinte, même avec les effets de masquage de l'engin de survie. Il n'est pas indispensable de placer la balise SART, à plus de 1 m au-dessus de la mer, notamment si ce n'est pas facilement réalisable par les survivants, mais dans l'avenir, l'amélioration du positionnement de l'antenne pourrait augmenter la distance de détection.</w:t>
      </w:r>
    </w:p>
    <w:p w:rsidR="00BC7390" w:rsidRDefault="00BC7390" w:rsidP="00BC7390">
      <w:r w:rsidRPr="00250B8B">
        <w:rPr>
          <w:b/>
        </w:rPr>
        <w:t>4.1</w:t>
      </w:r>
      <w:r>
        <w:tab/>
        <w:t>Les essais ne tiennent pas compte de l'effet d'un réflecteur radar sur les performances de la balise SART, mais il devrait sérieusement dégrader ses performances. Les survivants ne sont pas censés déployer la balise SART et un réflecteur radar sur le même engin de survie, car ce dernier peut masquer la balise SART.</w:t>
      </w:r>
    </w:p>
    <w:p w:rsidR="00BC7390" w:rsidRDefault="00BC7390" w:rsidP="00DD3E74">
      <w:pPr>
        <w:pStyle w:val="AnnexNoTitle"/>
        <w:rPr>
          <w:lang w:val="fr-CH"/>
        </w:rPr>
      </w:pPr>
      <w:r w:rsidRPr="007D0CCD">
        <w:rPr>
          <w:lang w:val="fr-CH"/>
        </w:rPr>
        <w:lastRenderedPageBreak/>
        <w:t>Annexe 4</w:t>
      </w:r>
      <w:r>
        <w:rPr>
          <w:lang w:val="fr-CH"/>
        </w:rPr>
        <w:br/>
      </w:r>
      <w:r>
        <w:rPr>
          <w:lang w:val="fr-CH"/>
        </w:rPr>
        <w:br/>
        <w:t>Caractéristiques des balises SART à polarisation circulaire</w:t>
      </w:r>
    </w:p>
    <w:p w:rsidR="00F026BF" w:rsidRDefault="00F026BF" w:rsidP="00F026BF">
      <w:pPr>
        <w:pStyle w:val="Headingb"/>
        <w:spacing w:before="0"/>
        <w:rPr>
          <w:lang w:val="fr-CH"/>
        </w:rPr>
      </w:pPr>
    </w:p>
    <w:p w:rsidR="00BC7390" w:rsidRDefault="00BC7390" w:rsidP="00BC7390">
      <w:pPr>
        <w:pStyle w:val="Headingb"/>
        <w:rPr>
          <w:lang w:val="fr-CH"/>
        </w:rPr>
      </w:pPr>
      <w:r>
        <w:rPr>
          <w:lang w:val="fr-CH"/>
        </w:rPr>
        <w:t>Avant</w:t>
      </w:r>
      <w:r>
        <w:rPr>
          <w:lang w:val="fr-CH"/>
        </w:rPr>
        <w:noBreakHyphen/>
        <w:t>propos</w:t>
      </w:r>
    </w:p>
    <w:p w:rsidR="00BC7390" w:rsidRDefault="00BC7390" w:rsidP="00BC7390">
      <w:pPr>
        <w:rPr>
          <w:szCs w:val="24"/>
          <w:lang w:val="fr-CH"/>
        </w:rPr>
      </w:pPr>
      <w:r>
        <w:rPr>
          <w:szCs w:val="24"/>
          <w:lang w:val="fr-CH"/>
        </w:rPr>
        <w:t>La polarisation horizontale a été employée jusqu'ici comme méthode de polarisation pour les balises SART. De récentes études menées au Japon ont montré que la polarisation circulaire pourrait aussi leur convenir. Une balise SART employant une polarisation circulaire avec une antenne hélicoïdale a donc été fabriquée aux fins d'être éprouvée et des essais ont été exécutés en citerne à eau et en mer. Les résultats ont montré la supériorité de la polarisation circulaire pour les balises SART et il a été conclu que cela permettrait de réduire leur dimension.</w:t>
      </w:r>
    </w:p>
    <w:p w:rsidR="00BC7390" w:rsidRDefault="00BC7390" w:rsidP="00BC7390">
      <w:pPr>
        <w:pStyle w:val="Heading1"/>
        <w:rPr>
          <w:lang w:val="fr-CH"/>
        </w:rPr>
      </w:pPr>
      <w:r>
        <w:rPr>
          <w:lang w:val="fr-CH"/>
        </w:rPr>
        <w:t>1</w:t>
      </w:r>
      <w:r>
        <w:rPr>
          <w:lang w:val="fr-CH"/>
        </w:rPr>
        <w:tab/>
        <w:t>Caractéristiques du signal SART lors des essais en citerne</w:t>
      </w:r>
    </w:p>
    <w:p w:rsidR="00BC7390" w:rsidRDefault="00BC7390" w:rsidP="00BC7390">
      <w:pPr>
        <w:rPr>
          <w:szCs w:val="24"/>
          <w:lang w:val="fr-CH"/>
        </w:rPr>
      </w:pPr>
      <w:r>
        <w:rPr>
          <w:szCs w:val="24"/>
          <w:lang w:val="fr-CH"/>
        </w:rPr>
        <w:t>Des mesures de la puissance reçue du signal SART et des observations de visibilité du signal sur l'écran du radar ont été effectuées,</w:t>
      </w:r>
      <w:r w:rsidRPr="00787C21">
        <w:rPr>
          <w:szCs w:val="24"/>
          <w:lang w:val="fr-CH"/>
        </w:rPr>
        <w:t xml:space="preserve"> </w:t>
      </w:r>
      <w:r>
        <w:rPr>
          <w:szCs w:val="24"/>
          <w:lang w:val="fr-CH"/>
        </w:rPr>
        <w:t>dans un laboratoire de recherche au Japon, dans une citerne à eau où étaient produites des vagues artificielles. Les résultats ont montré que la polarisation circulaire était supérieure à la polarisation horizontale pour les balises SART.</w:t>
      </w:r>
    </w:p>
    <w:p w:rsidR="00BC7390" w:rsidRDefault="00BC7390" w:rsidP="00BC7390">
      <w:pPr>
        <w:pStyle w:val="Heading1"/>
        <w:rPr>
          <w:lang w:val="fr-CH"/>
        </w:rPr>
      </w:pPr>
      <w:r>
        <w:rPr>
          <w:lang w:val="fr-CH"/>
        </w:rPr>
        <w:t>2</w:t>
      </w:r>
      <w:r>
        <w:rPr>
          <w:lang w:val="fr-CH"/>
        </w:rPr>
        <w:tab/>
        <w:t>Caractéristiques du signal SART lors des essais en mer</w:t>
      </w:r>
    </w:p>
    <w:p w:rsidR="00BC7390" w:rsidRDefault="00BC7390" w:rsidP="00BC7390">
      <w:pPr>
        <w:rPr>
          <w:szCs w:val="24"/>
          <w:lang w:val="fr-CH"/>
        </w:rPr>
      </w:pPr>
      <w:r>
        <w:rPr>
          <w:szCs w:val="24"/>
          <w:lang w:val="fr-CH"/>
        </w:rPr>
        <w:t>Cette expérience a été faite en 2000 dans la baie de Sagami, avec l'aide de navires et d'un avion des autorités maritimes japonaises, en observant la visibilité du signal SART sur les radars à bord des navires et de l'avion. Parallèlement, la puissance reçue du signal SART a été mesurée par un radar placé à terre. Les résultats suivants ont été obtenus:</w:t>
      </w:r>
    </w:p>
    <w:p w:rsidR="00BC7390" w:rsidRDefault="00BC7390" w:rsidP="00BC7390">
      <w:pPr>
        <w:pStyle w:val="enumlev1"/>
        <w:rPr>
          <w:lang w:val="fr-CH"/>
        </w:rPr>
      </w:pPr>
      <w:r>
        <w:rPr>
          <w:lang w:val="fr-CH"/>
        </w:rPr>
        <w:t>a)</w:t>
      </w:r>
      <w:r>
        <w:rPr>
          <w:lang w:val="fr-CH"/>
        </w:rPr>
        <w:tab/>
        <w:t>Pour le radar à bord de l'avion, la distance maximale de visibilité du signal SART à polarisation circulaire était de 37 MN, tandis que celle du signal à polarisation horizontale était de 30 MN. Cela confirme la supériorité de la polarisation circulaire.</w:t>
      </w:r>
    </w:p>
    <w:p w:rsidR="00BC7390" w:rsidRDefault="00BC7390" w:rsidP="00BC7390">
      <w:pPr>
        <w:pStyle w:val="enumlev1"/>
        <w:rPr>
          <w:lang w:val="fr-CH"/>
        </w:rPr>
      </w:pPr>
      <w:r>
        <w:rPr>
          <w:lang w:val="fr-CH"/>
        </w:rPr>
        <w:t>b)</w:t>
      </w:r>
      <w:r>
        <w:rPr>
          <w:lang w:val="fr-CH"/>
        </w:rPr>
        <w:tab/>
        <w:t>Pour le radar de la marine, la distance maximale de visibilité du signal SART à polarisation circulaire était de 14 MN, tandis que celle du signal à polarisation horizontale était de 11,5 MN. Ces résultats confirment aussi la supériorité de la polarisation circulaire.</w:t>
      </w:r>
    </w:p>
    <w:p w:rsidR="00BC7390" w:rsidRPr="007B3575" w:rsidRDefault="00BC7390" w:rsidP="00BC7390">
      <w:pPr>
        <w:pStyle w:val="enumlev1"/>
        <w:rPr>
          <w:lang w:val="fr-CH"/>
        </w:rPr>
      </w:pPr>
      <w:r>
        <w:rPr>
          <w:lang w:val="fr-CH"/>
        </w:rPr>
        <w:t>c)</w:t>
      </w:r>
      <w:r>
        <w:rPr>
          <w:lang w:val="fr-CH"/>
        </w:rPr>
        <w:tab/>
        <w:t>Pour le radar de la marine placé à terre, on a obtenu les résultats présentés dans la Fig. 5. La balise SART à polarisation circulaire se déplaçait en mer à bord d'un petit vaisseau escorteur. La distance entre le radar et la balise SART variait. La puissance reçue du signal SART était mesurée par le radar à terre. Dans la Fig. 5, les points noirs correspondent à la valeur mesurée pour le signal SART à polarisation circulaire tandis que les lignes en pointillés correspondent aux valeurs théoriques pour le signal SART à polarisation horizontale. On observe que les données mesurées sont toujours situées au-dessus de la courbe des valeurs théoriques pour les émissions «de la balise SART vers le radar». En outre, l'intensité et la netteté du signal SART à polarisation circulaire sur l'écran du radar étaient supérieures à celles du signal à polarisation horizontale. Ces résultats, eux aussi, confirment la supériorité de la polarisation circulaire. La raison en est la suivante: parce que le champ électrique tourne, la polarisation circulaire se décompose en composante horizontale et composante verticale. Ces deux composantes n'ont pas les mêmes caractéristiques de réflexion à la surface de la mer. La courbe de la puissance de réception varie donc avec la distance lorsque l'onde directe et l'onde réfléchie à la surface de la mer interfèrent. Ce phénomène conduit à la mesure d'une distance pour la balise SART à polarisation circulaire qui dépasse de 30% ou plus celle mesurée pour une balise SART à polarisation horizontale.</w:t>
      </w:r>
    </w:p>
    <w:p w:rsidR="00BC7390" w:rsidRPr="00A4058F" w:rsidRDefault="00BC7390" w:rsidP="00BC7390">
      <w:pPr>
        <w:pStyle w:val="FigureNo"/>
      </w:pPr>
      <w:r w:rsidRPr="00A4058F">
        <w:lastRenderedPageBreak/>
        <w:t>FIGURE 5</w:t>
      </w:r>
    </w:p>
    <w:p w:rsidR="00BC7390" w:rsidRDefault="00BC7390" w:rsidP="00BC7390">
      <w:pPr>
        <w:pStyle w:val="Figuretitle"/>
        <w:rPr>
          <w:lang w:val="fr-CH"/>
        </w:rPr>
      </w:pPr>
      <w:r>
        <w:rPr>
          <w:lang w:val="fr-CH"/>
        </w:rPr>
        <w:t>Données observées pour le signal SART à polarisation circulaire et</w:t>
      </w:r>
      <w:r>
        <w:rPr>
          <w:lang w:val="fr-CH"/>
        </w:rPr>
        <w:br/>
        <w:t>valeurs théoriques pour celui à polarisation horizontale</w:t>
      </w:r>
    </w:p>
    <w:p w:rsidR="00BC7390" w:rsidRPr="00833744" w:rsidRDefault="00BC7390" w:rsidP="00BC7390">
      <w:pPr>
        <w:pStyle w:val="Figure"/>
      </w:pPr>
      <w:r>
        <w:object w:dxaOrig="7423" w:dyaOrig="5671">
          <v:shape id="_x0000_i1029" type="#_x0000_t75" style="width:366pt;height:281.25pt" o:ole="" o:allowoverlap="f">
            <v:imagedata r:id="rId20" o:title=""/>
          </v:shape>
          <o:OLEObject Type="Embed" ProgID="CorelDraw.Graphic.12" ShapeID="_x0000_i1029" DrawAspect="Content" ObjectID="_1496143694" r:id="rId21"/>
        </w:object>
      </w:r>
    </w:p>
    <w:p w:rsidR="00BC7390" w:rsidRDefault="00BC7390" w:rsidP="00BC7390">
      <w:pPr>
        <w:rPr>
          <w:lang w:val="fr-CH"/>
        </w:rPr>
      </w:pPr>
      <w:r>
        <w:rPr>
          <w:lang w:val="fr-CH"/>
        </w:rPr>
        <w:t>En outre, en 2004, on a effectué par mauvais temps des mesures de la puissance reçue d'un signal SART, en employant un radar de la marine provenant d'un laboratoire de recherche au Japon. Le résultat obtenu a permis de confirmer qu'un signal SART à polarisation circulaire n'était pas moins bon qu'un signal à polarisation horizontale.</w:t>
      </w:r>
    </w:p>
    <w:p w:rsidR="00BC7390" w:rsidRDefault="00BC7390" w:rsidP="00BC7390">
      <w:pPr>
        <w:rPr>
          <w:lang w:val="fr-CH"/>
        </w:rPr>
      </w:pPr>
    </w:p>
    <w:p w:rsidR="00F026BF" w:rsidRDefault="00F026BF" w:rsidP="00BC7390">
      <w:pPr>
        <w:rPr>
          <w:lang w:val="fr-CH"/>
        </w:rPr>
      </w:pPr>
    </w:p>
    <w:p w:rsidR="00BC7390" w:rsidRPr="00D5561D" w:rsidRDefault="00BC7390" w:rsidP="00BC7390">
      <w:pPr>
        <w:pStyle w:val="Line"/>
        <w:rPr>
          <w:lang w:val="fr-CH"/>
        </w:rPr>
      </w:pPr>
    </w:p>
    <w:sectPr w:rsidR="00BC7390" w:rsidRPr="00D5561D" w:rsidSect="00B03D3F">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5C9" w:rsidRDefault="00CF65C9">
      <w:r>
        <w:separator/>
      </w:r>
    </w:p>
  </w:endnote>
  <w:endnote w:type="continuationSeparator" w:id="0">
    <w:p w:rsidR="00CF65C9" w:rsidRDefault="00CF6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5C9" w:rsidRDefault="00CF65C9">
      <w:r>
        <w:separator/>
      </w:r>
    </w:p>
  </w:footnote>
  <w:footnote w:type="continuationSeparator" w:id="0">
    <w:p w:rsidR="00CF65C9" w:rsidRDefault="00CF65C9">
      <w:r>
        <w:continuationSeparator/>
      </w:r>
    </w:p>
  </w:footnote>
  <w:footnote w:id="1">
    <w:p w:rsidR="00BC7390" w:rsidRPr="00F21A2F" w:rsidRDefault="00BC7390" w:rsidP="00BC7390">
      <w:pPr>
        <w:pStyle w:val="FootnoteText"/>
      </w:pPr>
      <w:r>
        <w:rPr>
          <w:rStyle w:val="FootnoteReference"/>
        </w:rPr>
        <w:footnoteRef/>
      </w:r>
      <w:r>
        <w:t xml:space="preserve"> </w:t>
      </w:r>
      <w:r>
        <w:rPr>
          <w:lang w:val="fr-CH"/>
        </w:rPr>
        <w:tab/>
      </w:r>
      <w:r>
        <w:t>Le Directeur du Bureau des radiocommunications est prié de porter cette Recommandation à l'attention de l'Organisation maritime internationale (OMI), de l'Organisation de l'aviation civile internationale (OACI), de la Commission électrotechnique internationale (CEI) et de l'Association internationale de signalisation maritime (AISM).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C9" w:rsidRDefault="00CF65C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C9" w:rsidRDefault="00CF65C9" w:rsidP="00C668C8">
    <w:pPr>
      <w:pStyle w:val="Header"/>
      <w:ind w:right="360" w:firstLine="360"/>
    </w:pPr>
    <w:r>
      <w:rPr>
        <w:noProof/>
        <w:lang w:val="en-US" w:eastAsia="zh-CN"/>
      </w:rPr>
      <w:drawing>
        <wp:anchor distT="0" distB="0" distL="114300" distR="114300" simplePos="0" relativeHeight="251660288" behindDoc="0" locked="0" layoutInCell="1" allowOverlap="1" wp14:anchorId="7FA67A07" wp14:editId="30A4619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D40D238" wp14:editId="2ACD8B8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C9" w:rsidRPr="00837CB5" w:rsidRDefault="00CF65C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6264F">
      <w:rPr>
        <w:rStyle w:val="PageNumber"/>
        <w:b/>
        <w:bCs/>
        <w:noProof/>
      </w:rPr>
      <w:t>ii</w:t>
    </w:r>
    <w:r>
      <w:rPr>
        <w:rStyle w:val="PageNumber"/>
        <w:b/>
        <w:bCs/>
      </w:rPr>
      <w:fldChar w:fldCharType="end"/>
    </w:r>
    <w:r w:rsidRPr="00837CB5">
      <w:tab/>
    </w:r>
    <w:r w:rsidR="006847CB">
      <w:fldChar w:fldCharType="begin"/>
    </w:r>
    <w:r w:rsidR="006847CB">
      <w:instrText xml:space="preserve"> DOCPROPERTY "Header" \* MERGEFORMAT </w:instrText>
    </w:r>
    <w:r w:rsidR="006847CB">
      <w:fldChar w:fldCharType="separate"/>
    </w:r>
    <w:r w:rsidR="00B6264F" w:rsidRPr="00B6264F">
      <w:rPr>
        <w:b/>
        <w:bCs/>
      </w:rPr>
      <w:t xml:space="preserve">Rec. </w:t>
    </w:r>
    <w:r w:rsidR="006847CB">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6264F">
      <w:rPr>
        <w:b/>
        <w:bCs/>
        <w:noProof/>
      </w:rPr>
      <w:t>UIT-R  M.628-5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5C9" w:rsidRDefault="00CF65C9">
    <w:pPr>
      <w:pStyle w:val="Header"/>
    </w:pPr>
    <w:r>
      <w:tab/>
    </w:r>
    <w:r w:rsidR="006847CB">
      <w:fldChar w:fldCharType="begin"/>
    </w:r>
    <w:r w:rsidR="006847CB">
      <w:instrText xml:space="preserve"> DOCPROPERTY "Header" \* MERGEFORMAT </w:instrText>
    </w:r>
    <w:r w:rsidR="006847CB">
      <w:fldChar w:fldCharType="separate"/>
    </w:r>
    <w:r w:rsidR="00B6264F" w:rsidRPr="00B6264F">
      <w:rPr>
        <w:b/>
        <w:bCs/>
      </w:rPr>
      <w:t xml:space="preserve">Rec. </w:t>
    </w:r>
    <w:r w:rsidR="006847CB">
      <w:rPr>
        <w:b/>
        <w:bCs/>
      </w:rPr>
      <w:fldChar w:fldCharType="end"/>
    </w:r>
    <w:r>
      <w:rPr>
        <w:b/>
        <w:bCs/>
      </w:rPr>
      <w:t xml:space="preserve"> </w:t>
    </w:r>
    <w:r>
      <w:rPr>
        <w:b/>
        <w:bCs/>
      </w:rPr>
      <w:fldChar w:fldCharType="begin"/>
    </w:r>
    <w:r>
      <w:rPr>
        <w:b/>
        <w:bCs/>
      </w:rPr>
      <w:instrText>styleref href</w:instrText>
    </w:r>
    <w:r>
      <w:rPr>
        <w:b/>
        <w:bCs/>
      </w:rPr>
      <w:fldChar w:fldCharType="separate"/>
    </w:r>
    <w:r w:rsidR="00B6264F">
      <w:rPr>
        <w:b/>
        <w:bCs/>
        <w:noProof/>
      </w:rPr>
      <w:t>UIT-R  M.628-5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47CB">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6264F" w:rsidRPr="00B6264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847CB">
      <w:rPr>
        <w:b/>
        <w:bCs/>
        <w:noProof/>
      </w:rPr>
      <w:t>UIT-R  M.628-5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6847CB">
      <w:fldChar w:fldCharType="begin"/>
    </w:r>
    <w:r w:rsidR="006847CB">
      <w:instrText xml:space="preserve"> DOCPROPERTY "Header" \* MERGEFORMAT </w:instrText>
    </w:r>
    <w:r w:rsidR="006847CB">
      <w:fldChar w:fldCharType="separate"/>
    </w:r>
    <w:r w:rsidR="00B6264F" w:rsidRPr="00B6264F">
      <w:rPr>
        <w:b/>
        <w:bCs/>
      </w:rPr>
      <w:t xml:space="preserve">Rec. </w:t>
    </w:r>
    <w:r w:rsidR="006847CB">
      <w:rPr>
        <w:b/>
        <w:bCs/>
      </w:rPr>
      <w:fldChar w:fldCharType="end"/>
    </w:r>
    <w:r>
      <w:rPr>
        <w:b/>
        <w:bCs/>
      </w:rPr>
      <w:t xml:space="preserve"> </w:t>
    </w:r>
    <w:r>
      <w:rPr>
        <w:b/>
        <w:bCs/>
      </w:rPr>
      <w:fldChar w:fldCharType="begin"/>
    </w:r>
    <w:r>
      <w:rPr>
        <w:b/>
        <w:bCs/>
      </w:rPr>
      <w:instrText>styleref href</w:instrText>
    </w:r>
    <w:r>
      <w:rPr>
        <w:b/>
        <w:bCs/>
      </w:rPr>
      <w:fldChar w:fldCharType="separate"/>
    </w:r>
    <w:r w:rsidR="006847CB">
      <w:rPr>
        <w:b/>
        <w:bCs/>
        <w:noProof/>
      </w:rPr>
      <w:t>UIT-R  M.628-5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847CB">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5C9"/>
    <w:rsid w:val="00046C5A"/>
    <w:rsid w:val="00196171"/>
    <w:rsid w:val="001F6C7F"/>
    <w:rsid w:val="00217EBF"/>
    <w:rsid w:val="00242AEE"/>
    <w:rsid w:val="002961ED"/>
    <w:rsid w:val="002D76C4"/>
    <w:rsid w:val="00430564"/>
    <w:rsid w:val="0052529D"/>
    <w:rsid w:val="005547D3"/>
    <w:rsid w:val="00600017"/>
    <w:rsid w:val="00607D68"/>
    <w:rsid w:val="006473AF"/>
    <w:rsid w:val="0067552A"/>
    <w:rsid w:val="006847CB"/>
    <w:rsid w:val="006D04F6"/>
    <w:rsid w:val="007022F9"/>
    <w:rsid w:val="007468DA"/>
    <w:rsid w:val="00771262"/>
    <w:rsid w:val="007D1D49"/>
    <w:rsid w:val="00857396"/>
    <w:rsid w:val="008F787E"/>
    <w:rsid w:val="00916FCC"/>
    <w:rsid w:val="00941731"/>
    <w:rsid w:val="00953453"/>
    <w:rsid w:val="009A4B21"/>
    <w:rsid w:val="009C6AEC"/>
    <w:rsid w:val="009E00A8"/>
    <w:rsid w:val="00A43A55"/>
    <w:rsid w:val="00A6617B"/>
    <w:rsid w:val="00A80732"/>
    <w:rsid w:val="00AB0DC8"/>
    <w:rsid w:val="00AE2432"/>
    <w:rsid w:val="00B03D3F"/>
    <w:rsid w:val="00B44E24"/>
    <w:rsid w:val="00B6264F"/>
    <w:rsid w:val="00BB1014"/>
    <w:rsid w:val="00BC7390"/>
    <w:rsid w:val="00C31587"/>
    <w:rsid w:val="00CF65C9"/>
    <w:rsid w:val="00D368D3"/>
    <w:rsid w:val="00D5561D"/>
    <w:rsid w:val="00D704D4"/>
    <w:rsid w:val="00DD265D"/>
    <w:rsid w:val="00DD3E74"/>
    <w:rsid w:val="00DE17E8"/>
    <w:rsid w:val="00DF4176"/>
    <w:rsid w:val="00E43FF2"/>
    <w:rsid w:val="00E4567D"/>
    <w:rsid w:val="00E90388"/>
    <w:rsid w:val="00F02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357D7266-C581-4E6F-9891-3C2C27C7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5C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DD3E74"/>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16FCC"/>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F65C9"/>
    <w:rPr>
      <w:color w:val="0000FF"/>
      <w:u w:val="single"/>
    </w:rPr>
  </w:style>
  <w:style w:type="character" w:customStyle="1" w:styleId="FootnoteTextChar">
    <w:name w:val="Footnote Text Char"/>
    <w:basedOn w:val="DefaultParagraphFont"/>
    <w:link w:val="FootnoteText"/>
    <w:rsid w:val="00BC7390"/>
    <w:rPr>
      <w:sz w:val="22"/>
      <w:lang w:val="fr-FR" w:eastAsia="en-US"/>
    </w:rPr>
  </w:style>
  <w:style w:type="character" w:customStyle="1" w:styleId="Heading1Char">
    <w:name w:val="Heading 1 Char"/>
    <w:basedOn w:val="DefaultParagraphFont"/>
    <w:link w:val="Heading1"/>
    <w:rsid w:val="00BC7390"/>
    <w:rPr>
      <w:b/>
      <w:sz w:val="24"/>
      <w:lang w:val="fr-FR" w:eastAsia="en-US"/>
    </w:rPr>
  </w:style>
  <w:style w:type="paragraph" w:customStyle="1" w:styleId="TableLegend0">
    <w:name w:val="Table_Legend"/>
    <w:basedOn w:val="Normal"/>
    <w:next w:val="Normal"/>
    <w:rsid w:val="00BC7390"/>
    <w:pPr>
      <w:keepNext/>
      <w:spacing w:before="86" w:line="199" w:lineRule="exact"/>
      <w:ind w:left="-85" w:right="-85"/>
    </w:pPr>
    <w:rPr>
      <w:sz w:val="18"/>
      <w:lang w:val="en-GB" w:eastAsia="zh-CN"/>
    </w:rPr>
  </w:style>
  <w:style w:type="paragraph" w:customStyle="1" w:styleId="TableTitle0">
    <w:name w:val="Table_Title"/>
    <w:basedOn w:val="Table"/>
    <w:next w:val="Normal"/>
    <w:rsid w:val="00BC7390"/>
    <w:pPr>
      <w:spacing w:before="0"/>
    </w:pPr>
    <w:rPr>
      <w:b/>
    </w:rPr>
  </w:style>
  <w:style w:type="paragraph" w:customStyle="1" w:styleId="Table">
    <w:name w:val="Table_#"/>
    <w:basedOn w:val="Normal"/>
    <w:next w:val="TableTitle0"/>
    <w:rsid w:val="00BC7390"/>
    <w:pPr>
      <w:keepNext/>
      <w:tabs>
        <w:tab w:val="clear" w:pos="794"/>
        <w:tab w:val="clear" w:pos="1191"/>
        <w:tab w:val="clear" w:pos="1588"/>
        <w:tab w:val="clear" w:pos="1985"/>
      </w:tabs>
      <w:spacing w:before="567" w:after="113"/>
      <w:jc w:val="center"/>
    </w:pPr>
    <w:rPr>
      <w:sz w:val="18"/>
      <w:lang w:val="en-GB" w:eastAsia="zh-CN"/>
    </w:rPr>
  </w:style>
  <w:style w:type="paragraph" w:customStyle="1" w:styleId="TableText0">
    <w:name w:val="Table_Text"/>
    <w:basedOn w:val="TableLegend0"/>
    <w:rsid w:val="00BC7390"/>
    <w:pPr>
      <w:spacing w:before="100" w:after="100" w:line="190" w:lineRule="exact"/>
      <w:ind w:left="0"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image" Target="media/image7.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4.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324</TotalTime>
  <Pages>13</Pages>
  <Words>3168</Words>
  <Characters>16586</Characters>
  <Application>Microsoft Office Word</Application>
  <DocSecurity>0</DocSecurity>
  <Lines>436</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Brice, Corinne</cp:lastModifiedBy>
  <cp:revision>19</cp:revision>
  <cp:lastPrinted>2015-06-18T12:28:00Z</cp:lastPrinted>
  <dcterms:created xsi:type="dcterms:W3CDTF">2015-06-16T08:08:00Z</dcterms:created>
  <dcterms:modified xsi:type="dcterms:W3CDTF">2015-06-18T12:40:00Z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