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FB7547">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FB7547">
              <w:rPr>
                <w:rFonts w:ascii="Tahoma" w:hAnsi="Tahoma" w:cs="Tahoma"/>
                <w:b/>
                <w:bCs/>
                <w:iCs/>
                <w:color w:val="243285"/>
                <w:sz w:val="36"/>
                <w:szCs w:val="36"/>
              </w:rPr>
              <w:t>628-5</w:t>
            </w:r>
          </w:p>
          <w:p w:rsidR="00FE79FE" w:rsidRPr="004F65E4" w:rsidRDefault="00FE79FE" w:rsidP="0091753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917530">
              <w:rPr>
                <w:rFonts w:ascii="Tahoma" w:hAnsi="Tahoma" w:cs="Tahoma"/>
                <w:b/>
                <w:bCs/>
                <w:iCs/>
                <w:color w:val="243285"/>
                <w:szCs w:val="24"/>
              </w:rPr>
              <w:t>03</w:t>
            </w:r>
            <w:r w:rsidRPr="004F65E4">
              <w:rPr>
                <w:rFonts w:ascii="Tahoma" w:hAnsi="Tahoma" w:cs="Tahoma"/>
                <w:b/>
                <w:bCs/>
                <w:iCs/>
                <w:color w:val="243285"/>
                <w:szCs w:val="24"/>
              </w:rPr>
              <w:t>/</w:t>
            </w:r>
            <w:r w:rsidR="00917530">
              <w:rPr>
                <w:rFonts w:ascii="Tahoma" w:hAnsi="Tahoma" w:cs="Tahoma"/>
                <w:b/>
                <w:bCs/>
                <w:iCs/>
                <w:color w:val="243285"/>
                <w:szCs w:val="24"/>
              </w:rPr>
              <w:t>2012</w:t>
            </w:r>
            <w:r w:rsidRPr="004F65E4">
              <w:rPr>
                <w:rFonts w:ascii="Tahoma" w:hAnsi="Tahoma" w:cs="Tahoma"/>
                <w:b/>
                <w:bCs/>
                <w:iCs/>
                <w:color w:val="243285"/>
                <w:szCs w:val="24"/>
              </w:rPr>
              <w:t>)</w:t>
            </w:r>
          </w:p>
        </w:tc>
      </w:tr>
      <w:tr w:rsidR="00FE79FE" w:rsidRPr="00B13A27">
        <w:tc>
          <w:tcPr>
            <w:tcW w:w="10089" w:type="dxa"/>
          </w:tcPr>
          <w:p w:rsidR="00013002" w:rsidRPr="003B49A3"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436106" w:rsidP="00436106">
            <w:pPr>
              <w:spacing w:before="80" w:line="500" w:lineRule="exact"/>
              <w:jc w:val="right"/>
              <w:rPr>
                <w:rFonts w:ascii="Tahoma" w:hAnsi="Tahoma" w:cs="Tahoma"/>
                <w:b/>
                <w:bCs/>
                <w:iCs/>
                <w:color w:val="243285"/>
                <w:sz w:val="44"/>
                <w:szCs w:val="44"/>
                <w:lang w:val="en-US"/>
              </w:rPr>
            </w:pPr>
            <w:r w:rsidRPr="00436106">
              <w:rPr>
                <w:rFonts w:ascii="Tahoma" w:hAnsi="Tahoma" w:cs="Tahoma"/>
                <w:b/>
                <w:bCs/>
                <w:iCs/>
                <w:color w:val="243285"/>
                <w:sz w:val="44"/>
                <w:szCs w:val="44"/>
                <w:lang w:val="en-US"/>
              </w:rPr>
              <w:t>Technical characteristics for search</w:t>
            </w:r>
            <w:r>
              <w:rPr>
                <w:rFonts w:ascii="Tahoma" w:hAnsi="Tahoma" w:cs="Tahoma"/>
                <w:b/>
                <w:bCs/>
                <w:iCs/>
                <w:color w:val="243285"/>
                <w:sz w:val="44"/>
                <w:szCs w:val="44"/>
                <w:lang w:val="en-US"/>
              </w:rPr>
              <w:br/>
            </w:r>
            <w:r w:rsidRPr="00436106">
              <w:rPr>
                <w:rFonts w:ascii="Tahoma" w:hAnsi="Tahoma" w:cs="Tahoma"/>
                <w:b/>
                <w:bCs/>
                <w:iCs/>
                <w:color w:val="243285"/>
                <w:sz w:val="44"/>
                <w:szCs w:val="44"/>
                <w:lang w:val="en-US"/>
              </w:rPr>
              <w:t>and rescue radar transponders</w:t>
            </w:r>
            <w:r w:rsidRPr="003B49A3">
              <w:rPr>
                <w:rFonts w:ascii="Tahoma" w:hAnsi="Tahoma" w:cs="Tahoma"/>
                <w:b/>
                <w:bCs/>
                <w:iCs/>
                <w:color w:val="243285"/>
                <w:sz w:val="44"/>
                <w:szCs w:val="44"/>
                <w:lang w:val="en-US"/>
              </w:rPr>
              <w:t xml:space="preserve"> </w:t>
            </w:r>
          </w:p>
          <w:p w:rsidR="00A62A14" w:rsidRPr="00436106" w:rsidRDefault="00A62A14" w:rsidP="00FE79FE">
            <w:pPr>
              <w:spacing w:before="80" w:line="500" w:lineRule="exact"/>
              <w:jc w:val="right"/>
              <w:rPr>
                <w:rFonts w:ascii="Tahoma" w:hAnsi="Tahoma" w:cs="Tahoma"/>
                <w:b/>
                <w:bCs/>
                <w:iCs/>
                <w:color w:val="243285"/>
                <w:sz w:val="44"/>
                <w:szCs w:val="44"/>
                <w:lang w:val="en-US"/>
              </w:rPr>
            </w:pPr>
          </w:p>
        </w:tc>
      </w:tr>
      <w:tr w:rsidR="00FE79FE">
        <w:tc>
          <w:tcPr>
            <w:tcW w:w="10089" w:type="dxa"/>
          </w:tcPr>
          <w:p w:rsidR="00FD15CF" w:rsidRPr="003B49A3" w:rsidRDefault="00FD15CF" w:rsidP="00FD15CF">
            <w:pPr>
              <w:spacing w:before="80" w:line="280" w:lineRule="exact"/>
              <w:ind w:right="640"/>
              <w:rPr>
                <w:rFonts w:ascii="Tahoma" w:hAnsi="Tahoma" w:cs="Tahoma"/>
                <w:b/>
                <w:bCs/>
                <w:iCs/>
                <w:color w:val="243285"/>
                <w:sz w:val="32"/>
                <w:szCs w:val="32"/>
                <w:lang w:val="en-US"/>
              </w:rPr>
            </w:pPr>
          </w:p>
          <w:p w:rsidR="00FD15CF" w:rsidRPr="003B49A3"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B13A27">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B13A27"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B13A27"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B13A27">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B13A27">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13A27">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B13A27">
        <w:rPr>
          <w:sz w:val="20"/>
          <w:lang w:val="en-US"/>
        </w:rPr>
        <w:t>3</w:t>
      </w:r>
    </w:p>
    <w:p w:rsidR="00470E28" w:rsidRDefault="00470E28" w:rsidP="00906589">
      <w:pPr>
        <w:jc w:val="center"/>
        <w:rPr>
          <w:sz w:val="22"/>
          <w:lang w:val="en-US"/>
        </w:rPr>
      </w:pPr>
    </w:p>
    <w:p w:rsidR="00586EF8" w:rsidRPr="00470E28" w:rsidRDefault="00586EF8" w:rsidP="00B13A27">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B13A27">
        <w:rPr>
          <w:sz w:val="20"/>
          <w:lang w:val="en-US"/>
        </w:rPr>
        <w:t>3</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934ED7" w:rsidP="00436106">
      <w:pPr>
        <w:pStyle w:val="RecNo"/>
        <w:spacing w:before="0"/>
        <w:rPr>
          <w:rStyle w:val="href"/>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sidR="0041667C">
        <w:rPr>
          <w:rStyle w:val="href"/>
          <w:lang w:val="en-US"/>
        </w:rPr>
        <w:t>M</w:t>
      </w:r>
      <w:r w:rsidRPr="00BF487A">
        <w:rPr>
          <w:rStyle w:val="href"/>
          <w:lang w:val="en-US"/>
        </w:rPr>
        <w:t>.</w:t>
      </w:r>
      <w:r w:rsidR="00436106">
        <w:rPr>
          <w:rStyle w:val="href"/>
          <w:lang w:val="en-US"/>
        </w:rPr>
        <w:t>628-5</w:t>
      </w:r>
      <w:r w:rsidR="00436106" w:rsidRPr="00260A70">
        <w:rPr>
          <w:rStyle w:val="FootnoteReference"/>
          <w:sz w:val="22"/>
          <w:szCs w:val="22"/>
          <w:vertAlign w:val="superscript"/>
        </w:rPr>
        <w:footnoteReference w:id="1"/>
      </w:r>
    </w:p>
    <w:p w:rsidR="00436106" w:rsidRPr="00436106" w:rsidRDefault="00436106" w:rsidP="00436106">
      <w:pPr>
        <w:pStyle w:val="Rectitle"/>
        <w:rPr>
          <w:lang w:val="en-US"/>
        </w:rPr>
      </w:pPr>
      <w:r w:rsidRPr="00436106">
        <w:rPr>
          <w:lang w:val="en-US"/>
        </w:rPr>
        <w:t>Technical characteristics for search and rescue radar transponders</w:t>
      </w:r>
    </w:p>
    <w:p w:rsidR="0041441E" w:rsidRPr="00260A70" w:rsidRDefault="00436106" w:rsidP="0041441E">
      <w:pPr>
        <w:pStyle w:val="Recdate"/>
        <w:rPr>
          <w:lang w:val="en-US"/>
        </w:rPr>
      </w:pPr>
      <w:r w:rsidRPr="00260A70">
        <w:rPr>
          <w:lang w:val="en-US"/>
        </w:rPr>
        <w:t>(1986-1990-1992-1994-2006-2012)</w:t>
      </w:r>
    </w:p>
    <w:p w:rsidR="00436106" w:rsidRPr="00436106" w:rsidRDefault="00436106" w:rsidP="00436106">
      <w:pPr>
        <w:pStyle w:val="HeadingSum"/>
        <w:rPr>
          <w:sz w:val="22"/>
        </w:rPr>
      </w:pPr>
      <w:r w:rsidRPr="00436106">
        <w:rPr>
          <w:sz w:val="22"/>
        </w:rPr>
        <w:t>Scope</w:t>
      </w:r>
    </w:p>
    <w:p w:rsidR="00436106" w:rsidRPr="00436106" w:rsidRDefault="00436106" w:rsidP="00436106">
      <w:pPr>
        <w:pStyle w:val="Summary"/>
        <w:spacing w:after="0"/>
        <w:rPr>
          <w:sz w:val="22"/>
        </w:rPr>
      </w:pPr>
      <w:r w:rsidRPr="00436106">
        <w:rPr>
          <w:sz w:val="22"/>
        </w:rPr>
        <w:t>This Recommendation contains technical characteristics for search and rescue radar transponders (SART). A SART is used for locating a ship or survival craft at sea when it is in distress.</w:t>
      </w:r>
    </w:p>
    <w:p w:rsidR="00436106" w:rsidRPr="00436106" w:rsidRDefault="00436106" w:rsidP="00436106">
      <w:pPr>
        <w:pStyle w:val="Summary"/>
        <w:rPr>
          <w:sz w:val="22"/>
        </w:rPr>
      </w:pPr>
      <w:r w:rsidRPr="00436106">
        <w:rPr>
          <w:sz w:val="22"/>
        </w:rPr>
        <w:t>A ship or survival craft at sea can use a SART to indicate that it is in distress. The SART can be detected by radars operating in the frequency band 9 200-9 500 MHz.</w:t>
      </w:r>
    </w:p>
    <w:p w:rsidR="00436106" w:rsidRPr="00436106" w:rsidRDefault="00436106" w:rsidP="00436106">
      <w:pPr>
        <w:pStyle w:val="Normalaftertitle"/>
        <w:rPr>
          <w:lang w:val="en-US"/>
        </w:rPr>
      </w:pPr>
      <w:r w:rsidRPr="00436106">
        <w:rPr>
          <w:lang w:val="en-US"/>
        </w:rPr>
        <w:t>The ITU Radiocommunication Assembly,</w:t>
      </w:r>
    </w:p>
    <w:p w:rsidR="00436106" w:rsidRPr="00436106" w:rsidRDefault="00436106" w:rsidP="00436106">
      <w:pPr>
        <w:pStyle w:val="Call"/>
        <w:rPr>
          <w:lang w:val="en-US"/>
        </w:rPr>
      </w:pPr>
      <w:r w:rsidRPr="00436106">
        <w:rPr>
          <w:lang w:val="en-US"/>
        </w:rPr>
        <w:t>considering</w:t>
      </w:r>
    </w:p>
    <w:p w:rsidR="00436106" w:rsidRPr="00436106" w:rsidRDefault="00436106" w:rsidP="00436106">
      <w:pPr>
        <w:rPr>
          <w:lang w:val="en-US"/>
        </w:rPr>
      </w:pPr>
      <w:r w:rsidRPr="00436106">
        <w:rPr>
          <w:lang w:val="en-US"/>
        </w:rPr>
        <w:t>a)</w:t>
      </w:r>
      <w:r w:rsidRPr="00436106">
        <w:rPr>
          <w:lang w:val="en-US"/>
        </w:rPr>
        <w:tab/>
        <w:t>that there is a need to locate vessels or their survival craft in distress at sea;</w:t>
      </w:r>
    </w:p>
    <w:p w:rsidR="00436106" w:rsidRPr="00436106" w:rsidRDefault="00436106" w:rsidP="00436106">
      <w:pPr>
        <w:rPr>
          <w:lang w:val="en-US"/>
        </w:rPr>
      </w:pPr>
      <w:r w:rsidRPr="00436106">
        <w:rPr>
          <w:lang w:val="en-US"/>
        </w:rPr>
        <w:t>b)</w:t>
      </w:r>
      <w:r w:rsidRPr="00436106">
        <w:rPr>
          <w:lang w:val="en-US"/>
        </w:rPr>
        <w:tab/>
        <w:t>that part of that need can be fulfilled by the Global Maritime Distress Safety System;</w:t>
      </w:r>
    </w:p>
    <w:p w:rsidR="00436106" w:rsidRPr="00436106" w:rsidRDefault="00436106" w:rsidP="00436106">
      <w:pPr>
        <w:rPr>
          <w:lang w:val="en-US"/>
        </w:rPr>
      </w:pPr>
      <w:r w:rsidRPr="00436106">
        <w:rPr>
          <w:lang w:val="en-US"/>
        </w:rPr>
        <w:t>c)</w:t>
      </w:r>
      <w:r w:rsidRPr="00436106">
        <w:rPr>
          <w:lang w:val="en-US"/>
        </w:rPr>
        <w:tab/>
        <w:t xml:space="preserve">that the location of vessels and survival craft in distress at sea is enhanced by the carriage of radar transponders; </w:t>
      </w:r>
    </w:p>
    <w:p w:rsidR="00436106" w:rsidRPr="00436106" w:rsidRDefault="00436106" w:rsidP="00436106">
      <w:pPr>
        <w:rPr>
          <w:lang w:val="en-US"/>
        </w:rPr>
      </w:pPr>
      <w:r w:rsidRPr="00436106">
        <w:rPr>
          <w:lang w:val="en-US"/>
        </w:rPr>
        <w:t>d)</w:t>
      </w:r>
      <w:r w:rsidRPr="00436106">
        <w:rPr>
          <w:lang w:val="en-US"/>
        </w:rPr>
        <w:tab/>
        <w:t xml:space="preserve">that a locating system is more effective if the radar transponder was in conformity with internationally agreed technical and operating characteristics; </w:t>
      </w:r>
    </w:p>
    <w:p w:rsidR="00436106" w:rsidRDefault="00436106" w:rsidP="00436106">
      <w:pPr>
        <w:rPr>
          <w:lang w:val="en-US"/>
        </w:rPr>
      </w:pPr>
      <w:r w:rsidRPr="00436106">
        <w:rPr>
          <w:lang w:val="en-US"/>
        </w:rPr>
        <w:t>e)</w:t>
      </w:r>
      <w:r w:rsidRPr="00436106">
        <w:rPr>
          <w:lang w:val="en-US"/>
        </w:rPr>
        <w:tab/>
        <w:t>that the International Maritime Organization (IMO) has adopted a Recommendation on performance standards for survival craft radar transponders for use in search and rescue operations,</w:t>
      </w:r>
    </w:p>
    <w:p w:rsidR="00436106" w:rsidRPr="00436106" w:rsidRDefault="00436106" w:rsidP="00436106">
      <w:pPr>
        <w:pStyle w:val="Call"/>
        <w:rPr>
          <w:lang w:val="en-US"/>
        </w:rPr>
      </w:pPr>
      <w:r w:rsidRPr="00436106">
        <w:rPr>
          <w:lang w:val="en-US"/>
        </w:rPr>
        <w:t>recognizing</w:t>
      </w:r>
    </w:p>
    <w:p w:rsidR="00436106" w:rsidRPr="00436106" w:rsidRDefault="00436106" w:rsidP="00436106">
      <w:pPr>
        <w:rPr>
          <w:lang w:val="en-US"/>
        </w:rPr>
      </w:pPr>
      <w:r w:rsidRPr="00436106">
        <w:rPr>
          <w:lang w:val="en-US"/>
        </w:rPr>
        <w:t>that the International Convention for the Safety of Life at Sea (SOLAS) requires the carriage of one or more radar transponders operating in the 9 200 to 9 500 MHz frequency band,</w:t>
      </w:r>
    </w:p>
    <w:p w:rsidR="00436106" w:rsidRPr="00436106" w:rsidRDefault="00436106" w:rsidP="00436106">
      <w:pPr>
        <w:pStyle w:val="Call"/>
        <w:rPr>
          <w:lang w:val="en-US"/>
        </w:rPr>
      </w:pPr>
      <w:r w:rsidRPr="00436106">
        <w:rPr>
          <w:lang w:val="en-US"/>
        </w:rPr>
        <w:t>recommends</w:t>
      </w:r>
    </w:p>
    <w:p w:rsidR="00436106" w:rsidRPr="00436106" w:rsidRDefault="00436106" w:rsidP="00436106">
      <w:pPr>
        <w:rPr>
          <w:lang w:val="en-US"/>
        </w:rPr>
      </w:pPr>
      <w:r w:rsidRPr="00436106">
        <w:rPr>
          <w:b/>
          <w:lang w:val="en-US"/>
        </w:rPr>
        <w:t>1</w:t>
      </w:r>
      <w:r w:rsidRPr="00436106">
        <w:rPr>
          <w:lang w:val="en-US"/>
        </w:rPr>
        <w:tab/>
        <w:t>that the technical characteristics of search and rescue radar transponders (SART) operating in the frequency range 9 200-9 500 MHz should be in accordance with Annex 1;</w:t>
      </w:r>
    </w:p>
    <w:p w:rsidR="00436106" w:rsidRPr="00436106" w:rsidRDefault="00436106" w:rsidP="00436106">
      <w:pPr>
        <w:rPr>
          <w:lang w:val="en-US"/>
        </w:rPr>
      </w:pPr>
      <w:r w:rsidRPr="00436106">
        <w:rPr>
          <w:b/>
          <w:lang w:val="en-US"/>
        </w:rPr>
        <w:t>2</w:t>
      </w:r>
      <w:r w:rsidRPr="00436106">
        <w:rPr>
          <w:lang w:val="en-US"/>
        </w:rPr>
        <w:tab/>
        <w:t>that the maximum detection range of a SART having technical characteristics in accordance with Annex 1 by a radar conforming with the latest relevant IMO Resolution should be assessed using its measured technical characteristics in conjunction with the theoretical method given in Annex 2;</w:t>
      </w:r>
    </w:p>
    <w:p w:rsidR="00436106" w:rsidRPr="00436106" w:rsidRDefault="00436106" w:rsidP="00436106">
      <w:pPr>
        <w:rPr>
          <w:lang w:val="en-US"/>
        </w:rPr>
      </w:pPr>
      <w:r w:rsidRPr="00436106">
        <w:rPr>
          <w:b/>
          <w:lang w:val="en-US"/>
        </w:rPr>
        <w:t>3</w:t>
      </w:r>
      <w:r w:rsidRPr="00436106">
        <w:rPr>
          <w:lang w:val="en-US"/>
        </w:rPr>
        <w:tab/>
        <w:t>Notes 1 and 2 should be considered as part of this Recommendation.</w:t>
      </w:r>
    </w:p>
    <w:p w:rsidR="00436106" w:rsidRPr="00436106" w:rsidRDefault="00436106" w:rsidP="00436106">
      <w:pPr>
        <w:rPr>
          <w:lang w:val="en-US"/>
        </w:rPr>
      </w:pPr>
      <w:r w:rsidRPr="00436106">
        <w:rPr>
          <w:lang w:val="en-US"/>
        </w:rPr>
        <w:t>NOTE 1 – The propagation losses of a SART signal caused by a survival craft and its occupants are explained in Annex 3.</w:t>
      </w:r>
    </w:p>
    <w:p w:rsidR="00436106" w:rsidRPr="00436106" w:rsidRDefault="00436106" w:rsidP="00436106">
      <w:pPr>
        <w:rPr>
          <w:lang w:val="en-US"/>
        </w:rPr>
      </w:pPr>
      <w:r w:rsidRPr="00436106">
        <w:rPr>
          <w:lang w:val="en-US"/>
        </w:rPr>
        <w:t>NOTE 2 – The technical characteristics of circular polarization SARTs are described in Annex 4.</w:t>
      </w:r>
    </w:p>
    <w:p w:rsidR="00436106" w:rsidRPr="00436106" w:rsidRDefault="00436106" w:rsidP="00436106">
      <w:pPr>
        <w:rPr>
          <w:sz w:val="28"/>
          <w:lang w:val="en-US"/>
        </w:rPr>
      </w:pPr>
    </w:p>
    <w:p w:rsidR="00B13A27" w:rsidRPr="00542E4B" w:rsidRDefault="00B13A27" w:rsidP="00B13A27">
      <w:pPr>
        <w:pStyle w:val="AnnexNoTitle"/>
        <w:rPr>
          <w:lang w:val="en-US"/>
        </w:rPr>
      </w:pPr>
      <w:r w:rsidRPr="00542E4B">
        <w:rPr>
          <w:lang w:val="en-US"/>
        </w:rPr>
        <w:lastRenderedPageBreak/>
        <w:t>Annex</w:t>
      </w:r>
      <w:r w:rsidR="002F665D">
        <w:rPr>
          <w:lang w:val="en-US"/>
        </w:rPr>
        <w:t xml:space="preserve"> </w:t>
      </w:r>
      <w:r w:rsidRPr="00542E4B">
        <w:rPr>
          <w:lang w:val="en-US"/>
        </w:rPr>
        <w:t>1</w:t>
      </w:r>
      <w:r w:rsidRPr="00542E4B">
        <w:rPr>
          <w:lang w:val="en-US"/>
        </w:rPr>
        <w:br/>
      </w:r>
      <w:r>
        <w:rPr>
          <w:lang w:val="en-US"/>
        </w:rPr>
        <w:br/>
        <w:t>T</w:t>
      </w:r>
      <w:r w:rsidRPr="00542E4B">
        <w:rPr>
          <w:lang w:val="en-US"/>
        </w:rPr>
        <w:t>echnical characteristics for search and rescue radar transponders</w:t>
      </w:r>
      <w:r w:rsidRPr="00542E4B">
        <w:rPr>
          <w:lang w:val="en-US"/>
        </w:rPr>
        <w:br/>
        <w:t>operating over the band 9 200-9 500 MHz</w:t>
      </w:r>
    </w:p>
    <w:p w:rsidR="00B13A27" w:rsidRPr="00B13A27" w:rsidRDefault="00B13A27" w:rsidP="00B13A27">
      <w:pPr>
        <w:pStyle w:val="Normalaftertitle"/>
        <w:rPr>
          <w:lang w:val="en-US"/>
        </w:rPr>
      </w:pPr>
      <w:r w:rsidRPr="00B13A27">
        <w:rPr>
          <w:b/>
          <w:lang w:val="en-US"/>
        </w:rPr>
        <w:t>1</w:t>
      </w:r>
      <w:r w:rsidRPr="00B13A27">
        <w:rPr>
          <w:lang w:val="en-US"/>
        </w:rPr>
        <w:tab/>
        <w:t>Frequency: 9</w:t>
      </w:r>
      <w:r w:rsidRPr="00B13A27">
        <w:rPr>
          <w:sz w:val="12"/>
          <w:lang w:val="en-US"/>
        </w:rPr>
        <w:t> </w:t>
      </w:r>
      <w:r w:rsidRPr="00B13A27">
        <w:rPr>
          <w:lang w:val="en-US"/>
        </w:rPr>
        <w:t>200-9</w:t>
      </w:r>
      <w:r w:rsidRPr="00B13A27">
        <w:rPr>
          <w:sz w:val="12"/>
          <w:lang w:val="en-US"/>
        </w:rPr>
        <w:t> </w:t>
      </w:r>
      <w:r w:rsidRPr="00B13A27">
        <w:rPr>
          <w:lang w:val="en-US"/>
        </w:rPr>
        <w:t>500 MHz.</w:t>
      </w:r>
    </w:p>
    <w:p w:rsidR="00B13A27" w:rsidRPr="000357BC" w:rsidRDefault="00B13A27" w:rsidP="00B13A27">
      <w:pPr>
        <w:rPr>
          <w:lang w:val="en-US"/>
        </w:rPr>
      </w:pPr>
      <w:r w:rsidRPr="000357BC">
        <w:rPr>
          <w:b/>
          <w:lang w:val="en-US"/>
        </w:rPr>
        <w:t>2</w:t>
      </w:r>
      <w:r w:rsidRPr="000357BC">
        <w:rPr>
          <w:lang w:val="en-US"/>
        </w:rPr>
        <w:tab/>
        <w:t>Polarization: horizontal</w:t>
      </w:r>
      <w:r>
        <w:rPr>
          <w:lang w:val="en-US"/>
        </w:rPr>
        <w:t xml:space="preserve"> or circular</w:t>
      </w:r>
      <w:r w:rsidRPr="000357BC">
        <w:rPr>
          <w:lang w:val="en-US"/>
        </w:rPr>
        <w:t>.</w:t>
      </w:r>
    </w:p>
    <w:p w:rsidR="00B13A27" w:rsidRPr="000357BC" w:rsidRDefault="00B13A27" w:rsidP="00B13A27">
      <w:pPr>
        <w:rPr>
          <w:lang w:val="en-US"/>
        </w:rPr>
      </w:pPr>
      <w:r w:rsidRPr="000357BC">
        <w:rPr>
          <w:b/>
          <w:lang w:val="en-US"/>
        </w:rPr>
        <w:t>3</w:t>
      </w:r>
      <w:r w:rsidRPr="000357BC">
        <w:rPr>
          <w:lang w:val="en-US"/>
        </w:rPr>
        <w:tab/>
        <w:t xml:space="preserve">Sweep rate: 5 </w:t>
      </w:r>
      <w:r>
        <w:rPr>
          <w:rFonts w:ascii="Symbol" w:hAnsi="Symbol"/>
        </w:rPr>
        <w:t></w:t>
      </w:r>
      <w:r w:rsidRPr="000357BC">
        <w:rPr>
          <w:lang w:val="en-US"/>
        </w:rPr>
        <w:t>s per 200 MHz, nominal.</w:t>
      </w:r>
    </w:p>
    <w:p w:rsidR="00B13A27" w:rsidRPr="000357BC" w:rsidRDefault="00B13A27" w:rsidP="00B13A27">
      <w:pPr>
        <w:rPr>
          <w:lang w:val="en-US"/>
        </w:rPr>
      </w:pPr>
      <w:r w:rsidRPr="000357BC">
        <w:rPr>
          <w:b/>
          <w:lang w:val="en-US"/>
        </w:rPr>
        <w:t>4</w:t>
      </w:r>
      <w:r w:rsidRPr="000357BC">
        <w:rPr>
          <w:lang w:val="en-US"/>
        </w:rPr>
        <w:tab/>
        <w:t>The response signal should consist of 12 sweeps.</w:t>
      </w:r>
    </w:p>
    <w:p w:rsidR="00B13A27" w:rsidRPr="000357BC" w:rsidRDefault="00B13A27" w:rsidP="00B13A27">
      <w:pPr>
        <w:tabs>
          <w:tab w:val="left" w:pos="3544"/>
        </w:tabs>
        <w:ind w:left="3544" w:hanging="3544"/>
        <w:jc w:val="left"/>
        <w:rPr>
          <w:lang w:val="en-US"/>
        </w:rPr>
      </w:pPr>
      <w:r w:rsidRPr="000357BC">
        <w:rPr>
          <w:b/>
          <w:lang w:val="en-US"/>
        </w:rPr>
        <w:t>5</w:t>
      </w:r>
      <w:r w:rsidRPr="000357BC">
        <w:rPr>
          <w:lang w:val="en-US"/>
        </w:rPr>
        <w:tab/>
        <w:t>Form of sweep: sawtooth,</w:t>
      </w:r>
      <w:r w:rsidRPr="000357BC">
        <w:rPr>
          <w:lang w:val="en-US"/>
        </w:rPr>
        <w:tab/>
        <w:t xml:space="preserve">forward sweep time: 7.5 </w:t>
      </w:r>
      <w:r>
        <w:rPr>
          <w:rFonts w:ascii="Symbol" w:hAnsi="Symbol"/>
        </w:rPr>
        <w:t></w:t>
      </w:r>
      <w:r w:rsidRPr="000357BC">
        <w:rPr>
          <w:lang w:val="en-US"/>
        </w:rPr>
        <w:t xml:space="preserve">s </w:t>
      </w:r>
      <w:r>
        <w:rPr>
          <w:rFonts w:ascii="Symbol" w:hAnsi="Symbol"/>
        </w:rPr>
        <w:t></w:t>
      </w:r>
      <w:r w:rsidRPr="000357BC">
        <w:rPr>
          <w:lang w:val="en-US"/>
        </w:rPr>
        <w:t xml:space="preserve"> 1 </w:t>
      </w:r>
      <w:r>
        <w:rPr>
          <w:rFonts w:ascii="Symbol" w:hAnsi="Symbol"/>
        </w:rPr>
        <w:t></w:t>
      </w:r>
      <w:r w:rsidRPr="000357BC">
        <w:rPr>
          <w:lang w:val="en-US"/>
        </w:rPr>
        <w:t>s,</w:t>
      </w:r>
      <w:r w:rsidRPr="000357BC">
        <w:rPr>
          <w:lang w:val="en-US"/>
        </w:rPr>
        <w:br/>
        <w:t xml:space="preserve">return sweep time: 0.4 </w:t>
      </w:r>
      <w:r>
        <w:rPr>
          <w:rFonts w:ascii="Symbol" w:hAnsi="Symbol"/>
        </w:rPr>
        <w:t></w:t>
      </w:r>
      <w:r w:rsidRPr="000357BC">
        <w:rPr>
          <w:lang w:val="en-US"/>
        </w:rPr>
        <w:t xml:space="preserve">s </w:t>
      </w:r>
      <w:r>
        <w:rPr>
          <w:rFonts w:ascii="Symbol" w:hAnsi="Symbol"/>
        </w:rPr>
        <w:t></w:t>
      </w:r>
      <w:r w:rsidRPr="000357BC">
        <w:rPr>
          <w:lang w:val="en-US"/>
        </w:rPr>
        <w:t xml:space="preserve"> 0.1 </w:t>
      </w:r>
      <w:r>
        <w:rPr>
          <w:rFonts w:ascii="Symbol" w:hAnsi="Symbol"/>
        </w:rPr>
        <w:t></w:t>
      </w:r>
      <w:r w:rsidRPr="000357BC">
        <w:rPr>
          <w:lang w:val="en-US"/>
        </w:rPr>
        <w:t>s.</w:t>
      </w:r>
      <w:r w:rsidRPr="000357BC">
        <w:rPr>
          <w:lang w:val="en-US"/>
        </w:rPr>
        <w:br/>
        <w:t>The response should commence with a return sweep.</w:t>
      </w:r>
    </w:p>
    <w:p w:rsidR="00B13A27" w:rsidRPr="000357BC" w:rsidRDefault="00B13A27" w:rsidP="00B13A27">
      <w:pPr>
        <w:tabs>
          <w:tab w:val="left" w:pos="2269"/>
        </w:tabs>
        <w:rPr>
          <w:lang w:val="en-US"/>
        </w:rPr>
      </w:pPr>
      <w:r w:rsidRPr="000357BC">
        <w:rPr>
          <w:b/>
          <w:lang w:val="en-US"/>
        </w:rPr>
        <w:t>6</w:t>
      </w:r>
      <w:r w:rsidRPr="000357BC">
        <w:rPr>
          <w:lang w:val="en-US"/>
        </w:rPr>
        <w:tab/>
        <w:t xml:space="preserve">Pulse emission: 100 </w:t>
      </w:r>
      <w:r>
        <w:rPr>
          <w:rFonts w:ascii="Symbol" w:hAnsi="Symbol"/>
        </w:rPr>
        <w:t></w:t>
      </w:r>
      <w:r w:rsidRPr="000357BC">
        <w:rPr>
          <w:lang w:val="en-US"/>
        </w:rPr>
        <w:t>s nominal.</w:t>
      </w:r>
    </w:p>
    <w:p w:rsidR="00B13A27" w:rsidRPr="000357BC" w:rsidRDefault="00B13A27" w:rsidP="00B13A27">
      <w:pPr>
        <w:tabs>
          <w:tab w:val="left" w:pos="2269"/>
        </w:tabs>
        <w:rPr>
          <w:lang w:val="en-US"/>
        </w:rPr>
      </w:pPr>
      <w:r w:rsidRPr="000357BC">
        <w:rPr>
          <w:b/>
          <w:lang w:val="en-US"/>
        </w:rPr>
        <w:t>7</w:t>
      </w:r>
      <w:r w:rsidRPr="000357BC">
        <w:rPr>
          <w:lang w:val="en-US"/>
        </w:rPr>
        <w:tab/>
        <w:t xml:space="preserve">e.i.r.p.: not less than 400 mW (equivalent to </w:t>
      </w:r>
      <w:r>
        <w:rPr>
          <w:rFonts w:ascii="Symbol" w:hAnsi="Symbol"/>
        </w:rPr>
        <w:t></w:t>
      </w:r>
      <w:r w:rsidRPr="000357BC">
        <w:rPr>
          <w:lang w:val="en-US"/>
        </w:rPr>
        <w:t>26 dBm).</w:t>
      </w:r>
    </w:p>
    <w:p w:rsidR="00B13A27" w:rsidRPr="000357BC" w:rsidRDefault="00B13A27" w:rsidP="00B13A27">
      <w:pPr>
        <w:tabs>
          <w:tab w:val="left" w:pos="2269"/>
          <w:tab w:val="left" w:pos="3402"/>
        </w:tabs>
        <w:rPr>
          <w:lang w:val="en-US"/>
        </w:rPr>
      </w:pPr>
      <w:r w:rsidRPr="000357BC">
        <w:rPr>
          <w:b/>
          <w:lang w:val="en-US"/>
        </w:rPr>
        <w:t>8</w:t>
      </w:r>
      <w:r w:rsidRPr="000357BC">
        <w:rPr>
          <w:lang w:val="en-US"/>
        </w:rPr>
        <w:tab/>
        <w:t>Effective receiver sensitivity: better than –50 dBm (equivalent to 0.1 mW/m</w:t>
      </w:r>
      <w:r w:rsidRPr="000357BC">
        <w:rPr>
          <w:position w:val="6"/>
          <w:sz w:val="16"/>
          <w:lang w:val="en-US"/>
        </w:rPr>
        <w:t>2</w:t>
      </w:r>
      <w:r w:rsidRPr="000357BC">
        <w:rPr>
          <w:lang w:val="en-US"/>
        </w:rPr>
        <w:t>) (see Note 1).</w:t>
      </w:r>
    </w:p>
    <w:p w:rsidR="00B13A27" w:rsidRPr="000357BC" w:rsidRDefault="00B13A27" w:rsidP="00B13A27">
      <w:pPr>
        <w:tabs>
          <w:tab w:val="clear" w:pos="1191"/>
          <w:tab w:val="clear" w:pos="1588"/>
          <w:tab w:val="clear" w:pos="1985"/>
          <w:tab w:val="left" w:pos="3544"/>
        </w:tabs>
        <w:ind w:left="3544" w:hanging="3544"/>
        <w:jc w:val="left"/>
        <w:rPr>
          <w:lang w:val="en-US"/>
        </w:rPr>
      </w:pPr>
      <w:r w:rsidRPr="000357BC">
        <w:rPr>
          <w:b/>
          <w:lang w:val="en-US"/>
        </w:rPr>
        <w:t>9</w:t>
      </w:r>
      <w:r w:rsidRPr="000357BC">
        <w:rPr>
          <w:lang w:val="en-US"/>
        </w:rPr>
        <w:tab/>
        <w:t>Duration of operation:</w:t>
      </w:r>
      <w:r w:rsidRPr="000357BC">
        <w:rPr>
          <w:lang w:val="en-US"/>
        </w:rPr>
        <w:tab/>
        <w:t>96 h in stand-by condition followed by 8 h of transponder transmissions while being continuously interrogated with a pulse repetition frequency of 1 kHz.</w:t>
      </w:r>
    </w:p>
    <w:p w:rsidR="00B13A27" w:rsidRPr="000357BC" w:rsidRDefault="00B13A27" w:rsidP="00B13A27">
      <w:pPr>
        <w:tabs>
          <w:tab w:val="clear" w:pos="1191"/>
          <w:tab w:val="clear" w:pos="1588"/>
          <w:tab w:val="clear" w:pos="1985"/>
          <w:tab w:val="left" w:pos="2835"/>
        </w:tabs>
        <w:ind w:left="2835" w:hanging="2835"/>
        <w:jc w:val="left"/>
        <w:rPr>
          <w:lang w:val="en-US"/>
        </w:rPr>
      </w:pPr>
      <w:r w:rsidRPr="000357BC">
        <w:rPr>
          <w:b/>
          <w:lang w:val="en-US"/>
        </w:rPr>
        <w:t>10</w:t>
      </w:r>
      <w:r w:rsidRPr="000357BC">
        <w:rPr>
          <w:lang w:val="en-US"/>
        </w:rPr>
        <w:tab/>
        <w:t>Temperature range:</w:t>
      </w:r>
      <w:r w:rsidRPr="000357BC">
        <w:rPr>
          <w:lang w:val="en-US"/>
        </w:rPr>
        <w:tab/>
        <w:t xml:space="preserve">ambient: –20° C to </w:t>
      </w:r>
      <w:r>
        <w:rPr>
          <w:rFonts w:ascii="Symbol" w:hAnsi="Symbol"/>
        </w:rPr>
        <w:t></w:t>
      </w:r>
      <w:r w:rsidRPr="000357BC">
        <w:rPr>
          <w:lang w:val="en-US"/>
        </w:rPr>
        <w:t>55° C,</w:t>
      </w:r>
      <w:r w:rsidRPr="000357BC">
        <w:rPr>
          <w:lang w:val="en-US"/>
        </w:rPr>
        <w:br/>
        <w:t>stowage: –30° C to +65° C.</w:t>
      </w:r>
    </w:p>
    <w:p w:rsidR="00B13A27" w:rsidRPr="000357BC" w:rsidRDefault="00B13A27" w:rsidP="00B13A27">
      <w:pPr>
        <w:tabs>
          <w:tab w:val="left" w:pos="2269"/>
        </w:tabs>
        <w:rPr>
          <w:lang w:val="en-US"/>
        </w:rPr>
      </w:pPr>
      <w:r w:rsidRPr="000357BC">
        <w:rPr>
          <w:b/>
          <w:lang w:val="en-US"/>
        </w:rPr>
        <w:t>11</w:t>
      </w:r>
      <w:r w:rsidRPr="000357BC">
        <w:rPr>
          <w:lang w:val="en-US"/>
        </w:rPr>
        <w:tab/>
        <w:t xml:space="preserve">Recovery time following excitation: 10 </w:t>
      </w:r>
      <w:r>
        <w:rPr>
          <w:rFonts w:ascii="Symbol" w:hAnsi="Symbol"/>
        </w:rPr>
        <w:t></w:t>
      </w:r>
      <w:r w:rsidRPr="000357BC">
        <w:rPr>
          <w:lang w:val="en-US"/>
        </w:rPr>
        <w:t>s or less.</w:t>
      </w:r>
    </w:p>
    <w:p w:rsidR="00B13A27" w:rsidRPr="000357BC" w:rsidRDefault="00B13A27" w:rsidP="00B13A27">
      <w:pPr>
        <w:tabs>
          <w:tab w:val="left" w:pos="2269"/>
        </w:tabs>
        <w:rPr>
          <w:lang w:val="en-US"/>
        </w:rPr>
      </w:pPr>
      <w:r w:rsidRPr="000357BC">
        <w:rPr>
          <w:b/>
          <w:lang w:val="en-US"/>
        </w:rPr>
        <w:t>12</w:t>
      </w:r>
      <w:r w:rsidRPr="000357BC">
        <w:rPr>
          <w:lang w:val="en-US"/>
        </w:rPr>
        <w:tab/>
        <w:t xml:space="preserve">Effective antenna height: </w:t>
      </w:r>
      <w:r>
        <w:rPr>
          <w:rFonts w:ascii="Symbol" w:hAnsi="Symbol"/>
        </w:rPr>
        <w:t></w:t>
      </w:r>
      <w:r w:rsidRPr="000357BC">
        <w:rPr>
          <w:lang w:val="en-US"/>
        </w:rPr>
        <w:t>1 m (see Note 2).</w:t>
      </w:r>
    </w:p>
    <w:p w:rsidR="00B13A27" w:rsidRPr="000357BC" w:rsidRDefault="00B13A27" w:rsidP="00B13A27">
      <w:pPr>
        <w:tabs>
          <w:tab w:val="left" w:pos="2269"/>
        </w:tabs>
        <w:rPr>
          <w:lang w:val="en-US"/>
        </w:rPr>
      </w:pPr>
      <w:r w:rsidRPr="000357BC">
        <w:rPr>
          <w:b/>
          <w:lang w:val="en-US"/>
        </w:rPr>
        <w:t>13</w:t>
      </w:r>
      <w:r w:rsidRPr="000357BC">
        <w:rPr>
          <w:lang w:val="en-US"/>
        </w:rPr>
        <w:tab/>
        <w:t xml:space="preserve">Delay between receipt of radar signal and start of transmission: 0.5 </w:t>
      </w:r>
      <w:r>
        <w:rPr>
          <w:rFonts w:ascii="Symbol" w:hAnsi="Symbol"/>
        </w:rPr>
        <w:t></w:t>
      </w:r>
      <w:r w:rsidRPr="000357BC">
        <w:rPr>
          <w:lang w:val="en-US"/>
        </w:rPr>
        <w:t>s or less.</w:t>
      </w:r>
    </w:p>
    <w:p w:rsidR="00B13A27" w:rsidRPr="000357BC" w:rsidRDefault="00B13A27" w:rsidP="00B13A27">
      <w:pPr>
        <w:tabs>
          <w:tab w:val="clear" w:pos="1191"/>
          <w:tab w:val="clear" w:pos="1588"/>
          <w:tab w:val="clear" w:pos="1985"/>
          <w:tab w:val="left" w:pos="3686"/>
        </w:tabs>
        <w:ind w:left="3686" w:hanging="3686"/>
        <w:rPr>
          <w:lang w:val="en-US"/>
        </w:rPr>
      </w:pPr>
      <w:r w:rsidRPr="000357BC">
        <w:rPr>
          <w:b/>
          <w:lang w:val="en-US"/>
        </w:rPr>
        <w:t>14</w:t>
      </w:r>
      <w:r w:rsidRPr="000357BC">
        <w:rPr>
          <w:lang w:val="en-US"/>
        </w:rPr>
        <w:tab/>
        <w:t>Antenna vertical beamwidth:</w:t>
      </w:r>
      <w:r>
        <w:rPr>
          <w:lang w:val="en-US"/>
        </w:rPr>
        <w:tab/>
      </w:r>
      <w:r w:rsidRPr="000357BC">
        <w:rPr>
          <w:lang w:val="en-US"/>
        </w:rPr>
        <w:t xml:space="preserve">at least </w:t>
      </w:r>
      <w:r>
        <w:rPr>
          <w:rFonts w:ascii="Symbol" w:hAnsi="Symbol"/>
        </w:rPr>
        <w:t></w:t>
      </w:r>
      <w:r w:rsidRPr="000357BC">
        <w:rPr>
          <w:lang w:val="en-US"/>
        </w:rPr>
        <w:t xml:space="preserve"> 12.5° relative to the radar transponders’ horizontal plane.</w:t>
      </w:r>
    </w:p>
    <w:p w:rsidR="00B13A27" w:rsidRPr="000357BC" w:rsidRDefault="00B13A27" w:rsidP="00B13A27">
      <w:pPr>
        <w:rPr>
          <w:lang w:val="en-US"/>
        </w:rPr>
      </w:pPr>
      <w:r w:rsidRPr="000357BC">
        <w:rPr>
          <w:b/>
          <w:lang w:val="en-US"/>
        </w:rPr>
        <w:t>15</w:t>
      </w:r>
      <w:r w:rsidRPr="000357BC">
        <w:rPr>
          <w:lang w:val="en-US"/>
        </w:rPr>
        <w:tab/>
        <w:t xml:space="preserve">Antenna azimuthal beamwidth: omnidirectional within </w:t>
      </w:r>
      <w:r>
        <w:rPr>
          <w:rFonts w:ascii="Symbol" w:hAnsi="Symbol"/>
        </w:rPr>
        <w:t></w:t>
      </w:r>
      <w:r w:rsidRPr="000357BC">
        <w:rPr>
          <w:lang w:val="en-US"/>
        </w:rPr>
        <w:t xml:space="preserve"> 2 dB.</w:t>
      </w:r>
    </w:p>
    <w:p w:rsidR="00B13A27" w:rsidRPr="000357BC" w:rsidRDefault="00B13A27" w:rsidP="00B13A27">
      <w:pPr>
        <w:pStyle w:val="Note"/>
        <w:rPr>
          <w:lang w:val="en-US"/>
        </w:rPr>
      </w:pPr>
      <w:r w:rsidRPr="00542E4B">
        <w:rPr>
          <w:lang w:val="en-US"/>
        </w:rPr>
        <w:t>NOTE</w:t>
      </w:r>
      <w:r>
        <w:rPr>
          <w:lang w:val="en-US"/>
        </w:rPr>
        <w:t> </w:t>
      </w:r>
      <w:r w:rsidRPr="00542E4B">
        <w:rPr>
          <w:lang w:val="en-US"/>
        </w:rPr>
        <w:t>1</w:t>
      </w:r>
      <w:r>
        <w:rPr>
          <w:lang w:val="en-US"/>
        </w:rPr>
        <w:t> </w:t>
      </w:r>
      <w:r w:rsidRPr="000357BC">
        <w:rPr>
          <w:lang w:val="en-US"/>
        </w:rPr>
        <w:t>–</w:t>
      </w:r>
      <w:r>
        <w:rPr>
          <w:lang w:val="en-US"/>
        </w:rPr>
        <w:t> </w:t>
      </w:r>
      <w:r w:rsidRPr="000357BC">
        <w:rPr>
          <w:lang w:val="en-US"/>
        </w:rPr>
        <w:t>Effective receiver sensitivity includes antenna gain.</w:t>
      </w:r>
    </w:p>
    <w:p w:rsidR="00B13A27" w:rsidRPr="00F11FCE" w:rsidRDefault="00B13A27" w:rsidP="00B13A27">
      <w:pPr>
        <w:pStyle w:val="enumlev1"/>
        <w:rPr>
          <w:sz w:val="22"/>
          <w:szCs w:val="22"/>
          <w:lang w:val="en-US"/>
        </w:rPr>
      </w:pPr>
      <w:r w:rsidRPr="00F11FCE">
        <w:rPr>
          <w:sz w:val="22"/>
          <w:szCs w:val="22"/>
          <w:lang w:val="en-US"/>
        </w:rPr>
        <w:t>–</w:t>
      </w:r>
      <w:r w:rsidRPr="00F11FCE">
        <w:rPr>
          <w:sz w:val="22"/>
          <w:szCs w:val="22"/>
          <w:lang w:val="en-US"/>
        </w:rPr>
        <w:tab/>
        <w:t xml:space="preserve">Effective receiver sensitivity of better than –50 dBm applies to interrogating radar pulses (medium and long) of </w:t>
      </w:r>
      <w:r w:rsidRPr="00F11FCE">
        <w:rPr>
          <w:rFonts w:ascii="Symbol" w:hAnsi="Symbol"/>
          <w:sz w:val="22"/>
          <w:szCs w:val="22"/>
        </w:rPr>
        <w:t></w:t>
      </w:r>
      <w:r w:rsidRPr="00F11FCE">
        <w:rPr>
          <w:sz w:val="22"/>
          <w:szCs w:val="22"/>
          <w:lang w:val="en-US"/>
        </w:rPr>
        <w:t> 400 ns.</w:t>
      </w:r>
    </w:p>
    <w:p w:rsidR="00B13A27" w:rsidRPr="00F11FCE" w:rsidRDefault="00B13A27" w:rsidP="00B13A27">
      <w:pPr>
        <w:pStyle w:val="enumlev1"/>
        <w:rPr>
          <w:sz w:val="22"/>
          <w:szCs w:val="22"/>
          <w:lang w:val="en-US"/>
        </w:rPr>
      </w:pPr>
      <w:r w:rsidRPr="00F11FCE">
        <w:rPr>
          <w:sz w:val="22"/>
          <w:szCs w:val="22"/>
          <w:lang w:val="en-US"/>
        </w:rPr>
        <w:t>–</w:t>
      </w:r>
      <w:r w:rsidRPr="00F11FCE">
        <w:rPr>
          <w:sz w:val="22"/>
          <w:szCs w:val="22"/>
          <w:lang w:val="en-US"/>
        </w:rPr>
        <w:tab/>
        <w:t xml:space="preserve">Effective receiver sensitivity of better than –37 dBm applies to interrogating radar pulses (short) of </w:t>
      </w:r>
      <w:r w:rsidRPr="00F11FCE">
        <w:rPr>
          <w:rFonts w:ascii="Symbol" w:hAnsi="Symbol"/>
          <w:sz w:val="22"/>
          <w:szCs w:val="22"/>
        </w:rPr>
        <w:t></w:t>
      </w:r>
      <w:r w:rsidRPr="00F11FCE">
        <w:rPr>
          <w:sz w:val="22"/>
          <w:szCs w:val="22"/>
          <w:lang w:val="en-US"/>
        </w:rPr>
        <w:t> 100 ns.</w:t>
      </w:r>
    </w:p>
    <w:p w:rsidR="00B13A27" w:rsidRPr="00F11FCE" w:rsidRDefault="00B13A27" w:rsidP="00B13A27">
      <w:pPr>
        <w:pStyle w:val="enumlev1"/>
        <w:rPr>
          <w:sz w:val="22"/>
          <w:szCs w:val="22"/>
          <w:lang w:val="en-US"/>
        </w:rPr>
      </w:pPr>
      <w:r w:rsidRPr="00F11FCE">
        <w:rPr>
          <w:sz w:val="22"/>
          <w:szCs w:val="22"/>
          <w:lang w:val="en-US"/>
        </w:rPr>
        <w:t>–</w:t>
      </w:r>
      <w:r w:rsidRPr="00F11FCE">
        <w:rPr>
          <w:sz w:val="22"/>
          <w:szCs w:val="22"/>
          <w:lang w:val="en-US"/>
        </w:rPr>
        <w:tab/>
        <w:t>The receiver should be capable of correct operation when subjected to the radiated field (28</w:t>
      </w:r>
      <w:r>
        <w:rPr>
          <w:sz w:val="22"/>
          <w:szCs w:val="22"/>
          <w:lang w:val="en-US"/>
        </w:rPr>
        <w:t> </w:t>
      </w:r>
      <w:r w:rsidRPr="00F11FCE">
        <w:rPr>
          <w:sz w:val="22"/>
          <w:szCs w:val="22"/>
          <w:lang w:val="en-US"/>
        </w:rPr>
        <w:t>dB(W/m</w:t>
      </w:r>
      <w:r w:rsidRPr="00F11FCE">
        <w:rPr>
          <w:sz w:val="22"/>
          <w:szCs w:val="22"/>
          <w:vertAlign w:val="superscript"/>
          <w:lang w:val="en-US"/>
        </w:rPr>
        <w:t>2</w:t>
      </w:r>
      <w:r w:rsidRPr="00F11FCE">
        <w:rPr>
          <w:sz w:val="22"/>
          <w:szCs w:val="22"/>
          <w:lang w:val="en-US"/>
        </w:rPr>
        <w:t xml:space="preserve">)) emitted from a shipborne radar complying with IMO Resolution MSC.192(79) at any distance </w:t>
      </w:r>
      <w:r w:rsidRPr="00F11FCE">
        <w:rPr>
          <w:rFonts w:ascii="Symbol" w:hAnsi="Symbol"/>
          <w:sz w:val="22"/>
          <w:szCs w:val="22"/>
        </w:rPr>
        <w:t></w:t>
      </w:r>
      <w:r w:rsidRPr="00F11FCE">
        <w:rPr>
          <w:sz w:val="22"/>
          <w:szCs w:val="22"/>
          <w:lang w:val="en-US"/>
        </w:rPr>
        <w:t xml:space="preserve"> 20 m.</w:t>
      </w:r>
    </w:p>
    <w:p w:rsidR="00B13A27" w:rsidRPr="000357BC" w:rsidRDefault="00B13A27" w:rsidP="00B13A27">
      <w:pPr>
        <w:pStyle w:val="Note"/>
        <w:rPr>
          <w:lang w:val="en-US"/>
        </w:rPr>
      </w:pPr>
      <w:r w:rsidRPr="00E20352">
        <w:rPr>
          <w:lang w:val="en-US"/>
        </w:rPr>
        <w:t>NOTE</w:t>
      </w:r>
      <w:r>
        <w:rPr>
          <w:lang w:val="en-US"/>
        </w:rPr>
        <w:t> </w:t>
      </w:r>
      <w:r w:rsidRPr="00E20352">
        <w:rPr>
          <w:lang w:val="en-US"/>
        </w:rPr>
        <w:t>2</w:t>
      </w:r>
      <w:r>
        <w:rPr>
          <w:lang w:val="en-US"/>
        </w:rPr>
        <w:t> </w:t>
      </w:r>
      <w:r w:rsidRPr="000357BC">
        <w:rPr>
          <w:lang w:val="en-US"/>
        </w:rPr>
        <w:t>–</w:t>
      </w:r>
      <w:r>
        <w:rPr>
          <w:lang w:val="en-US"/>
        </w:rPr>
        <w:t> </w:t>
      </w:r>
      <w:r w:rsidRPr="000357BC">
        <w:rPr>
          <w:lang w:val="en-US"/>
        </w:rPr>
        <w:t>This effective antenna height is applicable for equipment required by Regulations III/6.2.2 and IV/7.1.3 of the 1988 Amendments to the 1974 SOLAS Convention.</w:t>
      </w:r>
    </w:p>
    <w:p w:rsidR="00B13A27" w:rsidRDefault="00B13A27" w:rsidP="00B13A27">
      <w:pPr>
        <w:rPr>
          <w:lang w:val="en-US"/>
        </w:rPr>
      </w:pPr>
    </w:p>
    <w:p w:rsidR="00B13A27" w:rsidRDefault="00B13A27" w:rsidP="00B13A27">
      <w:pPr>
        <w:rPr>
          <w:lang w:val="en-US"/>
        </w:rPr>
      </w:pPr>
    </w:p>
    <w:p w:rsidR="00B13A27" w:rsidRPr="00E20352" w:rsidRDefault="00B13A27" w:rsidP="00B13A27">
      <w:pPr>
        <w:pStyle w:val="AnnexNoTitle"/>
        <w:rPr>
          <w:lang w:val="en-US"/>
        </w:rPr>
      </w:pPr>
      <w:r w:rsidRPr="00E20352">
        <w:rPr>
          <w:lang w:val="en-US"/>
        </w:rPr>
        <w:lastRenderedPageBreak/>
        <w:t>Annex</w:t>
      </w:r>
      <w:r w:rsidR="002F665D">
        <w:rPr>
          <w:lang w:val="en-US"/>
        </w:rPr>
        <w:t xml:space="preserve"> </w:t>
      </w:r>
      <w:r w:rsidRPr="00E20352">
        <w:rPr>
          <w:lang w:val="en-US"/>
        </w:rPr>
        <w:t>2</w:t>
      </w:r>
    </w:p>
    <w:p w:rsidR="00B13A27" w:rsidRPr="000357BC" w:rsidRDefault="00B13A27" w:rsidP="00B13A27">
      <w:pPr>
        <w:pStyle w:val="Normalaftertitle"/>
        <w:rPr>
          <w:lang w:val="en-US"/>
        </w:rPr>
      </w:pPr>
      <w:r w:rsidRPr="000357BC">
        <w:rPr>
          <w:lang w:val="en-US"/>
        </w:rPr>
        <w:t xml:space="preserve">The maximum detection range of a SART of given or measured e.i.r.p. and effective receiver sensitivity when deployed with a radar conforming with IMO Resolution </w:t>
      </w:r>
      <w:r>
        <w:rPr>
          <w:lang w:val="en-US"/>
        </w:rPr>
        <w:t>MSC.192(79)</w:t>
      </w:r>
      <w:r w:rsidRPr="000357BC">
        <w:rPr>
          <w:lang w:val="en-US"/>
        </w:rPr>
        <w:t xml:space="preserve"> may be assessed using Fig. 1.</w:t>
      </w:r>
    </w:p>
    <w:p w:rsidR="00B13A27" w:rsidRPr="000357BC" w:rsidRDefault="00B13A27" w:rsidP="00B13A27">
      <w:pPr>
        <w:tabs>
          <w:tab w:val="left" w:pos="-720"/>
        </w:tabs>
        <w:rPr>
          <w:lang w:val="en-US"/>
        </w:rPr>
      </w:pPr>
      <w:r w:rsidRPr="000357BC">
        <w:rPr>
          <w:lang w:val="en-US"/>
        </w:rPr>
        <w:t>The essential parameters of the radar are:</w:t>
      </w:r>
    </w:p>
    <w:p w:rsidR="00B13A27" w:rsidRPr="000357BC" w:rsidRDefault="00B13A27" w:rsidP="00B13A27">
      <w:pPr>
        <w:pStyle w:val="enumlev1"/>
        <w:rPr>
          <w:lang w:val="en-US"/>
        </w:rPr>
      </w:pPr>
      <w:r w:rsidRPr="000357BC">
        <w:rPr>
          <w:lang w:val="en-US"/>
        </w:rPr>
        <w:t>–</w:t>
      </w:r>
      <w:r w:rsidRPr="000357BC">
        <w:rPr>
          <w:lang w:val="en-US"/>
        </w:rPr>
        <w:tab/>
        <w:t>transmitter power 25 kW,</w:t>
      </w:r>
    </w:p>
    <w:p w:rsidR="00B13A27" w:rsidRPr="000357BC" w:rsidRDefault="00B13A27" w:rsidP="00B13A27">
      <w:pPr>
        <w:pStyle w:val="enumlev1"/>
        <w:rPr>
          <w:lang w:val="en-US"/>
        </w:rPr>
      </w:pPr>
      <w:r w:rsidRPr="000357BC">
        <w:rPr>
          <w:lang w:val="en-US"/>
        </w:rPr>
        <w:t>–</w:t>
      </w:r>
      <w:r w:rsidRPr="000357BC">
        <w:rPr>
          <w:lang w:val="en-US"/>
        </w:rPr>
        <w:tab/>
        <w:t>antenna gain 30 dBi,</w:t>
      </w:r>
    </w:p>
    <w:p w:rsidR="00B13A27" w:rsidRPr="000357BC" w:rsidRDefault="00B13A27" w:rsidP="00B13A27">
      <w:pPr>
        <w:pStyle w:val="enumlev1"/>
        <w:rPr>
          <w:lang w:val="en-US"/>
        </w:rPr>
      </w:pPr>
      <w:r w:rsidRPr="000357BC">
        <w:rPr>
          <w:lang w:val="en-US"/>
        </w:rPr>
        <w:t>–</w:t>
      </w:r>
      <w:r w:rsidRPr="000357BC">
        <w:rPr>
          <w:lang w:val="en-US"/>
        </w:rPr>
        <w:tab/>
        <w:t>antenna height 15 m,</w:t>
      </w:r>
    </w:p>
    <w:p w:rsidR="00B13A27" w:rsidRPr="000357BC" w:rsidRDefault="00B13A27" w:rsidP="00B13A27">
      <w:pPr>
        <w:pStyle w:val="enumlev1"/>
        <w:rPr>
          <w:lang w:val="en-US"/>
        </w:rPr>
      </w:pPr>
      <w:r w:rsidRPr="000357BC">
        <w:rPr>
          <w:lang w:val="en-US"/>
        </w:rPr>
        <w:t>–</w:t>
      </w:r>
      <w:r w:rsidRPr="000357BC">
        <w:rPr>
          <w:lang w:val="en-US"/>
        </w:rPr>
        <w:tab/>
        <w:t>receiver sensitivity –94 dBm.</w:t>
      </w:r>
    </w:p>
    <w:p w:rsidR="00B13A27" w:rsidRDefault="00B13A27" w:rsidP="00B13A27">
      <w:pPr>
        <w:tabs>
          <w:tab w:val="left" w:pos="-720"/>
        </w:tabs>
        <w:rPr>
          <w:lang w:val="en-US"/>
        </w:rPr>
      </w:pPr>
      <w:r w:rsidRPr="000357BC">
        <w:rPr>
          <w:lang w:val="en-US"/>
        </w:rPr>
        <w:t>Figure 1 shows the propagation curves for SARTs of height 0.5 m, 1 m and 1.5 m in a fairly calm sea (wave height 0.3 m). For rougher seas, the sea reflection coefficient is reduced and the propagation curves move back towards the free space line depending on atmospheric refraction. For an SART of 1 m height, the maximum detection range is at least 5</w:t>
      </w:r>
      <w:r w:rsidRPr="000357BC">
        <w:rPr>
          <w:rFonts w:ascii="Tms Rmn" w:hAnsi="Tms Rmn"/>
          <w:sz w:val="12"/>
          <w:lang w:val="en-US"/>
        </w:rPr>
        <w:t> </w:t>
      </w:r>
      <w:r>
        <w:rPr>
          <w:rFonts w:ascii="Tms Rmn" w:hAnsi="Tms Rmn"/>
          <w:lang w:val="en-US"/>
        </w:rPr>
        <w:t>NM</w:t>
      </w:r>
      <w:r w:rsidRPr="000357BC">
        <w:rPr>
          <w:lang w:val="en-US"/>
        </w:rPr>
        <w:t>.</w:t>
      </w:r>
    </w:p>
    <w:p w:rsidR="00B13A27" w:rsidRPr="000357BC" w:rsidRDefault="00B13A27" w:rsidP="00B13A27">
      <w:pPr>
        <w:tabs>
          <w:tab w:val="left" w:pos="-720"/>
        </w:tabs>
        <w:rPr>
          <w:lang w:val="en-US"/>
        </w:rPr>
      </w:pPr>
      <w:r w:rsidRPr="000357BC">
        <w:rPr>
          <w:lang w:val="en-US"/>
        </w:rPr>
        <w:t>The method of using Fig. 1 is as follows:</w:t>
      </w:r>
    </w:p>
    <w:p w:rsidR="00B13A27" w:rsidRPr="000357BC" w:rsidRDefault="00B13A27" w:rsidP="00B13A27">
      <w:pPr>
        <w:pStyle w:val="enumlev1"/>
        <w:rPr>
          <w:lang w:val="en-US"/>
        </w:rPr>
      </w:pPr>
      <w:r w:rsidRPr="000357BC">
        <w:rPr>
          <w:lang w:val="en-US"/>
        </w:rPr>
        <w:t>–</w:t>
      </w:r>
      <w:r w:rsidRPr="000357BC">
        <w:rPr>
          <w:lang w:val="en-US"/>
        </w:rPr>
        <w:tab/>
        <w:t>calculate the radar received power (</w:t>
      </w:r>
      <w:r w:rsidRPr="000357BC">
        <w:rPr>
          <w:i/>
          <w:lang w:val="en-US"/>
        </w:rPr>
        <w:t>P</w:t>
      </w:r>
      <w:r w:rsidRPr="000357BC">
        <w:rPr>
          <w:i/>
          <w:position w:val="-4"/>
          <w:sz w:val="16"/>
          <w:lang w:val="en-US"/>
        </w:rPr>
        <w:t>r</w:t>
      </w:r>
      <w:r w:rsidRPr="000357BC">
        <w:rPr>
          <w:lang w:val="en-US"/>
        </w:rPr>
        <w:t xml:space="preserve">) at range 1 </w:t>
      </w:r>
      <w:r>
        <w:rPr>
          <w:lang w:val="en-US"/>
        </w:rPr>
        <w:t>NM</w:t>
      </w:r>
      <w:r w:rsidRPr="000357BC">
        <w:rPr>
          <w:lang w:val="en-US"/>
        </w:rPr>
        <w:t xml:space="preserve"> using the formula:</w:t>
      </w:r>
    </w:p>
    <w:p w:rsidR="00B13A27" w:rsidRPr="000357BC" w:rsidRDefault="00B13A27" w:rsidP="00B13A27">
      <w:pPr>
        <w:pStyle w:val="enumlev2"/>
        <w:ind w:firstLine="0"/>
        <w:jc w:val="left"/>
        <w:rPr>
          <w:lang w:val="en-US"/>
        </w:rPr>
      </w:pPr>
      <w:r w:rsidRPr="000357BC">
        <w:rPr>
          <w:i/>
          <w:lang w:val="en-US"/>
        </w:rPr>
        <w:t>P</w:t>
      </w:r>
      <w:r w:rsidRPr="000357BC">
        <w:rPr>
          <w:i/>
          <w:position w:val="-4"/>
          <w:sz w:val="16"/>
          <w:lang w:val="en-US"/>
        </w:rPr>
        <w:t>r</w:t>
      </w:r>
      <w:r w:rsidRPr="000357BC">
        <w:rPr>
          <w:position w:val="-4"/>
          <w:sz w:val="16"/>
          <w:lang w:val="en-US"/>
        </w:rPr>
        <w:t xml:space="preserve">  </w:t>
      </w:r>
      <w:r>
        <w:rPr>
          <w:rFonts w:ascii="Symbol" w:hAnsi="Symbol"/>
        </w:rPr>
        <w:t></w:t>
      </w:r>
      <w:r w:rsidRPr="000357BC">
        <w:rPr>
          <w:lang w:val="en-US"/>
        </w:rPr>
        <w:t xml:space="preserve">  SART e.i.r.p. </w:t>
      </w:r>
      <w:r>
        <w:rPr>
          <w:rFonts w:ascii="Symbol" w:hAnsi="Symbol"/>
        </w:rPr>
        <w:t></w:t>
      </w:r>
      <w:r w:rsidRPr="000357BC">
        <w:rPr>
          <w:lang w:val="en-US"/>
        </w:rPr>
        <w:t xml:space="preserve"> radar antenna gain </w:t>
      </w:r>
      <w:r>
        <w:rPr>
          <w:rFonts w:ascii="Symbol" w:hAnsi="Symbol"/>
        </w:rPr>
        <w:t></w:t>
      </w:r>
      <w:r w:rsidRPr="000357BC">
        <w:rPr>
          <w:lang w:val="en-US"/>
        </w:rPr>
        <w:t xml:space="preserve"> (</w:t>
      </w:r>
      <w:r>
        <w:rPr>
          <w:rFonts w:ascii="Symbol" w:hAnsi="Symbol"/>
        </w:rPr>
        <w:t></w:t>
      </w:r>
      <w:r w:rsidRPr="000357BC">
        <w:rPr>
          <w:lang w:val="en-US"/>
        </w:rPr>
        <w:t xml:space="preserve">/4 </w:t>
      </w:r>
      <w:r>
        <w:rPr>
          <w:rFonts w:ascii="Symbol" w:hAnsi="Symbol"/>
        </w:rPr>
        <w:t></w:t>
      </w:r>
      <w:r w:rsidRPr="000357BC">
        <w:rPr>
          <w:lang w:val="en-US"/>
        </w:rPr>
        <w:t xml:space="preserve"> </w:t>
      </w:r>
      <w:r w:rsidRPr="000357BC">
        <w:rPr>
          <w:i/>
          <w:lang w:val="en-US"/>
        </w:rPr>
        <w:t>R</w:t>
      </w:r>
      <w:r w:rsidRPr="000357BC">
        <w:rPr>
          <w:lang w:val="en-US"/>
        </w:rPr>
        <w:t>)</w:t>
      </w:r>
      <w:r w:rsidRPr="000357BC">
        <w:rPr>
          <w:position w:val="6"/>
          <w:sz w:val="16"/>
          <w:lang w:val="en-US"/>
        </w:rPr>
        <w:t>2</w:t>
      </w:r>
      <w:r w:rsidRPr="000357BC">
        <w:rPr>
          <w:position w:val="6"/>
          <w:sz w:val="18"/>
          <w:lang w:val="en-US"/>
        </w:rPr>
        <w:br/>
      </w:r>
      <w:r w:rsidRPr="000357BC">
        <w:rPr>
          <w:lang w:val="en-US"/>
        </w:rPr>
        <w:t xml:space="preserve">that is </w:t>
      </w:r>
      <w:r w:rsidRPr="000357BC">
        <w:rPr>
          <w:i/>
          <w:lang w:val="en-US"/>
        </w:rPr>
        <w:t>P</w:t>
      </w:r>
      <w:r w:rsidRPr="000357BC">
        <w:rPr>
          <w:i/>
          <w:position w:val="-4"/>
          <w:sz w:val="16"/>
          <w:lang w:val="en-US"/>
        </w:rPr>
        <w:t xml:space="preserve">r </w:t>
      </w:r>
      <w:r w:rsidRPr="000357BC">
        <w:rPr>
          <w:lang w:val="en-US"/>
        </w:rPr>
        <w:t xml:space="preserve">(dBm)  </w:t>
      </w:r>
      <w:r>
        <w:rPr>
          <w:rFonts w:ascii="Symbol" w:hAnsi="Symbol"/>
        </w:rPr>
        <w:t></w:t>
      </w:r>
      <w:r w:rsidRPr="000357BC">
        <w:rPr>
          <w:lang w:val="en-US"/>
        </w:rPr>
        <w:t xml:space="preserve">  SART e.i.r.p. (dBm) –87 dB;</w:t>
      </w:r>
    </w:p>
    <w:p w:rsidR="00B13A27" w:rsidRPr="000357BC" w:rsidRDefault="00B13A27" w:rsidP="00B13A27">
      <w:pPr>
        <w:pStyle w:val="enumlev1"/>
        <w:rPr>
          <w:lang w:val="en-US"/>
        </w:rPr>
      </w:pPr>
      <w:r w:rsidRPr="000357BC">
        <w:rPr>
          <w:lang w:val="en-US"/>
        </w:rPr>
        <w:t>–</w:t>
      </w:r>
      <w:r w:rsidRPr="000357BC">
        <w:rPr>
          <w:lang w:val="en-US"/>
        </w:rPr>
        <w:tab/>
        <w:t xml:space="preserve">set the calculated </w:t>
      </w:r>
      <w:r w:rsidRPr="000357BC">
        <w:rPr>
          <w:i/>
          <w:lang w:val="en-US"/>
        </w:rPr>
        <w:t>P</w:t>
      </w:r>
      <w:r w:rsidRPr="000357BC">
        <w:rPr>
          <w:i/>
          <w:position w:val="-4"/>
          <w:sz w:val="16"/>
          <w:lang w:val="en-US"/>
        </w:rPr>
        <w:t>r</w:t>
      </w:r>
      <w:r w:rsidRPr="000357BC">
        <w:rPr>
          <w:lang w:val="en-US"/>
        </w:rPr>
        <w:t xml:space="preserve"> against point A on the radar received power scale and complete the scale (10 dB per division);</w:t>
      </w:r>
    </w:p>
    <w:p w:rsidR="00B13A27" w:rsidRPr="000357BC" w:rsidRDefault="00B13A27" w:rsidP="00B13A27">
      <w:pPr>
        <w:pStyle w:val="enumlev1"/>
        <w:rPr>
          <w:lang w:val="en-US"/>
        </w:rPr>
      </w:pPr>
      <w:r w:rsidRPr="000357BC">
        <w:rPr>
          <w:lang w:val="en-US"/>
        </w:rPr>
        <w:t>–</w:t>
      </w:r>
      <w:r w:rsidRPr="000357BC">
        <w:rPr>
          <w:lang w:val="en-US"/>
        </w:rPr>
        <w:tab/>
        <w:t>set the SART effective receiver sensitivity (ERS) on the transponder received power scale and read the intercept with the appropriate propagation curve at that level to obtain the radar to SART maximum detection range;</w:t>
      </w:r>
    </w:p>
    <w:p w:rsidR="00B13A27" w:rsidRPr="000357BC" w:rsidRDefault="00B13A27" w:rsidP="00B13A27">
      <w:pPr>
        <w:pStyle w:val="enumlev1"/>
        <w:rPr>
          <w:lang w:val="en-US"/>
        </w:rPr>
      </w:pPr>
      <w:r w:rsidRPr="000357BC">
        <w:rPr>
          <w:lang w:val="en-US"/>
        </w:rPr>
        <w:t>–</w:t>
      </w:r>
      <w:r w:rsidRPr="000357BC">
        <w:rPr>
          <w:lang w:val="en-US"/>
        </w:rPr>
        <w:tab/>
        <w:t>take the –94 dBm level on the radar received power scale and read the intercept with the appropriate propagation curve at that level to obtain the SART to radar maximum detection range.</w:t>
      </w:r>
    </w:p>
    <w:p w:rsidR="00B13A27" w:rsidRPr="000357BC" w:rsidRDefault="00B13A27" w:rsidP="00B13A27">
      <w:pPr>
        <w:rPr>
          <w:lang w:val="en-US"/>
        </w:rPr>
      </w:pPr>
      <w:r w:rsidRPr="000357BC">
        <w:rPr>
          <w:lang w:val="en-US"/>
        </w:rPr>
        <w:t>The smaller of the two maximum detection ranges so obtained is the required assessment of SART maximum detection range, which should be at least 5 </w:t>
      </w:r>
      <w:r>
        <w:rPr>
          <w:lang w:val="en-US"/>
        </w:rPr>
        <w:t>NM</w:t>
      </w:r>
      <w:r w:rsidRPr="000357BC">
        <w:rPr>
          <w:lang w:val="en-US"/>
        </w:rPr>
        <w:t xml:space="preserve"> as required by IMO Resolution A.</w:t>
      </w:r>
      <w:r>
        <w:rPr>
          <w:lang w:val="en-US"/>
        </w:rPr>
        <w:t>802</w:t>
      </w:r>
      <w:r w:rsidRPr="000357BC">
        <w:rPr>
          <w:lang w:val="en-US"/>
        </w:rPr>
        <w:t>(1</w:t>
      </w:r>
      <w:r>
        <w:rPr>
          <w:lang w:val="en-US"/>
        </w:rPr>
        <w:t>9</w:t>
      </w:r>
      <w:r w:rsidRPr="000357BC">
        <w:rPr>
          <w:lang w:val="en-US"/>
        </w:rPr>
        <w:t>).</w:t>
      </w:r>
    </w:p>
    <w:p w:rsidR="00B13A27" w:rsidRPr="000357BC" w:rsidRDefault="00B13A27" w:rsidP="00B13A27">
      <w:pPr>
        <w:tabs>
          <w:tab w:val="left" w:pos="-720"/>
        </w:tabs>
        <w:rPr>
          <w:lang w:val="en-US"/>
        </w:rPr>
      </w:pPr>
    </w:p>
    <w:p w:rsidR="00B13A27" w:rsidRDefault="00B13A27" w:rsidP="00B13A27">
      <w:pPr>
        <w:pStyle w:val="FigureNo"/>
      </w:pPr>
      <w:r>
        <w:object w:dxaOrig="8826" w:dyaOrig="11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65pt;height:8in" o:ole="" o:allowoverlap="f">
            <v:imagedata r:id="rId15" o:title=""/>
          </v:shape>
          <o:OLEObject Type="Embed" ProgID="CorelDraw.Graphic.12" ShapeID="_x0000_i1025" DrawAspect="Content" ObjectID="_1436859696" r:id="rId16"/>
        </w:object>
      </w:r>
    </w:p>
    <w:p w:rsidR="00B13A27" w:rsidRPr="000357BC" w:rsidRDefault="00B13A27" w:rsidP="00B13A27">
      <w:pPr>
        <w:rPr>
          <w:lang w:val="en-US"/>
        </w:rPr>
      </w:pPr>
    </w:p>
    <w:p w:rsidR="00B13A27" w:rsidRPr="000357BC" w:rsidRDefault="00B13A27" w:rsidP="00B13A27">
      <w:pPr>
        <w:rPr>
          <w:lang w:val="en-US"/>
        </w:rPr>
      </w:pPr>
    </w:p>
    <w:p w:rsidR="00B13A27" w:rsidRPr="00A06947" w:rsidRDefault="00B13A27" w:rsidP="00B13A27">
      <w:pPr>
        <w:pStyle w:val="AnnexNoTitle"/>
        <w:rPr>
          <w:lang w:val="en-US"/>
        </w:rPr>
      </w:pPr>
      <w:r w:rsidRPr="00A06947">
        <w:rPr>
          <w:lang w:val="en-US"/>
        </w:rPr>
        <w:lastRenderedPageBreak/>
        <w:t>Annex</w:t>
      </w:r>
      <w:r w:rsidR="002F665D">
        <w:rPr>
          <w:lang w:val="en-US"/>
        </w:rPr>
        <w:t xml:space="preserve"> </w:t>
      </w:r>
      <w:r w:rsidRPr="00A06947">
        <w:rPr>
          <w:lang w:val="en-US"/>
        </w:rPr>
        <w:t>3</w:t>
      </w:r>
      <w:r w:rsidRPr="00A06947">
        <w:rPr>
          <w:lang w:val="en-US"/>
        </w:rPr>
        <w:br/>
      </w:r>
      <w:r>
        <w:rPr>
          <w:lang w:val="en-US"/>
        </w:rPr>
        <w:br/>
      </w:r>
      <w:r w:rsidRPr="00A06947">
        <w:rPr>
          <w:lang w:val="en-US"/>
        </w:rPr>
        <w:t>Effects of antenna height and obstruction of the signal path by a survival craft</w:t>
      </w:r>
      <w:r>
        <w:rPr>
          <w:lang w:val="en-US"/>
        </w:rPr>
        <w:br/>
      </w:r>
      <w:r w:rsidRPr="00A06947">
        <w:rPr>
          <w:lang w:val="en-US"/>
        </w:rPr>
        <w:t>and</w:t>
      </w:r>
      <w:r>
        <w:rPr>
          <w:lang w:val="en-US"/>
        </w:rPr>
        <w:t xml:space="preserve"> </w:t>
      </w:r>
      <w:r w:rsidRPr="00A06947">
        <w:rPr>
          <w:lang w:val="en-US"/>
        </w:rPr>
        <w:t>its occupants on the detection range of SARTs</w:t>
      </w:r>
    </w:p>
    <w:p w:rsidR="00B13A27" w:rsidRPr="000357BC" w:rsidRDefault="00B13A27" w:rsidP="00B13A27">
      <w:pPr>
        <w:pStyle w:val="Heading1"/>
        <w:rPr>
          <w:lang w:val="en-US"/>
        </w:rPr>
      </w:pPr>
      <w:r w:rsidRPr="000357BC">
        <w:rPr>
          <w:lang w:val="en-US"/>
        </w:rPr>
        <w:t>1</w:t>
      </w:r>
      <w:r w:rsidRPr="000357BC">
        <w:rPr>
          <w:lang w:val="en-US"/>
        </w:rPr>
        <w:tab/>
        <w:t>Introduction</w:t>
      </w:r>
    </w:p>
    <w:p w:rsidR="00B13A27" w:rsidRPr="000357BC" w:rsidRDefault="00B13A27" w:rsidP="00B13A27">
      <w:pPr>
        <w:rPr>
          <w:lang w:val="en-US"/>
        </w:rPr>
      </w:pPr>
      <w:r w:rsidRPr="000357BC">
        <w:rPr>
          <w:lang w:val="en-US"/>
        </w:rPr>
        <w:t>This Annex discusses the effects on the propagation path of SART signals, taking into account the height of the SART antenna above the surface of the sea and also the attenuation caused by the materials of the survival craft and its occupants.</w:t>
      </w:r>
    </w:p>
    <w:p w:rsidR="00B13A27" w:rsidRPr="000357BC" w:rsidRDefault="00B13A27" w:rsidP="00B13A27">
      <w:pPr>
        <w:pStyle w:val="Heading1"/>
        <w:rPr>
          <w:lang w:val="en-US"/>
        </w:rPr>
      </w:pPr>
      <w:r w:rsidRPr="000357BC">
        <w:rPr>
          <w:lang w:val="en-US"/>
        </w:rPr>
        <w:t>2</w:t>
      </w:r>
      <w:r w:rsidRPr="000357BC">
        <w:rPr>
          <w:lang w:val="en-US"/>
        </w:rPr>
        <w:tab/>
        <w:t>Effects of SART antenna height on detection range</w:t>
      </w:r>
    </w:p>
    <w:p w:rsidR="00B13A27" w:rsidRPr="000357BC" w:rsidRDefault="00B13A27" w:rsidP="00B13A27">
      <w:pPr>
        <w:rPr>
          <w:lang w:val="en-US"/>
        </w:rPr>
      </w:pPr>
      <w:r w:rsidRPr="000357BC">
        <w:rPr>
          <w:lang w:val="en-US"/>
        </w:rPr>
        <w:t>This Recommendation requires that the height of the installed SART antenna should be at least 1 m above the sea surface in order to obtain the five nautical mile detection range required by IMO Resolution A.</w:t>
      </w:r>
      <w:r>
        <w:rPr>
          <w:lang w:val="en-US"/>
        </w:rPr>
        <w:t>802</w:t>
      </w:r>
      <w:r w:rsidRPr="000357BC">
        <w:rPr>
          <w:lang w:val="en-US"/>
        </w:rPr>
        <w:t>(1</w:t>
      </w:r>
      <w:r>
        <w:rPr>
          <w:lang w:val="en-US"/>
        </w:rPr>
        <w:t>9</w:t>
      </w:r>
      <w:r w:rsidRPr="000357BC">
        <w:rPr>
          <w:lang w:val="en-US"/>
        </w:rPr>
        <w:t xml:space="preserve">). Practical tests have confirmed this performance. Tests on a sample of six SARTs from different manufacturers gave detection ranges between 8.2 </w:t>
      </w:r>
      <w:r>
        <w:rPr>
          <w:lang w:val="en-US"/>
        </w:rPr>
        <w:t>NM</w:t>
      </w:r>
      <w:r w:rsidRPr="000357BC">
        <w:rPr>
          <w:lang w:val="en-US"/>
        </w:rPr>
        <w:t xml:space="preserve"> and 9.2 </w:t>
      </w:r>
      <w:r>
        <w:rPr>
          <w:lang w:val="en-US"/>
        </w:rPr>
        <w:t>NM</w:t>
      </w:r>
      <w:r w:rsidRPr="000357BC">
        <w:rPr>
          <w:lang w:val="en-US"/>
        </w:rPr>
        <w:t xml:space="preserve"> with an antenna height of 1 m.</w:t>
      </w:r>
    </w:p>
    <w:p w:rsidR="00B13A27" w:rsidRPr="000357BC" w:rsidRDefault="00B13A27" w:rsidP="00B13A27">
      <w:pPr>
        <w:rPr>
          <w:lang w:val="en-US"/>
        </w:rPr>
      </w:pPr>
      <w:r w:rsidRPr="00A06947">
        <w:rPr>
          <w:b/>
          <w:lang w:val="en-US"/>
        </w:rPr>
        <w:t>2.1</w:t>
      </w:r>
      <w:r w:rsidRPr="000357BC">
        <w:rPr>
          <w:lang w:val="en-US"/>
        </w:rPr>
        <w:tab/>
        <w:t>Tests have also shown the importance of maintaining a SART antenna height of at least 1 m. The following results were obtained with a SART in a survival craft:</w:t>
      </w:r>
    </w:p>
    <w:p w:rsidR="00B13A27" w:rsidRPr="000357BC" w:rsidRDefault="00B13A27" w:rsidP="00B13A27">
      <w:pPr>
        <w:pStyle w:val="enumlev1"/>
        <w:tabs>
          <w:tab w:val="left" w:pos="5104"/>
        </w:tabs>
        <w:rPr>
          <w:lang w:val="en-US"/>
        </w:rPr>
      </w:pPr>
      <w:r w:rsidRPr="000357BC">
        <w:rPr>
          <w:lang w:val="en-US"/>
        </w:rPr>
        <w:t>–</w:t>
      </w:r>
      <w:r w:rsidRPr="000357BC">
        <w:rPr>
          <w:lang w:val="en-US"/>
        </w:rPr>
        <w:tab/>
        <w:t>SART lying flat on the floor:</w:t>
      </w:r>
      <w:r w:rsidRPr="000357BC">
        <w:rPr>
          <w:lang w:val="en-US"/>
        </w:rPr>
        <w:tab/>
        <w:t xml:space="preserve">range 1.8 </w:t>
      </w:r>
      <w:r>
        <w:rPr>
          <w:lang w:val="en-US"/>
        </w:rPr>
        <w:t>NM</w:t>
      </w:r>
    </w:p>
    <w:p w:rsidR="00B13A27" w:rsidRPr="000357BC" w:rsidRDefault="00B13A27" w:rsidP="00B13A27">
      <w:pPr>
        <w:pStyle w:val="enumlev1"/>
        <w:tabs>
          <w:tab w:val="left" w:pos="5104"/>
        </w:tabs>
        <w:rPr>
          <w:lang w:val="en-US"/>
        </w:rPr>
      </w:pPr>
      <w:r w:rsidRPr="000357BC">
        <w:rPr>
          <w:lang w:val="en-US"/>
        </w:rPr>
        <w:t>–</w:t>
      </w:r>
      <w:r w:rsidRPr="000357BC">
        <w:rPr>
          <w:lang w:val="en-US"/>
        </w:rPr>
        <w:tab/>
        <w:t>SART standing upright on the floor:</w:t>
      </w:r>
      <w:r w:rsidRPr="000357BC">
        <w:rPr>
          <w:lang w:val="en-US"/>
        </w:rPr>
        <w:tab/>
        <w:t xml:space="preserve">range 2.5 </w:t>
      </w:r>
      <w:r>
        <w:rPr>
          <w:lang w:val="en-US"/>
        </w:rPr>
        <w:t>NM</w:t>
      </w:r>
    </w:p>
    <w:p w:rsidR="00B13A27" w:rsidRPr="000357BC" w:rsidRDefault="00B13A27" w:rsidP="00B13A27">
      <w:pPr>
        <w:pStyle w:val="enumlev1"/>
        <w:tabs>
          <w:tab w:val="left" w:pos="5104"/>
        </w:tabs>
        <w:rPr>
          <w:lang w:val="en-US"/>
        </w:rPr>
      </w:pPr>
      <w:r w:rsidRPr="000357BC">
        <w:rPr>
          <w:lang w:val="en-US"/>
        </w:rPr>
        <w:t>–</w:t>
      </w:r>
      <w:r w:rsidRPr="000357BC">
        <w:rPr>
          <w:lang w:val="en-US"/>
        </w:rPr>
        <w:tab/>
        <w:t>SART floating in the water:</w:t>
      </w:r>
      <w:r w:rsidRPr="000357BC">
        <w:rPr>
          <w:lang w:val="en-US"/>
        </w:rPr>
        <w:tab/>
        <w:t xml:space="preserve">range 2.0 </w:t>
      </w:r>
      <w:r>
        <w:rPr>
          <w:lang w:val="en-US"/>
        </w:rPr>
        <w:t>NM</w:t>
      </w:r>
    </w:p>
    <w:p w:rsidR="00B13A27" w:rsidRPr="000357BC" w:rsidRDefault="00B13A27" w:rsidP="00B13A27">
      <w:pPr>
        <w:pStyle w:val="Heading1"/>
        <w:rPr>
          <w:lang w:val="en-US"/>
        </w:rPr>
      </w:pPr>
      <w:r w:rsidRPr="000357BC">
        <w:rPr>
          <w:lang w:val="en-US"/>
        </w:rPr>
        <w:t>3</w:t>
      </w:r>
      <w:r w:rsidRPr="000357BC">
        <w:rPr>
          <w:lang w:val="en-US"/>
        </w:rPr>
        <w:tab/>
        <w:t>Effects of survival craft on SART signal</w:t>
      </w:r>
    </w:p>
    <w:p w:rsidR="00B13A27" w:rsidRPr="000357BC" w:rsidRDefault="00B13A27" w:rsidP="00B13A27">
      <w:pPr>
        <w:rPr>
          <w:lang w:val="en-US"/>
        </w:rPr>
      </w:pPr>
      <w:r w:rsidRPr="000357BC">
        <w:rPr>
          <w:lang w:val="en-US"/>
        </w:rPr>
        <w:t>Tests have been made with a SART mounted on a survival craft to give a 1 m antenna height, in order to determine whether the body of the survival craft and its occupants may cause an obstruction.</w:t>
      </w:r>
    </w:p>
    <w:p w:rsidR="00B13A27" w:rsidRPr="000357BC" w:rsidRDefault="00B13A27" w:rsidP="00B13A27">
      <w:pPr>
        <w:rPr>
          <w:lang w:val="en-US"/>
        </w:rPr>
      </w:pPr>
      <w:r w:rsidRPr="00A06947">
        <w:rPr>
          <w:b/>
          <w:lang w:val="en-US"/>
        </w:rPr>
        <w:t>3.1</w:t>
      </w:r>
      <w:r w:rsidRPr="000357BC">
        <w:rPr>
          <w:lang w:val="en-US"/>
        </w:rPr>
        <w:tab/>
        <w:t>Figures 2-4 give the results of these tests carried out on two different models of an eight</w:t>
      </w:r>
      <w:r w:rsidRPr="000357BC">
        <w:rPr>
          <w:lang w:val="en-US"/>
        </w:rPr>
        <w:noBreakHyphen/>
        <w:t>man SOLAS life-raft. In each case, the SART was placed at the centre of a turntable in an open field site, and was triggered with a pulsed radar signal. Each set of measurements was conducted with and without the life-raft and "survivors" present, keeping the SART at the centre of the turntable.</w:t>
      </w:r>
    </w:p>
    <w:p w:rsidR="00B13A27" w:rsidRDefault="00B13A27" w:rsidP="00B13A27">
      <w:pPr>
        <w:rPr>
          <w:lang w:val="en-US"/>
        </w:rPr>
      </w:pPr>
      <w:r w:rsidRPr="00A06947">
        <w:rPr>
          <w:b/>
          <w:lang w:val="en-US"/>
        </w:rPr>
        <w:t>3.2</w:t>
      </w:r>
      <w:r w:rsidRPr="000357BC">
        <w:rPr>
          <w:lang w:val="en-US"/>
        </w:rPr>
        <w:tab/>
        <w:t>Figure 2 shows the results obtained from a SART mounted on a telescopic pole fitted to the life-raft’s antenna mounting. In this case, the SART antenna was level with the canopy support tube of the raft. One of the rafts had little effect on the SART signal, whereas the other (which has carbon in the material of the support tube) caused a dip in the signal through an angle of about 30°.</w:t>
      </w:r>
    </w:p>
    <w:p w:rsidR="00B13A27" w:rsidRPr="000357BC" w:rsidRDefault="00B13A27" w:rsidP="00B13A27">
      <w:pPr>
        <w:keepLines/>
        <w:rPr>
          <w:lang w:val="en-US"/>
        </w:rPr>
      </w:pPr>
      <w:r w:rsidRPr="00A06947">
        <w:rPr>
          <w:b/>
          <w:lang w:val="en-US"/>
        </w:rPr>
        <w:t>3.3</w:t>
      </w:r>
      <w:r w:rsidRPr="000357BC">
        <w:rPr>
          <w:lang w:val="en-US"/>
        </w:rPr>
        <w:tab/>
        <w:t>Figure 3 shows the results obtained with the same rafts, but with a SART designed to hang from the support tube, inside the canopy of the raft. A smaller loss of signal was noted due to the carbon loaded tubes, as the signal was only passing through the vertical sections. Dips were also noted, however, due to the presence of retro-reflective tape on the outside of the life-raft canopies. On one raft, there was a severe reduction in signal over a very small angle, due to the proximity of a Lithium battery pack mounted on the canopy for powering the life-raft location light.</w:t>
      </w:r>
    </w:p>
    <w:p w:rsidR="00B13A27" w:rsidRPr="000357BC" w:rsidRDefault="00B13A27" w:rsidP="00B13A27">
      <w:pPr>
        <w:rPr>
          <w:lang w:val="en-US"/>
        </w:rPr>
      </w:pPr>
      <w:r w:rsidRPr="00A06947">
        <w:rPr>
          <w:b/>
          <w:lang w:val="en-US"/>
        </w:rPr>
        <w:t>3.4</w:t>
      </w:r>
      <w:r w:rsidRPr="000357BC">
        <w:rPr>
          <w:lang w:val="en-US"/>
        </w:rPr>
        <w:tab/>
        <w:t>Figure 4 shows the blanking effect caused by a survivor holding the SART at arm’s length. In this case however the SART height was only 0.5 m.</w:t>
      </w:r>
    </w:p>
    <w:p w:rsidR="00B13A27" w:rsidRPr="000357BC" w:rsidRDefault="00B13A27" w:rsidP="00B13A27">
      <w:pPr>
        <w:rPr>
          <w:lang w:val="en-US"/>
        </w:rPr>
      </w:pPr>
    </w:p>
    <w:p w:rsidR="00B13A27" w:rsidRDefault="00B13A27" w:rsidP="00B13A27">
      <w:pPr>
        <w:pStyle w:val="FigureNo"/>
      </w:pPr>
      <w:r>
        <w:object w:dxaOrig="8124" w:dyaOrig="11095">
          <v:shape id="_x0000_i1026" type="#_x0000_t75" style="width:406.65pt;height:554.7pt" o:ole="" o:allowoverlap="f">
            <v:imagedata r:id="rId17" o:title=""/>
          </v:shape>
          <o:OLEObject Type="Embed" ProgID="CorelDraw.Graphic.12" ShapeID="_x0000_i1026" DrawAspect="Content" ObjectID="_1436859697" r:id="rId18"/>
        </w:object>
      </w:r>
    </w:p>
    <w:p w:rsidR="00B13A27" w:rsidRPr="000357BC" w:rsidRDefault="00B13A27" w:rsidP="00B13A27">
      <w:pPr>
        <w:keepNext/>
        <w:rPr>
          <w:lang w:val="en-US"/>
        </w:rPr>
      </w:pPr>
    </w:p>
    <w:p w:rsidR="00B13A27" w:rsidRDefault="00B13A27" w:rsidP="00B13A27">
      <w:pPr>
        <w:pStyle w:val="FigureNo"/>
      </w:pPr>
      <w:r>
        <w:object w:dxaOrig="8124" w:dyaOrig="11178">
          <v:shape id="_x0000_i1027" type="#_x0000_t75" style="width:406.65pt;height:558.7pt" o:ole="" o:allowoverlap="f">
            <v:imagedata r:id="rId19" o:title=""/>
          </v:shape>
          <o:OLEObject Type="Embed" ProgID="CorelDraw.Graphic.12" ShapeID="_x0000_i1027" DrawAspect="Content" ObjectID="_1436859698" r:id="rId20"/>
        </w:object>
      </w:r>
    </w:p>
    <w:p w:rsidR="00B13A27" w:rsidRPr="000357BC" w:rsidRDefault="00B13A27" w:rsidP="00B13A27">
      <w:pPr>
        <w:rPr>
          <w:lang w:val="en-US"/>
        </w:rPr>
      </w:pPr>
    </w:p>
    <w:p w:rsidR="00B13A27" w:rsidRDefault="00B13A27" w:rsidP="00B13A27">
      <w:pPr>
        <w:pStyle w:val="FigureNo"/>
      </w:pPr>
      <w:r>
        <w:object w:dxaOrig="8218" w:dyaOrig="10118">
          <v:shape id="_x0000_i1028" type="#_x0000_t75" style="width:410.7pt;height:506.3pt" o:ole="" o:allowoverlap="f">
            <v:imagedata r:id="rId21" o:title=""/>
          </v:shape>
          <o:OLEObject Type="Embed" ProgID="CorelDraw.Graphic.12" ShapeID="_x0000_i1028" DrawAspect="Content" ObjectID="_1436859699" r:id="rId22"/>
        </w:object>
      </w:r>
    </w:p>
    <w:p w:rsidR="00B13A27" w:rsidRPr="000357BC" w:rsidRDefault="00B13A27" w:rsidP="002F665D">
      <w:pPr>
        <w:pStyle w:val="Normalaftertitle0"/>
      </w:pPr>
      <w:r w:rsidRPr="00A06947">
        <w:rPr>
          <w:b/>
        </w:rPr>
        <w:t>3.5</w:t>
      </w:r>
      <w:r w:rsidRPr="000357BC">
        <w:tab/>
        <w:t xml:space="preserve">On each figure approximate detection ranges are given. These are derived theoretically assuming an 8 </w:t>
      </w:r>
      <w:r>
        <w:t>NM</w:t>
      </w:r>
      <w:r w:rsidRPr="000357BC">
        <w:t xml:space="preserve"> detection range for a 1 m height SART and a 7 </w:t>
      </w:r>
      <w:r>
        <w:t>NM</w:t>
      </w:r>
      <w:r w:rsidRPr="000357BC">
        <w:t xml:space="preserve"> range for 0.5 m height.</w:t>
      </w:r>
    </w:p>
    <w:p w:rsidR="00B13A27" w:rsidRPr="000357BC" w:rsidRDefault="00B13A27" w:rsidP="00B13A27">
      <w:pPr>
        <w:rPr>
          <w:lang w:val="en-US"/>
        </w:rPr>
      </w:pPr>
      <w:r w:rsidRPr="00A06947">
        <w:rPr>
          <w:b/>
          <w:lang w:val="en-US"/>
        </w:rPr>
        <w:t>3.6</w:t>
      </w:r>
      <w:r w:rsidRPr="000357BC">
        <w:rPr>
          <w:lang w:val="en-US"/>
        </w:rPr>
        <w:tab/>
        <w:t>It can be seen from the figures that best performance was obtained with the pole mounted SART where the reduction in detection range due to the survival craft was generally no more than 0.5 </w:t>
      </w:r>
      <w:r>
        <w:rPr>
          <w:lang w:val="en-US"/>
        </w:rPr>
        <w:t>NM</w:t>
      </w:r>
      <w:r w:rsidRPr="000357BC">
        <w:rPr>
          <w:lang w:val="en-US"/>
        </w:rPr>
        <w:t>. In all cases there was reduced performance over narrow sectors of 1.5-2.0 </w:t>
      </w:r>
      <w:r>
        <w:rPr>
          <w:lang w:val="en-US"/>
        </w:rPr>
        <w:t>NM</w:t>
      </w:r>
      <w:r w:rsidRPr="000357BC">
        <w:rPr>
          <w:lang w:val="en-US"/>
        </w:rPr>
        <w:t xml:space="preserve"> but in practice with the survival craft moving in the sea this will not be a serious operational problem. The reduction shown in Fig. 4 caused by a person, will not be significant in practice as a person seated in a survival craft is lower in height than 1 m.</w:t>
      </w:r>
    </w:p>
    <w:p w:rsidR="00B13A27" w:rsidRDefault="00B13A27" w:rsidP="00B13A27">
      <w:pPr>
        <w:rPr>
          <w:lang w:val="en-US"/>
        </w:rPr>
      </w:pPr>
      <w:r w:rsidRPr="00A06947">
        <w:rPr>
          <w:b/>
          <w:lang w:val="en-US"/>
        </w:rPr>
        <w:t>3.7</w:t>
      </w:r>
      <w:r w:rsidRPr="000357BC">
        <w:rPr>
          <w:lang w:val="en-US"/>
        </w:rPr>
        <w:tab/>
        <w:t>The above results were obtained with the survival craft dry as it was on a test site. Table 1 gives the propagation loss for the canopy and air tube cloths used in a number of different manufacturers’ survival crafts. The last two entries give the loss when the materials are sprayed with sea water. It can be seen that in the worst case the additional loss for wet material was 3.35 dB which equates to a reduction in detected range of about a further 0.5 NM.</w:t>
      </w:r>
    </w:p>
    <w:p w:rsidR="00B13A27" w:rsidRDefault="002F665D" w:rsidP="002F665D">
      <w:pPr>
        <w:pStyle w:val="TableNo"/>
      </w:pPr>
      <w:r>
        <w:lastRenderedPageBreak/>
        <w:t xml:space="preserve">TABLE </w:t>
      </w:r>
      <w:r w:rsidR="00B13A27">
        <w:t>1</w:t>
      </w:r>
    </w:p>
    <w:p w:rsidR="00B13A27" w:rsidRDefault="00B13A27" w:rsidP="002F665D">
      <w:pPr>
        <w:pStyle w:val="Tabletitle"/>
      </w:pPr>
      <w:r>
        <w:t>Transmission loss through canopy of life-raft (measurement results)</w:t>
      </w:r>
    </w:p>
    <w:tbl>
      <w:tblPr>
        <w:tblW w:w="9639" w:type="dxa"/>
        <w:jc w:val="center"/>
        <w:tblLayout w:type="fixed"/>
        <w:tblLook w:val="0000" w:firstRow="0" w:lastRow="0" w:firstColumn="0" w:lastColumn="0" w:noHBand="0" w:noVBand="0"/>
      </w:tblPr>
      <w:tblGrid>
        <w:gridCol w:w="786"/>
        <w:gridCol w:w="1617"/>
        <w:gridCol w:w="1154"/>
        <w:gridCol w:w="848"/>
        <w:gridCol w:w="1307"/>
        <w:gridCol w:w="1307"/>
        <w:gridCol w:w="1307"/>
        <w:gridCol w:w="1305"/>
        <w:gridCol w:w="8"/>
      </w:tblGrid>
      <w:tr w:rsidR="00B13A27" w:rsidRPr="002F665D" w:rsidTr="0016409C">
        <w:tblPrEx>
          <w:tblCellMar>
            <w:top w:w="0" w:type="dxa"/>
            <w:bottom w:w="0" w:type="dxa"/>
          </w:tblCellMar>
        </w:tblPrEx>
        <w:trPr>
          <w:cantSplit/>
          <w:jc w:val="center"/>
        </w:trPr>
        <w:tc>
          <w:tcPr>
            <w:tcW w:w="773" w:type="dxa"/>
            <w:tcBorders>
              <w:top w:val="single" w:sz="6" w:space="0" w:color="auto"/>
              <w:left w:val="single" w:sz="6" w:space="0" w:color="auto"/>
              <w:right w:val="single" w:sz="6" w:space="0" w:color="auto"/>
            </w:tcBorders>
          </w:tcPr>
          <w:p w:rsidR="00B13A27" w:rsidRPr="002F665D" w:rsidRDefault="00B13A27" w:rsidP="002F665D">
            <w:pPr>
              <w:pStyle w:val="Tablehead"/>
              <w:rPr>
                <w:sz w:val="20"/>
              </w:rPr>
            </w:pPr>
          </w:p>
        </w:tc>
        <w:tc>
          <w:tcPr>
            <w:tcW w:w="1588" w:type="dxa"/>
            <w:tcBorders>
              <w:top w:val="single" w:sz="6" w:space="0" w:color="auto"/>
            </w:tcBorders>
          </w:tcPr>
          <w:p w:rsidR="00B13A27" w:rsidRPr="002F665D" w:rsidRDefault="00B13A27" w:rsidP="002F665D">
            <w:pPr>
              <w:pStyle w:val="Tablehead"/>
              <w:rPr>
                <w:sz w:val="20"/>
              </w:rPr>
            </w:pPr>
          </w:p>
        </w:tc>
        <w:tc>
          <w:tcPr>
            <w:tcW w:w="1133" w:type="dxa"/>
            <w:tcBorders>
              <w:top w:val="single" w:sz="6" w:space="0" w:color="auto"/>
              <w:left w:val="single" w:sz="6" w:space="0" w:color="auto"/>
              <w:right w:val="single" w:sz="6" w:space="0" w:color="auto"/>
            </w:tcBorders>
          </w:tcPr>
          <w:p w:rsidR="00B13A27" w:rsidRPr="002F665D" w:rsidRDefault="00B13A27" w:rsidP="002F665D">
            <w:pPr>
              <w:pStyle w:val="Tablehead"/>
              <w:rPr>
                <w:sz w:val="20"/>
              </w:rPr>
            </w:pPr>
          </w:p>
        </w:tc>
        <w:tc>
          <w:tcPr>
            <w:tcW w:w="833" w:type="dxa"/>
            <w:tcBorders>
              <w:top w:val="single" w:sz="6" w:space="0" w:color="auto"/>
              <w:right w:val="single" w:sz="6" w:space="0" w:color="auto"/>
            </w:tcBorders>
          </w:tcPr>
          <w:p w:rsidR="00B13A27" w:rsidRPr="002F665D" w:rsidRDefault="00B13A27" w:rsidP="002F665D">
            <w:pPr>
              <w:pStyle w:val="Tablehead"/>
              <w:rPr>
                <w:sz w:val="20"/>
              </w:rPr>
            </w:pPr>
          </w:p>
        </w:tc>
        <w:tc>
          <w:tcPr>
            <w:tcW w:w="5138" w:type="dxa"/>
            <w:gridSpan w:val="5"/>
            <w:tcBorders>
              <w:top w:val="single" w:sz="6" w:space="0" w:color="auto"/>
              <w:bottom w:val="single" w:sz="6" w:space="0" w:color="auto"/>
              <w:right w:val="single" w:sz="6" w:space="0" w:color="auto"/>
            </w:tcBorders>
          </w:tcPr>
          <w:p w:rsidR="00B13A27" w:rsidRPr="002F665D" w:rsidRDefault="00B13A27" w:rsidP="002F665D">
            <w:pPr>
              <w:pStyle w:val="Tablehead"/>
              <w:rPr>
                <w:sz w:val="20"/>
              </w:rPr>
            </w:pPr>
            <w:r w:rsidRPr="002F665D">
              <w:rPr>
                <w:sz w:val="20"/>
              </w:rPr>
              <w:t>Transmission loss (dB) vs. slant of canopy</w:t>
            </w:r>
          </w:p>
        </w:tc>
      </w:tr>
      <w:tr w:rsidR="00B13A27" w:rsidRPr="002F665D" w:rsidTr="0016409C">
        <w:tblPrEx>
          <w:tblCellMar>
            <w:top w:w="0" w:type="dxa"/>
            <w:bottom w:w="0" w:type="dxa"/>
          </w:tblCellMar>
        </w:tblPrEx>
        <w:trPr>
          <w:cantSplit/>
          <w:jc w:val="center"/>
        </w:trPr>
        <w:tc>
          <w:tcPr>
            <w:tcW w:w="773" w:type="dxa"/>
            <w:tcBorders>
              <w:left w:val="single" w:sz="6" w:space="0" w:color="auto"/>
              <w:right w:val="single" w:sz="6" w:space="0" w:color="auto"/>
            </w:tcBorders>
          </w:tcPr>
          <w:p w:rsidR="00B13A27" w:rsidRPr="002F665D" w:rsidRDefault="00B13A27" w:rsidP="002F665D">
            <w:pPr>
              <w:pStyle w:val="Tablehead"/>
              <w:rPr>
                <w:sz w:val="20"/>
              </w:rPr>
            </w:pPr>
            <w:r w:rsidRPr="002F665D">
              <w:rPr>
                <w:sz w:val="20"/>
              </w:rPr>
              <w:t>Test</w:t>
            </w:r>
          </w:p>
        </w:tc>
        <w:tc>
          <w:tcPr>
            <w:tcW w:w="1588" w:type="dxa"/>
          </w:tcPr>
          <w:p w:rsidR="00B13A27" w:rsidRPr="002F665D" w:rsidRDefault="00B13A27" w:rsidP="002F665D">
            <w:pPr>
              <w:pStyle w:val="Tablehead"/>
              <w:rPr>
                <w:sz w:val="20"/>
              </w:rPr>
            </w:pPr>
            <w:r w:rsidRPr="002F665D">
              <w:rPr>
                <w:sz w:val="20"/>
              </w:rPr>
              <w:t>Sample</w:t>
            </w:r>
          </w:p>
        </w:tc>
        <w:tc>
          <w:tcPr>
            <w:tcW w:w="1133" w:type="dxa"/>
            <w:tcBorders>
              <w:left w:val="single" w:sz="6" w:space="0" w:color="auto"/>
              <w:right w:val="single" w:sz="6" w:space="0" w:color="auto"/>
            </w:tcBorders>
          </w:tcPr>
          <w:p w:rsidR="00B13A27" w:rsidRPr="002F665D" w:rsidRDefault="00B13A27" w:rsidP="002F665D">
            <w:pPr>
              <w:pStyle w:val="Tablehead"/>
              <w:rPr>
                <w:sz w:val="20"/>
              </w:rPr>
            </w:pPr>
            <w:r w:rsidRPr="002F665D">
              <w:rPr>
                <w:sz w:val="20"/>
              </w:rPr>
              <w:t>Thickness</w:t>
            </w:r>
            <w:r w:rsidRPr="002F665D">
              <w:rPr>
                <w:sz w:val="20"/>
              </w:rPr>
              <w:br/>
              <w:t>(mm)</w:t>
            </w:r>
          </w:p>
        </w:tc>
        <w:tc>
          <w:tcPr>
            <w:tcW w:w="833" w:type="dxa"/>
            <w:tcBorders>
              <w:right w:val="single" w:sz="6" w:space="0" w:color="auto"/>
            </w:tcBorders>
          </w:tcPr>
          <w:p w:rsidR="00B13A27" w:rsidRPr="002F665D" w:rsidRDefault="00B13A27" w:rsidP="002F665D">
            <w:pPr>
              <w:pStyle w:val="Tablehead"/>
              <w:rPr>
                <w:sz w:val="20"/>
              </w:rPr>
            </w:pPr>
            <w:r w:rsidRPr="002F665D">
              <w:rPr>
                <w:sz w:val="20"/>
              </w:rPr>
              <w:t>Weight</w:t>
            </w:r>
            <w:r w:rsidRPr="002F665D">
              <w:rPr>
                <w:sz w:val="20"/>
              </w:rPr>
              <w:br/>
              <w:t>(kg/m</w:t>
            </w:r>
            <w:r w:rsidR="002F665D" w:rsidRPr="002F665D">
              <w:rPr>
                <w:sz w:val="20"/>
                <w:vertAlign w:val="superscript"/>
              </w:rPr>
              <w:t>2</w:t>
            </w:r>
            <w:r w:rsidRPr="002F665D">
              <w:rPr>
                <w:sz w:val="20"/>
              </w:rPr>
              <w:t>)</w:t>
            </w:r>
          </w:p>
        </w:tc>
        <w:tc>
          <w:tcPr>
            <w:tcW w:w="5138" w:type="dxa"/>
            <w:gridSpan w:val="5"/>
            <w:tcBorders>
              <w:right w:val="single" w:sz="6" w:space="0" w:color="auto"/>
            </w:tcBorders>
          </w:tcPr>
          <w:p w:rsidR="00B13A27" w:rsidRPr="002F665D" w:rsidRDefault="00B13A27" w:rsidP="002F665D">
            <w:pPr>
              <w:pStyle w:val="Tablehead"/>
              <w:rPr>
                <w:sz w:val="20"/>
              </w:rPr>
            </w:pPr>
            <w:r w:rsidRPr="002F665D">
              <w:rPr>
                <w:sz w:val="20"/>
              </w:rPr>
              <w:t>Slant</w:t>
            </w:r>
          </w:p>
        </w:tc>
      </w:tr>
      <w:tr w:rsidR="00B13A27" w:rsidRPr="002F665D" w:rsidTr="0016409C">
        <w:tblPrEx>
          <w:tblCellMar>
            <w:top w:w="0" w:type="dxa"/>
            <w:bottom w:w="0" w:type="dxa"/>
          </w:tblCellMar>
        </w:tblPrEx>
        <w:trPr>
          <w:cantSplit/>
          <w:jc w:val="center"/>
        </w:trPr>
        <w:tc>
          <w:tcPr>
            <w:tcW w:w="773" w:type="dxa"/>
            <w:tcBorders>
              <w:left w:val="single" w:sz="6" w:space="0" w:color="auto"/>
              <w:right w:val="single" w:sz="6" w:space="0" w:color="auto"/>
            </w:tcBorders>
          </w:tcPr>
          <w:p w:rsidR="00B13A27" w:rsidRPr="002F665D" w:rsidRDefault="00B13A27" w:rsidP="002F665D">
            <w:pPr>
              <w:pStyle w:val="Tablehead"/>
              <w:rPr>
                <w:sz w:val="20"/>
              </w:rPr>
            </w:pPr>
          </w:p>
        </w:tc>
        <w:tc>
          <w:tcPr>
            <w:tcW w:w="1588" w:type="dxa"/>
            <w:tcBorders>
              <w:bottom w:val="single" w:sz="6" w:space="0" w:color="auto"/>
            </w:tcBorders>
          </w:tcPr>
          <w:p w:rsidR="00B13A27" w:rsidRPr="002F665D" w:rsidRDefault="00B13A27" w:rsidP="002F665D">
            <w:pPr>
              <w:pStyle w:val="Tablehead"/>
              <w:rPr>
                <w:sz w:val="20"/>
              </w:rPr>
            </w:pPr>
          </w:p>
        </w:tc>
        <w:tc>
          <w:tcPr>
            <w:tcW w:w="1133" w:type="dxa"/>
            <w:tcBorders>
              <w:left w:val="single" w:sz="6" w:space="0" w:color="auto"/>
              <w:bottom w:val="single" w:sz="6" w:space="0" w:color="auto"/>
              <w:right w:val="single" w:sz="6" w:space="0" w:color="auto"/>
            </w:tcBorders>
          </w:tcPr>
          <w:p w:rsidR="00B13A27" w:rsidRPr="002F665D" w:rsidRDefault="00B13A27" w:rsidP="002F665D">
            <w:pPr>
              <w:pStyle w:val="Tablehead"/>
              <w:rPr>
                <w:sz w:val="20"/>
              </w:rPr>
            </w:pPr>
          </w:p>
        </w:tc>
        <w:tc>
          <w:tcPr>
            <w:tcW w:w="833" w:type="dxa"/>
            <w:tcBorders>
              <w:bottom w:val="single" w:sz="6" w:space="0" w:color="auto"/>
              <w:right w:val="single" w:sz="6" w:space="0" w:color="auto"/>
            </w:tcBorders>
          </w:tcPr>
          <w:p w:rsidR="00B13A27" w:rsidRPr="002F665D" w:rsidRDefault="00B13A27" w:rsidP="002F665D">
            <w:pPr>
              <w:pStyle w:val="Tablehead"/>
              <w:rPr>
                <w:sz w:val="20"/>
              </w:rPr>
            </w:pPr>
          </w:p>
        </w:tc>
        <w:tc>
          <w:tcPr>
            <w:tcW w:w="1283" w:type="dxa"/>
            <w:tcBorders>
              <w:top w:val="single" w:sz="6" w:space="0" w:color="auto"/>
              <w:bottom w:val="single" w:sz="6" w:space="0" w:color="auto"/>
              <w:right w:val="single" w:sz="6" w:space="0" w:color="auto"/>
            </w:tcBorders>
          </w:tcPr>
          <w:p w:rsidR="00B13A27" w:rsidRPr="002F665D" w:rsidRDefault="00B13A27" w:rsidP="002F665D">
            <w:pPr>
              <w:pStyle w:val="Tablehead"/>
              <w:rPr>
                <w:sz w:val="20"/>
              </w:rPr>
            </w:pPr>
            <w:r w:rsidRPr="002F665D">
              <w:rPr>
                <w:rFonts w:ascii="Symbol" w:hAnsi="Symbol"/>
                <w:sz w:val="20"/>
              </w:rPr>
              <w:t></w:t>
            </w:r>
            <w:r w:rsidRPr="002F665D">
              <w:rPr>
                <w:sz w:val="20"/>
              </w:rPr>
              <w:t xml:space="preserve"> = 0°</w:t>
            </w:r>
          </w:p>
        </w:tc>
        <w:tc>
          <w:tcPr>
            <w:tcW w:w="128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head"/>
              <w:rPr>
                <w:sz w:val="20"/>
              </w:rPr>
            </w:pPr>
            <w:r w:rsidRPr="002F665D">
              <w:rPr>
                <w:rFonts w:ascii="Symbol" w:hAnsi="Symbol"/>
                <w:sz w:val="20"/>
              </w:rPr>
              <w:t></w:t>
            </w:r>
            <w:r w:rsidRPr="002F665D">
              <w:rPr>
                <w:sz w:val="20"/>
              </w:rPr>
              <w:t xml:space="preserve"> = 30°</w:t>
            </w:r>
          </w:p>
        </w:tc>
        <w:tc>
          <w:tcPr>
            <w:tcW w:w="128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head"/>
              <w:rPr>
                <w:sz w:val="20"/>
              </w:rPr>
            </w:pPr>
            <w:r w:rsidRPr="002F665D">
              <w:rPr>
                <w:rFonts w:ascii="Symbol" w:hAnsi="Symbol"/>
                <w:sz w:val="20"/>
              </w:rPr>
              <w:t></w:t>
            </w:r>
            <w:r w:rsidRPr="002F665D">
              <w:rPr>
                <w:sz w:val="20"/>
              </w:rPr>
              <w:t xml:space="preserve"> = 45°</w:t>
            </w:r>
          </w:p>
        </w:tc>
        <w:tc>
          <w:tcPr>
            <w:tcW w:w="1289" w:type="dxa"/>
            <w:gridSpan w:val="2"/>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head"/>
              <w:rPr>
                <w:sz w:val="20"/>
              </w:rPr>
            </w:pPr>
            <w:r w:rsidRPr="002F665D">
              <w:rPr>
                <w:rFonts w:ascii="Symbol" w:hAnsi="Symbol"/>
                <w:sz w:val="20"/>
              </w:rPr>
              <w:t></w:t>
            </w:r>
            <w:r w:rsidRPr="002F665D">
              <w:rPr>
                <w:sz w:val="20"/>
              </w:rPr>
              <w:t xml:space="preserve"> = 60°</w:t>
            </w:r>
          </w:p>
        </w:tc>
      </w:tr>
      <w:tr w:rsidR="00B13A27" w:rsidRPr="002F665D" w:rsidTr="0016409C">
        <w:tblPrEx>
          <w:tblCellMar>
            <w:top w:w="0" w:type="dxa"/>
            <w:bottom w:w="0" w:type="dxa"/>
          </w:tblCellMar>
        </w:tblPrEx>
        <w:trPr>
          <w:gridAfter w:val="1"/>
          <w:wAfter w:w="8" w:type="dxa"/>
          <w:cantSplit/>
          <w:jc w:val="center"/>
        </w:trPr>
        <w:tc>
          <w:tcPr>
            <w:tcW w:w="773" w:type="dxa"/>
            <w:tcBorders>
              <w:top w:val="single" w:sz="6" w:space="0" w:color="auto"/>
              <w:left w:val="single" w:sz="6" w:space="0" w:color="auto"/>
              <w:bottom w:val="single" w:sz="6" w:space="0" w:color="auto"/>
              <w:right w:val="single" w:sz="6" w:space="0" w:color="auto"/>
            </w:tcBorders>
          </w:tcPr>
          <w:p w:rsidR="00B13A27" w:rsidRPr="002F665D" w:rsidRDefault="00B13A27" w:rsidP="00B944D4">
            <w:pPr>
              <w:pStyle w:val="Tabletext"/>
              <w:jc w:val="center"/>
              <w:rPr>
                <w:sz w:val="20"/>
              </w:rPr>
            </w:pPr>
            <w:r w:rsidRPr="002F665D">
              <w:rPr>
                <w:sz w:val="20"/>
              </w:rPr>
              <w:t>1</w:t>
            </w:r>
          </w:p>
        </w:tc>
        <w:tc>
          <w:tcPr>
            <w:tcW w:w="1588" w:type="dxa"/>
            <w:tcBorders>
              <w:left w:val="single" w:sz="6" w:space="0" w:color="auto"/>
              <w:bottom w:val="single" w:sz="6" w:space="0" w:color="auto"/>
              <w:right w:val="single" w:sz="6" w:space="0" w:color="auto"/>
            </w:tcBorders>
          </w:tcPr>
          <w:p w:rsidR="00B13A27" w:rsidRPr="002F665D" w:rsidRDefault="00B13A27" w:rsidP="002F665D">
            <w:pPr>
              <w:pStyle w:val="Tabletext"/>
              <w:jc w:val="left"/>
              <w:rPr>
                <w:sz w:val="20"/>
              </w:rPr>
            </w:pPr>
            <w:r w:rsidRPr="002F665D">
              <w:rPr>
                <w:sz w:val="20"/>
              </w:rPr>
              <w:t>Canopy cloth of company A</w:t>
            </w:r>
          </w:p>
        </w:tc>
        <w:tc>
          <w:tcPr>
            <w:tcW w:w="1133" w:type="dxa"/>
            <w:tcBorders>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0.18</w:t>
            </w:r>
          </w:p>
        </w:tc>
        <w:tc>
          <w:tcPr>
            <w:tcW w:w="833" w:type="dxa"/>
            <w:tcBorders>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0.22</w:t>
            </w:r>
          </w:p>
        </w:tc>
        <w:tc>
          <w:tcPr>
            <w:tcW w:w="1283" w:type="dxa"/>
            <w:tcBorders>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w:t>
            </w:r>
          </w:p>
        </w:tc>
        <w:tc>
          <w:tcPr>
            <w:tcW w:w="1283" w:type="dxa"/>
            <w:tcBorders>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–0.1</w:t>
            </w:r>
          </w:p>
        </w:tc>
        <w:tc>
          <w:tcPr>
            <w:tcW w:w="1283" w:type="dxa"/>
            <w:tcBorders>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–0.2</w:t>
            </w:r>
          </w:p>
        </w:tc>
        <w:tc>
          <w:tcPr>
            <w:tcW w:w="1281" w:type="dxa"/>
            <w:tcBorders>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w:t>
            </w:r>
          </w:p>
        </w:tc>
      </w:tr>
      <w:tr w:rsidR="00B13A27" w:rsidRPr="002F665D" w:rsidTr="0016409C">
        <w:tblPrEx>
          <w:tblCellMar>
            <w:top w:w="0" w:type="dxa"/>
            <w:bottom w:w="0" w:type="dxa"/>
          </w:tblCellMar>
        </w:tblPrEx>
        <w:trPr>
          <w:gridAfter w:val="1"/>
          <w:wAfter w:w="8" w:type="dxa"/>
          <w:cantSplit/>
          <w:jc w:val="center"/>
        </w:trPr>
        <w:tc>
          <w:tcPr>
            <w:tcW w:w="773" w:type="dxa"/>
            <w:tcBorders>
              <w:top w:val="single" w:sz="6" w:space="0" w:color="auto"/>
              <w:left w:val="single" w:sz="6" w:space="0" w:color="auto"/>
              <w:bottom w:val="single" w:sz="6" w:space="0" w:color="auto"/>
              <w:right w:val="single" w:sz="6" w:space="0" w:color="auto"/>
            </w:tcBorders>
          </w:tcPr>
          <w:p w:rsidR="00B13A27" w:rsidRPr="002F665D" w:rsidRDefault="00B13A27" w:rsidP="00B944D4">
            <w:pPr>
              <w:pStyle w:val="Tabletext"/>
              <w:jc w:val="center"/>
              <w:rPr>
                <w:sz w:val="20"/>
              </w:rPr>
            </w:pPr>
            <w:r w:rsidRPr="002F665D">
              <w:rPr>
                <w:sz w:val="20"/>
              </w:rPr>
              <w:t>2</w:t>
            </w:r>
          </w:p>
        </w:tc>
        <w:tc>
          <w:tcPr>
            <w:tcW w:w="1588"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left"/>
              <w:rPr>
                <w:sz w:val="20"/>
              </w:rPr>
            </w:pPr>
            <w:r w:rsidRPr="002F665D">
              <w:rPr>
                <w:sz w:val="20"/>
              </w:rPr>
              <w:t>Air tube cloth of</w:t>
            </w:r>
            <w:r w:rsidRPr="002F665D">
              <w:rPr>
                <w:sz w:val="20"/>
              </w:rPr>
              <w:br/>
              <w:t>company A</w:t>
            </w:r>
          </w:p>
        </w:tc>
        <w:tc>
          <w:tcPr>
            <w:tcW w:w="113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0.53</w:t>
            </w:r>
          </w:p>
        </w:tc>
        <w:tc>
          <w:tcPr>
            <w:tcW w:w="83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0.7</w:t>
            </w:r>
          </w:p>
        </w:tc>
        <w:tc>
          <w:tcPr>
            <w:tcW w:w="128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–0.05</w:t>
            </w:r>
          </w:p>
        </w:tc>
        <w:tc>
          <w:tcPr>
            <w:tcW w:w="128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–0.05</w:t>
            </w:r>
          </w:p>
        </w:tc>
        <w:tc>
          <w:tcPr>
            <w:tcW w:w="128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–0.3</w:t>
            </w:r>
          </w:p>
        </w:tc>
        <w:tc>
          <w:tcPr>
            <w:tcW w:w="1281"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–0.2</w:t>
            </w:r>
          </w:p>
        </w:tc>
      </w:tr>
      <w:tr w:rsidR="00B13A27" w:rsidRPr="002F665D" w:rsidTr="0016409C">
        <w:tblPrEx>
          <w:tblCellMar>
            <w:top w:w="0" w:type="dxa"/>
            <w:bottom w:w="0" w:type="dxa"/>
          </w:tblCellMar>
        </w:tblPrEx>
        <w:trPr>
          <w:gridAfter w:val="1"/>
          <w:wAfter w:w="8" w:type="dxa"/>
          <w:cantSplit/>
          <w:jc w:val="center"/>
        </w:trPr>
        <w:tc>
          <w:tcPr>
            <w:tcW w:w="773" w:type="dxa"/>
            <w:tcBorders>
              <w:top w:val="single" w:sz="6" w:space="0" w:color="auto"/>
              <w:left w:val="single" w:sz="6" w:space="0" w:color="auto"/>
              <w:bottom w:val="single" w:sz="6" w:space="0" w:color="auto"/>
              <w:right w:val="single" w:sz="6" w:space="0" w:color="auto"/>
            </w:tcBorders>
          </w:tcPr>
          <w:p w:rsidR="00B13A27" w:rsidRPr="002F665D" w:rsidRDefault="00B13A27" w:rsidP="00B944D4">
            <w:pPr>
              <w:pStyle w:val="Tabletext"/>
              <w:jc w:val="center"/>
              <w:rPr>
                <w:sz w:val="20"/>
              </w:rPr>
            </w:pPr>
            <w:r w:rsidRPr="002F665D">
              <w:rPr>
                <w:sz w:val="20"/>
              </w:rPr>
              <w:t>3</w:t>
            </w:r>
          </w:p>
        </w:tc>
        <w:tc>
          <w:tcPr>
            <w:tcW w:w="1588"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left"/>
              <w:rPr>
                <w:sz w:val="20"/>
              </w:rPr>
            </w:pPr>
            <w:r w:rsidRPr="002F665D">
              <w:rPr>
                <w:sz w:val="20"/>
              </w:rPr>
              <w:t>Canopy cloth of company B</w:t>
            </w:r>
          </w:p>
        </w:tc>
        <w:tc>
          <w:tcPr>
            <w:tcW w:w="113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0.25</w:t>
            </w:r>
          </w:p>
        </w:tc>
        <w:tc>
          <w:tcPr>
            <w:tcW w:w="83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0.27</w:t>
            </w:r>
          </w:p>
        </w:tc>
        <w:tc>
          <w:tcPr>
            <w:tcW w:w="128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w:t>
            </w:r>
          </w:p>
        </w:tc>
        <w:tc>
          <w:tcPr>
            <w:tcW w:w="128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–0.1</w:t>
            </w:r>
          </w:p>
        </w:tc>
        <w:tc>
          <w:tcPr>
            <w:tcW w:w="128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–0.15</w:t>
            </w:r>
          </w:p>
        </w:tc>
        <w:tc>
          <w:tcPr>
            <w:tcW w:w="1281"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–0.05</w:t>
            </w:r>
          </w:p>
        </w:tc>
      </w:tr>
      <w:tr w:rsidR="00B13A27" w:rsidRPr="002F665D" w:rsidTr="0016409C">
        <w:tblPrEx>
          <w:tblCellMar>
            <w:top w:w="0" w:type="dxa"/>
            <w:bottom w:w="0" w:type="dxa"/>
          </w:tblCellMar>
        </w:tblPrEx>
        <w:trPr>
          <w:gridAfter w:val="1"/>
          <w:wAfter w:w="8" w:type="dxa"/>
          <w:cantSplit/>
          <w:jc w:val="center"/>
        </w:trPr>
        <w:tc>
          <w:tcPr>
            <w:tcW w:w="773" w:type="dxa"/>
            <w:tcBorders>
              <w:top w:val="single" w:sz="6" w:space="0" w:color="auto"/>
              <w:left w:val="single" w:sz="6" w:space="0" w:color="auto"/>
              <w:bottom w:val="single" w:sz="6" w:space="0" w:color="auto"/>
              <w:right w:val="single" w:sz="6" w:space="0" w:color="auto"/>
            </w:tcBorders>
          </w:tcPr>
          <w:p w:rsidR="00B13A27" w:rsidRPr="002F665D" w:rsidRDefault="00B13A27" w:rsidP="00B944D4">
            <w:pPr>
              <w:pStyle w:val="Tabletext"/>
              <w:jc w:val="center"/>
              <w:rPr>
                <w:sz w:val="20"/>
              </w:rPr>
            </w:pPr>
            <w:r w:rsidRPr="002F665D">
              <w:rPr>
                <w:sz w:val="20"/>
              </w:rPr>
              <w:t>4</w:t>
            </w:r>
          </w:p>
        </w:tc>
        <w:tc>
          <w:tcPr>
            <w:tcW w:w="1588"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left"/>
              <w:rPr>
                <w:sz w:val="20"/>
              </w:rPr>
            </w:pPr>
            <w:r w:rsidRPr="002F665D">
              <w:rPr>
                <w:sz w:val="20"/>
              </w:rPr>
              <w:t>Air tube cloth of</w:t>
            </w:r>
            <w:r w:rsidRPr="002F665D">
              <w:rPr>
                <w:sz w:val="20"/>
              </w:rPr>
              <w:br/>
              <w:t>company B</w:t>
            </w:r>
          </w:p>
        </w:tc>
        <w:tc>
          <w:tcPr>
            <w:tcW w:w="113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0.57</w:t>
            </w:r>
          </w:p>
        </w:tc>
        <w:tc>
          <w:tcPr>
            <w:tcW w:w="83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0.67</w:t>
            </w:r>
          </w:p>
        </w:tc>
        <w:tc>
          <w:tcPr>
            <w:tcW w:w="128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w:t>
            </w:r>
          </w:p>
        </w:tc>
        <w:tc>
          <w:tcPr>
            <w:tcW w:w="128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–0.4</w:t>
            </w:r>
          </w:p>
        </w:tc>
        <w:tc>
          <w:tcPr>
            <w:tcW w:w="128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–0.4</w:t>
            </w:r>
          </w:p>
        </w:tc>
        <w:tc>
          <w:tcPr>
            <w:tcW w:w="1281"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–0.45</w:t>
            </w:r>
          </w:p>
        </w:tc>
      </w:tr>
      <w:tr w:rsidR="00B13A27" w:rsidRPr="002F665D" w:rsidTr="0016409C">
        <w:tblPrEx>
          <w:tblCellMar>
            <w:top w:w="0" w:type="dxa"/>
            <w:bottom w:w="0" w:type="dxa"/>
          </w:tblCellMar>
        </w:tblPrEx>
        <w:trPr>
          <w:gridAfter w:val="1"/>
          <w:wAfter w:w="8" w:type="dxa"/>
          <w:cantSplit/>
          <w:jc w:val="center"/>
        </w:trPr>
        <w:tc>
          <w:tcPr>
            <w:tcW w:w="773" w:type="dxa"/>
            <w:tcBorders>
              <w:top w:val="single" w:sz="6" w:space="0" w:color="auto"/>
              <w:left w:val="single" w:sz="6" w:space="0" w:color="auto"/>
              <w:bottom w:val="single" w:sz="6" w:space="0" w:color="auto"/>
              <w:right w:val="single" w:sz="6" w:space="0" w:color="auto"/>
            </w:tcBorders>
          </w:tcPr>
          <w:p w:rsidR="00B13A27" w:rsidRPr="002F665D" w:rsidRDefault="00B13A27" w:rsidP="00B944D4">
            <w:pPr>
              <w:pStyle w:val="Tabletext"/>
              <w:jc w:val="center"/>
              <w:rPr>
                <w:sz w:val="20"/>
              </w:rPr>
            </w:pPr>
            <w:r w:rsidRPr="002F665D">
              <w:rPr>
                <w:sz w:val="20"/>
              </w:rPr>
              <w:t>5</w:t>
            </w:r>
          </w:p>
        </w:tc>
        <w:tc>
          <w:tcPr>
            <w:tcW w:w="1588"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left"/>
              <w:rPr>
                <w:sz w:val="20"/>
              </w:rPr>
            </w:pPr>
            <w:r w:rsidRPr="002F665D">
              <w:rPr>
                <w:sz w:val="20"/>
              </w:rPr>
              <w:t>Canopy cloth of company C</w:t>
            </w:r>
          </w:p>
        </w:tc>
        <w:tc>
          <w:tcPr>
            <w:tcW w:w="113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0.26</w:t>
            </w:r>
          </w:p>
        </w:tc>
        <w:tc>
          <w:tcPr>
            <w:tcW w:w="83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0.3</w:t>
            </w:r>
          </w:p>
        </w:tc>
        <w:tc>
          <w:tcPr>
            <w:tcW w:w="128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–0.2</w:t>
            </w:r>
          </w:p>
        </w:tc>
        <w:tc>
          <w:tcPr>
            <w:tcW w:w="128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–0.5</w:t>
            </w:r>
          </w:p>
        </w:tc>
        <w:tc>
          <w:tcPr>
            <w:tcW w:w="128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–0.3</w:t>
            </w:r>
          </w:p>
        </w:tc>
        <w:tc>
          <w:tcPr>
            <w:tcW w:w="1281"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–0.4</w:t>
            </w:r>
          </w:p>
        </w:tc>
      </w:tr>
      <w:tr w:rsidR="00B13A27" w:rsidRPr="002F665D" w:rsidTr="0016409C">
        <w:tblPrEx>
          <w:tblCellMar>
            <w:top w:w="0" w:type="dxa"/>
            <w:bottom w:w="0" w:type="dxa"/>
          </w:tblCellMar>
        </w:tblPrEx>
        <w:trPr>
          <w:gridAfter w:val="1"/>
          <w:wAfter w:w="8" w:type="dxa"/>
          <w:cantSplit/>
          <w:jc w:val="center"/>
        </w:trPr>
        <w:tc>
          <w:tcPr>
            <w:tcW w:w="773" w:type="dxa"/>
            <w:tcBorders>
              <w:top w:val="single" w:sz="6" w:space="0" w:color="auto"/>
              <w:left w:val="single" w:sz="6" w:space="0" w:color="auto"/>
              <w:bottom w:val="single" w:sz="6" w:space="0" w:color="auto"/>
              <w:right w:val="single" w:sz="6" w:space="0" w:color="auto"/>
            </w:tcBorders>
          </w:tcPr>
          <w:p w:rsidR="00B13A27" w:rsidRPr="002F665D" w:rsidRDefault="00B13A27" w:rsidP="00B944D4">
            <w:pPr>
              <w:pStyle w:val="Tabletext"/>
              <w:jc w:val="center"/>
              <w:rPr>
                <w:sz w:val="20"/>
              </w:rPr>
            </w:pPr>
            <w:r w:rsidRPr="002F665D">
              <w:rPr>
                <w:sz w:val="20"/>
              </w:rPr>
              <w:t>6</w:t>
            </w:r>
          </w:p>
        </w:tc>
        <w:tc>
          <w:tcPr>
            <w:tcW w:w="1588"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left"/>
              <w:rPr>
                <w:sz w:val="20"/>
              </w:rPr>
            </w:pPr>
            <w:r w:rsidRPr="002F665D">
              <w:rPr>
                <w:sz w:val="20"/>
              </w:rPr>
              <w:t>Air tube cloth of company C</w:t>
            </w:r>
          </w:p>
        </w:tc>
        <w:tc>
          <w:tcPr>
            <w:tcW w:w="113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0.54</w:t>
            </w:r>
          </w:p>
        </w:tc>
        <w:tc>
          <w:tcPr>
            <w:tcW w:w="83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0.67</w:t>
            </w:r>
          </w:p>
        </w:tc>
        <w:tc>
          <w:tcPr>
            <w:tcW w:w="128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–0.6</w:t>
            </w:r>
          </w:p>
        </w:tc>
        <w:tc>
          <w:tcPr>
            <w:tcW w:w="128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–1.4</w:t>
            </w:r>
          </w:p>
        </w:tc>
        <w:tc>
          <w:tcPr>
            <w:tcW w:w="128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–1.9</w:t>
            </w:r>
          </w:p>
        </w:tc>
        <w:tc>
          <w:tcPr>
            <w:tcW w:w="1281"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–2.4</w:t>
            </w:r>
          </w:p>
        </w:tc>
      </w:tr>
      <w:tr w:rsidR="00B13A27" w:rsidRPr="002F665D" w:rsidTr="0016409C">
        <w:tblPrEx>
          <w:tblCellMar>
            <w:top w:w="0" w:type="dxa"/>
            <w:bottom w:w="0" w:type="dxa"/>
          </w:tblCellMar>
        </w:tblPrEx>
        <w:trPr>
          <w:gridAfter w:val="1"/>
          <w:wAfter w:w="8" w:type="dxa"/>
          <w:cantSplit/>
          <w:jc w:val="center"/>
        </w:trPr>
        <w:tc>
          <w:tcPr>
            <w:tcW w:w="773" w:type="dxa"/>
            <w:tcBorders>
              <w:top w:val="single" w:sz="6" w:space="0" w:color="auto"/>
              <w:left w:val="single" w:sz="6" w:space="0" w:color="auto"/>
              <w:bottom w:val="single" w:sz="6" w:space="0" w:color="auto"/>
              <w:right w:val="single" w:sz="6" w:space="0" w:color="auto"/>
            </w:tcBorders>
          </w:tcPr>
          <w:p w:rsidR="00B13A27" w:rsidRPr="002F665D" w:rsidRDefault="00B13A27" w:rsidP="00B944D4">
            <w:pPr>
              <w:pStyle w:val="Tabletext"/>
              <w:jc w:val="center"/>
              <w:rPr>
                <w:sz w:val="20"/>
              </w:rPr>
            </w:pPr>
            <w:r w:rsidRPr="002F665D">
              <w:rPr>
                <w:sz w:val="20"/>
              </w:rPr>
              <w:t>7</w:t>
            </w:r>
          </w:p>
        </w:tc>
        <w:tc>
          <w:tcPr>
            <w:tcW w:w="1588"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left"/>
              <w:rPr>
                <w:sz w:val="20"/>
              </w:rPr>
            </w:pPr>
            <w:r w:rsidRPr="002F665D">
              <w:rPr>
                <w:sz w:val="20"/>
              </w:rPr>
              <w:t>Spraying salt water (4.</w:t>
            </w:r>
            <w:bookmarkStart w:id="3" w:name="_GoBack"/>
            <w:bookmarkEnd w:id="3"/>
            <w:r w:rsidRPr="002F665D">
              <w:rPr>
                <w:sz w:val="20"/>
              </w:rPr>
              <w:t>8% NaCl) over “1”</w:t>
            </w:r>
          </w:p>
        </w:tc>
        <w:tc>
          <w:tcPr>
            <w:tcW w:w="113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w:t>
            </w:r>
          </w:p>
        </w:tc>
        <w:tc>
          <w:tcPr>
            <w:tcW w:w="83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w:t>
            </w:r>
          </w:p>
        </w:tc>
        <w:tc>
          <w:tcPr>
            <w:tcW w:w="128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–0.35</w:t>
            </w:r>
          </w:p>
        </w:tc>
        <w:tc>
          <w:tcPr>
            <w:tcW w:w="128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–0.55</w:t>
            </w:r>
          </w:p>
        </w:tc>
        <w:tc>
          <w:tcPr>
            <w:tcW w:w="128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–0.95</w:t>
            </w:r>
          </w:p>
        </w:tc>
        <w:tc>
          <w:tcPr>
            <w:tcW w:w="1281"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–1.1</w:t>
            </w:r>
          </w:p>
        </w:tc>
      </w:tr>
      <w:tr w:rsidR="00B13A27" w:rsidRPr="002F665D" w:rsidTr="0016409C">
        <w:tblPrEx>
          <w:tblCellMar>
            <w:top w:w="0" w:type="dxa"/>
            <w:bottom w:w="0" w:type="dxa"/>
          </w:tblCellMar>
        </w:tblPrEx>
        <w:trPr>
          <w:gridAfter w:val="1"/>
          <w:wAfter w:w="8" w:type="dxa"/>
          <w:cantSplit/>
          <w:jc w:val="center"/>
        </w:trPr>
        <w:tc>
          <w:tcPr>
            <w:tcW w:w="773" w:type="dxa"/>
            <w:tcBorders>
              <w:top w:val="single" w:sz="6" w:space="0" w:color="auto"/>
              <w:left w:val="single" w:sz="6" w:space="0" w:color="auto"/>
              <w:bottom w:val="single" w:sz="6" w:space="0" w:color="auto"/>
              <w:right w:val="single" w:sz="6" w:space="0" w:color="auto"/>
            </w:tcBorders>
          </w:tcPr>
          <w:p w:rsidR="00B13A27" w:rsidRPr="002F665D" w:rsidRDefault="00B13A27" w:rsidP="00B944D4">
            <w:pPr>
              <w:pStyle w:val="Tabletext"/>
              <w:jc w:val="center"/>
              <w:rPr>
                <w:sz w:val="20"/>
              </w:rPr>
            </w:pPr>
            <w:r w:rsidRPr="002F665D">
              <w:rPr>
                <w:sz w:val="20"/>
              </w:rPr>
              <w:t>8</w:t>
            </w:r>
          </w:p>
        </w:tc>
        <w:tc>
          <w:tcPr>
            <w:tcW w:w="1588"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left"/>
              <w:rPr>
                <w:sz w:val="20"/>
              </w:rPr>
            </w:pPr>
            <w:r w:rsidRPr="002F665D">
              <w:rPr>
                <w:sz w:val="20"/>
              </w:rPr>
              <w:t>Spraying salt water (4.8% NaCl) over “3”</w:t>
            </w:r>
          </w:p>
        </w:tc>
        <w:tc>
          <w:tcPr>
            <w:tcW w:w="113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w:t>
            </w:r>
          </w:p>
        </w:tc>
        <w:tc>
          <w:tcPr>
            <w:tcW w:w="83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w:t>
            </w:r>
          </w:p>
        </w:tc>
        <w:tc>
          <w:tcPr>
            <w:tcW w:w="128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–1.3</w:t>
            </w:r>
          </w:p>
        </w:tc>
        <w:tc>
          <w:tcPr>
            <w:tcW w:w="128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–1.9</w:t>
            </w:r>
          </w:p>
        </w:tc>
        <w:tc>
          <w:tcPr>
            <w:tcW w:w="1283"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–2.6</w:t>
            </w:r>
          </w:p>
        </w:tc>
        <w:tc>
          <w:tcPr>
            <w:tcW w:w="1281" w:type="dxa"/>
            <w:tcBorders>
              <w:top w:val="single" w:sz="6" w:space="0" w:color="auto"/>
              <w:left w:val="single" w:sz="6" w:space="0" w:color="auto"/>
              <w:bottom w:val="single" w:sz="6" w:space="0" w:color="auto"/>
              <w:right w:val="single" w:sz="6" w:space="0" w:color="auto"/>
            </w:tcBorders>
          </w:tcPr>
          <w:p w:rsidR="00B13A27" w:rsidRPr="002F665D" w:rsidRDefault="00B13A27" w:rsidP="002F665D">
            <w:pPr>
              <w:pStyle w:val="Tabletext"/>
              <w:jc w:val="center"/>
              <w:rPr>
                <w:sz w:val="20"/>
              </w:rPr>
            </w:pPr>
            <w:r w:rsidRPr="002F665D">
              <w:rPr>
                <w:sz w:val="20"/>
              </w:rPr>
              <w:t>–3.4</w:t>
            </w:r>
          </w:p>
        </w:tc>
      </w:tr>
      <w:tr w:rsidR="00B13A27" w:rsidRPr="002F665D" w:rsidTr="0016409C">
        <w:tblPrEx>
          <w:tblCellMar>
            <w:top w:w="0" w:type="dxa"/>
            <w:bottom w:w="0" w:type="dxa"/>
          </w:tblCellMar>
        </w:tblPrEx>
        <w:trPr>
          <w:gridAfter w:val="1"/>
          <w:wAfter w:w="8" w:type="dxa"/>
          <w:cantSplit/>
          <w:jc w:val="center"/>
        </w:trPr>
        <w:tc>
          <w:tcPr>
            <w:tcW w:w="9457" w:type="dxa"/>
            <w:gridSpan w:val="8"/>
          </w:tcPr>
          <w:p w:rsidR="00B13A27" w:rsidRPr="002F665D" w:rsidRDefault="00B13A27" w:rsidP="002F665D">
            <w:pPr>
              <w:pStyle w:val="Tabletext"/>
              <w:jc w:val="left"/>
            </w:pPr>
            <w:r w:rsidRPr="002F665D">
              <w:t>Measurement freqency: 9.4 GHz</w:t>
            </w:r>
            <w:r w:rsidRPr="002F665D">
              <w:br/>
              <w:t xml:space="preserve">Sample size: 600 </w:t>
            </w:r>
            <w:r w:rsidRPr="002F665D">
              <w:rPr>
                <w:rFonts w:ascii="Symbol" w:hAnsi="Symbol"/>
              </w:rPr>
              <w:t></w:t>
            </w:r>
            <w:r w:rsidRPr="002F665D">
              <w:t xml:space="preserve"> 800 mm</w:t>
            </w:r>
          </w:p>
        </w:tc>
      </w:tr>
    </w:tbl>
    <w:p w:rsidR="00B13A27" w:rsidRDefault="00B13A27" w:rsidP="00B13A27">
      <w:pPr>
        <w:pStyle w:val="Tablefin"/>
      </w:pPr>
    </w:p>
    <w:p w:rsidR="00B13A27" w:rsidRPr="000357BC" w:rsidRDefault="00B13A27" w:rsidP="00B13A27">
      <w:pPr>
        <w:pStyle w:val="Heading1"/>
        <w:rPr>
          <w:lang w:val="en-US"/>
        </w:rPr>
      </w:pPr>
      <w:r w:rsidRPr="000357BC">
        <w:rPr>
          <w:lang w:val="en-US"/>
        </w:rPr>
        <w:t>4</w:t>
      </w:r>
      <w:r w:rsidRPr="000357BC">
        <w:rPr>
          <w:lang w:val="en-US"/>
        </w:rPr>
        <w:tab/>
        <w:t>Conclusions</w:t>
      </w:r>
    </w:p>
    <w:p w:rsidR="00B13A27" w:rsidRPr="000357BC" w:rsidRDefault="00B13A27" w:rsidP="00B13A27">
      <w:pPr>
        <w:rPr>
          <w:lang w:val="en-US"/>
        </w:rPr>
      </w:pPr>
      <w:r w:rsidRPr="000357BC">
        <w:rPr>
          <w:lang w:val="en-US"/>
        </w:rPr>
        <w:t>The tests indicated that properly mounted SARTs will achieve the detection range required by IMO, even allowing for the blanketing effects of the survival craft. There is no necessity to mount the SART more than 1 m above the sea particularly if the extra height is likely to lead to difficulties by survivors in achieving the mounting, but in future improved antenna mountings may be feasible giving additional detection range.</w:t>
      </w:r>
    </w:p>
    <w:p w:rsidR="00B13A27" w:rsidRPr="000357BC" w:rsidRDefault="00B13A27" w:rsidP="00B13A27">
      <w:pPr>
        <w:rPr>
          <w:lang w:val="en-US"/>
        </w:rPr>
      </w:pPr>
      <w:r w:rsidRPr="00A06947">
        <w:rPr>
          <w:b/>
          <w:lang w:val="en-US"/>
        </w:rPr>
        <w:t>4.1</w:t>
      </w:r>
      <w:r w:rsidRPr="000357BC">
        <w:rPr>
          <w:lang w:val="en-US"/>
        </w:rPr>
        <w:tab/>
        <w:t>The tests did not consider the effect on SART performance of a radar reflector but it would be expected that this would seriously degrade the SART response. Survivors are advised not to deploy a SART and a radar reflector on the same survival craft because the reflector may obscure the SART.</w:t>
      </w:r>
    </w:p>
    <w:p w:rsidR="00B13A27" w:rsidRPr="00F11FCE" w:rsidRDefault="00B13A27" w:rsidP="00B2633E">
      <w:pPr>
        <w:pStyle w:val="AnnexNoTitle"/>
        <w:rPr>
          <w:lang w:val="en-US" w:eastAsia="ja-JP"/>
        </w:rPr>
      </w:pPr>
      <w:r w:rsidRPr="00F11FCE">
        <w:rPr>
          <w:lang w:val="en-US"/>
        </w:rPr>
        <w:lastRenderedPageBreak/>
        <w:t xml:space="preserve">Annex </w:t>
      </w:r>
      <w:r w:rsidRPr="00F11FCE">
        <w:rPr>
          <w:lang w:val="en-US" w:eastAsia="ja-JP"/>
        </w:rPr>
        <w:t>4</w:t>
      </w:r>
      <w:r w:rsidRPr="00F11FCE">
        <w:rPr>
          <w:lang w:val="en-US"/>
        </w:rPr>
        <w:br/>
      </w:r>
      <w:r w:rsidRPr="00F11FCE">
        <w:rPr>
          <w:lang w:val="en-US"/>
        </w:rPr>
        <w:br/>
      </w:r>
      <w:r w:rsidRPr="00F11FCE">
        <w:rPr>
          <w:szCs w:val="28"/>
          <w:lang w:val="en-US"/>
        </w:rPr>
        <w:t xml:space="preserve">Performance of circular polarization SARTs </w:t>
      </w:r>
    </w:p>
    <w:p w:rsidR="00B13A27" w:rsidRPr="009432A5" w:rsidRDefault="00B13A27" w:rsidP="00B2633E">
      <w:pPr>
        <w:pStyle w:val="Headingb"/>
        <w:rPr>
          <w:i/>
          <w:lang w:val="en-US" w:eastAsia="ja-JP"/>
        </w:rPr>
      </w:pPr>
      <w:r w:rsidRPr="009432A5">
        <w:rPr>
          <w:lang w:val="en-US" w:eastAsia="ja-JP"/>
        </w:rPr>
        <w:t>Foreword</w:t>
      </w:r>
    </w:p>
    <w:p w:rsidR="00B13A27" w:rsidRPr="009432A5" w:rsidRDefault="00B13A27" w:rsidP="00B2633E">
      <w:pPr>
        <w:keepNext/>
        <w:keepLines/>
        <w:rPr>
          <w:lang w:val="en-US"/>
        </w:rPr>
      </w:pPr>
      <w:r w:rsidRPr="009432A5">
        <w:rPr>
          <w:lang w:val="en-US" w:eastAsia="ja-JP"/>
        </w:rPr>
        <w:t>H</w:t>
      </w:r>
      <w:r w:rsidRPr="009432A5">
        <w:rPr>
          <w:lang w:val="en-US"/>
        </w:rPr>
        <w:t>orizontal polarization has been used as the method of polarization for SARTs. Recent examinations in Japan have shown that circular polarization would be suitable for use with SARTs. A SART using circular polarization with a helical antenna was made for trial purposes, and water tank experiments and sea trials were conducted. The results showed the superiority of circular polarization used with SARTs and it was concluded that this will enable a reduction in the size of SARTs.</w:t>
      </w:r>
    </w:p>
    <w:p w:rsidR="00B13A27" w:rsidRPr="009432A5" w:rsidRDefault="00B13A27" w:rsidP="00B2633E">
      <w:pPr>
        <w:pStyle w:val="Heading1"/>
        <w:rPr>
          <w:lang w:val="en-US"/>
        </w:rPr>
      </w:pPr>
      <w:r w:rsidRPr="009432A5">
        <w:rPr>
          <w:lang w:val="en-US" w:eastAsia="ja-JP"/>
        </w:rPr>
        <w:t>1</w:t>
      </w:r>
      <w:r w:rsidRPr="009432A5">
        <w:rPr>
          <w:lang w:val="en-US"/>
        </w:rPr>
        <w:tab/>
        <w:t>Characteristics of SART signal in the tank tests</w:t>
      </w:r>
    </w:p>
    <w:p w:rsidR="00B13A27" w:rsidRPr="009432A5" w:rsidRDefault="00B13A27" w:rsidP="00B13A27">
      <w:pPr>
        <w:rPr>
          <w:lang w:val="en-US" w:eastAsia="ja-JP"/>
        </w:rPr>
      </w:pPr>
      <w:r w:rsidRPr="009432A5">
        <w:rPr>
          <w:lang w:val="en-US"/>
        </w:rPr>
        <w:t xml:space="preserve">Measurements of the received power of the SART signal and observations of visibility of the signal on radar PPI were carried out in </w:t>
      </w:r>
      <w:r w:rsidRPr="009432A5">
        <w:rPr>
          <w:lang w:val="en-US" w:eastAsia="ja-JP"/>
        </w:rPr>
        <w:t>an artificial waves water tank at a research laboratory in Japan.</w:t>
      </w:r>
      <w:r w:rsidRPr="009432A5">
        <w:rPr>
          <w:lang w:val="en-US"/>
        </w:rPr>
        <w:t xml:space="preserve"> The results showed that circular polarization was superior to horizontal polarization for SARTs</w:t>
      </w:r>
      <w:r w:rsidRPr="009432A5">
        <w:rPr>
          <w:lang w:val="en-US" w:eastAsia="ja-JP"/>
        </w:rPr>
        <w:t>.</w:t>
      </w:r>
    </w:p>
    <w:p w:rsidR="00B13A27" w:rsidRPr="009432A5" w:rsidRDefault="00B13A27" w:rsidP="00B13A27">
      <w:pPr>
        <w:pStyle w:val="Heading1"/>
        <w:rPr>
          <w:lang w:val="en-US" w:eastAsia="ja-JP"/>
        </w:rPr>
      </w:pPr>
      <w:r w:rsidRPr="009432A5">
        <w:rPr>
          <w:lang w:val="en-US" w:eastAsia="ja-JP"/>
        </w:rPr>
        <w:t>2</w:t>
      </w:r>
      <w:r w:rsidRPr="009432A5">
        <w:rPr>
          <w:lang w:val="en-US"/>
        </w:rPr>
        <w:tab/>
      </w:r>
      <w:r w:rsidRPr="009432A5">
        <w:rPr>
          <w:lang w:val="en-US" w:eastAsia="ja-JP"/>
        </w:rPr>
        <w:t>Characteristics of SART signal in the on-sea trial</w:t>
      </w:r>
    </w:p>
    <w:p w:rsidR="00B13A27" w:rsidRPr="009432A5" w:rsidRDefault="00B13A27" w:rsidP="00B13A27">
      <w:pPr>
        <w:rPr>
          <w:lang w:val="en-US"/>
        </w:rPr>
      </w:pPr>
      <w:r w:rsidRPr="009432A5">
        <w:rPr>
          <w:lang w:val="en-US"/>
        </w:rPr>
        <w:t>This experiment was conducted in 2000, in cooperation with ships and aircraft of the maritime authorities of Japan in Sagami Bay, by observing the visibility of the SART signal on the radars on board the ships and aircraft. In the meantime, the received power of the SART signal was measured by a land-based radar. The following results were obtained:</w:t>
      </w:r>
    </w:p>
    <w:p w:rsidR="00B13A27" w:rsidRPr="009432A5" w:rsidRDefault="00B13A27" w:rsidP="00B13A27">
      <w:pPr>
        <w:pStyle w:val="enumlev1"/>
        <w:rPr>
          <w:lang w:val="en-US"/>
        </w:rPr>
      </w:pPr>
      <w:r>
        <w:rPr>
          <w:lang w:val="en-US"/>
        </w:rPr>
        <w:t>a</w:t>
      </w:r>
      <w:r w:rsidRPr="009432A5">
        <w:rPr>
          <w:lang w:val="en-US"/>
        </w:rPr>
        <w:t>)</w:t>
      </w:r>
      <w:r w:rsidRPr="009432A5">
        <w:rPr>
          <w:lang w:val="en-US"/>
        </w:rPr>
        <w:tab/>
        <w:t>With aircraft radar, the maximum visible distance of the SART signal of circular polarization was 37 NM, while that of horizontal polarization was 30 NM. This confirms the superiority of circular polarization.</w:t>
      </w:r>
    </w:p>
    <w:p w:rsidR="00B13A27" w:rsidRPr="009432A5" w:rsidRDefault="00B13A27" w:rsidP="00B13A27">
      <w:pPr>
        <w:pStyle w:val="enumlev1"/>
        <w:rPr>
          <w:lang w:val="en-US"/>
        </w:rPr>
      </w:pPr>
      <w:r>
        <w:rPr>
          <w:lang w:val="en-US"/>
        </w:rPr>
        <w:t>b</w:t>
      </w:r>
      <w:r w:rsidRPr="009432A5">
        <w:rPr>
          <w:lang w:val="en-US"/>
        </w:rPr>
        <w:t>)</w:t>
      </w:r>
      <w:r w:rsidRPr="009432A5">
        <w:rPr>
          <w:lang w:val="en-US"/>
        </w:rPr>
        <w:tab/>
        <w:t>With marine radar, the maximum visible distance of the SART signal of circular polarization was 14 NM, while that of horizontal polarization was 11.5 NM. These results confirm the superiority of circular polarization.</w:t>
      </w:r>
    </w:p>
    <w:p w:rsidR="00B13A27" w:rsidRPr="009432A5" w:rsidRDefault="00B13A27" w:rsidP="00B13A27">
      <w:pPr>
        <w:pStyle w:val="enumlev1"/>
        <w:rPr>
          <w:lang w:val="en-US" w:eastAsia="ja-JP"/>
        </w:rPr>
      </w:pPr>
      <w:r>
        <w:rPr>
          <w:lang w:val="en-US"/>
        </w:rPr>
        <w:t>c</w:t>
      </w:r>
      <w:r w:rsidRPr="009432A5">
        <w:rPr>
          <w:lang w:val="en-US"/>
        </w:rPr>
        <w:t>)</w:t>
      </w:r>
      <w:r w:rsidRPr="009432A5">
        <w:rPr>
          <w:lang w:val="en-US"/>
        </w:rPr>
        <w:tab/>
        <w:t>With land-based marine radar, the result shown in Fig. 5 was obtained. The SART of circular polarization was moved on the sea by an escorting small vessel. The distance between the radar and the SART was changed. The received power of the SART was measured by the land-based marine radar. In Fig. 5, the black dots show the actually measured SART signal of circular polarization, and dotted lines show the theoretical value of SART signal of horizontal polarization. The measured data always appears above the theoretical value curve for “SART to radar”. The appearance of the SART signal of circular polarization on the radar PPI was stronger and clearer than that of horizontal polarization. These results confirm the superiority of circular polarization. The reason is as follows: Because the electric field revolves, circ</w:t>
      </w:r>
      <w:r w:rsidRPr="009432A5">
        <w:rPr>
          <w:lang w:val="en-US" w:eastAsia="ja-JP"/>
        </w:rPr>
        <w:t>ula</w:t>
      </w:r>
      <w:r w:rsidRPr="009432A5">
        <w:rPr>
          <w:lang w:val="en-US"/>
        </w:rPr>
        <w:t xml:space="preserve">r </w:t>
      </w:r>
      <w:r w:rsidRPr="009432A5">
        <w:rPr>
          <w:lang w:val="en-US" w:eastAsia="ja-JP"/>
        </w:rPr>
        <w:t>polarization</w:t>
      </w:r>
      <w:r w:rsidRPr="009432A5">
        <w:rPr>
          <w:lang w:val="en-US"/>
        </w:rPr>
        <w:t xml:space="preserve"> is resolved in the horizontal </w:t>
      </w:r>
      <w:r w:rsidRPr="009432A5">
        <w:rPr>
          <w:lang w:val="en-US" w:eastAsia="ja-JP"/>
        </w:rPr>
        <w:t>polarization</w:t>
      </w:r>
      <w:r w:rsidRPr="009432A5">
        <w:rPr>
          <w:lang w:val="en-US"/>
        </w:rPr>
        <w:t xml:space="preserve"> element and the vertical </w:t>
      </w:r>
      <w:r w:rsidRPr="009432A5">
        <w:rPr>
          <w:lang w:val="en-US" w:eastAsia="ja-JP"/>
        </w:rPr>
        <w:t>polarization</w:t>
      </w:r>
      <w:r w:rsidRPr="009432A5">
        <w:rPr>
          <w:lang w:val="en-US"/>
        </w:rPr>
        <w:t xml:space="preserve"> element. For these two composition elements, the reflection characteristic of the surface of the sea is different. Therefore the curve of reception strength when the direct wave and the surface of the sea reflection wave interfere changes with distance. This phenomenon leads to the detectable distance of a circ</w:t>
      </w:r>
      <w:r w:rsidRPr="009432A5">
        <w:rPr>
          <w:lang w:val="en-US" w:eastAsia="ja-JP"/>
        </w:rPr>
        <w:t>ula</w:t>
      </w:r>
      <w:r w:rsidRPr="009432A5">
        <w:rPr>
          <w:lang w:val="en-US"/>
        </w:rPr>
        <w:t xml:space="preserve">r </w:t>
      </w:r>
      <w:r w:rsidRPr="009432A5">
        <w:rPr>
          <w:lang w:val="en-US" w:eastAsia="ja-JP"/>
        </w:rPr>
        <w:t>polarization</w:t>
      </w:r>
      <w:r w:rsidRPr="009432A5">
        <w:rPr>
          <w:lang w:val="en-US"/>
        </w:rPr>
        <w:t xml:space="preserve"> wave SART increasing over horizontal </w:t>
      </w:r>
      <w:r w:rsidRPr="009432A5">
        <w:rPr>
          <w:lang w:val="en-US" w:eastAsia="ja-JP"/>
        </w:rPr>
        <w:t>polarization</w:t>
      </w:r>
      <w:r w:rsidRPr="009432A5">
        <w:rPr>
          <w:lang w:val="en-US"/>
        </w:rPr>
        <w:t xml:space="preserve"> SART by 30% or more.</w:t>
      </w:r>
    </w:p>
    <w:p w:rsidR="00B13A27" w:rsidRPr="009432A5" w:rsidRDefault="00B13A27" w:rsidP="00B13A27">
      <w:pPr>
        <w:pStyle w:val="FigureNo"/>
        <w:spacing w:before="240"/>
        <w:rPr>
          <w:lang w:val="en-US"/>
        </w:rPr>
      </w:pPr>
      <w:r w:rsidRPr="009432A5">
        <w:rPr>
          <w:lang w:val="en-US"/>
        </w:rPr>
        <w:lastRenderedPageBreak/>
        <w:t>FIGURE 5</w:t>
      </w:r>
    </w:p>
    <w:p w:rsidR="00B13A27" w:rsidRPr="009432A5" w:rsidRDefault="00B13A27" w:rsidP="00B13A27">
      <w:pPr>
        <w:pStyle w:val="Figuretitle"/>
        <w:spacing w:after="240"/>
        <w:rPr>
          <w:lang w:val="en-US" w:eastAsia="ja-JP"/>
        </w:rPr>
      </w:pPr>
      <w:r w:rsidRPr="009432A5">
        <w:rPr>
          <w:lang w:val="en-US"/>
        </w:rPr>
        <w:t>Observed data of SART signal of circular polarization and theoretical value</w:t>
      </w:r>
      <w:r w:rsidRPr="009432A5">
        <w:rPr>
          <w:lang w:val="en-US"/>
        </w:rPr>
        <w:br/>
        <w:t>of horizontal polarization</w:t>
      </w:r>
    </w:p>
    <w:p w:rsidR="00B13A27" w:rsidRPr="00CC2AF5" w:rsidRDefault="00B13A27" w:rsidP="00B13A27">
      <w:pPr>
        <w:pStyle w:val="Figure"/>
      </w:pPr>
      <w:r>
        <w:object w:dxaOrig="6670" w:dyaOrig="5864">
          <v:shape id="_x0000_i1029" type="#_x0000_t75" style="width:334.1pt;height:293.2pt" o:ole="" o:allowoverlap="f">
            <v:imagedata r:id="rId23" o:title=""/>
          </v:shape>
          <o:OLEObject Type="Embed" ProgID="CorelDraw.Graphic.12" ShapeID="_x0000_i1029" DrawAspect="Content" ObjectID="_1436859700" r:id="rId24"/>
        </w:object>
      </w:r>
    </w:p>
    <w:p w:rsidR="00B13A27" w:rsidRPr="009432A5" w:rsidRDefault="00B13A27" w:rsidP="00B13A27">
      <w:pPr>
        <w:rPr>
          <w:lang w:val="en-US"/>
        </w:rPr>
      </w:pPr>
      <w:r w:rsidRPr="009432A5">
        <w:rPr>
          <w:lang w:val="en-US"/>
        </w:rPr>
        <w:t xml:space="preserve">Furthermore, </w:t>
      </w:r>
      <w:r w:rsidRPr="009432A5">
        <w:rPr>
          <w:lang w:val="en-US" w:eastAsia="ja-JP"/>
        </w:rPr>
        <w:t>in 2004, measurements of the received power of a SART signal were carried out in rough weather conditions using a marine radar of a research laboratory in Japan</w:t>
      </w:r>
      <w:r w:rsidRPr="009432A5">
        <w:rPr>
          <w:lang w:val="en-US"/>
        </w:rPr>
        <w:t>. As a result, it was confirmed that a SART with circular polarization was not inferior compared with that of horizontal polarization.</w:t>
      </w:r>
    </w:p>
    <w:p w:rsidR="00436106" w:rsidRPr="00436106" w:rsidRDefault="00436106" w:rsidP="00436106">
      <w:pPr>
        <w:jc w:val="center"/>
        <w:rPr>
          <w:lang w:val="en-US" w:eastAsia="ja-JP"/>
        </w:rPr>
      </w:pPr>
    </w:p>
    <w:p w:rsidR="00436106" w:rsidRPr="00436106" w:rsidRDefault="00260A70" w:rsidP="00436106">
      <w:pPr>
        <w:jc w:val="center"/>
        <w:rPr>
          <w:lang w:val="en-US" w:eastAsia="ja-JP"/>
        </w:rPr>
      </w:pPr>
      <w:r>
        <w:rPr>
          <w:lang w:val="en-US" w:eastAsia="ja-JP"/>
        </w:rPr>
        <w:t>___________</w:t>
      </w:r>
    </w:p>
    <w:p w:rsidR="00436106" w:rsidRPr="00436106" w:rsidRDefault="00436106" w:rsidP="00436106">
      <w:pPr>
        <w:pStyle w:val="Normalaftertitle"/>
        <w:rPr>
          <w:lang w:val="en-US"/>
        </w:rPr>
      </w:pPr>
    </w:p>
    <w:sectPr w:rsidR="00436106" w:rsidRPr="00436106"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2AC" w:rsidRDefault="007A32AC">
      <w:r>
        <w:separator/>
      </w:r>
    </w:p>
  </w:endnote>
  <w:endnote w:type="continuationSeparator" w:id="0">
    <w:p w:rsidR="007A32AC" w:rsidRDefault="007A3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2AC" w:rsidRDefault="007A32AC">
      <w:r>
        <w:separator/>
      </w:r>
    </w:p>
  </w:footnote>
  <w:footnote w:type="continuationSeparator" w:id="0">
    <w:p w:rsidR="007A32AC" w:rsidRDefault="007A32AC">
      <w:r>
        <w:continuationSeparator/>
      </w:r>
    </w:p>
  </w:footnote>
  <w:footnote w:id="1">
    <w:p w:rsidR="00436106" w:rsidRPr="00EB5251" w:rsidRDefault="00436106" w:rsidP="00436106">
      <w:pPr>
        <w:pStyle w:val="FootnoteText"/>
        <w:rPr>
          <w:lang w:val="en-US"/>
        </w:rPr>
      </w:pPr>
      <w:r>
        <w:rPr>
          <w:rStyle w:val="FootnoteReference"/>
        </w:rPr>
        <w:footnoteRef/>
      </w:r>
      <w:r w:rsidRPr="00436106">
        <w:rPr>
          <w:lang w:val="en-US"/>
        </w:rPr>
        <w:t xml:space="preserve"> </w:t>
      </w:r>
      <w:r>
        <w:rPr>
          <w:lang w:val="en-US"/>
        </w:rPr>
        <w:tab/>
      </w:r>
      <w:r w:rsidRPr="000357BC">
        <w:rPr>
          <w:lang w:val="en-US"/>
        </w:rPr>
        <w:t>The Director, Radiocommunication Bureau, is requested to bring this Recommendation to the attention of the International Maritime Organization (IMO), the International Civil Aviation Organization (ICAO), the International Electrotechnical Commission (IEC) and the International Association of Lighthouse Authorities (IALA).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AC" w:rsidRDefault="007A32A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AC" w:rsidRDefault="007A32AC"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AC" w:rsidRPr="00FC42AF" w:rsidRDefault="007A32AC" w:rsidP="00436106">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944D4">
      <w:rPr>
        <w:rStyle w:val="PageNumber"/>
        <w:b/>
        <w:bCs/>
        <w:noProof/>
      </w:rPr>
      <w:t>8</w:t>
    </w:r>
    <w:r>
      <w:rPr>
        <w:rStyle w:val="PageNumber"/>
        <w:b/>
        <w:bCs/>
      </w:rPr>
      <w:fldChar w:fldCharType="end"/>
    </w:r>
    <w:r w:rsidRPr="00FC42AF">
      <w:tab/>
    </w:r>
    <w:fldSimple w:instr=" DOCPROPERTY &quot;Header&quot; \* MERGEFORMAT ">
      <w:r w:rsidR="00B944D4" w:rsidRPr="00B944D4">
        <w:rPr>
          <w:b/>
          <w:bCs/>
        </w:rPr>
        <w:t xml:space="preserve">Rec. </w:t>
      </w:r>
    </w:fldSimple>
    <w:r w:rsidR="00D7597E">
      <w:rPr>
        <w:b/>
        <w:bCs/>
      </w:rPr>
      <w:t xml:space="preserve"> </w:t>
    </w:r>
    <w:r w:rsidR="00436106">
      <w:rPr>
        <w:b/>
        <w:bCs/>
      </w:rPr>
      <w:t>ITU-R M.628-5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AC" w:rsidRDefault="007A32AC" w:rsidP="00436106">
    <w:pPr>
      <w:pStyle w:val="Header"/>
    </w:pPr>
    <w:r>
      <w:tab/>
    </w:r>
    <w:r w:rsidR="00B944D4">
      <w:fldChar w:fldCharType="begin"/>
    </w:r>
    <w:r w:rsidR="00B944D4">
      <w:instrText xml:space="preserve"> DOCPROPERTY "Header" \* MERGEFORMAT </w:instrText>
    </w:r>
    <w:r w:rsidR="00B944D4">
      <w:fldChar w:fldCharType="separate"/>
    </w:r>
    <w:r w:rsidR="00B944D4" w:rsidRPr="00B944D4">
      <w:rPr>
        <w:b/>
        <w:bCs/>
      </w:rPr>
      <w:t xml:space="preserve">Rec. </w:t>
    </w:r>
    <w:r w:rsidR="00B944D4">
      <w:rPr>
        <w:b/>
        <w:bCs/>
      </w:rPr>
      <w:fldChar w:fldCharType="end"/>
    </w:r>
    <w:r w:rsidR="00D7597E">
      <w:rPr>
        <w:b/>
        <w:bCs/>
      </w:rPr>
      <w:t xml:space="preserve"> </w:t>
    </w:r>
    <w:r w:rsidR="00436106">
      <w:rPr>
        <w:b/>
        <w:bCs/>
      </w:rPr>
      <w:t>ITU-R M.628-5</w:t>
    </w:r>
    <w:r>
      <w:tab/>
    </w:r>
    <w:r>
      <w:rPr>
        <w:rStyle w:val="PageNumber"/>
        <w:b/>
        <w:bCs/>
      </w:rPr>
      <w:fldChar w:fldCharType="begin"/>
    </w:r>
    <w:r>
      <w:rPr>
        <w:rStyle w:val="PageNumber"/>
        <w:b/>
        <w:bCs/>
      </w:rPr>
      <w:instrText xml:space="preserve"> PAGE </w:instrText>
    </w:r>
    <w:r>
      <w:rPr>
        <w:rStyle w:val="PageNumber"/>
        <w:b/>
        <w:bCs/>
      </w:rPr>
      <w:fldChar w:fldCharType="separate"/>
    </w:r>
    <w:r w:rsidR="00B944D4">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945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25F0"/>
    <w:rsid w:val="00036EE3"/>
    <w:rsid w:val="00072484"/>
    <w:rsid w:val="00096612"/>
    <w:rsid w:val="000A4386"/>
    <w:rsid w:val="000B7683"/>
    <w:rsid w:val="000D0677"/>
    <w:rsid w:val="000E6A6E"/>
    <w:rsid w:val="00102934"/>
    <w:rsid w:val="00103117"/>
    <w:rsid w:val="00147110"/>
    <w:rsid w:val="001511A6"/>
    <w:rsid w:val="001D7190"/>
    <w:rsid w:val="002058CE"/>
    <w:rsid w:val="00212438"/>
    <w:rsid w:val="002165F1"/>
    <w:rsid w:val="002572B3"/>
    <w:rsid w:val="00260A70"/>
    <w:rsid w:val="0026698B"/>
    <w:rsid w:val="00276D21"/>
    <w:rsid w:val="00291F7A"/>
    <w:rsid w:val="00296D7F"/>
    <w:rsid w:val="002B3CF6"/>
    <w:rsid w:val="002C768A"/>
    <w:rsid w:val="002D76C4"/>
    <w:rsid w:val="002F06BF"/>
    <w:rsid w:val="002F5199"/>
    <w:rsid w:val="002F665D"/>
    <w:rsid w:val="00333892"/>
    <w:rsid w:val="00356B5D"/>
    <w:rsid w:val="003B49A3"/>
    <w:rsid w:val="0041441E"/>
    <w:rsid w:val="0041667C"/>
    <w:rsid w:val="00420DFD"/>
    <w:rsid w:val="00436106"/>
    <w:rsid w:val="00437A76"/>
    <w:rsid w:val="00470E28"/>
    <w:rsid w:val="00470FEC"/>
    <w:rsid w:val="004934C5"/>
    <w:rsid w:val="004E0FB1"/>
    <w:rsid w:val="004F65E4"/>
    <w:rsid w:val="00554C61"/>
    <w:rsid w:val="00556548"/>
    <w:rsid w:val="00586EF8"/>
    <w:rsid w:val="005B49AB"/>
    <w:rsid w:val="005B50E7"/>
    <w:rsid w:val="005D0454"/>
    <w:rsid w:val="005E7B4F"/>
    <w:rsid w:val="006003F5"/>
    <w:rsid w:val="00601882"/>
    <w:rsid w:val="00607D68"/>
    <w:rsid w:val="00613212"/>
    <w:rsid w:val="006149B1"/>
    <w:rsid w:val="006270E9"/>
    <w:rsid w:val="00642718"/>
    <w:rsid w:val="00680D2B"/>
    <w:rsid w:val="00681B32"/>
    <w:rsid w:val="006B1D2B"/>
    <w:rsid w:val="006E1131"/>
    <w:rsid w:val="006E2037"/>
    <w:rsid w:val="006E6199"/>
    <w:rsid w:val="00712870"/>
    <w:rsid w:val="00743D85"/>
    <w:rsid w:val="00753CF4"/>
    <w:rsid w:val="007565CC"/>
    <w:rsid w:val="00763B9A"/>
    <w:rsid w:val="00770866"/>
    <w:rsid w:val="00794726"/>
    <w:rsid w:val="007A32AC"/>
    <w:rsid w:val="007A6AA8"/>
    <w:rsid w:val="007D224F"/>
    <w:rsid w:val="00800406"/>
    <w:rsid w:val="008310C9"/>
    <w:rsid w:val="00853CC5"/>
    <w:rsid w:val="008C2F9C"/>
    <w:rsid w:val="008C7848"/>
    <w:rsid w:val="00906589"/>
    <w:rsid w:val="00906AD6"/>
    <w:rsid w:val="00917530"/>
    <w:rsid w:val="00917AF2"/>
    <w:rsid w:val="0092418A"/>
    <w:rsid w:val="00934ED7"/>
    <w:rsid w:val="009543C3"/>
    <w:rsid w:val="00966E1B"/>
    <w:rsid w:val="009947C0"/>
    <w:rsid w:val="009F2D2C"/>
    <w:rsid w:val="00A31928"/>
    <w:rsid w:val="00A62A14"/>
    <w:rsid w:val="00A6617B"/>
    <w:rsid w:val="00A71FE5"/>
    <w:rsid w:val="00A971A1"/>
    <w:rsid w:val="00AA3AD8"/>
    <w:rsid w:val="00AB0DC8"/>
    <w:rsid w:val="00B033C8"/>
    <w:rsid w:val="00B13A27"/>
    <w:rsid w:val="00B2633E"/>
    <w:rsid w:val="00B33425"/>
    <w:rsid w:val="00B44E24"/>
    <w:rsid w:val="00B535D1"/>
    <w:rsid w:val="00B53EBC"/>
    <w:rsid w:val="00B54ECC"/>
    <w:rsid w:val="00B714F3"/>
    <w:rsid w:val="00B87B6B"/>
    <w:rsid w:val="00B944D4"/>
    <w:rsid w:val="00BC5D77"/>
    <w:rsid w:val="00BE262F"/>
    <w:rsid w:val="00BF487A"/>
    <w:rsid w:val="00C44EEB"/>
    <w:rsid w:val="00C46BD9"/>
    <w:rsid w:val="00C55258"/>
    <w:rsid w:val="00C73560"/>
    <w:rsid w:val="00CB0F14"/>
    <w:rsid w:val="00CD659B"/>
    <w:rsid w:val="00CE0A43"/>
    <w:rsid w:val="00D7597E"/>
    <w:rsid w:val="00D83556"/>
    <w:rsid w:val="00DF4176"/>
    <w:rsid w:val="00E13500"/>
    <w:rsid w:val="00E17240"/>
    <w:rsid w:val="00E406BD"/>
    <w:rsid w:val="00E74595"/>
    <w:rsid w:val="00EB786E"/>
    <w:rsid w:val="00EB7C57"/>
    <w:rsid w:val="00ED2695"/>
    <w:rsid w:val="00F30C9B"/>
    <w:rsid w:val="00F354B1"/>
    <w:rsid w:val="00F362EB"/>
    <w:rsid w:val="00F93419"/>
    <w:rsid w:val="00FB0E4E"/>
    <w:rsid w:val="00FB7547"/>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945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70E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B786E"/>
    <w:pPr>
      <w:keepNext/>
      <w:keepLines/>
      <w:spacing w:before="480"/>
      <w:ind w:left="794" w:hanging="794"/>
      <w:outlineLvl w:val="0"/>
    </w:pPr>
    <w:rPr>
      <w:b/>
    </w:rPr>
  </w:style>
  <w:style w:type="paragraph" w:styleId="Heading2">
    <w:name w:val="heading 2"/>
    <w:basedOn w:val="Heading1"/>
    <w:next w:val="Normal"/>
    <w:qFormat/>
    <w:rsid w:val="00EB786E"/>
    <w:pPr>
      <w:spacing w:before="320"/>
      <w:outlineLvl w:val="1"/>
    </w:pPr>
  </w:style>
  <w:style w:type="paragraph" w:styleId="Heading3">
    <w:name w:val="heading 3"/>
    <w:basedOn w:val="Heading1"/>
    <w:next w:val="Normal"/>
    <w:qFormat/>
    <w:rsid w:val="00EB786E"/>
    <w:pPr>
      <w:spacing w:before="200"/>
      <w:outlineLvl w:val="2"/>
    </w:pPr>
  </w:style>
  <w:style w:type="paragraph" w:styleId="Heading4">
    <w:name w:val="heading 4"/>
    <w:basedOn w:val="Heading3"/>
    <w:next w:val="Normal"/>
    <w:qFormat/>
    <w:rsid w:val="00EB786E"/>
    <w:pPr>
      <w:tabs>
        <w:tab w:val="clear" w:pos="794"/>
        <w:tab w:val="left" w:pos="992"/>
      </w:tabs>
      <w:ind w:left="992" w:hanging="992"/>
      <w:outlineLvl w:val="3"/>
    </w:pPr>
  </w:style>
  <w:style w:type="paragraph" w:styleId="Heading5">
    <w:name w:val="heading 5"/>
    <w:basedOn w:val="Heading4"/>
    <w:next w:val="Normal"/>
    <w:qFormat/>
    <w:rsid w:val="00EB786E"/>
    <w:pPr>
      <w:outlineLvl w:val="4"/>
    </w:pPr>
  </w:style>
  <w:style w:type="paragraph" w:styleId="Heading6">
    <w:name w:val="heading 6"/>
    <w:basedOn w:val="Heading4"/>
    <w:next w:val="Normal"/>
    <w:qFormat/>
    <w:rsid w:val="00EB786E"/>
    <w:pPr>
      <w:tabs>
        <w:tab w:val="clear" w:pos="992"/>
        <w:tab w:val="clear" w:pos="1191"/>
      </w:tabs>
      <w:ind w:left="1588" w:hanging="1588"/>
      <w:outlineLvl w:val="5"/>
    </w:pPr>
  </w:style>
  <w:style w:type="paragraph" w:styleId="Heading7">
    <w:name w:val="heading 7"/>
    <w:basedOn w:val="Heading6"/>
    <w:next w:val="Normal"/>
    <w:qFormat/>
    <w:rsid w:val="00EB786E"/>
    <w:pPr>
      <w:outlineLvl w:val="6"/>
    </w:pPr>
  </w:style>
  <w:style w:type="paragraph" w:styleId="Heading8">
    <w:name w:val="heading 8"/>
    <w:basedOn w:val="Heading6"/>
    <w:next w:val="Normal"/>
    <w:qFormat/>
    <w:rsid w:val="00EB786E"/>
    <w:pPr>
      <w:outlineLvl w:val="7"/>
    </w:pPr>
  </w:style>
  <w:style w:type="paragraph" w:styleId="Heading9">
    <w:name w:val="heading 9"/>
    <w:basedOn w:val="Heading6"/>
    <w:next w:val="Normal"/>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B786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B786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B786E"/>
  </w:style>
  <w:style w:type="paragraph" w:customStyle="1" w:styleId="Headingb">
    <w:name w:val="Heading_b"/>
    <w:basedOn w:val="Heading3"/>
    <w:next w:val="Normal"/>
    <w:link w:val="HeadingbChar"/>
    <w:rsid w:val="00EB786E"/>
    <w:pPr>
      <w:spacing w:before="160"/>
      <w:ind w:left="0" w:firstLine="0"/>
      <w:outlineLvl w:val="9"/>
    </w:pPr>
  </w:style>
  <w:style w:type="paragraph" w:customStyle="1" w:styleId="Headingi">
    <w:name w:val="Heading_i"/>
    <w:basedOn w:val="Heading3"/>
    <w:next w:val="Normal"/>
    <w:rsid w:val="00EB786E"/>
    <w:pPr>
      <w:spacing w:before="160"/>
      <w:ind w:left="0" w:firstLine="0"/>
    </w:pPr>
    <w:rPr>
      <w:b w:val="0"/>
      <w:i/>
    </w:rPr>
  </w:style>
  <w:style w:type="character" w:customStyle="1" w:styleId="href">
    <w:name w:val="href"/>
    <w:basedOn w:val="DefaultParagraphFont"/>
    <w:uiPriority w:val="99"/>
    <w:rsid w:val="00EB786E"/>
  </w:style>
  <w:style w:type="paragraph" w:customStyle="1" w:styleId="AnnexNoTitle">
    <w:name w:val="Annex_NoTitle"/>
    <w:basedOn w:val="Normal"/>
    <w:next w:val="Normalaftertitle"/>
    <w:rsid w:val="00EB786E"/>
    <w:pPr>
      <w:keepNext/>
      <w:keepLines/>
      <w:spacing w:before="480" w:after="80"/>
      <w:jc w:val="center"/>
    </w:pPr>
    <w:rPr>
      <w:b/>
      <w:sz w:val="28"/>
    </w:rPr>
  </w:style>
  <w:style w:type="paragraph" w:customStyle="1" w:styleId="Normalaftertitle">
    <w:name w:val="Normal_after_title"/>
    <w:basedOn w:val="Normal"/>
    <w:next w:val="Normal"/>
    <w:rsid w:val="00EB786E"/>
    <w:pPr>
      <w:spacing w:before="320"/>
    </w:pPr>
  </w:style>
  <w:style w:type="paragraph" w:customStyle="1" w:styleId="enumlev2">
    <w:name w:val="enumlev2"/>
    <w:basedOn w:val="enumlev1"/>
    <w:rsid w:val="00EB786E"/>
    <w:pPr>
      <w:ind w:left="1191" w:hanging="397"/>
    </w:pPr>
  </w:style>
  <w:style w:type="paragraph" w:customStyle="1" w:styleId="enumlev1">
    <w:name w:val="enumlev1"/>
    <w:basedOn w:val="Normal"/>
    <w:rsid w:val="00EB786E"/>
    <w:pPr>
      <w:spacing w:before="80"/>
      <w:ind w:left="794" w:hanging="794"/>
    </w:pPr>
  </w:style>
  <w:style w:type="paragraph" w:customStyle="1" w:styleId="enumlev3">
    <w:name w:val="enumlev3"/>
    <w:basedOn w:val="enumlev2"/>
    <w:rsid w:val="00EB786E"/>
    <w:pPr>
      <w:ind w:left="1588"/>
    </w:pPr>
  </w:style>
  <w:style w:type="paragraph" w:customStyle="1" w:styleId="Note">
    <w:name w:val="Note"/>
    <w:basedOn w:val="Normal"/>
    <w:rsid w:val="00EB786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B786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B786E"/>
    <w:pPr>
      <w:keepNext/>
      <w:keepLines/>
      <w:spacing w:before="240"/>
      <w:jc w:val="center"/>
    </w:pPr>
    <w:rPr>
      <w:b/>
      <w:sz w:val="28"/>
    </w:rPr>
  </w:style>
  <w:style w:type="paragraph" w:customStyle="1" w:styleId="Recref">
    <w:name w:val="Rec_ref"/>
    <w:basedOn w:val="Normal"/>
    <w:next w:val="Recdate"/>
    <w:rsid w:val="00EB786E"/>
    <w:pPr>
      <w:jc w:val="center"/>
    </w:pPr>
  </w:style>
  <w:style w:type="paragraph" w:customStyle="1" w:styleId="Recdate">
    <w:name w:val="Rec_date"/>
    <w:basedOn w:val="Recref"/>
    <w:next w:val="Normalaftertitle"/>
    <w:rsid w:val="00EB786E"/>
    <w:pPr>
      <w:jc w:val="right"/>
    </w:pPr>
  </w:style>
  <w:style w:type="paragraph" w:customStyle="1" w:styleId="HeadingSum">
    <w:name w:val="Heading_Sum"/>
    <w:basedOn w:val="Headingb"/>
    <w:next w:val="Normal"/>
    <w:autoRedefine/>
    <w:uiPriority w:val="99"/>
    <w:rsid w:val="0041441E"/>
    <w:pPr>
      <w:spacing w:before="240"/>
    </w:pPr>
    <w:rPr>
      <w:szCs w:val="22"/>
      <w:lang w:val="en-GB"/>
    </w:rPr>
  </w:style>
  <w:style w:type="paragraph" w:customStyle="1" w:styleId="AppendixNoTitle">
    <w:name w:val="Appendix_NoTitle"/>
    <w:basedOn w:val="AnnexNoTitle"/>
    <w:next w:val="Normal"/>
    <w:rsid w:val="00EB786E"/>
  </w:style>
  <w:style w:type="paragraph" w:customStyle="1" w:styleId="Tablefin">
    <w:name w:val="Table_fin"/>
    <w:basedOn w:val="Normal"/>
    <w:next w:val="Normal"/>
    <w:rsid w:val="00EB786E"/>
    <w:pPr>
      <w:spacing w:before="0"/>
    </w:pPr>
    <w:rPr>
      <w:sz w:val="20"/>
      <w:lang w:val="en-GB"/>
    </w:rPr>
  </w:style>
  <w:style w:type="paragraph" w:customStyle="1" w:styleId="Tablehead">
    <w:name w:val="Table_head"/>
    <w:basedOn w:val="Normal"/>
    <w:next w:val="Normal"/>
    <w:link w:val="TableheadChar"/>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B786E"/>
    <w:pPr>
      <w:keepNext/>
      <w:spacing w:before="360" w:after="120"/>
      <w:jc w:val="center"/>
    </w:pPr>
  </w:style>
  <w:style w:type="paragraph" w:customStyle="1" w:styleId="Tabletext">
    <w:name w:val="Table_text"/>
    <w:basedOn w:val="Normal"/>
    <w:link w:val="TabletextChar"/>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B786E"/>
    <w:pPr>
      <w:tabs>
        <w:tab w:val="clear" w:pos="1191"/>
        <w:tab w:val="clear" w:pos="1588"/>
        <w:tab w:val="clear" w:pos="1985"/>
        <w:tab w:val="center" w:pos="4820"/>
        <w:tab w:val="right" w:pos="9639"/>
      </w:tabs>
    </w:pPr>
  </w:style>
  <w:style w:type="paragraph" w:customStyle="1" w:styleId="Equationlegend">
    <w:name w:val="Equation_legend"/>
    <w:basedOn w:val="NormalIndent"/>
    <w:rsid w:val="00EB786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B786E"/>
    <w:pPr>
      <w:ind w:left="794"/>
    </w:pPr>
  </w:style>
  <w:style w:type="paragraph" w:customStyle="1" w:styleId="Figurelegend">
    <w:name w:val="Figure_legend"/>
    <w:basedOn w:val="Normal"/>
    <w:rsid w:val="00EB786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B786E"/>
    <w:pPr>
      <w:keepNext/>
      <w:keepLines/>
      <w:spacing w:before="480" w:after="80"/>
      <w:jc w:val="center"/>
    </w:pPr>
    <w:rPr>
      <w:caps/>
      <w:sz w:val="18"/>
    </w:rPr>
  </w:style>
  <w:style w:type="paragraph" w:customStyle="1" w:styleId="Figuretitle">
    <w:name w:val="Figure_title"/>
    <w:basedOn w:val="Normal"/>
    <w:next w:val="Figure"/>
    <w:link w:val="FiguretitleChar"/>
    <w:rsid w:val="00EB786E"/>
    <w:pPr>
      <w:keepNext/>
      <w:spacing w:before="0" w:after="120"/>
      <w:jc w:val="center"/>
    </w:pPr>
    <w:rPr>
      <w:rFonts w:ascii="Times New Roman Bold" w:hAnsi="Times New Roman Bold"/>
      <w:b/>
      <w:sz w:val="18"/>
    </w:rPr>
  </w:style>
  <w:style w:type="paragraph" w:customStyle="1" w:styleId="Figure">
    <w:name w:val="Figure"/>
    <w:basedOn w:val="FigureNo"/>
    <w:next w:val="Normal"/>
    <w:rsid w:val="00EB786E"/>
    <w:pPr>
      <w:keepNext w:val="0"/>
      <w:spacing w:before="0" w:after="240"/>
    </w:pPr>
  </w:style>
  <w:style w:type="paragraph" w:customStyle="1" w:styleId="tocpart">
    <w:name w:val="tocpart"/>
    <w:basedOn w:val="Normal"/>
    <w:rsid w:val="00EB786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B786E"/>
    <w:pPr>
      <w:keepNext/>
      <w:keepLines/>
      <w:spacing w:before="480"/>
      <w:jc w:val="center"/>
    </w:pPr>
    <w:rPr>
      <w:sz w:val="28"/>
    </w:rPr>
  </w:style>
  <w:style w:type="paragraph" w:customStyle="1" w:styleId="Arttitle">
    <w:name w:val="Art_title"/>
    <w:basedOn w:val="Normal"/>
    <w:next w:val="Normalaftertitle"/>
    <w:rsid w:val="00EB786E"/>
    <w:pPr>
      <w:keepNext/>
      <w:keepLines/>
      <w:spacing w:before="240"/>
      <w:jc w:val="center"/>
    </w:pPr>
    <w:rPr>
      <w:b/>
      <w:sz w:val="28"/>
    </w:rPr>
  </w:style>
  <w:style w:type="paragraph" w:customStyle="1" w:styleId="Blanc">
    <w:name w:val="Blanc"/>
    <w:basedOn w:val="Normal"/>
    <w:next w:val="Tabletext"/>
    <w:rsid w:val="00EB786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B786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EB786E"/>
    <w:pPr>
      <w:keepNext/>
      <w:keepLines/>
      <w:spacing w:before="160"/>
      <w:ind w:left="794"/>
    </w:pPr>
    <w:rPr>
      <w:i/>
    </w:rPr>
  </w:style>
  <w:style w:type="paragraph" w:customStyle="1" w:styleId="ChapNo">
    <w:name w:val="Chap_No"/>
    <w:basedOn w:val="ArtNo"/>
    <w:next w:val="Chaptitle"/>
    <w:rsid w:val="00EB786E"/>
    <w:rPr>
      <w:b/>
    </w:rPr>
  </w:style>
  <w:style w:type="paragraph" w:customStyle="1" w:styleId="Chaptitle">
    <w:name w:val="Chap_title"/>
    <w:basedOn w:val="Arttitle"/>
    <w:next w:val="Normalaftertitle"/>
    <w:rsid w:val="00EB786E"/>
  </w:style>
  <w:style w:type="character" w:styleId="FootnoteReference">
    <w:name w:val="footnote reference"/>
    <w:aliases w:val="Appel note de bas de p,Footnote Reference/,Footnote symbol,Style 12,(NECG) Footnote Reference,Style 124,o,fr,Style 13,FR,Style 17"/>
    <w:basedOn w:val="DefaultParagraphFont"/>
    <w:rsid w:val="00EB786E"/>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rsid w:val="00EB786E"/>
    <w:pPr>
      <w:keepLines/>
      <w:tabs>
        <w:tab w:val="left" w:pos="255"/>
      </w:tabs>
      <w:ind w:left="255" w:hanging="255"/>
    </w:pPr>
    <w:rPr>
      <w:sz w:val="22"/>
    </w:rPr>
  </w:style>
  <w:style w:type="paragraph" w:styleId="Index1">
    <w:name w:val="index 1"/>
    <w:basedOn w:val="Normal"/>
    <w:next w:val="Normal"/>
    <w:semiHidden/>
    <w:rsid w:val="00EB786E"/>
  </w:style>
  <w:style w:type="paragraph" w:styleId="Index2">
    <w:name w:val="index 2"/>
    <w:basedOn w:val="Normal"/>
    <w:next w:val="Normal"/>
    <w:semiHidden/>
    <w:rsid w:val="00EB786E"/>
    <w:pPr>
      <w:ind w:left="283"/>
    </w:pPr>
  </w:style>
  <w:style w:type="paragraph" w:styleId="Index3">
    <w:name w:val="index 3"/>
    <w:basedOn w:val="Normal"/>
    <w:next w:val="Normal"/>
    <w:semiHidden/>
    <w:rsid w:val="00EB786E"/>
    <w:pPr>
      <w:ind w:left="566"/>
    </w:pPr>
  </w:style>
  <w:style w:type="paragraph" w:styleId="IndexHeading">
    <w:name w:val="index heading"/>
    <w:basedOn w:val="Normal"/>
    <w:next w:val="Index1"/>
    <w:semiHidden/>
    <w:rsid w:val="00EB786E"/>
  </w:style>
  <w:style w:type="paragraph" w:customStyle="1" w:styleId="Line">
    <w:name w:val="Line"/>
    <w:basedOn w:val="Normal"/>
    <w:next w:val="Normal"/>
    <w:rsid w:val="00EB786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B786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B786E"/>
  </w:style>
  <w:style w:type="paragraph" w:customStyle="1" w:styleId="Partref">
    <w:name w:val="Part_ref"/>
    <w:basedOn w:val="Normal"/>
    <w:next w:val="Normal"/>
    <w:rsid w:val="00EB786E"/>
    <w:pPr>
      <w:keepNext/>
      <w:keepLines/>
      <w:spacing w:after="280"/>
      <w:jc w:val="center"/>
    </w:pPr>
  </w:style>
  <w:style w:type="paragraph" w:customStyle="1" w:styleId="Parttitle">
    <w:name w:val="Part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B786E"/>
  </w:style>
  <w:style w:type="paragraph" w:customStyle="1" w:styleId="QuestionNo">
    <w:name w:val="Question_No"/>
    <w:basedOn w:val="RecNo"/>
    <w:next w:val="Normal"/>
    <w:rsid w:val="00EB786E"/>
  </w:style>
  <w:style w:type="paragraph" w:customStyle="1" w:styleId="Questionref">
    <w:name w:val="Question_ref"/>
    <w:basedOn w:val="Recref"/>
    <w:next w:val="Questiondate"/>
    <w:rsid w:val="00EB786E"/>
  </w:style>
  <w:style w:type="paragraph" w:customStyle="1" w:styleId="Questiontitle">
    <w:name w:val="Question_title"/>
    <w:basedOn w:val="Normal"/>
    <w:next w:val="Questionref"/>
    <w:rsid w:val="00EB786E"/>
  </w:style>
  <w:style w:type="paragraph" w:customStyle="1" w:styleId="Reftext">
    <w:name w:val="Ref_text"/>
    <w:basedOn w:val="Normal"/>
    <w:rsid w:val="00EB786E"/>
    <w:pPr>
      <w:ind w:left="794" w:hanging="794"/>
    </w:pPr>
    <w:rPr>
      <w:sz w:val="22"/>
    </w:rPr>
  </w:style>
  <w:style w:type="paragraph" w:customStyle="1" w:styleId="Reftitle">
    <w:name w:val="Ref_title"/>
    <w:basedOn w:val="Normal"/>
    <w:next w:val="Reftext"/>
    <w:rsid w:val="00EB786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B786E"/>
  </w:style>
  <w:style w:type="paragraph" w:customStyle="1" w:styleId="RepNo">
    <w:name w:val="Rep_No"/>
    <w:basedOn w:val="RecNo"/>
    <w:next w:val="Reptitle"/>
    <w:rsid w:val="00EB786E"/>
  </w:style>
  <w:style w:type="paragraph" w:customStyle="1" w:styleId="Reptitle">
    <w:name w:val="Rep_title"/>
    <w:basedOn w:val="Rectitle"/>
    <w:next w:val="Repref"/>
    <w:rsid w:val="00EB786E"/>
  </w:style>
  <w:style w:type="paragraph" w:customStyle="1" w:styleId="Repref">
    <w:name w:val="Rep_ref"/>
    <w:basedOn w:val="Recref"/>
    <w:next w:val="Repdate"/>
    <w:rsid w:val="00EB786E"/>
  </w:style>
  <w:style w:type="paragraph" w:customStyle="1" w:styleId="Resdate">
    <w:name w:val="Res_date"/>
    <w:basedOn w:val="Recdate"/>
    <w:next w:val="Normalaftertitle"/>
    <w:rsid w:val="00EB786E"/>
  </w:style>
  <w:style w:type="paragraph" w:customStyle="1" w:styleId="ResNo">
    <w:name w:val="Res_No"/>
    <w:basedOn w:val="RecNo"/>
    <w:next w:val="Restitle"/>
    <w:rsid w:val="00EB786E"/>
  </w:style>
  <w:style w:type="paragraph" w:customStyle="1" w:styleId="Restitle">
    <w:name w:val="Res_title"/>
    <w:basedOn w:val="Normal"/>
    <w:next w:val="Resref"/>
    <w:rsid w:val="00EB786E"/>
    <w:pPr>
      <w:spacing w:before="240"/>
      <w:jc w:val="center"/>
    </w:pPr>
    <w:rPr>
      <w:b/>
      <w:sz w:val="28"/>
    </w:rPr>
  </w:style>
  <w:style w:type="paragraph" w:customStyle="1" w:styleId="Resref">
    <w:name w:val="Res_ref"/>
    <w:basedOn w:val="Recref"/>
    <w:next w:val="Resdate"/>
    <w:rsid w:val="00EB786E"/>
  </w:style>
  <w:style w:type="paragraph" w:customStyle="1" w:styleId="SectionNo">
    <w:name w:val="Section_No"/>
    <w:basedOn w:val="Normal"/>
    <w:next w:val="Normal"/>
    <w:rsid w:val="00EB786E"/>
  </w:style>
  <w:style w:type="paragraph" w:customStyle="1" w:styleId="Sectiontitle">
    <w:name w:val="Section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B786E"/>
    <w:pPr>
      <w:tabs>
        <w:tab w:val="clear" w:pos="794"/>
        <w:tab w:val="clear" w:pos="1191"/>
        <w:tab w:val="clear" w:pos="1588"/>
        <w:tab w:val="clear" w:pos="1985"/>
        <w:tab w:val="right" w:pos="9611"/>
      </w:tabs>
    </w:pPr>
    <w:rPr>
      <w:i/>
    </w:rPr>
  </w:style>
  <w:style w:type="paragraph" w:styleId="TOC1">
    <w:name w:val="toc 1"/>
    <w:basedOn w:val="Normal"/>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B786E"/>
    <w:pPr>
      <w:tabs>
        <w:tab w:val="clear" w:pos="567"/>
        <w:tab w:val="left" w:pos="1276"/>
      </w:tabs>
      <w:spacing w:before="160"/>
      <w:ind w:left="1276" w:hanging="709"/>
    </w:pPr>
  </w:style>
  <w:style w:type="paragraph" w:styleId="TOC3">
    <w:name w:val="toc 3"/>
    <w:basedOn w:val="TOC2"/>
    <w:semiHidden/>
    <w:rsid w:val="00EB786E"/>
    <w:pPr>
      <w:tabs>
        <w:tab w:val="clear" w:pos="1276"/>
        <w:tab w:val="left" w:pos="2155"/>
      </w:tabs>
      <w:ind w:left="2155" w:hanging="879"/>
    </w:pPr>
  </w:style>
  <w:style w:type="paragraph" w:styleId="TOC4">
    <w:name w:val="toc 4"/>
    <w:basedOn w:val="TOC3"/>
    <w:semiHidden/>
    <w:rsid w:val="00EB786E"/>
    <w:pPr>
      <w:tabs>
        <w:tab w:val="left" w:pos="3261"/>
      </w:tabs>
      <w:spacing w:before="80"/>
      <w:ind w:left="3261" w:hanging="993"/>
    </w:pPr>
  </w:style>
  <w:style w:type="paragraph" w:styleId="TOC5">
    <w:name w:val="toc 5"/>
    <w:basedOn w:val="TOC4"/>
    <w:semiHidden/>
    <w:rsid w:val="00EB786E"/>
  </w:style>
  <w:style w:type="paragraph" w:styleId="TOC6">
    <w:name w:val="toc 6"/>
    <w:basedOn w:val="TOC4"/>
    <w:semiHidden/>
    <w:rsid w:val="00EB786E"/>
  </w:style>
  <w:style w:type="paragraph" w:styleId="TOC7">
    <w:name w:val="toc 7"/>
    <w:basedOn w:val="TOC4"/>
    <w:semiHidden/>
    <w:rsid w:val="00EB786E"/>
  </w:style>
  <w:style w:type="paragraph" w:styleId="TOC8">
    <w:name w:val="toc 8"/>
    <w:basedOn w:val="TOC4"/>
    <w:semiHidden/>
    <w:rsid w:val="00EB786E"/>
  </w:style>
  <w:style w:type="paragraph" w:customStyle="1" w:styleId="Annexref">
    <w:name w:val="Annex_ref"/>
    <w:basedOn w:val="Normal"/>
    <w:next w:val="Normalaftertitle"/>
    <w:rsid w:val="00EB786E"/>
    <w:pPr>
      <w:keepNext/>
      <w:keepLines/>
      <w:spacing w:after="280"/>
      <w:jc w:val="center"/>
    </w:pPr>
  </w:style>
  <w:style w:type="paragraph" w:customStyle="1" w:styleId="Appendixref">
    <w:name w:val="Appendix_ref"/>
    <w:basedOn w:val="Annexref"/>
    <w:next w:val="Normalaftertitle"/>
    <w:rsid w:val="00EB786E"/>
  </w:style>
  <w:style w:type="paragraph" w:customStyle="1" w:styleId="Tabletitle">
    <w:name w:val="Table_title"/>
    <w:basedOn w:val="Normal"/>
    <w:next w:val="Tablehead"/>
    <w:link w:val="TabletitleChar"/>
    <w:rsid w:val="00EB786E"/>
    <w:pPr>
      <w:keepNext/>
      <w:spacing w:before="0" w:after="120"/>
      <w:jc w:val="center"/>
    </w:pPr>
    <w:rPr>
      <w:b/>
    </w:rPr>
  </w:style>
  <w:style w:type="paragraph" w:customStyle="1" w:styleId="Summary">
    <w:name w:val="Summary"/>
    <w:basedOn w:val="Normal"/>
    <w:next w:val="Normalaftertitle"/>
    <w:autoRedefine/>
    <w:uiPriority w:val="99"/>
    <w:rsid w:val="0041441E"/>
    <w:pPr>
      <w:spacing w:after="480"/>
      <w:jc w:val="left"/>
    </w:pPr>
    <w:rPr>
      <w:szCs w:val="22"/>
      <w:lang w:val="en-GB"/>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EB786E"/>
    <w:pPr>
      <w:ind w:left="-85" w:firstLine="0"/>
    </w:pPr>
    <w:rPr>
      <w:lang w:val="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3B49A3"/>
    <w:rPr>
      <w:sz w:val="22"/>
      <w:lang w:val="fr-FR" w:eastAsia="en-US"/>
    </w:rPr>
  </w:style>
  <w:style w:type="paragraph" w:customStyle="1" w:styleId="AnnexNo">
    <w:name w:val="Annex_No"/>
    <w:basedOn w:val="Normal"/>
    <w:next w:val="Normal"/>
    <w:link w:val="AnnexNoChar"/>
    <w:rsid w:val="003B49A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3B49A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link w:val="NormalaftertitleChar"/>
    <w:rsid w:val="003B49A3"/>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TabletextChar">
    <w:name w:val="Table_text Char"/>
    <w:link w:val="Tabletext"/>
    <w:locked/>
    <w:rsid w:val="003B49A3"/>
    <w:rPr>
      <w:sz w:val="22"/>
      <w:lang w:val="fr-FR" w:eastAsia="en-US"/>
    </w:rPr>
  </w:style>
  <w:style w:type="character" w:customStyle="1" w:styleId="FigureNoChar">
    <w:name w:val="Figure_No Char"/>
    <w:link w:val="FigureNo"/>
    <w:locked/>
    <w:rsid w:val="003B49A3"/>
    <w:rPr>
      <w:caps/>
      <w:sz w:val="18"/>
      <w:lang w:val="fr-FR" w:eastAsia="en-US"/>
    </w:rPr>
  </w:style>
  <w:style w:type="character" w:customStyle="1" w:styleId="CallChar">
    <w:name w:val="Call Char"/>
    <w:link w:val="Call"/>
    <w:uiPriority w:val="99"/>
    <w:locked/>
    <w:rsid w:val="003B49A3"/>
    <w:rPr>
      <w:i/>
      <w:sz w:val="24"/>
      <w:lang w:val="fr-FR" w:eastAsia="en-US"/>
    </w:rPr>
  </w:style>
  <w:style w:type="character" w:customStyle="1" w:styleId="TableNoChar">
    <w:name w:val="Table_No Char"/>
    <w:link w:val="TableNo"/>
    <w:locked/>
    <w:rsid w:val="003B49A3"/>
    <w:rPr>
      <w:sz w:val="24"/>
      <w:lang w:val="fr-FR" w:eastAsia="en-US"/>
    </w:rPr>
  </w:style>
  <w:style w:type="character" w:customStyle="1" w:styleId="TabletitleChar">
    <w:name w:val="Table_title Char"/>
    <w:link w:val="Tabletitle"/>
    <w:locked/>
    <w:rsid w:val="003B49A3"/>
    <w:rPr>
      <w:b/>
      <w:sz w:val="24"/>
      <w:lang w:val="fr-FR" w:eastAsia="en-US"/>
    </w:rPr>
  </w:style>
  <w:style w:type="character" w:customStyle="1" w:styleId="NormalaftertitleChar">
    <w:name w:val="Normal after title Char"/>
    <w:link w:val="Normalaftertitle0"/>
    <w:locked/>
    <w:rsid w:val="003B49A3"/>
    <w:rPr>
      <w:sz w:val="24"/>
      <w:lang w:val="en-GB" w:eastAsia="en-US"/>
    </w:rPr>
  </w:style>
  <w:style w:type="character" w:customStyle="1" w:styleId="FiguretitleChar">
    <w:name w:val="Figure_title Char"/>
    <w:basedOn w:val="TabletitleChar"/>
    <w:link w:val="Figuretitle"/>
    <w:locked/>
    <w:rsid w:val="003B49A3"/>
    <w:rPr>
      <w:rFonts w:ascii="Times New Roman Bold" w:hAnsi="Times New Roman Bold"/>
      <w:b/>
      <w:sz w:val="18"/>
      <w:lang w:val="fr-FR" w:eastAsia="en-US"/>
    </w:rPr>
  </w:style>
  <w:style w:type="character" w:customStyle="1" w:styleId="AnnexNoChar">
    <w:name w:val="Annex_No Char"/>
    <w:link w:val="AnnexNo"/>
    <w:locked/>
    <w:rsid w:val="003B49A3"/>
    <w:rPr>
      <w:caps/>
      <w:sz w:val="28"/>
      <w:lang w:val="en-GB" w:eastAsia="en-US"/>
    </w:rPr>
  </w:style>
  <w:style w:type="character" w:customStyle="1" w:styleId="TableheadChar">
    <w:name w:val="Table_head Char"/>
    <w:link w:val="Tablehead"/>
    <w:locked/>
    <w:rsid w:val="003B49A3"/>
    <w:rPr>
      <w:b/>
      <w:sz w:val="22"/>
      <w:lang w:val="fr-FR" w:eastAsia="en-US"/>
    </w:rPr>
  </w:style>
  <w:style w:type="character" w:customStyle="1" w:styleId="HeadingbChar">
    <w:name w:val="Heading_b Char"/>
    <w:link w:val="Headingb"/>
    <w:uiPriority w:val="99"/>
    <w:locked/>
    <w:rsid w:val="00436106"/>
    <w:rPr>
      <w:b/>
      <w:sz w:val="24"/>
      <w:lang w:val="fr-FR" w:eastAsia="en-US"/>
    </w:rPr>
  </w:style>
  <w:style w:type="paragraph" w:customStyle="1" w:styleId="TableLegend0">
    <w:name w:val="Table_Legend"/>
    <w:basedOn w:val="Normal"/>
    <w:next w:val="Normal"/>
    <w:rsid w:val="00B13A27"/>
    <w:pPr>
      <w:keepNext/>
      <w:tabs>
        <w:tab w:val="left" w:pos="794"/>
        <w:tab w:val="left" w:pos="1191"/>
        <w:tab w:val="left" w:pos="1588"/>
        <w:tab w:val="left" w:pos="1985"/>
      </w:tabs>
      <w:spacing w:before="86" w:line="199" w:lineRule="exact"/>
      <w:ind w:left="-85" w:right="-85"/>
    </w:pPr>
    <w:rPr>
      <w:sz w:val="18"/>
      <w:lang w:val="en-GB" w:eastAsia="zh-CN"/>
    </w:rPr>
  </w:style>
  <w:style w:type="paragraph" w:customStyle="1" w:styleId="TableTitle0">
    <w:name w:val="Table_Title"/>
    <w:basedOn w:val="Table"/>
    <w:next w:val="Blanc"/>
    <w:rsid w:val="00B13A27"/>
    <w:pPr>
      <w:spacing w:before="0"/>
    </w:pPr>
    <w:rPr>
      <w:b/>
    </w:rPr>
  </w:style>
  <w:style w:type="paragraph" w:customStyle="1" w:styleId="Table">
    <w:name w:val="Table_#"/>
    <w:basedOn w:val="Normal"/>
    <w:next w:val="TableTitle0"/>
    <w:rsid w:val="00B13A27"/>
    <w:pPr>
      <w:keepNext/>
      <w:tabs>
        <w:tab w:val="clear" w:pos="794"/>
        <w:tab w:val="clear" w:pos="1191"/>
        <w:tab w:val="clear" w:pos="1588"/>
        <w:tab w:val="clear" w:pos="1985"/>
      </w:tabs>
      <w:spacing w:before="567" w:after="113"/>
      <w:jc w:val="center"/>
    </w:pPr>
    <w:rPr>
      <w:sz w:val="18"/>
      <w:lang w:val="en-GB" w:eastAsia="zh-CN"/>
    </w:rPr>
  </w:style>
  <w:style w:type="paragraph" w:customStyle="1" w:styleId="TableText0">
    <w:name w:val="Table_Text"/>
    <w:basedOn w:val="TableLegend0"/>
    <w:rsid w:val="00B13A27"/>
    <w:pPr>
      <w:spacing w:before="100" w:after="100" w:line="190" w:lineRule="exact"/>
      <w:ind w:left="0" w:righ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70E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B786E"/>
    <w:pPr>
      <w:keepNext/>
      <w:keepLines/>
      <w:spacing w:before="480"/>
      <w:ind w:left="794" w:hanging="794"/>
      <w:outlineLvl w:val="0"/>
    </w:pPr>
    <w:rPr>
      <w:b/>
    </w:rPr>
  </w:style>
  <w:style w:type="paragraph" w:styleId="Heading2">
    <w:name w:val="heading 2"/>
    <w:basedOn w:val="Heading1"/>
    <w:next w:val="Normal"/>
    <w:qFormat/>
    <w:rsid w:val="00EB786E"/>
    <w:pPr>
      <w:spacing w:before="320"/>
      <w:outlineLvl w:val="1"/>
    </w:pPr>
  </w:style>
  <w:style w:type="paragraph" w:styleId="Heading3">
    <w:name w:val="heading 3"/>
    <w:basedOn w:val="Heading1"/>
    <w:next w:val="Normal"/>
    <w:qFormat/>
    <w:rsid w:val="00EB786E"/>
    <w:pPr>
      <w:spacing w:before="200"/>
      <w:outlineLvl w:val="2"/>
    </w:pPr>
  </w:style>
  <w:style w:type="paragraph" w:styleId="Heading4">
    <w:name w:val="heading 4"/>
    <w:basedOn w:val="Heading3"/>
    <w:next w:val="Normal"/>
    <w:qFormat/>
    <w:rsid w:val="00EB786E"/>
    <w:pPr>
      <w:tabs>
        <w:tab w:val="clear" w:pos="794"/>
        <w:tab w:val="left" w:pos="992"/>
      </w:tabs>
      <w:ind w:left="992" w:hanging="992"/>
      <w:outlineLvl w:val="3"/>
    </w:pPr>
  </w:style>
  <w:style w:type="paragraph" w:styleId="Heading5">
    <w:name w:val="heading 5"/>
    <w:basedOn w:val="Heading4"/>
    <w:next w:val="Normal"/>
    <w:qFormat/>
    <w:rsid w:val="00EB786E"/>
    <w:pPr>
      <w:outlineLvl w:val="4"/>
    </w:pPr>
  </w:style>
  <w:style w:type="paragraph" w:styleId="Heading6">
    <w:name w:val="heading 6"/>
    <w:basedOn w:val="Heading4"/>
    <w:next w:val="Normal"/>
    <w:qFormat/>
    <w:rsid w:val="00EB786E"/>
    <w:pPr>
      <w:tabs>
        <w:tab w:val="clear" w:pos="992"/>
        <w:tab w:val="clear" w:pos="1191"/>
      </w:tabs>
      <w:ind w:left="1588" w:hanging="1588"/>
      <w:outlineLvl w:val="5"/>
    </w:pPr>
  </w:style>
  <w:style w:type="paragraph" w:styleId="Heading7">
    <w:name w:val="heading 7"/>
    <w:basedOn w:val="Heading6"/>
    <w:next w:val="Normal"/>
    <w:qFormat/>
    <w:rsid w:val="00EB786E"/>
    <w:pPr>
      <w:outlineLvl w:val="6"/>
    </w:pPr>
  </w:style>
  <w:style w:type="paragraph" w:styleId="Heading8">
    <w:name w:val="heading 8"/>
    <w:basedOn w:val="Heading6"/>
    <w:next w:val="Normal"/>
    <w:qFormat/>
    <w:rsid w:val="00EB786E"/>
    <w:pPr>
      <w:outlineLvl w:val="7"/>
    </w:pPr>
  </w:style>
  <w:style w:type="paragraph" w:styleId="Heading9">
    <w:name w:val="heading 9"/>
    <w:basedOn w:val="Heading6"/>
    <w:next w:val="Normal"/>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B786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B786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B786E"/>
  </w:style>
  <w:style w:type="paragraph" w:customStyle="1" w:styleId="Headingb">
    <w:name w:val="Heading_b"/>
    <w:basedOn w:val="Heading3"/>
    <w:next w:val="Normal"/>
    <w:link w:val="HeadingbChar"/>
    <w:rsid w:val="00EB786E"/>
    <w:pPr>
      <w:spacing w:before="160"/>
      <w:ind w:left="0" w:firstLine="0"/>
      <w:outlineLvl w:val="9"/>
    </w:pPr>
  </w:style>
  <w:style w:type="paragraph" w:customStyle="1" w:styleId="Headingi">
    <w:name w:val="Heading_i"/>
    <w:basedOn w:val="Heading3"/>
    <w:next w:val="Normal"/>
    <w:rsid w:val="00EB786E"/>
    <w:pPr>
      <w:spacing w:before="160"/>
      <w:ind w:left="0" w:firstLine="0"/>
    </w:pPr>
    <w:rPr>
      <w:b w:val="0"/>
      <w:i/>
    </w:rPr>
  </w:style>
  <w:style w:type="character" w:customStyle="1" w:styleId="href">
    <w:name w:val="href"/>
    <w:basedOn w:val="DefaultParagraphFont"/>
    <w:uiPriority w:val="99"/>
    <w:rsid w:val="00EB786E"/>
  </w:style>
  <w:style w:type="paragraph" w:customStyle="1" w:styleId="AnnexNoTitle">
    <w:name w:val="Annex_NoTitle"/>
    <w:basedOn w:val="Normal"/>
    <w:next w:val="Normalaftertitle"/>
    <w:rsid w:val="00EB786E"/>
    <w:pPr>
      <w:keepNext/>
      <w:keepLines/>
      <w:spacing w:before="480" w:after="80"/>
      <w:jc w:val="center"/>
    </w:pPr>
    <w:rPr>
      <w:b/>
      <w:sz w:val="28"/>
    </w:rPr>
  </w:style>
  <w:style w:type="paragraph" w:customStyle="1" w:styleId="Normalaftertitle">
    <w:name w:val="Normal_after_title"/>
    <w:basedOn w:val="Normal"/>
    <w:next w:val="Normal"/>
    <w:rsid w:val="00EB786E"/>
    <w:pPr>
      <w:spacing w:before="320"/>
    </w:pPr>
  </w:style>
  <w:style w:type="paragraph" w:customStyle="1" w:styleId="enumlev2">
    <w:name w:val="enumlev2"/>
    <w:basedOn w:val="enumlev1"/>
    <w:rsid w:val="00EB786E"/>
    <w:pPr>
      <w:ind w:left="1191" w:hanging="397"/>
    </w:pPr>
  </w:style>
  <w:style w:type="paragraph" w:customStyle="1" w:styleId="enumlev1">
    <w:name w:val="enumlev1"/>
    <w:basedOn w:val="Normal"/>
    <w:rsid w:val="00EB786E"/>
    <w:pPr>
      <w:spacing w:before="80"/>
      <w:ind w:left="794" w:hanging="794"/>
    </w:pPr>
  </w:style>
  <w:style w:type="paragraph" w:customStyle="1" w:styleId="enumlev3">
    <w:name w:val="enumlev3"/>
    <w:basedOn w:val="enumlev2"/>
    <w:rsid w:val="00EB786E"/>
    <w:pPr>
      <w:ind w:left="1588"/>
    </w:pPr>
  </w:style>
  <w:style w:type="paragraph" w:customStyle="1" w:styleId="Note">
    <w:name w:val="Note"/>
    <w:basedOn w:val="Normal"/>
    <w:rsid w:val="00EB786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B786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B786E"/>
    <w:pPr>
      <w:keepNext/>
      <w:keepLines/>
      <w:spacing w:before="240"/>
      <w:jc w:val="center"/>
    </w:pPr>
    <w:rPr>
      <w:b/>
      <w:sz w:val="28"/>
    </w:rPr>
  </w:style>
  <w:style w:type="paragraph" w:customStyle="1" w:styleId="Recref">
    <w:name w:val="Rec_ref"/>
    <w:basedOn w:val="Normal"/>
    <w:next w:val="Recdate"/>
    <w:rsid w:val="00EB786E"/>
    <w:pPr>
      <w:jc w:val="center"/>
    </w:pPr>
  </w:style>
  <w:style w:type="paragraph" w:customStyle="1" w:styleId="Recdate">
    <w:name w:val="Rec_date"/>
    <w:basedOn w:val="Recref"/>
    <w:next w:val="Normalaftertitle"/>
    <w:rsid w:val="00EB786E"/>
    <w:pPr>
      <w:jc w:val="right"/>
    </w:pPr>
  </w:style>
  <w:style w:type="paragraph" w:customStyle="1" w:styleId="HeadingSum">
    <w:name w:val="Heading_Sum"/>
    <w:basedOn w:val="Headingb"/>
    <w:next w:val="Normal"/>
    <w:autoRedefine/>
    <w:uiPriority w:val="99"/>
    <w:rsid w:val="0041441E"/>
    <w:pPr>
      <w:spacing w:before="240"/>
    </w:pPr>
    <w:rPr>
      <w:szCs w:val="22"/>
      <w:lang w:val="en-GB"/>
    </w:rPr>
  </w:style>
  <w:style w:type="paragraph" w:customStyle="1" w:styleId="AppendixNoTitle">
    <w:name w:val="Appendix_NoTitle"/>
    <w:basedOn w:val="AnnexNoTitle"/>
    <w:next w:val="Normal"/>
    <w:rsid w:val="00EB786E"/>
  </w:style>
  <w:style w:type="paragraph" w:customStyle="1" w:styleId="Tablefin">
    <w:name w:val="Table_fin"/>
    <w:basedOn w:val="Normal"/>
    <w:next w:val="Normal"/>
    <w:rsid w:val="00EB786E"/>
    <w:pPr>
      <w:spacing w:before="0"/>
    </w:pPr>
    <w:rPr>
      <w:sz w:val="20"/>
      <w:lang w:val="en-GB"/>
    </w:rPr>
  </w:style>
  <w:style w:type="paragraph" w:customStyle="1" w:styleId="Tablehead">
    <w:name w:val="Table_head"/>
    <w:basedOn w:val="Normal"/>
    <w:next w:val="Normal"/>
    <w:link w:val="TableheadChar"/>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B786E"/>
    <w:pPr>
      <w:keepNext/>
      <w:spacing w:before="360" w:after="120"/>
      <w:jc w:val="center"/>
    </w:pPr>
  </w:style>
  <w:style w:type="paragraph" w:customStyle="1" w:styleId="Tabletext">
    <w:name w:val="Table_text"/>
    <w:basedOn w:val="Normal"/>
    <w:link w:val="TabletextChar"/>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B786E"/>
    <w:pPr>
      <w:tabs>
        <w:tab w:val="clear" w:pos="1191"/>
        <w:tab w:val="clear" w:pos="1588"/>
        <w:tab w:val="clear" w:pos="1985"/>
        <w:tab w:val="center" w:pos="4820"/>
        <w:tab w:val="right" w:pos="9639"/>
      </w:tabs>
    </w:pPr>
  </w:style>
  <w:style w:type="paragraph" w:customStyle="1" w:styleId="Equationlegend">
    <w:name w:val="Equation_legend"/>
    <w:basedOn w:val="NormalIndent"/>
    <w:rsid w:val="00EB786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B786E"/>
    <w:pPr>
      <w:ind w:left="794"/>
    </w:pPr>
  </w:style>
  <w:style w:type="paragraph" w:customStyle="1" w:styleId="Figurelegend">
    <w:name w:val="Figure_legend"/>
    <w:basedOn w:val="Normal"/>
    <w:rsid w:val="00EB786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B786E"/>
    <w:pPr>
      <w:keepNext/>
      <w:keepLines/>
      <w:spacing w:before="480" w:after="80"/>
      <w:jc w:val="center"/>
    </w:pPr>
    <w:rPr>
      <w:caps/>
      <w:sz w:val="18"/>
    </w:rPr>
  </w:style>
  <w:style w:type="paragraph" w:customStyle="1" w:styleId="Figuretitle">
    <w:name w:val="Figure_title"/>
    <w:basedOn w:val="Normal"/>
    <w:next w:val="Figure"/>
    <w:link w:val="FiguretitleChar"/>
    <w:rsid w:val="00EB786E"/>
    <w:pPr>
      <w:keepNext/>
      <w:spacing w:before="0" w:after="120"/>
      <w:jc w:val="center"/>
    </w:pPr>
    <w:rPr>
      <w:rFonts w:ascii="Times New Roman Bold" w:hAnsi="Times New Roman Bold"/>
      <w:b/>
      <w:sz w:val="18"/>
    </w:rPr>
  </w:style>
  <w:style w:type="paragraph" w:customStyle="1" w:styleId="Figure">
    <w:name w:val="Figure"/>
    <w:basedOn w:val="FigureNo"/>
    <w:next w:val="Normal"/>
    <w:rsid w:val="00EB786E"/>
    <w:pPr>
      <w:keepNext w:val="0"/>
      <w:spacing w:before="0" w:after="240"/>
    </w:pPr>
  </w:style>
  <w:style w:type="paragraph" w:customStyle="1" w:styleId="tocpart">
    <w:name w:val="tocpart"/>
    <w:basedOn w:val="Normal"/>
    <w:rsid w:val="00EB786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B786E"/>
    <w:pPr>
      <w:keepNext/>
      <w:keepLines/>
      <w:spacing w:before="480"/>
      <w:jc w:val="center"/>
    </w:pPr>
    <w:rPr>
      <w:sz w:val="28"/>
    </w:rPr>
  </w:style>
  <w:style w:type="paragraph" w:customStyle="1" w:styleId="Arttitle">
    <w:name w:val="Art_title"/>
    <w:basedOn w:val="Normal"/>
    <w:next w:val="Normalaftertitle"/>
    <w:rsid w:val="00EB786E"/>
    <w:pPr>
      <w:keepNext/>
      <w:keepLines/>
      <w:spacing w:before="240"/>
      <w:jc w:val="center"/>
    </w:pPr>
    <w:rPr>
      <w:b/>
      <w:sz w:val="28"/>
    </w:rPr>
  </w:style>
  <w:style w:type="paragraph" w:customStyle="1" w:styleId="Blanc">
    <w:name w:val="Blanc"/>
    <w:basedOn w:val="Normal"/>
    <w:next w:val="Tabletext"/>
    <w:rsid w:val="00EB786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B786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EB786E"/>
    <w:pPr>
      <w:keepNext/>
      <w:keepLines/>
      <w:spacing w:before="160"/>
      <w:ind w:left="794"/>
    </w:pPr>
    <w:rPr>
      <w:i/>
    </w:rPr>
  </w:style>
  <w:style w:type="paragraph" w:customStyle="1" w:styleId="ChapNo">
    <w:name w:val="Chap_No"/>
    <w:basedOn w:val="ArtNo"/>
    <w:next w:val="Chaptitle"/>
    <w:rsid w:val="00EB786E"/>
    <w:rPr>
      <w:b/>
    </w:rPr>
  </w:style>
  <w:style w:type="paragraph" w:customStyle="1" w:styleId="Chaptitle">
    <w:name w:val="Chap_title"/>
    <w:basedOn w:val="Arttitle"/>
    <w:next w:val="Normalaftertitle"/>
    <w:rsid w:val="00EB786E"/>
  </w:style>
  <w:style w:type="character" w:styleId="FootnoteReference">
    <w:name w:val="footnote reference"/>
    <w:aliases w:val="Appel note de bas de p,Footnote Reference/,Footnote symbol,Style 12,(NECG) Footnote Reference,Style 124,o,fr,Style 13,FR,Style 17"/>
    <w:basedOn w:val="DefaultParagraphFont"/>
    <w:rsid w:val="00EB786E"/>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rsid w:val="00EB786E"/>
    <w:pPr>
      <w:keepLines/>
      <w:tabs>
        <w:tab w:val="left" w:pos="255"/>
      </w:tabs>
      <w:ind w:left="255" w:hanging="255"/>
    </w:pPr>
    <w:rPr>
      <w:sz w:val="22"/>
    </w:rPr>
  </w:style>
  <w:style w:type="paragraph" w:styleId="Index1">
    <w:name w:val="index 1"/>
    <w:basedOn w:val="Normal"/>
    <w:next w:val="Normal"/>
    <w:semiHidden/>
    <w:rsid w:val="00EB786E"/>
  </w:style>
  <w:style w:type="paragraph" w:styleId="Index2">
    <w:name w:val="index 2"/>
    <w:basedOn w:val="Normal"/>
    <w:next w:val="Normal"/>
    <w:semiHidden/>
    <w:rsid w:val="00EB786E"/>
    <w:pPr>
      <w:ind w:left="283"/>
    </w:pPr>
  </w:style>
  <w:style w:type="paragraph" w:styleId="Index3">
    <w:name w:val="index 3"/>
    <w:basedOn w:val="Normal"/>
    <w:next w:val="Normal"/>
    <w:semiHidden/>
    <w:rsid w:val="00EB786E"/>
    <w:pPr>
      <w:ind w:left="566"/>
    </w:pPr>
  </w:style>
  <w:style w:type="paragraph" w:styleId="IndexHeading">
    <w:name w:val="index heading"/>
    <w:basedOn w:val="Normal"/>
    <w:next w:val="Index1"/>
    <w:semiHidden/>
    <w:rsid w:val="00EB786E"/>
  </w:style>
  <w:style w:type="paragraph" w:customStyle="1" w:styleId="Line">
    <w:name w:val="Line"/>
    <w:basedOn w:val="Normal"/>
    <w:next w:val="Normal"/>
    <w:rsid w:val="00EB786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B786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B786E"/>
  </w:style>
  <w:style w:type="paragraph" w:customStyle="1" w:styleId="Partref">
    <w:name w:val="Part_ref"/>
    <w:basedOn w:val="Normal"/>
    <w:next w:val="Normal"/>
    <w:rsid w:val="00EB786E"/>
    <w:pPr>
      <w:keepNext/>
      <w:keepLines/>
      <w:spacing w:after="280"/>
      <w:jc w:val="center"/>
    </w:pPr>
  </w:style>
  <w:style w:type="paragraph" w:customStyle="1" w:styleId="Parttitle">
    <w:name w:val="Part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B786E"/>
  </w:style>
  <w:style w:type="paragraph" w:customStyle="1" w:styleId="QuestionNo">
    <w:name w:val="Question_No"/>
    <w:basedOn w:val="RecNo"/>
    <w:next w:val="Normal"/>
    <w:rsid w:val="00EB786E"/>
  </w:style>
  <w:style w:type="paragraph" w:customStyle="1" w:styleId="Questionref">
    <w:name w:val="Question_ref"/>
    <w:basedOn w:val="Recref"/>
    <w:next w:val="Questiondate"/>
    <w:rsid w:val="00EB786E"/>
  </w:style>
  <w:style w:type="paragraph" w:customStyle="1" w:styleId="Questiontitle">
    <w:name w:val="Question_title"/>
    <w:basedOn w:val="Normal"/>
    <w:next w:val="Questionref"/>
    <w:rsid w:val="00EB786E"/>
  </w:style>
  <w:style w:type="paragraph" w:customStyle="1" w:styleId="Reftext">
    <w:name w:val="Ref_text"/>
    <w:basedOn w:val="Normal"/>
    <w:rsid w:val="00EB786E"/>
    <w:pPr>
      <w:ind w:left="794" w:hanging="794"/>
    </w:pPr>
    <w:rPr>
      <w:sz w:val="22"/>
    </w:rPr>
  </w:style>
  <w:style w:type="paragraph" w:customStyle="1" w:styleId="Reftitle">
    <w:name w:val="Ref_title"/>
    <w:basedOn w:val="Normal"/>
    <w:next w:val="Reftext"/>
    <w:rsid w:val="00EB786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B786E"/>
  </w:style>
  <w:style w:type="paragraph" w:customStyle="1" w:styleId="RepNo">
    <w:name w:val="Rep_No"/>
    <w:basedOn w:val="RecNo"/>
    <w:next w:val="Reptitle"/>
    <w:rsid w:val="00EB786E"/>
  </w:style>
  <w:style w:type="paragraph" w:customStyle="1" w:styleId="Reptitle">
    <w:name w:val="Rep_title"/>
    <w:basedOn w:val="Rectitle"/>
    <w:next w:val="Repref"/>
    <w:rsid w:val="00EB786E"/>
  </w:style>
  <w:style w:type="paragraph" w:customStyle="1" w:styleId="Repref">
    <w:name w:val="Rep_ref"/>
    <w:basedOn w:val="Recref"/>
    <w:next w:val="Repdate"/>
    <w:rsid w:val="00EB786E"/>
  </w:style>
  <w:style w:type="paragraph" w:customStyle="1" w:styleId="Resdate">
    <w:name w:val="Res_date"/>
    <w:basedOn w:val="Recdate"/>
    <w:next w:val="Normalaftertitle"/>
    <w:rsid w:val="00EB786E"/>
  </w:style>
  <w:style w:type="paragraph" w:customStyle="1" w:styleId="ResNo">
    <w:name w:val="Res_No"/>
    <w:basedOn w:val="RecNo"/>
    <w:next w:val="Restitle"/>
    <w:rsid w:val="00EB786E"/>
  </w:style>
  <w:style w:type="paragraph" w:customStyle="1" w:styleId="Restitle">
    <w:name w:val="Res_title"/>
    <w:basedOn w:val="Normal"/>
    <w:next w:val="Resref"/>
    <w:rsid w:val="00EB786E"/>
    <w:pPr>
      <w:spacing w:before="240"/>
      <w:jc w:val="center"/>
    </w:pPr>
    <w:rPr>
      <w:b/>
      <w:sz w:val="28"/>
    </w:rPr>
  </w:style>
  <w:style w:type="paragraph" w:customStyle="1" w:styleId="Resref">
    <w:name w:val="Res_ref"/>
    <w:basedOn w:val="Recref"/>
    <w:next w:val="Resdate"/>
    <w:rsid w:val="00EB786E"/>
  </w:style>
  <w:style w:type="paragraph" w:customStyle="1" w:styleId="SectionNo">
    <w:name w:val="Section_No"/>
    <w:basedOn w:val="Normal"/>
    <w:next w:val="Normal"/>
    <w:rsid w:val="00EB786E"/>
  </w:style>
  <w:style w:type="paragraph" w:customStyle="1" w:styleId="Sectiontitle">
    <w:name w:val="Section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B786E"/>
    <w:pPr>
      <w:tabs>
        <w:tab w:val="clear" w:pos="794"/>
        <w:tab w:val="clear" w:pos="1191"/>
        <w:tab w:val="clear" w:pos="1588"/>
        <w:tab w:val="clear" w:pos="1985"/>
        <w:tab w:val="right" w:pos="9611"/>
      </w:tabs>
    </w:pPr>
    <w:rPr>
      <w:i/>
    </w:rPr>
  </w:style>
  <w:style w:type="paragraph" w:styleId="TOC1">
    <w:name w:val="toc 1"/>
    <w:basedOn w:val="Normal"/>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B786E"/>
    <w:pPr>
      <w:tabs>
        <w:tab w:val="clear" w:pos="567"/>
        <w:tab w:val="left" w:pos="1276"/>
      </w:tabs>
      <w:spacing w:before="160"/>
      <w:ind w:left="1276" w:hanging="709"/>
    </w:pPr>
  </w:style>
  <w:style w:type="paragraph" w:styleId="TOC3">
    <w:name w:val="toc 3"/>
    <w:basedOn w:val="TOC2"/>
    <w:semiHidden/>
    <w:rsid w:val="00EB786E"/>
    <w:pPr>
      <w:tabs>
        <w:tab w:val="clear" w:pos="1276"/>
        <w:tab w:val="left" w:pos="2155"/>
      </w:tabs>
      <w:ind w:left="2155" w:hanging="879"/>
    </w:pPr>
  </w:style>
  <w:style w:type="paragraph" w:styleId="TOC4">
    <w:name w:val="toc 4"/>
    <w:basedOn w:val="TOC3"/>
    <w:semiHidden/>
    <w:rsid w:val="00EB786E"/>
    <w:pPr>
      <w:tabs>
        <w:tab w:val="left" w:pos="3261"/>
      </w:tabs>
      <w:spacing w:before="80"/>
      <w:ind w:left="3261" w:hanging="993"/>
    </w:pPr>
  </w:style>
  <w:style w:type="paragraph" w:styleId="TOC5">
    <w:name w:val="toc 5"/>
    <w:basedOn w:val="TOC4"/>
    <w:semiHidden/>
    <w:rsid w:val="00EB786E"/>
  </w:style>
  <w:style w:type="paragraph" w:styleId="TOC6">
    <w:name w:val="toc 6"/>
    <w:basedOn w:val="TOC4"/>
    <w:semiHidden/>
    <w:rsid w:val="00EB786E"/>
  </w:style>
  <w:style w:type="paragraph" w:styleId="TOC7">
    <w:name w:val="toc 7"/>
    <w:basedOn w:val="TOC4"/>
    <w:semiHidden/>
    <w:rsid w:val="00EB786E"/>
  </w:style>
  <w:style w:type="paragraph" w:styleId="TOC8">
    <w:name w:val="toc 8"/>
    <w:basedOn w:val="TOC4"/>
    <w:semiHidden/>
    <w:rsid w:val="00EB786E"/>
  </w:style>
  <w:style w:type="paragraph" w:customStyle="1" w:styleId="Annexref">
    <w:name w:val="Annex_ref"/>
    <w:basedOn w:val="Normal"/>
    <w:next w:val="Normalaftertitle"/>
    <w:rsid w:val="00EB786E"/>
    <w:pPr>
      <w:keepNext/>
      <w:keepLines/>
      <w:spacing w:after="280"/>
      <w:jc w:val="center"/>
    </w:pPr>
  </w:style>
  <w:style w:type="paragraph" w:customStyle="1" w:styleId="Appendixref">
    <w:name w:val="Appendix_ref"/>
    <w:basedOn w:val="Annexref"/>
    <w:next w:val="Normalaftertitle"/>
    <w:rsid w:val="00EB786E"/>
  </w:style>
  <w:style w:type="paragraph" w:customStyle="1" w:styleId="Tabletitle">
    <w:name w:val="Table_title"/>
    <w:basedOn w:val="Normal"/>
    <w:next w:val="Tablehead"/>
    <w:link w:val="TabletitleChar"/>
    <w:rsid w:val="00EB786E"/>
    <w:pPr>
      <w:keepNext/>
      <w:spacing w:before="0" w:after="120"/>
      <w:jc w:val="center"/>
    </w:pPr>
    <w:rPr>
      <w:b/>
    </w:rPr>
  </w:style>
  <w:style w:type="paragraph" w:customStyle="1" w:styleId="Summary">
    <w:name w:val="Summary"/>
    <w:basedOn w:val="Normal"/>
    <w:next w:val="Normalaftertitle"/>
    <w:autoRedefine/>
    <w:uiPriority w:val="99"/>
    <w:rsid w:val="0041441E"/>
    <w:pPr>
      <w:spacing w:after="480"/>
      <w:jc w:val="left"/>
    </w:pPr>
    <w:rPr>
      <w:szCs w:val="22"/>
      <w:lang w:val="en-GB"/>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EB786E"/>
    <w:pPr>
      <w:ind w:left="-85" w:firstLine="0"/>
    </w:pPr>
    <w:rPr>
      <w:lang w:val="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3B49A3"/>
    <w:rPr>
      <w:sz w:val="22"/>
      <w:lang w:val="fr-FR" w:eastAsia="en-US"/>
    </w:rPr>
  </w:style>
  <w:style w:type="paragraph" w:customStyle="1" w:styleId="AnnexNo">
    <w:name w:val="Annex_No"/>
    <w:basedOn w:val="Normal"/>
    <w:next w:val="Normal"/>
    <w:link w:val="AnnexNoChar"/>
    <w:rsid w:val="003B49A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3B49A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link w:val="NormalaftertitleChar"/>
    <w:rsid w:val="003B49A3"/>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TabletextChar">
    <w:name w:val="Table_text Char"/>
    <w:link w:val="Tabletext"/>
    <w:locked/>
    <w:rsid w:val="003B49A3"/>
    <w:rPr>
      <w:sz w:val="22"/>
      <w:lang w:val="fr-FR" w:eastAsia="en-US"/>
    </w:rPr>
  </w:style>
  <w:style w:type="character" w:customStyle="1" w:styleId="FigureNoChar">
    <w:name w:val="Figure_No Char"/>
    <w:link w:val="FigureNo"/>
    <w:locked/>
    <w:rsid w:val="003B49A3"/>
    <w:rPr>
      <w:caps/>
      <w:sz w:val="18"/>
      <w:lang w:val="fr-FR" w:eastAsia="en-US"/>
    </w:rPr>
  </w:style>
  <w:style w:type="character" w:customStyle="1" w:styleId="CallChar">
    <w:name w:val="Call Char"/>
    <w:link w:val="Call"/>
    <w:uiPriority w:val="99"/>
    <w:locked/>
    <w:rsid w:val="003B49A3"/>
    <w:rPr>
      <w:i/>
      <w:sz w:val="24"/>
      <w:lang w:val="fr-FR" w:eastAsia="en-US"/>
    </w:rPr>
  </w:style>
  <w:style w:type="character" w:customStyle="1" w:styleId="TableNoChar">
    <w:name w:val="Table_No Char"/>
    <w:link w:val="TableNo"/>
    <w:locked/>
    <w:rsid w:val="003B49A3"/>
    <w:rPr>
      <w:sz w:val="24"/>
      <w:lang w:val="fr-FR" w:eastAsia="en-US"/>
    </w:rPr>
  </w:style>
  <w:style w:type="character" w:customStyle="1" w:styleId="TabletitleChar">
    <w:name w:val="Table_title Char"/>
    <w:link w:val="Tabletitle"/>
    <w:locked/>
    <w:rsid w:val="003B49A3"/>
    <w:rPr>
      <w:b/>
      <w:sz w:val="24"/>
      <w:lang w:val="fr-FR" w:eastAsia="en-US"/>
    </w:rPr>
  </w:style>
  <w:style w:type="character" w:customStyle="1" w:styleId="NormalaftertitleChar">
    <w:name w:val="Normal after title Char"/>
    <w:link w:val="Normalaftertitle0"/>
    <w:locked/>
    <w:rsid w:val="003B49A3"/>
    <w:rPr>
      <w:sz w:val="24"/>
      <w:lang w:val="en-GB" w:eastAsia="en-US"/>
    </w:rPr>
  </w:style>
  <w:style w:type="character" w:customStyle="1" w:styleId="FiguretitleChar">
    <w:name w:val="Figure_title Char"/>
    <w:basedOn w:val="TabletitleChar"/>
    <w:link w:val="Figuretitle"/>
    <w:locked/>
    <w:rsid w:val="003B49A3"/>
    <w:rPr>
      <w:rFonts w:ascii="Times New Roman Bold" w:hAnsi="Times New Roman Bold"/>
      <w:b/>
      <w:sz w:val="18"/>
      <w:lang w:val="fr-FR" w:eastAsia="en-US"/>
    </w:rPr>
  </w:style>
  <w:style w:type="character" w:customStyle="1" w:styleId="AnnexNoChar">
    <w:name w:val="Annex_No Char"/>
    <w:link w:val="AnnexNo"/>
    <w:locked/>
    <w:rsid w:val="003B49A3"/>
    <w:rPr>
      <w:caps/>
      <w:sz w:val="28"/>
      <w:lang w:val="en-GB" w:eastAsia="en-US"/>
    </w:rPr>
  </w:style>
  <w:style w:type="character" w:customStyle="1" w:styleId="TableheadChar">
    <w:name w:val="Table_head Char"/>
    <w:link w:val="Tablehead"/>
    <w:locked/>
    <w:rsid w:val="003B49A3"/>
    <w:rPr>
      <w:b/>
      <w:sz w:val="22"/>
      <w:lang w:val="fr-FR" w:eastAsia="en-US"/>
    </w:rPr>
  </w:style>
  <w:style w:type="character" w:customStyle="1" w:styleId="HeadingbChar">
    <w:name w:val="Heading_b Char"/>
    <w:link w:val="Headingb"/>
    <w:uiPriority w:val="99"/>
    <w:locked/>
    <w:rsid w:val="00436106"/>
    <w:rPr>
      <w:b/>
      <w:sz w:val="24"/>
      <w:lang w:val="fr-FR" w:eastAsia="en-US"/>
    </w:rPr>
  </w:style>
  <w:style w:type="paragraph" w:customStyle="1" w:styleId="TableLegend0">
    <w:name w:val="Table_Legend"/>
    <w:basedOn w:val="Normal"/>
    <w:next w:val="Normal"/>
    <w:rsid w:val="00B13A27"/>
    <w:pPr>
      <w:keepNext/>
      <w:tabs>
        <w:tab w:val="left" w:pos="794"/>
        <w:tab w:val="left" w:pos="1191"/>
        <w:tab w:val="left" w:pos="1588"/>
        <w:tab w:val="left" w:pos="1985"/>
      </w:tabs>
      <w:spacing w:before="86" w:line="199" w:lineRule="exact"/>
      <w:ind w:left="-85" w:right="-85"/>
    </w:pPr>
    <w:rPr>
      <w:sz w:val="18"/>
      <w:lang w:val="en-GB" w:eastAsia="zh-CN"/>
    </w:rPr>
  </w:style>
  <w:style w:type="paragraph" w:customStyle="1" w:styleId="TableTitle0">
    <w:name w:val="Table_Title"/>
    <w:basedOn w:val="Table"/>
    <w:next w:val="Blanc"/>
    <w:rsid w:val="00B13A27"/>
    <w:pPr>
      <w:spacing w:before="0"/>
    </w:pPr>
    <w:rPr>
      <w:b/>
    </w:rPr>
  </w:style>
  <w:style w:type="paragraph" w:customStyle="1" w:styleId="Table">
    <w:name w:val="Table_#"/>
    <w:basedOn w:val="Normal"/>
    <w:next w:val="TableTitle0"/>
    <w:rsid w:val="00B13A27"/>
    <w:pPr>
      <w:keepNext/>
      <w:tabs>
        <w:tab w:val="clear" w:pos="794"/>
        <w:tab w:val="clear" w:pos="1191"/>
        <w:tab w:val="clear" w:pos="1588"/>
        <w:tab w:val="clear" w:pos="1985"/>
      </w:tabs>
      <w:spacing w:before="567" w:after="113"/>
      <w:jc w:val="center"/>
    </w:pPr>
    <w:rPr>
      <w:sz w:val="18"/>
      <w:lang w:val="en-GB" w:eastAsia="zh-CN"/>
    </w:rPr>
  </w:style>
  <w:style w:type="paragraph" w:customStyle="1" w:styleId="TableText0">
    <w:name w:val="Table_Text"/>
    <w:basedOn w:val="TableLegend0"/>
    <w:rsid w:val="00B13A27"/>
    <w:pPr>
      <w:spacing w:before="100" w:after="100" w:line="190" w:lineRule="exact"/>
      <w:ind w:left="0" w:righ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10" Type="http://schemas.openxmlformats.org/officeDocument/2006/relationships/header" Target="header2.xml"/><Relationship Id="rId19" Type="http://schemas.openxmlformats.org/officeDocument/2006/relationships/image" Target="media/image4.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60F4F-7835-47E9-89A0-D61A7EB2F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TotalTime>
  <Pages>13</Pages>
  <Words>2790</Words>
  <Characters>14498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17254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13</cp:revision>
  <cp:lastPrinted>2009-06-26T13:19:00Z</cp:lastPrinted>
  <dcterms:created xsi:type="dcterms:W3CDTF">2012-03-22T12:46:00Z</dcterms:created>
  <dcterms:modified xsi:type="dcterms:W3CDTF">2013-08-01T08:52:00Z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