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E6C50" w14:textId="77777777" w:rsidR="00652886" w:rsidRDefault="00652886" w:rsidP="00652886"/>
    <w:p w14:paraId="2E6E1287" w14:textId="77777777" w:rsidR="00652886" w:rsidRDefault="00652886" w:rsidP="00652886">
      <w:pPr>
        <w:tabs>
          <w:tab w:val="clear" w:pos="794"/>
          <w:tab w:val="clear" w:pos="1191"/>
          <w:tab w:val="clear" w:pos="1588"/>
          <w:tab w:val="clear" w:pos="1985"/>
        </w:tabs>
      </w:pPr>
    </w:p>
    <w:p w14:paraId="4FC99A3C" w14:textId="069C94FF" w:rsidR="00652886" w:rsidRPr="00710A2A" w:rsidRDefault="00652886" w:rsidP="00652886">
      <w:pPr>
        <w:pStyle w:val="CoverNumber"/>
        <w:rPr>
          <w:lang w:val="fr-FR"/>
        </w:rPr>
      </w:pPr>
      <w:r w:rsidRPr="00710A2A">
        <w:rPr>
          <w:lang w:val="fr-FR"/>
        </w:rPr>
        <w:t xml:space="preserve">Recommandation UIT-R </w:t>
      </w:r>
      <w:r>
        <w:rPr>
          <w:lang w:val="fr-FR"/>
        </w:rPr>
        <w:t>M</w:t>
      </w:r>
      <w:r w:rsidRPr="00710A2A">
        <w:rPr>
          <w:lang w:val="fr-FR"/>
        </w:rPr>
        <w:t>.</w:t>
      </w:r>
      <w:r>
        <w:rPr>
          <w:lang w:val="fr-FR"/>
        </w:rPr>
        <w:t>2164-0</w:t>
      </w:r>
    </w:p>
    <w:p w14:paraId="042EDDCC" w14:textId="5FE3F403" w:rsidR="00652886" w:rsidRPr="004F3F6F" w:rsidRDefault="00652886" w:rsidP="00652886">
      <w:pPr>
        <w:pStyle w:val="CoverDate"/>
        <w:rPr>
          <w:lang w:val="fr-FR"/>
        </w:rPr>
      </w:pPr>
      <w:r w:rsidRPr="004F3F6F">
        <w:rPr>
          <w:lang w:val="fr-FR"/>
        </w:rPr>
        <w:t>(</w:t>
      </w:r>
      <w:r>
        <w:rPr>
          <w:lang w:val="fr-FR"/>
        </w:rPr>
        <w:t>11</w:t>
      </w:r>
      <w:r w:rsidRPr="004F3F6F">
        <w:rPr>
          <w:lang w:val="fr-FR"/>
        </w:rPr>
        <w:t>/</w:t>
      </w:r>
      <w:r>
        <w:rPr>
          <w:lang w:val="fr-FR"/>
        </w:rPr>
        <w:t>2023</w:t>
      </w:r>
      <w:r w:rsidRPr="004F3F6F">
        <w:rPr>
          <w:lang w:val="fr-FR"/>
        </w:rPr>
        <w:t>)</w:t>
      </w:r>
    </w:p>
    <w:p w14:paraId="14FF811A" w14:textId="77777777" w:rsidR="00652886" w:rsidRPr="00652886" w:rsidRDefault="00652886" w:rsidP="00652886">
      <w:pPr>
        <w:pStyle w:val="CoverSeries"/>
        <w:rPr>
          <w:lang w:val="fr-CH"/>
        </w:rPr>
      </w:pPr>
      <w:r w:rsidRPr="00652886">
        <w:rPr>
          <w:lang w:val="fr-CH"/>
        </w:rPr>
        <w:t xml:space="preserve">Série </w:t>
      </w:r>
      <w:proofErr w:type="gramStart"/>
      <w:r w:rsidRPr="00652886">
        <w:rPr>
          <w:lang w:val="fr-CH"/>
        </w:rPr>
        <w:t>M:</w:t>
      </w:r>
      <w:proofErr w:type="gramEnd"/>
      <w:r w:rsidRPr="00652886">
        <w:rPr>
          <w:lang w:val="fr-CH"/>
        </w:rPr>
        <w:t xml:space="preserve"> Services mobile, de radiorepérage et d’amateur y compris les services par satellite associés</w:t>
      </w:r>
    </w:p>
    <w:p w14:paraId="29087972" w14:textId="066EBBC6" w:rsidR="00652886" w:rsidRPr="004F3F6F" w:rsidRDefault="00652886" w:rsidP="00652886">
      <w:pPr>
        <w:pStyle w:val="CoverTitle"/>
        <w:rPr>
          <w:lang w:val="fr-FR"/>
        </w:rPr>
      </w:pPr>
      <w:r w:rsidRPr="00652886">
        <w:rPr>
          <w:lang w:val="fr-FR"/>
        </w:rPr>
        <w:t>Orientations sur les mesures techniques et opérationnelles destinées à l'utilisation de la bande de fréquences 1 240-1 300 MHz par les services d'amateur et d'amateur par satellite pour protéger le service de radionavigation par satellite (SRNS) (espace vers Terre)</w:t>
      </w:r>
    </w:p>
    <w:p w14:paraId="4527CA54" w14:textId="77777777" w:rsidR="00652886" w:rsidRPr="00652886" w:rsidRDefault="00652886" w:rsidP="00652886">
      <w:pPr>
        <w:rPr>
          <w:lang w:val="fr-CH"/>
        </w:rPr>
      </w:pPr>
    </w:p>
    <w:p w14:paraId="2289D009" w14:textId="77777777" w:rsidR="00652886" w:rsidRPr="00652886" w:rsidRDefault="00652886" w:rsidP="00652886">
      <w:pPr>
        <w:rPr>
          <w:lang w:val="fr-CH"/>
        </w:rPr>
      </w:pPr>
    </w:p>
    <w:p w14:paraId="1BFEA2BE" w14:textId="77777777" w:rsidR="00652886" w:rsidRPr="00652886" w:rsidRDefault="00652886" w:rsidP="00652886">
      <w:pPr>
        <w:rPr>
          <w:lang w:val="fr-CH"/>
        </w:rPr>
        <w:sectPr w:rsidR="00652886" w:rsidRPr="00652886" w:rsidSect="0027411A">
          <w:headerReference w:type="even" r:id="rId6"/>
          <w:headerReference w:type="default" r:id="rId7"/>
          <w:footerReference w:type="default" r:id="rId8"/>
          <w:pgSz w:w="11907" w:h="16840" w:code="9"/>
          <w:pgMar w:top="1089" w:right="1089" w:bottom="284" w:left="1089" w:header="737" w:footer="284" w:gutter="0"/>
          <w:pgNumType w:start="1"/>
          <w:cols w:space="720"/>
          <w:docGrid w:linePitch="326"/>
        </w:sectPr>
      </w:pPr>
    </w:p>
    <w:p w14:paraId="12B612B7" w14:textId="77777777" w:rsidR="00652886" w:rsidRPr="00652886" w:rsidRDefault="00652886" w:rsidP="0065288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80" w:after="0"/>
        <w:rPr>
          <w:bCs/>
          <w:sz w:val="24"/>
          <w:szCs w:val="24"/>
          <w:lang w:val="fr-CH"/>
        </w:rPr>
      </w:pPr>
      <w:bookmarkStart w:id="0" w:name="c2tope"/>
      <w:bookmarkEnd w:id="0"/>
      <w:r w:rsidRPr="00652886">
        <w:rPr>
          <w:bCs/>
          <w:sz w:val="24"/>
          <w:szCs w:val="24"/>
          <w:lang w:val="fr-CH"/>
        </w:rPr>
        <w:lastRenderedPageBreak/>
        <w:t>Avant-propos</w:t>
      </w:r>
    </w:p>
    <w:p w14:paraId="6DF8B917" w14:textId="77777777" w:rsidR="00652886" w:rsidRPr="00652886" w:rsidRDefault="00652886" w:rsidP="00652886">
      <w:pPr>
        <w:spacing w:before="240"/>
        <w:rPr>
          <w:sz w:val="20"/>
          <w:lang w:val="fr-CH"/>
        </w:rPr>
      </w:pPr>
      <w:r w:rsidRPr="00652886">
        <w:rPr>
          <w:sz w:val="20"/>
          <w:lang w:val="fr-CH"/>
        </w:rPr>
        <w:t>Le rôle du Secteur des radiocommunications est d’assurer l’utilisation rationnelle, équitable, efficace et économique du spectre radioélectrique par tous les services de radiocommunication, y compris les services par satellite, et de procéder à des études pour toutes les gammes de fréquences, à partir desquelles les Recommandations seront élaborées et adoptées.</w:t>
      </w:r>
    </w:p>
    <w:p w14:paraId="79E1938C" w14:textId="77777777" w:rsidR="00652886" w:rsidRPr="00652886" w:rsidRDefault="00652886" w:rsidP="00652886">
      <w:pPr>
        <w:rPr>
          <w:sz w:val="20"/>
          <w:lang w:val="fr-CH"/>
        </w:rPr>
      </w:pPr>
      <w:r w:rsidRPr="00652886">
        <w:rPr>
          <w:sz w:val="20"/>
          <w:lang w:val="fr-CH"/>
        </w:rPr>
        <w:t>Les fonctions réglementaires et politiques du Secteur des radiocommunications sont remplies par les Conférences mondiales et régionales des radiocommunications et par les Assemblées des radiocommunications assistées par les Commissions d’études.</w:t>
      </w:r>
    </w:p>
    <w:p w14:paraId="5DE66D26" w14:textId="77777777" w:rsidR="00652886" w:rsidRPr="00652886" w:rsidRDefault="00652886" w:rsidP="00652886">
      <w:pPr>
        <w:pStyle w:val="Heading1"/>
        <w:spacing w:before="360"/>
        <w:jc w:val="center"/>
        <w:rPr>
          <w:szCs w:val="24"/>
          <w:lang w:val="fr-CH"/>
        </w:rPr>
      </w:pPr>
      <w:r w:rsidRPr="00652886">
        <w:rPr>
          <w:szCs w:val="24"/>
          <w:lang w:val="fr-CH"/>
        </w:rPr>
        <w:t>Politique en matière de droits de propriété intellectuelle (IPR)</w:t>
      </w:r>
    </w:p>
    <w:p w14:paraId="6BF63E6B" w14:textId="77777777" w:rsidR="00652886" w:rsidRPr="00E44CBB" w:rsidRDefault="00652886" w:rsidP="00652886">
      <w:pPr>
        <w:spacing w:before="240"/>
        <w:rPr>
          <w:sz w:val="20"/>
          <w:lang w:val="fr-CH"/>
        </w:rPr>
      </w:pPr>
      <w:r w:rsidRPr="00652886">
        <w:rPr>
          <w:sz w:val="20"/>
          <w:lang w:val="fr-CH"/>
        </w:rPr>
        <w:t>La politique de l'UIT</w:t>
      </w:r>
      <w:r w:rsidRPr="00652886">
        <w:rPr>
          <w:sz w:val="20"/>
          <w:lang w:val="fr-CH"/>
        </w:rPr>
        <w:noBreakHyphen/>
        <w:t>R en matière de droits de propriété intellectuelle est décrite dans la</w:t>
      </w:r>
      <w:proofErr w:type="gramStart"/>
      <w:r w:rsidRPr="00652886">
        <w:rPr>
          <w:sz w:val="20"/>
          <w:lang w:val="fr-CH"/>
        </w:rPr>
        <w:t xml:space="preserve"> </w:t>
      </w:r>
      <w:r w:rsidRPr="00E44CBB">
        <w:rPr>
          <w:sz w:val="20"/>
          <w:lang w:val="fr-CH"/>
        </w:rPr>
        <w:t>«Politique</w:t>
      </w:r>
      <w:proofErr w:type="gramEnd"/>
      <w:r w:rsidRPr="00E44CBB">
        <w:rPr>
          <w:sz w:val="20"/>
          <w:lang w:val="fr-CH"/>
        </w:rPr>
        <w:t xml:space="preserve"> commune de l'UIT</w:t>
      </w:r>
      <w:r w:rsidRPr="00E44CBB">
        <w:rPr>
          <w:sz w:val="20"/>
          <w:lang w:val="fr-CH"/>
        </w:rPr>
        <w:noBreakHyphen/>
        <w:t>T, l'UIT</w:t>
      </w:r>
      <w:r w:rsidRPr="00E44CBB">
        <w:rPr>
          <w:sz w:val="20"/>
          <w:lang w:val="fr-CH"/>
        </w:rPr>
        <w:noBreakHyphen/>
        <w:t xml:space="preserve">R, l'ISO et la CEI en matière de brevets», dont il est question dans la Résolution UIT-R 1. </w:t>
      </w:r>
      <w:r w:rsidRPr="00652886">
        <w:rPr>
          <w:sz w:val="20"/>
          <w:lang w:val="fr-CH"/>
        </w:rPr>
        <w:t xml:space="preserve">Les formulaires que les titulaires de brevets doivent utiliser pour soumettre les déclarations de brevet et d'octroi de licence sont accessibles à l'adresse </w:t>
      </w:r>
      <w:hyperlink r:id="rId9" w:history="1">
        <w:r w:rsidRPr="00652886">
          <w:rPr>
            <w:rStyle w:val="Hyperlink"/>
            <w:sz w:val="20"/>
            <w:lang w:val="fr-CH"/>
          </w:rPr>
          <w:t>http://www.itu.int/ITU-R/go/patents/fr</w:t>
        </w:r>
      </w:hyperlink>
      <w:r w:rsidRPr="00652886">
        <w:rPr>
          <w:sz w:val="20"/>
          <w:lang w:val="fr-CH"/>
        </w:rPr>
        <w:t xml:space="preserve">, où l'on trouvera également les Lignes directrices pour la mise en </w:t>
      </w:r>
      <w:proofErr w:type="spellStart"/>
      <w:r w:rsidRPr="00652886">
        <w:rPr>
          <w:sz w:val="20"/>
          <w:lang w:val="fr-CH"/>
        </w:rPr>
        <w:t>oeuvre</w:t>
      </w:r>
      <w:proofErr w:type="spellEnd"/>
      <w:r w:rsidRPr="00652886">
        <w:rPr>
          <w:sz w:val="20"/>
          <w:lang w:val="fr-CH"/>
        </w:rPr>
        <w:t xml:space="preserve"> de la politique commune en matière de brevets de l'UIT</w:t>
      </w:r>
      <w:r w:rsidRPr="00652886">
        <w:rPr>
          <w:sz w:val="20"/>
          <w:lang w:val="fr-CH"/>
        </w:rPr>
        <w:noBreakHyphen/>
        <w:t>T, l'UIT</w:t>
      </w:r>
      <w:r w:rsidRPr="00652886">
        <w:rPr>
          <w:sz w:val="20"/>
          <w:lang w:val="fr-CH"/>
        </w:rPr>
        <w:noBreakHyphen/>
        <w:t>R, l'ISO et la CEI</w:t>
      </w:r>
      <w:r w:rsidRPr="00652886" w:rsidDel="0061025C">
        <w:rPr>
          <w:sz w:val="20"/>
          <w:lang w:val="fr-CH"/>
        </w:rPr>
        <w:t xml:space="preserve"> </w:t>
      </w:r>
      <w:r w:rsidRPr="00652886">
        <w:rPr>
          <w:sz w:val="20"/>
          <w:lang w:val="fr-CH"/>
        </w:rPr>
        <w:t>et la base de données en matière de brevets de l'UIT-R.</w:t>
      </w:r>
    </w:p>
    <w:p w14:paraId="60C57320" w14:textId="77777777" w:rsidR="00652886" w:rsidRPr="0086089D" w:rsidRDefault="00652886" w:rsidP="00652886">
      <w:pPr>
        <w:spacing w:before="240"/>
        <w:jc w:val="center"/>
        <w:rPr>
          <w:sz w:val="22"/>
          <w:lang w:val="fr-CH"/>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652886" w:rsidRPr="00652886" w14:paraId="70D4D71E" w14:textId="77777777" w:rsidTr="004611C7">
        <w:tc>
          <w:tcPr>
            <w:tcW w:w="9360" w:type="dxa"/>
            <w:gridSpan w:val="2"/>
          </w:tcPr>
          <w:p w14:paraId="11DE6DF7" w14:textId="77777777" w:rsidR="00652886" w:rsidRPr="00652886" w:rsidRDefault="00652886" w:rsidP="004611C7">
            <w:pPr>
              <w:pStyle w:val="Chaptitle"/>
              <w:keepLines w:val="0"/>
              <w:tabs>
                <w:tab w:val="clear" w:pos="794"/>
                <w:tab w:val="clear" w:pos="1191"/>
                <w:tab w:val="clear" w:pos="1588"/>
                <w:tab w:val="clear" w:pos="1985"/>
              </w:tabs>
              <w:overflowPunct/>
              <w:spacing w:before="140"/>
              <w:textAlignment w:val="auto"/>
              <w:rPr>
                <w:sz w:val="22"/>
                <w:szCs w:val="22"/>
                <w:lang w:val="fr-CH"/>
              </w:rPr>
            </w:pPr>
            <w:r w:rsidRPr="00652886">
              <w:rPr>
                <w:sz w:val="22"/>
                <w:szCs w:val="22"/>
                <w:lang w:val="fr-CH"/>
              </w:rPr>
              <w:t xml:space="preserve">Séries des Recommandations UIT-R </w:t>
            </w:r>
          </w:p>
          <w:p w14:paraId="1D2D6051" w14:textId="77777777" w:rsidR="00652886" w:rsidRPr="00652886" w:rsidRDefault="00652886" w:rsidP="004611C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fr-CH"/>
              </w:rPr>
            </w:pPr>
            <w:r w:rsidRPr="00652886">
              <w:rPr>
                <w:b w:val="0"/>
                <w:sz w:val="18"/>
                <w:szCs w:val="18"/>
                <w:lang w:val="fr-CH"/>
              </w:rPr>
              <w:t>(</w:t>
            </w:r>
            <w:proofErr w:type="spellStart"/>
            <w:r w:rsidRPr="00652886">
              <w:rPr>
                <w:b w:val="0"/>
                <w:sz w:val="18"/>
                <w:szCs w:val="18"/>
                <w:lang w:val="fr-CH"/>
              </w:rPr>
              <w:t>Egalement</w:t>
            </w:r>
            <w:proofErr w:type="spellEnd"/>
            <w:r w:rsidRPr="00652886">
              <w:rPr>
                <w:b w:val="0"/>
                <w:sz w:val="18"/>
                <w:szCs w:val="18"/>
                <w:lang w:val="fr-CH"/>
              </w:rPr>
              <w:t xml:space="preserve"> disponible en </w:t>
            </w:r>
            <w:proofErr w:type="gramStart"/>
            <w:r w:rsidRPr="00652886">
              <w:rPr>
                <w:b w:val="0"/>
                <w:sz w:val="18"/>
                <w:szCs w:val="18"/>
                <w:lang w:val="fr-CH"/>
              </w:rPr>
              <w:t>ligne:</w:t>
            </w:r>
            <w:proofErr w:type="gramEnd"/>
            <w:r w:rsidRPr="00652886">
              <w:rPr>
                <w:b w:val="0"/>
                <w:sz w:val="18"/>
                <w:szCs w:val="18"/>
                <w:lang w:val="fr-CH"/>
              </w:rPr>
              <w:t xml:space="preserve"> </w:t>
            </w:r>
            <w:hyperlink r:id="rId10" w:history="1">
              <w:r w:rsidRPr="00652886">
                <w:rPr>
                  <w:rStyle w:val="Hyperlink"/>
                  <w:b w:val="0"/>
                  <w:bCs/>
                  <w:sz w:val="18"/>
                  <w:szCs w:val="18"/>
                  <w:lang w:val="fr-CH"/>
                </w:rPr>
                <w:t>https://www.itu.int/publ/R-REC/fr</w:t>
              </w:r>
            </w:hyperlink>
            <w:r w:rsidRPr="00652886">
              <w:rPr>
                <w:b w:val="0"/>
                <w:bCs/>
                <w:sz w:val="18"/>
                <w:szCs w:val="18"/>
                <w:lang w:val="fr-CH"/>
              </w:rPr>
              <w:t>)</w:t>
            </w:r>
          </w:p>
        </w:tc>
      </w:tr>
      <w:tr w:rsidR="00652886" w:rsidRPr="00036EE3" w14:paraId="57CCFD4D" w14:textId="77777777" w:rsidTr="004611C7">
        <w:tc>
          <w:tcPr>
            <w:tcW w:w="1140" w:type="dxa"/>
            <w:tcBorders>
              <w:bottom w:val="nil"/>
            </w:tcBorders>
          </w:tcPr>
          <w:p w14:paraId="304D95FB" w14:textId="77777777" w:rsidR="00652886" w:rsidRPr="00614CC6" w:rsidRDefault="00652886" w:rsidP="004611C7">
            <w:pPr>
              <w:spacing w:before="90" w:after="100"/>
              <w:ind w:left="57"/>
              <w:rPr>
                <w:b/>
                <w:bCs/>
                <w:sz w:val="20"/>
                <w:lang w:val="en-US"/>
              </w:rPr>
            </w:pPr>
            <w:proofErr w:type="spellStart"/>
            <w:r w:rsidRPr="00614CC6">
              <w:rPr>
                <w:b/>
                <w:bCs/>
                <w:sz w:val="20"/>
                <w:lang w:val="en-US"/>
              </w:rPr>
              <w:t>Séries</w:t>
            </w:r>
            <w:proofErr w:type="spellEnd"/>
          </w:p>
        </w:tc>
        <w:tc>
          <w:tcPr>
            <w:tcW w:w="8220" w:type="dxa"/>
            <w:tcBorders>
              <w:bottom w:val="nil"/>
            </w:tcBorders>
          </w:tcPr>
          <w:p w14:paraId="2B7F903B" w14:textId="77777777" w:rsidR="00652886" w:rsidRPr="00614CC6" w:rsidRDefault="00652886" w:rsidP="004611C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90" w:after="100"/>
              <w:rPr>
                <w:bCs/>
                <w:sz w:val="20"/>
                <w:lang w:val="en-US"/>
              </w:rPr>
            </w:pPr>
            <w:proofErr w:type="spellStart"/>
            <w:r w:rsidRPr="00614CC6">
              <w:rPr>
                <w:bCs/>
                <w:sz w:val="20"/>
                <w:lang w:val="en-US"/>
              </w:rPr>
              <w:t>Titre</w:t>
            </w:r>
            <w:proofErr w:type="spellEnd"/>
          </w:p>
        </w:tc>
      </w:tr>
      <w:tr w:rsidR="00652886" w:rsidRPr="005E427C" w14:paraId="5C125738" w14:textId="77777777" w:rsidTr="004611C7">
        <w:tc>
          <w:tcPr>
            <w:tcW w:w="1140" w:type="dxa"/>
            <w:tcBorders>
              <w:top w:val="nil"/>
              <w:bottom w:val="nil"/>
            </w:tcBorders>
            <w:shd w:val="clear" w:color="auto" w:fill="auto"/>
          </w:tcPr>
          <w:p w14:paraId="6E1E52F4" w14:textId="77777777" w:rsidR="00652886" w:rsidRPr="008E50E5" w:rsidRDefault="00652886" w:rsidP="004611C7">
            <w:pPr>
              <w:spacing w:before="30" w:after="30"/>
              <w:ind w:left="57"/>
              <w:jc w:val="left"/>
              <w:rPr>
                <w:rFonts w:ascii="Times New Roman Bold" w:hAnsi="Times New Roman Bold"/>
                <w:b/>
                <w:bCs/>
                <w:sz w:val="20"/>
                <w:lang w:val="en-US"/>
              </w:rPr>
            </w:pPr>
            <w:r w:rsidRPr="008E50E5">
              <w:rPr>
                <w:rFonts w:ascii="Times New Roman Bold" w:hAnsi="Times New Roman Bold"/>
                <w:b/>
                <w:bCs/>
                <w:sz w:val="20"/>
                <w:lang w:val="en-US"/>
              </w:rPr>
              <w:t>BO</w:t>
            </w:r>
          </w:p>
        </w:tc>
        <w:tc>
          <w:tcPr>
            <w:tcW w:w="8220" w:type="dxa"/>
            <w:tcBorders>
              <w:top w:val="nil"/>
              <w:bottom w:val="nil"/>
            </w:tcBorders>
            <w:shd w:val="clear" w:color="auto" w:fill="auto"/>
          </w:tcPr>
          <w:p w14:paraId="1C614EA2" w14:textId="77777777" w:rsidR="00652886" w:rsidRPr="00A66700" w:rsidRDefault="00652886" w:rsidP="004611C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Diffusion par satellite</w:t>
            </w:r>
          </w:p>
        </w:tc>
      </w:tr>
      <w:tr w:rsidR="00652886" w:rsidRPr="00652886" w14:paraId="45F33FE5" w14:textId="77777777" w:rsidTr="004611C7">
        <w:tc>
          <w:tcPr>
            <w:tcW w:w="1140" w:type="dxa"/>
            <w:tcBorders>
              <w:top w:val="nil"/>
              <w:bottom w:val="nil"/>
            </w:tcBorders>
          </w:tcPr>
          <w:p w14:paraId="46A8EC4A" w14:textId="77777777" w:rsidR="00652886" w:rsidRPr="00A66700" w:rsidRDefault="00652886" w:rsidP="004611C7">
            <w:pPr>
              <w:spacing w:before="30" w:after="30"/>
              <w:ind w:left="57"/>
              <w:jc w:val="left"/>
              <w:rPr>
                <w:rFonts w:ascii="Times New Roman Bold" w:hAnsi="Times New Roman Bold"/>
                <w:b/>
                <w:bCs/>
                <w:sz w:val="20"/>
                <w:lang w:val="en-US"/>
              </w:rPr>
            </w:pPr>
            <w:r w:rsidRPr="00A66700">
              <w:rPr>
                <w:rFonts w:ascii="Times New Roman Bold" w:hAnsi="Times New Roman Bold"/>
                <w:b/>
                <w:bCs/>
                <w:sz w:val="20"/>
                <w:lang w:val="en-US"/>
              </w:rPr>
              <w:t>BR</w:t>
            </w:r>
          </w:p>
        </w:tc>
        <w:tc>
          <w:tcPr>
            <w:tcW w:w="8220" w:type="dxa"/>
            <w:tcBorders>
              <w:top w:val="nil"/>
              <w:bottom w:val="nil"/>
            </w:tcBorders>
          </w:tcPr>
          <w:p w14:paraId="597DB0C4" w14:textId="77777777" w:rsidR="00652886" w:rsidRPr="00652886" w:rsidRDefault="00652886" w:rsidP="004611C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CH"/>
              </w:rPr>
            </w:pPr>
            <w:r w:rsidRPr="00652886">
              <w:rPr>
                <w:b w:val="0"/>
                <w:sz w:val="20"/>
                <w:lang w:val="fr-CH"/>
              </w:rPr>
              <w:t xml:space="preserve">Enregistrement pour la production, l'archivage et la </w:t>
            </w:r>
            <w:proofErr w:type="gramStart"/>
            <w:r w:rsidRPr="00652886">
              <w:rPr>
                <w:b w:val="0"/>
                <w:sz w:val="20"/>
                <w:lang w:val="fr-CH"/>
              </w:rPr>
              <w:t>diffusion;</w:t>
            </w:r>
            <w:proofErr w:type="gramEnd"/>
            <w:r w:rsidRPr="00652886">
              <w:rPr>
                <w:b w:val="0"/>
                <w:sz w:val="20"/>
                <w:lang w:val="fr-CH"/>
              </w:rPr>
              <w:t xml:space="preserve"> films pour la télévision</w:t>
            </w:r>
          </w:p>
        </w:tc>
      </w:tr>
      <w:tr w:rsidR="00652886" w:rsidRPr="00E80F1D" w14:paraId="71FA2EA8" w14:textId="77777777" w:rsidTr="004611C7">
        <w:tc>
          <w:tcPr>
            <w:tcW w:w="1140" w:type="dxa"/>
            <w:tcBorders>
              <w:top w:val="nil"/>
              <w:bottom w:val="nil"/>
            </w:tcBorders>
            <w:shd w:val="clear" w:color="auto" w:fill="auto"/>
          </w:tcPr>
          <w:p w14:paraId="1FE7153A" w14:textId="77777777" w:rsidR="00652886" w:rsidRPr="003B409A" w:rsidRDefault="00652886" w:rsidP="004611C7">
            <w:pPr>
              <w:spacing w:before="30" w:after="30"/>
              <w:ind w:left="57"/>
              <w:jc w:val="left"/>
              <w:rPr>
                <w:b/>
                <w:bCs/>
                <w:sz w:val="20"/>
                <w:lang w:val="en-US"/>
              </w:rPr>
            </w:pPr>
            <w:r w:rsidRPr="003B409A">
              <w:rPr>
                <w:b/>
                <w:bCs/>
                <w:sz w:val="20"/>
                <w:lang w:val="en-US"/>
              </w:rPr>
              <w:t>BS</w:t>
            </w:r>
          </w:p>
        </w:tc>
        <w:tc>
          <w:tcPr>
            <w:tcW w:w="8220" w:type="dxa"/>
            <w:tcBorders>
              <w:top w:val="nil"/>
              <w:bottom w:val="nil"/>
            </w:tcBorders>
            <w:shd w:val="clear" w:color="auto" w:fill="auto"/>
          </w:tcPr>
          <w:p w14:paraId="7F260E29" w14:textId="77777777" w:rsidR="00652886" w:rsidRPr="003B409A" w:rsidRDefault="00652886" w:rsidP="004611C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3B409A">
              <w:rPr>
                <w:b w:val="0"/>
                <w:sz w:val="20"/>
              </w:rPr>
              <w:t xml:space="preserve">Service de </w:t>
            </w:r>
            <w:proofErr w:type="spellStart"/>
            <w:r w:rsidRPr="003B409A">
              <w:rPr>
                <w:b w:val="0"/>
                <w:sz w:val="20"/>
              </w:rPr>
              <w:t>radiodiffusion</w:t>
            </w:r>
            <w:proofErr w:type="spellEnd"/>
            <w:r w:rsidRPr="003B409A">
              <w:rPr>
                <w:b w:val="0"/>
                <w:sz w:val="20"/>
              </w:rPr>
              <w:t xml:space="preserve"> </w:t>
            </w:r>
            <w:proofErr w:type="spellStart"/>
            <w:r w:rsidRPr="003B409A">
              <w:rPr>
                <w:b w:val="0"/>
                <w:sz w:val="20"/>
              </w:rPr>
              <w:t>sonore</w:t>
            </w:r>
            <w:proofErr w:type="spellEnd"/>
          </w:p>
        </w:tc>
      </w:tr>
      <w:tr w:rsidR="00652886" w:rsidRPr="00ED2695" w14:paraId="3AA43331" w14:textId="77777777" w:rsidTr="004611C7">
        <w:tc>
          <w:tcPr>
            <w:tcW w:w="1140" w:type="dxa"/>
            <w:tcBorders>
              <w:top w:val="nil"/>
              <w:bottom w:val="nil"/>
            </w:tcBorders>
            <w:shd w:val="clear" w:color="auto" w:fill="auto"/>
          </w:tcPr>
          <w:p w14:paraId="25DCD54C" w14:textId="77777777" w:rsidR="00652886" w:rsidRPr="00614CC6" w:rsidRDefault="00652886" w:rsidP="004611C7">
            <w:pPr>
              <w:spacing w:before="30" w:after="30"/>
              <w:ind w:left="57"/>
              <w:jc w:val="left"/>
              <w:rPr>
                <w:b/>
                <w:bCs/>
                <w:sz w:val="20"/>
                <w:lang w:val="en-US"/>
              </w:rPr>
            </w:pPr>
            <w:r w:rsidRPr="00614CC6">
              <w:rPr>
                <w:b/>
                <w:bCs/>
                <w:sz w:val="20"/>
                <w:lang w:val="en-US"/>
              </w:rPr>
              <w:t>BT</w:t>
            </w:r>
          </w:p>
        </w:tc>
        <w:tc>
          <w:tcPr>
            <w:tcW w:w="8220" w:type="dxa"/>
            <w:tcBorders>
              <w:top w:val="nil"/>
              <w:bottom w:val="nil"/>
            </w:tcBorders>
            <w:shd w:val="clear" w:color="auto" w:fill="auto"/>
          </w:tcPr>
          <w:p w14:paraId="23EF9E9A" w14:textId="77777777" w:rsidR="00652886" w:rsidRPr="00A66700" w:rsidRDefault="00652886" w:rsidP="004611C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 xml:space="preserve">Service de </w:t>
            </w:r>
            <w:proofErr w:type="spellStart"/>
            <w:r w:rsidRPr="00A66700">
              <w:rPr>
                <w:b w:val="0"/>
                <w:sz w:val="20"/>
              </w:rPr>
              <w:t>radiodiffusion</w:t>
            </w:r>
            <w:proofErr w:type="spellEnd"/>
            <w:r w:rsidRPr="00A66700">
              <w:rPr>
                <w:b w:val="0"/>
                <w:sz w:val="20"/>
              </w:rPr>
              <w:t xml:space="preserve"> </w:t>
            </w:r>
            <w:proofErr w:type="spellStart"/>
            <w:r w:rsidRPr="00A66700">
              <w:rPr>
                <w:b w:val="0"/>
                <w:sz w:val="20"/>
              </w:rPr>
              <w:t>télévisuelle</w:t>
            </w:r>
            <w:proofErr w:type="spellEnd"/>
          </w:p>
        </w:tc>
      </w:tr>
      <w:tr w:rsidR="00652886" w:rsidRPr="00DE5EA2" w14:paraId="3CD69E53" w14:textId="77777777" w:rsidTr="004611C7">
        <w:tc>
          <w:tcPr>
            <w:tcW w:w="1140" w:type="dxa"/>
            <w:tcBorders>
              <w:top w:val="nil"/>
              <w:bottom w:val="nil"/>
            </w:tcBorders>
            <w:shd w:val="clear" w:color="auto" w:fill="FFFFFF" w:themeFill="background1"/>
          </w:tcPr>
          <w:p w14:paraId="484CAFF3" w14:textId="77777777" w:rsidR="00652886" w:rsidRPr="00BC3C85" w:rsidRDefault="00652886" w:rsidP="004611C7">
            <w:pPr>
              <w:spacing w:before="30" w:after="30"/>
              <w:ind w:left="57"/>
              <w:jc w:val="left"/>
              <w:rPr>
                <w:rFonts w:ascii="Times New Roman Bold" w:hAnsi="Times New Roman Bold"/>
                <w:b/>
                <w:bCs/>
                <w:sz w:val="20"/>
                <w:lang w:val="fr-CH"/>
              </w:rPr>
            </w:pPr>
            <w:r w:rsidRPr="00BC3C85">
              <w:rPr>
                <w:rFonts w:ascii="Times New Roman Bold" w:hAnsi="Times New Roman Bold"/>
                <w:b/>
                <w:bCs/>
                <w:sz w:val="20"/>
                <w:lang w:val="fr-CH"/>
              </w:rPr>
              <w:t>F</w:t>
            </w:r>
          </w:p>
        </w:tc>
        <w:tc>
          <w:tcPr>
            <w:tcW w:w="8220" w:type="dxa"/>
            <w:tcBorders>
              <w:top w:val="nil"/>
              <w:bottom w:val="nil"/>
            </w:tcBorders>
            <w:shd w:val="clear" w:color="auto" w:fill="FFFFFF" w:themeFill="background1"/>
          </w:tcPr>
          <w:p w14:paraId="4106CC41" w14:textId="77777777" w:rsidR="00652886" w:rsidRPr="00BC3C85" w:rsidRDefault="00652886" w:rsidP="004611C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BC3C85">
              <w:rPr>
                <w:b w:val="0"/>
                <w:sz w:val="20"/>
              </w:rPr>
              <w:t>Service fixe</w:t>
            </w:r>
          </w:p>
        </w:tc>
      </w:tr>
      <w:tr w:rsidR="00652886" w:rsidRPr="00652886" w14:paraId="791D03AF" w14:textId="77777777" w:rsidTr="004611C7">
        <w:tc>
          <w:tcPr>
            <w:tcW w:w="1140" w:type="dxa"/>
            <w:tcBorders>
              <w:top w:val="nil"/>
              <w:bottom w:val="nil"/>
            </w:tcBorders>
            <w:shd w:val="clear" w:color="auto" w:fill="F3F3F3"/>
          </w:tcPr>
          <w:p w14:paraId="10849F49" w14:textId="77777777" w:rsidR="00652886" w:rsidRPr="00BC3C85" w:rsidRDefault="00652886" w:rsidP="004611C7">
            <w:pPr>
              <w:spacing w:before="30" w:after="30"/>
              <w:ind w:left="57"/>
              <w:jc w:val="left"/>
              <w:rPr>
                <w:b/>
                <w:bCs/>
                <w:color w:val="000080"/>
                <w:sz w:val="20"/>
                <w:lang w:val="en-US"/>
              </w:rPr>
            </w:pPr>
            <w:r w:rsidRPr="00BC3C85">
              <w:rPr>
                <w:b/>
                <w:bCs/>
                <w:color w:val="000080"/>
                <w:sz w:val="20"/>
                <w:lang w:val="en-US"/>
              </w:rPr>
              <w:t>M</w:t>
            </w:r>
          </w:p>
        </w:tc>
        <w:tc>
          <w:tcPr>
            <w:tcW w:w="8220" w:type="dxa"/>
            <w:tcBorders>
              <w:top w:val="nil"/>
              <w:bottom w:val="nil"/>
            </w:tcBorders>
            <w:shd w:val="clear" w:color="auto" w:fill="F3F3F3"/>
          </w:tcPr>
          <w:p w14:paraId="4ADF71C9" w14:textId="77777777" w:rsidR="00652886" w:rsidRPr="00652886" w:rsidRDefault="00652886" w:rsidP="004611C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ascii="Times New Roman Bold" w:hAnsi="Times New Roman Bold"/>
                <w:color w:val="000080"/>
                <w:sz w:val="20"/>
                <w:lang w:val="fr-CH"/>
              </w:rPr>
            </w:pPr>
            <w:proofErr w:type="gramStart"/>
            <w:r w:rsidRPr="00652886">
              <w:rPr>
                <w:rFonts w:ascii="Times New Roman Bold" w:hAnsi="Times New Roman Bold"/>
                <w:color w:val="000080"/>
                <w:sz w:val="20"/>
                <w:lang w:val="fr-CH"/>
              </w:rPr>
              <w:t>Services mobile</w:t>
            </w:r>
            <w:proofErr w:type="gramEnd"/>
            <w:r w:rsidRPr="00652886">
              <w:rPr>
                <w:rFonts w:ascii="Times New Roman Bold" w:hAnsi="Times New Roman Bold"/>
                <w:color w:val="000080"/>
                <w:sz w:val="20"/>
                <w:lang w:val="fr-CH"/>
              </w:rPr>
              <w:t>, de radiorepérage et d'amateur y compris les services par satellite associés</w:t>
            </w:r>
          </w:p>
        </w:tc>
      </w:tr>
      <w:tr w:rsidR="00652886" w:rsidRPr="00EC361D" w14:paraId="250402E4" w14:textId="77777777" w:rsidTr="004611C7">
        <w:tc>
          <w:tcPr>
            <w:tcW w:w="1140" w:type="dxa"/>
            <w:tcBorders>
              <w:top w:val="nil"/>
              <w:bottom w:val="nil"/>
            </w:tcBorders>
            <w:shd w:val="clear" w:color="auto" w:fill="auto"/>
          </w:tcPr>
          <w:p w14:paraId="69233E58" w14:textId="77777777" w:rsidR="00652886" w:rsidRPr="00EC361D" w:rsidRDefault="00652886" w:rsidP="004611C7">
            <w:pPr>
              <w:spacing w:before="30" w:after="30"/>
              <w:ind w:left="57"/>
              <w:jc w:val="left"/>
              <w:rPr>
                <w:b/>
                <w:bCs/>
                <w:sz w:val="20"/>
                <w:lang w:val="fr-CH"/>
              </w:rPr>
            </w:pPr>
            <w:r w:rsidRPr="00EC361D">
              <w:rPr>
                <w:b/>
                <w:bCs/>
                <w:sz w:val="20"/>
                <w:lang w:val="fr-CH"/>
              </w:rPr>
              <w:t>P</w:t>
            </w:r>
          </w:p>
        </w:tc>
        <w:tc>
          <w:tcPr>
            <w:tcW w:w="8220" w:type="dxa"/>
            <w:tcBorders>
              <w:top w:val="nil"/>
              <w:bottom w:val="nil"/>
            </w:tcBorders>
            <w:shd w:val="clear" w:color="auto" w:fill="auto"/>
          </w:tcPr>
          <w:p w14:paraId="081B93DC" w14:textId="77777777" w:rsidR="00652886" w:rsidRPr="00A66700" w:rsidRDefault="00652886" w:rsidP="004611C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 xml:space="preserve">Propagation des </w:t>
            </w:r>
            <w:proofErr w:type="spellStart"/>
            <w:r w:rsidRPr="00A66700">
              <w:rPr>
                <w:b w:val="0"/>
                <w:sz w:val="20"/>
              </w:rPr>
              <w:t>ondes</w:t>
            </w:r>
            <w:proofErr w:type="spellEnd"/>
            <w:r w:rsidRPr="00A66700">
              <w:rPr>
                <w:b w:val="0"/>
                <w:sz w:val="20"/>
              </w:rPr>
              <w:t xml:space="preserve"> </w:t>
            </w:r>
            <w:proofErr w:type="spellStart"/>
            <w:r w:rsidRPr="00A66700">
              <w:rPr>
                <w:b w:val="0"/>
                <w:sz w:val="20"/>
              </w:rPr>
              <w:t>radioélectriques</w:t>
            </w:r>
            <w:proofErr w:type="spellEnd"/>
          </w:p>
        </w:tc>
      </w:tr>
      <w:tr w:rsidR="00652886" w:rsidRPr="004822EF" w14:paraId="04FE6DA0" w14:textId="77777777" w:rsidTr="004611C7">
        <w:tc>
          <w:tcPr>
            <w:tcW w:w="1140" w:type="dxa"/>
            <w:tcBorders>
              <w:top w:val="nil"/>
              <w:bottom w:val="nil"/>
            </w:tcBorders>
            <w:shd w:val="clear" w:color="auto" w:fill="auto"/>
          </w:tcPr>
          <w:p w14:paraId="25EF9F80" w14:textId="77777777" w:rsidR="00652886" w:rsidRPr="004822EF" w:rsidRDefault="00652886" w:rsidP="004611C7">
            <w:pPr>
              <w:spacing w:before="30" w:after="30"/>
              <w:ind w:left="57"/>
              <w:jc w:val="left"/>
              <w:rPr>
                <w:b/>
                <w:bCs/>
                <w:sz w:val="20"/>
                <w:lang w:val="en-US"/>
              </w:rPr>
            </w:pPr>
            <w:r w:rsidRPr="004822EF">
              <w:rPr>
                <w:b/>
                <w:bCs/>
                <w:sz w:val="20"/>
                <w:lang w:val="en-US"/>
              </w:rPr>
              <w:t>RA</w:t>
            </w:r>
          </w:p>
        </w:tc>
        <w:tc>
          <w:tcPr>
            <w:tcW w:w="8220" w:type="dxa"/>
            <w:tcBorders>
              <w:top w:val="nil"/>
              <w:bottom w:val="nil"/>
            </w:tcBorders>
            <w:shd w:val="clear" w:color="auto" w:fill="auto"/>
          </w:tcPr>
          <w:p w14:paraId="74C6AD97" w14:textId="77777777" w:rsidR="00652886" w:rsidRPr="00A66700" w:rsidRDefault="00652886" w:rsidP="004611C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 xml:space="preserve">Radio </w:t>
            </w:r>
            <w:proofErr w:type="spellStart"/>
            <w:r w:rsidRPr="00A66700">
              <w:rPr>
                <w:b w:val="0"/>
                <w:sz w:val="20"/>
              </w:rPr>
              <w:t>astronomie</w:t>
            </w:r>
            <w:proofErr w:type="spellEnd"/>
          </w:p>
        </w:tc>
      </w:tr>
      <w:tr w:rsidR="00652886" w:rsidRPr="00326525" w14:paraId="57A8BE20" w14:textId="77777777" w:rsidTr="004611C7">
        <w:tc>
          <w:tcPr>
            <w:tcW w:w="1140" w:type="dxa"/>
            <w:tcBorders>
              <w:top w:val="nil"/>
              <w:bottom w:val="nil"/>
            </w:tcBorders>
            <w:shd w:val="clear" w:color="auto" w:fill="auto"/>
          </w:tcPr>
          <w:p w14:paraId="2FC038AA" w14:textId="77777777" w:rsidR="00652886" w:rsidRPr="00326525" w:rsidRDefault="00652886" w:rsidP="004611C7">
            <w:pPr>
              <w:spacing w:before="30" w:after="30"/>
              <w:ind w:left="57"/>
              <w:jc w:val="left"/>
              <w:rPr>
                <w:b/>
                <w:bCs/>
                <w:sz w:val="20"/>
                <w:lang w:val="en-US"/>
              </w:rPr>
            </w:pPr>
            <w:r w:rsidRPr="00326525">
              <w:rPr>
                <w:b/>
                <w:bCs/>
                <w:sz w:val="20"/>
                <w:lang w:val="en-US"/>
              </w:rPr>
              <w:t>RS</w:t>
            </w:r>
          </w:p>
        </w:tc>
        <w:tc>
          <w:tcPr>
            <w:tcW w:w="8220" w:type="dxa"/>
            <w:tcBorders>
              <w:top w:val="nil"/>
              <w:bottom w:val="nil"/>
            </w:tcBorders>
            <w:shd w:val="clear" w:color="auto" w:fill="auto"/>
          </w:tcPr>
          <w:p w14:paraId="7C4AABAB" w14:textId="77777777" w:rsidR="00652886" w:rsidRPr="00A66700" w:rsidRDefault="00652886" w:rsidP="004611C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proofErr w:type="spellStart"/>
            <w:r w:rsidRPr="00A66700">
              <w:rPr>
                <w:b w:val="0"/>
                <w:sz w:val="20"/>
              </w:rPr>
              <w:t>Systèmes</w:t>
            </w:r>
            <w:proofErr w:type="spellEnd"/>
            <w:r w:rsidRPr="00A66700">
              <w:rPr>
                <w:b w:val="0"/>
                <w:sz w:val="20"/>
              </w:rPr>
              <w:t xml:space="preserve"> de </w:t>
            </w:r>
            <w:proofErr w:type="spellStart"/>
            <w:r w:rsidRPr="00A66700">
              <w:rPr>
                <w:b w:val="0"/>
                <w:sz w:val="20"/>
              </w:rPr>
              <w:t>télédétection</w:t>
            </w:r>
            <w:proofErr w:type="spellEnd"/>
          </w:p>
        </w:tc>
      </w:tr>
      <w:tr w:rsidR="00652886" w:rsidRPr="00C40D3E" w14:paraId="30DC3705" w14:textId="77777777" w:rsidTr="004611C7">
        <w:tc>
          <w:tcPr>
            <w:tcW w:w="1140" w:type="dxa"/>
            <w:tcBorders>
              <w:top w:val="nil"/>
              <w:bottom w:val="nil"/>
            </w:tcBorders>
            <w:shd w:val="clear" w:color="auto" w:fill="auto"/>
          </w:tcPr>
          <w:p w14:paraId="7F92A6F7" w14:textId="77777777" w:rsidR="00652886" w:rsidRPr="00C40D3E" w:rsidRDefault="00652886" w:rsidP="004611C7">
            <w:pPr>
              <w:spacing w:before="30" w:after="30"/>
              <w:ind w:left="57"/>
              <w:jc w:val="left"/>
              <w:rPr>
                <w:b/>
                <w:bCs/>
                <w:sz w:val="20"/>
                <w:lang w:val="en-US"/>
              </w:rPr>
            </w:pPr>
            <w:r w:rsidRPr="00C40D3E">
              <w:rPr>
                <w:b/>
                <w:bCs/>
                <w:sz w:val="20"/>
                <w:lang w:val="en-US"/>
              </w:rPr>
              <w:t>S</w:t>
            </w:r>
          </w:p>
        </w:tc>
        <w:tc>
          <w:tcPr>
            <w:tcW w:w="8220" w:type="dxa"/>
            <w:tcBorders>
              <w:top w:val="nil"/>
              <w:bottom w:val="nil"/>
            </w:tcBorders>
            <w:shd w:val="clear" w:color="auto" w:fill="auto"/>
          </w:tcPr>
          <w:p w14:paraId="381C4DAA" w14:textId="77777777" w:rsidR="00652886" w:rsidRPr="00A66700" w:rsidRDefault="00652886" w:rsidP="004611C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Service fixe par satellite</w:t>
            </w:r>
          </w:p>
        </w:tc>
      </w:tr>
      <w:tr w:rsidR="00652886" w:rsidRPr="00C40D3E" w14:paraId="7E930830" w14:textId="77777777" w:rsidTr="004611C7">
        <w:tc>
          <w:tcPr>
            <w:tcW w:w="1140" w:type="dxa"/>
            <w:tcBorders>
              <w:top w:val="nil"/>
              <w:bottom w:val="nil"/>
            </w:tcBorders>
            <w:shd w:val="clear" w:color="auto" w:fill="FFFFFF" w:themeFill="background1"/>
          </w:tcPr>
          <w:p w14:paraId="0B378081" w14:textId="77777777" w:rsidR="00652886" w:rsidRPr="004F3F6F" w:rsidRDefault="00652886" w:rsidP="004611C7">
            <w:pPr>
              <w:spacing w:before="30" w:after="30"/>
              <w:ind w:left="57"/>
              <w:jc w:val="left"/>
              <w:rPr>
                <w:rFonts w:ascii="Times New Roman Bold" w:hAnsi="Times New Roman Bold"/>
                <w:b/>
                <w:bCs/>
                <w:sz w:val="20"/>
                <w:lang w:val="en-US"/>
              </w:rPr>
            </w:pPr>
            <w:r w:rsidRPr="004F3F6F">
              <w:rPr>
                <w:rFonts w:ascii="Times New Roman Bold" w:hAnsi="Times New Roman Bold"/>
                <w:b/>
                <w:bCs/>
                <w:sz w:val="20"/>
                <w:lang w:val="en-US"/>
              </w:rPr>
              <w:t>SA</w:t>
            </w:r>
          </w:p>
        </w:tc>
        <w:tc>
          <w:tcPr>
            <w:tcW w:w="8220" w:type="dxa"/>
            <w:tcBorders>
              <w:top w:val="nil"/>
              <w:bottom w:val="nil"/>
            </w:tcBorders>
            <w:shd w:val="clear" w:color="auto" w:fill="FFFFFF" w:themeFill="background1"/>
          </w:tcPr>
          <w:p w14:paraId="6B49857D" w14:textId="77777777" w:rsidR="00652886" w:rsidRPr="00A66700" w:rsidRDefault="00652886" w:rsidP="004611C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 xml:space="preserve">Applications </w:t>
            </w:r>
            <w:proofErr w:type="spellStart"/>
            <w:r w:rsidRPr="00A66700">
              <w:rPr>
                <w:b w:val="0"/>
                <w:sz w:val="20"/>
              </w:rPr>
              <w:t>spatiales</w:t>
            </w:r>
            <w:proofErr w:type="spellEnd"/>
            <w:r w:rsidRPr="00A66700">
              <w:rPr>
                <w:b w:val="0"/>
                <w:sz w:val="20"/>
              </w:rPr>
              <w:t xml:space="preserve"> et </w:t>
            </w:r>
            <w:proofErr w:type="spellStart"/>
            <w:r w:rsidRPr="00A66700">
              <w:rPr>
                <w:b w:val="0"/>
                <w:sz w:val="20"/>
              </w:rPr>
              <w:t>météorologie</w:t>
            </w:r>
            <w:proofErr w:type="spellEnd"/>
          </w:p>
        </w:tc>
      </w:tr>
      <w:tr w:rsidR="00652886" w:rsidRPr="00652886" w14:paraId="2FBA8693" w14:textId="77777777" w:rsidTr="004611C7">
        <w:tc>
          <w:tcPr>
            <w:tcW w:w="1140" w:type="dxa"/>
            <w:tcBorders>
              <w:top w:val="nil"/>
            </w:tcBorders>
          </w:tcPr>
          <w:p w14:paraId="69AE1C56" w14:textId="77777777" w:rsidR="00652886" w:rsidRPr="00614CC6" w:rsidRDefault="00652886" w:rsidP="004611C7">
            <w:pPr>
              <w:spacing w:before="30" w:after="30"/>
              <w:ind w:left="57"/>
              <w:jc w:val="left"/>
              <w:rPr>
                <w:b/>
                <w:bCs/>
                <w:sz w:val="20"/>
                <w:lang w:val="en-US"/>
              </w:rPr>
            </w:pPr>
            <w:r w:rsidRPr="00614CC6">
              <w:rPr>
                <w:b/>
                <w:bCs/>
                <w:sz w:val="20"/>
                <w:lang w:val="en-US"/>
              </w:rPr>
              <w:t>SF</w:t>
            </w:r>
          </w:p>
        </w:tc>
        <w:tc>
          <w:tcPr>
            <w:tcW w:w="8220" w:type="dxa"/>
            <w:tcBorders>
              <w:top w:val="nil"/>
            </w:tcBorders>
          </w:tcPr>
          <w:p w14:paraId="5781F5AB" w14:textId="77777777" w:rsidR="00652886" w:rsidRPr="00652886" w:rsidRDefault="00652886" w:rsidP="004611C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CH"/>
              </w:rPr>
            </w:pPr>
            <w:r w:rsidRPr="00652886">
              <w:rPr>
                <w:b w:val="0"/>
                <w:sz w:val="20"/>
                <w:lang w:val="fr-CH"/>
              </w:rPr>
              <w:t>Partage des fréquences et coordination entre les systèmes du service fixe par satellite et du service fixe</w:t>
            </w:r>
          </w:p>
        </w:tc>
      </w:tr>
      <w:tr w:rsidR="00652886" w:rsidRPr="00036EE3" w14:paraId="54D861D5" w14:textId="77777777" w:rsidTr="004611C7">
        <w:tc>
          <w:tcPr>
            <w:tcW w:w="1140" w:type="dxa"/>
            <w:shd w:val="clear" w:color="auto" w:fill="auto"/>
          </w:tcPr>
          <w:p w14:paraId="21C98CFF" w14:textId="77777777" w:rsidR="00652886" w:rsidRPr="00592F9F" w:rsidRDefault="00652886" w:rsidP="004611C7">
            <w:pPr>
              <w:spacing w:before="30" w:after="30"/>
              <w:ind w:left="57"/>
              <w:jc w:val="left"/>
              <w:rPr>
                <w:b/>
                <w:bCs/>
                <w:sz w:val="20"/>
                <w:lang w:val="en-US"/>
              </w:rPr>
            </w:pPr>
            <w:r w:rsidRPr="00592F9F">
              <w:rPr>
                <w:b/>
                <w:bCs/>
                <w:sz w:val="20"/>
                <w:lang w:val="en-US"/>
              </w:rPr>
              <w:t>SM</w:t>
            </w:r>
          </w:p>
        </w:tc>
        <w:tc>
          <w:tcPr>
            <w:tcW w:w="8220" w:type="dxa"/>
            <w:shd w:val="clear" w:color="auto" w:fill="auto"/>
          </w:tcPr>
          <w:p w14:paraId="4C32D313" w14:textId="77777777" w:rsidR="00652886" w:rsidRPr="00A66700" w:rsidRDefault="00652886" w:rsidP="004611C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Gestion du spectre</w:t>
            </w:r>
          </w:p>
        </w:tc>
      </w:tr>
      <w:tr w:rsidR="00652886" w:rsidRPr="00036EE3" w14:paraId="484F4236" w14:textId="77777777" w:rsidTr="004611C7">
        <w:tc>
          <w:tcPr>
            <w:tcW w:w="1140" w:type="dxa"/>
          </w:tcPr>
          <w:p w14:paraId="0C2E11BB" w14:textId="77777777" w:rsidR="00652886" w:rsidRPr="00614CC6" w:rsidRDefault="00652886" w:rsidP="004611C7">
            <w:pPr>
              <w:spacing w:before="30" w:after="30"/>
              <w:ind w:left="57"/>
              <w:jc w:val="left"/>
              <w:rPr>
                <w:b/>
                <w:bCs/>
                <w:sz w:val="20"/>
                <w:lang w:val="en-US"/>
              </w:rPr>
            </w:pPr>
            <w:r w:rsidRPr="00614CC6">
              <w:rPr>
                <w:b/>
                <w:bCs/>
                <w:sz w:val="20"/>
                <w:lang w:val="en-US"/>
              </w:rPr>
              <w:t>SNG</w:t>
            </w:r>
          </w:p>
        </w:tc>
        <w:tc>
          <w:tcPr>
            <w:tcW w:w="8220" w:type="dxa"/>
          </w:tcPr>
          <w:p w14:paraId="5E6AF53E" w14:textId="77777777" w:rsidR="00652886" w:rsidRPr="00A66700" w:rsidRDefault="00652886" w:rsidP="004611C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 xml:space="preserve">Reportage </w:t>
            </w:r>
            <w:proofErr w:type="spellStart"/>
            <w:r w:rsidRPr="00A66700">
              <w:rPr>
                <w:b w:val="0"/>
                <w:sz w:val="20"/>
              </w:rPr>
              <w:t>d'actualités</w:t>
            </w:r>
            <w:proofErr w:type="spellEnd"/>
            <w:r w:rsidRPr="00A66700">
              <w:rPr>
                <w:b w:val="0"/>
                <w:sz w:val="20"/>
              </w:rPr>
              <w:t xml:space="preserve"> par satellite</w:t>
            </w:r>
          </w:p>
        </w:tc>
      </w:tr>
      <w:tr w:rsidR="00652886" w:rsidRPr="00652886" w14:paraId="32553C7C" w14:textId="77777777" w:rsidTr="004611C7">
        <w:tc>
          <w:tcPr>
            <w:tcW w:w="1140" w:type="dxa"/>
          </w:tcPr>
          <w:p w14:paraId="23ABE0AB" w14:textId="77777777" w:rsidR="00652886" w:rsidRPr="00710A2A" w:rsidRDefault="00652886" w:rsidP="004611C7">
            <w:pPr>
              <w:spacing w:before="30" w:after="30"/>
              <w:ind w:left="57"/>
              <w:jc w:val="left"/>
              <w:rPr>
                <w:rFonts w:ascii="Times New Roman Bold" w:hAnsi="Times New Roman Bold"/>
                <w:b/>
                <w:bCs/>
                <w:sz w:val="20"/>
                <w:lang w:val="en-US"/>
              </w:rPr>
            </w:pPr>
            <w:r w:rsidRPr="00710A2A">
              <w:rPr>
                <w:rFonts w:ascii="Times New Roman Bold" w:hAnsi="Times New Roman Bold"/>
                <w:b/>
                <w:bCs/>
                <w:sz w:val="20"/>
                <w:lang w:val="en-US"/>
              </w:rPr>
              <w:t>TF</w:t>
            </w:r>
          </w:p>
        </w:tc>
        <w:tc>
          <w:tcPr>
            <w:tcW w:w="8220" w:type="dxa"/>
          </w:tcPr>
          <w:p w14:paraId="13D6CBCD" w14:textId="77777777" w:rsidR="00652886" w:rsidRPr="00652886" w:rsidRDefault="00652886" w:rsidP="004611C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CH"/>
              </w:rPr>
            </w:pPr>
            <w:proofErr w:type="spellStart"/>
            <w:r w:rsidRPr="00652886">
              <w:rPr>
                <w:b w:val="0"/>
                <w:sz w:val="20"/>
                <w:lang w:val="fr-CH"/>
              </w:rPr>
              <w:t>Emissions</w:t>
            </w:r>
            <w:proofErr w:type="spellEnd"/>
            <w:r w:rsidRPr="00652886">
              <w:rPr>
                <w:b w:val="0"/>
                <w:sz w:val="20"/>
                <w:lang w:val="fr-CH"/>
              </w:rPr>
              <w:t xml:space="preserve"> de fréquences étalon et de signaux horaires</w:t>
            </w:r>
          </w:p>
        </w:tc>
      </w:tr>
      <w:tr w:rsidR="00652886" w:rsidRPr="00036EE3" w14:paraId="296F39CC" w14:textId="77777777" w:rsidTr="004611C7">
        <w:tc>
          <w:tcPr>
            <w:tcW w:w="1140" w:type="dxa"/>
          </w:tcPr>
          <w:p w14:paraId="0AFE1FB1" w14:textId="77777777" w:rsidR="00652886" w:rsidRPr="00614CC6" w:rsidRDefault="00652886" w:rsidP="004611C7">
            <w:pPr>
              <w:spacing w:before="30" w:after="30"/>
              <w:ind w:left="57"/>
              <w:jc w:val="left"/>
              <w:rPr>
                <w:b/>
                <w:bCs/>
                <w:sz w:val="20"/>
                <w:lang w:val="en-US"/>
              </w:rPr>
            </w:pPr>
            <w:r w:rsidRPr="00614CC6">
              <w:rPr>
                <w:b/>
                <w:bCs/>
                <w:sz w:val="20"/>
                <w:lang w:val="en-US"/>
              </w:rPr>
              <w:t>V</w:t>
            </w:r>
          </w:p>
        </w:tc>
        <w:tc>
          <w:tcPr>
            <w:tcW w:w="8220" w:type="dxa"/>
          </w:tcPr>
          <w:p w14:paraId="52127715" w14:textId="77777777" w:rsidR="00652886" w:rsidRPr="00A66700" w:rsidRDefault="00652886" w:rsidP="004611C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140"/>
              <w:jc w:val="left"/>
              <w:rPr>
                <w:b w:val="0"/>
                <w:sz w:val="20"/>
              </w:rPr>
            </w:pPr>
            <w:proofErr w:type="spellStart"/>
            <w:r w:rsidRPr="00A66700">
              <w:rPr>
                <w:b w:val="0"/>
                <w:sz w:val="20"/>
              </w:rPr>
              <w:t>Vocabulaire</w:t>
            </w:r>
            <w:proofErr w:type="spellEnd"/>
            <w:r w:rsidRPr="00A66700">
              <w:rPr>
                <w:b w:val="0"/>
                <w:sz w:val="20"/>
              </w:rPr>
              <w:t xml:space="preserve"> et </w:t>
            </w:r>
            <w:proofErr w:type="spellStart"/>
            <w:r w:rsidRPr="00A66700">
              <w:rPr>
                <w:b w:val="0"/>
                <w:sz w:val="20"/>
              </w:rPr>
              <w:t>sujets</w:t>
            </w:r>
            <w:proofErr w:type="spellEnd"/>
            <w:r w:rsidRPr="00A66700">
              <w:rPr>
                <w:b w:val="0"/>
                <w:sz w:val="20"/>
              </w:rPr>
              <w:t xml:space="preserve"> </w:t>
            </w:r>
            <w:proofErr w:type="spellStart"/>
            <w:r w:rsidRPr="00A66700">
              <w:rPr>
                <w:b w:val="0"/>
                <w:sz w:val="20"/>
              </w:rPr>
              <w:t>associés</w:t>
            </w:r>
            <w:proofErr w:type="spellEnd"/>
          </w:p>
        </w:tc>
      </w:tr>
    </w:tbl>
    <w:p w14:paraId="2B09006E" w14:textId="77777777" w:rsidR="00652886" w:rsidRPr="00036EE3" w:rsidRDefault="00652886" w:rsidP="00652886">
      <w:pPr>
        <w:spacing w:before="0"/>
        <w:jc w:val="center"/>
        <w:rPr>
          <w:sz w:val="20"/>
          <w:lang w:val="en-US"/>
        </w:rPr>
      </w:pPr>
    </w:p>
    <w:p w14:paraId="13625414" w14:textId="77777777" w:rsidR="00652886" w:rsidRPr="00036EE3" w:rsidRDefault="00652886" w:rsidP="00652886">
      <w:pPr>
        <w:spacing w:before="0"/>
        <w:ind w:left="180"/>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652886" w:rsidRPr="00652886" w14:paraId="4401C058" w14:textId="77777777" w:rsidTr="004611C7">
        <w:tc>
          <w:tcPr>
            <w:tcW w:w="9360" w:type="dxa"/>
          </w:tcPr>
          <w:p w14:paraId="3E404E1F" w14:textId="77777777" w:rsidR="00652886" w:rsidRPr="00652886" w:rsidRDefault="00652886" w:rsidP="004611C7">
            <w:pPr>
              <w:spacing w:before="80" w:after="80"/>
              <w:rPr>
                <w:i/>
                <w:iCs/>
                <w:sz w:val="20"/>
                <w:lang w:val="fr-CH"/>
              </w:rPr>
            </w:pPr>
            <w:proofErr w:type="gramStart"/>
            <w:r w:rsidRPr="00652886">
              <w:rPr>
                <w:b/>
                <w:bCs/>
                <w:i/>
                <w:iCs/>
                <w:sz w:val="20"/>
                <w:lang w:val="fr-CH"/>
              </w:rPr>
              <w:t>Note</w:t>
            </w:r>
            <w:r w:rsidRPr="00652886">
              <w:rPr>
                <w:i/>
                <w:iCs/>
                <w:sz w:val="20"/>
                <w:lang w:val="fr-CH"/>
              </w:rPr>
              <w:t>:</w:t>
            </w:r>
            <w:proofErr w:type="gramEnd"/>
            <w:r w:rsidRPr="00652886">
              <w:rPr>
                <w:i/>
                <w:iCs/>
                <w:sz w:val="20"/>
                <w:lang w:val="fr-CH"/>
              </w:rPr>
              <w:t xml:space="preserve"> Cette Recommandation UIT-R a été approuvée en anglais aux termes de la procédure détaillée dans la Résolution UIT-R 1. </w:t>
            </w:r>
          </w:p>
        </w:tc>
      </w:tr>
    </w:tbl>
    <w:p w14:paraId="123CDBF2" w14:textId="77777777" w:rsidR="00652886" w:rsidRPr="00652886" w:rsidRDefault="00652886" w:rsidP="00652886">
      <w:pPr>
        <w:spacing w:before="0"/>
        <w:jc w:val="center"/>
        <w:rPr>
          <w:sz w:val="22"/>
          <w:lang w:val="fr-CH"/>
        </w:rPr>
      </w:pPr>
    </w:p>
    <w:p w14:paraId="43CE7C93" w14:textId="77777777" w:rsidR="00652886" w:rsidRPr="00652886" w:rsidRDefault="00652886" w:rsidP="00652886">
      <w:pPr>
        <w:spacing w:before="100"/>
        <w:jc w:val="right"/>
        <w:rPr>
          <w:i/>
          <w:iCs/>
          <w:sz w:val="20"/>
          <w:lang w:val="fr-CH"/>
        </w:rPr>
      </w:pPr>
      <w:r w:rsidRPr="00652886">
        <w:rPr>
          <w:i/>
          <w:iCs/>
          <w:sz w:val="20"/>
          <w:lang w:val="fr-CH"/>
        </w:rPr>
        <w:t>Publication électronique</w:t>
      </w:r>
    </w:p>
    <w:p w14:paraId="638DECF1" w14:textId="77777777" w:rsidR="00652886" w:rsidRPr="00652886" w:rsidRDefault="00652886" w:rsidP="00652886">
      <w:pPr>
        <w:spacing w:before="0"/>
        <w:jc w:val="right"/>
        <w:rPr>
          <w:sz w:val="20"/>
          <w:lang w:val="fr-CH"/>
        </w:rPr>
      </w:pPr>
      <w:r w:rsidRPr="00652886">
        <w:rPr>
          <w:sz w:val="20"/>
          <w:lang w:val="fr-CH"/>
        </w:rPr>
        <w:t>Genève, 2023</w:t>
      </w:r>
    </w:p>
    <w:p w14:paraId="56C7B5B6" w14:textId="77777777" w:rsidR="00652886" w:rsidRPr="00652886" w:rsidRDefault="00652886" w:rsidP="00652886">
      <w:pPr>
        <w:spacing w:before="200"/>
        <w:jc w:val="center"/>
        <w:rPr>
          <w:sz w:val="20"/>
          <w:lang w:val="fr-CH"/>
        </w:rPr>
      </w:pPr>
      <w:r w:rsidRPr="00470E28">
        <w:rPr>
          <w:sz w:val="20"/>
          <w:lang w:val="en-US"/>
        </w:rPr>
        <w:sym w:font="Symbol" w:char="F0E3"/>
      </w:r>
      <w:r w:rsidRPr="00652886">
        <w:rPr>
          <w:sz w:val="20"/>
          <w:lang w:val="fr-CH"/>
        </w:rPr>
        <w:t xml:space="preserve"> UIT </w:t>
      </w:r>
      <w:bookmarkStart w:id="1" w:name="iiannee"/>
      <w:bookmarkEnd w:id="1"/>
      <w:r w:rsidRPr="00652886">
        <w:rPr>
          <w:sz w:val="20"/>
          <w:lang w:val="fr-CH"/>
        </w:rPr>
        <w:t>2023</w:t>
      </w:r>
    </w:p>
    <w:p w14:paraId="4692F0FE" w14:textId="77777777" w:rsidR="00652886" w:rsidRPr="00652886" w:rsidRDefault="00652886" w:rsidP="00652886">
      <w:pPr>
        <w:rPr>
          <w:sz w:val="18"/>
          <w:szCs w:val="18"/>
          <w:lang w:val="fr-CH"/>
        </w:rPr>
      </w:pPr>
      <w:r w:rsidRPr="00652886">
        <w:rPr>
          <w:sz w:val="18"/>
          <w:szCs w:val="18"/>
          <w:lang w:val="fr-CH"/>
        </w:rPr>
        <w:t>Tous droits réservés. Aucune partie de cette publication ne peut être reproduite, par quelque procédé que ce soit, sans l’accord écrit préalable de l’UIT.</w:t>
      </w:r>
    </w:p>
    <w:p w14:paraId="0E340D01" w14:textId="77777777" w:rsidR="00652886" w:rsidRPr="00652886" w:rsidRDefault="00652886" w:rsidP="00652886">
      <w:pPr>
        <w:spacing w:before="160"/>
        <w:rPr>
          <w:i/>
          <w:sz w:val="20"/>
          <w:lang w:val="fr-CH"/>
        </w:rPr>
        <w:sectPr w:rsidR="00652886" w:rsidRPr="00652886" w:rsidSect="002058CE">
          <w:headerReference w:type="even" r:id="rId11"/>
          <w:headerReference w:type="default" r:id="rId12"/>
          <w:pgSz w:w="11907" w:h="16834" w:code="9"/>
          <w:pgMar w:top="1418" w:right="1134" w:bottom="1134" w:left="1134" w:header="720" w:footer="482" w:gutter="0"/>
          <w:paperSrc w:first="15" w:other="15"/>
          <w:pgNumType w:fmt="lowerRoman" w:start="2"/>
          <w:cols w:space="720"/>
        </w:sectPr>
      </w:pPr>
    </w:p>
    <w:p w14:paraId="7DE392D6" w14:textId="4D9509F4" w:rsidR="00652886" w:rsidRPr="00652886" w:rsidRDefault="00652886" w:rsidP="00652886">
      <w:pPr>
        <w:pStyle w:val="RecNo"/>
        <w:spacing w:before="0"/>
        <w:rPr>
          <w:lang w:val="fr-CH"/>
        </w:rPr>
      </w:pPr>
      <w:bookmarkStart w:id="2" w:name="irecnoe"/>
      <w:bookmarkEnd w:id="2"/>
      <w:proofErr w:type="gramStart"/>
      <w:r w:rsidRPr="00652886">
        <w:rPr>
          <w:lang w:val="fr-CH"/>
        </w:rPr>
        <w:lastRenderedPageBreak/>
        <w:t xml:space="preserve">RECOMMANDATION  </w:t>
      </w:r>
      <w:r w:rsidRPr="00652886">
        <w:rPr>
          <w:rStyle w:val="href"/>
          <w:lang w:val="fr-CH"/>
        </w:rPr>
        <w:t>UIT</w:t>
      </w:r>
      <w:proofErr w:type="gramEnd"/>
      <w:r w:rsidRPr="00652886">
        <w:rPr>
          <w:rStyle w:val="href"/>
          <w:lang w:val="fr-CH"/>
        </w:rPr>
        <w:t>-R  M.</w:t>
      </w:r>
      <w:r>
        <w:rPr>
          <w:rStyle w:val="href"/>
          <w:lang w:val="fr-CH"/>
        </w:rPr>
        <w:t>2164-0</w:t>
      </w:r>
      <w:r w:rsidRPr="00B378E5">
        <w:rPr>
          <w:rStyle w:val="FootnoteReference"/>
          <w:lang w:val="fr-FR"/>
        </w:rPr>
        <w:footnoteReference w:customMarkFollows="1" w:id="1"/>
        <w:t>*</w:t>
      </w:r>
    </w:p>
    <w:p w14:paraId="1E8513C8" w14:textId="4BBC687A" w:rsidR="00652886" w:rsidRPr="00652886" w:rsidRDefault="00652886" w:rsidP="00652886">
      <w:pPr>
        <w:pStyle w:val="Rectitle"/>
        <w:rPr>
          <w:lang w:val="fr-CH"/>
        </w:rPr>
      </w:pPr>
      <w:r w:rsidRPr="00B378E5">
        <w:rPr>
          <w:lang w:val="fr-FR"/>
        </w:rPr>
        <w:t>Orientations sur les mesures techniques et opérationnelles destinées à l'utilisation de la bande de fréquences 1 240-1 300 MHz par les services d'amateur et d'amateur par satellite pour protéger le service de radionavigation par satellite (SRNS) (espace vers Terre)</w:t>
      </w:r>
    </w:p>
    <w:p w14:paraId="1E13A779" w14:textId="77777777" w:rsidR="00652886" w:rsidRPr="00B378E5" w:rsidRDefault="00652886" w:rsidP="00652886">
      <w:pPr>
        <w:pStyle w:val="Recdate"/>
        <w:rPr>
          <w:i/>
          <w:iCs/>
          <w:lang w:val="fr-FR"/>
        </w:rPr>
      </w:pPr>
      <w:r w:rsidRPr="00B378E5">
        <w:rPr>
          <w:iCs/>
          <w:lang w:val="fr-FR"/>
        </w:rPr>
        <w:t>(2023)</w:t>
      </w:r>
    </w:p>
    <w:p w14:paraId="730C9FC0" w14:textId="77777777" w:rsidR="00652886" w:rsidRPr="00B378E5" w:rsidRDefault="00652886" w:rsidP="00EA452A">
      <w:pPr>
        <w:pStyle w:val="HeadingSum"/>
      </w:pPr>
      <w:r w:rsidRPr="00B378E5">
        <w:t>Domaine d'application</w:t>
      </w:r>
    </w:p>
    <w:p w14:paraId="46597DF0" w14:textId="77777777" w:rsidR="00652886" w:rsidRPr="00B378E5" w:rsidRDefault="00652886" w:rsidP="00EA452A">
      <w:pPr>
        <w:pStyle w:val="Summary"/>
      </w:pPr>
      <w:r w:rsidRPr="00B378E5">
        <w:t>La présente Recommandation fournit des orientations sur les mesures techniques opérationnelles que pourraient prendre les administrations autorisant les stations exploitées dans les services d'amateur et d'amateur par satellite à assurer la protection du service de radionavigation par satellite (espace vers Terre) dans la bande de fréquences 1 240</w:t>
      </w:r>
      <w:r w:rsidRPr="00B378E5">
        <w:noBreakHyphen/>
        <w:t>1 300 MHz. Les mesures correspondantes figurent dans l'Annexe de la présente Recommandation.</w:t>
      </w:r>
    </w:p>
    <w:p w14:paraId="72413D52" w14:textId="77777777" w:rsidR="00652886" w:rsidRPr="00EA452A" w:rsidRDefault="00652886" w:rsidP="00EA452A">
      <w:pPr>
        <w:pStyle w:val="Headingb"/>
      </w:pPr>
      <w:r w:rsidRPr="00B378E5">
        <w:rPr>
          <w:lang w:val="fr-FR"/>
        </w:rPr>
        <w:t>Mots clés</w:t>
      </w:r>
    </w:p>
    <w:p w14:paraId="4BDA6A86" w14:textId="77777777" w:rsidR="00652886" w:rsidRPr="00B378E5" w:rsidRDefault="00652886" w:rsidP="00EA452A">
      <w:pPr>
        <w:rPr>
          <w:lang w:val="fr-FR"/>
        </w:rPr>
      </w:pPr>
      <w:r w:rsidRPr="00B378E5">
        <w:rPr>
          <w:lang w:val="fr-FR"/>
        </w:rPr>
        <w:t>Service de radionavigation par satellite (SRNS), service d'amateur, service d'amateur par satellite</w:t>
      </w:r>
    </w:p>
    <w:p w14:paraId="15357AB6" w14:textId="77777777" w:rsidR="00652886" w:rsidRPr="00B378E5" w:rsidRDefault="00652886" w:rsidP="00652886">
      <w:pPr>
        <w:pStyle w:val="Headingb"/>
        <w:rPr>
          <w:lang w:val="fr-FR"/>
        </w:rPr>
      </w:pPr>
      <w:r w:rsidRPr="00B378E5">
        <w:rPr>
          <w:lang w:val="fr-FR"/>
        </w:rPr>
        <w:t>Recommandations, rapports et manuels de l'UIT correspondants</w:t>
      </w:r>
    </w:p>
    <w:p w14:paraId="3FB15E66" w14:textId="77777777" w:rsidR="00652886" w:rsidRPr="00EA452A" w:rsidRDefault="00652886" w:rsidP="00EA452A">
      <w:pPr>
        <w:pStyle w:val="Reftext"/>
        <w:rPr>
          <w:lang w:val="fr-FR"/>
        </w:rPr>
      </w:pPr>
      <w:r w:rsidRPr="00EA452A">
        <w:rPr>
          <w:lang w:val="fr-FR"/>
        </w:rPr>
        <w:t xml:space="preserve">Recommandation </w:t>
      </w:r>
      <w:hyperlink r:id="rId13" w:history="1">
        <w:r w:rsidRPr="00EA452A">
          <w:rPr>
            <w:rStyle w:val="Hyperlink"/>
            <w:color w:val="auto"/>
            <w:u w:val="none"/>
            <w:lang w:val="fr-FR"/>
          </w:rPr>
          <w:t>UIT-R M.1732</w:t>
        </w:r>
      </w:hyperlink>
      <w:r w:rsidRPr="00EA452A">
        <w:rPr>
          <w:lang w:val="fr-FR"/>
        </w:rPr>
        <w:t xml:space="preserve"> – Caractéristiques de systèmes exploités dans les services d'amateur et d'amateur par satellite à utiliser pour les études de partage.</w:t>
      </w:r>
    </w:p>
    <w:p w14:paraId="127F576F" w14:textId="77777777" w:rsidR="00652886" w:rsidRPr="00EA452A" w:rsidRDefault="00652886" w:rsidP="00EA452A">
      <w:pPr>
        <w:pStyle w:val="Reftext"/>
        <w:rPr>
          <w:lang w:val="fr-FR"/>
        </w:rPr>
      </w:pPr>
      <w:r w:rsidRPr="00EA452A">
        <w:rPr>
          <w:lang w:val="fr-FR"/>
        </w:rPr>
        <w:t xml:space="preserve">Recommandation </w:t>
      </w:r>
      <w:hyperlink r:id="rId14" w:history="1">
        <w:r w:rsidRPr="00EA452A">
          <w:rPr>
            <w:rStyle w:val="Hyperlink"/>
            <w:color w:val="auto"/>
            <w:u w:val="none"/>
            <w:lang w:val="fr-FR"/>
          </w:rPr>
          <w:t>UIT-R M.1787</w:t>
        </w:r>
      </w:hyperlink>
      <w:r w:rsidRPr="00EA452A">
        <w:rPr>
          <w:lang w:val="fr-FR"/>
        </w:rPr>
        <w:t xml:space="preserve"> – Description des systèmes et réseaux du service de radionavigation par satellite (espace vers Terre et espace-espace) et caractéristiques techniques des stations spatiales d'émission fonctionnant dans les bandes de fréquences 1 164</w:t>
      </w:r>
      <w:r w:rsidRPr="00EA452A">
        <w:rPr>
          <w:lang w:val="fr-FR"/>
        </w:rPr>
        <w:noBreakHyphen/>
        <w:t>1 215 MHz, 1 215</w:t>
      </w:r>
      <w:r w:rsidRPr="00EA452A">
        <w:rPr>
          <w:lang w:val="fr-FR"/>
        </w:rPr>
        <w:noBreakHyphen/>
        <w:t>1 300 MHz et 1 559</w:t>
      </w:r>
      <w:r w:rsidRPr="00EA452A">
        <w:rPr>
          <w:lang w:val="fr-FR"/>
        </w:rPr>
        <w:noBreakHyphen/>
        <w:t>1 610 MHz.</w:t>
      </w:r>
    </w:p>
    <w:p w14:paraId="3A49F1C6" w14:textId="77777777" w:rsidR="00652886" w:rsidRPr="00EA452A" w:rsidRDefault="00652886" w:rsidP="00EA452A">
      <w:pPr>
        <w:pStyle w:val="Reftext"/>
        <w:rPr>
          <w:lang w:val="fr-FR"/>
        </w:rPr>
      </w:pPr>
      <w:r w:rsidRPr="00EA452A">
        <w:rPr>
          <w:lang w:val="fr-FR"/>
        </w:rPr>
        <w:t xml:space="preserve">Recommandation </w:t>
      </w:r>
      <w:hyperlink r:id="rId15" w:history="1">
        <w:r w:rsidRPr="00EA452A">
          <w:rPr>
            <w:rStyle w:val="Hyperlink"/>
            <w:color w:val="auto"/>
            <w:u w:val="none"/>
            <w:lang w:val="fr-FR"/>
          </w:rPr>
          <w:t>UIT-R M.1902</w:t>
        </w:r>
      </w:hyperlink>
      <w:r w:rsidRPr="00EA452A">
        <w:rPr>
          <w:lang w:val="fr-FR"/>
        </w:rPr>
        <w:t xml:space="preserve"> – Caractéristiques et critères de protection applicables aux stations terriennes de réception du service de radionavigation par satellite (espace vers Terre) fonctionnant dans la bande de fréquences 1 215</w:t>
      </w:r>
      <w:r w:rsidRPr="00EA452A">
        <w:rPr>
          <w:lang w:val="fr-FR"/>
        </w:rPr>
        <w:noBreakHyphen/>
        <w:t>1 300 MHz.</w:t>
      </w:r>
    </w:p>
    <w:p w14:paraId="41CD1877" w14:textId="77777777" w:rsidR="00652886" w:rsidRPr="00EA452A" w:rsidRDefault="00652886" w:rsidP="00EA452A">
      <w:pPr>
        <w:pStyle w:val="Reftext"/>
        <w:rPr>
          <w:lang w:val="fr-FR"/>
        </w:rPr>
      </w:pPr>
      <w:r w:rsidRPr="00EA452A">
        <w:rPr>
          <w:lang w:val="fr-FR"/>
        </w:rPr>
        <w:t xml:space="preserve">Recommandation </w:t>
      </w:r>
      <w:hyperlink r:id="rId16" w:history="1">
        <w:r w:rsidRPr="00EA452A">
          <w:rPr>
            <w:rStyle w:val="Hyperlink"/>
            <w:color w:val="auto"/>
            <w:u w:val="none"/>
            <w:lang w:val="fr-FR"/>
          </w:rPr>
          <w:t>UIT-R M.2030</w:t>
        </w:r>
      </w:hyperlink>
      <w:r w:rsidRPr="00EA452A">
        <w:rPr>
          <w:lang w:val="fr-FR"/>
        </w:rPr>
        <w:t xml:space="preserve"> – Méthode d'évaluation du brouillage par impulsions causé par des sources radioélectriques pertinentes autres que celles du service de radionavigation par satellite aux systèmes et réseaux du service de radionavigation par satellite fonctionnant dans les bandes de fréquences 1 164</w:t>
      </w:r>
      <w:r w:rsidRPr="00EA452A">
        <w:rPr>
          <w:lang w:val="fr-FR"/>
        </w:rPr>
        <w:noBreakHyphen/>
        <w:t>1 215 MHz, 1 215</w:t>
      </w:r>
      <w:r w:rsidRPr="00EA452A">
        <w:rPr>
          <w:lang w:val="fr-FR"/>
        </w:rPr>
        <w:noBreakHyphen/>
        <w:t>1 300 MHz et 1 559</w:t>
      </w:r>
      <w:r w:rsidRPr="00EA452A">
        <w:rPr>
          <w:lang w:val="fr-FR"/>
        </w:rPr>
        <w:noBreakHyphen/>
        <w:t>1 610 MHz.</w:t>
      </w:r>
    </w:p>
    <w:p w14:paraId="74305768" w14:textId="77777777" w:rsidR="00652886" w:rsidRPr="00EA452A" w:rsidRDefault="00652886" w:rsidP="00EA452A">
      <w:pPr>
        <w:pStyle w:val="Reftext"/>
        <w:rPr>
          <w:lang w:val="fr-FR"/>
        </w:rPr>
      </w:pPr>
      <w:r w:rsidRPr="00EA452A">
        <w:rPr>
          <w:lang w:val="fr-FR"/>
        </w:rPr>
        <w:t xml:space="preserve">Rapport </w:t>
      </w:r>
      <w:hyperlink r:id="rId17" w:history="1">
        <w:r w:rsidRPr="00EA452A">
          <w:rPr>
            <w:rStyle w:val="Hyperlink"/>
            <w:color w:val="auto"/>
            <w:u w:val="none"/>
            <w:lang w:val="fr-FR"/>
          </w:rPr>
          <w:t>UIT-R M.2458</w:t>
        </w:r>
      </w:hyperlink>
      <w:r w:rsidRPr="00EA452A">
        <w:rPr>
          <w:lang w:val="fr-FR"/>
        </w:rPr>
        <w:t xml:space="preserve"> – Applications du SRNS dans les bandes de fréquences 1 164</w:t>
      </w:r>
      <w:r w:rsidRPr="00EA452A">
        <w:rPr>
          <w:lang w:val="fr-FR"/>
        </w:rPr>
        <w:noBreakHyphen/>
        <w:t>1 215 MHz, 1 215</w:t>
      </w:r>
      <w:r w:rsidRPr="00EA452A">
        <w:rPr>
          <w:lang w:val="fr-FR"/>
        </w:rPr>
        <w:noBreakHyphen/>
        <w:t>1 300 MHz et 1 559</w:t>
      </w:r>
      <w:r w:rsidRPr="00EA452A">
        <w:rPr>
          <w:lang w:val="fr-FR"/>
        </w:rPr>
        <w:noBreakHyphen/>
        <w:t>1 610 MHz.</w:t>
      </w:r>
    </w:p>
    <w:p w14:paraId="7D962A3D" w14:textId="77777777" w:rsidR="00652886" w:rsidRPr="00EA452A" w:rsidRDefault="00652886" w:rsidP="00EA452A">
      <w:pPr>
        <w:pStyle w:val="Reftext"/>
        <w:rPr>
          <w:lang w:val="fr-FR"/>
        </w:rPr>
      </w:pPr>
      <w:r w:rsidRPr="00EA452A">
        <w:rPr>
          <w:lang w:val="fr-FR"/>
        </w:rPr>
        <w:t xml:space="preserve">Rapport </w:t>
      </w:r>
      <w:hyperlink r:id="rId18" w:history="1">
        <w:r w:rsidRPr="00EA452A">
          <w:rPr>
            <w:rStyle w:val="Hyperlink"/>
            <w:color w:val="auto"/>
            <w:u w:val="none"/>
            <w:lang w:val="fr-FR"/>
          </w:rPr>
          <w:t>UIT-R M.2513</w:t>
        </w:r>
      </w:hyperlink>
      <w:r w:rsidRPr="00EA452A">
        <w:rPr>
          <w:lang w:val="fr-FR"/>
        </w:rPr>
        <w:t xml:space="preserve"> – Études concernant la protection du service de radionavigation par satellite (espace vers Terre) ayant le statut primaire par les services d'amateur et d'amateur par satellite ayant le statut secondaire dans la bande de fréquences 1 240</w:t>
      </w:r>
      <w:r w:rsidRPr="00EA452A">
        <w:rPr>
          <w:lang w:val="fr-FR"/>
        </w:rPr>
        <w:noBreakHyphen/>
        <w:t>1 300 MHz.</w:t>
      </w:r>
    </w:p>
    <w:p w14:paraId="04DF50F0" w14:textId="77777777" w:rsidR="00652886" w:rsidRPr="00EA452A" w:rsidRDefault="00652886" w:rsidP="00EA452A">
      <w:pPr>
        <w:pStyle w:val="Reftext"/>
        <w:rPr>
          <w:lang w:val="fr-FR"/>
        </w:rPr>
      </w:pPr>
      <w:r w:rsidRPr="00EA452A">
        <w:rPr>
          <w:lang w:val="fr-FR"/>
        </w:rPr>
        <w:t xml:space="preserve">Rapport </w:t>
      </w:r>
      <w:hyperlink r:id="rId19" w:history="1">
        <w:r w:rsidRPr="00EA452A">
          <w:rPr>
            <w:lang w:val="fr-FR"/>
          </w:rPr>
          <w:t>UIT</w:t>
        </w:r>
        <w:r w:rsidRPr="00EA452A">
          <w:rPr>
            <w:lang w:val="fr-FR"/>
          </w:rPr>
          <w:noBreakHyphen/>
          <w:t>R M.2532</w:t>
        </w:r>
      </w:hyperlink>
      <w:r w:rsidRPr="00EA452A">
        <w:rPr>
          <w:lang w:val="fr-FR"/>
        </w:rPr>
        <w:t xml:space="preserve"> – Caractéristiques et utilisation des services d'amateur et d'amateur par satellite dans la bande de fréquences 1 240</w:t>
      </w:r>
      <w:r w:rsidRPr="00EA452A">
        <w:rPr>
          <w:lang w:val="fr-FR"/>
        </w:rPr>
        <w:noBreakHyphen/>
        <w:t>1 300 MHz.</w:t>
      </w:r>
    </w:p>
    <w:p w14:paraId="0630B486" w14:textId="77777777" w:rsidR="00652886" w:rsidRPr="00B378E5" w:rsidRDefault="00652886" w:rsidP="00EA452A">
      <w:pPr>
        <w:pStyle w:val="Reftext"/>
        <w:rPr>
          <w:lang w:val="fr-FR"/>
        </w:rPr>
      </w:pPr>
      <w:r w:rsidRPr="00EA452A">
        <w:rPr>
          <w:lang w:val="fr-FR"/>
        </w:rPr>
        <w:t xml:space="preserve">Manuel </w:t>
      </w:r>
      <w:hyperlink r:id="rId20" w:history="1">
        <w:r w:rsidRPr="00EA452A">
          <w:rPr>
            <w:rStyle w:val="Hyperlink"/>
            <w:color w:val="auto"/>
            <w:u w:val="none"/>
            <w:lang w:val="fr-FR"/>
          </w:rPr>
          <w:t>UIT-R 52</w:t>
        </w:r>
      </w:hyperlink>
      <w:r w:rsidRPr="00EA452A">
        <w:rPr>
          <w:lang w:val="fr-FR"/>
        </w:rPr>
        <w:t xml:space="preserve"> – </w:t>
      </w:r>
      <w:r w:rsidRPr="00EA452A">
        <w:rPr>
          <w:lang w:val="fr-FR"/>
          <w:rPrChange w:id="3" w:author="Vignal, Hugo" w:date="2023-11-30T09:08:00Z">
            <w:rPr>
              <w:i/>
              <w:iCs/>
              <w:lang w:val="fr-FR"/>
            </w:rPr>
          </w:rPrChange>
        </w:rPr>
        <w:t xml:space="preserve">Service </w:t>
      </w:r>
      <w:r w:rsidRPr="00B378E5">
        <w:rPr>
          <w:lang w:val="fr-FR"/>
          <w:rPrChange w:id="4" w:author="Vignal, Hugo" w:date="2023-11-30T09:08:00Z">
            <w:rPr>
              <w:i/>
              <w:iCs/>
              <w:lang w:val="fr-FR"/>
            </w:rPr>
          </w:rPrChange>
        </w:rPr>
        <w:t>d'amateur et service d'amateur par satellite</w:t>
      </w:r>
      <w:r w:rsidRPr="00B378E5">
        <w:rPr>
          <w:lang w:val="fr-FR"/>
        </w:rPr>
        <w:t>.</w:t>
      </w:r>
    </w:p>
    <w:p w14:paraId="158A280A" w14:textId="77777777" w:rsidR="00652886" w:rsidRPr="00B378E5" w:rsidRDefault="00652886" w:rsidP="00652886">
      <w:pPr>
        <w:pStyle w:val="Normalaftertitle0"/>
        <w:keepNext/>
      </w:pPr>
      <w:r w:rsidRPr="00B378E5">
        <w:lastRenderedPageBreak/>
        <w:t>L'Assemblée des radiocommunications de l'UIT,</w:t>
      </w:r>
    </w:p>
    <w:p w14:paraId="702EB350" w14:textId="77777777" w:rsidR="00652886" w:rsidRPr="00B378E5" w:rsidRDefault="00652886" w:rsidP="00652886">
      <w:pPr>
        <w:pStyle w:val="Call"/>
        <w:rPr>
          <w:lang w:val="fr-FR"/>
        </w:rPr>
      </w:pPr>
      <w:proofErr w:type="gramStart"/>
      <w:r w:rsidRPr="00B378E5">
        <w:rPr>
          <w:lang w:val="fr-FR"/>
        </w:rPr>
        <w:t>considérant</w:t>
      </w:r>
      <w:proofErr w:type="gramEnd"/>
    </w:p>
    <w:p w14:paraId="4AA2004B" w14:textId="77777777" w:rsidR="00652886" w:rsidRPr="00B378E5" w:rsidRDefault="00652886" w:rsidP="00652886">
      <w:pPr>
        <w:rPr>
          <w:lang w:val="fr-FR"/>
        </w:rPr>
      </w:pPr>
      <w:r w:rsidRPr="00B378E5">
        <w:rPr>
          <w:i/>
          <w:iCs/>
          <w:lang w:val="fr-FR"/>
        </w:rPr>
        <w:t>a)</w:t>
      </w:r>
      <w:r w:rsidRPr="00B378E5">
        <w:rPr>
          <w:lang w:val="fr-FR"/>
        </w:rPr>
        <w:tab/>
        <w:t xml:space="preserve">que l'Union internationale des radioamateurs (IARU) élabore, tient à jour et publie des plans de bandes de fréquences détaillés pour l'exploitation et le développement des services d'amateur et d'amateur par satellite dans les trois </w:t>
      </w:r>
      <w:proofErr w:type="gramStart"/>
      <w:r w:rsidRPr="00B378E5">
        <w:rPr>
          <w:lang w:val="fr-FR"/>
        </w:rPr>
        <w:t>Régions;</w:t>
      </w:r>
      <w:proofErr w:type="gramEnd"/>
    </w:p>
    <w:p w14:paraId="43F21D61" w14:textId="77777777" w:rsidR="00652886" w:rsidRPr="00111AF1" w:rsidRDefault="00652886" w:rsidP="00652886">
      <w:pPr>
        <w:rPr>
          <w:lang w:val="fr-FR"/>
        </w:rPr>
      </w:pPr>
      <w:r w:rsidRPr="00111AF1">
        <w:rPr>
          <w:i/>
          <w:iCs/>
          <w:lang w:val="fr-FR"/>
        </w:rPr>
        <w:t>b)</w:t>
      </w:r>
      <w:r w:rsidRPr="00111AF1">
        <w:rPr>
          <w:lang w:val="fr-FR"/>
        </w:rPr>
        <w:tab/>
        <w:t xml:space="preserve">que le Rapport </w:t>
      </w:r>
      <w:hyperlink r:id="rId21" w:history="1">
        <w:r w:rsidRPr="00111AF1">
          <w:rPr>
            <w:lang w:val="fr-FR"/>
          </w:rPr>
          <w:t>UIT</w:t>
        </w:r>
        <w:r w:rsidRPr="00111AF1">
          <w:rPr>
            <w:lang w:val="fr-FR"/>
          </w:rPr>
          <w:noBreakHyphen/>
          <w:t>R M.2532</w:t>
        </w:r>
      </w:hyperlink>
      <w:r w:rsidRPr="00111AF1">
        <w:rPr>
          <w:lang w:val="fr-FR"/>
        </w:rPr>
        <w:t xml:space="preserve"> fournit des informations sur les applications et les caractéristiques d'exploitation de la bande de fréquences 1 240</w:t>
      </w:r>
      <w:r w:rsidRPr="00111AF1">
        <w:rPr>
          <w:lang w:val="fr-FR"/>
        </w:rPr>
        <w:noBreakHyphen/>
        <w:t xml:space="preserve">1 300 MHz utilisée par les services d'amateur et d'amateur par </w:t>
      </w:r>
      <w:proofErr w:type="gramStart"/>
      <w:r w:rsidRPr="00111AF1">
        <w:rPr>
          <w:lang w:val="fr-FR"/>
        </w:rPr>
        <w:t>satellite;</w:t>
      </w:r>
      <w:proofErr w:type="gramEnd"/>
    </w:p>
    <w:p w14:paraId="3A5DEDCD" w14:textId="77777777" w:rsidR="00652886" w:rsidRPr="00111AF1" w:rsidRDefault="00652886" w:rsidP="00652886">
      <w:pPr>
        <w:rPr>
          <w:lang w:val="fr-FR"/>
        </w:rPr>
      </w:pPr>
      <w:r w:rsidRPr="00111AF1">
        <w:rPr>
          <w:i/>
          <w:iCs/>
          <w:lang w:val="fr-FR"/>
        </w:rPr>
        <w:t>c)</w:t>
      </w:r>
      <w:r w:rsidRPr="00111AF1">
        <w:rPr>
          <w:lang w:val="fr-FR"/>
        </w:rPr>
        <w:tab/>
        <w:t xml:space="preserve">que le Rapport </w:t>
      </w:r>
      <w:hyperlink r:id="rId22" w:history="1">
        <w:r w:rsidRPr="00111AF1">
          <w:rPr>
            <w:rStyle w:val="Hyperlink"/>
            <w:color w:val="auto"/>
            <w:u w:val="none"/>
            <w:lang w:val="fr-FR"/>
          </w:rPr>
          <w:t>UIT</w:t>
        </w:r>
        <w:r w:rsidRPr="00111AF1">
          <w:rPr>
            <w:rStyle w:val="Hyperlink"/>
            <w:color w:val="auto"/>
            <w:u w:val="none"/>
            <w:lang w:val="fr-FR"/>
          </w:rPr>
          <w:noBreakHyphen/>
          <w:t>R M.2513</w:t>
        </w:r>
      </w:hyperlink>
      <w:r w:rsidRPr="00111AF1">
        <w:rPr>
          <w:lang w:val="fr-FR"/>
        </w:rPr>
        <w:t xml:space="preserve"> contient des études et des mesures concernant les transmissions des services d'amateur et d'amateur par satellite et les brouillages préjudiciables que ces transmissions peuvent causer au SRNS (espace vers Terre), lesquels peuvent, dans certaines conditions, dépasser les critères de protection définis dans la Recommandation </w:t>
      </w:r>
      <w:hyperlink r:id="rId23" w:history="1">
        <w:r w:rsidRPr="00111AF1">
          <w:rPr>
            <w:rStyle w:val="Hyperlink"/>
            <w:color w:val="auto"/>
            <w:u w:val="none"/>
            <w:lang w:val="fr-FR"/>
          </w:rPr>
          <w:t>UIT-R M.1902</w:t>
        </w:r>
      </w:hyperlink>
      <w:r w:rsidRPr="00111AF1">
        <w:rPr>
          <w:lang w:val="fr-FR"/>
        </w:rPr>
        <w:t>;</w:t>
      </w:r>
    </w:p>
    <w:p w14:paraId="4078A9F7" w14:textId="77777777" w:rsidR="00652886" w:rsidRPr="00B378E5" w:rsidRDefault="00652886" w:rsidP="00652886">
      <w:pPr>
        <w:rPr>
          <w:lang w:val="fr-FR"/>
        </w:rPr>
      </w:pPr>
      <w:r w:rsidRPr="00111AF1">
        <w:rPr>
          <w:i/>
          <w:iCs/>
          <w:lang w:val="fr-FR"/>
        </w:rPr>
        <w:t>d)</w:t>
      </w:r>
      <w:r w:rsidRPr="00111AF1">
        <w:rPr>
          <w:lang w:val="fr-FR"/>
        </w:rPr>
        <w:tab/>
        <w:t xml:space="preserve">que la </w:t>
      </w:r>
      <w:r w:rsidRPr="00111AF1">
        <w:rPr>
          <w:bCs/>
          <w:lang w:val="fr-FR"/>
        </w:rPr>
        <w:t xml:space="preserve">Recommandation </w:t>
      </w:r>
      <w:hyperlink r:id="rId24" w:history="1">
        <w:r w:rsidRPr="00111AF1">
          <w:rPr>
            <w:rStyle w:val="Hyperlink"/>
            <w:color w:val="auto"/>
            <w:u w:val="none"/>
            <w:lang w:val="fr-FR"/>
          </w:rPr>
          <w:t>UIT-R M.1902</w:t>
        </w:r>
      </w:hyperlink>
      <w:r w:rsidRPr="00111AF1">
        <w:rPr>
          <w:bCs/>
          <w:lang w:val="fr-FR"/>
        </w:rPr>
        <w:t xml:space="preserve"> définit les caractéristiques et les critères de </w:t>
      </w:r>
      <w:r w:rsidRPr="00B378E5">
        <w:rPr>
          <w:bCs/>
          <w:lang w:val="fr-FR"/>
        </w:rPr>
        <w:t xml:space="preserve">protection des récepteurs du service de radionavigation par satellite (espace vers Terre) fonctionnant dans la bande de fréquences </w:t>
      </w:r>
      <w:r w:rsidRPr="00B378E5">
        <w:rPr>
          <w:lang w:val="fr-FR"/>
        </w:rPr>
        <w:t>1 215</w:t>
      </w:r>
      <w:r w:rsidRPr="00B378E5">
        <w:rPr>
          <w:lang w:val="fr-FR"/>
        </w:rPr>
        <w:noBreakHyphen/>
        <w:t xml:space="preserve">1 300 </w:t>
      </w:r>
      <w:proofErr w:type="gramStart"/>
      <w:r w:rsidRPr="00B378E5">
        <w:rPr>
          <w:lang w:val="fr-FR"/>
        </w:rPr>
        <w:t>MHz;</w:t>
      </w:r>
      <w:proofErr w:type="gramEnd"/>
    </w:p>
    <w:p w14:paraId="701D300F" w14:textId="77777777" w:rsidR="00652886" w:rsidRPr="00B378E5" w:rsidRDefault="00652886" w:rsidP="00652886">
      <w:pPr>
        <w:rPr>
          <w:lang w:val="fr-FR"/>
        </w:rPr>
      </w:pPr>
      <w:r w:rsidRPr="00B378E5">
        <w:rPr>
          <w:i/>
          <w:iCs/>
          <w:lang w:val="fr-FR"/>
        </w:rPr>
        <w:t>e)</w:t>
      </w:r>
      <w:r w:rsidRPr="00B378E5">
        <w:rPr>
          <w:lang w:val="fr-FR"/>
        </w:rPr>
        <w:tab/>
        <w:t>que les systèmes du SRNS utilisant la bande de fréquences 1 240</w:t>
      </w:r>
      <w:r w:rsidRPr="00B378E5">
        <w:rPr>
          <w:lang w:val="fr-FR"/>
        </w:rPr>
        <w:noBreakHyphen/>
        <w:t xml:space="preserve">1 300 MHz sont opérationnels, ou vont le devenir, à travers le monde, en vue de permettre une large gamme de nouveaux services de localisation par </w:t>
      </w:r>
      <w:proofErr w:type="gramStart"/>
      <w:r w:rsidRPr="00B378E5">
        <w:rPr>
          <w:lang w:val="fr-FR"/>
        </w:rPr>
        <w:t>satellite;</w:t>
      </w:r>
      <w:proofErr w:type="gramEnd"/>
    </w:p>
    <w:p w14:paraId="2AC9ACA8" w14:textId="77777777" w:rsidR="00652886" w:rsidRPr="00B378E5" w:rsidRDefault="00652886" w:rsidP="00652886">
      <w:pPr>
        <w:rPr>
          <w:lang w:val="fr-FR"/>
        </w:rPr>
      </w:pPr>
      <w:r w:rsidRPr="00B378E5">
        <w:rPr>
          <w:i/>
          <w:iCs/>
          <w:lang w:val="fr-FR"/>
        </w:rPr>
        <w:t>f)</w:t>
      </w:r>
      <w:r w:rsidRPr="00B378E5">
        <w:rPr>
          <w:lang w:val="fr-FR"/>
        </w:rPr>
        <w:tab/>
        <w:t xml:space="preserve">que les administrations souhaitant mettre en œuvre la présente Recommandation peuvent avoir besoin d'une période de transition pour apporter les modifications nécessaires aux autorisations délivrées aux services d'amateur et d'amateur par satellite de leur </w:t>
      </w:r>
      <w:proofErr w:type="gramStart"/>
      <w:r w:rsidRPr="00B378E5">
        <w:rPr>
          <w:lang w:val="fr-FR"/>
        </w:rPr>
        <w:t>pays;</w:t>
      </w:r>
      <w:proofErr w:type="gramEnd"/>
    </w:p>
    <w:p w14:paraId="15F17097" w14:textId="77777777" w:rsidR="00652886" w:rsidRPr="00B378E5" w:rsidRDefault="00652886" w:rsidP="00652886">
      <w:pPr>
        <w:rPr>
          <w:lang w:val="fr-FR"/>
        </w:rPr>
      </w:pPr>
      <w:r w:rsidRPr="00B378E5">
        <w:rPr>
          <w:i/>
          <w:iCs/>
          <w:lang w:val="fr-FR"/>
        </w:rPr>
        <w:t>g)</w:t>
      </w:r>
      <w:r w:rsidRPr="00B378E5">
        <w:rPr>
          <w:lang w:val="fr-FR"/>
        </w:rPr>
        <w:tab/>
        <w:t xml:space="preserve">que, compte tenu des points </w:t>
      </w:r>
      <w:r w:rsidRPr="00B378E5">
        <w:rPr>
          <w:i/>
          <w:iCs/>
          <w:lang w:val="fr-FR"/>
        </w:rPr>
        <w:t>a)</w:t>
      </w:r>
      <w:r w:rsidRPr="00B378E5">
        <w:rPr>
          <w:lang w:val="fr-FR"/>
        </w:rPr>
        <w:t xml:space="preserve">, </w:t>
      </w:r>
      <w:r w:rsidRPr="00B378E5">
        <w:rPr>
          <w:i/>
          <w:iCs/>
          <w:lang w:val="fr-FR"/>
        </w:rPr>
        <w:t>b)</w:t>
      </w:r>
      <w:r w:rsidRPr="00B378E5">
        <w:rPr>
          <w:lang w:val="fr-FR"/>
        </w:rPr>
        <w:t xml:space="preserve"> et </w:t>
      </w:r>
      <w:r w:rsidRPr="00B378E5">
        <w:rPr>
          <w:i/>
          <w:iCs/>
          <w:lang w:val="fr-FR"/>
        </w:rPr>
        <w:t>c)</w:t>
      </w:r>
      <w:r w:rsidRPr="00B378E5">
        <w:rPr>
          <w:lang w:val="fr-FR"/>
        </w:rPr>
        <w:t xml:space="preserve"> du </w:t>
      </w:r>
      <w:r w:rsidRPr="00B378E5">
        <w:rPr>
          <w:i/>
          <w:iCs/>
          <w:lang w:val="fr-FR"/>
        </w:rPr>
        <w:t>reconnaissant</w:t>
      </w:r>
      <w:r w:rsidRPr="00B378E5">
        <w:rPr>
          <w:lang w:val="fr-FR"/>
        </w:rPr>
        <w:t xml:space="preserve"> ci-dessous, certaines administrations estiment que les bonnes pratiques existantes en matière de gestion du spectre et les mesures techniques et opérationnelles actuelles peuvent suffire à assurer la protection du SRNS,</w:t>
      </w:r>
    </w:p>
    <w:p w14:paraId="6A79163D" w14:textId="77777777" w:rsidR="00652886" w:rsidRPr="00B378E5" w:rsidRDefault="00652886" w:rsidP="00652886">
      <w:pPr>
        <w:pStyle w:val="Call"/>
        <w:rPr>
          <w:lang w:val="fr-FR"/>
        </w:rPr>
      </w:pPr>
      <w:proofErr w:type="gramStart"/>
      <w:r w:rsidRPr="00B378E5">
        <w:rPr>
          <w:lang w:val="fr-FR"/>
        </w:rPr>
        <w:t>reconnaissant</w:t>
      </w:r>
      <w:proofErr w:type="gramEnd"/>
    </w:p>
    <w:p w14:paraId="425703A4" w14:textId="77777777" w:rsidR="00652886" w:rsidRPr="00B378E5" w:rsidRDefault="00652886" w:rsidP="00652886">
      <w:pPr>
        <w:rPr>
          <w:lang w:val="fr-FR"/>
        </w:rPr>
      </w:pPr>
      <w:r w:rsidRPr="00B378E5">
        <w:rPr>
          <w:i/>
          <w:iCs/>
          <w:lang w:val="fr-FR"/>
        </w:rPr>
        <w:t>a)</w:t>
      </w:r>
      <w:r w:rsidRPr="00B378E5">
        <w:rPr>
          <w:lang w:val="fr-FR"/>
        </w:rPr>
        <w:tab/>
        <w:t>que la bande de fréquences 1 240</w:t>
      </w:r>
      <w:r w:rsidRPr="00B378E5">
        <w:rPr>
          <w:lang w:val="fr-FR"/>
        </w:rPr>
        <w:noBreakHyphen/>
        <w:t>1 300 MHz est attribuée à titre primaire au SRNS (espace vers Terre) et (espace-espace</w:t>
      </w:r>
      <w:proofErr w:type="gramStart"/>
      <w:r w:rsidRPr="00B378E5">
        <w:rPr>
          <w:lang w:val="fr-FR"/>
        </w:rPr>
        <w:t>);</w:t>
      </w:r>
      <w:proofErr w:type="gramEnd"/>
    </w:p>
    <w:p w14:paraId="1F33907C" w14:textId="77777777" w:rsidR="00652886" w:rsidRPr="00B378E5" w:rsidRDefault="00652886" w:rsidP="00652886">
      <w:pPr>
        <w:rPr>
          <w:lang w:val="fr-FR"/>
        </w:rPr>
      </w:pPr>
      <w:r w:rsidRPr="00B378E5">
        <w:rPr>
          <w:i/>
          <w:iCs/>
          <w:lang w:val="fr-FR"/>
        </w:rPr>
        <w:t>b)</w:t>
      </w:r>
      <w:r w:rsidRPr="00B378E5">
        <w:rPr>
          <w:lang w:val="fr-FR"/>
        </w:rPr>
        <w:tab/>
        <w:t>que la bande de fréquences 1 240</w:t>
      </w:r>
      <w:r w:rsidRPr="00B378E5">
        <w:rPr>
          <w:lang w:val="fr-FR"/>
        </w:rPr>
        <w:noBreakHyphen/>
        <w:t xml:space="preserve">1 300 MHz est, de plus, attribuée à titre secondaire au service </w:t>
      </w:r>
      <w:proofErr w:type="gramStart"/>
      <w:r w:rsidRPr="00B378E5">
        <w:rPr>
          <w:lang w:val="fr-FR"/>
        </w:rPr>
        <w:t>d'amateur;</w:t>
      </w:r>
      <w:proofErr w:type="gramEnd"/>
    </w:p>
    <w:p w14:paraId="183A99B9" w14:textId="77777777" w:rsidR="00652886" w:rsidRPr="00B378E5" w:rsidRDefault="00652886" w:rsidP="00652886">
      <w:pPr>
        <w:rPr>
          <w:lang w:val="fr-FR"/>
        </w:rPr>
      </w:pPr>
      <w:r w:rsidRPr="00B378E5">
        <w:rPr>
          <w:i/>
          <w:iCs/>
          <w:lang w:val="fr-FR"/>
        </w:rPr>
        <w:t>c)</w:t>
      </w:r>
      <w:r w:rsidRPr="00B378E5">
        <w:rPr>
          <w:lang w:val="fr-FR"/>
        </w:rPr>
        <w:tab/>
        <w:t>que le service d'amateur par satellite (Terre vers espace) peut fonctionner dans la bande de fréquences 1 260</w:t>
      </w:r>
      <w:r w:rsidRPr="00B378E5">
        <w:rPr>
          <w:lang w:val="fr-FR"/>
        </w:rPr>
        <w:noBreakHyphen/>
        <w:t xml:space="preserve">1 270 MHz conformément aux dispositions du numéro </w:t>
      </w:r>
      <w:r w:rsidRPr="00B378E5">
        <w:rPr>
          <w:b/>
          <w:lang w:val="fr-FR"/>
        </w:rPr>
        <w:t>5.282</w:t>
      </w:r>
      <w:r w:rsidRPr="00B378E5">
        <w:rPr>
          <w:bCs/>
          <w:lang w:val="fr-FR"/>
        </w:rPr>
        <w:t xml:space="preserve"> du </w:t>
      </w:r>
      <w:proofErr w:type="gramStart"/>
      <w:r w:rsidRPr="00B378E5">
        <w:rPr>
          <w:bCs/>
          <w:lang w:val="fr-FR"/>
        </w:rPr>
        <w:t>RR</w:t>
      </w:r>
      <w:r w:rsidRPr="00B378E5">
        <w:rPr>
          <w:lang w:val="fr-FR"/>
        </w:rPr>
        <w:t>;</w:t>
      </w:r>
      <w:proofErr w:type="gramEnd"/>
    </w:p>
    <w:p w14:paraId="1B281C49" w14:textId="77777777" w:rsidR="00652886" w:rsidRPr="00B378E5" w:rsidRDefault="00652886" w:rsidP="00652886">
      <w:pPr>
        <w:rPr>
          <w:lang w:val="fr-FR"/>
        </w:rPr>
      </w:pPr>
      <w:r w:rsidRPr="00B378E5">
        <w:rPr>
          <w:i/>
          <w:iCs/>
          <w:lang w:val="fr-FR"/>
        </w:rPr>
        <w:t>d)</w:t>
      </w:r>
      <w:r w:rsidRPr="00B378E5">
        <w:rPr>
          <w:lang w:val="fr-FR"/>
        </w:rPr>
        <w:tab/>
        <w:t>que la bande de fréquences 1 240</w:t>
      </w:r>
      <w:r w:rsidRPr="00B378E5">
        <w:rPr>
          <w:lang w:val="fr-FR"/>
        </w:rPr>
        <w:noBreakHyphen/>
        <w:t>1 300 MHz est, de plus, attribuée à l'échelle mondiale à titre primaire au service d'exploration de la Terre par satellite (active), au service de radiolocalisation (le numéro </w:t>
      </w:r>
      <w:r w:rsidRPr="00B378E5">
        <w:rPr>
          <w:b/>
          <w:bCs/>
          <w:lang w:val="fr-FR"/>
        </w:rPr>
        <w:t>5.329</w:t>
      </w:r>
      <w:r w:rsidRPr="00B378E5">
        <w:rPr>
          <w:lang w:val="fr-FR"/>
        </w:rPr>
        <w:t xml:space="preserve"> du RR s'applique) et au service de recherche spatiale (active</w:t>
      </w:r>
      <w:proofErr w:type="gramStart"/>
      <w:r w:rsidRPr="00B378E5">
        <w:rPr>
          <w:lang w:val="fr-FR"/>
        </w:rPr>
        <w:t>);</w:t>
      </w:r>
      <w:proofErr w:type="gramEnd"/>
    </w:p>
    <w:p w14:paraId="6CD1DA55" w14:textId="77777777" w:rsidR="00652886" w:rsidRPr="00B378E5" w:rsidRDefault="00652886" w:rsidP="00652886">
      <w:pPr>
        <w:rPr>
          <w:lang w:val="fr-FR"/>
        </w:rPr>
      </w:pPr>
      <w:r w:rsidRPr="00B378E5">
        <w:rPr>
          <w:i/>
          <w:iCs/>
          <w:lang w:val="fr-FR"/>
        </w:rPr>
        <w:t>e)</w:t>
      </w:r>
      <w:r w:rsidRPr="00B378E5">
        <w:rPr>
          <w:lang w:val="fr-FR"/>
        </w:rPr>
        <w:tab/>
        <w:t xml:space="preserve">que d'autres services bénéficient également d'une attribution à titre primaire dans certains pays, conformément aux numéros </w:t>
      </w:r>
      <w:r w:rsidRPr="00B378E5">
        <w:rPr>
          <w:b/>
          <w:bCs/>
          <w:lang w:val="fr-FR"/>
        </w:rPr>
        <w:t>5.330</w:t>
      </w:r>
      <w:r w:rsidRPr="00B378E5">
        <w:rPr>
          <w:lang w:val="fr-FR"/>
        </w:rPr>
        <w:t xml:space="preserve"> (services fixe et mobile) et </w:t>
      </w:r>
      <w:r w:rsidRPr="00B378E5">
        <w:rPr>
          <w:b/>
          <w:bCs/>
          <w:lang w:val="fr-FR"/>
        </w:rPr>
        <w:t>5.331</w:t>
      </w:r>
      <w:r w:rsidRPr="00B378E5">
        <w:rPr>
          <w:lang w:val="fr-FR"/>
        </w:rPr>
        <w:t xml:space="preserve"> (service de radionavigation) du RR dans la bande de fréquences 1 215</w:t>
      </w:r>
      <w:r w:rsidRPr="00B378E5">
        <w:rPr>
          <w:lang w:val="fr-FR"/>
        </w:rPr>
        <w:noBreakHyphen/>
        <w:t xml:space="preserve">1 300 </w:t>
      </w:r>
      <w:proofErr w:type="gramStart"/>
      <w:r w:rsidRPr="00B378E5">
        <w:rPr>
          <w:lang w:val="fr-FR"/>
        </w:rPr>
        <w:t>MHz;</w:t>
      </w:r>
      <w:proofErr w:type="gramEnd"/>
    </w:p>
    <w:p w14:paraId="49B1E976" w14:textId="77777777" w:rsidR="00652886" w:rsidRPr="00B378E5" w:rsidRDefault="00652886" w:rsidP="00652886">
      <w:pPr>
        <w:rPr>
          <w:lang w:val="fr-FR"/>
        </w:rPr>
      </w:pPr>
      <w:r w:rsidRPr="00B378E5">
        <w:rPr>
          <w:i/>
          <w:iCs/>
          <w:lang w:val="fr-FR"/>
        </w:rPr>
        <w:t>f)</w:t>
      </w:r>
      <w:r w:rsidRPr="00B378E5">
        <w:rPr>
          <w:lang w:val="fr-FR"/>
        </w:rPr>
        <w:tab/>
        <w:t>que les services d'amateur et d'amateur par satellite développent continuellement leur utilisation de la bande de fréquences 1 240</w:t>
      </w:r>
      <w:r w:rsidRPr="00B378E5">
        <w:rPr>
          <w:lang w:val="fr-FR"/>
        </w:rPr>
        <w:noBreakHyphen/>
        <w:t>1 300 MHz conformément aux numéros </w:t>
      </w:r>
      <w:r w:rsidRPr="00B378E5">
        <w:rPr>
          <w:b/>
          <w:bCs/>
          <w:lang w:val="fr-FR"/>
        </w:rPr>
        <w:t>1.56</w:t>
      </w:r>
      <w:r w:rsidRPr="00B378E5">
        <w:rPr>
          <w:lang w:val="fr-FR"/>
        </w:rPr>
        <w:t xml:space="preserve"> et </w:t>
      </w:r>
      <w:r w:rsidRPr="00B378E5">
        <w:rPr>
          <w:b/>
          <w:bCs/>
          <w:lang w:val="fr-FR"/>
        </w:rPr>
        <w:t>1.57</w:t>
      </w:r>
      <w:r w:rsidRPr="00B378E5">
        <w:rPr>
          <w:lang w:val="fr-FR"/>
        </w:rPr>
        <w:t xml:space="preserve"> du </w:t>
      </w:r>
      <w:proofErr w:type="gramStart"/>
      <w:r w:rsidRPr="00B378E5">
        <w:rPr>
          <w:lang w:val="fr-FR"/>
        </w:rPr>
        <w:t>RR;</w:t>
      </w:r>
      <w:proofErr w:type="gramEnd"/>
    </w:p>
    <w:p w14:paraId="49563400" w14:textId="77777777" w:rsidR="00652886" w:rsidRPr="00B378E5" w:rsidRDefault="00652886" w:rsidP="00652886">
      <w:pPr>
        <w:rPr>
          <w:lang w:val="fr-FR"/>
        </w:rPr>
      </w:pPr>
      <w:r w:rsidRPr="00B378E5">
        <w:rPr>
          <w:i/>
          <w:iCs/>
          <w:lang w:val="fr-FR"/>
        </w:rPr>
        <w:t>g)</w:t>
      </w:r>
      <w:r w:rsidRPr="00B378E5">
        <w:rPr>
          <w:lang w:val="fr-FR"/>
        </w:rPr>
        <w:tab/>
        <w:t xml:space="preserve">que la puissance maximale des stations d'amateur est fixée par les administrations concernées, comme indiqué dans le numéro </w:t>
      </w:r>
      <w:r w:rsidRPr="00B378E5">
        <w:rPr>
          <w:b/>
          <w:bCs/>
          <w:lang w:val="fr-FR"/>
        </w:rPr>
        <w:t>25.7</w:t>
      </w:r>
      <w:r w:rsidRPr="00B378E5">
        <w:rPr>
          <w:lang w:val="fr-FR"/>
        </w:rPr>
        <w:t xml:space="preserve"> du </w:t>
      </w:r>
      <w:proofErr w:type="gramStart"/>
      <w:r w:rsidRPr="00B378E5">
        <w:rPr>
          <w:lang w:val="fr-FR"/>
        </w:rPr>
        <w:t>RR;</w:t>
      </w:r>
      <w:proofErr w:type="gramEnd"/>
    </w:p>
    <w:p w14:paraId="0B15BF91" w14:textId="77777777" w:rsidR="00652886" w:rsidRPr="00B378E5" w:rsidRDefault="00652886" w:rsidP="00652886">
      <w:pPr>
        <w:keepLines/>
        <w:rPr>
          <w:lang w:val="fr-FR"/>
        </w:rPr>
      </w:pPr>
      <w:r w:rsidRPr="00B378E5">
        <w:rPr>
          <w:i/>
          <w:iCs/>
          <w:lang w:val="fr-FR"/>
        </w:rPr>
        <w:lastRenderedPageBreak/>
        <w:t>h)</w:t>
      </w:r>
      <w:r w:rsidRPr="00B378E5">
        <w:rPr>
          <w:lang w:val="fr-FR"/>
        </w:rPr>
        <w:tab/>
        <w:t xml:space="preserve">que les administrations qui délivrent des licences d'utilisation de stations des services d'amateur et d'amateur par satellite et qui attribuent les fréquences pertinentes sont responsables du respect, par ces stations, des dispositions correspondantes du RR, notamment la protection des services primaires d'autres administrations </w:t>
      </w:r>
      <w:proofErr w:type="gramStart"/>
      <w:r w:rsidRPr="00B378E5">
        <w:rPr>
          <w:lang w:val="fr-FR"/>
        </w:rPr>
        <w:t>concernées;</w:t>
      </w:r>
      <w:proofErr w:type="gramEnd"/>
    </w:p>
    <w:p w14:paraId="5C62CFCD" w14:textId="77777777" w:rsidR="00652886" w:rsidRPr="00B378E5" w:rsidRDefault="00652886" w:rsidP="00652886">
      <w:pPr>
        <w:rPr>
          <w:lang w:val="fr-FR"/>
        </w:rPr>
      </w:pPr>
      <w:r w:rsidRPr="00B378E5">
        <w:rPr>
          <w:i/>
          <w:iCs/>
          <w:lang w:val="fr-FR"/>
        </w:rPr>
        <w:t>i)</w:t>
      </w:r>
      <w:r w:rsidRPr="00B378E5">
        <w:rPr>
          <w:lang w:val="fr-FR"/>
        </w:rPr>
        <w:tab/>
        <w:t xml:space="preserve">qu'en cas de brouillages préjudiciables causés aux récepteurs du SRNS par les émetteurs des services d'amateur et d'amateur par satellite, les obligations des administrations et les procédures qu'elles doivent suivre pour résoudre ces cas de brouillages préjudiciables sont énoncées dans les dispositions de l'Article </w:t>
      </w:r>
      <w:r w:rsidRPr="00B378E5">
        <w:rPr>
          <w:b/>
          <w:bCs/>
          <w:lang w:val="fr-FR"/>
        </w:rPr>
        <w:t>15</w:t>
      </w:r>
      <w:r w:rsidRPr="00B378E5">
        <w:rPr>
          <w:lang w:val="fr-FR"/>
        </w:rPr>
        <w:t xml:space="preserve"> du RR,</w:t>
      </w:r>
    </w:p>
    <w:p w14:paraId="55CAD92B" w14:textId="77777777" w:rsidR="00652886" w:rsidRPr="00B378E5" w:rsidRDefault="00652886" w:rsidP="00652886">
      <w:pPr>
        <w:pStyle w:val="Call"/>
        <w:rPr>
          <w:lang w:val="fr-FR"/>
        </w:rPr>
      </w:pPr>
      <w:proofErr w:type="gramStart"/>
      <w:r w:rsidRPr="00B378E5">
        <w:rPr>
          <w:lang w:val="fr-FR"/>
        </w:rPr>
        <w:t>notant</w:t>
      </w:r>
      <w:proofErr w:type="gramEnd"/>
    </w:p>
    <w:p w14:paraId="61FA1D76" w14:textId="77777777" w:rsidR="00652886" w:rsidRPr="00B378E5" w:rsidRDefault="00652886" w:rsidP="00652886">
      <w:pPr>
        <w:rPr>
          <w:lang w:val="fr-FR"/>
        </w:rPr>
      </w:pPr>
      <w:proofErr w:type="gramStart"/>
      <w:r w:rsidRPr="00B378E5">
        <w:rPr>
          <w:lang w:val="fr-FR"/>
        </w:rPr>
        <w:t>que</w:t>
      </w:r>
      <w:proofErr w:type="gramEnd"/>
      <w:r w:rsidRPr="00B378E5">
        <w:rPr>
          <w:lang w:val="fr-FR"/>
        </w:rPr>
        <w:t xml:space="preserve">, compte tenu des points </w:t>
      </w:r>
      <w:r w:rsidRPr="00B378E5">
        <w:rPr>
          <w:i/>
          <w:iCs/>
          <w:lang w:val="fr-FR"/>
        </w:rPr>
        <w:t>a)</w:t>
      </w:r>
      <w:r w:rsidRPr="00B378E5">
        <w:rPr>
          <w:lang w:val="fr-FR"/>
        </w:rPr>
        <w:t xml:space="preserve">, </w:t>
      </w:r>
      <w:r w:rsidRPr="00B378E5">
        <w:rPr>
          <w:i/>
          <w:iCs/>
          <w:lang w:val="fr-FR"/>
        </w:rPr>
        <w:t>b)</w:t>
      </w:r>
      <w:r w:rsidRPr="00B378E5">
        <w:rPr>
          <w:lang w:val="fr-FR"/>
        </w:rPr>
        <w:t xml:space="preserve">, </w:t>
      </w:r>
      <w:r w:rsidRPr="00B378E5">
        <w:rPr>
          <w:i/>
          <w:iCs/>
          <w:lang w:val="fr-FR"/>
        </w:rPr>
        <w:t>c)</w:t>
      </w:r>
      <w:r w:rsidRPr="00B378E5">
        <w:rPr>
          <w:lang w:val="fr-FR"/>
        </w:rPr>
        <w:t xml:space="preserve">, </w:t>
      </w:r>
      <w:r w:rsidRPr="00B378E5">
        <w:rPr>
          <w:i/>
          <w:iCs/>
          <w:lang w:val="fr-FR"/>
        </w:rPr>
        <w:t>h)</w:t>
      </w:r>
      <w:r w:rsidRPr="00B378E5">
        <w:rPr>
          <w:lang w:val="fr-FR"/>
        </w:rPr>
        <w:t xml:space="preserve"> et </w:t>
      </w:r>
      <w:r w:rsidRPr="00B378E5">
        <w:rPr>
          <w:i/>
          <w:iCs/>
          <w:lang w:val="fr-FR"/>
        </w:rPr>
        <w:t>i)</w:t>
      </w:r>
      <w:r w:rsidRPr="00B378E5">
        <w:rPr>
          <w:lang w:val="fr-FR"/>
        </w:rPr>
        <w:t xml:space="preserve"> du </w:t>
      </w:r>
      <w:r w:rsidRPr="00B378E5">
        <w:rPr>
          <w:i/>
          <w:iCs/>
          <w:lang w:val="fr-FR"/>
        </w:rPr>
        <w:t>reconnaissant</w:t>
      </w:r>
      <w:r w:rsidRPr="00B378E5">
        <w:rPr>
          <w:lang w:val="fr-FR"/>
        </w:rPr>
        <w:t xml:space="preserve"> ci-dessus, certaines administrations estiment que des mesures supplémentaires, en plus de celles qui figurent dans l'Annexe de la présente Recommandation, peuvent être nécessaires pour assurer la protection du SRNS,</w:t>
      </w:r>
    </w:p>
    <w:p w14:paraId="534925B6" w14:textId="77777777" w:rsidR="00652886" w:rsidRPr="00B378E5" w:rsidRDefault="00652886" w:rsidP="00652886">
      <w:pPr>
        <w:pStyle w:val="Call"/>
        <w:rPr>
          <w:lang w:val="fr-FR"/>
        </w:rPr>
      </w:pPr>
      <w:proofErr w:type="gramStart"/>
      <w:r w:rsidRPr="00B378E5">
        <w:rPr>
          <w:lang w:val="fr-FR"/>
        </w:rPr>
        <w:t>recommande</w:t>
      </w:r>
      <w:proofErr w:type="gramEnd"/>
    </w:p>
    <w:p w14:paraId="38389BE6" w14:textId="77777777" w:rsidR="00652886" w:rsidRPr="00B378E5" w:rsidRDefault="00652886" w:rsidP="00652886">
      <w:pPr>
        <w:rPr>
          <w:lang w:val="fr-FR"/>
        </w:rPr>
      </w:pPr>
      <w:proofErr w:type="gramStart"/>
      <w:r w:rsidRPr="00B378E5">
        <w:rPr>
          <w:lang w:val="fr-FR"/>
        </w:rPr>
        <w:t>aux</w:t>
      </w:r>
      <w:proofErr w:type="gramEnd"/>
      <w:r w:rsidRPr="00B378E5">
        <w:rPr>
          <w:lang w:val="fr-FR"/>
        </w:rPr>
        <w:t xml:space="preserve"> administrations souhaitant autoriser ou poursuivre l'exploitation des services d'amateur et d'amateur par satellite sur l'ensemble de leur territoire, dans tout ou partie de la bande de fréquences 1 240</w:t>
      </w:r>
      <w:r w:rsidRPr="00B378E5">
        <w:rPr>
          <w:lang w:val="fr-FR"/>
        </w:rPr>
        <w:noBreakHyphen/>
        <w:t>1 300 MHz, de s'appuyer sur les mesures techniques et opérationnelles décrites dans l'Annexe pour protéger le SRNS (espace vers Terre).</w:t>
      </w:r>
    </w:p>
    <w:p w14:paraId="6EC185CB" w14:textId="32B82464" w:rsidR="00652886" w:rsidRDefault="00652886" w:rsidP="00652886">
      <w:pPr>
        <w:tabs>
          <w:tab w:val="clear" w:pos="794"/>
          <w:tab w:val="clear" w:pos="1191"/>
          <w:tab w:val="clear" w:pos="1588"/>
          <w:tab w:val="clear" w:pos="1985"/>
        </w:tabs>
        <w:overflowPunct/>
        <w:autoSpaceDE/>
        <w:autoSpaceDN/>
        <w:adjustRightInd/>
        <w:spacing w:before="0"/>
        <w:jc w:val="left"/>
        <w:textAlignment w:val="auto"/>
        <w:rPr>
          <w:lang w:val="fr-FR"/>
        </w:rPr>
      </w:pPr>
    </w:p>
    <w:p w14:paraId="2B495B03" w14:textId="77777777" w:rsidR="003B2D52" w:rsidRPr="00B378E5" w:rsidRDefault="003B2D52" w:rsidP="00652886">
      <w:pPr>
        <w:tabs>
          <w:tab w:val="clear" w:pos="794"/>
          <w:tab w:val="clear" w:pos="1191"/>
          <w:tab w:val="clear" w:pos="1588"/>
          <w:tab w:val="clear" w:pos="1985"/>
        </w:tabs>
        <w:overflowPunct/>
        <w:autoSpaceDE/>
        <w:autoSpaceDN/>
        <w:adjustRightInd/>
        <w:spacing w:before="0"/>
        <w:jc w:val="left"/>
        <w:textAlignment w:val="auto"/>
        <w:rPr>
          <w:lang w:val="fr-FR"/>
        </w:rPr>
      </w:pPr>
    </w:p>
    <w:p w14:paraId="77FC3610" w14:textId="4E4AC852" w:rsidR="00652886" w:rsidRPr="00B378E5" w:rsidRDefault="00652886" w:rsidP="003B2D52">
      <w:pPr>
        <w:pStyle w:val="AnnexNoTitle"/>
      </w:pPr>
      <w:r w:rsidRPr="00B378E5">
        <w:rPr>
          <w:lang w:val="fr-FR"/>
        </w:rPr>
        <w:t>Annexe</w:t>
      </w:r>
      <w:r w:rsidR="003B2D52">
        <w:rPr>
          <w:lang w:val="fr-FR"/>
        </w:rPr>
        <w:br/>
      </w:r>
      <w:r w:rsidR="003B2D52">
        <w:rPr>
          <w:lang w:val="fr-FR"/>
        </w:rPr>
        <w:br/>
      </w:r>
      <w:r w:rsidRPr="00B378E5">
        <w:t xml:space="preserve">Orientations sur les </w:t>
      </w:r>
      <w:proofErr w:type="spellStart"/>
      <w:r w:rsidRPr="00B378E5">
        <w:t>mesures</w:t>
      </w:r>
      <w:proofErr w:type="spellEnd"/>
      <w:r w:rsidRPr="00B378E5">
        <w:t xml:space="preserve"> techniques et </w:t>
      </w:r>
      <w:proofErr w:type="spellStart"/>
      <w:r w:rsidRPr="00B378E5">
        <w:t>opérationnelles</w:t>
      </w:r>
      <w:proofErr w:type="spellEnd"/>
      <w:r w:rsidRPr="00B378E5">
        <w:t xml:space="preserve"> </w:t>
      </w:r>
      <w:proofErr w:type="spellStart"/>
      <w:r w:rsidRPr="00B378E5">
        <w:t>destinées</w:t>
      </w:r>
      <w:proofErr w:type="spellEnd"/>
      <w:r w:rsidRPr="00B378E5">
        <w:t xml:space="preserve"> à</w:t>
      </w:r>
      <w:r w:rsidRPr="00B378E5">
        <w:br/>
      </w:r>
      <w:proofErr w:type="spellStart"/>
      <w:r w:rsidRPr="00B378E5">
        <w:t>l'utilisation</w:t>
      </w:r>
      <w:proofErr w:type="spellEnd"/>
      <w:r w:rsidRPr="00B378E5">
        <w:t xml:space="preserve"> de la </w:t>
      </w:r>
      <w:proofErr w:type="spellStart"/>
      <w:r w:rsidRPr="00B378E5">
        <w:t>bande</w:t>
      </w:r>
      <w:proofErr w:type="spellEnd"/>
      <w:r w:rsidRPr="00B378E5">
        <w:t xml:space="preserve"> de </w:t>
      </w:r>
      <w:proofErr w:type="spellStart"/>
      <w:r w:rsidRPr="00B378E5">
        <w:t>fréquences</w:t>
      </w:r>
      <w:proofErr w:type="spellEnd"/>
      <w:r w:rsidRPr="00B378E5">
        <w:t xml:space="preserve"> 1 240-1 300 MHz par les services</w:t>
      </w:r>
      <w:r w:rsidRPr="00B378E5">
        <w:br/>
      </w:r>
      <w:proofErr w:type="spellStart"/>
      <w:r w:rsidRPr="00B378E5">
        <w:t>d'amateur</w:t>
      </w:r>
      <w:proofErr w:type="spellEnd"/>
      <w:r w:rsidRPr="00B378E5">
        <w:t xml:space="preserve"> et </w:t>
      </w:r>
      <w:proofErr w:type="spellStart"/>
      <w:r w:rsidRPr="00B378E5">
        <w:t>d'amateur</w:t>
      </w:r>
      <w:proofErr w:type="spellEnd"/>
      <w:r w:rsidRPr="00B378E5">
        <w:t xml:space="preserve"> par satellite pour </w:t>
      </w:r>
      <w:proofErr w:type="spellStart"/>
      <w:r w:rsidRPr="00B378E5">
        <w:t>protéger</w:t>
      </w:r>
      <w:proofErr w:type="spellEnd"/>
      <w:r w:rsidRPr="00B378E5">
        <w:t xml:space="preserve"> le service</w:t>
      </w:r>
      <w:r w:rsidRPr="00B378E5">
        <w:br/>
        <w:t>de radionavigation par satellite (</w:t>
      </w:r>
      <w:proofErr w:type="spellStart"/>
      <w:r w:rsidRPr="00B378E5">
        <w:t>espace</w:t>
      </w:r>
      <w:proofErr w:type="spellEnd"/>
      <w:r w:rsidRPr="00B378E5">
        <w:t xml:space="preserve"> </w:t>
      </w:r>
      <w:proofErr w:type="spellStart"/>
      <w:r w:rsidRPr="00B378E5">
        <w:t>vers</w:t>
      </w:r>
      <w:proofErr w:type="spellEnd"/>
      <w:r w:rsidRPr="00B378E5">
        <w:t xml:space="preserve"> Terre)</w:t>
      </w:r>
    </w:p>
    <w:p w14:paraId="21B2ED77" w14:textId="77777777" w:rsidR="00652886" w:rsidRPr="00B378E5" w:rsidRDefault="00652886" w:rsidP="003B2D52">
      <w:pPr>
        <w:pStyle w:val="Normalaftertitle"/>
      </w:pPr>
      <w:r w:rsidRPr="00B378E5">
        <w:t xml:space="preserve">Compte tenu des point </w:t>
      </w:r>
      <w:r w:rsidRPr="00B378E5">
        <w:rPr>
          <w:i/>
          <w:iCs/>
        </w:rPr>
        <w:t>b)</w:t>
      </w:r>
      <w:r w:rsidRPr="00B378E5">
        <w:t xml:space="preserve"> et </w:t>
      </w:r>
      <w:r w:rsidRPr="00B378E5">
        <w:rPr>
          <w:i/>
          <w:iCs/>
        </w:rPr>
        <w:t>c)</w:t>
      </w:r>
      <w:r w:rsidRPr="00B378E5">
        <w:t xml:space="preserve"> du </w:t>
      </w:r>
      <w:r w:rsidRPr="00B378E5">
        <w:rPr>
          <w:i/>
          <w:iCs/>
        </w:rPr>
        <w:t>reconnaissant</w:t>
      </w:r>
      <w:r w:rsidRPr="00B378E5">
        <w:t>, la présente Annexe présente les mesures techniques et opérationnelles sur lesquelles peuvent s'appuyer les administrations souhaitant autoriser ou poursuivre l'exploitation des services d'amateur et d'amateur par satellite sur l'ensemble de leur territoire dans la totalité de la bande de fréquences 1 240-1 300 MHz ou dans des parties de cette bande, pour protéger le service de radionavigation par satellite (SRNS), étant entendu que d'autres mesures visant à protéger le SRNS peuvent être mises en œuvre par les administrations en fonction de la situation de leur pays.</w:t>
      </w:r>
    </w:p>
    <w:p w14:paraId="684CA633" w14:textId="77777777" w:rsidR="00652886" w:rsidRPr="00B378E5" w:rsidRDefault="00652886" w:rsidP="00652886">
      <w:pPr>
        <w:rPr>
          <w:lang w:val="fr-FR"/>
        </w:rPr>
      </w:pPr>
      <w:r w:rsidRPr="00B378E5">
        <w:rPr>
          <w:lang w:val="fr-FR"/>
        </w:rPr>
        <w:t>1)</w:t>
      </w:r>
      <w:r w:rsidRPr="00B378E5">
        <w:rPr>
          <w:lang w:val="fr-FR"/>
        </w:rPr>
        <w:tab/>
        <w:t xml:space="preserve">Pour les applications à bande étroite (largeur de bande ≤ 150 kHz) du service </w:t>
      </w:r>
      <w:proofErr w:type="gramStart"/>
      <w:r w:rsidRPr="00B378E5">
        <w:rPr>
          <w:lang w:val="fr-FR"/>
        </w:rPr>
        <w:t>d'amateur:</w:t>
      </w:r>
      <w:proofErr w:type="gramEnd"/>
    </w:p>
    <w:p w14:paraId="5F90E6AA" w14:textId="77777777" w:rsidR="00652886" w:rsidRPr="00B378E5" w:rsidRDefault="00652886" w:rsidP="00652886">
      <w:pPr>
        <w:pStyle w:val="enumlev2"/>
        <w:rPr>
          <w:lang w:val="fr-FR"/>
        </w:rPr>
      </w:pPr>
      <w:r w:rsidRPr="00B378E5">
        <w:rPr>
          <w:lang w:val="fr-FR"/>
        </w:rPr>
        <w:t>a)</w:t>
      </w:r>
      <w:r w:rsidRPr="00B378E5">
        <w:rPr>
          <w:lang w:val="fr-FR"/>
        </w:rPr>
        <w:tab/>
        <w:t xml:space="preserve">1 240-1 255,76 </w:t>
      </w:r>
      <w:proofErr w:type="gramStart"/>
      <w:r w:rsidRPr="00B378E5">
        <w:rPr>
          <w:lang w:val="fr-FR"/>
        </w:rPr>
        <w:t>MHz:</w:t>
      </w:r>
      <w:proofErr w:type="gramEnd"/>
    </w:p>
    <w:p w14:paraId="54EDF66D" w14:textId="77777777" w:rsidR="00652886" w:rsidRPr="00B378E5" w:rsidRDefault="00652886" w:rsidP="00652886">
      <w:pPr>
        <w:pStyle w:val="enumlev2"/>
        <w:rPr>
          <w:rFonts w:eastAsia="Batang"/>
          <w:lang w:val="fr-FR" w:bidi="ru-RU"/>
        </w:rPr>
      </w:pPr>
      <w:r w:rsidRPr="00B378E5">
        <w:rPr>
          <w:rFonts w:eastAsia="Batang"/>
          <w:lang w:val="fr-FR" w:bidi="ru-RU"/>
        </w:rPr>
        <w:tab/>
        <w:t xml:space="preserve">Valeur maximale de </w:t>
      </w:r>
      <w:proofErr w:type="spellStart"/>
      <w:r w:rsidRPr="00B378E5">
        <w:rPr>
          <w:rFonts w:eastAsia="Batang"/>
          <w:lang w:val="fr-FR" w:bidi="ru-RU"/>
        </w:rPr>
        <w:t>p.i.r.e</w:t>
      </w:r>
      <w:proofErr w:type="spellEnd"/>
      <w:r w:rsidRPr="00B378E5">
        <w:rPr>
          <w:rFonts w:eastAsia="Batang"/>
          <w:lang w:val="fr-FR" w:bidi="ru-RU"/>
        </w:rPr>
        <w:t>.</w:t>
      </w:r>
      <w:r w:rsidRPr="00B378E5">
        <w:rPr>
          <w:rStyle w:val="FootnoteReference"/>
          <w:rFonts w:eastAsia="Batang"/>
          <w:lang w:val="fr-FR" w:bidi="ru-RU"/>
        </w:rPr>
        <w:footnoteReference w:customMarkFollows="1" w:id="2"/>
        <w:t>2</w:t>
      </w:r>
      <w:r w:rsidRPr="00B378E5">
        <w:rPr>
          <w:rFonts w:eastAsia="Batang"/>
          <w:lang w:val="fr-FR" w:bidi="ru-RU"/>
        </w:rPr>
        <w:t>:</w:t>
      </w:r>
    </w:p>
    <w:p w14:paraId="4813984D" w14:textId="77777777" w:rsidR="00652886" w:rsidRPr="00B378E5" w:rsidRDefault="00652886" w:rsidP="00652886">
      <w:pPr>
        <w:pStyle w:val="enumlev2"/>
        <w:tabs>
          <w:tab w:val="left" w:pos="7230"/>
        </w:tabs>
        <w:rPr>
          <w:rFonts w:eastAsia="Batang"/>
          <w:lang w:val="fr-FR"/>
        </w:rPr>
      </w:pPr>
      <w:r w:rsidRPr="00B378E5">
        <w:rPr>
          <w:rFonts w:eastAsia="Batang"/>
          <w:lang w:val="fr-FR"/>
        </w:rPr>
        <w:tab/>
        <w:t>−39,0</w:t>
      </w:r>
      <w:r w:rsidRPr="00B378E5">
        <w:rPr>
          <w:rFonts w:eastAsia="Batang"/>
          <w:lang w:val="fr-FR"/>
        </w:rPr>
        <w:tab/>
      </w:r>
      <w:proofErr w:type="spellStart"/>
      <w:r w:rsidRPr="00B378E5">
        <w:rPr>
          <w:rFonts w:eastAsia="Batang"/>
          <w:lang w:val="fr-FR"/>
        </w:rPr>
        <w:t>dBW</w:t>
      </w:r>
      <w:proofErr w:type="spellEnd"/>
      <w:r w:rsidRPr="00B378E5">
        <w:rPr>
          <w:rFonts w:eastAsia="Batang"/>
          <w:lang w:val="fr-FR"/>
        </w:rPr>
        <w:t xml:space="preserve"> par largeur de bande (150 kHz)</w:t>
      </w:r>
      <w:r w:rsidRPr="00B378E5">
        <w:rPr>
          <w:rFonts w:eastAsia="Batang"/>
          <w:lang w:val="fr-FR"/>
        </w:rPr>
        <w:tab/>
        <w:t>pour</w:t>
      </w:r>
      <w:r w:rsidRPr="00B378E5">
        <w:rPr>
          <w:rFonts w:eastAsia="Batang"/>
          <w:lang w:val="fr-FR"/>
        </w:rPr>
        <w:tab/>
        <w:t>‒90</w:t>
      </w:r>
      <w:r w:rsidRPr="00B378E5">
        <w:rPr>
          <w:rFonts w:eastAsia="Batang"/>
          <w:lang w:val="fr-FR"/>
        </w:rPr>
        <w:sym w:font="Symbol" w:char="F0B0"/>
      </w:r>
      <w:r w:rsidRPr="00B378E5">
        <w:rPr>
          <w:rFonts w:eastAsia="Batang"/>
          <w:lang w:val="fr-FR"/>
        </w:rPr>
        <w:tab/>
      </w:r>
      <w:r w:rsidRPr="00B378E5">
        <w:rPr>
          <w:rFonts w:eastAsia="Batang"/>
          <w:lang w:val="fr-FR"/>
        </w:rPr>
        <w:sym w:font="Symbol" w:char="F0A3"/>
      </w:r>
      <w:r w:rsidRPr="00B378E5">
        <w:rPr>
          <w:rFonts w:eastAsia="Batang"/>
          <w:lang w:val="fr-FR"/>
        </w:rPr>
        <w:t xml:space="preserve"> </w:t>
      </w:r>
      <w:r w:rsidRPr="00B378E5">
        <w:rPr>
          <w:rFonts w:eastAsia="Batang"/>
          <w:lang w:val="fr-FR"/>
        </w:rPr>
        <w:sym w:font="Symbol" w:char="F071"/>
      </w:r>
      <w:r w:rsidRPr="00B378E5">
        <w:rPr>
          <w:rFonts w:eastAsia="Batang"/>
          <w:lang w:val="fr-FR"/>
        </w:rPr>
        <w:t xml:space="preserve"> &lt; 0°</w:t>
      </w:r>
    </w:p>
    <w:p w14:paraId="32C6A09C" w14:textId="77777777" w:rsidR="00652886" w:rsidRPr="00B378E5" w:rsidRDefault="00652886" w:rsidP="00652886">
      <w:pPr>
        <w:pStyle w:val="enumlev2"/>
        <w:tabs>
          <w:tab w:val="left" w:pos="7230"/>
        </w:tabs>
        <w:rPr>
          <w:rFonts w:eastAsia="Batang"/>
          <w:lang w:val="fr-FR"/>
        </w:rPr>
      </w:pPr>
      <w:r w:rsidRPr="00B378E5">
        <w:rPr>
          <w:rFonts w:eastAsia="Batang"/>
          <w:lang w:val="fr-FR"/>
        </w:rPr>
        <w:tab/>
        <w:t>−39,0</w:t>
      </w:r>
      <w:r w:rsidRPr="00B378E5">
        <w:rPr>
          <w:rFonts w:eastAsia="Batang"/>
          <w:lang w:val="fr-FR"/>
        </w:rPr>
        <w:tab/>
      </w:r>
      <w:proofErr w:type="spellStart"/>
      <w:r w:rsidRPr="00B378E5">
        <w:rPr>
          <w:rFonts w:eastAsia="Batang"/>
          <w:lang w:val="fr-FR"/>
        </w:rPr>
        <w:t>dBW</w:t>
      </w:r>
      <w:proofErr w:type="spellEnd"/>
      <w:r w:rsidRPr="00B378E5">
        <w:rPr>
          <w:rFonts w:eastAsia="Batang"/>
          <w:lang w:val="fr-FR"/>
        </w:rPr>
        <w:t xml:space="preserve"> par largeur de bande de (150 kHz)</w:t>
      </w:r>
      <w:r w:rsidRPr="00B378E5">
        <w:rPr>
          <w:rFonts w:eastAsia="Batang"/>
          <w:lang w:val="fr-FR"/>
        </w:rPr>
        <w:tab/>
        <w:t>pour</w:t>
      </w:r>
      <w:r w:rsidRPr="00B378E5">
        <w:rPr>
          <w:rFonts w:eastAsia="Batang"/>
          <w:lang w:val="fr-FR"/>
        </w:rPr>
        <w:tab/>
        <w:t>0</w:t>
      </w:r>
      <w:r w:rsidRPr="00B378E5">
        <w:rPr>
          <w:rFonts w:eastAsia="Batang"/>
          <w:lang w:val="fr-FR"/>
        </w:rPr>
        <w:sym w:font="Symbol" w:char="F0B0"/>
      </w:r>
      <w:r w:rsidRPr="00B378E5">
        <w:rPr>
          <w:rFonts w:eastAsia="Batang"/>
          <w:lang w:val="fr-FR"/>
        </w:rPr>
        <w:tab/>
      </w:r>
      <w:r w:rsidRPr="00B378E5">
        <w:rPr>
          <w:rFonts w:eastAsia="Batang"/>
          <w:lang w:val="fr-FR"/>
        </w:rPr>
        <w:sym w:font="Symbol" w:char="F0A3"/>
      </w:r>
      <w:r w:rsidRPr="00B378E5">
        <w:rPr>
          <w:rFonts w:eastAsia="Batang"/>
          <w:lang w:val="fr-FR"/>
        </w:rPr>
        <w:t xml:space="preserve"> </w:t>
      </w:r>
      <w:r w:rsidRPr="00B378E5">
        <w:rPr>
          <w:rFonts w:eastAsia="Batang"/>
          <w:lang w:val="fr-FR"/>
        </w:rPr>
        <w:sym w:font="Symbol" w:char="F071"/>
      </w:r>
      <w:r w:rsidRPr="00B378E5">
        <w:rPr>
          <w:rFonts w:eastAsia="Batang"/>
          <w:lang w:val="fr-FR"/>
        </w:rPr>
        <w:t xml:space="preserve"> &lt; 5°</w:t>
      </w:r>
    </w:p>
    <w:p w14:paraId="090C43F6" w14:textId="77777777" w:rsidR="00652886" w:rsidRPr="00B378E5" w:rsidRDefault="00652886" w:rsidP="00652886">
      <w:pPr>
        <w:pStyle w:val="enumlev2"/>
        <w:tabs>
          <w:tab w:val="clear" w:pos="1191"/>
          <w:tab w:val="clear" w:pos="1588"/>
          <w:tab w:val="clear" w:pos="1985"/>
          <w:tab w:val="left" w:pos="3261"/>
          <w:tab w:val="left" w:pos="7230"/>
        </w:tabs>
        <w:rPr>
          <w:rFonts w:eastAsia="Batang"/>
          <w:lang w:val="fr-FR"/>
        </w:rPr>
      </w:pPr>
      <w:r w:rsidRPr="00B378E5">
        <w:rPr>
          <w:rFonts w:eastAsia="Batang"/>
          <w:lang w:val="fr-FR"/>
        </w:rPr>
        <w:tab/>
        <w:t>−39,0 – 1,05 (</w:t>
      </w:r>
      <w:r w:rsidRPr="00B378E5">
        <w:rPr>
          <w:rFonts w:eastAsia="Batang"/>
          <w:lang w:val="fr-FR"/>
        </w:rPr>
        <w:sym w:font="Symbol" w:char="F071"/>
      </w:r>
      <w:r w:rsidRPr="00B378E5">
        <w:rPr>
          <w:rFonts w:eastAsia="Batang"/>
          <w:lang w:val="fr-FR"/>
        </w:rPr>
        <w:t> – 5)</w:t>
      </w:r>
      <w:r w:rsidRPr="00B378E5">
        <w:rPr>
          <w:rFonts w:eastAsia="Batang"/>
          <w:lang w:val="fr-FR"/>
        </w:rPr>
        <w:tab/>
      </w:r>
      <w:proofErr w:type="spellStart"/>
      <w:r w:rsidRPr="00B378E5">
        <w:rPr>
          <w:rFonts w:eastAsia="Batang"/>
          <w:lang w:val="fr-FR"/>
        </w:rPr>
        <w:t>dBW</w:t>
      </w:r>
      <w:proofErr w:type="spellEnd"/>
      <w:r w:rsidRPr="00B378E5">
        <w:rPr>
          <w:rFonts w:eastAsia="Batang"/>
          <w:lang w:val="fr-FR"/>
        </w:rPr>
        <w:t xml:space="preserve"> par largeur de bande de (150 kHz)</w:t>
      </w:r>
      <w:r w:rsidRPr="00B378E5">
        <w:rPr>
          <w:rFonts w:eastAsia="Batang"/>
          <w:lang w:val="fr-FR"/>
        </w:rPr>
        <w:tab/>
        <w:t>pour</w:t>
      </w:r>
      <w:r w:rsidRPr="00B378E5">
        <w:rPr>
          <w:rFonts w:eastAsia="Batang"/>
          <w:lang w:val="fr-FR"/>
        </w:rPr>
        <w:tab/>
        <w:t>5</w:t>
      </w:r>
      <w:r w:rsidRPr="00B378E5">
        <w:rPr>
          <w:rFonts w:eastAsia="Batang"/>
          <w:lang w:val="fr-FR"/>
        </w:rPr>
        <w:sym w:font="Symbol" w:char="F0B0"/>
      </w:r>
      <w:r w:rsidRPr="00B378E5">
        <w:rPr>
          <w:rFonts w:eastAsia="Batang"/>
          <w:lang w:val="fr-FR"/>
        </w:rPr>
        <w:tab/>
      </w:r>
      <w:r w:rsidRPr="00B378E5">
        <w:rPr>
          <w:rFonts w:eastAsia="Batang"/>
          <w:lang w:val="fr-FR"/>
        </w:rPr>
        <w:sym w:font="Symbol" w:char="F0A3"/>
      </w:r>
      <w:r w:rsidRPr="00B378E5">
        <w:rPr>
          <w:rFonts w:eastAsia="Batang"/>
          <w:lang w:val="fr-FR"/>
        </w:rPr>
        <w:t> </w:t>
      </w:r>
      <w:r w:rsidRPr="00B378E5">
        <w:rPr>
          <w:rFonts w:eastAsia="Batang"/>
          <w:lang w:val="fr-FR"/>
        </w:rPr>
        <w:sym w:font="Symbol" w:char="F071"/>
      </w:r>
      <w:r w:rsidRPr="00B378E5">
        <w:rPr>
          <w:rFonts w:eastAsia="Batang"/>
          <w:lang w:val="fr-FR"/>
        </w:rPr>
        <w:t xml:space="preserve"> &lt; 25°</w:t>
      </w:r>
    </w:p>
    <w:p w14:paraId="3697EC31" w14:textId="2BD417CE" w:rsidR="00652886" w:rsidRPr="00B378E5" w:rsidRDefault="00652886" w:rsidP="00652886">
      <w:pPr>
        <w:pStyle w:val="enumlev2"/>
        <w:tabs>
          <w:tab w:val="left" w:pos="7230"/>
        </w:tabs>
        <w:rPr>
          <w:rFonts w:eastAsia="Batang"/>
          <w:lang w:val="fr-FR"/>
        </w:rPr>
      </w:pPr>
      <w:r w:rsidRPr="00B378E5">
        <w:rPr>
          <w:rFonts w:eastAsia="Batang"/>
          <w:lang w:val="fr-FR"/>
        </w:rPr>
        <w:tab/>
      </w:r>
      <w:r w:rsidR="003B2D52">
        <w:rPr>
          <w:rFonts w:eastAsia="Batang"/>
          <w:lang w:val="fr-FR"/>
        </w:rPr>
        <w:t>−</w:t>
      </w:r>
      <w:r w:rsidRPr="00B378E5">
        <w:rPr>
          <w:rFonts w:eastAsia="Batang"/>
          <w:lang w:val="fr-FR"/>
        </w:rPr>
        <w:t xml:space="preserve">60 </w:t>
      </w:r>
      <w:proofErr w:type="spellStart"/>
      <w:r w:rsidRPr="00B378E5">
        <w:rPr>
          <w:rFonts w:eastAsia="Batang"/>
          <w:lang w:val="fr-FR"/>
        </w:rPr>
        <w:t>dBW</w:t>
      </w:r>
      <w:proofErr w:type="spellEnd"/>
      <w:r w:rsidRPr="00B378E5">
        <w:rPr>
          <w:rFonts w:eastAsia="Batang"/>
          <w:lang w:val="fr-FR"/>
        </w:rPr>
        <w:t xml:space="preserve"> par largeur de bande de (150 kHz)</w:t>
      </w:r>
      <w:r w:rsidRPr="00B378E5">
        <w:rPr>
          <w:rFonts w:eastAsia="Batang"/>
          <w:lang w:val="fr-FR"/>
        </w:rPr>
        <w:tab/>
        <w:t>pour</w:t>
      </w:r>
      <w:r w:rsidRPr="00B378E5">
        <w:rPr>
          <w:rFonts w:eastAsia="Batang"/>
          <w:lang w:val="fr-FR"/>
        </w:rPr>
        <w:tab/>
        <w:t>25°</w:t>
      </w:r>
      <w:r w:rsidRPr="00B378E5">
        <w:rPr>
          <w:rFonts w:eastAsia="Batang"/>
          <w:lang w:val="fr-FR"/>
        </w:rPr>
        <w:tab/>
      </w:r>
      <w:r w:rsidRPr="00B378E5">
        <w:rPr>
          <w:rFonts w:eastAsia="Batang"/>
          <w:lang w:val="fr-FR"/>
        </w:rPr>
        <w:sym w:font="Symbol" w:char="F0A3"/>
      </w:r>
      <w:r w:rsidRPr="00B378E5">
        <w:rPr>
          <w:rFonts w:eastAsia="Batang"/>
          <w:lang w:val="fr-FR"/>
        </w:rPr>
        <w:t xml:space="preserve"> </w:t>
      </w:r>
      <w:r w:rsidRPr="00B378E5">
        <w:rPr>
          <w:rFonts w:eastAsia="Batang"/>
          <w:lang w:val="fr-FR"/>
        </w:rPr>
        <w:sym w:font="Symbol" w:char="F071"/>
      </w:r>
      <w:r w:rsidRPr="00B378E5">
        <w:rPr>
          <w:rFonts w:eastAsia="Batang"/>
          <w:lang w:val="fr-FR"/>
        </w:rPr>
        <w:t xml:space="preserve"> &lt; 90°,</w:t>
      </w:r>
    </w:p>
    <w:p w14:paraId="7D4CD3A3" w14:textId="77777777" w:rsidR="00652886" w:rsidRPr="00B378E5" w:rsidRDefault="00652886" w:rsidP="00652886">
      <w:pPr>
        <w:pStyle w:val="enumlev2"/>
        <w:rPr>
          <w:rFonts w:eastAsia="Batang"/>
          <w:lang w:val="fr-FR"/>
        </w:rPr>
      </w:pPr>
      <w:proofErr w:type="gramStart"/>
      <w:r w:rsidRPr="00B378E5">
        <w:rPr>
          <w:rFonts w:eastAsia="Batang"/>
          <w:lang w:val="fr-FR"/>
        </w:rPr>
        <w:lastRenderedPageBreak/>
        <w:t>où</w:t>
      </w:r>
      <w:proofErr w:type="gramEnd"/>
      <w:r w:rsidRPr="00B378E5">
        <w:rPr>
          <w:rFonts w:eastAsia="Batang"/>
          <w:lang w:val="fr-FR"/>
        </w:rPr>
        <w:t xml:space="preserve"> </w:t>
      </w:r>
      <w:r w:rsidRPr="00B378E5">
        <w:rPr>
          <w:rFonts w:eastAsia="Batang"/>
          <w:lang w:val="fr-FR"/>
        </w:rPr>
        <w:sym w:font="Symbol" w:char="F071"/>
      </w:r>
      <w:r w:rsidRPr="00B378E5">
        <w:rPr>
          <w:rFonts w:eastAsia="Batang"/>
          <w:lang w:val="fr-FR"/>
        </w:rPr>
        <w:t xml:space="preserve"> est l'angle d'élévation de l'antenne de la station d'amateur.</w:t>
      </w:r>
    </w:p>
    <w:p w14:paraId="07600B21" w14:textId="77777777" w:rsidR="00652886" w:rsidRPr="00B378E5" w:rsidRDefault="00652886" w:rsidP="00652886">
      <w:pPr>
        <w:pStyle w:val="enumlev2"/>
        <w:rPr>
          <w:rFonts w:eastAsia="Batang"/>
          <w:lang w:val="fr-FR" w:bidi="ru-RU"/>
        </w:rPr>
      </w:pPr>
      <w:r w:rsidRPr="00B378E5">
        <w:rPr>
          <w:rFonts w:eastAsia="Batang"/>
          <w:lang w:val="fr-FR" w:bidi="ru-RU"/>
        </w:rPr>
        <w:t>b)</w:t>
      </w:r>
      <w:r w:rsidRPr="00B378E5">
        <w:rPr>
          <w:rFonts w:eastAsia="Batang"/>
          <w:lang w:val="fr-FR" w:bidi="ru-RU"/>
        </w:rPr>
        <w:tab/>
        <w:t xml:space="preserve">1 255,76-1 256,52 </w:t>
      </w:r>
      <w:proofErr w:type="gramStart"/>
      <w:r w:rsidRPr="00B378E5">
        <w:rPr>
          <w:rFonts w:eastAsia="Batang"/>
          <w:lang w:val="fr-FR" w:bidi="ru-RU"/>
        </w:rPr>
        <w:t>MHz:</w:t>
      </w:r>
      <w:proofErr w:type="gramEnd"/>
      <w:r w:rsidRPr="00B378E5">
        <w:rPr>
          <w:rFonts w:eastAsia="Batang"/>
          <w:lang w:val="fr-FR" w:bidi="ru-RU"/>
        </w:rPr>
        <w:t xml:space="preserve"> valeur maximale de </w:t>
      </w:r>
      <w:proofErr w:type="spellStart"/>
      <w:r w:rsidRPr="00B378E5">
        <w:rPr>
          <w:rFonts w:eastAsia="Batang"/>
          <w:lang w:val="fr-FR" w:bidi="ru-RU"/>
        </w:rPr>
        <w:t>p.i.r.e</w:t>
      </w:r>
      <w:proofErr w:type="spellEnd"/>
      <w:r w:rsidRPr="00B378E5">
        <w:rPr>
          <w:rFonts w:eastAsia="Batang"/>
          <w:lang w:val="fr-FR" w:bidi="ru-RU"/>
        </w:rPr>
        <w:t>.</w:t>
      </w:r>
      <w:r w:rsidRPr="00B378E5">
        <w:rPr>
          <w:rStyle w:val="FootnoteReference"/>
          <w:rFonts w:eastAsia="Batang"/>
          <w:lang w:val="fr-FR"/>
        </w:rPr>
        <w:t>2</w:t>
      </w:r>
      <w:r w:rsidRPr="00B378E5">
        <w:rPr>
          <w:rFonts w:eastAsia="Batang"/>
          <w:lang w:val="fr-FR" w:eastAsia="zh-CN" w:bidi="ru-RU"/>
        </w:rPr>
        <w:t xml:space="preserve"> = 24 </w:t>
      </w:r>
      <w:proofErr w:type="spellStart"/>
      <w:r w:rsidRPr="00B378E5">
        <w:rPr>
          <w:rFonts w:eastAsia="Batang"/>
          <w:lang w:val="fr-FR" w:eastAsia="zh-CN" w:bidi="ru-RU"/>
        </w:rPr>
        <w:t>dBW</w:t>
      </w:r>
      <w:proofErr w:type="spellEnd"/>
      <w:r w:rsidRPr="00B378E5">
        <w:rPr>
          <w:rFonts w:eastAsia="Batang"/>
          <w:lang w:val="fr-FR" w:eastAsia="zh-CN" w:bidi="ru-RU"/>
        </w:rPr>
        <w:t>,</w:t>
      </w:r>
    </w:p>
    <w:p w14:paraId="0A97AEA8" w14:textId="77777777" w:rsidR="00652886" w:rsidRPr="00B378E5" w:rsidRDefault="00652886" w:rsidP="00652886">
      <w:pPr>
        <w:pStyle w:val="enumlev3"/>
        <w:rPr>
          <w:rFonts w:eastAsia="Batang"/>
          <w:lang w:val="fr-FR"/>
        </w:rPr>
      </w:pPr>
      <w:r w:rsidRPr="00B378E5">
        <w:rPr>
          <w:rFonts w:eastAsia="Batang"/>
          <w:lang w:val="fr-FR"/>
        </w:rPr>
        <w:t>•</w:t>
      </w:r>
      <w:r w:rsidRPr="00B378E5">
        <w:rPr>
          <w:rFonts w:eastAsia="Batang"/>
          <w:lang w:val="fr-FR"/>
        </w:rPr>
        <w:tab/>
      </w:r>
      <w:bookmarkStart w:id="5" w:name="_Hlk151026224"/>
      <w:r w:rsidRPr="00B378E5">
        <w:rPr>
          <w:rFonts w:eastAsia="Batang"/>
          <w:lang w:val="fr-FR"/>
        </w:rPr>
        <w:t>Les émissions hors bande au-dessous de 1 255,76 MHz devraient être telles que définies au point 1a) ci-dessus.</w:t>
      </w:r>
      <w:bookmarkEnd w:id="5"/>
    </w:p>
    <w:p w14:paraId="78142950" w14:textId="77777777" w:rsidR="00652886" w:rsidRPr="00B378E5" w:rsidRDefault="00652886" w:rsidP="00652886">
      <w:pPr>
        <w:pStyle w:val="enumlev2"/>
        <w:rPr>
          <w:rFonts w:eastAsia="Batang"/>
          <w:lang w:val="fr-FR" w:bidi="ru-RU"/>
        </w:rPr>
      </w:pPr>
      <w:r w:rsidRPr="00B378E5">
        <w:rPr>
          <w:rFonts w:eastAsia="Batang"/>
          <w:lang w:val="fr-FR" w:bidi="ru-RU"/>
        </w:rPr>
        <w:t>c)</w:t>
      </w:r>
      <w:r w:rsidRPr="00B378E5">
        <w:rPr>
          <w:rFonts w:eastAsia="Batang"/>
          <w:lang w:val="fr-FR" w:bidi="ru-RU"/>
        </w:rPr>
        <w:tab/>
        <w:t xml:space="preserve">1 256,52-1 258 </w:t>
      </w:r>
      <w:proofErr w:type="gramStart"/>
      <w:r w:rsidRPr="00B378E5">
        <w:rPr>
          <w:rFonts w:eastAsia="Batang"/>
          <w:lang w:val="fr-FR" w:bidi="ru-RU"/>
        </w:rPr>
        <w:t>MHz:</w:t>
      </w:r>
      <w:proofErr w:type="gramEnd"/>
      <w:r w:rsidRPr="00B378E5">
        <w:rPr>
          <w:rFonts w:eastAsia="Batang"/>
          <w:lang w:val="fr-FR" w:bidi="ru-RU"/>
        </w:rPr>
        <w:t xml:space="preserve"> valeur maximale de </w:t>
      </w:r>
      <w:proofErr w:type="spellStart"/>
      <w:r w:rsidRPr="00B378E5">
        <w:rPr>
          <w:rFonts w:eastAsia="Batang"/>
          <w:lang w:val="fr-FR" w:bidi="ru-RU"/>
        </w:rPr>
        <w:t>p.i.r.e</w:t>
      </w:r>
      <w:proofErr w:type="spellEnd"/>
      <w:r w:rsidRPr="00B378E5">
        <w:rPr>
          <w:rFonts w:eastAsia="Batang"/>
          <w:lang w:val="fr-FR" w:bidi="ru-RU"/>
        </w:rPr>
        <w:t>.</w:t>
      </w:r>
      <w:r w:rsidRPr="00B378E5">
        <w:rPr>
          <w:rStyle w:val="FootnoteReference"/>
          <w:rFonts w:eastAsia="Batang"/>
          <w:lang w:val="fr-FR"/>
        </w:rPr>
        <w:t>2</w:t>
      </w:r>
      <w:r w:rsidRPr="00B378E5">
        <w:rPr>
          <w:rFonts w:eastAsia="Batang"/>
          <w:lang w:val="fr-FR" w:bidi="ru-RU"/>
        </w:rPr>
        <w:t> = 21 </w:t>
      </w:r>
      <w:proofErr w:type="spellStart"/>
      <w:r w:rsidRPr="00B378E5">
        <w:rPr>
          <w:rFonts w:eastAsia="Batang"/>
          <w:lang w:val="fr-FR" w:bidi="ru-RU"/>
        </w:rPr>
        <w:t>dBW</w:t>
      </w:r>
      <w:proofErr w:type="spellEnd"/>
    </w:p>
    <w:p w14:paraId="3881CA70" w14:textId="77777777" w:rsidR="00652886" w:rsidRPr="00B378E5" w:rsidRDefault="00652886" w:rsidP="00652886">
      <w:pPr>
        <w:pStyle w:val="enumlev2"/>
        <w:rPr>
          <w:rFonts w:eastAsia="SimSun"/>
          <w:lang w:val="fr-FR" w:eastAsia="zh-CN" w:bidi="ru-RU"/>
        </w:rPr>
      </w:pPr>
      <w:r w:rsidRPr="00B378E5">
        <w:rPr>
          <w:rFonts w:eastAsia="SimSun"/>
          <w:lang w:val="fr-FR" w:eastAsia="zh-CN" w:bidi="ru-RU"/>
        </w:rPr>
        <w:t>d)</w:t>
      </w:r>
      <w:r w:rsidRPr="00B378E5">
        <w:rPr>
          <w:rFonts w:eastAsia="SimSun"/>
          <w:lang w:val="fr-FR" w:eastAsia="zh-CN" w:bidi="ru-RU"/>
        </w:rPr>
        <w:tab/>
        <w:t xml:space="preserve">1 258-1 296 </w:t>
      </w:r>
      <w:proofErr w:type="gramStart"/>
      <w:r w:rsidRPr="00B378E5">
        <w:rPr>
          <w:rFonts w:eastAsia="SimSun"/>
          <w:lang w:val="fr-FR" w:eastAsia="zh-CN" w:bidi="ru-RU"/>
        </w:rPr>
        <w:t>MHz:</w:t>
      </w:r>
      <w:proofErr w:type="gramEnd"/>
      <w:r w:rsidRPr="00B378E5">
        <w:rPr>
          <w:rFonts w:eastAsia="SimSun"/>
          <w:lang w:val="fr-FR" w:eastAsia="zh-CN" w:bidi="ru-RU"/>
        </w:rPr>
        <w:t xml:space="preserve"> </w:t>
      </w:r>
      <w:r w:rsidRPr="00B378E5">
        <w:rPr>
          <w:rFonts w:eastAsia="Batang"/>
          <w:lang w:val="fr-FR" w:bidi="ru-RU"/>
        </w:rPr>
        <w:t xml:space="preserve">valeur maximale de </w:t>
      </w:r>
      <w:proofErr w:type="spellStart"/>
      <w:r w:rsidRPr="00B378E5">
        <w:rPr>
          <w:rFonts w:eastAsia="Batang"/>
          <w:lang w:val="fr-FR" w:bidi="ru-RU"/>
        </w:rPr>
        <w:t>p.i.r.e</w:t>
      </w:r>
      <w:proofErr w:type="spellEnd"/>
      <w:r w:rsidRPr="00B378E5">
        <w:rPr>
          <w:rFonts w:eastAsia="Batang"/>
          <w:lang w:val="fr-FR" w:bidi="ru-RU"/>
        </w:rPr>
        <w:t>.</w:t>
      </w:r>
      <w:r w:rsidRPr="00B378E5">
        <w:rPr>
          <w:rStyle w:val="FootnoteReference"/>
          <w:rFonts w:eastAsia="Batang"/>
          <w:lang w:val="fr-FR"/>
        </w:rPr>
        <w:t>2</w:t>
      </w:r>
      <w:r w:rsidRPr="00B378E5">
        <w:rPr>
          <w:rFonts w:eastAsia="Batang"/>
          <w:lang w:val="fr-FR" w:bidi="ru-RU"/>
        </w:rPr>
        <w:t> = −17 </w:t>
      </w:r>
      <w:proofErr w:type="spellStart"/>
      <w:r w:rsidRPr="00B378E5">
        <w:rPr>
          <w:rFonts w:eastAsia="Batang"/>
          <w:lang w:val="fr-FR" w:bidi="ru-RU"/>
        </w:rPr>
        <w:t>dBW</w:t>
      </w:r>
      <w:proofErr w:type="spellEnd"/>
    </w:p>
    <w:p w14:paraId="66400593" w14:textId="77777777" w:rsidR="00652886" w:rsidRPr="00B378E5" w:rsidRDefault="00652886" w:rsidP="00652886">
      <w:pPr>
        <w:pStyle w:val="enumlev2"/>
        <w:rPr>
          <w:lang w:val="fr-FR"/>
        </w:rPr>
      </w:pPr>
      <w:r w:rsidRPr="00B378E5">
        <w:rPr>
          <w:lang w:val="fr-FR"/>
        </w:rPr>
        <w:t>e)</w:t>
      </w:r>
      <w:r w:rsidRPr="00B378E5">
        <w:rPr>
          <w:lang w:val="fr-FR"/>
        </w:rPr>
        <w:tab/>
        <w:t>1 296</w:t>
      </w:r>
      <w:r w:rsidRPr="00B378E5">
        <w:rPr>
          <w:lang w:val="fr-FR"/>
        </w:rPr>
        <w:noBreakHyphen/>
        <w:t xml:space="preserve">1 298 </w:t>
      </w:r>
      <w:proofErr w:type="gramStart"/>
      <w:r w:rsidRPr="00B378E5">
        <w:rPr>
          <w:lang w:val="fr-FR"/>
        </w:rPr>
        <w:t>MHz:</w:t>
      </w:r>
      <w:proofErr w:type="gramEnd"/>
      <w:r w:rsidRPr="00B378E5">
        <w:rPr>
          <w:lang w:val="fr-FR"/>
        </w:rPr>
        <w:t xml:space="preserve"> puissance maximale d'émission</w:t>
      </w:r>
      <w:r w:rsidRPr="00B378E5">
        <w:rPr>
          <w:rStyle w:val="FootnoteReference"/>
          <w:lang w:val="fr-FR"/>
        </w:rPr>
        <w:footnoteReference w:customMarkFollows="1" w:id="3"/>
        <w:t>3</w:t>
      </w:r>
      <w:r w:rsidRPr="00B378E5">
        <w:rPr>
          <w:lang w:val="fr-FR"/>
        </w:rPr>
        <w:t> = 17 </w:t>
      </w:r>
      <w:proofErr w:type="spellStart"/>
      <w:r w:rsidRPr="00B378E5">
        <w:rPr>
          <w:lang w:val="fr-FR"/>
        </w:rPr>
        <w:t>dBW</w:t>
      </w:r>
      <w:proofErr w:type="spellEnd"/>
    </w:p>
    <w:p w14:paraId="4122BEE8" w14:textId="77777777" w:rsidR="00652886" w:rsidRPr="00B378E5" w:rsidRDefault="00652886" w:rsidP="00652886">
      <w:pPr>
        <w:pStyle w:val="enumlev2"/>
        <w:rPr>
          <w:lang w:val="fr-FR"/>
        </w:rPr>
      </w:pPr>
      <w:r w:rsidRPr="00B378E5">
        <w:rPr>
          <w:lang w:val="fr-FR"/>
        </w:rPr>
        <w:t>f)</w:t>
      </w:r>
      <w:r w:rsidRPr="00B378E5">
        <w:rPr>
          <w:lang w:val="fr-FR"/>
        </w:rPr>
        <w:tab/>
        <w:t>1 298</w:t>
      </w:r>
      <w:r w:rsidRPr="00B378E5">
        <w:rPr>
          <w:lang w:val="fr-FR"/>
        </w:rPr>
        <w:noBreakHyphen/>
        <w:t xml:space="preserve">1 300 </w:t>
      </w:r>
      <w:proofErr w:type="gramStart"/>
      <w:r w:rsidRPr="00B378E5">
        <w:rPr>
          <w:lang w:val="fr-FR"/>
        </w:rPr>
        <w:t>MHz:</w:t>
      </w:r>
      <w:proofErr w:type="gramEnd"/>
      <w:r w:rsidRPr="00B378E5">
        <w:rPr>
          <w:lang w:val="fr-FR"/>
        </w:rPr>
        <w:t xml:space="preserve"> puissance maximale d'émission</w:t>
      </w:r>
      <w:r w:rsidRPr="00B378E5">
        <w:rPr>
          <w:rStyle w:val="FootnoteReference"/>
          <w:rFonts w:eastAsia="Batang"/>
          <w:lang w:val="fr-FR"/>
        </w:rPr>
        <w:t>3</w:t>
      </w:r>
      <w:r w:rsidRPr="00B378E5">
        <w:rPr>
          <w:lang w:val="fr-FR"/>
        </w:rPr>
        <w:t> = 22 </w:t>
      </w:r>
      <w:proofErr w:type="spellStart"/>
      <w:r w:rsidRPr="00B378E5">
        <w:rPr>
          <w:lang w:val="fr-FR"/>
        </w:rPr>
        <w:t>dBW</w:t>
      </w:r>
      <w:proofErr w:type="spellEnd"/>
    </w:p>
    <w:p w14:paraId="6D029056" w14:textId="77777777" w:rsidR="00652886" w:rsidRPr="00B378E5" w:rsidRDefault="00652886" w:rsidP="00652886">
      <w:pPr>
        <w:pStyle w:val="enumlev3"/>
        <w:keepLines/>
        <w:rPr>
          <w:lang w:val="fr-FR"/>
        </w:rPr>
      </w:pPr>
      <w:r w:rsidRPr="00B378E5">
        <w:rPr>
          <w:lang w:val="fr-FR"/>
        </w:rPr>
        <w:t>•</w:t>
      </w:r>
      <w:r w:rsidRPr="00B378E5">
        <w:rPr>
          <w:lang w:val="fr-FR"/>
        </w:rPr>
        <w:tab/>
        <w:t xml:space="preserve">pour les applications Terre-Lune-Terre à bande étroite du service d'amateur utilisant une antenne symétrique à haute performance (par exemple, gain dans l'axe de visée d'au moins 30 </w:t>
      </w:r>
      <w:proofErr w:type="spellStart"/>
      <w:r w:rsidRPr="00B378E5">
        <w:rPr>
          <w:lang w:val="fr-FR"/>
        </w:rPr>
        <w:t>dBi</w:t>
      </w:r>
      <w:proofErr w:type="spellEnd"/>
      <w:r w:rsidRPr="00B378E5">
        <w:rPr>
          <w:lang w:val="fr-FR"/>
        </w:rPr>
        <w:t xml:space="preserve">) pointant à un angle d'au moins 15 degrés au-dessus du plan </w:t>
      </w:r>
      <w:proofErr w:type="gramStart"/>
      <w:r w:rsidRPr="00B378E5">
        <w:rPr>
          <w:lang w:val="fr-FR"/>
        </w:rPr>
        <w:t>horizontal:</w:t>
      </w:r>
      <w:proofErr w:type="gramEnd"/>
    </w:p>
    <w:p w14:paraId="16682D14" w14:textId="77777777" w:rsidR="00652886" w:rsidRPr="00B378E5" w:rsidRDefault="00652886" w:rsidP="00652886">
      <w:pPr>
        <w:pStyle w:val="enumlev3"/>
        <w:rPr>
          <w:lang w:val="fr-FR"/>
        </w:rPr>
      </w:pPr>
      <w:r w:rsidRPr="00B378E5">
        <w:rPr>
          <w:lang w:val="fr-FR"/>
        </w:rPr>
        <w:t>a)</w:t>
      </w:r>
      <w:r w:rsidRPr="00B378E5">
        <w:rPr>
          <w:lang w:val="fr-FR"/>
        </w:rPr>
        <w:tab/>
        <w:t>1 298</w:t>
      </w:r>
      <w:r w:rsidRPr="00B378E5">
        <w:rPr>
          <w:lang w:val="fr-FR"/>
        </w:rPr>
        <w:noBreakHyphen/>
        <w:t xml:space="preserve">1 300 </w:t>
      </w:r>
      <w:proofErr w:type="gramStart"/>
      <w:r w:rsidRPr="00B378E5">
        <w:rPr>
          <w:lang w:val="fr-FR"/>
        </w:rPr>
        <w:t>MHz:</w:t>
      </w:r>
      <w:proofErr w:type="gramEnd"/>
      <w:r w:rsidRPr="00B378E5">
        <w:rPr>
          <w:lang w:val="fr-FR"/>
        </w:rPr>
        <w:t xml:space="preserve"> puissance maximale d'émission</w:t>
      </w:r>
      <w:r w:rsidRPr="00B378E5">
        <w:rPr>
          <w:rStyle w:val="FootnoteReference"/>
          <w:rFonts w:eastAsia="Batang"/>
          <w:lang w:val="fr-FR"/>
        </w:rPr>
        <w:t>3</w:t>
      </w:r>
      <w:r w:rsidRPr="00B378E5">
        <w:rPr>
          <w:lang w:val="fr-FR"/>
        </w:rPr>
        <w:t> = 27 </w:t>
      </w:r>
      <w:proofErr w:type="spellStart"/>
      <w:r w:rsidRPr="00B378E5">
        <w:rPr>
          <w:lang w:val="fr-FR"/>
        </w:rPr>
        <w:t>dBW</w:t>
      </w:r>
      <w:proofErr w:type="spellEnd"/>
      <w:r w:rsidRPr="00B378E5">
        <w:rPr>
          <w:lang w:val="fr-FR"/>
        </w:rPr>
        <w:t>.</w:t>
      </w:r>
    </w:p>
    <w:p w14:paraId="3596193B" w14:textId="77777777" w:rsidR="00652886" w:rsidRPr="00B378E5" w:rsidRDefault="00652886" w:rsidP="00652886">
      <w:pPr>
        <w:pStyle w:val="enumlev1"/>
        <w:keepNext/>
        <w:rPr>
          <w:lang w:val="fr-FR"/>
        </w:rPr>
      </w:pPr>
      <w:r w:rsidRPr="00B378E5">
        <w:rPr>
          <w:lang w:val="fr-FR"/>
        </w:rPr>
        <w:t>2)</w:t>
      </w:r>
      <w:r w:rsidRPr="00B378E5">
        <w:rPr>
          <w:lang w:val="fr-FR"/>
        </w:rPr>
        <w:tab/>
        <w:t>Pour les applications à bande étroite (largeur de bande ≤ 150 kHz) du service d'amateur par satellite (Terre vers espace</w:t>
      </w:r>
      <w:proofErr w:type="gramStart"/>
      <w:r w:rsidRPr="00B378E5">
        <w:rPr>
          <w:lang w:val="fr-FR"/>
        </w:rPr>
        <w:t>):</w:t>
      </w:r>
      <w:proofErr w:type="gramEnd"/>
    </w:p>
    <w:p w14:paraId="5A52B26A" w14:textId="77777777" w:rsidR="00652886" w:rsidRPr="00B378E5" w:rsidRDefault="00652886" w:rsidP="00652886">
      <w:pPr>
        <w:pStyle w:val="enumlev2"/>
        <w:keepNext/>
        <w:rPr>
          <w:lang w:val="fr-FR"/>
        </w:rPr>
      </w:pPr>
      <w:r w:rsidRPr="00B378E5">
        <w:rPr>
          <w:lang w:val="fr-FR"/>
        </w:rPr>
        <w:t>a)</w:t>
      </w:r>
      <w:r w:rsidRPr="00B378E5">
        <w:rPr>
          <w:lang w:val="fr-FR"/>
        </w:rPr>
        <w:tab/>
        <w:t xml:space="preserve">1 260-1 262 </w:t>
      </w:r>
      <w:proofErr w:type="gramStart"/>
      <w:r w:rsidRPr="00B378E5">
        <w:rPr>
          <w:lang w:val="fr-FR"/>
        </w:rPr>
        <w:t>MHz:</w:t>
      </w:r>
      <w:proofErr w:type="gramEnd"/>
      <w:r w:rsidRPr="00B378E5">
        <w:rPr>
          <w:lang w:val="fr-FR"/>
        </w:rPr>
        <w:t xml:space="preserve"> </w:t>
      </w:r>
    </w:p>
    <w:p w14:paraId="31937F60" w14:textId="77777777" w:rsidR="00652886" w:rsidRPr="00B378E5" w:rsidRDefault="00652886" w:rsidP="00652886">
      <w:pPr>
        <w:pStyle w:val="enumlev2"/>
        <w:keepNext/>
        <w:rPr>
          <w:lang w:val="fr-FR"/>
        </w:rPr>
      </w:pPr>
      <w:r w:rsidRPr="00B378E5">
        <w:rPr>
          <w:rFonts w:eastAsia="Batang"/>
          <w:lang w:val="fr-FR" w:bidi="ru-RU"/>
        </w:rPr>
        <w:tab/>
        <w:t xml:space="preserve">Valeur maximale de </w:t>
      </w:r>
      <w:proofErr w:type="spellStart"/>
      <w:r w:rsidRPr="00B378E5">
        <w:rPr>
          <w:rFonts w:eastAsia="Batang"/>
          <w:lang w:val="fr-FR" w:bidi="ru-RU"/>
        </w:rPr>
        <w:t>p.i.r.e</w:t>
      </w:r>
      <w:proofErr w:type="spellEnd"/>
      <w:r w:rsidRPr="00B378E5">
        <w:rPr>
          <w:rFonts w:eastAsia="Batang"/>
          <w:lang w:val="fr-FR" w:bidi="ru-RU"/>
        </w:rPr>
        <w:t>.</w:t>
      </w:r>
      <w:r w:rsidRPr="00B378E5">
        <w:rPr>
          <w:rStyle w:val="FootnoteReference"/>
          <w:lang w:val="fr-FR"/>
        </w:rPr>
        <w:t>2</w:t>
      </w:r>
      <w:r w:rsidRPr="00B378E5">
        <w:rPr>
          <w:lang w:val="fr-FR"/>
        </w:rPr>
        <w:t>:</w:t>
      </w:r>
    </w:p>
    <w:p w14:paraId="028A4AD0" w14:textId="74008223" w:rsidR="00652886" w:rsidRPr="00B378E5" w:rsidRDefault="00652886" w:rsidP="00652886">
      <w:pPr>
        <w:pStyle w:val="enumlev2"/>
        <w:keepNext/>
        <w:tabs>
          <w:tab w:val="left" w:pos="6379"/>
          <w:tab w:val="left" w:pos="7088"/>
          <w:tab w:val="left" w:pos="7938"/>
        </w:tabs>
        <w:rPr>
          <w:rFonts w:eastAsia="Batang"/>
          <w:lang w:val="fr-FR" w:eastAsia="zh-CN" w:bidi="ru-RU"/>
        </w:rPr>
      </w:pPr>
      <w:r w:rsidRPr="00B378E5">
        <w:rPr>
          <w:rFonts w:eastAsia="Batang"/>
          <w:lang w:val="fr-FR" w:eastAsia="zh-CN" w:bidi="ru-RU"/>
        </w:rPr>
        <w:tab/>
      </w:r>
      <w:r w:rsidR="003B2D52">
        <w:rPr>
          <w:rFonts w:eastAsia="Batang"/>
          <w:lang w:val="fr-FR" w:eastAsia="zh-CN" w:bidi="ru-RU"/>
        </w:rPr>
        <w:t>−</w:t>
      </w:r>
      <w:r w:rsidRPr="00B378E5">
        <w:rPr>
          <w:rFonts w:eastAsia="Batang"/>
          <w:lang w:val="fr-FR" w:eastAsia="zh-CN" w:bidi="ru-RU"/>
        </w:rPr>
        <w:t xml:space="preserve">3 </w:t>
      </w:r>
      <w:proofErr w:type="spellStart"/>
      <w:r w:rsidRPr="00B378E5">
        <w:rPr>
          <w:rFonts w:eastAsia="Batang"/>
          <w:lang w:val="fr-FR" w:eastAsia="zh-CN" w:bidi="ru-RU"/>
        </w:rPr>
        <w:t>dBW</w:t>
      </w:r>
      <w:proofErr w:type="spellEnd"/>
      <w:r w:rsidRPr="00B378E5">
        <w:rPr>
          <w:rFonts w:eastAsia="Batang"/>
          <w:lang w:val="fr-FR" w:eastAsia="zh-CN" w:bidi="ru-RU"/>
        </w:rPr>
        <w:tab/>
        <w:t>pour</w:t>
      </w:r>
      <w:r w:rsidRPr="00B378E5">
        <w:rPr>
          <w:rFonts w:eastAsia="Batang"/>
          <w:lang w:val="fr-FR" w:eastAsia="zh-CN" w:bidi="ru-RU"/>
        </w:rPr>
        <w:tab/>
        <w:t>0</w:t>
      </w:r>
      <w:r w:rsidRPr="00B378E5">
        <w:rPr>
          <w:rFonts w:eastAsia="Batang"/>
          <w:lang w:val="fr-FR" w:bidi="ru-RU"/>
        </w:rPr>
        <w:t>°</w:t>
      </w:r>
      <w:r w:rsidRPr="00B378E5">
        <w:rPr>
          <w:rFonts w:eastAsia="Batang"/>
          <w:lang w:val="fr-FR" w:bidi="ru-RU"/>
        </w:rPr>
        <w:tab/>
      </w:r>
      <w:r w:rsidRPr="00B378E5">
        <w:rPr>
          <w:rFonts w:eastAsia="Batang"/>
          <w:lang w:val="fr-FR" w:bidi="ru-RU"/>
        </w:rPr>
        <w:sym w:font="Symbol" w:char="F0A3"/>
      </w:r>
      <w:r w:rsidRPr="00B378E5">
        <w:rPr>
          <w:rFonts w:eastAsia="Batang"/>
          <w:lang w:val="fr-FR" w:bidi="ru-RU"/>
        </w:rPr>
        <w:sym w:font="Symbol" w:char="F071"/>
      </w:r>
      <w:r w:rsidRPr="00B378E5">
        <w:rPr>
          <w:rFonts w:eastAsia="Batang"/>
          <w:lang w:val="fr-FR" w:bidi="ru-RU"/>
        </w:rPr>
        <w:t xml:space="preserve">&lt; </w:t>
      </w:r>
      <w:r w:rsidRPr="00B378E5">
        <w:rPr>
          <w:rFonts w:eastAsia="Batang"/>
          <w:lang w:val="fr-FR" w:eastAsia="zh-CN" w:bidi="ru-RU"/>
        </w:rPr>
        <w:t>15</w:t>
      </w:r>
      <w:r w:rsidRPr="00B378E5">
        <w:rPr>
          <w:rFonts w:eastAsia="Batang"/>
          <w:lang w:val="fr-FR" w:bidi="ru-RU"/>
        </w:rPr>
        <w:t>°</w:t>
      </w:r>
    </w:p>
    <w:p w14:paraId="0E64C53D" w14:textId="77777777" w:rsidR="00652886" w:rsidRPr="00B378E5" w:rsidRDefault="00652886" w:rsidP="00652886">
      <w:pPr>
        <w:pStyle w:val="enumlev2"/>
        <w:keepNext/>
        <w:tabs>
          <w:tab w:val="left" w:pos="6379"/>
          <w:tab w:val="left" w:pos="7088"/>
          <w:tab w:val="left" w:pos="7938"/>
        </w:tabs>
        <w:rPr>
          <w:rFonts w:eastAsia="Batang"/>
          <w:lang w:val="fr-FR" w:bidi="ru-RU"/>
        </w:rPr>
      </w:pPr>
      <w:r w:rsidRPr="00B378E5">
        <w:rPr>
          <w:rFonts w:eastAsia="Batang"/>
          <w:lang w:val="fr-FR" w:eastAsia="zh-CN"/>
        </w:rPr>
        <w:tab/>
        <w:t>17</w:t>
      </w:r>
      <w:r w:rsidRPr="00B378E5">
        <w:rPr>
          <w:rFonts w:eastAsia="Batang"/>
          <w:lang w:val="fr-FR"/>
        </w:rPr>
        <w:t xml:space="preserve"> </w:t>
      </w:r>
      <w:proofErr w:type="spellStart"/>
      <w:r w:rsidRPr="00B378E5">
        <w:rPr>
          <w:rFonts w:eastAsia="Batang"/>
          <w:lang w:val="fr-FR"/>
        </w:rPr>
        <w:t>dBW</w:t>
      </w:r>
      <w:proofErr w:type="spellEnd"/>
      <w:r w:rsidRPr="00B378E5">
        <w:rPr>
          <w:rFonts w:eastAsia="Batang"/>
          <w:lang w:val="fr-FR" w:eastAsia="zh-CN"/>
        </w:rPr>
        <w:tab/>
        <w:t>pour</w:t>
      </w:r>
      <w:r w:rsidRPr="00B378E5">
        <w:rPr>
          <w:rFonts w:eastAsia="Batang"/>
          <w:lang w:val="fr-FR" w:eastAsia="zh-CN"/>
        </w:rPr>
        <w:tab/>
      </w:r>
      <w:r w:rsidRPr="00B378E5">
        <w:rPr>
          <w:rFonts w:eastAsia="Batang"/>
          <w:lang w:val="fr-FR" w:eastAsia="zh-CN" w:bidi="ru-RU"/>
        </w:rPr>
        <w:t>15</w:t>
      </w:r>
      <w:r w:rsidRPr="00B378E5">
        <w:rPr>
          <w:rFonts w:eastAsia="Batang"/>
          <w:lang w:val="fr-FR" w:bidi="ru-RU"/>
        </w:rPr>
        <w:t>°</w:t>
      </w:r>
      <w:r w:rsidRPr="00B378E5">
        <w:rPr>
          <w:rFonts w:eastAsia="Batang"/>
          <w:lang w:val="fr-FR" w:bidi="ru-RU"/>
        </w:rPr>
        <w:tab/>
      </w:r>
      <w:r w:rsidRPr="00B378E5">
        <w:rPr>
          <w:rFonts w:eastAsia="Batang"/>
          <w:lang w:val="fr-FR" w:bidi="ru-RU"/>
        </w:rPr>
        <w:sym w:font="Symbol" w:char="F0A3"/>
      </w:r>
      <w:r w:rsidRPr="00B378E5">
        <w:rPr>
          <w:rFonts w:eastAsia="Batang"/>
          <w:lang w:val="fr-FR" w:bidi="ru-RU"/>
        </w:rPr>
        <w:sym w:font="Symbol" w:char="F071"/>
      </w:r>
      <w:r w:rsidRPr="00B378E5">
        <w:rPr>
          <w:rFonts w:eastAsia="Batang"/>
          <w:lang w:val="fr-FR" w:bidi="ru-RU"/>
        </w:rPr>
        <w:t>&lt; 55°</w:t>
      </w:r>
    </w:p>
    <w:p w14:paraId="4AEF6710" w14:textId="77777777" w:rsidR="00652886" w:rsidRPr="00B378E5" w:rsidRDefault="00652886" w:rsidP="00652886">
      <w:pPr>
        <w:pStyle w:val="enumlev2"/>
        <w:tabs>
          <w:tab w:val="left" w:pos="6379"/>
          <w:tab w:val="left" w:pos="7088"/>
          <w:tab w:val="left" w:pos="7938"/>
        </w:tabs>
        <w:rPr>
          <w:rFonts w:eastAsia="Batang"/>
          <w:lang w:val="fr-FR" w:bidi="ru-RU"/>
        </w:rPr>
      </w:pPr>
      <w:r w:rsidRPr="00B378E5">
        <w:rPr>
          <w:rFonts w:eastAsia="Batang"/>
          <w:lang w:val="fr-FR" w:bidi="ru-RU"/>
        </w:rPr>
        <w:tab/>
        <w:t xml:space="preserve">26,8 </w:t>
      </w:r>
      <w:proofErr w:type="spellStart"/>
      <w:r w:rsidRPr="00B378E5">
        <w:rPr>
          <w:rFonts w:eastAsia="Batang"/>
          <w:lang w:val="fr-FR" w:bidi="ru-RU"/>
        </w:rPr>
        <w:t>dBW</w:t>
      </w:r>
      <w:proofErr w:type="spellEnd"/>
      <w:r w:rsidRPr="00B378E5">
        <w:rPr>
          <w:rFonts w:eastAsia="Batang"/>
          <w:lang w:val="fr-FR" w:bidi="ru-RU"/>
        </w:rPr>
        <w:tab/>
        <w:t>pour</w:t>
      </w:r>
      <w:r w:rsidRPr="00B378E5">
        <w:rPr>
          <w:rFonts w:eastAsia="Batang"/>
          <w:lang w:val="fr-FR" w:bidi="ru-RU"/>
        </w:rPr>
        <w:tab/>
      </w:r>
      <w:r w:rsidRPr="00B378E5">
        <w:rPr>
          <w:rFonts w:eastAsia="Batang"/>
          <w:lang w:val="fr-FR" w:eastAsia="zh-CN" w:bidi="ru-RU"/>
        </w:rPr>
        <w:t>55</w:t>
      </w:r>
      <w:r w:rsidRPr="00B378E5">
        <w:rPr>
          <w:rFonts w:eastAsia="Batang"/>
          <w:lang w:val="fr-FR" w:bidi="ru-RU"/>
        </w:rPr>
        <w:t>°</w:t>
      </w:r>
      <w:r w:rsidRPr="00B378E5">
        <w:rPr>
          <w:rFonts w:eastAsia="Batang"/>
          <w:lang w:val="fr-FR" w:bidi="ru-RU"/>
        </w:rPr>
        <w:tab/>
      </w:r>
      <w:r w:rsidRPr="00B378E5">
        <w:rPr>
          <w:rFonts w:eastAsia="Batang"/>
          <w:lang w:val="fr-FR" w:bidi="ru-RU"/>
        </w:rPr>
        <w:sym w:font="Symbol" w:char="F0A3"/>
      </w:r>
      <w:r w:rsidRPr="00B378E5">
        <w:rPr>
          <w:rFonts w:eastAsia="Batang"/>
          <w:lang w:val="fr-FR" w:bidi="ru-RU"/>
        </w:rPr>
        <w:sym w:font="Symbol" w:char="F071"/>
      </w:r>
      <w:r w:rsidRPr="00B378E5">
        <w:rPr>
          <w:rFonts w:eastAsia="Batang"/>
          <w:lang w:val="fr-FR" w:bidi="ru-RU"/>
        </w:rPr>
        <w:t>&lt; 90°</w:t>
      </w:r>
    </w:p>
    <w:p w14:paraId="5D51C09B" w14:textId="77777777" w:rsidR="00652886" w:rsidRPr="00B378E5" w:rsidRDefault="00652886" w:rsidP="00652886">
      <w:pPr>
        <w:pStyle w:val="enumlev2"/>
        <w:rPr>
          <w:rFonts w:eastAsia="Batang"/>
          <w:lang w:val="fr-FR" w:eastAsia="ko-KR"/>
        </w:rPr>
      </w:pPr>
      <w:r w:rsidRPr="00B378E5">
        <w:rPr>
          <w:rFonts w:eastAsia="Batang"/>
          <w:lang w:val="fr-FR" w:bidi="ru-RU"/>
        </w:rPr>
        <w:tab/>
      </w:r>
      <w:proofErr w:type="gramStart"/>
      <w:r w:rsidRPr="00B378E5">
        <w:rPr>
          <w:rFonts w:eastAsia="Batang"/>
          <w:lang w:val="fr-FR" w:bidi="ru-RU"/>
        </w:rPr>
        <w:t>où</w:t>
      </w:r>
      <w:proofErr w:type="gramEnd"/>
      <w:r w:rsidRPr="00B378E5">
        <w:rPr>
          <w:rFonts w:eastAsia="Batang"/>
          <w:lang w:val="fr-FR" w:bidi="ru-RU"/>
        </w:rPr>
        <w:t xml:space="preserve"> </w:t>
      </w:r>
      <w:r w:rsidRPr="00B378E5">
        <w:rPr>
          <w:rFonts w:eastAsia="Batang"/>
          <w:lang w:val="fr-FR" w:bidi="ru-RU"/>
        </w:rPr>
        <w:sym w:font="Symbol" w:char="F071"/>
      </w:r>
      <w:r w:rsidRPr="00B378E5">
        <w:rPr>
          <w:rFonts w:eastAsia="Batang"/>
          <w:lang w:val="fr-FR" w:bidi="ru-RU"/>
        </w:rPr>
        <w:t xml:space="preserve"> est l'angle d'élévation de l'antenne de la station d'amateur,</w:t>
      </w:r>
    </w:p>
    <w:p w14:paraId="2456D473" w14:textId="77777777" w:rsidR="00652886" w:rsidRPr="00B378E5" w:rsidRDefault="00652886" w:rsidP="00652886">
      <w:pPr>
        <w:pStyle w:val="enumlev2"/>
        <w:rPr>
          <w:lang w:val="fr-FR"/>
        </w:rPr>
      </w:pPr>
      <w:r w:rsidRPr="00B378E5">
        <w:rPr>
          <w:rFonts w:eastAsia="Batang"/>
          <w:lang w:val="fr-FR" w:bidi="ru-RU"/>
        </w:rPr>
        <w:t>b)</w:t>
      </w:r>
      <w:r w:rsidRPr="00B378E5">
        <w:rPr>
          <w:rFonts w:eastAsia="Batang"/>
          <w:lang w:val="fr-FR" w:bidi="ru-RU"/>
        </w:rPr>
        <w:tab/>
        <w:t xml:space="preserve">1 262-1 270 </w:t>
      </w:r>
      <w:proofErr w:type="gramStart"/>
      <w:r w:rsidRPr="00B378E5">
        <w:rPr>
          <w:rFonts w:eastAsia="Batang"/>
          <w:lang w:val="fr-FR" w:bidi="ru-RU"/>
        </w:rPr>
        <w:t>MHz:</w:t>
      </w:r>
      <w:proofErr w:type="gramEnd"/>
      <w:r w:rsidRPr="00B378E5">
        <w:rPr>
          <w:rFonts w:eastAsia="Batang"/>
          <w:lang w:val="fr-FR" w:bidi="ru-RU"/>
        </w:rPr>
        <w:t xml:space="preserve"> valeur maximale de </w:t>
      </w:r>
      <w:proofErr w:type="spellStart"/>
      <w:r w:rsidRPr="00B378E5">
        <w:rPr>
          <w:rFonts w:eastAsia="Batang"/>
          <w:lang w:val="fr-FR" w:bidi="ru-RU"/>
        </w:rPr>
        <w:t>p.i.r.e</w:t>
      </w:r>
      <w:proofErr w:type="spellEnd"/>
      <w:r w:rsidRPr="00B378E5">
        <w:rPr>
          <w:rFonts w:eastAsia="Batang"/>
          <w:lang w:val="fr-FR" w:bidi="ru-RU"/>
        </w:rPr>
        <w:t>.</w:t>
      </w:r>
      <w:r w:rsidRPr="00B378E5">
        <w:rPr>
          <w:rStyle w:val="FootnoteReference"/>
          <w:lang w:val="fr-FR"/>
        </w:rPr>
        <w:t>2</w:t>
      </w:r>
      <w:r w:rsidRPr="00B378E5">
        <w:rPr>
          <w:lang w:val="fr-FR"/>
        </w:rPr>
        <w:t> = </w:t>
      </w:r>
      <w:r w:rsidRPr="00B378E5">
        <w:rPr>
          <w:rFonts w:eastAsia="Batang"/>
          <w:lang w:val="fr-FR" w:bidi="ru-RU"/>
        </w:rPr>
        <w:t>−</w:t>
      </w:r>
      <w:r w:rsidRPr="00B378E5">
        <w:rPr>
          <w:lang w:val="fr-FR"/>
        </w:rPr>
        <w:t>17 </w:t>
      </w:r>
      <w:proofErr w:type="spellStart"/>
      <w:r w:rsidRPr="00B378E5">
        <w:rPr>
          <w:lang w:val="fr-FR"/>
        </w:rPr>
        <w:t>dBW</w:t>
      </w:r>
      <w:proofErr w:type="spellEnd"/>
    </w:p>
    <w:p w14:paraId="322106F6" w14:textId="77777777" w:rsidR="00652886" w:rsidRPr="00B378E5" w:rsidRDefault="00652886" w:rsidP="00652886">
      <w:pPr>
        <w:pStyle w:val="enumlev1"/>
        <w:rPr>
          <w:lang w:val="fr-FR"/>
        </w:rPr>
      </w:pPr>
      <w:r w:rsidRPr="00B378E5">
        <w:rPr>
          <w:lang w:val="fr-FR"/>
        </w:rPr>
        <w:t>3)</w:t>
      </w:r>
      <w:r w:rsidRPr="00B378E5">
        <w:rPr>
          <w:lang w:val="fr-FR"/>
        </w:rPr>
        <w:tab/>
        <w:t xml:space="preserve">Pour les applications large bande (largeur de bande &gt; 150 kHz) du service d'amateur, y compris les applications de télévision </w:t>
      </w:r>
      <w:proofErr w:type="gramStart"/>
      <w:r w:rsidRPr="00B378E5">
        <w:rPr>
          <w:lang w:val="fr-FR"/>
        </w:rPr>
        <w:t>d'amateur:</w:t>
      </w:r>
      <w:proofErr w:type="gramEnd"/>
    </w:p>
    <w:p w14:paraId="3814D446" w14:textId="77777777" w:rsidR="00652886" w:rsidRPr="00B378E5" w:rsidRDefault="00652886" w:rsidP="00652886">
      <w:pPr>
        <w:pStyle w:val="enumlev2"/>
        <w:rPr>
          <w:lang w:val="fr-FR"/>
        </w:rPr>
      </w:pPr>
      <w:r w:rsidRPr="00B378E5">
        <w:rPr>
          <w:lang w:val="fr-FR"/>
        </w:rPr>
        <w:t>a)</w:t>
      </w:r>
      <w:r w:rsidRPr="00B378E5">
        <w:rPr>
          <w:lang w:val="fr-FR"/>
        </w:rPr>
        <w:tab/>
        <w:t xml:space="preserve">1 240-1 255,76 </w:t>
      </w:r>
      <w:proofErr w:type="gramStart"/>
      <w:r w:rsidRPr="00B378E5">
        <w:rPr>
          <w:lang w:val="fr-FR"/>
        </w:rPr>
        <w:t>MHz:</w:t>
      </w:r>
      <w:proofErr w:type="gramEnd"/>
      <w:r w:rsidRPr="00B378E5">
        <w:rPr>
          <w:lang w:val="fr-FR"/>
        </w:rPr>
        <w:t xml:space="preserve"> </w:t>
      </w:r>
    </w:p>
    <w:p w14:paraId="12205128" w14:textId="77777777" w:rsidR="00652886" w:rsidRPr="00B378E5" w:rsidRDefault="00652886" w:rsidP="00652886">
      <w:pPr>
        <w:pStyle w:val="enumlev2"/>
        <w:rPr>
          <w:lang w:val="fr-FR"/>
        </w:rPr>
      </w:pPr>
      <w:r w:rsidRPr="00B378E5">
        <w:rPr>
          <w:rFonts w:eastAsia="Batang"/>
          <w:lang w:val="fr-FR" w:bidi="ru-RU"/>
        </w:rPr>
        <w:tab/>
        <w:t xml:space="preserve">Valeur maximale de </w:t>
      </w:r>
      <w:proofErr w:type="spellStart"/>
      <w:r w:rsidRPr="00B378E5">
        <w:rPr>
          <w:rFonts w:eastAsia="Batang"/>
          <w:lang w:val="fr-FR" w:bidi="ru-RU"/>
        </w:rPr>
        <w:t>p.i.r.e</w:t>
      </w:r>
      <w:proofErr w:type="spellEnd"/>
      <w:r w:rsidRPr="00B378E5">
        <w:rPr>
          <w:rFonts w:eastAsia="Batang"/>
          <w:lang w:val="fr-FR" w:bidi="ru-RU"/>
        </w:rPr>
        <w:t>.</w:t>
      </w:r>
      <w:r w:rsidRPr="00B378E5">
        <w:rPr>
          <w:rStyle w:val="FootnoteReference"/>
          <w:lang w:val="fr-FR"/>
        </w:rPr>
        <w:t>2</w:t>
      </w:r>
      <w:r w:rsidRPr="00B378E5">
        <w:rPr>
          <w:lang w:val="fr-FR"/>
        </w:rPr>
        <w:t>:</w:t>
      </w:r>
    </w:p>
    <w:p w14:paraId="7CD62932" w14:textId="77777777" w:rsidR="00652886" w:rsidRPr="00B378E5" w:rsidRDefault="00652886" w:rsidP="00652886">
      <w:pPr>
        <w:pStyle w:val="enumlev2"/>
        <w:tabs>
          <w:tab w:val="left" w:pos="7230"/>
        </w:tabs>
        <w:rPr>
          <w:rFonts w:eastAsia="Batang"/>
          <w:lang w:val="fr-FR" w:bidi="ru-RU"/>
        </w:rPr>
      </w:pPr>
      <w:r w:rsidRPr="00B378E5">
        <w:rPr>
          <w:rFonts w:eastAsia="Batang"/>
          <w:lang w:val="fr-FR" w:bidi="ru-RU"/>
        </w:rPr>
        <w:tab/>
        <w:t>−39,0</w:t>
      </w:r>
      <w:r w:rsidRPr="00B378E5">
        <w:rPr>
          <w:rFonts w:eastAsia="Batang"/>
          <w:lang w:val="fr-FR" w:bidi="ru-RU"/>
        </w:rPr>
        <w:tab/>
      </w:r>
      <w:proofErr w:type="spellStart"/>
      <w:r w:rsidRPr="00B378E5">
        <w:rPr>
          <w:rFonts w:eastAsia="Batang"/>
          <w:lang w:val="fr-FR" w:bidi="ru-RU"/>
        </w:rPr>
        <w:t>dBW</w:t>
      </w:r>
      <w:proofErr w:type="spellEnd"/>
      <w:r w:rsidRPr="00B378E5">
        <w:rPr>
          <w:rFonts w:eastAsia="Batang"/>
          <w:lang w:val="fr-FR" w:bidi="ru-RU"/>
        </w:rPr>
        <w:t xml:space="preserve"> par largeur de bande (150 kHz)</w:t>
      </w:r>
      <w:r w:rsidRPr="00B378E5">
        <w:rPr>
          <w:rFonts w:eastAsia="Batang"/>
          <w:lang w:val="fr-FR" w:bidi="ru-RU"/>
        </w:rPr>
        <w:tab/>
        <w:t>pour</w:t>
      </w:r>
      <w:r w:rsidRPr="00B378E5">
        <w:rPr>
          <w:rFonts w:eastAsia="Batang"/>
          <w:lang w:val="fr-FR" w:bidi="ru-RU"/>
        </w:rPr>
        <w:tab/>
        <w:t>‒90</w:t>
      </w:r>
      <w:r w:rsidRPr="00B378E5">
        <w:rPr>
          <w:rFonts w:eastAsia="Batang"/>
          <w:lang w:val="fr-FR" w:bidi="ru-RU"/>
        </w:rPr>
        <w:sym w:font="Symbol" w:char="F0B0"/>
      </w:r>
      <w:r w:rsidRPr="00B378E5">
        <w:rPr>
          <w:rFonts w:eastAsia="Batang"/>
          <w:lang w:val="fr-FR" w:bidi="ru-RU"/>
        </w:rPr>
        <w:tab/>
      </w:r>
      <w:r w:rsidRPr="00B378E5">
        <w:rPr>
          <w:rFonts w:eastAsia="Batang"/>
          <w:lang w:val="fr-FR" w:bidi="ru-RU"/>
        </w:rPr>
        <w:sym w:font="Symbol" w:char="F0A3"/>
      </w:r>
      <w:r w:rsidRPr="00B378E5">
        <w:rPr>
          <w:rFonts w:eastAsia="Batang"/>
          <w:lang w:val="fr-FR" w:bidi="ru-RU"/>
        </w:rPr>
        <w:t xml:space="preserve"> </w:t>
      </w:r>
      <w:r w:rsidRPr="00B378E5">
        <w:rPr>
          <w:rFonts w:eastAsia="Batang"/>
          <w:lang w:val="fr-FR" w:bidi="ru-RU"/>
        </w:rPr>
        <w:sym w:font="Symbol" w:char="F071"/>
      </w:r>
      <w:r w:rsidRPr="00B378E5">
        <w:rPr>
          <w:rFonts w:eastAsia="Batang"/>
          <w:lang w:val="fr-FR" w:bidi="ru-RU"/>
        </w:rPr>
        <w:t xml:space="preserve"> &lt; 0°</w:t>
      </w:r>
    </w:p>
    <w:p w14:paraId="3EF74FCF" w14:textId="77777777" w:rsidR="00652886" w:rsidRPr="00B378E5" w:rsidRDefault="00652886" w:rsidP="00652886">
      <w:pPr>
        <w:pStyle w:val="enumlev2"/>
        <w:tabs>
          <w:tab w:val="left" w:pos="7230"/>
        </w:tabs>
        <w:rPr>
          <w:rFonts w:eastAsia="Batang"/>
          <w:lang w:val="fr-FR" w:eastAsia="ko-KR"/>
        </w:rPr>
      </w:pPr>
      <w:r w:rsidRPr="00B378E5">
        <w:rPr>
          <w:rFonts w:eastAsia="Batang"/>
          <w:lang w:val="fr-FR" w:bidi="ru-RU"/>
        </w:rPr>
        <w:tab/>
        <w:t>−39,0</w:t>
      </w:r>
      <w:r w:rsidRPr="00B378E5">
        <w:rPr>
          <w:rFonts w:eastAsia="Batang"/>
          <w:lang w:val="fr-FR" w:bidi="ru-RU"/>
        </w:rPr>
        <w:tab/>
      </w:r>
      <w:proofErr w:type="spellStart"/>
      <w:r w:rsidRPr="00B378E5">
        <w:rPr>
          <w:rFonts w:eastAsia="Batang"/>
          <w:lang w:val="fr-FR" w:bidi="ru-RU"/>
        </w:rPr>
        <w:t>dBW</w:t>
      </w:r>
      <w:proofErr w:type="spellEnd"/>
      <w:r w:rsidRPr="00B378E5">
        <w:rPr>
          <w:rFonts w:eastAsia="Batang"/>
          <w:lang w:val="fr-FR" w:bidi="ru-RU"/>
        </w:rPr>
        <w:t xml:space="preserve"> par largeur de bande de (150 kHz)</w:t>
      </w:r>
      <w:r w:rsidRPr="00B378E5">
        <w:rPr>
          <w:rFonts w:eastAsia="Batang"/>
          <w:lang w:val="fr-FR" w:bidi="ru-RU"/>
        </w:rPr>
        <w:tab/>
        <w:t>pour</w:t>
      </w:r>
      <w:r w:rsidRPr="00B378E5">
        <w:rPr>
          <w:rFonts w:eastAsia="Batang"/>
          <w:lang w:val="fr-FR" w:bidi="ru-RU"/>
        </w:rPr>
        <w:tab/>
        <w:t>0</w:t>
      </w:r>
      <w:r w:rsidRPr="00B378E5">
        <w:rPr>
          <w:rFonts w:eastAsia="Batang"/>
          <w:lang w:val="fr-FR" w:bidi="ru-RU"/>
        </w:rPr>
        <w:sym w:font="Symbol" w:char="F0B0"/>
      </w:r>
      <w:r w:rsidRPr="00B378E5">
        <w:rPr>
          <w:rFonts w:eastAsia="Batang"/>
          <w:lang w:val="fr-FR" w:bidi="ru-RU"/>
        </w:rPr>
        <w:tab/>
      </w:r>
      <w:r w:rsidRPr="00B378E5">
        <w:rPr>
          <w:rFonts w:eastAsia="Batang"/>
          <w:lang w:val="fr-FR" w:bidi="ru-RU"/>
        </w:rPr>
        <w:sym w:font="Symbol" w:char="F0A3"/>
      </w:r>
      <w:r w:rsidRPr="00B378E5">
        <w:rPr>
          <w:rFonts w:eastAsia="Batang"/>
          <w:lang w:val="fr-FR" w:bidi="ru-RU"/>
        </w:rPr>
        <w:t xml:space="preserve"> </w:t>
      </w:r>
      <w:r w:rsidRPr="00B378E5">
        <w:rPr>
          <w:rFonts w:eastAsia="Batang"/>
          <w:lang w:val="fr-FR" w:bidi="ru-RU"/>
        </w:rPr>
        <w:sym w:font="Symbol" w:char="F071"/>
      </w:r>
      <w:r w:rsidRPr="00B378E5">
        <w:rPr>
          <w:rFonts w:eastAsia="Batang"/>
          <w:lang w:val="fr-FR" w:bidi="ru-RU"/>
        </w:rPr>
        <w:t xml:space="preserve"> &lt; 5°</w:t>
      </w:r>
    </w:p>
    <w:p w14:paraId="30BDA0BA" w14:textId="77777777" w:rsidR="00652886" w:rsidRPr="00B378E5" w:rsidRDefault="00652886" w:rsidP="00652886">
      <w:pPr>
        <w:pStyle w:val="enumlev2"/>
        <w:tabs>
          <w:tab w:val="clear" w:pos="1588"/>
          <w:tab w:val="clear" w:pos="1985"/>
          <w:tab w:val="left" w:pos="3261"/>
          <w:tab w:val="left" w:pos="7230"/>
        </w:tabs>
        <w:rPr>
          <w:rFonts w:eastAsia="Batang"/>
          <w:lang w:val="fr-FR" w:eastAsia="ko-KR"/>
        </w:rPr>
      </w:pPr>
      <w:r w:rsidRPr="00B378E5">
        <w:rPr>
          <w:rFonts w:eastAsia="Batang"/>
          <w:lang w:val="fr-FR" w:bidi="ru-RU"/>
        </w:rPr>
        <w:tab/>
        <w:t>−39,0 – 1,05 (</w:t>
      </w:r>
      <w:r w:rsidRPr="00B378E5">
        <w:rPr>
          <w:rFonts w:eastAsia="Batang"/>
          <w:lang w:val="fr-FR" w:bidi="ru-RU"/>
        </w:rPr>
        <w:sym w:font="Symbol" w:char="F071"/>
      </w:r>
      <w:r w:rsidRPr="00B378E5">
        <w:rPr>
          <w:rFonts w:eastAsia="Batang"/>
          <w:lang w:val="fr-FR" w:bidi="ru-RU"/>
        </w:rPr>
        <w:t> – 5)</w:t>
      </w:r>
      <w:r w:rsidRPr="00B378E5">
        <w:rPr>
          <w:rFonts w:eastAsia="Batang"/>
          <w:lang w:val="fr-FR" w:bidi="ru-RU"/>
        </w:rPr>
        <w:tab/>
      </w:r>
      <w:proofErr w:type="spellStart"/>
      <w:r w:rsidRPr="00B378E5">
        <w:rPr>
          <w:rFonts w:eastAsia="Batang"/>
          <w:lang w:val="fr-FR" w:bidi="ru-RU"/>
        </w:rPr>
        <w:t>dBW</w:t>
      </w:r>
      <w:proofErr w:type="spellEnd"/>
      <w:r w:rsidRPr="00B378E5">
        <w:rPr>
          <w:rFonts w:eastAsia="Batang"/>
          <w:lang w:val="fr-FR" w:bidi="ru-RU"/>
        </w:rPr>
        <w:t xml:space="preserve"> par largeur de bande de (150 kHz)</w:t>
      </w:r>
      <w:r w:rsidRPr="00B378E5">
        <w:rPr>
          <w:rFonts w:eastAsia="Batang"/>
          <w:lang w:val="fr-FR" w:bidi="ru-RU"/>
        </w:rPr>
        <w:tab/>
        <w:t>pour</w:t>
      </w:r>
      <w:r w:rsidRPr="00B378E5">
        <w:rPr>
          <w:rFonts w:eastAsia="Batang"/>
          <w:lang w:val="fr-FR" w:bidi="ru-RU"/>
        </w:rPr>
        <w:tab/>
        <w:t>5</w:t>
      </w:r>
      <w:r w:rsidRPr="00B378E5">
        <w:rPr>
          <w:rFonts w:eastAsia="Batang"/>
          <w:lang w:val="fr-FR" w:bidi="ru-RU"/>
        </w:rPr>
        <w:sym w:font="Symbol" w:char="F0B0"/>
      </w:r>
      <w:r w:rsidRPr="00B378E5">
        <w:rPr>
          <w:rFonts w:eastAsia="Batang"/>
          <w:lang w:val="fr-FR" w:bidi="ru-RU"/>
        </w:rPr>
        <w:tab/>
      </w:r>
      <w:r w:rsidRPr="00B378E5">
        <w:rPr>
          <w:rFonts w:eastAsia="Batang"/>
          <w:lang w:val="fr-FR" w:bidi="ru-RU"/>
        </w:rPr>
        <w:sym w:font="Symbol" w:char="F0A3"/>
      </w:r>
      <w:r w:rsidRPr="00B378E5">
        <w:rPr>
          <w:rFonts w:eastAsia="Batang"/>
          <w:lang w:val="fr-FR" w:bidi="ru-RU"/>
        </w:rPr>
        <w:t> </w:t>
      </w:r>
      <w:r w:rsidRPr="00B378E5">
        <w:rPr>
          <w:rFonts w:eastAsia="Batang"/>
          <w:lang w:val="fr-FR" w:bidi="ru-RU"/>
        </w:rPr>
        <w:sym w:font="Symbol" w:char="F071"/>
      </w:r>
      <w:r w:rsidRPr="00B378E5">
        <w:rPr>
          <w:rFonts w:eastAsia="Batang"/>
          <w:lang w:val="fr-FR" w:bidi="ru-RU"/>
        </w:rPr>
        <w:t xml:space="preserve"> &lt; 25°</w:t>
      </w:r>
    </w:p>
    <w:p w14:paraId="75CBC1F4" w14:textId="4C0D140C" w:rsidR="00652886" w:rsidRPr="00B378E5" w:rsidRDefault="00652886" w:rsidP="00652886">
      <w:pPr>
        <w:pStyle w:val="enumlev2"/>
        <w:tabs>
          <w:tab w:val="left" w:pos="7230"/>
        </w:tabs>
        <w:rPr>
          <w:rFonts w:eastAsia="Batang"/>
          <w:lang w:val="fr-FR" w:bidi="ru-RU"/>
        </w:rPr>
      </w:pPr>
      <w:r w:rsidRPr="00B378E5">
        <w:rPr>
          <w:rFonts w:eastAsia="Batang"/>
          <w:lang w:val="fr-FR" w:bidi="ru-RU"/>
        </w:rPr>
        <w:tab/>
      </w:r>
      <w:r w:rsidR="003B2D52">
        <w:rPr>
          <w:rFonts w:eastAsia="Batang"/>
          <w:lang w:val="fr-FR" w:bidi="ru-RU"/>
        </w:rPr>
        <w:t>−</w:t>
      </w:r>
      <w:r w:rsidRPr="00B378E5">
        <w:rPr>
          <w:rFonts w:eastAsia="Batang"/>
          <w:lang w:val="fr-FR" w:bidi="ru-RU"/>
        </w:rPr>
        <w:t>60</w:t>
      </w:r>
      <w:r w:rsidRPr="00B378E5">
        <w:rPr>
          <w:rFonts w:eastAsia="Batang"/>
          <w:lang w:val="fr-FR" w:bidi="ru-RU"/>
        </w:rPr>
        <w:tab/>
      </w:r>
      <w:proofErr w:type="spellStart"/>
      <w:r w:rsidRPr="00B378E5">
        <w:rPr>
          <w:rFonts w:eastAsia="Batang"/>
          <w:lang w:val="fr-FR" w:bidi="ru-RU"/>
        </w:rPr>
        <w:t>dBW</w:t>
      </w:r>
      <w:proofErr w:type="spellEnd"/>
      <w:r w:rsidRPr="00B378E5">
        <w:rPr>
          <w:rFonts w:eastAsia="Batang"/>
          <w:lang w:val="fr-FR" w:bidi="ru-RU"/>
        </w:rPr>
        <w:t xml:space="preserve"> par largeur de bande de (150 kHz)</w:t>
      </w:r>
      <w:r w:rsidRPr="00B378E5">
        <w:rPr>
          <w:rFonts w:eastAsia="Batang"/>
          <w:lang w:val="fr-FR" w:bidi="ru-RU"/>
        </w:rPr>
        <w:tab/>
        <w:t>pour</w:t>
      </w:r>
      <w:r w:rsidRPr="00B378E5">
        <w:rPr>
          <w:rFonts w:eastAsia="Batang"/>
          <w:lang w:val="fr-FR" w:bidi="ru-RU"/>
        </w:rPr>
        <w:tab/>
        <w:t>25°</w:t>
      </w:r>
      <w:r w:rsidRPr="00B378E5">
        <w:rPr>
          <w:rFonts w:eastAsia="Batang"/>
          <w:lang w:val="fr-FR" w:bidi="ru-RU"/>
        </w:rPr>
        <w:tab/>
      </w:r>
      <w:r w:rsidRPr="00B378E5">
        <w:rPr>
          <w:rFonts w:eastAsia="Batang"/>
          <w:lang w:val="fr-FR" w:bidi="ru-RU"/>
        </w:rPr>
        <w:sym w:font="Symbol" w:char="F0A3"/>
      </w:r>
      <w:r w:rsidRPr="00B378E5">
        <w:rPr>
          <w:rFonts w:eastAsia="Batang"/>
          <w:lang w:val="fr-FR" w:bidi="ru-RU"/>
        </w:rPr>
        <w:t xml:space="preserve"> </w:t>
      </w:r>
      <w:r w:rsidRPr="00B378E5">
        <w:rPr>
          <w:rFonts w:eastAsia="Batang"/>
          <w:lang w:val="fr-FR" w:bidi="ru-RU"/>
        </w:rPr>
        <w:sym w:font="Symbol" w:char="F071"/>
      </w:r>
      <w:r w:rsidRPr="00B378E5">
        <w:rPr>
          <w:rFonts w:eastAsia="Batang"/>
          <w:lang w:val="fr-FR" w:bidi="ru-RU"/>
        </w:rPr>
        <w:t xml:space="preserve"> &lt; 90°,</w:t>
      </w:r>
    </w:p>
    <w:p w14:paraId="24DCAB4C" w14:textId="77777777" w:rsidR="00652886" w:rsidRPr="00B378E5" w:rsidRDefault="00652886" w:rsidP="00652886">
      <w:pPr>
        <w:pStyle w:val="enumlev2"/>
        <w:rPr>
          <w:rFonts w:eastAsia="Batang"/>
          <w:lang w:val="fr-FR" w:eastAsia="ko-KR"/>
        </w:rPr>
      </w:pPr>
      <w:r w:rsidRPr="00B378E5">
        <w:rPr>
          <w:rFonts w:eastAsia="Batang"/>
          <w:lang w:val="fr-FR" w:bidi="ru-RU"/>
        </w:rPr>
        <w:tab/>
      </w:r>
      <w:proofErr w:type="gramStart"/>
      <w:r w:rsidRPr="00B378E5">
        <w:rPr>
          <w:rFonts w:eastAsia="Batang"/>
          <w:lang w:val="fr-FR" w:bidi="ru-RU"/>
        </w:rPr>
        <w:t>où</w:t>
      </w:r>
      <w:proofErr w:type="gramEnd"/>
      <w:r w:rsidRPr="00B378E5">
        <w:rPr>
          <w:rFonts w:eastAsia="Batang"/>
          <w:lang w:val="fr-FR" w:bidi="ru-RU"/>
        </w:rPr>
        <w:t xml:space="preserve"> </w:t>
      </w:r>
      <w:r w:rsidRPr="00B378E5">
        <w:rPr>
          <w:rFonts w:eastAsia="Batang"/>
          <w:lang w:val="fr-FR" w:bidi="ru-RU"/>
        </w:rPr>
        <w:sym w:font="Symbol" w:char="F071"/>
      </w:r>
      <w:r w:rsidRPr="00B378E5">
        <w:rPr>
          <w:rFonts w:eastAsia="Batang"/>
          <w:lang w:val="fr-FR" w:bidi="ru-RU"/>
        </w:rPr>
        <w:t xml:space="preserve"> est l'angle d'élévation de l'antenne de la station d'amateur,</w:t>
      </w:r>
    </w:p>
    <w:p w14:paraId="40A44D9D" w14:textId="77777777" w:rsidR="00652886" w:rsidRPr="00B378E5" w:rsidRDefault="00652886" w:rsidP="00652886">
      <w:pPr>
        <w:pStyle w:val="enumlev2"/>
        <w:rPr>
          <w:rFonts w:eastAsia="Batang"/>
          <w:lang w:val="fr-FR" w:bidi="ru-RU"/>
        </w:rPr>
      </w:pPr>
      <w:r w:rsidRPr="00B378E5">
        <w:rPr>
          <w:lang w:val="fr-FR"/>
        </w:rPr>
        <w:t>b)</w:t>
      </w:r>
      <w:r w:rsidRPr="00B378E5">
        <w:rPr>
          <w:lang w:val="fr-FR"/>
        </w:rPr>
        <w:tab/>
      </w:r>
      <w:r w:rsidRPr="00B378E5">
        <w:rPr>
          <w:rFonts w:eastAsia="Batang"/>
          <w:lang w:val="fr-FR" w:bidi="ru-RU"/>
        </w:rPr>
        <w:t>1 25</w:t>
      </w:r>
      <w:r w:rsidRPr="00B378E5">
        <w:rPr>
          <w:rFonts w:eastAsia="SimSun"/>
          <w:lang w:val="fr-FR" w:eastAsia="zh-CN" w:bidi="ru-RU"/>
        </w:rPr>
        <w:t>5,76</w:t>
      </w:r>
      <w:r w:rsidRPr="00B378E5">
        <w:rPr>
          <w:rFonts w:eastAsia="Batang"/>
          <w:lang w:val="fr-FR" w:bidi="ru-RU"/>
        </w:rPr>
        <w:t>-1 25</w:t>
      </w:r>
      <w:r w:rsidRPr="00B378E5">
        <w:rPr>
          <w:rFonts w:eastAsia="SimSun"/>
          <w:lang w:val="fr-FR" w:eastAsia="zh-CN" w:bidi="ru-RU"/>
        </w:rPr>
        <w:t>6,52</w:t>
      </w:r>
      <w:r w:rsidRPr="00B378E5">
        <w:rPr>
          <w:rFonts w:eastAsia="Batang"/>
          <w:lang w:val="fr-FR" w:bidi="ru-RU"/>
        </w:rPr>
        <w:t> </w:t>
      </w:r>
      <w:proofErr w:type="gramStart"/>
      <w:r w:rsidRPr="00B378E5">
        <w:rPr>
          <w:rFonts w:eastAsia="Batang"/>
          <w:lang w:val="fr-FR" w:bidi="ru-RU"/>
        </w:rPr>
        <w:t>MHz:</w:t>
      </w:r>
      <w:proofErr w:type="gramEnd"/>
      <w:r w:rsidRPr="00B378E5">
        <w:rPr>
          <w:rFonts w:eastAsia="Batang"/>
          <w:lang w:val="fr-FR" w:bidi="ru-RU"/>
        </w:rPr>
        <w:t xml:space="preserve"> valeur maximale de </w:t>
      </w:r>
      <w:proofErr w:type="spellStart"/>
      <w:r w:rsidRPr="00B378E5">
        <w:rPr>
          <w:rFonts w:eastAsia="Batang"/>
          <w:lang w:val="fr-FR" w:bidi="ru-RU"/>
        </w:rPr>
        <w:t>p.i.r.e</w:t>
      </w:r>
      <w:proofErr w:type="spellEnd"/>
      <w:r w:rsidRPr="00B378E5">
        <w:rPr>
          <w:rFonts w:eastAsia="Batang"/>
          <w:lang w:val="fr-FR" w:bidi="ru-RU"/>
        </w:rPr>
        <w:t>.</w:t>
      </w:r>
      <w:r w:rsidRPr="00B378E5">
        <w:rPr>
          <w:rStyle w:val="FootnoteReference"/>
          <w:lang w:val="fr-FR"/>
        </w:rPr>
        <w:t>2</w:t>
      </w:r>
      <w:r w:rsidRPr="00B378E5">
        <w:rPr>
          <w:lang w:val="fr-FR"/>
        </w:rPr>
        <w:t> = </w:t>
      </w:r>
      <w:r w:rsidRPr="00B378E5">
        <w:rPr>
          <w:rFonts w:eastAsia="Batang"/>
          <w:lang w:val="fr-FR" w:bidi="ru-RU"/>
        </w:rPr>
        <w:t xml:space="preserve">24 </w:t>
      </w:r>
      <w:proofErr w:type="spellStart"/>
      <w:r w:rsidRPr="00B378E5">
        <w:rPr>
          <w:rFonts w:eastAsia="Batang"/>
          <w:lang w:val="fr-FR" w:bidi="ru-RU"/>
        </w:rPr>
        <w:t>dBW</w:t>
      </w:r>
      <w:proofErr w:type="spellEnd"/>
      <w:r w:rsidRPr="00B378E5">
        <w:rPr>
          <w:rFonts w:eastAsia="Batang"/>
          <w:lang w:val="fr-FR" w:bidi="ru-RU"/>
        </w:rPr>
        <w:t>/150 kHz,</w:t>
      </w:r>
    </w:p>
    <w:p w14:paraId="7A42530D" w14:textId="77777777" w:rsidR="00652886" w:rsidRPr="00B378E5" w:rsidRDefault="00652886" w:rsidP="00652886">
      <w:pPr>
        <w:pStyle w:val="enumlev3"/>
        <w:rPr>
          <w:rFonts w:eastAsia="Batang"/>
          <w:lang w:val="fr-FR" w:bidi="ru-RU"/>
        </w:rPr>
      </w:pPr>
      <w:r w:rsidRPr="00B378E5">
        <w:rPr>
          <w:rFonts w:eastAsia="Batang"/>
          <w:lang w:val="fr-FR" w:bidi="ru-RU"/>
        </w:rPr>
        <w:t>•</w:t>
      </w:r>
      <w:r w:rsidRPr="00B378E5">
        <w:rPr>
          <w:rFonts w:eastAsia="Batang"/>
          <w:lang w:val="fr-FR" w:bidi="ru-RU"/>
        </w:rPr>
        <w:tab/>
        <w:t>Les émissions hors bande au-dessous de 1 255,76 MHz devraient être telles que définies au point 3a) ci-dessus</w:t>
      </w:r>
      <w:r w:rsidRPr="00B378E5">
        <w:rPr>
          <w:rFonts w:eastAsia="SimSun"/>
          <w:lang w:val="fr-FR" w:eastAsia="zh-CN" w:bidi="ru-RU"/>
        </w:rPr>
        <w:t>.</w:t>
      </w:r>
    </w:p>
    <w:p w14:paraId="5D7923D0" w14:textId="77777777" w:rsidR="00652886" w:rsidRPr="00B378E5" w:rsidRDefault="00652886" w:rsidP="00652886">
      <w:pPr>
        <w:pStyle w:val="enumlev2"/>
        <w:rPr>
          <w:rFonts w:eastAsia="Batang"/>
          <w:lang w:val="fr-FR" w:bidi="ru-RU"/>
        </w:rPr>
      </w:pPr>
      <w:r w:rsidRPr="00B378E5">
        <w:rPr>
          <w:rFonts w:eastAsia="Batang"/>
          <w:lang w:val="fr-FR" w:bidi="ru-RU"/>
        </w:rPr>
        <w:t>c)</w:t>
      </w:r>
      <w:r w:rsidRPr="00B378E5">
        <w:rPr>
          <w:rFonts w:eastAsia="Batang"/>
          <w:lang w:val="fr-FR" w:bidi="ru-RU"/>
        </w:rPr>
        <w:tab/>
        <w:t xml:space="preserve">1 256,52-1 258 </w:t>
      </w:r>
      <w:proofErr w:type="gramStart"/>
      <w:r w:rsidRPr="00B378E5">
        <w:rPr>
          <w:rFonts w:eastAsia="Batang"/>
          <w:lang w:val="fr-FR" w:bidi="ru-RU"/>
        </w:rPr>
        <w:t>MHz:</w:t>
      </w:r>
      <w:proofErr w:type="gramEnd"/>
      <w:r w:rsidRPr="00B378E5">
        <w:rPr>
          <w:rFonts w:eastAsia="Batang"/>
          <w:lang w:val="fr-FR" w:bidi="ru-RU"/>
        </w:rPr>
        <w:t xml:space="preserve"> valeur maximale de </w:t>
      </w:r>
      <w:proofErr w:type="spellStart"/>
      <w:r w:rsidRPr="00B378E5">
        <w:rPr>
          <w:rFonts w:eastAsia="Batang"/>
          <w:lang w:val="fr-FR" w:bidi="ru-RU"/>
        </w:rPr>
        <w:t>p.i.r.e</w:t>
      </w:r>
      <w:proofErr w:type="spellEnd"/>
      <w:r w:rsidRPr="00B378E5">
        <w:rPr>
          <w:rFonts w:eastAsia="Batang"/>
          <w:lang w:val="fr-FR" w:bidi="ru-RU"/>
        </w:rPr>
        <w:t>.</w:t>
      </w:r>
      <w:r w:rsidRPr="00B378E5">
        <w:rPr>
          <w:rStyle w:val="FootnoteReference"/>
          <w:lang w:val="fr-FR"/>
        </w:rPr>
        <w:t>2</w:t>
      </w:r>
      <w:r w:rsidRPr="00B378E5">
        <w:rPr>
          <w:lang w:val="fr-FR"/>
        </w:rPr>
        <w:t> = 21 </w:t>
      </w:r>
      <w:proofErr w:type="spellStart"/>
      <w:r w:rsidRPr="00B378E5">
        <w:rPr>
          <w:lang w:val="fr-FR"/>
        </w:rPr>
        <w:t>dBW</w:t>
      </w:r>
      <w:proofErr w:type="spellEnd"/>
      <w:r w:rsidRPr="00B378E5">
        <w:rPr>
          <w:lang w:val="fr-FR"/>
        </w:rPr>
        <w:t>/150 kHz;</w:t>
      </w:r>
    </w:p>
    <w:p w14:paraId="0B5FD9C7" w14:textId="77777777" w:rsidR="00652886" w:rsidRPr="00B378E5" w:rsidRDefault="00652886" w:rsidP="00652886">
      <w:pPr>
        <w:pStyle w:val="enumlev2"/>
        <w:rPr>
          <w:lang w:val="fr-FR"/>
        </w:rPr>
      </w:pPr>
      <w:r w:rsidRPr="00B378E5">
        <w:rPr>
          <w:rFonts w:eastAsia="Batang"/>
          <w:lang w:val="fr-FR" w:bidi="ru-RU"/>
        </w:rPr>
        <w:t>d)</w:t>
      </w:r>
      <w:r w:rsidRPr="00B378E5">
        <w:rPr>
          <w:rFonts w:eastAsia="Batang"/>
          <w:lang w:val="fr-FR" w:bidi="ru-RU"/>
        </w:rPr>
        <w:tab/>
      </w:r>
      <w:r w:rsidRPr="00B378E5">
        <w:rPr>
          <w:lang w:val="fr-FR"/>
        </w:rPr>
        <w:t>1 258</w:t>
      </w:r>
      <w:r w:rsidRPr="00B378E5">
        <w:rPr>
          <w:lang w:val="fr-FR"/>
        </w:rPr>
        <w:noBreakHyphen/>
        <w:t xml:space="preserve">1 300 </w:t>
      </w:r>
      <w:proofErr w:type="gramStart"/>
      <w:r w:rsidRPr="00B378E5">
        <w:rPr>
          <w:lang w:val="fr-FR"/>
        </w:rPr>
        <w:t>MHz:</w:t>
      </w:r>
      <w:proofErr w:type="gramEnd"/>
      <w:r w:rsidRPr="00B378E5">
        <w:rPr>
          <w:lang w:val="fr-FR"/>
        </w:rPr>
        <w:t xml:space="preserve"> </w:t>
      </w:r>
      <w:r w:rsidRPr="00B378E5">
        <w:rPr>
          <w:rFonts w:eastAsia="Batang"/>
          <w:lang w:val="fr-FR" w:bidi="ru-RU"/>
        </w:rPr>
        <w:t xml:space="preserve">valeur maximale de </w:t>
      </w:r>
      <w:proofErr w:type="spellStart"/>
      <w:r w:rsidRPr="00B378E5">
        <w:rPr>
          <w:rFonts w:eastAsia="Batang"/>
          <w:lang w:val="fr-FR" w:bidi="ru-RU"/>
        </w:rPr>
        <w:t>p.i.r.e</w:t>
      </w:r>
      <w:proofErr w:type="spellEnd"/>
      <w:r w:rsidRPr="00B378E5">
        <w:rPr>
          <w:rFonts w:eastAsia="Batang"/>
          <w:lang w:val="fr-FR" w:bidi="ru-RU"/>
        </w:rPr>
        <w:t>.</w:t>
      </w:r>
      <w:r w:rsidRPr="00B378E5">
        <w:rPr>
          <w:rStyle w:val="FootnoteReference"/>
          <w:lang w:val="fr-FR"/>
        </w:rPr>
        <w:t>2</w:t>
      </w:r>
      <w:r w:rsidRPr="00B378E5">
        <w:rPr>
          <w:lang w:val="fr-FR"/>
        </w:rPr>
        <w:t> = </w:t>
      </w:r>
      <w:r w:rsidRPr="00B378E5">
        <w:rPr>
          <w:rFonts w:eastAsia="Batang"/>
          <w:lang w:val="fr-FR" w:bidi="ru-RU"/>
        </w:rPr>
        <w:t>−</w:t>
      </w:r>
      <w:r w:rsidRPr="00B378E5">
        <w:rPr>
          <w:lang w:val="fr-FR"/>
        </w:rPr>
        <w:t>17 </w:t>
      </w:r>
      <w:proofErr w:type="spellStart"/>
      <w:r w:rsidRPr="00B378E5">
        <w:rPr>
          <w:lang w:val="fr-FR"/>
        </w:rPr>
        <w:t>dBW</w:t>
      </w:r>
      <w:proofErr w:type="spellEnd"/>
      <w:r w:rsidRPr="00B378E5">
        <w:rPr>
          <w:lang w:val="fr-FR"/>
        </w:rPr>
        <w:t>/1 MHz.</w:t>
      </w:r>
    </w:p>
    <w:p w14:paraId="77325A64" w14:textId="28F25893" w:rsidR="00652886" w:rsidRPr="00B378E5" w:rsidRDefault="00652886" w:rsidP="0071183D">
      <w:pPr>
        <w:pStyle w:val="enumlev1"/>
        <w:keepNext/>
        <w:rPr>
          <w:lang w:val="fr-FR"/>
        </w:rPr>
      </w:pPr>
      <w:r w:rsidRPr="00B378E5">
        <w:rPr>
          <w:lang w:val="fr-FR"/>
        </w:rPr>
        <w:t>4)</w:t>
      </w:r>
      <w:r w:rsidRPr="00B378E5">
        <w:rPr>
          <w:lang w:val="fr-FR"/>
        </w:rPr>
        <w:tab/>
        <w:t xml:space="preserve">Lorsque les antennes des stations d'amateur et d'amateur par satellite sont installées à des hauteurs d'antenne bien plus élevées que les valeurs représentatives indiquées dans le </w:t>
      </w:r>
      <w:r w:rsidRPr="00B378E5">
        <w:rPr>
          <w:lang w:val="fr-FR"/>
        </w:rPr>
        <w:lastRenderedPageBreak/>
        <w:t>Rapport UIT</w:t>
      </w:r>
      <w:r w:rsidRPr="00B378E5">
        <w:rPr>
          <w:lang w:val="fr-FR"/>
        </w:rPr>
        <w:noBreakHyphen/>
        <w:t>R M.2513</w:t>
      </w:r>
      <w:r w:rsidR="0071183D">
        <w:rPr>
          <w:lang w:val="fr-FR"/>
        </w:rPr>
        <w:t>-0</w:t>
      </w:r>
      <w:r w:rsidRPr="00B378E5">
        <w:rPr>
          <w:lang w:val="fr-FR"/>
        </w:rPr>
        <w:t xml:space="preserve"> (la hauteur d'antenne représentative au-dessus du sol est de 25</w:t>
      </w:r>
      <w:r w:rsidR="0071183D">
        <w:rPr>
          <w:lang w:val="fr-FR"/>
        </w:rPr>
        <w:t xml:space="preserve"> </w:t>
      </w:r>
      <w:r w:rsidRPr="00B378E5">
        <w:rPr>
          <w:lang w:val="fr-FR"/>
        </w:rPr>
        <w:t xml:space="preserve">m), les administrations devront peut-être envisager d'autres contraintes ou limitations, en plus de celles qui sont énumérées aux </w:t>
      </w:r>
      <w:r w:rsidRPr="0071183D">
        <w:rPr>
          <w:lang w:val="fr-FR"/>
        </w:rPr>
        <w:t>points 1) à 4) ci</w:t>
      </w:r>
      <w:r w:rsidRPr="0071183D">
        <w:rPr>
          <w:lang w:val="fr-FR"/>
        </w:rPr>
        <w:noBreakHyphen/>
        <w:t>dessus</w:t>
      </w:r>
      <w:r w:rsidRPr="00B378E5">
        <w:rPr>
          <w:lang w:val="fr-FR"/>
        </w:rPr>
        <w:t>, en particulier dans les cas de la catégorie des stations d'amateur dénommée «installations permanentes», qui comprend les répéteurs et les balises de propagation.</w:t>
      </w:r>
    </w:p>
    <w:p w14:paraId="61C2A9E2" w14:textId="77777777" w:rsidR="00652886" w:rsidRPr="00B378E5" w:rsidRDefault="00652886" w:rsidP="0071183D">
      <w:pPr>
        <w:pStyle w:val="enumlev1"/>
        <w:keepNext/>
        <w:rPr>
          <w:lang w:val="fr-FR"/>
        </w:rPr>
      </w:pPr>
      <w:r w:rsidRPr="00B378E5">
        <w:rPr>
          <w:lang w:val="fr-FR"/>
        </w:rPr>
        <w:t>5)</w:t>
      </w:r>
      <w:r w:rsidRPr="00B378E5">
        <w:rPr>
          <w:lang w:val="fr-FR"/>
        </w:rPr>
        <w:tab/>
        <w:t>Outre le point 2) ci-dessus, en cas d'augmentation de l'utilisation actuelle de la bande de fréquences 1 260-1 270 MHz par le service d'amateur par satellite, les administrations peuvent envisager d'appliquer une limite relative au facteur d'utilisation pour les opérations concernées du service d'amateur par satellite.</w:t>
      </w:r>
    </w:p>
    <w:p w14:paraId="03FC312D" w14:textId="77777777" w:rsidR="00652886" w:rsidRPr="00B378E5" w:rsidRDefault="00652886" w:rsidP="00652886">
      <w:pPr>
        <w:rPr>
          <w:lang w:val="fr-FR"/>
        </w:rPr>
      </w:pPr>
      <w:r w:rsidRPr="00B378E5">
        <w:rPr>
          <w:lang w:val="fr-FR"/>
        </w:rPr>
        <w:t>6)</w:t>
      </w:r>
      <w:r w:rsidRPr="00B378E5">
        <w:rPr>
          <w:lang w:val="fr-FR"/>
        </w:rPr>
        <w:tab/>
        <w:t xml:space="preserve">Dans la gamme de fréquences 1 240-1 256 </w:t>
      </w:r>
      <w:proofErr w:type="gramStart"/>
      <w:r w:rsidRPr="00B378E5">
        <w:rPr>
          <w:lang w:val="fr-FR"/>
        </w:rPr>
        <w:t>MHz:</w:t>
      </w:r>
      <w:proofErr w:type="gramEnd"/>
    </w:p>
    <w:p w14:paraId="7CF7384D" w14:textId="77777777" w:rsidR="00652886" w:rsidRPr="00B378E5" w:rsidRDefault="00652886" w:rsidP="00652886">
      <w:pPr>
        <w:pStyle w:val="enumlev2"/>
        <w:rPr>
          <w:lang w:val="fr-FR"/>
        </w:rPr>
      </w:pPr>
      <w:r w:rsidRPr="00B378E5">
        <w:rPr>
          <w:lang w:val="fr-FR"/>
        </w:rPr>
        <w:t>•</w:t>
      </w:r>
      <w:r w:rsidRPr="00B378E5">
        <w:rPr>
          <w:lang w:val="fr-FR"/>
        </w:rPr>
        <w:tab/>
        <w:t>Les administrations devraient envisager des accords bilatéraux ou multilatéraux tenant compte des émissions d'amateur près des aéroports situés à proximité des frontières avec les pays voisins qui utilisent des récepteurs du SRNS aéronautique dans la gamme de fréquences ci-dessus.</w:t>
      </w:r>
    </w:p>
    <w:p w14:paraId="3337E194" w14:textId="77777777" w:rsidR="00652886" w:rsidRPr="00B378E5" w:rsidRDefault="00652886" w:rsidP="00652886">
      <w:pPr>
        <w:pStyle w:val="enumlev2"/>
        <w:rPr>
          <w:lang w:val="fr-FR"/>
        </w:rPr>
      </w:pPr>
      <w:r w:rsidRPr="00B378E5">
        <w:rPr>
          <w:lang w:val="fr-FR"/>
        </w:rPr>
        <w:t>•</w:t>
      </w:r>
      <w:r w:rsidRPr="00B378E5">
        <w:rPr>
          <w:lang w:val="fr-FR"/>
        </w:rPr>
        <w:tab/>
        <w:t>Les administrations devraient prêter attention à l'emplacement des stations d'amateur afin d'éviter que le lobe principal de l'antenne de la station soit pointé en direction des aéroports et à proximité des aéroports dans les pays qui utilisent des récepteurs du SRNS aéronautique dans la gamme de fréquences ci</w:t>
      </w:r>
      <w:r w:rsidRPr="00B378E5">
        <w:rPr>
          <w:lang w:val="fr-FR"/>
        </w:rPr>
        <w:noBreakHyphen/>
        <w:t>dessus.</w:t>
      </w:r>
    </w:p>
    <w:p w14:paraId="7EF9D08A" w14:textId="77777777" w:rsidR="00DC2B47" w:rsidRPr="00652886" w:rsidRDefault="00DC2B47" w:rsidP="0071183D">
      <w:pPr>
        <w:pStyle w:val="Line"/>
        <w:rPr>
          <w:lang w:val="fr-CH"/>
        </w:rPr>
      </w:pPr>
    </w:p>
    <w:sectPr w:rsidR="00DC2B47" w:rsidRPr="00652886" w:rsidSect="00153F36">
      <w:headerReference w:type="even" r:id="rId25"/>
      <w:headerReference w:type="default" r:id="rId26"/>
      <w:footerReference w:type="default" r:id="rId27"/>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ED425" w14:textId="77777777" w:rsidR="00652886" w:rsidRDefault="00652886">
      <w:r>
        <w:separator/>
      </w:r>
    </w:p>
  </w:endnote>
  <w:endnote w:type="continuationSeparator" w:id="0">
    <w:p w14:paraId="28B89B96" w14:textId="77777777" w:rsidR="00652886" w:rsidRDefault="00652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C28AA" w14:textId="77777777" w:rsidR="00652886" w:rsidRDefault="00652886">
    <w:pPr>
      <w:pStyle w:val="Footer"/>
    </w:pPr>
    <w:r>
      <w:drawing>
        <wp:anchor distT="0" distB="0" distL="0" distR="0" simplePos="0" relativeHeight="251659264" behindDoc="0" locked="0" layoutInCell="1" allowOverlap="1" wp14:anchorId="2A7FE2C8" wp14:editId="072BED19">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1AE6D" w14:textId="1D382A02" w:rsidR="00153F36" w:rsidRDefault="00153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22D53" w14:textId="77777777" w:rsidR="00652886" w:rsidRDefault="00652886">
      <w:r>
        <w:separator/>
      </w:r>
    </w:p>
  </w:footnote>
  <w:footnote w:type="continuationSeparator" w:id="0">
    <w:p w14:paraId="0E171738" w14:textId="77777777" w:rsidR="00652886" w:rsidRDefault="00652886">
      <w:r>
        <w:continuationSeparator/>
      </w:r>
    </w:p>
  </w:footnote>
  <w:footnote w:id="1">
    <w:p w14:paraId="69ABC5A8" w14:textId="77777777" w:rsidR="00652886" w:rsidRPr="006F4C50" w:rsidRDefault="00652886" w:rsidP="00652886">
      <w:pPr>
        <w:pStyle w:val="FootnoteText"/>
        <w:rPr>
          <w:lang w:val="fr-FR"/>
        </w:rPr>
      </w:pPr>
      <w:r w:rsidRPr="006F4C50">
        <w:rPr>
          <w:rStyle w:val="FootnoteReference"/>
          <w:sz w:val="24"/>
          <w:lang w:val="fr-FR"/>
        </w:rPr>
        <w:t>*</w:t>
      </w:r>
      <w:r w:rsidRPr="006F4C50">
        <w:rPr>
          <w:lang w:val="fr-FR"/>
        </w:rPr>
        <w:tab/>
      </w:r>
      <w:r w:rsidRPr="002740BC">
        <w:rPr>
          <w:lang w:val="fr-FR"/>
        </w:rPr>
        <w:t>La présente Recommandation doit être portée à l'attention de l'Union internationale des radioamateurs (IARU).</w:t>
      </w:r>
    </w:p>
  </w:footnote>
  <w:footnote w:id="2">
    <w:p w14:paraId="7D12EBF3" w14:textId="77777777" w:rsidR="00652886" w:rsidRPr="00280FAF" w:rsidRDefault="00652886" w:rsidP="00652886">
      <w:pPr>
        <w:pStyle w:val="FootnoteText"/>
        <w:rPr>
          <w:lang w:val="fr-CH"/>
        </w:rPr>
      </w:pPr>
      <w:r w:rsidRPr="00A52BA5">
        <w:rPr>
          <w:rStyle w:val="FootnoteReference"/>
          <w:lang w:val="fr-FR"/>
        </w:rPr>
        <w:t>2</w:t>
      </w:r>
      <w:r w:rsidRPr="00A52BA5">
        <w:rPr>
          <w:lang w:val="fr-FR"/>
        </w:rPr>
        <w:tab/>
      </w:r>
      <w:r>
        <w:rPr>
          <w:lang w:val="fr-CH"/>
        </w:rPr>
        <w:t>Dans les cas où la</w:t>
      </w:r>
      <w:r w:rsidRPr="00626963">
        <w:rPr>
          <w:lang w:val="fr-CH"/>
        </w:rPr>
        <w:t xml:space="preserve"> </w:t>
      </w:r>
      <w:proofErr w:type="spellStart"/>
      <w:r w:rsidRPr="00626963">
        <w:rPr>
          <w:lang w:val="fr-CH"/>
        </w:rPr>
        <w:t>p.i.r.e</w:t>
      </w:r>
      <w:proofErr w:type="spellEnd"/>
      <w:r>
        <w:rPr>
          <w:lang w:val="fr-CH"/>
        </w:rPr>
        <w:t>. désigne</w:t>
      </w:r>
      <w:r w:rsidRPr="00626963">
        <w:rPr>
          <w:lang w:val="fr-CH"/>
        </w:rPr>
        <w:t xml:space="preserve"> la puissance rayonnée de la station d'</w:t>
      </w:r>
      <w:r>
        <w:rPr>
          <w:lang w:val="fr-CH"/>
        </w:rPr>
        <w:t>amateur.</w:t>
      </w:r>
    </w:p>
  </w:footnote>
  <w:footnote w:id="3">
    <w:p w14:paraId="59F2B6C0" w14:textId="77777777" w:rsidR="00652886" w:rsidRPr="00280FAF" w:rsidRDefault="00652886" w:rsidP="00652886">
      <w:pPr>
        <w:pStyle w:val="FootnoteText"/>
        <w:rPr>
          <w:lang w:val="fr-CH"/>
        </w:rPr>
      </w:pPr>
      <w:r w:rsidRPr="00A52BA5">
        <w:rPr>
          <w:rStyle w:val="FootnoteReference"/>
          <w:lang w:val="fr-FR"/>
        </w:rPr>
        <w:t>3</w:t>
      </w:r>
      <w:r w:rsidRPr="00A52BA5">
        <w:rPr>
          <w:lang w:val="fr-FR"/>
        </w:rPr>
        <w:tab/>
      </w:r>
      <w:r>
        <w:rPr>
          <w:lang w:val="fr-CH"/>
        </w:rPr>
        <w:t>Dans les cas où la</w:t>
      </w:r>
      <w:r w:rsidRPr="00626963">
        <w:rPr>
          <w:lang w:val="fr-CH"/>
        </w:rPr>
        <w:t xml:space="preserve"> puissance maximale</w:t>
      </w:r>
      <w:r w:rsidRPr="008F7C12">
        <w:rPr>
          <w:lang w:val="fr-CH"/>
        </w:rPr>
        <w:t xml:space="preserve"> </w:t>
      </w:r>
      <w:r>
        <w:rPr>
          <w:lang w:val="fr-CH"/>
        </w:rPr>
        <w:t xml:space="preserve">désigne soit la </w:t>
      </w:r>
      <w:r w:rsidRPr="00727BAF">
        <w:rPr>
          <w:lang w:val="fr-CH"/>
        </w:rPr>
        <w:t>puissance d'enveloppe de crête</w:t>
      </w:r>
      <w:r>
        <w:rPr>
          <w:lang w:val="fr-CH"/>
        </w:rPr>
        <w:t>, soit la puissance de la porteuse (selon le cas) fournie par l'émetteur à l'antenne de la station d'amateur.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8528" w14:textId="77777777" w:rsidR="00652886" w:rsidRDefault="0065288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5915"/>
    </w:tblGrid>
    <w:tr w:rsidR="00652886" w:rsidRPr="00A239D1" w14:paraId="373C948F" w14:textId="77777777" w:rsidTr="0019307B">
      <w:tc>
        <w:tcPr>
          <w:tcW w:w="4634" w:type="dxa"/>
          <w:vAlign w:val="center"/>
        </w:tcPr>
        <w:p w14:paraId="65DC91C2" w14:textId="77777777" w:rsidR="00652886" w:rsidRPr="005B0371" w:rsidRDefault="00652886"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59D0B856" w14:textId="77777777" w:rsidR="00652886" w:rsidRPr="00260B24" w:rsidRDefault="00652886" w:rsidP="00744F8B">
          <w:pPr>
            <w:pStyle w:val="Header"/>
            <w:jc w:val="right"/>
            <w:rPr>
              <w:rFonts w:asciiTheme="minorBidi" w:hAnsiTheme="minorBidi"/>
              <w:b/>
              <w:spacing w:val="4"/>
              <w:szCs w:val="24"/>
            </w:rPr>
          </w:pPr>
          <w:r w:rsidRPr="00260B24">
            <w:rPr>
              <w:rFonts w:asciiTheme="minorBidi" w:hAnsiTheme="minorBidi"/>
              <w:b/>
              <w:spacing w:val="4"/>
              <w:szCs w:val="24"/>
            </w:rPr>
            <w:t>Union</w:t>
          </w:r>
          <w:r>
            <w:rPr>
              <w:rFonts w:asciiTheme="minorBidi" w:hAnsiTheme="minorBidi"/>
              <w:b/>
              <w:spacing w:val="4"/>
              <w:szCs w:val="24"/>
            </w:rPr>
            <w:t xml:space="preserve"> </w:t>
          </w:r>
          <w:proofErr w:type="spellStart"/>
          <w:r>
            <w:rPr>
              <w:rFonts w:asciiTheme="minorBidi" w:hAnsiTheme="minorBidi"/>
              <w:b/>
              <w:spacing w:val="4"/>
              <w:szCs w:val="24"/>
            </w:rPr>
            <w:t>i</w:t>
          </w:r>
          <w:r w:rsidRPr="00260B24">
            <w:rPr>
              <w:rFonts w:asciiTheme="minorBidi" w:hAnsiTheme="minorBidi"/>
              <w:b/>
              <w:spacing w:val="4"/>
              <w:szCs w:val="24"/>
            </w:rPr>
            <w:t>nternational</w:t>
          </w:r>
          <w:r>
            <w:rPr>
              <w:rFonts w:asciiTheme="minorBidi" w:hAnsiTheme="minorBidi"/>
              <w:b/>
              <w:spacing w:val="4"/>
              <w:szCs w:val="24"/>
            </w:rPr>
            <w:t>e</w:t>
          </w:r>
          <w:proofErr w:type="spellEnd"/>
          <w:r w:rsidRPr="00260B24">
            <w:rPr>
              <w:rFonts w:asciiTheme="minorBidi" w:hAnsiTheme="minorBidi"/>
              <w:b/>
              <w:spacing w:val="4"/>
              <w:szCs w:val="24"/>
            </w:rPr>
            <w:t xml:space="preserve"> </w:t>
          </w:r>
          <w:r>
            <w:rPr>
              <w:rFonts w:asciiTheme="minorBidi" w:hAnsiTheme="minorBidi"/>
              <w:b/>
              <w:spacing w:val="4"/>
              <w:szCs w:val="24"/>
            </w:rPr>
            <w:t xml:space="preserve">des </w:t>
          </w:r>
          <w:proofErr w:type="spellStart"/>
          <w:r>
            <w:rPr>
              <w:rFonts w:asciiTheme="minorBidi" w:hAnsiTheme="minorBidi"/>
              <w:b/>
              <w:spacing w:val="4"/>
              <w:szCs w:val="24"/>
            </w:rPr>
            <w:t>té</w:t>
          </w:r>
          <w:r w:rsidRPr="00260B24">
            <w:rPr>
              <w:rFonts w:asciiTheme="minorBidi" w:hAnsiTheme="minorBidi"/>
              <w:b/>
              <w:spacing w:val="4"/>
              <w:szCs w:val="24"/>
            </w:rPr>
            <w:t>l</w:t>
          </w:r>
          <w:r>
            <w:rPr>
              <w:rFonts w:asciiTheme="minorBidi" w:hAnsiTheme="minorBidi"/>
              <w:b/>
              <w:spacing w:val="4"/>
              <w:szCs w:val="24"/>
            </w:rPr>
            <w:t>é</w:t>
          </w:r>
          <w:r w:rsidRPr="00260B24">
            <w:rPr>
              <w:rFonts w:asciiTheme="minorBidi" w:hAnsiTheme="minorBidi"/>
              <w:b/>
              <w:spacing w:val="4"/>
              <w:szCs w:val="24"/>
            </w:rPr>
            <w:t>communication</w:t>
          </w:r>
          <w:r>
            <w:rPr>
              <w:rFonts w:asciiTheme="minorBidi" w:hAnsiTheme="minorBidi"/>
              <w:b/>
              <w:spacing w:val="4"/>
              <w:szCs w:val="24"/>
            </w:rPr>
            <w:t>s</w:t>
          </w:r>
          <w:proofErr w:type="spellEnd"/>
        </w:p>
      </w:tc>
    </w:tr>
    <w:tr w:rsidR="00652886" w:rsidRPr="00A239D1" w14:paraId="040D5B98" w14:textId="77777777" w:rsidTr="0019307B">
      <w:tc>
        <w:tcPr>
          <w:tcW w:w="4634" w:type="dxa"/>
          <w:vAlign w:val="center"/>
        </w:tcPr>
        <w:p w14:paraId="2A1BF935" w14:textId="77777777" w:rsidR="00652886" w:rsidRPr="00260B24" w:rsidRDefault="00652886" w:rsidP="00744F8B">
          <w:pPr>
            <w:pStyle w:val="Header"/>
            <w:jc w:val="left"/>
            <w:rPr>
              <w:rFonts w:asciiTheme="minorBidi" w:hAnsiTheme="minorBidi"/>
              <w:spacing w:val="4"/>
              <w:sz w:val="21"/>
              <w:szCs w:val="21"/>
            </w:rPr>
          </w:pPr>
          <w:proofErr w:type="spellStart"/>
          <w:r w:rsidRPr="00260B24">
            <w:rPr>
              <w:rFonts w:asciiTheme="minorBidi" w:hAnsiTheme="minorBidi"/>
              <w:spacing w:val="4"/>
              <w:szCs w:val="24"/>
            </w:rPr>
            <w:t>Recomm</w:t>
          </w:r>
          <w:r>
            <w:rPr>
              <w:rFonts w:asciiTheme="minorBidi" w:hAnsiTheme="minorBidi"/>
              <w:spacing w:val="4"/>
              <w:szCs w:val="24"/>
            </w:rPr>
            <w:t>a</w:t>
          </w:r>
          <w:r w:rsidRPr="00260B24">
            <w:rPr>
              <w:rFonts w:asciiTheme="minorBidi" w:hAnsiTheme="minorBidi"/>
              <w:spacing w:val="4"/>
              <w:szCs w:val="24"/>
            </w:rPr>
            <w:t>ndations</w:t>
          </w:r>
          <w:proofErr w:type="spellEnd"/>
        </w:p>
      </w:tc>
      <w:tc>
        <w:tcPr>
          <w:tcW w:w="5998" w:type="dxa"/>
          <w:vAlign w:val="center"/>
        </w:tcPr>
        <w:p w14:paraId="0E343621" w14:textId="77777777" w:rsidR="00652886" w:rsidRPr="00260B24" w:rsidRDefault="00652886" w:rsidP="00744F8B">
          <w:pPr>
            <w:pStyle w:val="Header"/>
            <w:jc w:val="right"/>
            <w:rPr>
              <w:rFonts w:asciiTheme="minorBidi" w:hAnsiTheme="minorBidi"/>
              <w:spacing w:val="4"/>
              <w:szCs w:val="24"/>
            </w:rPr>
          </w:pPr>
          <w:proofErr w:type="spellStart"/>
          <w:r>
            <w:rPr>
              <w:rFonts w:asciiTheme="minorBidi" w:hAnsiTheme="minorBidi"/>
              <w:spacing w:val="4"/>
              <w:szCs w:val="24"/>
            </w:rPr>
            <w:t>Secteur</w:t>
          </w:r>
          <w:proofErr w:type="spellEnd"/>
          <w:r>
            <w:rPr>
              <w:rFonts w:asciiTheme="minorBidi" w:hAnsiTheme="minorBidi"/>
              <w:spacing w:val="4"/>
              <w:szCs w:val="24"/>
            </w:rPr>
            <w:t xml:space="preserve"> des </w:t>
          </w:r>
          <w:r w:rsidRPr="00260B24">
            <w:rPr>
              <w:rFonts w:asciiTheme="minorBidi" w:hAnsiTheme="minorBidi"/>
              <w:spacing w:val="4"/>
              <w:szCs w:val="24"/>
            </w:rPr>
            <w:t>Radiocommunication</w:t>
          </w:r>
          <w:r>
            <w:rPr>
              <w:rFonts w:asciiTheme="minorBidi" w:hAnsiTheme="minorBidi"/>
              <w:spacing w:val="4"/>
              <w:szCs w:val="24"/>
            </w:rPr>
            <w:t>s</w:t>
          </w:r>
        </w:p>
      </w:tc>
    </w:tr>
  </w:tbl>
  <w:p w14:paraId="0F7F9443" w14:textId="77777777" w:rsidR="00652886" w:rsidRDefault="00652886"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0EADEF92" wp14:editId="41CC6BDC">
          <wp:simplePos x="0" y="0"/>
          <wp:positionH relativeFrom="column">
            <wp:posOffset>-358302</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mc:AlternateContent>
        <mc:Choice Requires="wps">
          <w:drawing>
            <wp:anchor distT="0" distB="0" distL="114300" distR="114300" simplePos="0" relativeHeight="251661312" behindDoc="0" locked="0" layoutInCell="1" allowOverlap="1" wp14:anchorId="5A52BD1F" wp14:editId="332E452D">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E9F4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2C67911A" w14:textId="77777777" w:rsidR="00652886" w:rsidRDefault="00652886" w:rsidP="004A6FEB">
    <w:pPr>
      <w:pStyle w:val="Header"/>
      <w:ind w:right="360"/>
      <w:jc w:val="both"/>
    </w:pPr>
    <w:r>
      <w:rPr>
        <w:noProof/>
      </w:rPr>
      <mc:AlternateContent>
        <mc:Choice Requires="wpg">
          <w:drawing>
            <wp:anchor distT="0" distB="0" distL="114300" distR="114300" simplePos="0" relativeHeight="251662336" behindDoc="0" locked="0" layoutInCell="1" allowOverlap="1" wp14:anchorId="11208CF1" wp14:editId="28CBB8DE">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E23620" id="docshapegroup6" o:spid="_x0000_s1026" alt="Header separator line" style="position:absolute;margin-left:0;margin-top:94.2pt;width:595.3pt;height:18.6pt;z-index:251662336;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C009B" w14:textId="1D978E86" w:rsidR="00652886" w:rsidRPr="00D72623" w:rsidRDefault="00652886"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4F3F6F">
      <w:rPr>
        <w:rStyle w:val="PageNumber"/>
        <w:b/>
        <w:bCs/>
      </w:rPr>
      <w:t>i</w:t>
    </w:r>
    <w:proofErr w:type="spellStart"/>
    <w:r w:rsidRPr="004F3F6F">
      <w:rPr>
        <w:rStyle w:val="PageNumber"/>
        <w:b/>
        <w:bCs/>
      </w:rPr>
      <w:t>i</w:t>
    </w:r>
    <w:proofErr w:type="spellEnd"/>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Pr>
        <w:b/>
        <w:bCs/>
        <w:lang w:val="en-US"/>
      </w:rPr>
      <w:t xml:space="preserve">Rec. </w:t>
    </w:r>
    <w:r>
      <w:rPr>
        <w:b/>
        <w:bCs/>
        <w:lang w:val="en-US"/>
      </w:rPr>
      <w:fldChar w:fldCharType="end"/>
    </w:r>
    <w:r w:rsidRPr="004F3F6F">
      <w:rPr>
        <w:b/>
        <w:bCs/>
      </w:rPr>
      <w:t xml:space="preserve"> </w:t>
    </w:r>
    <w:r>
      <w:rPr>
        <w:b/>
        <w:bCs/>
      </w:rPr>
      <w:fldChar w:fldCharType="begin"/>
    </w:r>
    <w:r>
      <w:rPr>
        <w:b/>
        <w:bCs/>
        <w:lang w:val="en-US"/>
      </w:rPr>
      <w:instrText>styleref href</w:instrText>
    </w:r>
    <w:r>
      <w:rPr>
        <w:b/>
        <w:bCs/>
      </w:rPr>
      <w:fldChar w:fldCharType="separate"/>
    </w:r>
    <w:r w:rsidR="0071183D">
      <w:rPr>
        <w:b/>
        <w:bCs/>
        <w:noProof/>
        <w:lang w:val="en-US"/>
      </w:rPr>
      <w:t>UIT-R  M.2164-0</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8509" w14:textId="77777777" w:rsidR="00652886" w:rsidRDefault="00652886">
    <w:pPr>
      <w:pStyle w:val="Header"/>
    </w:pPr>
    <w:r>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Pr>
        <w:b/>
        <w:bCs/>
        <w:noProof/>
      </w:rPr>
      <w:t>UIT-R  M.xxxx</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C468" w14:textId="5F9F60EF" w:rsidR="00607D68" w:rsidRDefault="00607D68">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009E00A8">
      <w:rPr>
        <w:lang w:val="fr-FR"/>
      </w:rPr>
      <w:fldChar w:fldCharType="begin"/>
    </w:r>
    <w:r w:rsidR="009E00A8" w:rsidRPr="009E00A8">
      <w:rPr>
        <w:lang w:val="en-US"/>
      </w:rPr>
      <w:instrText xml:space="preserve"> DOCPROPERTY "Header" \* MERGEFORMAT </w:instrText>
    </w:r>
    <w:r w:rsidR="009E00A8">
      <w:rPr>
        <w:lang w:val="fr-FR"/>
      </w:rPr>
      <w:fldChar w:fldCharType="separate"/>
    </w:r>
    <w:r w:rsidR="00652886" w:rsidRPr="00652886">
      <w:rPr>
        <w:b/>
        <w:bCs/>
        <w:lang w:val="en-US"/>
      </w:rPr>
      <w:t xml:space="preserve">Rec. </w:t>
    </w:r>
    <w:r w:rsidR="009E00A8">
      <w:rPr>
        <w:b/>
        <w:bCs/>
        <w:lang w:val="en-US"/>
      </w:rPr>
      <w:fldChar w:fldCharType="end"/>
    </w:r>
    <w:r w:rsidRPr="009E00A8">
      <w:rPr>
        <w:b/>
        <w:bCs/>
        <w:lang w:val="en-US"/>
      </w:rPr>
      <w:t xml:space="preserve"> </w:t>
    </w:r>
    <w:r>
      <w:rPr>
        <w:b/>
        <w:bCs/>
      </w:rPr>
      <w:fldChar w:fldCharType="begin"/>
    </w:r>
    <w:r>
      <w:rPr>
        <w:b/>
        <w:bCs/>
        <w:lang w:val="en-US"/>
      </w:rPr>
      <w:instrText>styleref href</w:instrText>
    </w:r>
    <w:r>
      <w:rPr>
        <w:b/>
        <w:bCs/>
      </w:rPr>
      <w:fldChar w:fldCharType="separate"/>
    </w:r>
    <w:r w:rsidR="0071183D">
      <w:rPr>
        <w:b/>
        <w:bCs/>
        <w:noProof/>
        <w:lang w:val="en-US"/>
      </w:rPr>
      <w:t>UIT-R  M.2164-0</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91B8" w14:textId="007E2F83" w:rsidR="00607D68" w:rsidRDefault="00607D68">
    <w:pPr>
      <w:pStyle w:val="Header"/>
    </w:pPr>
    <w:r>
      <w:tab/>
    </w:r>
    <w:r w:rsidR="00DC2B47">
      <w:fldChar w:fldCharType="begin"/>
    </w:r>
    <w:r w:rsidR="00DC2B47">
      <w:instrText xml:space="preserve"> DOCPROPERTY "Header" \* MERGEFORMAT </w:instrText>
    </w:r>
    <w:r w:rsidR="00DC2B47">
      <w:fldChar w:fldCharType="separate"/>
    </w:r>
    <w:r w:rsidR="00652886" w:rsidRPr="00652886">
      <w:rPr>
        <w:b/>
        <w:bCs/>
      </w:rPr>
      <w:t xml:space="preserve">Rec. </w:t>
    </w:r>
    <w:r w:rsidR="00DC2B47">
      <w:rPr>
        <w:b/>
        <w:bCs/>
      </w:rPr>
      <w:fldChar w:fldCharType="end"/>
    </w:r>
    <w:r>
      <w:rPr>
        <w:b/>
        <w:bCs/>
      </w:rPr>
      <w:t xml:space="preserve"> </w:t>
    </w:r>
    <w:r>
      <w:rPr>
        <w:b/>
        <w:bCs/>
      </w:rPr>
      <w:fldChar w:fldCharType="begin"/>
    </w:r>
    <w:r>
      <w:rPr>
        <w:b/>
        <w:bCs/>
      </w:rPr>
      <w:instrText>styleref href</w:instrText>
    </w:r>
    <w:r>
      <w:rPr>
        <w:b/>
        <w:bCs/>
      </w:rPr>
      <w:fldChar w:fldCharType="separate"/>
    </w:r>
    <w:r w:rsidR="0071183D">
      <w:rPr>
        <w:b/>
        <w:bCs/>
        <w:noProof/>
      </w:rPr>
      <w:t>UIT-R  M.2164-0</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242AEE">
      <w:rPr>
        <w:rStyle w:val="PageNumber"/>
        <w:b/>
        <w:bCs/>
        <w:noProof/>
      </w:rPr>
      <w:t>1</w:t>
    </w:r>
    <w:r>
      <w:rPr>
        <w:rStyle w:val="PageNumber"/>
        <w:b/>
        <w:bCs/>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gnal, Hugo">
    <w15:presenceInfo w15:providerId="AD" w15:userId="S::hugo.vignal@itu.int::e1a4e462-64e9-4d7e-830c-5a34d25909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886"/>
    <w:rsid w:val="00111AF1"/>
    <w:rsid w:val="00153F36"/>
    <w:rsid w:val="00217EBF"/>
    <w:rsid w:val="00242AEE"/>
    <w:rsid w:val="002D76C4"/>
    <w:rsid w:val="003B2D52"/>
    <w:rsid w:val="0052529D"/>
    <w:rsid w:val="00607D68"/>
    <w:rsid w:val="00652886"/>
    <w:rsid w:val="0071183D"/>
    <w:rsid w:val="007468DA"/>
    <w:rsid w:val="009E00A8"/>
    <w:rsid w:val="00A6617B"/>
    <w:rsid w:val="00AB0DC8"/>
    <w:rsid w:val="00B44E24"/>
    <w:rsid w:val="00DC2B47"/>
    <w:rsid w:val="00DF4176"/>
    <w:rsid w:val="00EA45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B85C1"/>
  <w15:docId w15:val="{B014247F-F2D9-4B76-A4CE-27CFC0324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B47"/>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242AEE"/>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rsid w:val="003B2D52"/>
    <w:pPr>
      <w:keepNext/>
      <w:keepLines/>
      <w:spacing w:before="480" w:after="80"/>
      <w:jc w:val="center"/>
      <w:outlineLvl w:val="0"/>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aliases w:val="Footnote Reference/,Appel note de bas de p,Footnote symbol,Style 13,Style 12,(NECG) Footnote Reference,Style 124,Appel note de bas de p + 11 pt,Italic,Appel note de bas de p1,Appel note de bas de p2,Appel note de bas de p3,o"/>
    <w:basedOn w:val="DefaultParagraphFon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DNV"/>
    <w:basedOn w:val="Normal"/>
    <w:link w:val="FootnoteTextChar"/>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autoRedefine/>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character" w:customStyle="1" w:styleId="Heading1Char">
    <w:name w:val="Heading 1 Char"/>
    <w:basedOn w:val="DefaultParagraphFont"/>
    <w:link w:val="Heading1"/>
    <w:rsid w:val="00652886"/>
    <w:rPr>
      <w:b/>
      <w:sz w:val="24"/>
      <w:lang w:val="en-GB" w:eastAsia="en-US"/>
    </w:rPr>
  </w:style>
  <w:style w:type="character" w:customStyle="1" w:styleId="HeaderChar">
    <w:name w:val="Header Char"/>
    <w:basedOn w:val="DefaultParagraphFont"/>
    <w:link w:val="Header"/>
    <w:uiPriority w:val="99"/>
    <w:rsid w:val="00652886"/>
    <w:rPr>
      <w:sz w:val="24"/>
      <w:lang w:val="en-GB" w:eastAsia="en-US"/>
    </w:rPr>
  </w:style>
  <w:style w:type="character" w:customStyle="1" w:styleId="FooterChar">
    <w:name w:val="Footer Char"/>
    <w:basedOn w:val="DefaultParagraphFont"/>
    <w:link w:val="Footer"/>
    <w:rsid w:val="00652886"/>
    <w:rPr>
      <w:noProof/>
      <w:sz w:val="18"/>
      <w:lang w:val="en-GB" w:eastAsia="en-US"/>
    </w:rPr>
  </w:style>
  <w:style w:type="character" w:styleId="Hyperlink">
    <w:name w:val="Hyperlink"/>
    <w:basedOn w:val="DefaultParagraphFont"/>
    <w:rsid w:val="00652886"/>
    <w:rPr>
      <w:color w:val="0000FF"/>
      <w:u w:val="single"/>
    </w:rPr>
  </w:style>
  <w:style w:type="table" w:styleId="TableGrid">
    <w:name w:val="Table Grid"/>
    <w:basedOn w:val="TableNormal"/>
    <w:uiPriority w:val="39"/>
    <w:rsid w:val="0065288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652886"/>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652886"/>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652886"/>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652886"/>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DNV Char"/>
    <w:basedOn w:val="DefaultParagraphFont"/>
    <w:link w:val="FootnoteText"/>
    <w:rsid w:val="00652886"/>
    <w:rPr>
      <w:sz w:val="22"/>
      <w:lang w:val="en-GB" w:eastAsia="en-US"/>
    </w:rPr>
  </w:style>
  <w:style w:type="paragraph" w:customStyle="1" w:styleId="Normalaftertitle0">
    <w:name w:val="Normal after title"/>
    <w:basedOn w:val="Normal"/>
    <w:next w:val="Normal"/>
    <w:rsid w:val="00652886"/>
    <w:pPr>
      <w:tabs>
        <w:tab w:val="clear" w:pos="794"/>
        <w:tab w:val="clear" w:pos="1191"/>
        <w:tab w:val="clear" w:pos="1588"/>
        <w:tab w:val="clear" w:pos="1985"/>
        <w:tab w:val="left" w:pos="1134"/>
        <w:tab w:val="left" w:pos="1871"/>
        <w:tab w:val="left" w:pos="2268"/>
      </w:tabs>
      <w:spacing w:before="280"/>
      <w:jc w:val="left"/>
    </w:pPr>
    <w:rPr>
      <w:lang w:val="fr-FR"/>
    </w:rPr>
  </w:style>
  <w:style w:type="paragraph" w:customStyle="1" w:styleId="Annextitle">
    <w:name w:val="Annex_title"/>
    <w:basedOn w:val="Normal"/>
    <w:next w:val="Normal"/>
    <w:rsid w:val="00652886"/>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fr-FR"/>
    </w:rPr>
  </w:style>
  <w:style w:type="character" w:customStyle="1" w:styleId="enumlev1Char">
    <w:name w:val="enumlev1 Char"/>
    <w:basedOn w:val="DefaultParagraphFont"/>
    <w:link w:val="enumlev1"/>
    <w:qFormat/>
    <w:locked/>
    <w:rsid w:val="00652886"/>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tu.int/rec/R-REC-M.1732/fr" TargetMode="External"/><Relationship Id="rId18" Type="http://schemas.openxmlformats.org/officeDocument/2006/relationships/hyperlink" Target="https://www.itu.int/pub/R-REP-M.2513/fr" TargetMode="External"/><Relationship Id="rId26" Type="http://schemas.openxmlformats.org/officeDocument/2006/relationships/header" Target="header6.xml"/><Relationship Id="rId3" Type="http://schemas.openxmlformats.org/officeDocument/2006/relationships/webSettings" Target="webSettings.xml"/><Relationship Id="rId21" Type="http://schemas.openxmlformats.org/officeDocument/2006/relationships/hyperlink" Target="https://www.itu.int/pub/R-REP-M.2532/fr" TargetMode="Externa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hyperlink" Target="https://www.itu.int/pub/R-REP-M.2458/fr" TargetMode="External"/><Relationship Id="rId25" Type="http://schemas.openxmlformats.org/officeDocument/2006/relationships/header" Target="header5.xml"/><Relationship Id="rId2" Type="http://schemas.openxmlformats.org/officeDocument/2006/relationships/settings" Target="settings.xml"/><Relationship Id="rId16" Type="http://schemas.openxmlformats.org/officeDocument/2006/relationships/hyperlink" Target="https://www.itu.int/rec/R-REC-M.2030/fr" TargetMode="External"/><Relationship Id="rId20" Type="http://schemas.openxmlformats.org/officeDocument/2006/relationships/hyperlink" Target="https://www.itu.int/pub/R-HDB-52/fr" TargetMode="External"/><Relationship Id="rId29" Type="http://schemas.microsoft.com/office/2011/relationships/people" Target="peop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24" Type="http://schemas.openxmlformats.org/officeDocument/2006/relationships/hyperlink" Target="https://www.itu.int/rec/R-REC-M.1902/fr" TargetMode="External"/><Relationship Id="rId5" Type="http://schemas.openxmlformats.org/officeDocument/2006/relationships/endnotes" Target="endnotes.xml"/><Relationship Id="rId15" Type="http://schemas.openxmlformats.org/officeDocument/2006/relationships/hyperlink" Target="https://www.itu.int/rec/R-REC-M.1902/fr" TargetMode="External"/><Relationship Id="rId23" Type="http://schemas.openxmlformats.org/officeDocument/2006/relationships/hyperlink" Target="https://www.itu.int/rec/R-REC-M.1902/fr" TargetMode="External"/><Relationship Id="rId28" Type="http://schemas.openxmlformats.org/officeDocument/2006/relationships/fontTable" Target="fontTable.xml"/><Relationship Id="rId10" Type="http://schemas.openxmlformats.org/officeDocument/2006/relationships/hyperlink" Target="https://www.itu.int/publ/R-REC/fr" TargetMode="External"/><Relationship Id="rId19" Type="http://schemas.openxmlformats.org/officeDocument/2006/relationships/hyperlink" Target="https://www.itu.int/pub/R-REP-M.2532/fr" TargetMode="External"/><Relationship Id="rId4" Type="http://schemas.openxmlformats.org/officeDocument/2006/relationships/footnotes" Target="footnotes.xml"/><Relationship Id="rId9" Type="http://schemas.openxmlformats.org/officeDocument/2006/relationships/hyperlink" Target="http://www.itu.int/ITU-R/go/patents/fr" TargetMode="External"/><Relationship Id="rId14" Type="http://schemas.openxmlformats.org/officeDocument/2006/relationships/hyperlink" Target="https://www.itu.int/rec/R-REC-M.1787/fr" TargetMode="External"/><Relationship Id="rId22" Type="http://schemas.openxmlformats.org/officeDocument/2006/relationships/hyperlink" Target="https://www.itu.int/pub/R-REP-M.2513/fr" TargetMode="External"/><Relationship Id="rId27" Type="http://schemas.openxmlformats.org/officeDocument/2006/relationships/footer" Target="foot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BR_Rec_2005.dotm</Template>
  <TotalTime>18</TotalTime>
  <Pages>7</Pages>
  <Words>2288</Words>
  <Characters>13447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Recommandation UIT-R M.2164-0 (11/2023) Orientations sur les mesures techniques et opérationnelles destinées à l'utilisation de la bande de fréquences 1 240-1 300 MHz par les services d'amateur et d'amateur par satellite pour protéger le service de radion</vt:lpstr>
    </vt:vector>
  </TitlesOfParts>
  <Manager/>
  <Company>ITU</Company>
  <LinksUpToDate>false</LinksUpToDate>
  <CharactersWithSpaces>15704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UIT-R M.2164-0 (11/2023) Orientations sur les mesures techniques et opérationnelles destinées à l'utilisation de la bande de fréquences 1 240-1 300 MHz par les services d'amateur et d'amateur par satellite pour protéger le service de radionavigation par satellite (SRNS) (espace vers Terre)</dc:title>
  <dc:subject/>
  <dc:creator>Gachet, Christelle</dc:creator>
  <cp:keywords/>
  <dc:description/>
  <cp:lastModifiedBy>Gachet, Christelle</cp:lastModifiedBy>
  <cp:revision>5</cp:revision>
  <cp:lastPrinted>2005-02-10T15:54:00Z</cp:lastPrinted>
  <dcterms:created xsi:type="dcterms:W3CDTF">2023-12-01T08:58:00Z</dcterms:created>
  <dcterms:modified xsi:type="dcterms:W3CDTF">2023-12-01T09:18:00Z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