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6D4393">
              <w:rPr>
                <w:rFonts w:ascii="Tahoma" w:hAnsi="Tahoma" w:cs="Tahoma"/>
                <w:b/>
                <w:bCs/>
                <w:iCs/>
                <w:color w:val="243285"/>
                <w:sz w:val="36"/>
                <w:szCs w:val="36"/>
              </w:rPr>
              <w:t>21</w:t>
            </w:r>
            <w:r w:rsidR="0001540A">
              <w:rPr>
                <w:rFonts w:ascii="Tahoma" w:hAnsi="Tahoma" w:cs="Tahoma"/>
                <w:b/>
                <w:bCs/>
                <w:iCs/>
                <w:color w:val="243285"/>
                <w:sz w:val="36"/>
                <w:szCs w:val="36"/>
              </w:rPr>
              <w:t>3</w:t>
            </w:r>
            <w:r w:rsidR="00EE2963">
              <w:rPr>
                <w:rFonts w:ascii="Tahoma" w:hAnsi="Tahoma" w:cs="Tahoma"/>
                <w:b/>
                <w:bCs/>
                <w:iCs/>
                <w:color w:val="243285"/>
                <w:sz w:val="36"/>
                <w:szCs w:val="36"/>
              </w:rPr>
              <w:t>5</w:t>
            </w:r>
            <w:r w:rsidR="006D4393">
              <w:rPr>
                <w:rFonts w:ascii="Tahoma" w:hAnsi="Tahoma" w:cs="Tahoma"/>
                <w:b/>
                <w:bCs/>
                <w:iCs/>
                <w:color w:val="243285"/>
                <w:sz w:val="36"/>
                <w:szCs w:val="36"/>
              </w:rPr>
              <w:t>-0</w:t>
            </w:r>
          </w:p>
          <w:p w:rsidR="00FE79FE" w:rsidRPr="004F65E4" w:rsidRDefault="00FE79FE" w:rsidP="0001540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1540A">
              <w:rPr>
                <w:rFonts w:ascii="Tahoma" w:hAnsi="Tahoma" w:cs="Tahoma"/>
                <w:b/>
                <w:bCs/>
                <w:iCs/>
                <w:color w:val="243285"/>
                <w:szCs w:val="24"/>
              </w:rPr>
              <w:t>1</w:t>
            </w:r>
            <w:r w:rsidR="00D3212F">
              <w:rPr>
                <w:rFonts w:ascii="Tahoma" w:hAnsi="Tahoma" w:cs="Tahoma"/>
                <w:b/>
                <w:bCs/>
                <w:iCs/>
                <w:color w:val="243285"/>
                <w:szCs w:val="24"/>
              </w:rPr>
              <w:t>0</w:t>
            </w:r>
            <w:r w:rsidRPr="004F65E4">
              <w:rPr>
                <w:rFonts w:ascii="Tahoma" w:hAnsi="Tahoma" w:cs="Tahoma"/>
                <w:b/>
                <w:bCs/>
                <w:iCs/>
                <w:color w:val="243285"/>
                <w:szCs w:val="24"/>
              </w:rPr>
              <w:t>/</w:t>
            </w:r>
            <w:r w:rsidR="00C81231">
              <w:rPr>
                <w:rFonts w:ascii="Tahoma" w:hAnsi="Tahoma" w:cs="Tahoma"/>
                <w:b/>
                <w:bCs/>
                <w:iCs/>
                <w:color w:val="243285"/>
                <w:szCs w:val="24"/>
              </w:rPr>
              <w:t>201</w:t>
            </w:r>
            <w:r w:rsidR="00D3212F">
              <w:rPr>
                <w:rFonts w:ascii="Tahoma" w:hAnsi="Tahoma" w:cs="Tahoma"/>
                <w:b/>
                <w:bCs/>
                <w:iCs/>
                <w:color w:val="243285"/>
                <w:szCs w:val="24"/>
              </w:rPr>
              <w:t>9</w:t>
            </w:r>
            <w:r w:rsidRPr="004F65E4">
              <w:rPr>
                <w:rFonts w:ascii="Tahoma" w:hAnsi="Tahoma" w:cs="Tahoma"/>
                <w:b/>
                <w:bCs/>
                <w:iCs/>
                <w:color w:val="243285"/>
                <w:szCs w:val="24"/>
              </w:rPr>
              <w:t>)</w:t>
            </w:r>
          </w:p>
        </w:tc>
      </w:tr>
      <w:tr w:rsidR="00FE79FE" w:rsidRPr="00EE2963">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EE2963" w:rsidP="004220E0">
            <w:pPr>
              <w:spacing w:before="80" w:line="500" w:lineRule="exact"/>
              <w:jc w:val="right"/>
              <w:rPr>
                <w:rFonts w:ascii="Tahoma" w:hAnsi="Tahoma" w:cs="Tahoma"/>
                <w:b/>
                <w:bCs/>
                <w:iCs/>
                <w:color w:val="243285"/>
                <w:sz w:val="44"/>
                <w:szCs w:val="44"/>
                <w:lang w:val="en-US"/>
              </w:rPr>
            </w:pPr>
            <w:r w:rsidRPr="00EE2963">
              <w:rPr>
                <w:rFonts w:ascii="Tahoma" w:hAnsi="Tahoma" w:cs="Tahoma"/>
                <w:b/>
                <w:bCs/>
                <w:iCs/>
                <w:color w:val="243285"/>
                <w:sz w:val="44"/>
                <w:szCs w:val="44"/>
                <w:lang w:val="en-GB"/>
              </w:rPr>
              <w:t xml:space="preserve">Technical characteristics of autonomous maritime radio devices operating </w:t>
            </w:r>
            <w:r w:rsidRPr="00EE2963">
              <w:rPr>
                <w:rFonts w:ascii="Tahoma" w:hAnsi="Tahoma" w:cs="Tahoma"/>
                <w:b/>
                <w:bCs/>
                <w:iCs/>
                <w:color w:val="243285"/>
                <w:sz w:val="44"/>
                <w:szCs w:val="44"/>
                <w:lang w:val="en-GB"/>
              </w:rPr>
              <w:br/>
              <w:t>in the frequency band 156-162.05 MHz</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3B0A3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B0A3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EE296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EE296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EE296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EE296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EE2963">
        <w:tc>
          <w:tcPr>
            <w:tcW w:w="9360" w:type="dxa"/>
          </w:tcPr>
          <w:p w:rsidR="00036EE3" w:rsidRPr="002F5199" w:rsidRDefault="00036EE3" w:rsidP="004220E0">
            <w:pPr>
              <w:spacing w:after="120"/>
              <w:ind w:leftChars="-20" w:left="-48"/>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70E8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70E81">
        <w:rPr>
          <w:sz w:val="20"/>
          <w:lang w:val="en-US"/>
        </w:rPr>
        <w:t>9</w:t>
      </w:r>
    </w:p>
    <w:p w:rsidR="00470E28" w:rsidRDefault="00470E28" w:rsidP="00906589">
      <w:pPr>
        <w:jc w:val="center"/>
        <w:rPr>
          <w:sz w:val="22"/>
          <w:lang w:val="en-US"/>
        </w:rPr>
      </w:pPr>
    </w:p>
    <w:p w:rsidR="00586EF8" w:rsidRPr="00470E28" w:rsidRDefault="00586EF8" w:rsidP="00B70E8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70E8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4220E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272E02">
        <w:rPr>
          <w:rStyle w:val="href"/>
          <w:lang w:val="en-US"/>
        </w:rPr>
        <w:t>21</w:t>
      </w:r>
      <w:r w:rsidR="0001540A">
        <w:rPr>
          <w:rStyle w:val="href"/>
          <w:lang w:val="en-US"/>
        </w:rPr>
        <w:t>3</w:t>
      </w:r>
      <w:r w:rsidR="00EE2963">
        <w:rPr>
          <w:rStyle w:val="href"/>
          <w:lang w:val="en-US"/>
        </w:rPr>
        <w:t>5</w:t>
      </w:r>
      <w:r w:rsidR="00272E02">
        <w:rPr>
          <w:rStyle w:val="href"/>
          <w:lang w:val="en-US"/>
        </w:rPr>
        <w:t>-0</w:t>
      </w:r>
    </w:p>
    <w:p w:rsidR="00563597" w:rsidRDefault="00EE2963" w:rsidP="00563597">
      <w:pPr>
        <w:pStyle w:val="Rectitle"/>
        <w:rPr>
          <w:lang w:val="en-GB"/>
        </w:rPr>
      </w:pPr>
      <w:r w:rsidRPr="00EE2963">
        <w:rPr>
          <w:lang w:val="en-GB"/>
        </w:rPr>
        <w:t xml:space="preserve">Technical characteristics of autonomous maritime radio devices operating </w:t>
      </w:r>
      <w:r w:rsidRPr="00EE2963">
        <w:rPr>
          <w:lang w:val="en-GB"/>
        </w:rPr>
        <w:br/>
        <w:t>in the frequency band 156-162.05 MHz</w:t>
      </w:r>
    </w:p>
    <w:p w:rsidR="004220E0" w:rsidRDefault="004220E0" w:rsidP="004220E0">
      <w:pPr>
        <w:pStyle w:val="Recdate"/>
        <w:rPr>
          <w:lang w:val="en-GB"/>
        </w:rPr>
      </w:pPr>
      <w:r>
        <w:rPr>
          <w:lang w:val="en-GB"/>
        </w:rPr>
        <w:t>(2019)</w:t>
      </w:r>
    </w:p>
    <w:p w:rsidR="00EE2963" w:rsidRPr="005D120A" w:rsidRDefault="00EE2963" w:rsidP="00EE2963">
      <w:pPr>
        <w:pStyle w:val="HeadingSum"/>
        <w:rPr>
          <w:lang w:val="en-GB"/>
        </w:rPr>
      </w:pPr>
      <w:r w:rsidRPr="005D120A">
        <w:rPr>
          <w:lang w:val="en-GB"/>
        </w:rPr>
        <w:t>Scope</w:t>
      </w:r>
    </w:p>
    <w:p w:rsidR="00EE2963" w:rsidRPr="005D120A" w:rsidRDefault="00EE2963" w:rsidP="00EE2963">
      <w:pPr>
        <w:pStyle w:val="Summary"/>
        <w:rPr>
          <w:lang w:val="en-GB"/>
        </w:rPr>
      </w:pPr>
      <w:r w:rsidRPr="005D120A">
        <w:rPr>
          <w:lang w:val="en-GB"/>
        </w:rPr>
        <w:t>This Recommendation describes autonomous maritime radio devices (AMRD) for use in the maritime environment. The definition and categorization of AMRD are included in Annex 1. The technical and operational characteristics of AMRD Group B using automatic identification system (AIS) technology are detailed in Annex 2. The technical and operational characteristics of AMRD Group B using other than AIS technology are detailed in Annex 3.</w:t>
      </w:r>
    </w:p>
    <w:p w:rsidR="00EE2963" w:rsidRPr="00EE2963" w:rsidRDefault="00EE2963" w:rsidP="00EE2963">
      <w:pPr>
        <w:pStyle w:val="Headingb"/>
        <w:rPr>
          <w:lang w:val="en-GB"/>
        </w:rPr>
      </w:pPr>
      <w:r w:rsidRPr="00EE2963">
        <w:rPr>
          <w:lang w:val="en-GB"/>
        </w:rPr>
        <w:t>Keywords</w:t>
      </w:r>
    </w:p>
    <w:p w:rsidR="00EE2963" w:rsidRPr="00EE2963" w:rsidRDefault="00EE2963" w:rsidP="00EE2963">
      <w:pPr>
        <w:rPr>
          <w:lang w:val="en-GB"/>
        </w:rPr>
      </w:pPr>
      <w:r w:rsidRPr="00EE2963">
        <w:rPr>
          <w:lang w:val="en-GB"/>
        </w:rPr>
        <w:t>Aid to Navigation (AtoN), automatic identification system (AIS), autonomous maritime radio devices (AMRD), digital selective calling (DSC), Maritime</w:t>
      </w:r>
    </w:p>
    <w:p w:rsidR="00EE2963" w:rsidRPr="00EE2963" w:rsidRDefault="00EE2963" w:rsidP="00EE2963">
      <w:pPr>
        <w:pStyle w:val="Headingb"/>
        <w:rPr>
          <w:lang w:val="en-GB"/>
        </w:rPr>
      </w:pPr>
      <w:r w:rsidRPr="00EE2963">
        <w:rPr>
          <w:lang w:val="en-GB"/>
        </w:rPr>
        <w:t>Abbreviations/Glossary</w:t>
      </w:r>
    </w:p>
    <w:p w:rsidR="00EE2963" w:rsidRPr="00EE2963" w:rsidRDefault="00EE2963" w:rsidP="005E4A8F">
      <w:pPr>
        <w:tabs>
          <w:tab w:val="clear" w:pos="794"/>
        </w:tabs>
        <w:rPr>
          <w:lang w:val="en-GB" w:eastAsia="zh-CN"/>
        </w:rPr>
      </w:pPr>
      <w:r w:rsidRPr="00EE2963">
        <w:rPr>
          <w:lang w:val="en-GB" w:eastAsia="zh-CN"/>
        </w:rPr>
        <w:t>AtoN</w:t>
      </w:r>
      <w:r w:rsidRPr="00EE2963">
        <w:rPr>
          <w:lang w:val="en-GB" w:eastAsia="zh-CN"/>
        </w:rPr>
        <w:tab/>
        <w:t>Aid to Navigation</w:t>
      </w:r>
    </w:p>
    <w:p w:rsidR="00EE2963" w:rsidRPr="00EE2963" w:rsidRDefault="00EE2963" w:rsidP="005E4A8F">
      <w:pPr>
        <w:tabs>
          <w:tab w:val="clear" w:pos="794"/>
        </w:tabs>
        <w:rPr>
          <w:lang w:val="en-GB"/>
        </w:rPr>
      </w:pPr>
      <w:r w:rsidRPr="00EE2963">
        <w:rPr>
          <w:lang w:val="en-GB"/>
        </w:rPr>
        <w:t>AIS</w:t>
      </w:r>
      <w:r w:rsidRPr="00EE2963">
        <w:rPr>
          <w:lang w:val="en-GB"/>
        </w:rPr>
        <w:tab/>
        <w:t>Automatic identification system</w:t>
      </w:r>
    </w:p>
    <w:p w:rsidR="00EE2963" w:rsidRPr="00EE2963" w:rsidRDefault="00EE2963" w:rsidP="005E4A8F">
      <w:pPr>
        <w:tabs>
          <w:tab w:val="clear" w:pos="794"/>
        </w:tabs>
        <w:rPr>
          <w:lang w:val="en-GB"/>
        </w:rPr>
      </w:pPr>
      <w:r w:rsidRPr="00EE2963">
        <w:rPr>
          <w:lang w:val="en-GB"/>
        </w:rPr>
        <w:t>AMRD</w:t>
      </w:r>
      <w:r w:rsidRPr="00EE2963">
        <w:rPr>
          <w:lang w:val="en-GB"/>
        </w:rPr>
        <w:tab/>
        <w:t>Autonomous maritime</w:t>
      </w:r>
      <w:bookmarkStart w:id="3" w:name="_GoBack"/>
      <w:bookmarkEnd w:id="3"/>
      <w:r w:rsidRPr="00EE2963">
        <w:rPr>
          <w:lang w:val="en-GB"/>
        </w:rPr>
        <w:t xml:space="preserve"> radio devices</w:t>
      </w:r>
    </w:p>
    <w:p w:rsidR="00EE2963" w:rsidRPr="00EE2963" w:rsidRDefault="00EE2963" w:rsidP="005E4A8F">
      <w:pPr>
        <w:tabs>
          <w:tab w:val="clear" w:pos="794"/>
        </w:tabs>
        <w:rPr>
          <w:lang w:val="en-GB"/>
        </w:rPr>
      </w:pPr>
      <w:r w:rsidRPr="00EE2963">
        <w:rPr>
          <w:lang w:val="en-GB"/>
        </w:rPr>
        <w:t>DSC</w:t>
      </w:r>
      <w:r w:rsidRPr="00EE2963">
        <w:rPr>
          <w:lang w:val="en-GB"/>
        </w:rPr>
        <w:tab/>
        <w:t>Digital selective calling</w:t>
      </w:r>
    </w:p>
    <w:p w:rsidR="00EE2963" w:rsidRPr="00EE2963" w:rsidRDefault="00EE2963" w:rsidP="005E4A8F">
      <w:pPr>
        <w:tabs>
          <w:tab w:val="clear" w:pos="794"/>
        </w:tabs>
        <w:rPr>
          <w:lang w:val="en-GB" w:eastAsia="zh-CN"/>
        </w:rPr>
      </w:pPr>
      <w:r w:rsidRPr="00EE2963">
        <w:rPr>
          <w:lang w:val="en-GB" w:eastAsia="zh-CN"/>
        </w:rPr>
        <w:t>e.i.r.p.</w:t>
      </w:r>
      <w:r w:rsidRPr="00EE2963">
        <w:rPr>
          <w:lang w:val="en-GB" w:eastAsia="zh-CN"/>
        </w:rPr>
        <w:tab/>
        <w:t>equivalent isotropically radiated power</w:t>
      </w:r>
    </w:p>
    <w:p w:rsidR="00EE2963" w:rsidRPr="00EE2963" w:rsidRDefault="00EE2963" w:rsidP="005E4A8F">
      <w:pPr>
        <w:tabs>
          <w:tab w:val="clear" w:pos="794"/>
        </w:tabs>
        <w:rPr>
          <w:lang w:val="en-GB"/>
        </w:rPr>
      </w:pPr>
      <w:r w:rsidRPr="00EE2963">
        <w:rPr>
          <w:lang w:val="en-GB"/>
        </w:rPr>
        <w:t>GMDSS</w:t>
      </w:r>
      <w:r w:rsidRPr="00EE2963">
        <w:rPr>
          <w:lang w:val="en-GB"/>
        </w:rPr>
        <w:tab/>
        <w:t>Global maritime distress and safety system</w:t>
      </w:r>
    </w:p>
    <w:p w:rsidR="00EE2963" w:rsidRPr="00EE2963" w:rsidRDefault="00EE2963" w:rsidP="005E4A8F">
      <w:pPr>
        <w:tabs>
          <w:tab w:val="clear" w:pos="794"/>
        </w:tabs>
        <w:rPr>
          <w:lang w:val="en-GB"/>
        </w:rPr>
      </w:pPr>
      <w:r w:rsidRPr="00EE2963">
        <w:rPr>
          <w:lang w:val="en-GB"/>
        </w:rPr>
        <w:t>IMO</w:t>
      </w:r>
      <w:r w:rsidRPr="00EE2963">
        <w:rPr>
          <w:lang w:val="en-GB"/>
        </w:rPr>
        <w:tab/>
        <w:t>International Maritime Organization</w:t>
      </w:r>
    </w:p>
    <w:p w:rsidR="00EE2963" w:rsidRPr="00EE2963" w:rsidRDefault="00EE2963" w:rsidP="005E4A8F">
      <w:pPr>
        <w:tabs>
          <w:tab w:val="clear" w:pos="794"/>
        </w:tabs>
        <w:rPr>
          <w:lang w:val="en-GB"/>
        </w:rPr>
      </w:pPr>
      <w:r w:rsidRPr="00EE2963">
        <w:rPr>
          <w:lang w:val="en-GB"/>
        </w:rPr>
        <w:t>SOLAS</w:t>
      </w:r>
      <w:r w:rsidRPr="00EE2963">
        <w:rPr>
          <w:lang w:val="en-GB"/>
        </w:rPr>
        <w:tab/>
        <w:t>International Convention for the Safety of Life at Sea</w:t>
      </w:r>
    </w:p>
    <w:p w:rsidR="00EE2963" w:rsidRPr="00EE2963" w:rsidRDefault="00EE2963" w:rsidP="005E4A8F">
      <w:pPr>
        <w:tabs>
          <w:tab w:val="clear" w:pos="794"/>
        </w:tabs>
        <w:rPr>
          <w:lang w:val="en-GB"/>
        </w:rPr>
      </w:pPr>
      <w:r w:rsidRPr="00EE2963">
        <w:rPr>
          <w:lang w:val="en-GB"/>
        </w:rPr>
        <w:t>VHF</w:t>
      </w:r>
      <w:r w:rsidRPr="00EE2963">
        <w:rPr>
          <w:lang w:val="en-GB"/>
        </w:rPr>
        <w:tab/>
        <w:t>Very high frequency</w:t>
      </w:r>
    </w:p>
    <w:p w:rsidR="00EE2963" w:rsidRPr="00EE2963" w:rsidRDefault="00EE2963" w:rsidP="00EE2963">
      <w:pPr>
        <w:pStyle w:val="Headingb"/>
        <w:rPr>
          <w:lang w:val="en-GB"/>
        </w:rPr>
      </w:pPr>
      <w:r w:rsidRPr="00EE2963">
        <w:rPr>
          <w:lang w:val="en-GB"/>
        </w:rPr>
        <w:t>Related ITU Recommendations and Reports</w:t>
      </w:r>
    </w:p>
    <w:p w:rsidR="00EE2963" w:rsidRPr="00EE2963" w:rsidRDefault="00EE2963" w:rsidP="005E4A8F">
      <w:pPr>
        <w:pStyle w:val="Reftext"/>
        <w:rPr>
          <w:szCs w:val="24"/>
          <w:lang w:val="en-GB" w:eastAsia="zh-CN"/>
        </w:rPr>
      </w:pPr>
      <w:r w:rsidRPr="00EE2963">
        <w:rPr>
          <w:lang w:val="en-GB"/>
        </w:rPr>
        <w:t xml:space="preserve">Recommendation </w:t>
      </w:r>
      <w:hyperlink r:id="rId14" w:history="1">
        <w:r w:rsidRPr="00EE2963">
          <w:rPr>
            <w:lang w:val="en-GB"/>
          </w:rPr>
          <w:t>ITU-R M.493-1</w:t>
        </w:r>
      </w:hyperlink>
      <w:r w:rsidRPr="00EE2963">
        <w:rPr>
          <w:lang w:val="en-GB"/>
        </w:rPr>
        <w:t>5:</w:t>
      </w:r>
      <w:r w:rsidR="005E4A8F">
        <w:rPr>
          <w:lang w:val="en-GB"/>
        </w:rPr>
        <w:t xml:space="preserve"> </w:t>
      </w:r>
      <w:r w:rsidRPr="00EE2963">
        <w:rPr>
          <w:lang w:val="en-GB" w:eastAsia="zh-CN"/>
        </w:rPr>
        <w:t xml:space="preserve">Digital </w:t>
      </w:r>
      <w:r w:rsidRPr="00EE2963">
        <w:rPr>
          <w:lang w:val="en-GB"/>
        </w:rPr>
        <w:t>selective</w:t>
      </w:r>
      <w:r w:rsidRPr="00EE2963">
        <w:rPr>
          <w:lang w:val="en-GB" w:eastAsia="zh-CN"/>
        </w:rPr>
        <w:t>-calling system for use in the maritime mobile service</w:t>
      </w:r>
    </w:p>
    <w:p w:rsidR="00EE2963" w:rsidRPr="00EE2963" w:rsidRDefault="00EE2963" w:rsidP="005E4A8F">
      <w:pPr>
        <w:pStyle w:val="Reftext"/>
        <w:rPr>
          <w:iCs/>
          <w:szCs w:val="24"/>
          <w:lang w:val="en-GB" w:eastAsia="zh-CN"/>
        </w:rPr>
      </w:pPr>
      <w:r w:rsidRPr="00EE2963">
        <w:rPr>
          <w:lang w:val="en-GB"/>
        </w:rPr>
        <w:t xml:space="preserve">Recommendation </w:t>
      </w:r>
      <w:hyperlink r:id="rId15" w:history="1">
        <w:r w:rsidRPr="00EE2963">
          <w:rPr>
            <w:lang w:val="en-GB"/>
          </w:rPr>
          <w:t>ITU-R M.585-</w:t>
        </w:r>
      </w:hyperlink>
      <w:r w:rsidRPr="00EE2963">
        <w:rPr>
          <w:lang w:val="en-GB"/>
        </w:rPr>
        <w:t>8:</w:t>
      </w:r>
      <w:r w:rsidR="005E4A8F">
        <w:rPr>
          <w:lang w:val="en-GB"/>
        </w:rPr>
        <w:t xml:space="preserve"> </w:t>
      </w:r>
      <w:r w:rsidRPr="00EE2963">
        <w:rPr>
          <w:lang w:val="en-GB"/>
        </w:rPr>
        <w:t>Assignment</w:t>
      </w:r>
      <w:r w:rsidRPr="00EE2963">
        <w:rPr>
          <w:lang w:val="en-GB" w:eastAsia="zh-CN"/>
        </w:rPr>
        <w:t xml:space="preserve"> and use of identities in the maritime mobile service; or the revised version</w:t>
      </w:r>
    </w:p>
    <w:p w:rsidR="00EE2963" w:rsidRPr="00EE2963" w:rsidRDefault="00EE2963" w:rsidP="005E4A8F">
      <w:pPr>
        <w:pStyle w:val="Reftext"/>
        <w:rPr>
          <w:spacing w:val="-2"/>
          <w:lang w:val="en-GB" w:eastAsia="zh-CN"/>
        </w:rPr>
      </w:pPr>
      <w:r w:rsidRPr="00EE2963">
        <w:rPr>
          <w:lang w:val="en-GB"/>
        </w:rPr>
        <w:t xml:space="preserve">Recommendation </w:t>
      </w:r>
      <w:hyperlink r:id="rId16" w:history="1">
        <w:r w:rsidRPr="00EE2963">
          <w:rPr>
            <w:spacing w:val="-2"/>
            <w:lang w:val="en-GB"/>
          </w:rPr>
          <w:t>ITU-R M.1371-5</w:t>
        </w:r>
      </w:hyperlink>
      <w:r w:rsidRPr="00EE2963">
        <w:rPr>
          <w:spacing w:val="-2"/>
          <w:lang w:val="en-GB"/>
        </w:rPr>
        <w:t>:</w:t>
      </w:r>
      <w:r w:rsidR="005E4A8F">
        <w:rPr>
          <w:spacing w:val="-2"/>
          <w:lang w:val="en-GB"/>
        </w:rPr>
        <w:t xml:space="preserve"> </w:t>
      </w:r>
      <w:r w:rsidRPr="00EE2963">
        <w:rPr>
          <w:spacing w:val="-2"/>
          <w:lang w:val="en-GB" w:eastAsia="zh-CN"/>
        </w:rPr>
        <w:t>Technical characteristics for an automatic identification system using time-division multiple access in the VHF maritime mobi</w:t>
      </w:r>
      <w:bookmarkStart w:id="4" w:name="_Hlk529264537"/>
      <w:r w:rsidRPr="00EE2963">
        <w:rPr>
          <w:spacing w:val="-2"/>
          <w:lang w:val="en-GB" w:eastAsia="zh-CN"/>
        </w:rPr>
        <w:t>le band; or the revised version</w:t>
      </w:r>
    </w:p>
    <w:p w:rsidR="00EE2963" w:rsidRPr="00EE2963" w:rsidRDefault="00EE2963" w:rsidP="005E4A8F">
      <w:pPr>
        <w:pStyle w:val="Reftext"/>
        <w:rPr>
          <w:lang w:val="en-GB" w:eastAsia="zh-CN"/>
        </w:rPr>
      </w:pPr>
      <w:r w:rsidRPr="00EE2963">
        <w:rPr>
          <w:lang w:val="en-GB"/>
        </w:rPr>
        <w:t xml:space="preserve">Recommendation </w:t>
      </w:r>
      <w:hyperlink r:id="rId17" w:history="1">
        <w:r w:rsidRPr="00EE2963">
          <w:rPr>
            <w:spacing w:val="-2"/>
            <w:lang w:val="en-GB"/>
          </w:rPr>
          <w:t>ITU-R M.541-10</w:t>
        </w:r>
      </w:hyperlink>
      <w:r w:rsidRPr="00EE2963">
        <w:rPr>
          <w:lang w:val="en-GB" w:eastAsia="zh-CN"/>
        </w:rPr>
        <w:t>:</w:t>
      </w:r>
      <w:r w:rsidR="005E4A8F">
        <w:rPr>
          <w:lang w:val="en-GB" w:eastAsia="zh-CN"/>
        </w:rPr>
        <w:t xml:space="preserve"> </w:t>
      </w:r>
      <w:r w:rsidRPr="00EE2963">
        <w:rPr>
          <w:lang w:val="en-GB" w:eastAsia="zh-CN"/>
        </w:rPr>
        <w:t>Operational procedures for the use of digital selective-calling equipment in the maritime mobile service</w:t>
      </w:r>
    </w:p>
    <w:p w:rsidR="00EE2963" w:rsidRPr="00EE2963" w:rsidRDefault="00EE2963" w:rsidP="005E4A8F">
      <w:pPr>
        <w:pStyle w:val="Reftext"/>
        <w:rPr>
          <w:lang w:val="en-GB" w:eastAsia="zh-CN"/>
        </w:rPr>
      </w:pPr>
      <w:r w:rsidRPr="00EE2963">
        <w:rPr>
          <w:lang w:val="en-GB"/>
        </w:rPr>
        <w:t xml:space="preserve">Recommendation </w:t>
      </w:r>
      <w:hyperlink r:id="rId18" w:history="1">
        <w:r w:rsidRPr="005E4A8F">
          <w:rPr>
            <w:rStyle w:val="Hyperlink"/>
            <w:color w:val="auto"/>
            <w:u w:val="none"/>
            <w:lang w:val="en-GB" w:eastAsia="ja-JP"/>
          </w:rPr>
          <w:t>ITU-R RA.769</w:t>
        </w:r>
      </w:hyperlink>
      <w:r w:rsidRPr="005E4A8F">
        <w:rPr>
          <w:rStyle w:val="Hyperlink"/>
          <w:color w:val="auto"/>
          <w:u w:val="none"/>
          <w:lang w:val="en-GB" w:eastAsia="ja-JP"/>
        </w:rPr>
        <w:t>-2:</w:t>
      </w:r>
      <w:r w:rsidR="005E4A8F" w:rsidRPr="005E4A8F">
        <w:rPr>
          <w:rStyle w:val="Hyperlink"/>
          <w:color w:val="auto"/>
          <w:lang w:val="en-GB" w:eastAsia="ja-JP"/>
        </w:rPr>
        <w:t xml:space="preserve"> </w:t>
      </w:r>
      <w:r w:rsidRPr="00EE2963">
        <w:rPr>
          <w:lang w:val="en-GB"/>
        </w:rPr>
        <w:t>Protection</w:t>
      </w:r>
      <w:r w:rsidRPr="00EE2963">
        <w:rPr>
          <w:lang w:val="en-GB" w:eastAsia="zh-CN"/>
        </w:rPr>
        <w:t xml:space="preserve"> criteria used for radio astronomical measurements</w:t>
      </w:r>
    </w:p>
    <w:bookmarkEnd w:id="4"/>
    <w:p w:rsidR="00EE2963" w:rsidRPr="00EE2963" w:rsidRDefault="00EE2963" w:rsidP="005E4A8F">
      <w:pPr>
        <w:pStyle w:val="Reftext"/>
        <w:rPr>
          <w:lang w:val="en-GB" w:eastAsia="zh-CN"/>
        </w:rPr>
      </w:pPr>
      <w:r w:rsidRPr="005E4A8F">
        <w:rPr>
          <w:lang w:val="en-GB"/>
        </w:rPr>
        <w:t xml:space="preserve">Report </w:t>
      </w:r>
      <w:hyperlink r:id="rId19" w:history="1">
        <w:r w:rsidRPr="005E4A8F">
          <w:rPr>
            <w:rStyle w:val="Hyperlink"/>
            <w:color w:val="auto"/>
            <w:u w:val="none"/>
            <w:lang w:val="en-GB" w:eastAsia="zh-CN"/>
          </w:rPr>
          <w:t>ITU-R M.2285</w:t>
        </w:r>
      </w:hyperlink>
      <w:r w:rsidRPr="005E4A8F">
        <w:rPr>
          <w:rStyle w:val="Hyperlink"/>
          <w:color w:val="auto"/>
          <w:u w:val="none"/>
          <w:lang w:val="en-GB" w:eastAsia="zh-CN"/>
        </w:rPr>
        <w:t>-0</w:t>
      </w:r>
      <w:r w:rsidRPr="005E4A8F">
        <w:rPr>
          <w:lang w:val="en-GB" w:eastAsia="zh-CN"/>
        </w:rPr>
        <w:t>:</w:t>
      </w:r>
      <w:r w:rsidR="005E4A8F">
        <w:rPr>
          <w:lang w:val="en-GB" w:eastAsia="zh-CN"/>
        </w:rPr>
        <w:t xml:space="preserve"> </w:t>
      </w:r>
      <w:r w:rsidRPr="005E4A8F">
        <w:rPr>
          <w:lang w:val="en-GB" w:eastAsia="zh-CN"/>
        </w:rPr>
        <w:t xml:space="preserve">Maritime survivor locating systems and devices (man overboard systems) – </w:t>
      </w:r>
      <w:r w:rsidRPr="00EE2963">
        <w:rPr>
          <w:lang w:val="en-GB" w:eastAsia="zh-CN"/>
        </w:rPr>
        <w:t xml:space="preserve">An </w:t>
      </w:r>
      <w:r w:rsidRPr="00EE2963">
        <w:rPr>
          <w:lang w:val="en-GB"/>
        </w:rPr>
        <w:t>overview</w:t>
      </w:r>
      <w:r w:rsidRPr="00EE2963">
        <w:rPr>
          <w:lang w:val="en-GB" w:eastAsia="zh-CN"/>
        </w:rPr>
        <w:t xml:space="preserve"> of systems and their mode of operation</w:t>
      </w:r>
    </w:p>
    <w:p w:rsidR="005E4A8F" w:rsidRDefault="005E4A8F" w:rsidP="005E4A8F">
      <w:pPr>
        <w:pStyle w:val="Normalaftertitle"/>
        <w:rPr>
          <w:lang w:val="en-GB"/>
        </w:rPr>
      </w:pPr>
    </w:p>
    <w:p w:rsidR="005E4A8F" w:rsidRDefault="005E4A8F" w:rsidP="005E4A8F">
      <w:pPr>
        <w:pStyle w:val="Normalaftertitle"/>
        <w:rPr>
          <w:lang w:val="en-GB"/>
        </w:rPr>
      </w:pPr>
      <w:r>
        <w:rPr>
          <w:lang w:val="en-GB"/>
        </w:rPr>
        <w:br w:type="page"/>
      </w:r>
    </w:p>
    <w:p w:rsidR="00EE2963" w:rsidRPr="005E4A8F" w:rsidRDefault="00EE2963" w:rsidP="005E4A8F">
      <w:pPr>
        <w:pStyle w:val="Normalaftertitle"/>
      </w:pPr>
      <w:r w:rsidRPr="00EE2963">
        <w:rPr>
          <w:lang w:val="en-GB"/>
        </w:rPr>
        <w:t>The ITU Radiocommunication Assembly,</w:t>
      </w:r>
    </w:p>
    <w:p w:rsidR="00EE2963" w:rsidRPr="00EE2963" w:rsidRDefault="00EE2963" w:rsidP="00EE2963">
      <w:pPr>
        <w:pStyle w:val="Call"/>
        <w:rPr>
          <w:lang w:val="en-GB"/>
        </w:rPr>
      </w:pPr>
      <w:r w:rsidRPr="00EE2963">
        <w:rPr>
          <w:lang w:val="en-GB"/>
        </w:rPr>
        <w:t>considering</w:t>
      </w:r>
    </w:p>
    <w:p w:rsidR="00EE2963" w:rsidRPr="00EE2963" w:rsidRDefault="00EE2963" w:rsidP="00EE2963">
      <w:pPr>
        <w:rPr>
          <w:i/>
          <w:lang w:val="en-GB"/>
        </w:rPr>
      </w:pPr>
      <w:r w:rsidRPr="00EE2963">
        <w:rPr>
          <w:i/>
          <w:lang w:val="en-GB"/>
        </w:rPr>
        <w:t>a)</w:t>
      </w:r>
      <w:r w:rsidRPr="00EE2963">
        <w:rPr>
          <w:i/>
          <w:lang w:val="en-GB"/>
        </w:rPr>
        <w:tab/>
      </w:r>
      <w:r w:rsidRPr="00EE2963">
        <w:rPr>
          <w:lang w:val="en-GB"/>
        </w:rPr>
        <w:t>that the maritime mobile service is a defined service for the operation of specific types of stations</w:t>
      </w:r>
      <w:r w:rsidRPr="00EE2963">
        <w:rPr>
          <w:lang w:val="en-GB" w:eastAsia="zh-CN"/>
        </w:rPr>
        <w:t xml:space="preserve">, as defined in RR No. </w:t>
      </w:r>
      <w:r w:rsidRPr="00EE2963">
        <w:rPr>
          <w:b/>
          <w:bCs/>
          <w:lang w:val="en-GB" w:eastAsia="zh-CN"/>
        </w:rPr>
        <w:t>1.28</w:t>
      </w:r>
      <w:r w:rsidRPr="00EE2963">
        <w:rPr>
          <w:lang w:val="en-GB"/>
        </w:rPr>
        <w:t>;</w:t>
      </w:r>
    </w:p>
    <w:p w:rsidR="00EE2963" w:rsidRPr="00EE2963" w:rsidRDefault="00EE2963" w:rsidP="00EE2963">
      <w:pPr>
        <w:rPr>
          <w:i/>
          <w:lang w:val="en-GB"/>
        </w:rPr>
      </w:pPr>
      <w:r w:rsidRPr="00EE2963">
        <w:rPr>
          <w:i/>
          <w:lang w:val="en-GB"/>
        </w:rPr>
        <w:t>b)</w:t>
      </w:r>
      <w:r w:rsidRPr="00EE2963">
        <w:rPr>
          <w:i/>
          <w:lang w:val="en-GB"/>
        </w:rPr>
        <w:tab/>
      </w:r>
      <w:r w:rsidRPr="00EE2963">
        <w:rPr>
          <w:lang w:val="en-GB"/>
        </w:rPr>
        <w:t>that the global maritime distress and safety system (GMDSS) is a maritime mobile service application;</w:t>
      </w:r>
    </w:p>
    <w:p w:rsidR="00EE2963" w:rsidRPr="00EE2963" w:rsidRDefault="00EE2963" w:rsidP="00EE2963">
      <w:pPr>
        <w:rPr>
          <w:i/>
          <w:lang w:val="en-GB"/>
        </w:rPr>
      </w:pPr>
      <w:r w:rsidRPr="00EE2963">
        <w:rPr>
          <w:i/>
          <w:iCs/>
          <w:lang w:val="en-GB"/>
        </w:rPr>
        <w:t>c)</w:t>
      </w:r>
      <w:r w:rsidRPr="00EE2963">
        <w:rPr>
          <w:lang w:val="en-GB"/>
        </w:rPr>
        <w:tab/>
        <w:t>that the automatic identification system (AIS) is a technology for maritime safety related applications, providing identification functions, safety of navigation functions, aids to navigation, locating signals and data communications;</w:t>
      </w:r>
    </w:p>
    <w:p w:rsidR="00EE2963" w:rsidRPr="00EE2963" w:rsidRDefault="00EE2963" w:rsidP="00EE2963">
      <w:pPr>
        <w:rPr>
          <w:i/>
          <w:lang w:val="en-GB"/>
        </w:rPr>
      </w:pPr>
      <w:r w:rsidRPr="00EE2963">
        <w:rPr>
          <w:i/>
          <w:lang w:val="en-GB"/>
        </w:rPr>
        <w:t>d)</w:t>
      </w:r>
      <w:r w:rsidRPr="00EE2963">
        <w:rPr>
          <w:i/>
          <w:lang w:val="en-GB"/>
        </w:rPr>
        <w:tab/>
      </w:r>
      <w:r w:rsidRPr="00EE2963">
        <w:rPr>
          <w:lang w:val="en-GB"/>
        </w:rPr>
        <w:t>that autonomous maritime radio devices (AMRD) reflect a new development in the maritime environment;</w:t>
      </w:r>
    </w:p>
    <w:p w:rsidR="00EE2963" w:rsidRPr="00EE2963" w:rsidRDefault="00EE2963" w:rsidP="00EE2963">
      <w:pPr>
        <w:rPr>
          <w:lang w:val="en-GB"/>
        </w:rPr>
      </w:pPr>
      <w:r w:rsidRPr="00EE2963">
        <w:rPr>
          <w:i/>
          <w:lang w:val="en-GB"/>
        </w:rPr>
        <w:t>e)</w:t>
      </w:r>
      <w:r w:rsidRPr="00EE2963">
        <w:rPr>
          <w:lang w:val="en-GB"/>
        </w:rPr>
        <w:tab/>
        <w:t>that</w:t>
      </w:r>
      <w:r w:rsidRPr="00EE2963">
        <w:rPr>
          <w:szCs w:val="24"/>
          <w:lang w:val="en-GB"/>
        </w:rPr>
        <w:t xml:space="preserve"> due to the rapid technical progress, more and more AMRD applications in the maritime environment will be operated</w:t>
      </w:r>
      <w:r w:rsidRPr="00EE2963">
        <w:rPr>
          <w:lang w:val="en-GB"/>
        </w:rPr>
        <w:t>;</w:t>
      </w:r>
    </w:p>
    <w:p w:rsidR="00EE2963" w:rsidRPr="00EE2963" w:rsidRDefault="00EE2963" w:rsidP="00EE2963">
      <w:pPr>
        <w:rPr>
          <w:rFonts w:eastAsia="SimSun"/>
          <w:lang w:val="en-GB"/>
        </w:rPr>
      </w:pPr>
      <w:r w:rsidRPr="00EE2963">
        <w:rPr>
          <w:i/>
          <w:iCs/>
          <w:lang w:val="en-GB"/>
        </w:rPr>
        <w:t>f</w:t>
      </w:r>
      <w:r w:rsidRPr="00EE2963">
        <w:rPr>
          <w:rFonts w:eastAsia="SimSun"/>
          <w:i/>
          <w:iCs/>
          <w:lang w:val="en-GB"/>
        </w:rPr>
        <w:t>)</w:t>
      </w:r>
      <w:r w:rsidRPr="00EE2963">
        <w:rPr>
          <w:rFonts w:eastAsia="SimSun"/>
          <w:lang w:val="en-GB"/>
        </w:rPr>
        <w:tab/>
        <w:t>that, in order to enhance safety of navigation, there is a need to identify and categorize AMRD which operate autonomously in the maritime environment;</w:t>
      </w:r>
    </w:p>
    <w:p w:rsidR="00EE2963" w:rsidRPr="00EE2963" w:rsidRDefault="00EE2963" w:rsidP="00EE2963">
      <w:pPr>
        <w:rPr>
          <w:lang w:val="en-GB"/>
        </w:rPr>
      </w:pPr>
      <w:r w:rsidRPr="00EE2963">
        <w:rPr>
          <w:i/>
          <w:iCs/>
          <w:lang w:val="en-GB"/>
        </w:rPr>
        <w:t>g)</w:t>
      </w:r>
      <w:r w:rsidRPr="00EE2963">
        <w:rPr>
          <w:lang w:val="en-GB"/>
        </w:rPr>
        <w:tab/>
        <w:t>that the operation of AMRD may be for safety-related purposes;</w:t>
      </w:r>
    </w:p>
    <w:p w:rsidR="00EE2963" w:rsidRPr="00EE2963" w:rsidRDefault="00EE2963" w:rsidP="00EE2963">
      <w:pPr>
        <w:rPr>
          <w:lang w:val="en-GB"/>
        </w:rPr>
      </w:pPr>
      <w:r w:rsidRPr="00EE2963">
        <w:rPr>
          <w:i/>
          <w:lang w:val="en-GB"/>
        </w:rPr>
        <w:t>h</w:t>
      </w:r>
      <w:r w:rsidRPr="00EE2963">
        <w:rPr>
          <w:i/>
          <w:iCs/>
          <w:lang w:val="en-GB"/>
        </w:rPr>
        <w:t>)</w:t>
      </w:r>
      <w:r w:rsidRPr="00EE2963">
        <w:rPr>
          <w:lang w:val="en-GB"/>
        </w:rPr>
        <w:tab/>
        <w:t>that relevant characteristics for the operation of AMRD are also contained in the most recent version of Recommendations ITU-R M.493, ITU-R M.585 and ITU-R M.1371;</w:t>
      </w:r>
    </w:p>
    <w:p w:rsidR="00EE2963" w:rsidRPr="00EE2963" w:rsidRDefault="00EE2963" w:rsidP="00EE2963">
      <w:pPr>
        <w:rPr>
          <w:lang w:val="en-GB"/>
        </w:rPr>
      </w:pPr>
      <w:r w:rsidRPr="00EE2963">
        <w:rPr>
          <w:i/>
          <w:lang w:val="en-GB" w:eastAsia="zh-CN"/>
        </w:rPr>
        <w:t>i)</w:t>
      </w:r>
      <w:r w:rsidRPr="00EE2963">
        <w:rPr>
          <w:lang w:val="en-GB" w:eastAsia="zh-CN"/>
        </w:rPr>
        <w:tab/>
        <w:t>t</w:t>
      </w:r>
      <w:r w:rsidRPr="00EE2963">
        <w:rPr>
          <w:lang w:val="en-GB"/>
        </w:rPr>
        <w:t>hat AMRD is categorized into Group A and Group B, which are described in Annex 1;</w:t>
      </w:r>
    </w:p>
    <w:p w:rsidR="00EE2963" w:rsidRPr="00EE2963" w:rsidRDefault="00EE2963" w:rsidP="00EE2963">
      <w:pPr>
        <w:rPr>
          <w:rFonts w:eastAsia="SimSun"/>
          <w:lang w:val="en-GB" w:eastAsia="zh-CN"/>
        </w:rPr>
      </w:pPr>
      <w:r w:rsidRPr="00EE2963">
        <w:rPr>
          <w:rFonts w:eastAsia="SimSun"/>
          <w:i/>
          <w:lang w:val="en-GB" w:eastAsia="zh-CN"/>
        </w:rPr>
        <w:t>j)</w:t>
      </w:r>
      <w:r w:rsidRPr="00EE2963">
        <w:rPr>
          <w:rFonts w:eastAsia="SimSun"/>
          <w:lang w:val="en-GB" w:eastAsia="zh-CN"/>
        </w:rPr>
        <w:tab/>
        <w:t xml:space="preserve">that </w:t>
      </w:r>
      <w:r w:rsidRPr="00EE2963">
        <w:rPr>
          <w:lang w:val="en-GB"/>
        </w:rPr>
        <w:t xml:space="preserve">the International Maritime Organization (IMO), International Electrotechnical Commission (IEC) and the International Association of Marine Aids to Navigation and Lighthouse Authorities publish technical documents related to </w:t>
      </w:r>
      <w:r w:rsidRPr="00EE2963">
        <w:rPr>
          <w:rFonts w:eastAsia="SimSun"/>
          <w:lang w:val="en-GB" w:eastAsia="zh-CN"/>
        </w:rPr>
        <w:t xml:space="preserve">the </w:t>
      </w:r>
      <w:r w:rsidRPr="00EE2963">
        <w:rPr>
          <w:lang w:val="en-GB"/>
        </w:rPr>
        <w:t>design and usage of AMRD</w:t>
      </w:r>
      <w:r w:rsidRPr="00EE2963">
        <w:rPr>
          <w:rFonts w:eastAsia="SimSun"/>
          <w:lang w:val="en-GB" w:eastAsia="zh-CN"/>
        </w:rPr>
        <w:t>,</w:t>
      </w:r>
    </w:p>
    <w:p w:rsidR="00EE2963" w:rsidRPr="00EE2963" w:rsidRDefault="00EE2963" w:rsidP="00EE2963">
      <w:pPr>
        <w:pStyle w:val="Call"/>
        <w:rPr>
          <w:lang w:val="en-GB"/>
        </w:rPr>
      </w:pPr>
      <w:r w:rsidRPr="00EE2963">
        <w:rPr>
          <w:lang w:val="en-GB"/>
        </w:rPr>
        <w:t>recognizing</w:t>
      </w:r>
    </w:p>
    <w:p w:rsidR="00EE2963" w:rsidRPr="00EE2963" w:rsidRDefault="00EE2963" w:rsidP="00EE2963">
      <w:pPr>
        <w:rPr>
          <w:lang w:val="en-GB"/>
        </w:rPr>
      </w:pPr>
      <w:r w:rsidRPr="00EE2963">
        <w:rPr>
          <w:i/>
          <w:iCs/>
          <w:lang w:val="en-GB"/>
        </w:rPr>
        <w:t>a)</w:t>
      </w:r>
      <w:r w:rsidRPr="00EE2963">
        <w:rPr>
          <w:i/>
          <w:iCs/>
          <w:lang w:val="en-GB"/>
        </w:rPr>
        <w:tab/>
      </w:r>
      <w:r w:rsidRPr="00EE2963">
        <w:rPr>
          <w:lang w:val="en-GB"/>
        </w:rPr>
        <w:t>that the use of AMRD should not compromise the integrity of the GMDSS and the operations on AIS1 and AIS2 display and the VHF data link;</w:t>
      </w:r>
    </w:p>
    <w:p w:rsidR="00EE2963" w:rsidRPr="00EE2963" w:rsidRDefault="00EE2963" w:rsidP="00EE2963">
      <w:pPr>
        <w:rPr>
          <w:iCs/>
          <w:szCs w:val="24"/>
          <w:lang w:val="en-GB"/>
        </w:rPr>
      </w:pPr>
      <w:r w:rsidRPr="00EE2963">
        <w:rPr>
          <w:i/>
          <w:szCs w:val="24"/>
          <w:lang w:val="en-GB"/>
        </w:rPr>
        <w:t>b)</w:t>
      </w:r>
      <w:r w:rsidRPr="00EE2963">
        <w:rPr>
          <w:i/>
          <w:szCs w:val="24"/>
          <w:lang w:val="en-GB"/>
        </w:rPr>
        <w:tab/>
      </w:r>
      <w:r w:rsidRPr="00EE2963">
        <w:rPr>
          <w:iCs/>
          <w:szCs w:val="24"/>
          <w:lang w:val="en-GB"/>
        </w:rPr>
        <w:t xml:space="preserve">that AMRD operate with maritime radio technology such as AIS </w:t>
      </w:r>
      <w:r w:rsidRPr="00EE2963">
        <w:rPr>
          <w:iCs/>
          <w:szCs w:val="24"/>
          <w:lang w:val="en-GB" w:eastAsia="zh-CN"/>
        </w:rPr>
        <w:t>and</w:t>
      </w:r>
      <w:r w:rsidRPr="00EE2963">
        <w:rPr>
          <w:iCs/>
          <w:szCs w:val="24"/>
          <w:lang w:val="en-GB"/>
        </w:rPr>
        <w:t xml:space="preserve"> digital selective calling (DSC),</w:t>
      </w:r>
    </w:p>
    <w:p w:rsidR="00EE2963" w:rsidRPr="00EE2963" w:rsidRDefault="00EE2963" w:rsidP="00EE2963">
      <w:pPr>
        <w:pStyle w:val="Call"/>
        <w:rPr>
          <w:lang w:val="en-GB"/>
        </w:rPr>
      </w:pPr>
      <w:r w:rsidRPr="00EE2963">
        <w:rPr>
          <w:lang w:val="en-GB"/>
        </w:rPr>
        <w:t>recommends</w:t>
      </w:r>
    </w:p>
    <w:p w:rsidR="00EE2963" w:rsidRPr="00EE2963" w:rsidRDefault="00EE2963" w:rsidP="00EE2963">
      <w:pPr>
        <w:rPr>
          <w:lang w:val="en-GB"/>
        </w:rPr>
      </w:pPr>
      <w:r w:rsidRPr="005D6A32">
        <w:rPr>
          <w:b/>
          <w:lang w:val="en-GB" w:eastAsia="zh-CN"/>
        </w:rPr>
        <w:t>1</w:t>
      </w:r>
      <w:r w:rsidRPr="00EE2963">
        <w:rPr>
          <w:lang w:val="en-GB" w:eastAsia="zh-CN"/>
        </w:rPr>
        <w:tab/>
      </w:r>
      <w:r w:rsidRPr="00EE2963">
        <w:rPr>
          <w:lang w:val="en-GB"/>
        </w:rPr>
        <w:t xml:space="preserve">that </w:t>
      </w:r>
      <w:r w:rsidRPr="00EE2963">
        <w:rPr>
          <w:bCs/>
          <w:lang w:val="en-GB"/>
        </w:rPr>
        <w:t xml:space="preserve">the </w:t>
      </w:r>
      <w:r w:rsidRPr="00EE2963">
        <w:rPr>
          <w:lang w:val="en-GB"/>
        </w:rPr>
        <w:t>technical and operational characteristics of AMRD Group A should be in accordance with the most recent version of Recommendation ITU-R M.1371 or ITU-R M.493;</w:t>
      </w:r>
    </w:p>
    <w:p w:rsidR="00EE2963" w:rsidRPr="00EE2963" w:rsidRDefault="00EE2963" w:rsidP="00EE2963">
      <w:pPr>
        <w:rPr>
          <w:lang w:val="en-GB"/>
        </w:rPr>
      </w:pPr>
      <w:r w:rsidRPr="005D6A32">
        <w:rPr>
          <w:b/>
          <w:bCs/>
          <w:lang w:val="en-GB"/>
        </w:rPr>
        <w:t>2</w:t>
      </w:r>
      <w:r w:rsidRPr="00EE2963">
        <w:rPr>
          <w:lang w:val="en-GB"/>
        </w:rPr>
        <w:tab/>
        <w:t>that the technical and operational characteristics of AMRD Group B using AIS technology should be in accordance with Annex 2;</w:t>
      </w:r>
    </w:p>
    <w:p w:rsidR="00EE2963" w:rsidRPr="00EE2963" w:rsidRDefault="00EE2963" w:rsidP="00EE2963">
      <w:pPr>
        <w:rPr>
          <w:lang w:val="en-GB" w:eastAsia="zh-CN"/>
        </w:rPr>
      </w:pPr>
      <w:r w:rsidRPr="005D6A32">
        <w:rPr>
          <w:b/>
          <w:lang w:val="en-GB" w:eastAsia="zh-CN"/>
        </w:rPr>
        <w:t>3</w:t>
      </w:r>
      <w:r w:rsidRPr="00EE2963">
        <w:rPr>
          <w:lang w:val="en-GB" w:eastAsia="zh-CN"/>
        </w:rPr>
        <w:tab/>
        <w:t>that the technical and operational characteristics of AMRD Group B using other than AIS technology should be in accordance with Annex 3.</w:t>
      </w:r>
    </w:p>
    <w:p w:rsidR="00EE2963" w:rsidRPr="00EE2963" w:rsidRDefault="00EE2963" w:rsidP="00EE2963">
      <w:pPr>
        <w:rPr>
          <w:lang w:val="en-GB" w:eastAsia="zh-CN"/>
        </w:rPr>
      </w:pPr>
    </w:p>
    <w:p w:rsidR="00EE2963" w:rsidRPr="00EE2963" w:rsidRDefault="00EE2963" w:rsidP="00EE2963">
      <w:pPr>
        <w:rPr>
          <w:lang w:val="en-GB" w:eastAsia="zh-CN"/>
        </w:rPr>
      </w:pPr>
    </w:p>
    <w:p w:rsidR="00EE2963" w:rsidRPr="00106FB2" w:rsidRDefault="00EE2963" w:rsidP="006F7D30">
      <w:pPr>
        <w:pStyle w:val="AnnexNoTitle"/>
      </w:pPr>
      <w:r>
        <w:t>A</w:t>
      </w:r>
      <w:r w:rsidRPr="00106FB2">
        <w:t>nnex 1</w:t>
      </w:r>
      <w:r w:rsidRPr="00106FB2">
        <w:br/>
      </w:r>
      <w:r w:rsidRPr="00106FB2">
        <w:br/>
        <w:t xml:space="preserve">Categorization of </w:t>
      </w:r>
      <w:r>
        <w:t>autonomous maritime radio devices</w:t>
      </w:r>
    </w:p>
    <w:p w:rsidR="00EE2963" w:rsidRPr="00EE2963" w:rsidRDefault="00EE2963" w:rsidP="00EE2963">
      <w:pPr>
        <w:pStyle w:val="Normalaftertitle"/>
        <w:rPr>
          <w:lang w:val="en-GB"/>
        </w:rPr>
      </w:pPr>
      <w:r w:rsidRPr="00EE2963">
        <w:rPr>
          <w:lang w:val="en-GB"/>
        </w:rPr>
        <w:t>An AMRD is a mobile station; operating at sea and transmitting independently of a ship station or a coast station. Two groups of AMRD are identified:</w:t>
      </w:r>
    </w:p>
    <w:p w:rsidR="00EE2963" w:rsidRPr="00EE2963" w:rsidRDefault="00EE2963" w:rsidP="006F7D30">
      <w:pPr>
        <w:rPr>
          <w:lang w:val="en-GB"/>
        </w:rPr>
      </w:pPr>
      <w:r w:rsidRPr="00EE2963">
        <w:rPr>
          <w:lang w:val="en-GB"/>
        </w:rPr>
        <w:t>Group A</w:t>
      </w:r>
      <w:r w:rsidRPr="00EE2963">
        <w:rPr>
          <w:lang w:val="en-GB"/>
        </w:rPr>
        <w:tab/>
        <w:t>AMRD that enhance the safety of navigation,</w:t>
      </w:r>
    </w:p>
    <w:p w:rsidR="00EE2963" w:rsidRPr="00EE2963" w:rsidRDefault="00EE2963" w:rsidP="006F7D30">
      <w:pPr>
        <w:ind w:left="1191" w:hanging="1191"/>
        <w:rPr>
          <w:iCs/>
          <w:lang w:val="en-GB" w:eastAsia="zh-CN"/>
        </w:rPr>
      </w:pPr>
      <w:r w:rsidRPr="00EE2963">
        <w:rPr>
          <w:lang w:val="en-GB"/>
        </w:rPr>
        <w:t>Group B</w:t>
      </w:r>
      <w:r w:rsidRPr="00EE2963">
        <w:rPr>
          <w:lang w:val="en-GB"/>
        </w:rPr>
        <w:tab/>
        <w:t>AMRD that do not enhance the safety of navigation (AMRD which deliver signals or information which do not concern the navigation of the vessel or do not complement vessel traffic safety in waterways).</w:t>
      </w:r>
    </w:p>
    <w:p w:rsidR="00EE2963" w:rsidRPr="00EE2963" w:rsidRDefault="00EE2963" w:rsidP="00EE2963">
      <w:pPr>
        <w:rPr>
          <w:lang w:val="en-GB"/>
        </w:rPr>
      </w:pPr>
      <w:r w:rsidRPr="00EE2963">
        <w:rPr>
          <w:lang w:val="en-GB"/>
        </w:rPr>
        <w:t>The term ‘enhance safety of navigation’ is derived from the International Convention for the Safety of Life at Sea (SOLAS), as amended by IMO. Within SOLAS, Chapter V is titled “Safety of navigation” and contains the relevant IMO regulations. Consequently, the criterion for distinguishing AMRD Group A from AMRD Group B is their influence on the safety of navigation. Any signal or information originated by an AMRD that reaches the navigator, can impact the navigation of the vessel. This includes AIS (signals which may be shown on radar and navigational displays) and VHF (channel 70 and working channels). The navigator decides how to act on this information. This information may enhance the safety of navigation. However, signals or information which do not concern the navigation of a vessel can distract or mislead the navigator and degrade the safety of navigation.</w:t>
      </w:r>
    </w:p>
    <w:p w:rsidR="00EE2963" w:rsidRPr="00EE2963" w:rsidRDefault="00EE2963" w:rsidP="00EE2963">
      <w:pPr>
        <w:rPr>
          <w:iCs/>
          <w:lang w:val="en-GB"/>
        </w:rPr>
      </w:pPr>
      <w:r w:rsidRPr="00EE2963">
        <w:rPr>
          <w:iCs/>
          <w:lang w:val="en-GB"/>
        </w:rPr>
        <w:t>AMRD that enhance the safety of navigation should be subject to IMO SOLAS regulations for the presentation of information to the navigators on board vessels.</w:t>
      </w:r>
    </w:p>
    <w:p w:rsidR="00EE2963" w:rsidRPr="00EE2963" w:rsidRDefault="00EE2963" w:rsidP="00EE2963">
      <w:pPr>
        <w:rPr>
          <w:iCs/>
          <w:lang w:val="en-GB" w:eastAsia="zh-CN"/>
        </w:rPr>
      </w:pPr>
      <w:r w:rsidRPr="00EE2963">
        <w:rPr>
          <w:iCs/>
          <w:lang w:val="en-GB" w:eastAsia="zh-CN"/>
        </w:rPr>
        <w:t>IMO is the responsible organization for the designation of AMRD Group A. AMRD Group A consists of man overboard-AIS class M and Mobile aids to navigation.</w:t>
      </w:r>
    </w:p>
    <w:p w:rsidR="00EE2963" w:rsidRPr="00EE2963" w:rsidRDefault="00EE2963" w:rsidP="00EE2963">
      <w:pPr>
        <w:rPr>
          <w:iCs/>
          <w:lang w:val="en-GB" w:eastAsia="zh-CN"/>
        </w:rPr>
      </w:pPr>
    </w:p>
    <w:p w:rsidR="00EE2963" w:rsidRPr="00EE2963" w:rsidRDefault="00EE2963" w:rsidP="00EE2963">
      <w:pPr>
        <w:rPr>
          <w:iCs/>
          <w:lang w:val="en-GB" w:eastAsia="zh-CN"/>
        </w:rPr>
      </w:pPr>
    </w:p>
    <w:p w:rsidR="00EE2963" w:rsidRPr="00106FB2" w:rsidRDefault="00EE2963" w:rsidP="006F7D30">
      <w:pPr>
        <w:pStyle w:val="AnnexNoTitle"/>
      </w:pPr>
      <w:r w:rsidRPr="00106FB2">
        <w:t>Annex 2</w:t>
      </w:r>
      <w:r w:rsidRPr="00106FB2">
        <w:br/>
      </w:r>
      <w:r w:rsidRPr="00106FB2">
        <w:br/>
        <w:t>Technical and operational characteristics of</w:t>
      </w:r>
      <w:r>
        <w:t xml:space="preserve"> group B</w:t>
      </w:r>
      <w:r w:rsidRPr="00106FB2">
        <w:t xml:space="preserve"> </w:t>
      </w:r>
      <w:r>
        <w:t xml:space="preserve">autonomous maritime radio devices </w:t>
      </w:r>
      <w:r w:rsidRPr="00106FB2">
        <w:t xml:space="preserve">using </w:t>
      </w:r>
      <w:r>
        <w:t>automatic identification system t</w:t>
      </w:r>
      <w:r w:rsidRPr="00106FB2">
        <w:t>echnology</w:t>
      </w:r>
    </w:p>
    <w:p w:rsidR="00EE2963" w:rsidRPr="00EE2963" w:rsidRDefault="00EE2963" w:rsidP="00EE2963">
      <w:pPr>
        <w:pStyle w:val="Heading2"/>
        <w:rPr>
          <w:lang w:val="en-GB"/>
        </w:rPr>
      </w:pPr>
      <w:r w:rsidRPr="00EE2963">
        <w:rPr>
          <w:lang w:val="en-GB"/>
        </w:rPr>
        <w:t>A2.1</w:t>
      </w:r>
      <w:r w:rsidRPr="00EE2963">
        <w:rPr>
          <w:lang w:val="en-GB"/>
        </w:rPr>
        <w:tab/>
        <w:t>Introduction</w:t>
      </w:r>
    </w:p>
    <w:p w:rsidR="00EE2963" w:rsidRPr="00EE2963" w:rsidRDefault="00EE2963" w:rsidP="00EE2963">
      <w:pPr>
        <w:rPr>
          <w:iCs/>
          <w:spacing w:val="-2"/>
          <w:lang w:val="en-GB"/>
        </w:rPr>
      </w:pPr>
      <w:r w:rsidRPr="00EE2963">
        <w:rPr>
          <w:spacing w:val="-2"/>
          <w:lang w:val="en-GB"/>
        </w:rPr>
        <w:t>AMRD Group B are mobile stations operating at sea</w:t>
      </w:r>
      <w:r w:rsidRPr="00EE2963">
        <w:rPr>
          <w:spacing w:val="-2"/>
          <w:lang w:val="en-GB" w:eastAsia="zh-CN"/>
        </w:rPr>
        <w:t>,</w:t>
      </w:r>
      <w:r w:rsidRPr="00EE2963">
        <w:rPr>
          <w:spacing w:val="-2"/>
          <w:lang w:val="en-GB"/>
        </w:rPr>
        <w:t xml:space="preserve"> transmitting independently of a ship station or a coast station. These AMRD Group B do not enhance the safety of navigation and they deliver signals or information which are not relevant for the navigator of general shipping. To avoid confusion or an overload of information on the bridge of a vessel AMRD Group B should not be permitted to use the designated frequencies for DSC and AIS 1 and AIS 2. Consequently, signals and information originated by AMRD Group B will not be indicated on DSC, Radar, </w:t>
      </w:r>
      <w:r w:rsidRPr="00EE2963">
        <w:rPr>
          <w:lang w:val="en-GB" w:eastAsia="zh-CN"/>
        </w:rPr>
        <w:t>Electronic chart display and information system</w:t>
      </w:r>
      <w:r w:rsidRPr="00EE2963">
        <w:rPr>
          <w:spacing w:val="-2"/>
          <w:lang w:val="en-GB"/>
        </w:rPr>
        <w:t xml:space="preserve"> or AIS</w:t>
      </w:r>
      <w:r w:rsidRPr="00EE2963">
        <w:rPr>
          <w:iCs/>
          <w:spacing w:val="-2"/>
          <w:lang w:val="en-GB"/>
        </w:rPr>
        <w:t>.</w:t>
      </w:r>
    </w:p>
    <w:p w:rsidR="00EE2963" w:rsidRPr="00EE2963" w:rsidRDefault="00EE2963" w:rsidP="00EE2963">
      <w:pPr>
        <w:pStyle w:val="Heading2"/>
        <w:rPr>
          <w:lang w:val="en-GB"/>
        </w:rPr>
      </w:pPr>
      <w:r w:rsidRPr="00EE2963">
        <w:rPr>
          <w:lang w:val="en-GB"/>
        </w:rPr>
        <w:t>A2.2</w:t>
      </w:r>
      <w:r w:rsidRPr="00EE2963">
        <w:rPr>
          <w:lang w:val="en-GB"/>
        </w:rPr>
        <w:tab/>
        <w:t>Technical characteristics of group B autonomous maritime radio devices using automatic identification system technology</w:t>
      </w:r>
    </w:p>
    <w:p w:rsidR="00EE2963" w:rsidRPr="00EE2963" w:rsidRDefault="00EE2963" w:rsidP="00EE2963">
      <w:pPr>
        <w:pStyle w:val="enumlev1"/>
        <w:keepNext/>
        <w:rPr>
          <w:lang w:val="en-GB"/>
        </w:rPr>
      </w:pPr>
      <w:r w:rsidRPr="00EE2963">
        <w:rPr>
          <w:lang w:val="en-GB"/>
        </w:rPr>
        <w:t>a)</w:t>
      </w:r>
      <w:r w:rsidRPr="00EE2963">
        <w:rPr>
          <w:lang w:val="en-GB"/>
        </w:rPr>
        <w:tab/>
        <w:t>The transmitter e.i.r.p. should be limited to 100 mW.</w:t>
      </w:r>
    </w:p>
    <w:p w:rsidR="00EE2963" w:rsidRPr="00EE2963" w:rsidRDefault="00EE2963" w:rsidP="00EE2963">
      <w:pPr>
        <w:pStyle w:val="enumlev1"/>
        <w:rPr>
          <w:lang w:val="en-GB"/>
        </w:rPr>
      </w:pPr>
      <w:r w:rsidRPr="00EE2963">
        <w:rPr>
          <w:lang w:val="en-GB"/>
        </w:rPr>
        <w:t>b)</w:t>
      </w:r>
      <w:r w:rsidRPr="00EE2963">
        <w:rPr>
          <w:lang w:val="en-GB"/>
        </w:rPr>
        <w:tab/>
        <w:t>These devices operate on a non-interference basis, i.e. they should not interfere with nor claim protection from other existing services.</w:t>
      </w:r>
    </w:p>
    <w:p w:rsidR="00EE2963" w:rsidRPr="00EE2963" w:rsidRDefault="00EE2963" w:rsidP="00EE2963">
      <w:pPr>
        <w:pStyle w:val="enumlev1"/>
        <w:rPr>
          <w:lang w:val="en-GB"/>
        </w:rPr>
      </w:pPr>
      <w:r w:rsidRPr="00EE2963">
        <w:rPr>
          <w:lang w:val="en-GB"/>
        </w:rPr>
        <w:t>c)</w:t>
      </w:r>
      <w:r w:rsidRPr="00EE2963">
        <w:rPr>
          <w:lang w:val="en-GB"/>
        </w:rPr>
        <w:tab/>
        <w:t>These devices operate on one 25 kHz channel.</w:t>
      </w:r>
    </w:p>
    <w:p w:rsidR="00EE2963" w:rsidRPr="00EE2963" w:rsidRDefault="00EE2963" w:rsidP="00EE2963">
      <w:pPr>
        <w:pStyle w:val="enumlev1"/>
        <w:rPr>
          <w:lang w:val="en-GB"/>
        </w:rPr>
      </w:pPr>
      <w:r w:rsidRPr="00EE2963">
        <w:rPr>
          <w:lang w:val="en-GB"/>
        </w:rPr>
        <w:t>d)</w:t>
      </w:r>
      <w:r w:rsidRPr="00EE2963">
        <w:rPr>
          <w:lang w:val="en-GB"/>
        </w:rPr>
        <w:tab/>
        <w:t>These devices should have an integrated antenna. The height of the antenna</w:t>
      </w:r>
      <w:r w:rsidR="00B367D9">
        <w:rPr>
          <w:lang w:val="en-GB"/>
        </w:rPr>
        <w:t xml:space="preserve"> should not exceed 1 </w:t>
      </w:r>
      <w:r w:rsidRPr="00EE2963">
        <w:rPr>
          <w:lang w:val="en-GB"/>
        </w:rPr>
        <w:t>m above the surface of the sea.</w:t>
      </w:r>
    </w:p>
    <w:p w:rsidR="00EE2963" w:rsidRPr="00EE2963" w:rsidRDefault="00EE2963" w:rsidP="00EE2963">
      <w:pPr>
        <w:pStyle w:val="enumlev1"/>
        <w:ind w:left="0" w:firstLine="0"/>
        <w:rPr>
          <w:lang w:val="en-GB"/>
        </w:rPr>
      </w:pPr>
      <w:r w:rsidRPr="00EE2963">
        <w:rPr>
          <w:lang w:val="en-GB"/>
        </w:rPr>
        <w:t>e)</w:t>
      </w:r>
      <w:r w:rsidRPr="00EE2963">
        <w:rPr>
          <w:lang w:val="en-GB"/>
        </w:rPr>
        <w:tab/>
        <w:t>These devices should have a protected external power switch and transmit indicator.</w:t>
      </w:r>
    </w:p>
    <w:p w:rsidR="00EE2963" w:rsidRPr="00EE2963" w:rsidRDefault="00EE2963" w:rsidP="00EE2963">
      <w:pPr>
        <w:pStyle w:val="enumlev1"/>
        <w:ind w:left="0" w:firstLine="0"/>
        <w:rPr>
          <w:lang w:val="en-GB"/>
        </w:rPr>
      </w:pPr>
    </w:p>
    <w:p w:rsidR="00EE2963" w:rsidRPr="00EE2963" w:rsidRDefault="00EE2963" w:rsidP="00EE2963">
      <w:pPr>
        <w:pStyle w:val="enumlev1"/>
        <w:ind w:left="0" w:firstLine="0"/>
        <w:rPr>
          <w:lang w:val="en-GB"/>
        </w:rPr>
      </w:pPr>
    </w:p>
    <w:p w:rsidR="00EE2963" w:rsidRPr="00106FB2" w:rsidRDefault="00EE2963" w:rsidP="00B367D9">
      <w:pPr>
        <w:pStyle w:val="AnnexNoTitle"/>
      </w:pPr>
      <w:r w:rsidRPr="00106FB2">
        <w:t>Annex 3</w:t>
      </w:r>
      <w:r w:rsidRPr="00106FB2">
        <w:br/>
      </w:r>
      <w:r w:rsidRPr="00106FB2">
        <w:br/>
        <w:t xml:space="preserve">Technical and operational characteristics of </w:t>
      </w:r>
      <w:r>
        <w:t xml:space="preserve">group B autonomous </w:t>
      </w:r>
      <w:r>
        <w:br/>
        <w:t xml:space="preserve">maritime radio devices </w:t>
      </w:r>
      <w:r w:rsidRPr="00106FB2">
        <w:t xml:space="preserve">using </w:t>
      </w:r>
      <w:r>
        <w:t xml:space="preserve">technology other than automatic </w:t>
      </w:r>
      <w:r>
        <w:br/>
        <w:t>identification system t</w:t>
      </w:r>
      <w:r w:rsidRPr="00106FB2">
        <w:t>echnology</w:t>
      </w:r>
    </w:p>
    <w:p w:rsidR="00EE2963" w:rsidRPr="00EE2963" w:rsidRDefault="00EE2963" w:rsidP="00EE2963">
      <w:pPr>
        <w:pStyle w:val="Heading2"/>
        <w:rPr>
          <w:lang w:val="en-GB"/>
        </w:rPr>
      </w:pPr>
      <w:r w:rsidRPr="00EE2963">
        <w:rPr>
          <w:lang w:val="en-GB"/>
        </w:rPr>
        <w:t>A3.1</w:t>
      </w:r>
      <w:r w:rsidRPr="00EE2963">
        <w:rPr>
          <w:lang w:val="en-GB"/>
        </w:rPr>
        <w:tab/>
        <w:t>Introduction</w:t>
      </w:r>
    </w:p>
    <w:p w:rsidR="00EE2963" w:rsidRPr="00EE2963" w:rsidRDefault="00EE2963" w:rsidP="00EE2963">
      <w:pPr>
        <w:rPr>
          <w:spacing w:val="-2"/>
          <w:lang w:val="en-GB"/>
        </w:rPr>
      </w:pPr>
      <w:r w:rsidRPr="00EE2963">
        <w:rPr>
          <w:spacing w:val="-2"/>
          <w:lang w:val="en-GB"/>
        </w:rPr>
        <w:t>AMRD Group B described in this Annex are mobile stations operating at sea, transmitting independently of a ship station or a coast station. These AMRD Group B do not enhance the safety of navigation and they deliver signals or information which are not relevant for the navigator of general shipping. These AMRD Group B that use other than AIS technology should not be permitted to use the designated frequencies for AIS, including channels AIS 1 and AIS 2, or for DSC.</w:t>
      </w:r>
    </w:p>
    <w:p w:rsidR="00EE2963" w:rsidRPr="00EE2963" w:rsidRDefault="00EE2963" w:rsidP="00EE2963">
      <w:pPr>
        <w:pStyle w:val="Heading2"/>
        <w:rPr>
          <w:lang w:val="en-GB"/>
        </w:rPr>
      </w:pPr>
      <w:r w:rsidRPr="00EE2963">
        <w:rPr>
          <w:lang w:val="en-GB"/>
        </w:rPr>
        <w:t>A3.2</w:t>
      </w:r>
      <w:r w:rsidRPr="00EE2963">
        <w:rPr>
          <w:lang w:val="en-GB"/>
        </w:rPr>
        <w:tab/>
        <w:t>Technical characteristics of group B autonomous maritime radio devices using technology other than automatic identification system technology</w:t>
      </w:r>
    </w:p>
    <w:p w:rsidR="00EE2963" w:rsidRPr="00EE2963" w:rsidRDefault="00EE2963" w:rsidP="00EE2963">
      <w:pPr>
        <w:pStyle w:val="enumlev1"/>
        <w:rPr>
          <w:szCs w:val="24"/>
          <w:lang w:val="en-GB"/>
        </w:rPr>
      </w:pPr>
      <w:r w:rsidRPr="00EE2963">
        <w:rPr>
          <w:lang w:val="en-GB"/>
        </w:rPr>
        <w:t>a)</w:t>
      </w:r>
      <w:r w:rsidRPr="00EE2963">
        <w:rPr>
          <w:lang w:val="en-GB"/>
        </w:rPr>
        <w:tab/>
        <w:t>The transmitter e.i.r.p. should be limited to 100 mW.</w:t>
      </w:r>
    </w:p>
    <w:p w:rsidR="00EE2963" w:rsidRPr="00EE2963" w:rsidRDefault="00EE2963" w:rsidP="00EE2963">
      <w:pPr>
        <w:pStyle w:val="enumlev1"/>
        <w:rPr>
          <w:lang w:val="en-GB"/>
        </w:rPr>
      </w:pPr>
      <w:r w:rsidRPr="00EE2963">
        <w:rPr>
          <w:lang w:val="en-GB"/>
        </w:rPr>
        <w:t>b)</w:t>
      </w:r>
      <w:r w:rsidRPr="00EE2963">
        <w:rPr>
          <w:lang w:val="en-GB"/>
        </w:rPr>
        <w:tab/>
        <w:t>The transmitting duty cycle should be as low as possible and not to exceed 10%.</w:t>
      </w:r>
    </w:p>
    <w:p w:rsidR="00EE2963" w:rsidRPr="00EE2963" w:rsidRDefault="00EE2963" w:rsidP="00EE2963">
      <w:pPr>
        <w:pStyle w:val="enumlev1"/>
        <w:rPr>
          <w:lang w:val="en-GB"/>
        </w:rPr>
      </w:pPr>
      <w:r w:rsidRPr="00EE2963">
        <w:rPr>
          <w:lang w:val="en-GB"/>
        </w:rPr>
        <w:t>c)</w:t>
      </w:r>
      <w:r w:rsidRPr="00EE2963">
        <w:rPr>
          <w:lang w:val="en-GB"/>
        </w:rPr>
        <w:tab/>
        <w:t>Duration of any single transmission should not exceed 100 ms.</w:t>
      </w:r>
    </w:p>
    <w:p w:rsidR="00EE2963" w:rsidRPr="00EE2963" w:rsidRDefault="00EE2963" w:rsidP="00EE2963">
      <w:pPr>
        <w:pStyle w:val="enumlev1"/>
        <w:rPr>
          <w:lang w:val="en-GB"/>
        </w:rPr>
      </w:pPr>
      <w:r w:rsidRPr="00EE2963">
        <w:rPr>
          <w:lang w:val="en-GB"/>
        </w:rPr>
        <w:t>d)</w:t>
      </w:r>
      <w:r w:rsidRPr="00EE2963">
        <w:rPr>
          <w:lang w:val="en-GB"/>
        </w:rPr>
        <w:tab/>
        <w:t>These devices operate on a non-interference basis, i.e. they should not interfere with nor claim protection from other existing radio communications.</w:t>
      </w:r>
    </w:p>
    <w:p w:rsidR="00EE2963" w:rsidRPr="00EE2963" w:rsidRDefault="00EE2963" w:rsidP="00EE2963">
      <w:pPr>
        <w:pStyle w:val="enumlev1"/>
        <w:rPr>
          <w:lang w:val="en-GB"/>
        </w:rPr>
      </w:pPr>
      <w:r w:rsidRPr="00EE2963">
        <w:rPr>
          <w:lang w:val="en-GB"/>
        </w:rPr>
        <w:t>e)</w:t>
      </w:r>
      <w:r w:rsidRPr="00EE2963">
        <w:rPr>
          <w:lang w:val="en-GB"/>
        </w:rPr>
        <w:tab/>
        <w:t>These devices are operated in either 25 kHz or 12.5 kHz channelling.</w:t>
      </w:r>
    </w:p>
    <w:p w:rsidR="00EE2963" w:rsidRPr="00EE2963" w:rsidRDefault="00EE2963" w:rsidP="00EE2963">
      <w:pPr>
        <w:pStyle w:val="enumlev1"/>
        <w:rPr>
          <w:lang w:val="en-GB"/>
        </w:rPr>
      </w:pPr>
      <w:r w:rsidRPr="00EE2963">
        <w:rPr>
          <w:lang w:val="en-GB"/>
        </w:rPr>
        <w:t>f)</w:t>
      </w:r>
      <w:r w:rsidRPr="00EE2963">
        <w:rPr>
          <w:lang w:val="en-GB"/>
        </w:rPr>
        <w:tab/>
        <w:t>These devices should have an integrated antenna. The height of the antenna should not exceed 1</w:t>
      </w:r>
      <w:r w:rsidR="00B367D9">
        <w:rPr>
          <w:lang w:val="en-GB"/>
        </w:rPr>
        <w:t> </w:t>
      </w:r>
      <w:r w:rsidRPr="00EE2963">
        <w:rPr>
          <w:lang w:val="en-GB"/>
        </w:rPr>
        <w:t>m above the surface of the sea.</w:t>
      </w:r>
    </w:p>
    <w:p w:rsidR="00EE2963" w:rsidRPr="00EE2963" w:rsidRDefault="00EE2963" w:rsidP="00EE2963">
      <w:pPr>
        <w:pStyle w:val="enumlev1"/>
        <w:rPr>
          <w:szCs w:val="24"/>
          <w:lang w:val="en-GB" w:eastAsia="zh-CN"/>
        </w:rPr>
      </w:pPr>
      <w:r w:rsidRPr="00EE2963">
        <w:rPr>
          <w:szCs w:val="24"/>
          <w:lang w:val="en-GB" w:eastAsia="zh-CN"/>
        </w:rPr>
        <w:t>g)</w:t>
      </w:r>
      <w:r w:rsidRPr="00EE2963">
        <w:rPr>
          <w:szCs w:val="24"/>
          <w:lang w:val="en-GB" w:eastAsia="zh-CN"/>
        </w:rPr>
        <w:tab/>
        <w:t>These devices should have a protected external power switch and transmit indicator.</w:t>
      </w:r>
    </w:p>
    <w:p w:rsidR="003213A9" w:rsidRPr="00FE1372" w:rsidRDefault="003213A9" w:rsidP="00FE1372">
      <w:pPr>
        <w:rPr>
          <w:lang w:val="en-GB"/>
        </w:rPr>
      </w:pPr>
    </w:p>
    <w:p w:rsidR="003213A9" w:rsidRDefault="003213A9" w:rsidP="001D65EF">
      <w:pPr>
        <w:pStyle w:val="Line"/>
      </w:pPr>
    </w:p>
    <w:sectPr w:rsidR="003213A9" w:rsidSect="0083184F">
      <w:headerReference w:type="even" r:id="rId20"/>
      <w:headerReference w:type="default" r:id="rId21"/>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3D0" w:rsidRDefault="007913D0">
      <w:r>
        <w:separator/>
      </w:r>
    </w:p>
  </w:footnote>
  <w:footnote w:type="continuationSeparator" w:id="0">
    <w:p w:rsidR="007913D0" w:rsidRDefault="00791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84B84">
      <w:rPr>
        <w:b/>
        <w:bCs/>
        <w:noProof/>
      </w:rPr>
      <w:t>ITU-R  M.2135-0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84B84">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84B84">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84B84">
      <w:rPr>
        <w:b/>
        <w:bCs/>
        <w:noProof/>
      </w:rPr>
      <w:t>ITU-R  M.2135-0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484B84">
      <w:rPr>
        <w:b/>
        <w:bCs/>
        <w:noProof/>
      </w:rPr>
      <w:t>ITU-R  M.2135-0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20E0">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84B84">
      <w:rPr>
        <w:rStyle w:val="PageNumber"/>
        <w:b/>
        <w:bCs/>
        <w:noProof/>
      </w:rPr>
      <w:t>4</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84B84">
      <w:rPr>
        <w:b/>
        <w:bCs/>
        <w:noProof/>
      </w:rPr>
      <w:t>ITU-R  M.2135-0</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484B84">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84B84">
      <w:rPr>
        <w:b/>
        <w:bCs/>
        <w:noProof/>
      </w:rPr>
      <w:t>ITU-R  M.2135-0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84B84">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540A"/>
    <w:rsid w:val="00036EE3"/>
    <w:rsid w:val="00052F66"/>
    <w:rsid w:val="00072484"/>
    <w:rsid w:val="00096612"/>
    <w:rsid w:val="000A4386"/>
    <w:rsid w:val="000B4249"/>
    <w:rsid w:val="000B7683"/>
    <w:rsid w:val="000D0677"/>
    <w:rsid w:val="000D2FA8"/>
    <w:rsid w:val="000E2A81"/>
    <w:rsid w:val="000E6A6E"/>
    <w:rsid w:val="00102934"/>
    <w:rsid w:val="00107791"/>
    <w:rsid w:val="00147110"/>
    <w:rsid w:val="001511A6"/>
    <w:rsid w:val="001A4594"/>
    <w:rsid w:val="001D65EF"/>
    <w:rsid w:val="001D7190"/>
    <w:rsid w:val="002058CE"/>
    <w:rsid w:val="002165F1"/>
    <w:rsid w:val="002572B3"/>
    <w:rsid w:val="002644BF"/>
    <w:rsid w:val="00272E02"/>
    <w:rsid w:val="00276D21"/>
    <w:rsid w:val="00291F7A"/>
    <w:rsid w:val="00296D7F"/>
    <w:rsid w:val="002A4CFC"/>
    <w:rsid w:val="002B3CF6"/>
    <w:rsid w:val="002C6A10"/>
    <w:rsid w:val="002C768A"/>
    <w:rsid w:val="002D76C4"/>
    <w:rsid w:val="002F06BF"/>
    <w:rsid w:val="002F5199"/>
    <w:rsid w:val="003213A9"/>
    <w:rsid w:val="00333892"/>
    <w:rsid w:val="00356B5D"/>
    <w:rsid w:val="00375D1A"/>
    <w:rsid w:val="003806D1"/>
    <w:rsid w:val="003B0A33"/>
    <w:rsid w:val="003E1DED"/>
    <w:rsid w:val="0041667C"/>
    <w:rsid w:val="00420DFD"/>
    <w:rsid w:val="004220E0"/>
    <w:rsid w:val="00437A76"/>
    <w:rsid w:val="00470E28"/>
    <w:rsid w:val="00470FEC"/>
    <w:rsid w:val="004777D5"/>
    <w:rsid w:val="00484B84"/>
    <w:rsid w:val="004934C5"/>
    <w:rsid w:val="0049398E"/>
    <w:rsid w:val="004D7632"/>
    <w:rsid w:val="004E0FB1"/>
    <w:rsid w:val="004F65E4"/>
    <w:rsid w:val="00505282"/>
    <w:rsid w:val="00525CB2"/>
    <w:rsid w:val="00554C61"/>
    <w:rsid w:val="00556548"/>
    <w:rsid w:val="00563597"/>
    <w:rsid w:val="00586EF8"/>
    <w:rsid w:val="005B49AB"/>
    <w:rsid w:val="005B50E7"/>
    <w:rsid w:val="005D0454"/>
    <w:rsid w:val="005D329E"/>
    <w:rsid w:val="005D6A32"/>
    <w:rsid w:val="005E4A8F"/>
    <w:rsid w:val="005E7B4F"/>
    <w:rsid w:val="006003F5"/>
    <w:rsid w:val="00601882"/>
    <w:rsid w:val="00607D68"/>
    <w:rsid w:val="00613212"/>
    <w:rsid w:val="006149B1"/>
    <w:rsid w:val="006667CD"/>
    <w:rsid w:val="00680D2B"/>
    <w:rsid w:val="00681B32"/>
    <w:rsid w:val="0069288B"/>
    <w:rsid w:val="006A135E"/>
    <w:rsid w:val="006B1D2B"/>
    <w:rsid w:val="006D4393"/>
    <w:rsid w:val="006E1131"/>
    <w:rsid w:val="006E2037"/>
    <w:rsid w:val="006E6199"/>
    <w:rsid w:val="006F7D30"/>
    <w:rsid w:val="00701275"/>
    <w:rsid w:val="00712870"/>
    <w:rsid w:val="00743D85"/>
    <w:rsid w:val="00753CF4"/>
    <w:rsid w:val="007565CC"/>
    <w:rsid w:val="00763B9A"/>
    <w:rsid w:val="00770866"/>
    <w:rsid w:val="007913D0"/>
    <w:rsid w:val="00794726"/>
    <w:rsid w:val="007A6AA8"/>
    <w:rsid w:val="007D224F"/>
    <w:rsid w:val="008310C9"/>
    <w:rsid w:val="0083184F"/>
    <w:rsid w:val="00845008"/>
    <w:rsid w:val="00853CC5"/>
    <w:rsid w:val="008B17E0"/>
    <w:rsid w:val="008C7848"/>
    <w:rsid w:val="00906589"/>
    <w:rsid w:val="00906AD6"/>
    <w:rsid w:val="00917AF2"/>
    <w:rsid w:val="0092418A"/>
    <w:rsid w:val="00934ED7"/>
    <w:rsid w:val="009543C3"/>
    <w:rsid w:val="00966E1B"/>
    <w:rsid w:val="00977866"/>
    <w:rsid w:val="009947C0"/>
    <w:rsid w:val="009A0301"/>
    <w:rsid w:val="009F2D2C"/>
    <w:rsid w:val="00A31928"/>
    <w:rsid w:val="00A62A14"/>
    <w:rsid w:val="00A6617B"/>
    <w:rsid w:val="00A67F37"/>
    <w:rsid w:val="00A71FE5"/>
    <w:rsid w:val="00A971A1"/>
    <w:rsid w:val="00AA3AD8"/>
    <w:rsid w:val="00AB0DC8"/>
    <w:rsid w:val="00B033C8"/>
    <w:rsid w:val="00B0646C"/>
    <w:rsid w:val="00B07DF0"/>
    <w:rsid w:val="00B33425"/>
    <w:rsid w:val="00B367D9"/>
    <w:rsid w:val="00B44E24"/>
    <w:rsid w:val="00B53EBC"/>
    <w:rsid w:val="00B54ECC"/>
    <w:rsid w:val="00B70E81"/>
    <w:rsid w:val="00B714F3"/>
    <w:rsid w:val="00B87B6B"/>
    <w:rsid w:val="00BC5D77"/>
    <w:rsid w:val="00BE262F"/>
    <w:rsid w:val="00BF487A"/>
    <w:rsid w:val="00C44EEB"/>
    <w:rsid w:val="00C46BD9"/>
    <w:rsid w:val="00C55258"/>
    <w:rsid w:val="00C73560"/>
    <w:rsid w:val="00C81231"/>
    <w:rsid w:val="00CB0F14"/>
    <w:rsid w:val="00CD659B"/>
    <w:rsid w:val="00CE0A43"/>
    <w:rsid w:val="00CF3E40"/>
    <w:rsid w:val="00D3212F"/>
    <w:rsid w:val="00D46688"/>
    <w:rsid w:val="00D83556"/>
    <w:rsid w:val="00DC54A5"/>
    <w:rsid w:val="00DF4176"/>
    <w:rsid w:val="00E17240"/>
    <w:rsid w:val="00E406BD"/>
    <w:rsid w:val="00E74595"/>
    <w:rsid w:val="00EA015F"/>
    <w:rsid w:val="00EB786E"/>
    <w:rsid w:val="00EB7C57"/>
    <w:rsid w:val="00ED2695"/>
    <w:rsid w:val="00EE2963"/>
    <w:rsid w:val="00F0712C"/>
    <w:rsid w:val="00F30C9B"/>
    <w:rsid w:val="00F354B1"/>
    <w:rsid w:val="00F73E83"/>
    <w:rsid w:val="00F93419"/>
    <w:rsid w:val="00FB0E4E"/>
    <w:rsid w:val="00FC42AF"/>
    <w:rsid w:val="00FD15CF"/>
    <w:rsid w:val="00FE0D33"/>
    <w:rsid w:val="00FE13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0177">
      <o:colormru v:ext="edit" colors="#d62a47"/>
      <o:colormenu v:ext="edit" strokecolor="#d62a47"/>
    </o:shapedefaults>
    <o:shapelayout v:ext="edit">
      <o:idmap v:ext="edit" data="1"/>
    </o:shapelayout>
  </w:shapeDefaults>
  <w:decimalSymbol w:val="."/>
  <w:listSeparator w:val=","/>
  <w14:docId w14:val="7D2BEDC4"/>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7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329E"/>
    <w:pPr>
      <w:keepNext/>
      <w:keepLines/>
      <w:spacing w:before="480"/>
      <w:ind w:left="794" w:hanging="794"/>
      <w:outlineLvl w:val="0"/>
    </w:pPr>
    <w:rPr>
      <w:b/>
    </w:rPr>
  </w:style>
  <w:style w:type="paragraph" w:styleId="Heading2">
    <w:name w:val="heading 2"/>
    <w:basedOn w:val="Heading1"/>
    <w:next w:val="Normal"/>
    <w:qFormat/>
    <w:rsid w:val="005D329E"/>
    <w:pPr>
      <w:spacing w:before="320"/>
      <w:outlineLvl w:val="1"/>
    </w:pPr>
  </w:style>
  <w:style w:type="paragraph" w:styleId="Heading3">
    <w:name w:val="heading 3"/>
    <w:basedOn w:val="Heading1"/>
    <w:next w:val="Normal"/>
    <w:qFormat/>
    <w:rsid w:val="005D329E"/>
    <w:pPr>
      <w:spacing w:before="200"/>
      <w:outlineLvl w:val="2"/>
    </w:pPr>
  </w:style>
  <w:style w:type="paragraph" w:styleId="Heading4">
    <w:name w:val="heading 4"/>
    <w:basedOn w:val="Heading3"/>
    <w:next w:val="Normal"/>
    <w:qFormat/>
    <w:rsid w:val="005D329E"/>
    <w:pPr>
      <w:tabs>
        <w:tab w:val="clear" w:pos="794"/>
        <w:tab w:val="left" w:pos="992"/>
      </w:tabs>
      <w:ind w:left="992" w:hanging="992"/>
      <w:outlineLvl w:val="3"/>
    </w:pPr>
  </w:style>
  <w:style w:type="paragraph" w:styleId="Heading5">
    <w:name w:val="heading 5"/>
    <w:basedOn w:val="Heading4"/>
    <w:next w:val="Normal"/>
    <w:qFormat/>
    <w:rsid w:val="005D329E"/>
    <w:pPr>
      <w:outlineLvl w:val="4"/>
    </w:pPr>
  </w:style>
  <w:style w:type="paragraph" w:styleId="Heading6">
    <w:name w:val="heading 6"/>
    <w:basedOn w:val="Heading4"/>
    <w:next w:val="Normal"/>
    <w:qFormat/>
    <w:rsid w:val="005D329E"/>
    <w:pPr>
      <w:tabs>
        <w:tab w:val="clear" w:pos="992"/>
        <w:tab w:val="clear" w:pos="1191"/>
      </w:tabs>
      <w:ind w:left="1588" w:hanging="1588"/>
      <w:outlineLvl w:val="5"/>
    </w:pPr>
  </w:style>
  <w:style w:type="paragraph" w:styleId="Heading7">
    <w:name w:val="heading 7"/>
    <w:basedOn w:val="Heading6"/>
    <w:next w:val="Normal"/>
    <w:qFormat/>
    <w:rsid w:val="005D329E"/>
    <w:pPr>
      <w:outlineLvl w:val="6"/>
    </w:pPr>
  </w:style>
  <w:style w:type="paragraph" w:styleId="Heading8">
    <w:name w:val="heading 8"/>
    <w:basedOn w:val="Heading6"/>
    <w:next w:val="Normal"/>
    <w:qFormat/>
    <w:rsid w:val="005D329E"/>
    <w:pPr>
      <w:outlineLvl w:val="7"/>
    </w:pPr>
  </w:style>
  <w:style w:type="paragraph" w:styleId="Heading9">
    <w:name w:val="heading 9"/>
    <w:basedOn w:val="Heading6"/>
    <w:next w:val="Normal"/>
    <w:qFormat/>
    <w:rsid w:val="005D329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D329E"/>
  </w:style>
  <w:style w:type="paragraph" w:customStyle="1" w:styleId="Headingb">
    <w:name w:val="Heading_b"/>
    <w:basedOn w:val="Heading3"/>
    <w:next w:val="Normal"/>
    <w:link w:val="HeadingbChar"/>
    <w:uiPriority w:val="99"/>
    <w:qFormat/>
    <w:rsid w:val="005D329E"/>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rsid w:val="005D329E"/>
    <w:pPr>
      <w:spacing w:before="160"/>
      <w:ind w:left="0" w:firstLine="0"/>
    </w:pPr>
    <w:rPr>
      <w:b w:val="0"/>
      <w:i/>
    </w:rPr>
  </w:style>
  <w:style w:type="character" w:customStyle="1" w:styleId="href">
    <w:name w:val="href"/>
    <w:basedOn w:val="DefaultParagraphFont"/>
    <w:rsid w:val="005D329E"/>
  </w:style>
  <w:style w:type="paragraph" w:customStyle="1" w:styleId="AnnexNoTitle">
    <w:name w:val="Annex_NoTitle"/>
    <w:basedOn w:val="Normal"/>
    <w:next w:val="Normalaftertitle"/>
    <w:rsid w:val="008B17E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D329E"/>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5D329E"/>
    <w:pPr>
      <w:ind w:left="1191" w:hanging="397"/>
    </w:pPr>
  </w:style>
  <w:style w:type="paragraph" w:customStyle="1" w:styleId="enumlev1">
    <w:name w:val="enumlev1"/>
    <w:basedOn w:val="Normal"/>
    <w:link w:val="enumlev1Char"/>
    <w:qFormat/>
    <w:rsid w:val="005D329E"/>
    <w:pPr>
      <w:spacing w:before="80"/>
      <w:ind w:left="794" w:hanging="794"/>
    </w:pPr>
  </w:style>
  <w:style w:type="paragraph" w:customStyle="1" w:styleId="enumlev3">
    <w:name w:val="enumlev3"/>
    <w:basedOn w:val="enumlev2"/>
    <w:rsid w:val="005D329E"/>
    <w:pPr>
      <w:ind w:left="1588"/>
    </w:pPr>
  </w:style>
  <w:style w:type="paragraph" w:customStyle="1" w:styleId="Note">
    <w:name w:val="Note"/>
    <w:basedOn w:val="Normal"/>
    <w:rsid w:val="005D329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32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D329E"/>
    <w:pPr>
      <w:keepNext/>
      <w:keepLines/>
      <w:spacing w:before="240"/>
      <w:jc w:val="center"/>
    </w:pPr>
    <w:rPr>
      <w:b/>
      <w:sz w:val="28"/>
    </w:rPr>
  </w:style>
  <w:style w:type="paragraph" w:customStyle="1" w:styleId="Recref">
    <w:name w:val="Rec_ref"/>
    <w:basedOn w:val="Normal"/>
    <w:next w:val="Recdate"/>
    <w:rsid w:val="005D329E"/>
    <w:pPr>
      <w:jc w:val="center"/>
    </w:pPr>
  </w:style>
  <w:style w:type="paragraph" w:customStyle="1" w:styleId="Recdate">
    <w:name w:val="Rec_date"/>
    <w:basedOn w:val="Recref"/>
    <w:next w:val="Normalaftertitle"/>
    <w:rsid w:val="005D329E"/>
    <w:pPr>
      <w:jc w:val="right"/>
    </w:pPr>
  </w:style>
  <w:style w:type="paragraph" w:customStyle="1" w:styleId="HeadingSum">
    <w:name w:val="Heading_Sum"/>
    <w:basedOn w:val="Headingb"/>
    <w:next w:val="Normal"/>
    <w:autoRedefine/>
    <w:rsid w:val="005D329E"/>
    <w:pPr>
      <w:spacing w:before="240"/>
    </w:pPr>
    <w:rPr>
      <w:sz w:val="22"/>
      <w:lang w:val="es-ES_tradnl"/>
    </w:rPr>
  </w:style>
  <w:style w:type="paragraph" w:customStyle="1" w:styleId="AppendixNoTitle">
    <w:name w:val="Appendix_NoTitle"/>
    <w:basedOn w:val="AnnexNoTitle"/>
    <w:next w:val="Normal"/>
    <w:rsid w:val="005D329E"/>
  </w:style>
  <w:style w:type="paragraph" w:customStyle="1" w:styleId="Tablefin">
    <w:name w:val="Table_fin"/>
    <w:basedOn w:val="Normal"/>
    <w:next w:val="Normal"/>
    <w:rsid w:val="005D329E"/>
    <w:pPr>
      <w:spacing w:before="0"/>
    </w:pPr>
    <w:rPr>
      <w:sz w:val="20"/>
      <w:lang w:val="en-GB"/>
    </w:rPr>
  </w:style>
  <w:style w:type="paragraph" w:customStyle="1" w:styleId="Tablehead">
    <w:name w:val="Table_head"/>
    <w:basedOn w:val="Normal"/>
    <w:next w:val="Normal"/>
    <w:link w:val="TableheadChar"/>
    <w:uiPriority w:val="99"/>
    <w:rsid w:val="005D3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uiPriority w:val="99"/>
    <w:locked/>
    <w:rsid w:val="00052F66"/>
    <w:rPr>
      <w:b/>
      <w:sz w:val="22"/>
      <w:lang w:val="fr-FR" w:eastAsia="en-US"/>
    </w:rPr>
  </w:style>
  <w:style w:type="paragraph" w:customStyle="1" w:styleId="Tablelegend">
    <w:name w:val="Table_legend"/>
    <w:basedOn w:val="Normal"/>
    <w:link w:val="Tablelegend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5D329E"/>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5D3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3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329E"/>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5D3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329E"/>
    <w:pPr>
      <w:keepNext/>
      <w:keepLines/>
      <w:spacing w:before="480" w:after="80"/>
      <w:jc w:val="center"/>
    </w:pPr>
    <w:rPr>
      <w:caps/>
      <w:sz w:val="18"/>
    </w:rPr>
  </w:style>
  <w:style w:type="paragraph" w:customStyle="1" w:styleId="Figuretitle">
    <w:name w:val="Figure_title"/>
    <w:basedOn w:val="Normal"/>
    <w:next w:val="Figure"/>
    <w:link w:val="FiguretitleChar"/>
    <w:rsid w:val="005D329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329E"/>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5D32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329E"/>
    <w:pPr>
      <w:keepNext/>
      <w:keepLines/>
      <w:spacing w:before="480"/>
      <w:jc w:val="center"/>
    </w:pPr>
    <w:rPr>
      <w:sz w:val="28"/>
    </w:rPr>
  </w:style>
  <w:style w:type="paragraph" w:customStyle="1" w:styleId="Arttitle">
    <w:name w:val="Art_title"/>
    <w:basedOn w:val="Normal"/>
    <w:next w:val="Normalaftertitle"/>
    <w:rsid w:val="005D329E"/>
    <w:pPr>
      <w:keepNext/>
      <w:keepLines/>
      <w:spacing w:before="240"/>
      <w:jc w:val="center"/>
    </w:pPr>
    <w:rPr>
      <w:b/>
      <w:sz w:val="28"/>
    </w:rPr>
  </w:style>
  <w:style w:type="paragraph" w:customStyle="1" w:styleId="Blanc">
    <w:name w:val="Blanc"/>
    <w:basedOn w:val="Normal"/>
    <w:next w:val="Tabletext"/>
    <w:rsid w:val="005D3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3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329E"/>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5D329E"/>
    <w:rPr>
      <w:b/>
    </w:rPr>
  </w:style>
  <w:style w:type="paragraph" w:customStyle="1" w:styleId="Chaptitle">
    <w:name w:val="Chap_title"/>
    <w:basedOn w:val="Arttitle"/>
    <w:next w:val="Normalaftertitle"/>
    <w:rsid w:val="005D329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qFormat/>
    <w:rsid w:val="005D329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5D329E"/>
    <w:pPr>
      <w:keepLines/>
      <w:tabs>
        <w:tab w:val="left" w:pos="255"/>
      </w:tabs>
      <w:ind w:left="255" w:hanging="255"/>
    </w:pPr>
    <w:rPr>
      <w:sz w:val="22"/>
    </w:rPr>
  </w:style>
  <w:style w:type="paragraph" w:styleId="Index1">
    <w:name w:val="index 1"/>
    <w:basedOn w:val="Normal"/>
    <w:next w:val="Normal"/>
    <w:semiHidden/>
    <w:rsid w:val="005D329E"/>
  </w:style>
  <w:style w:type="paragraph" w:styleId="Index2">
    <w:name w:val="index 2"/>
    <w:basedOn w:val="Normal"/>
    <w:next w:val="Normal"/>
    <w:semiHidden/>
    <w:rsid w:val="005D329E"/>
    <w:pPr>
      <w:ind w:left="283"/>
    </w:pPr>
  </w:style>
  <w:style w:type="paragraph" w:styleId="Index3">
    <w:name w:val="index 3"/>
    <w:basedOn w:val="Normal"/>
    <w:next w:val="Normal"/>
    <w:semiHidden/>
    <w:rsid w:val="005D329E"/>
    <w:pPr>
      <w:ind w:left="566"/>
    </w:pPr>
  </w:style>
  <w:style w:type="paragraph" w:styleId="IndexHeading">
    <w:name w:val="index heading"/>
    <w:basedOn w:val="Normal"/>
    <w:next w:val="Index1"/>
    <w:semiHidden/>
    <w:rsid w:val="005D329E"/>
  </w:style>
  <w:style w:type="paragraph" w:customStyle="1" w:styleId="Line">
    <w:name w:val="Line"/>
    <w:basedOn w:val="Normal"/>
    <w:next w:val="Normal"/>
    <w:rsid w:val="005D3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32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329E"/>
  </w:style>
  <w:style w:type="paragraph" w:customStyle="1" w:styleId="Partref">
    <w:name w:val="Part_ref"/>
    <w:basedOn w:val="Normal"/>
    <w:next w:val="Normal"/>
    <w:rsid w:val="005D329E"/>
    <w:pPr>
      <w:keepNext/>
      <w:keepLines/>
      <w:spacing w:after="280"/>
      <w:jc w:val="center"/>
    </w:pPr>
  </w:style>
  <w:style w:type="paragraph" w:customStyle="1" w:styleId="Parttitle">
    <w:name w:val="Part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329E"/>
  </w:style>
  <w:style w:type="paragraph" w:customStyle="1" w:styleId="QuestionNo">
    <w:name w:val="Question_No"/>
    <w:basedOn w:val="RecNo"/>
    <w:next w:val="Normal"/>
    <w:rsid w:val="005D329E"/>
  </w:style>
  <w:style w:type="paragraph" w:customStyle="1" w:styleId="Questionref">
    <w:name w:val="Question_ref"/>
    <w:basedOn w:val="Recref"/>
    <w:next w:val="Questiondate"/>
    <w:rsid w:val="005D329E"/>
  </w:style>
  <w:style w:type="paragraph" w:customStyle="1" w:styleId="Questiontitle">
    <w:name w:val="Question_title"/>
    <w:basedOn w:val="Normal"/>
    <w:next w:val="Questionref"/>
    <w:rsid w:val="005D329E"/>
  </w:style>
  <w:style w:type="paragraph" w:customStyle="1" w:styleId="Reftext">
    <w:name w:val="Ref_text"/>
    <w:basedOn w:val="Normal"/>
    <w:rsid w:val="005D329E"/>
    <w:pPr>
      <w:ind w:left="794" w:hanging="794"/>
    </w:pPr>
    <w:rPr>
      <w:sz w:val="22"/>
    </w:rPr>
  </w:style>
  <w:style w:type="paragraph" w:customStyle="1" w:styleId="Reftitle">
    <w:name w:val="Ref_title"/>
    <w:basedOn w:val="Normal"/>
    <w:next w:val="Reftext"/>
    <w:rsid w:val="005D3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329E"/>
  </w:style>
  <w:style w:type="paragraph" w:customStyle="1" w:styleId="RepNo">
    <w:name w:val="Rep_No"/>
    <w:basedOn w:val="RecNo"/>
    <w:next w:val="Reptitle"/>
    <w:rsid w:val="005D329E"/>
  </w:style>
  <w:style w:type="paragraph" w:customStyle="1" w:styleId="Reptitle">
    <w:name w:val="Rep_title"/>
    <w:basedOn w:val="Rectitle"/>
    <w:next w:val="Repref"/>
    <w:rsid w:val="005D329E"/>
  </w:style>
  <w:style w:type="paragraph" w:customStyle="1" w:styleId="Repref">
    <w:name w:val="Rep_ref"/>
    <w:basedOn w:val="Recref"/>
    <w:next w:val="Repdate"/>
    <w:rsid w:val="005D329E"/>
  </w:style>
  <w:style w:type="paragraph" w:customStyle="1" w:styleId="Resdate">
    <w:name w:val="Res_date"/>
    <w:basedOn w:val="Recdate"/>
    <w:next w:val="Normalaftertitle"/>
    <w:rsid w:val="005D329E"/>
  </w:style>
  <w:style w:type="paragraph" w:customStyle="1" w:styleId="ResNo">
    <w:name w:val="Res_No"/>
    <w:basedOn w:val="RecNo"/>
    <w:next w:val="Restitle"/>
    <w:rsid w:val="005D329E"/>
  </w:style>
  <w:style w:type="paragraph" w:customStyle="1" w:styleId="Restitle">
    <w:name w:val="Res_title"/>
    <w:basedOn w:val="Normal"/>
    <w:next w:val="Resref"/>
    <w:rsid w:val="005D329E"/>
    <w:pPr>
      <w:spacing w:before="240"/>
      <w:jc w:val="center"/>
    </w:pPr>
    <w:rPr>
      <w:b/>
      <w:sz w:val="28"/>
    </w:rPr>
  </w:style>
  <w:style w:type="paragraph" w:customStyle="1" w:styleId="Resref">
    <w:name w:val="Res_ref"/>
    <w:basedOn w:val="Recref"/>
    <w:next w:val="Resdate"/>
    <w:rsid w:val="005D329E"/>
  </w:style>
  <w:style w:type="paragraph" w:customStyle="1" w:styleId="SectionNo">
    <w:name w:val="Section_No"/>
    <w:basedOn w:val="Normal"/>
    <w:next w:val="Normal"/>
    <w:rsid w:val="005D329E"/>
  </w:style>
  <w:style w:type="paragraph" w:customStyle="1" w:styleId="Sectiontitle">
    <w:name w:val="Section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329E"/>
    <w:pPr>
      <w:tabs>
        <w:tab w:val="clear" w:pos="794"/>
        <w:tab w:val="clear" w:pos="1191"/>
        <w:tab w:val="clear" w:pos="1588"/>
        <w:tab w:val="clear" w:pos="1985"/>
        <w:tab w:val="right" w:pos="9611"/>
      </w:tabs>
    </w:pPr>
    <w:rPr>
      <w:i/>
    </w:rPr>
  </w:style>
  <w:style w:type="paragraph" w:styleId="TOC1">
    <w:name w:val="toc 1"/>
    <w:basedOn w:val="Normal"/>
    <w:semiHidden/>
    <w:rsid w:val="005D3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329E"/>
    <w:pPr>
      <w:tabs>
        <w:tab w:val="clear" w:pos="567"/>
        <w:tab w:val="left" w:pos="1276"/>
      </w:tabs>
      <w:spacing w:before="160"/>
      <w:ind w:left="1276" w:hanging="709"/>
    </w:pPr>
  </w:style>
  <w:style w:type="paragraph" w:styleId="TOC3">
    <w:name w:val="toc 3"/>
    <w:basedOn w:val="TOC2"/>
    <w:semiHidden/>
    <w:rsid w:val="005D329E"/>
    <w:pPr>
      <w:tabs>
        <w:tab w:val="clear" w:pos="1276"/>
        <w:tab w:val="left" w:pos="2155"/>
      </w:tabs>
      <w:ind w:left="2155" w:hanging="879"/>
    </w:pPr>
  </w:style>
  <w:style w:type="paragraph" w:styleId="TOC4">
    <w:name w:val="toc 4"/>
    <w:basedOn w:val="TOC3"/>
    <w:semiHidden/>
    <w:rsid w:val="005D329E"/>
    <w:pPr>
      <w:tabs>
        <w:tab w:val="left" w:pos="3261"/>
      </w:tabs>
      <w:spacing w:before="80"/>
      <w:ind w:left="3261" w:hanging="993"/>
    </w:pPr>
  </w:style>
  <w:style w:type="paragraph" w:styleId="TOC5">
    <w:name w:val="toc 5"/>
    <w:basedOn w:val="TOC4"/>
    <w:semiHidden/>
    <w:rsid w:val="005D329E"/>
  </w:style>
  <w:style w:type="paragraph" w:styleId="TOC6">
    <w:name w:val="toc 6"/>
    <w:basedOn w:val="TOC4"/>
    <w:semiHidden/>
    <w:rsid w:val="005D329E"/>
  </w:style>
  <w:style w:type="paragraph" w:styleId="TOC7">
    <w:name w:val="toc 7"/>
    <w:basedOn w:val="TOC4"/>
    <w:semiHidden/>
    <w:rsid w:val="005D329E"/>
  </w:style>
  <w:style w:type="paragraph" w:styleId="TOC8">
    <w:name w:val="toc 8"/>
    <w:basedOn w:val="TOC4"/>
    <w:semiHidden/>
    <w:rsid w:val="005D329E"/>
  </w:style>
  <w:style w:type="paragraph" w:customStyle="1" w:styleId="Annexref">
    <w:name w:val="Annex_ref"/>
    <w:basedOn w:val="Normal"/>
    <w:next w:val="Normalaftertitle"/>
    <w:rsid w:val="005D329E"/>
    <w:pPr>
      <w:keepNext/>
      <w:keepLines/>
      <w:spacing w:after="280"/>
      <w:jc w:val="center"/>
    </w:pPr>
  </w:style>
  <w:style w:type="paragraph" w:customStyle="1" w:styleId="Appendixref">
    <w:name w:val="Appendix_ref"/>
    <w:basedOn w:val="Annexref"/>
    <w:next w:val="Normalaftertitle"/>
    <w:rsid w:val="005D329E"/>
  </w:style>
  <w:style w:type="paragraph" w:customStyle="1" w:styleId="Tabletitle">
    <w:name w:val="Table_title"/>
    <w:basedOn w:val="Normal"/>
    <w:next w:val="Tablehead"/>
    <w:link w:val="Tabletitle0"/>
    <w:rsid w:val="005D329E"/>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link w:val="SummaryZchn"/>
    <w:autoRedefine/>
    <w:rsid w:val="0084500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D329E"/>
    <w:pPr>
      <w:ind w:left="-85" w:firstLine="0"/>
    </w:pPr>
    <w:rPr>
      <w:lang w:val="en-US"/>
    </w:rPr>
  </w:style>
  <w:style w:type="paragraph" w:styleId="Footer">
    <w:name w:val="footer"/>
    <w:basedOn w:val="Normal"/>
    <w:link w:val="FooterChar"/>
    <w:rsid w:val="005D32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5D3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SummaryZchn">
    <w:name w:val="Summary Zchn"/>
    <w:basedOn w:val="DefaultParagraphFont"/>
    <w:link w:val="Summary"/>
    <w:rsid w:val="00845008"/>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213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qFormat/>
    <w:rsid w:val="003213A9"/>
    <w:rPr>
      <w:sz w:val="24"/>
      <w:lang w:val="fr-FR" w:eastAsia="en-US"/>
    </w:rPr>
  </w:style>
  <w:style w:type="table" w:styleId="TableGrid">
    <w:name w:val="Table Grid"/>
    <w:basedOn w:val="TableNormal"/>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E137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s://www.itu.int/rec/R-REC-RA.769/en" TargetMode="Externa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M.541/en" TargetMode="External"/><Relationship Id="rId2" Type="http://schemas.openxmlformats.org/officeDocument/2006/relationships/styles" Target="styles.xml"/><Relationship Id="rId16" Type="http://schemas.openxmlformats.org/officeDocument/2006/relationships/hyperlink" Target="http://www.itu.int/rec/R-REC-M.1375/en" TargetMode="Externa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yperlink" Target="http://www.itu.int/rec/R-REC-M.585/en" TargetMode="Externa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s://www.itu.int/pub/R-REP-M.2285"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itu.int/rec/R-REC-M.493/e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66</TotalTime>
  <Pages>6</Pages>
  <Words>1608</Words>
  <Characters>9717</Characters>
  <Application>Microsoft Office Word</Application>
  <DocSecurity>0</DocSecurity>
  <Lines>170</Lines>
  <Paragraphs>43</Paragraphs>
  <ScaleCrop>false</ScaleCrop>
  <HeadingPairs>
    <vt:vector size="2" baseType="variant">
      <vt:variant>
        <vt:lpstr>Title</vt:lpstr>
      </vt:variant>
      <vt:variant>
        <vt:i4>1</vt:i4>
      </vt:variant>
    </vt:vector>
  </HeadingPairs>
  <TitlesOfParts>
    <vt:vector size="1" baseType="lpstr">
      <vt:lpstr>RECOMMENDATION  ITU-R  M.2134-0 - Receiver characteristics and protection criteria for systems  in the mobile service in the frequency range 27.5-29.5 GHz for  use in sharing and compatibility studies</vt:lpstr>
    </vt:vector>
  </TitlesOfParts>
  <Manager/>
  <Company>ITU</Company>
  <LinksUpToDate>false</LinksUpToDate>
  <CharactersWithSpaces>11282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M.2134-0 - Receiver characteristics and protection criteria for systems  in the mobile service in the frequency range 27.5-29.5 GHz for  use in sharing and compatibility studies</dc:title>
  <dc:subject>M Series = Mobile, radiodetermination, amateur and related satellite services</dc:subject>
  <dc:creator>ITU Radiocommunication Bureau (BR)</dc:creator>
  <cp:keywords>M,2134-0</cp:keywords>
  <dc:description>Gachetc, 29/10/2019, ITU51013811</dc:description>
  <cp:lastModifiedBy>Gachet, Christelle</cp:lastModifiedBy>
  <cp:revision>41</cp:revision>
  <cp:lastPrinted>2019-10-29T13:19:00Z</cp:lastPrinted>
  <dcterms:created xsi:type="dcterms:W3CDTF">2019-01-29T12:40:00Z</dcterms:created>
  <dcterms:modified xsi:type="dcterms:W3CDTF">2019-10-29T13:20:00Z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