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C666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2122</w:t>
            </w:r>
            <w:r w:rsidR="00C666C5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C666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:rsidR="00FE79FE" w:rsidRPr="00225DDD" w:rsidRDefault="00FE79FE" w:rsidP="00C666C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C666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C666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C666C5" w:rsidRPr="00BF5B78" w:rsidRDefault="00C666C5" w:rsidP="00C666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Технические и эксплуатационные характеристики систем воздушной подвижной службы, передачи которых ограничены передачами воздушной подвижной телеметрии для летных испытаний в полосе 5150–5250 МГц в Районе 1 и в Бразилии в соответствии с пунктом 5.446С РР  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131900" w:rsidRDefault="00A71FE5" w:rsidP="00CD659B">
      <w:pPr>
        <w:spacing w:before="80"/>
        <w:rPr>
          <w:i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</w:rPr>
      </w:pPr>
      <w:bookmarkStart w:id="1" w:name="c2tope"/>
      <w:bookmarkEnd w:id="1"/>
      <w:r w:rsidRPr="006E56A2">
        <w:rPr>
          <w:b/>
          <w:bCs/>
          <w:szCs w:val="22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</w:rPr>
      </w:pPr>
      <w:r w:rsidRPr="00854998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</w:rPr>
      </w:pPr>
      <w:r w:rsidRPr="00854998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</w:rPr>
      </w:pPr>
      <w:r w:rsidRPr="006E56A2">
        <w:rPr>
          <w:b/>
          <w:bCs/>
          <w:szCs w:val="22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</w:rPr>
      </w:pPr>
      <w:r w:rsidRPr="00854998">
        <w:rPr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</w:rPr>
        <w:t xml:space="preserve"> </w:t>
      </w:r>
      <w:r w:rsidR="001A5DF7" w:rsidRPr="00854998">
        <w:rPr>
          <w:sz w:val="20"/>
        </w:rPr>
        <w:t>1</w:t>
      </w:r>
      <w:r w:rsidRPr="00854998">
        <w:rPr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4708C5">
        <w:fldChar w:fldCharType="begin"/>
      </w:r>
      <w:r w:rsidR="004708C5">
        <w:instrText xml:space="preserve"> HYPERLINK "http://www.itu.int/ITU-R/go/patents/en" </w:instrText>
      </w:r>
      <w:r w:rsidR="004708C5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4708C5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6E56A2">
              <w:rPr>
                <w:b/>
                <w:bCs/>
                <w:szCs w:val="22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r w:rsidR="004708C5">
              <w:fldChar w:fldCharType="begin"/>
            </w:r>
            <w:r w:rsidR="004708C5">
              <w:instrText xml:space="preserve"> HYPERLINK "http://www.itu.int/publ/R-REC/en" </w:instrText>
            </w:r>
            <w:r w:rsidR="004708C5">
              <w:fldChar w:fldCharType="separate"/>
            </w:r>
            <w:r w:rsidRPr="00854998">
              <w:rPr>
                <w:rStyle w:val="Hyperlink"/>
                <w:sz w:val="18"/>
              </w:rPr>
              <w:t>http://www.itu.int/publ/R-REC/en</w:t>
            </w:r>
            <w:r w:rsidR="004708C5">
              <w:rPr>
                <w:rStyle w:val="Hyperlink"/>
                <w:sz w:val="18"/>
              </w:rPr>
              <w:fldChar w:fldCharType="end"/>
            </w:r>
            <w:r w:rsidRPr="00854998">
              <w:rPr>
                <w:sz w:val="18"/>
                <w:szCs w:val="18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475345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475345">
              <w:rPr>
                <w:sz w:val="20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475345">
              <w:rPr>
                <w:b/>
                <w:bCs/>
                <w:color w:val="000080"/>
                <w:sz w:val="20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C847AA">
              <w:rPr>
                <w:b/>
                <w:bCs/>
                <w:color w:val="000080"/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D163D5">
              <w:rPr>
                <w:b/>
                <w:bCs/>
                <w:i/>
                <w:iCs/>
                <w:sz w:val="20"/>
              </w:rPr>
              <w:t>Примечание</w:t>
            </w:r>
            <w:r w:rsidRPr="00D163D5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</w:rPr>
              <w:t xml:space="preserve"> </w:t>
            </w:r>
            <w:r w:rsidR="001A5DF7" w:rsidRPr="00D163D5">
              <w:rPr>
                <w:i/>
                <w:iCs/>
                <w:sz w:val="20"/>
              </w:rPr>
              <w:t>1</w:t>
            </w:r>
            <w:r w:rsidRPr="00D163D5">
              <w:rPr>
                <w:i/>
                <w:iCs/>
                <w:sz w:val="20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</w:rPr>
        <w:t xml:space="preserve"> </w:t>
      </w:r>
      <w:bookmarkStart w:id="2" w:name="iiannee"/>
      <w:bookmarkEnd w:id="2"/>
      <w:r w:rsidRPr="001A5DF7">
        <w:rPr>
          <w:sz w:val="20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</w:rPr>
        <w:sectPr w:rsidR="00B62AB1" w:rsidRPr="00B62AB1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3" w:name="irecnoe"/>
      <w:bookmarkEnd w:id="3"/>
      <w:r w:rsidRPr="005F05C0">
        <w:lastRenderedPageBreak/>
        <w:t xml:space="preserve">РЕКОМЕНДАЦИЯ  </w:t>
      </w:r>
      <w:r w:rsidRPr="00B62AB1">
        <w:rPr>
          <w:rStyle w:val="href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</w:rPr>
        <w:t>.</w:t>
      </w:r>
      <w:r w:rsidR="00C666C5" w:rsidRPr="00471208">
        <w:rPr>
          <w:rStyle w:val="href"/>
          <w:sz w:val="26"/>
          <w:szCs w:val="26"/>
        </w:rPr>
        <w:t>2122-0</w:t>
      </w:r>
    </w:p>
    <w:p w:rsidR="00C666C5" w:rsidRPr="00C60468" w:rsidRDefault="00C666C5" w:rsidP="00C666C5">
      <w:pPr>
        <w:pStyle w:val="Rectitle"/>
        <w:rPr>
          <w:sz w:val="26"/>
          <w:szCs w:val="26"/>
        </w:rPr>
      </w:pPr>
      <w:r w:rsidRPr="00471208">
        <w:rPr>
          <w:sz w:val="26"/>
          <w:szCs w:val="26"/>
        </w:rPr>
        <w:t>Технические и эксплуатационные характеристики систем</w:t>
      </w:r>
      <w:r w:rsidRPr="00C60468">
        <w:rPr>
          <w:sz w:val="26"/>
          <w:szCs w:val="26"/>
        </w:rPr>
        <w:br/>
      </w:r>
      <w:r w:rsidRPr="00471208">
        <w:rPr>
          <w:sz w:val="26"/>
          <w:szCs w:val="26"/>
        </w:rPr>
        <w:t>воздушной подвижной службы, передачи которых ограничены передачами воздушной подвижной телеметрии для летных испытаний</w:t>
      </w:r>
      <w:r w:rsidRPr="00C60468">
        <w:rPr>
          <w:sz w:val="26"/>
          <w:szCs w:val="26"/>
        </w:rPr>
        <w:br/>
      </w:r>
      <w:r w:rsidRPr="00471208">
        <w:rPr>
          <w:sz w:val="26"/>
          <w:szCs w:val="26"/>
        </w:rPr>
        <w:t>в полосе 5150</w:t>
      </w:r>
      <w:r w:rsidRPr="00C60468">
        <w:rPr>
          <w:sz w:val="26"/>
          <w:szCs w:val="26"/>
        </w:rPr>
        <w:t>–</w:t>
      </w:r>
      <w:r w:rsidRPr="00471208">
        <w:rPr>
          <w:sz w:val="26"/>
          <w:szCs w:val="26"/>
        </w:rPr>
        <w:t xml:space="preserve">5250 МГц в Районе 1 и в Бразилии </w:t>
      </w:r>
      <w:r w:rsidRPr="00C60468">
        <w:rPr>
          <w:sz w:val="26"/>
          <w:szCs w:val="26"/>
        </w:rPr>
        <w:br/>
      </w:r>
      <w:r w:rsidRPr="00471208">
        <w:rPr>
          <w:sz w:val="26"/>
          <w:szCs w:val="26"/>
        </w:rPr>
        <w:t>в соответствии с пунктом 5.446C РР</w:t>
      </w:r>
    </w:p>
    <w:p w:rsidR="00C666C5" w:rsidRPr="00C60468" w:rsidRDefault="00C666C5" w:rsidP="00C666C5">
      <w:pPr>
        <w:pStyle w:val="Recdate"/>
      </w:pPr>
      <w:r w:rsidRPr="00C60468">
        <w:t>(2019)</w:t>
      </w:r>
    </w:p>
    <w:p w:rsidR="00C666C5" w:rsidRPr="00C60468" w:rsidRDefault="00C666C5" w:rsidP="00C666C5">
      <w:pPr>
        <w:pStyle w:val="HeadingSum"/>
      </w:pPr>
      <w:proofErr w:type="spellStart"/>
      <w:r w:rsidRPr="00471208">
        <w:t>Сфера</w:t>
      </w:r>
      <w:proofErr w:type="spellEnd"/>
      <w:r w:rsidRPr="00471208">
        <w:t xml:space="preserve"> </w:t>
      </w:r>
      <w:proofErr w:type="spellStart"/>
      <w:r w:rsidRPr="00471208">
        <w:t>применения</w:t>
      </w:r>
      <w:proofErr w:type="spellEnd"/>
    </w:p>
    <w:p w:rsidR="00C666C5" w:rsidRPr="00C60468" w:rsidRDefault="00C666C5" w:rsidP="00C666C5">
      <w:pPr>
        <w:pStyle w:val="Summary"/>
      </w:pPr>
      <w:r w:rsidRPr="00471208">
        <w:t xml:space="preserve">В </w:t>
      </w:r>
      <w:proofErr w:type="spellStart"/>
      <w:r w:rsidRPr="00471208">
        <w:t>настоящей</w:t>
      </w:r>
      <w:proofErr w:type="spellEnd"/>
      <w:r w:rsidRPr="00471208">
        <w:t xml:space="preserve"> </w:t>
      </w:r>
      <w:proofErr w:type="spellStart"/>
      <w:r w:rsidRPr="00471208">
        <w:t>Рекомендации</w:t>
      </w:r>
      <w:proofErr w:type="spellEnd"/>
      <w:r w:rsidRPr="00471208">
        <w:t xml:space="preserve"> </w:t>
      </w:r>
      <w:proofErr w:type="spellStart"/>
      <w:r w:rsidRPr="00471208">
        <w:t>содержатся</w:t>
      </w:r>
      <w:proofErr w:type="spellEnd"/>
      <w:r w:rsidRPr="00471208">
        <w:t xml:space="preserve"> </w:t>
      </w:r>
      <w:proofErr w:type="spellStart"/>
      <w:r w:rsidRPr="00471208">
        <w:t>технические</w:t>
      </w:r>
      <w:proofErr w:type="spellEnd"/>
      <w:r w:rsidRPr="00471208">
        <w:t xml:space="preserve"> и </w:t>
      </w:r>
      <w:proofErr w:type="spellStart"/>
      <w:r w:rsidRPr="00471208">
        <w:t>эксплуатационные</w:t>
      </w:r>
      <w:proofErr w:type="spellEnd"/>
      <w:r w:rsidRPr="00471208">
        <w:t xml:space="preserve"> </w:t>
      </w:r>
      <w:proofErr w:type="spellStart"/>
      <w:r w:rsidRPr="00471208">
        <w:t>характеристики</w:t>
      </w:r>
      <w:proofErr w:type="spellEnd"/>
      <w:r w:rsidRPr="00471208">
        <w:t xml:space="preserve"> </w:t>
      </w:r>
      <w:proofErr w:type="spellStart"/>
      <w:r w:rsidRPr="00471208">
        <w:t>воздушной</w:t>
      </w:r>
      <w:proofErr w:type="spellEnd"/>
      <w:r w:rsidRPr="00471208">
        <w:t xml:space="preserve"> </w:t>
      </w:r>
      <w:proofErr w:type="spellStart"/>
      <w:r w:rsidRPr="00471208">
        <w:t>подвижной</w:t>
      </w:r>
      <w:proofErr w:type="spellEnd"/>
      <w:r w:rsidRPr="00471208">
        <w:t xml:space="preserve"> </w:t>
      </w:r>
      <w:proofErr w:type="spellStart"/>
      <w:r w:rsidRPr="00471208">
        <w:t>телеметрии</w:t>
      </w:r>
      <w:proofErr w:type="spellEnd"/>
      <w:r w:rsidRPr="00471208">
        <w:t xml:space="preserve"> (AMT), </w:t>
      </w:r>
      <w:proofErr w:type="spellStart"/>
      <w:r w:rsidRPr="00471208">
        <w:t>эксплуатируемой</w:t>
      </w:r>
      <w:proofErr w:type="spellEnd"/>
      <w:r w:rsidRPr="00471208">
        <w:t xml:space="preserve"> в </w:t>
      </w:r>
      <w:proofErr w:type="spellStart"/>
      <w:r w:rsidRPr="00471208">
        <w:t>странах</w:t>
      </w:r>
      <w:proofErr w:type="spellEnd"/>
      <w:r w:rsidRPr="00471208">
        <w:t xml:space="preserve"> </w:t>
      </w:r>
      <w:proofErr w:type="spellStart"/>
      <w:r w:rsidRPr="00471208">
        <w:t>Района</w:t>
      </w:r>
      <w:proofErr w:type="spellEnd"/>
      <w:r>
        <w:rPr>
          <w:lang w:val="en-US"/>
        </w:rPr>
        <w:t> </w:t>
      </w:r>
      <w:r w:rsidRPr="00471208">
        <w:t>1 (</w:t>
      </w:r>
      <w:proofErr w:type="spellStart"/>
      <w:r w:rsidRPr="00471208">
        <w:t>за</w:t>
      </w:r>
      <w:proofErr w:type="spellEnd"/>
      <w:r w:rsidRPr="00471208">
        <w:t xml:space="preserve"> </w:t>
      </w:r>
      <w:proofErr w:type="spellStart"/>
      <w:r w:rsidRPr="00471208">
        <w:t>исключением</w:t>
      </w:r>
      <w:proofErr w:type="spellEnd"/>
      <w:r w:rsidRPr="00471208">
        <w:t xml:space="preserve"> </w:t>
      </w:r>
      <w:proofErr w:type="spellStart"/>
      <w:r w:rsidRPr="00471208">
        <w:t>Алжира</w:t>
      </w:r>
      <w:proofErr w:type="spellEnd"/>
      <w:r w:rsidRPr="00471208">
        <w:t xml:space="preserve">, </w:t>
      </w:r>
      <w:proofErr w:type="spellStart"/>
      <w:r w:rsidRPr="00471208">
        <w:t>Саудовской</w:t>
      </w:r>
      <w:proofErr w:type="spellEnd"/>
      <w:r w:rsidRPr="00471208">
        <w:t xml:space="preserve"> </w:t>
      </w:r>
      <w:proofErr w:type="spellStart"/>
      <w:r w:rsidRPr="00471208">
        <w:t>Аравии</w:t>
      </w:r>
      <w:proofErr w:type="spellEnd"/>
      <w:r w:rsidRPr="00471208">
        <w:t xml:space="preserve">, </w:t>
      </w:r>
      <w:proofErr w:type="spellStart"/>
      <w:r w:rsidRPr="00471208">
        <w:t>Бахрейна</w:t>
      </w:r>
      <w:proofErr w:type="spellEnd"/>
      <w:r w:rsidRPr="00471208">
        <w:t xml:space="preserve">, </w:t>
      </w:r>
      <w:proofErr w:type="spellStart"/>
      <w:r w:rsidRPr="00471208">
        <w:t>Египта</w:t>
      </w:r>
      <w:proofErr w:type="spellEnd"/>
      <w:r w:rsidRPr="00471208">
        <w:t xml:space="preserve">, </w:t>
      </w:r>
      <w:proofErr w:type="spellStart"/>
      <w:r w:rsidRPr="00471208">
        <w:t>Объединенных</w:t>
      </w:r>
      <w:proofErr w:type="spellEnd"/>
      <w:r w:rsidRPr="00471208">
        <w:t xml:space="preserve"> </w:t>
      </w:r>
      <w:proofErr w:type="spellStart"/>
      <w:r w:rsidRPr="00471208">
        <w:t>Арабских</w:t>
      </w:r>
      <w:proofErr w:type="spellEnd"/>
      <w:r w:rsidRPr="00471208">
        <w:t xml:space="preserve"> </w:t>
      </w:r>
      <w:proofErr w:type="spellStart"/>
      <w:r w:rsidRPr="00471208">
        <w:t>Эмиратов</w:t>
      </w:r>
      <w:proofErr w:type="spellEnd"/>
      <w:r w:rsidRPr="00471208">
        <w:t xml:space="preserve">, </w:t>
      </w:r>
      <w:proofErr w:type="spellStart"/>
      <w:r w:rsidRPr="00471208">
        <w:t>Иордании</w:t>
      </w:r>
      <w:proofErr w:type="spellEnd"/>
      <w:r w:rsidRPr="00471208">
        <w:t xml:space="preserve">, </w:t>
      </w:r>
      <w:proofErr w:type="spellStart"/>
      <w:r w:rsidRPr="00471208">
        <w:t>Кувейта</w:t>
      </w:r>
      <w:proofErr w:type="spellEnd"/>
      <w:r w:rsidRPr="00471208">
        <w:t xml:space="preserve">, </w:t>
      </w:r>
      <w:proofErr w:type="spellStart"/>
      <w:r w:rsidRPr="00471208">
        <w:t>Ливана</w:t>
      </w:r>
      <w:proofErr w:type="spellEnd"/>
      <w:r w:rsidRPr="00471208">
        <w:t xml:space="preserve">, </w:t>
      </w:r>
      <w:proofErr w:type="spellStart"/>
      <w:r w:rsidRPr="00471208">
        <w:t>Марокко</w:t>
      </w:r>
      <w:proofErr w:type="spellEnd"/>
      <w:r w:rsidRPr="00471208">
        <w:t xml:space="preserve">, </w:t>
      </w:r>
      <w:proofErr w:type="spellStart"/>
      <w:r w:rsidRPr="00471208">
        <w:t>Омана</w:t>
      </w:r>
      <w:proofErr w:type="spellEnd"/>
      <w:r w:rsidRPr="00471208">
        <w:t xml:space="preserve">, </w:t>
      </w:r>
      <w:proofErr w:type="spellStart"/>
      <w:r w:rsidRPr="00471208">
        <w:t>Катара</w:t>
      </w:r>
      <w:proofErr w:type="spellEnd"/>
      <w:r w:rsidRPr="00471208">
        <w:t xml:space="preserve">, </w:t>
      </w:r>
      <w:proofErr w:type="spellStart"/>
      <w:r w:rsidRPr="00471208">
        <w:t>Сирийской</w:t>
      </w:r>
      <w:proofErr w:type="spellEnd"/>
      <w:r w:rsidRPr="00471208">
        <w:t xml:space="preserve"> </w:t>
      </w:r>
      <w:proofErr w:type="spellStart"/>
      <w:r w:rsidRPr="00471208">
        <w:t>Арабской</w:t>
      </w:r>
      <w:proofErr w:type="spellEnd"/>
      <w:r w:rsidRPr="00471208">
        <w:t xml:space="preserve"> </w:t>
      </w:r>
      <w:proofErr w:type="spellStart"/>
      <w:r w:rsidRPr="00471208">
        <w:t>Республики</w:t>
      </w:r>
      <w:proofErr w:type="spellEnd"/>
      <w:r w:rsidRPr="00471208">
        <w:t xml:space="preserve">, </w:t>
      </w:r>
      <w:proofErr w:type="spellStart"/>
      <w:r w:rsidRPr="00471208">
        <w:t>Судана</w:t>
      </w:r>
      <w:proofErr w:type="spellEnd"/>
      <w:r w:rsidRPr="00471208">
        <w:t xml:space="preserve">, </w:t>
      </w:r>
      <w:proofErr w:type="spellStart"/>
      <w:r w:rsidRPr="00471208">
        <w:t>Южного</w:t>
      </w:r>
      <w:proofErr w:type="spellEnd"/>
      <w:r w:rsidRPr="00471208">
        <w:t xml:space="preserve"> </w:t>
      </w:r>
      <w:proofErr w:type="spellStart"/>
      <w:r w:rsidRPr="00471208">
        <w:t>Судана</w:t>
      </w:r>
      <w:proofErr w:type="spellEnd"/>
      <w:r w:rsidRPr="00471208">
        <w:t xml:space="preserve"> и </w:t>
      </w:r>
      <w:proofErr w:type="spellStart"/>
      <w:r w:rsidRPr="00471208">
        <w:t>Туниса</w:t>
      </w:r>
      <w:proofErr w:type="spellEnd"/>
      <w:r w:rsidRPr="00471208">
        <w:t xml:space="preserve">) и в </w:t>
      </w:r>
      <w:proofErr w:type="spellStart"/>
      <w:r w:rsidRPr="00471208">
        <w:t>Бразилии</w:t>
      </w:r>
      <w:proofErr w:type="spellEnd"/>
      <w:r w:rsidRPr="00471208">
        <w:t xml:space="preserve"> в </w:t>
      </w:r>
      <w:proofErr w:type="spellStart"/>
      <w:r w:rsidRPr="00471208">
        <w:t>полосе</w:t>
      </w:r>
      <w:proofErr w:type="spellEnd"/>
      <w:r w:rsidRPr="00471208">
        <w:t xml:space="preserve"> </w:t>
      </w:r>
      <w:proofErr w:type="spellStart"/>
      <w:r w:rsidRPr="00471208">
        <w:t>частот</w:t>
      </w:r>
      <w:proofErr w:type="spellEnd"/>
      <w:r w:rsidRPr="00471208">
        <w:t xml:space="preserve"> 5150–5250</w:t>
      </w:r>
      <w:r>
        <w:t> </w:t>
      </w:r>
      <w:proofErr w:type="spellStart"/>
      <w:r w:rsidRPr="00471208">
        <w:t>МГц</w:t>
      </w:r>
      <w:proofErr w:type="spellEnd"/>
      <w:r w:rsidRPr="00471208">
        <w:t xml:space="preserve"> в </w:t>
      </w:r>
      <w:proofErr w:type="spellStart"/>
      <w:r w:rsidRPr="00471208">
        <w:t>соответствии</w:t>
      </w:r>
      <w:proofErr w:type="spellEnd"/>
      <w:r w:rsidRPr="00471208">
        <w:t xml:space="preserve"> с </w:t>
      </w:r>
      <w:proofErr w:type="spellStart"/>
      <w:r w:rsidRPr="00471208">
        <w:t>пунктом</w:t>
      </w:r>
      <w:proofErr w:type="spellEnd"/>
      <w:r w:rsidRPr="00471208">
        <w:t> </w:t>
      </w:r>
      <w:r w:rsidRPr="00471208">
        <w:rPr>
          <w:b/>
        </w:rPr>
        <w:t>5.446C</w:t>
      </w:r>
      <w:r w:rsidRPr="00471208">
        <w:t xml:space="preserve"> РР, в </w:t>
      </w:r>
      <w:proofErr w:type="spellStart"/>
      <w:r w:rsidRPr="00471208">
        <w:t>котором</w:t>
      </w:r>
      <w:proofErr w:type="spellEnd"/>
      <w:r w:rsidRPr="00471208">
        <w:t xml:space="preserve"> </w:t>
      </w:r>
      <w:proofErr w:type="spellStart"/>
      <w:r w:rsidRPr="00471208">
        <w:t>признается</w:t>
      </w:r>
      <w:proofErr w:type="spellEnd"/>
      <w:r w:rsidRPr="00471208">
        <w:t xml:space="preserve"> </w:t>
      </w:r>
      <w:proofErr w:type="spellStart"/>
      <w:r w:rsidRPr="00471208">
        <w:t>распределение</w:t>
      </w:r>
      <w:proofErr w:type="spellEnd"/>
      <w:r w:rsidRPr="00471208">
        <w:t xml:space="preserve"> </w:t>
      </w:r>
      <w:proofErr w:type="spellStart"/>
      <w:r w:rsidRPr="00471208">
        <w:t>воздушной</w:t>
      </w:r>
      <w:proofErr w:type="spellEnd"/>
      <w:r w:rsidRPr="00471208">
        <w:t xml:space="preserve"> </w:t>
      </w:r>
      <w:proofErr w:type="spellStart"/>
      <w:r w:rsidRPr="00471208">
        <w:t>подвижной</w:t>
      </w:r>
      <w:proofErr w:type="spellEnd"/>
      <w:r w:rsidRPr="00471208">
        <w:t xml:space="preserve"> </w:t>
      </w:r>
      <w:proofErr w:type="spellStart"/>
      <w:r w:rsidRPr="00471208">
        <w:t>службе</w:t>
      </w:r>
      <w:proofErr w:type="spellEnd"/>
      <w:r w:rsidRPr="00471208">
        <w:t xml:space="preserve"> </w:t>
      </w:r>
      <w:proofErr w:type="spellStart"/>
      <w:r w:rsidRPr="00471208">
        <w:t>на</w:t>
      </w:r>
      <w:proofErr w:type="spellEnd"/>
      <w:r w:rsidRPr="00471208">
        <w:t xml:space="preserve"> </w:t>
      </w:r>
      <w:proofErr w:type="spellStart"/>
      <w:r w:rsidRPr="00471208">
        <w:t>первичной</w:t>
      </w:r>
      <w:proofErr w:type="spellEnd"/>
      <w:r w:rsidRPr="00471208">
        <w:t xml:space="preserve"> </w:t>
      </w:r>
      <w:proofErr w:type="spellStart"/>
      <w:r w:rsidRPr="00471208">
        <w:t>основе</w:t>
      </w:r>
      <w:proofErr w:type="spellEnd"/>
      <w:r w:rsidRPr="00471208">
        <w:t xml:space="preserve">, </w:t>
      </w:r>
      <w:proofErr w:type="spellStart"/>
      <w:r w:rsidRPr="00471208">
        <w:t>ограниченной</w:t>
      </w:r>
      <w:proofErr w:type="spellEnd"/>
      <w:r w:rsidRPr="00471208">
        <w:t xml:space="preserve"> </w:t>
      </w:r>
      <w:proofErr w:type="spellStart"/>
      <w:r w:rsidRPr="00471208">
        <w:t>передачами</w:t>
      </w:r>
      <w:proofErr w:type="spellEnd"/>
      <w:r w:rsidRPr="00471208">
        <w:t xml:space="preserve"> </w:t>
      </w:r>
      <w:proofErr w:type="spellStart"/>
      <w:r w:rsidRPr="00471208">
        <w:t>воздушной</w:t>
      </w:r>
      <w:proofErr w:type="spellEnd"/>
      <w:r w:rsidRPr="00471208">
        <w:t xml:space="preserve"> </w:t>
      </w:r>
      <w:proofErr w:type="spellStart"/>
      <w:r w:rsidRPr="00471208">
        <w:t>телеметрии</w:t>
      </w:r>
      <w:proofErr w:type="spellEnd"/>
      <w:r w:rsidRPr="00471208">
        <w:t xml:space="preserve"> </w:t>
      </w:r>
      <w:proofErr w:type="spellStart"/>
      <w:r w:rsidRPr="00471208">
        <w:t>со</w:t>
      </w:r>
      <w:proofErr w:type="spellEnd"/>
      <w:r w:rsidRPr="00471208">
        <w:t xml:space="preserve"> </w:t>
      </w:r>
      <w:proofErr w:type="spellStart"/>
      <w:r w:rsidRPr="00471208">
        <w:t>станций</w:t>
      </w:r>
      <w:proofErr w:type="spellEnd"/>
      <w:r w:rsidRPr="00471208">
        <w:t xml:space="preserve"> </w:t>
      </w:r>
      <w:proofErr w:type="spellStart"/>
      <w:r w:rsidRPr="00471208">
        <w:t>воздушных</w:t>
      </w:r>
      <w:proofErr w:type="spellEnd"/>
      <w:r w:rsidRPr="00471208">
        <w:t xml:space="preserve"> </w:t>
      </w:r>
      <w:proofErr w:type="spellStart"/>
      <w:r w:rsidRPr="00471208">
        <w:t>судов</w:t>
      </w:r>
      <w:proofErr w:type="spellEnd"/>
      <w:r w:rsidRPr="00471208">
        <w:t>.</w:t>
      </w:r>
    </w:p>
    <w:p w:rsidR="00C666C5" w:rsidRPr="00471208" w:rsidRDefault="00C666C5" w:rsidP="00C666C5">
      <w:pPr>
        <w:pStyle w:val="Headingb"/>
      </w:pPr>
      <w:r>
        <w:t>Соответствующие Рекомендации и Отчеты МСЭ</w:t>
      </w:r>
    </w:p>
    <w:p w:rsidR="00C666C5" w:rsidRPr="00FC15AA" w:rsidRDefault="00C666C5" w:rsidP="00C666C5">
      <w:pPr>
        <w:pStyle w:val="Reftext"/>
        <w:rPr>
          <w:rStyle w:val="Hyperlink"/>
          <w:bCs/>
          <w:color w:val="auto"/>
          <w:sz w:val="20"/>
          <w:szCs w:val="24"/>
          <w:u w:val="none"/>
        </w:rPr>
      </w:pPr>
      <w:r w:rsidRPr="00FC15AA">
        <w:rPr>
          <w:sz w:val="20"/>
        </w:rPr>
        <w:t xml:space="preserve">Рекомендация </w:t>
      </w:r>
      <w:r w:rsidRPr="00FC15AA">
        <w:rPr>
          <w:rStyle w:val="Hyperlink"/>
          <w:color w:val="auto"/>
          <w:sz w:val="20"/>
          <w:u w:val="none"/>
        </w:rPr>
        <w:t xml:space="preserve">МСЭ-R S.580, </w:t>
      </w:r>
      <w:r w:rsidRPr="00FC15AA">
        <w:rPr>
          <w:sz w:val="20"/>
          <w:szCs w:val="18"/>
        </w:rPr>
        <w:t>Диаграммы излучения, предназначенные для использования в качестве проектных параметров для антенн земных станций, работающих с геостационарными спутниками</w:t>
      </w:r>
    </w:p>
    <w:p w:rsidR="00C666C5" w:rsidRPr="00FC15AA" w:rsidRDefault="00C666C5" w:rsidP="00C666C5">
      <w:pPr>
        <w:pStyle w:val="Reftext"/>
        <w:rPr>
          <w:rStyle w:val="Hyperlink"/>
          <w:bCs/>
          <w:color w:val="auto"/>
          <w:sz w:val="20"/>
          <w:szCs w:val="24"/>
          <w:u w:val="none"/>
        </w:rPr>
      </w:pPr>
      <w:r w:rsidRPr="00FC15AA">
        <w:rPr>
          <w:sz w:val="20"/>
        </w:rPr>
        <w:t xml:space="preserve">Рекомендация </w:t>
      </w:r>
      <w:hyperlink r:id="rId12" w:history="1">
        <w:r w:rsidRPr="00FC15AA">
          <w:rPr>
            <w:rStyle w:val="Hyperlink"/>
            <w:color w:val="auto"/>
            <w:sz w:val="20"/>
            <w:u w:val="none"/>
          </w:rPr>
          <w:t>МСЭ-</w:t>
        </w:r>
        <w:r w:rsidRPr="00FC15AA">
          <w:rPr>
            <w:rStyle w:val="Hyperlink"/>
            <w:color w:val="auto"/>
            <w:sz w:val="20"/>
            <w:u w:val="none"/>
            <w:lang w:val="en-US"/>
          </w:rPr>
          <w:t>R</w:t>
        </w:r>
        <w:r w:rsidRPr="00FC15AA">
          <w:rPr>
            <w:rStyle w:val="Hyperlink"/>
            <w:color w:val="auto"/>
            <w:sz w:val="20"/>
            <w:u w:val="none"/>
          </w:rPr>
          <w:t xml:space="preserve"> </w:t>
        </w:r>
        <w:r w:rsidRPr="00FC15AA">
          <w:rPr>
            <w:rStyle w:val="Hyperlink"/>
            <w:color w:val="auto"/>
            <w:sz w:val="20"/>
            <w:u w:val="none"/>
            <w:lang w:val="en-US"/>
          </w:rPr>
          <w:t>M</w:t>
        </w:r>
        <w:r w:rsidRPr="00FC15AA">
          <w:rPr>
            <w:rStyle w:val="Hyperlink"/>
            <w:color w:val="auto"/>
            <w:sz w:val="20"/>
            <w:u w:val="none"/>
          </w:rPr>
          <w:t>.1459</w:t>
        </w:r>
      </w:hyperlink>
      <w:r w:rsidRPr="00FC15AA">
        <w:rPr>
          <w:rStyle w:val="Hyperlink"/>
          <w:color w:val="auto"/>
          <w:sz w:val="20"/>
          <w:u w:val="none"/>
        </w:rPr>
        <w:t xml:space="preserve">, </w:t>
      </w:r>
      <w:r w:rsidRPr="00FC15AA">
        <w:rPr>
          <w:sz w:val="20"/>
        </w:rPr>
        <w:t>Критерии защиты систем телеметрии воздушной подвижной службы и методы ослабления влияния помех для облегчения совместного использования частот геостационарной радиовещательной спутниковой и подвижной спутниковой службами в полосах частот 1452–1525 МГц и 2310–2360 МГц</w:t>
      </w:r>
    </w:p>
    <w:p w:rsidR="00C666C5" w:rsidRPr="00FC15AA" w:rsidRDefault="00C666C5" w:rsidP="00C666C5">
      <w:pPr>
        <w:pStyle w:val="Reftext"/>
        <w:rPr>
          <w:bCs/>
          <w:sz w:val="20"/>
          <w:szCs w:val="24"/>
        </w:rPr>
      </w:pPr>
      <w:r w:rsidRPr="00FC15AA">
        <w:rPr>
          <w:sz w:val="20"/>
        </w:rPr>
        <w:t xml:space="preserve">Рекомендация </w:t>
      </w:r>
      <w:r w:rsidRPr="00FC15AA">
        <w:rPr>
          <w:rStyle w:val="Hyperlink"/>
          <w:color w:val="auto"/>
          <w:sz w:val="20"/>
          <w:u w:val="none"/>
        </w:rPr>
        <w:t>МСЭ</w:t>
      </w:r>
      <w:hyperlink r:id="rId13" w:history="1">
        <w:r w:rsidRPr="00FC15AA">
          <w:rPr>
            <w:rStyle w:val="Hyperlink"/>
            <w:color w:val="auto"/>
            <w:sz w:val="20"/>
            <w:szCs w:val="24"/>
            <w:u w:val="none"/>
          </w:rPr>
          <w:t>-R M.1828</w:t>
        </w:r>
      </w:hyperlink>
      <w:r w:rsidRPr="00FC15AA">
        <w:rPr>
          <w:rStyle w:val="Hyperlink"/>
          <w:color w:val="auto"/>
          <w:sz w:val="20"/>
          <w:u w:val="none"/>
        </w:rPr>
        <w:t xml:space="preserve">, </w:t>
      </w:r>
      <w:r w:rsidRPr="00FC15AA">
        <w:rPr>
          <w:bCs/>
          <w:sz w:val="20"/>
          <w:szCs w:val="24"/>
        </w:rPr>
        <w:t>Технические и эксплуатационные требования к станциям воздушных судов воздушной подвижной службы, ограниченной передачами телеметрии для полетных испытаний в полосах около 5 ГГц</w:t>
      </w:r>
    </w:p>
    <w:p w:rsidR="00C666C5" w:rsidRPr="00FC15AA" w:rsidRDefault="00C666C5" w:rsidP="00C666C5">
      <w:pPr>
        <w:pStyle w:val="Reftext"/>
        <w:rPr>
          <w:sz w:val="20"/>
        </w:rPr>
      </w:pPr>
      <w:r w:rsidRPr="00FC15AA">
        <w:rPr>
          <w:sz w:val="20"/>
        </w:rPr>
        <w:t xml:space="preserve">Отчет </w:t>
      </w:r>
      <w:hyperlink r:id="rId14" w:history="1">
        <w:r w:rsidRPr="00FC15AA">
          <w:rPr>
            <w:rStyle w:val="Hyperlink"/>
            <w:color w:val="auto"/>
            <w:sz w:val="20"/>
            <w:szCs w:val="24"/>
            <w:u w:val="none"/>
          </w:rPr>
          <w:t>МСЭ-R M.2221</w:t>
        </w:r>
      </w:hyperlink>
      <w:r w:rsidRPr="00FC15AA">
        <w:rPr>
          <w:rStyle w:val="Hyperlink"/>
          <w:color w:val="auto"/>
          <w:sz w:val="20"/>
          <w:u w:val="none"/>
        </w:rPr>
        <w:t>,</w:t>
      </w:r>
      <w:r w:rsidRPr="00FC15AA">
        <w:rPr>
          <w:sz w:val="20"/>
        </w:rPr>
        <w:t xml:space="preserve"> Возможность работы ПСС в определенных полосах частот</w:t>
      </w:r>
    </w:p>
    <w:p w:rsidR="00C666C5" w:rsidRPr="00C60468" w:rsidRDefault="00C666C5" w:rsidP="00C666C5">
      <w:pPr>
        <w:pStyle w:val="Reftext"/>
        <w:rPr>
          <w:sz w:val="20"/>
        </w:rPr>
      </w:pPr>
      <w:r w:rsidRPr="00FC15AA">
        <w:rPr>
          <w:sz w:val="20"/>
        </w:rPr>
        <w:t xml:space="preserve">Отчет </w:t>
      </w:r>
      <w:hyperlink r:id="rId15" w:history="1">
        <w:r w:rsidRPr="00FC15AA">
          <w:rPr>
            <w:rStyle w:val="Hyperlink"/>
            <w:color w:val="auto"/>
            <w:sz w:val="20"/>
            <w:szCs w:val="24"/>
            <w:u w:val="none"/>
          </w:rPr>
          <w:t>МСЭ-R M.2238</w:t>
        </w:r>
      </w:hyperlink>
      <w:r w:rsidRPr="00FC15AA">
        <w:rPr>
          <w:rStyle w:val="Hyperlink"/>
          <w:color w:val="auto"/>
          <w:sz w:val="20"/>
          <w:u w:val="none"/>
        </w:rPr>
        <w:t>,</w:t>
      </w:r>
      <w:r w:rsidRPr="00FC15AA">
        <w:rPr>
          <w:sz w:val="20"/>
        </w:rPr>
        <w:t xml:space="preserve"> Исследования совместимости для обеспечения линий связи управления и связи, не относящейся к полезной нагрузке, работающих на линии прямой видимости, для беспилотных авиационных систем, предлагаемых в полосе 5091–5150 МГц</w:t>
      </w:r>
    </w:p>
    <w:p w:rsidR="00C666C5" w:rsidRPr="00844C33" w:rsidRDefault="00C666C5" w:rsidP="00C666C5">
      <w:pPr>
        <w:pStyle w:val="Headingb"/>
      </w:pPr>
      <w:r w:rsidRPr="00844C33">
        <w:t>Ключевые слова</w:t>
      </w:r>
    </w:p>
    <w:p w:rsidR="00C666C5" w:rsidRPr="00844C33" w:rsidRDefault="00C666C5" w:rsidP="00C666C5">
      <w:pPr>
        <w:rPr>
          <w:szCs w:val="24"/>
        </w:rPr>
      </w:pPr>
      <w:r w:rsidRPr="00844C33">
        <w:rPr>
          <w:szCs w:val="24"/>
        </w:rPr>
        <w:t xml:space="preserve">Телеметрия, </w:t>
      </w:r>
      <w:r>
        <w:rPr>
          <w:szCs w:val="24"/>
        </w:rPr>
        <w:t>воздушное судно.</w:t>
      </w:r>
    </w:p>
    <w:p w:rsidR="00C666C5" w:rsidRDefault="00C666C5" w:rsidP="00C666C5">
      <w:pPr>
        <w:pStyle w:val="Headingb"/>
      </w:pPr>
      <w:r w:rsidRPr="00844C33">
        <w:t>Сокращения/глоссарий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3957"/>
        <w:gridCol w:w="862"/>
        <w:gridCol w:w="3957"/>
      </w:tblGrid>
      <w:tr w:rsidR="00C666C5" w:rsidRPr="00844C33" w:rsidTr="00DB2F1F">
        <w:tc>
          <w:tcPr>
            <w:tcW w:w="869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AMS</w:t>
            </w: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Aeronautical mobile service</w:t>
            </w:r>
          </w:p>
        </w:tc>
        <w:tc>
          <w:tcPr>
            <w:tcW w:w="870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ВПС</w:t>
            </w: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Воздушная подвижная служба</w:t>
            </w:r>
          </w:p>
        </w:tc>
      </w:tr>
      <w:tr w:rsidR="00C666C5" w:rsidRPr="00844C33" w:rsidTr="00DB2F1F">
        <w:tc>
          <w:tcPr>
            <w:tcW w:w="869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AMT</w:t>
            </w: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Aeronautical mobile telemetry</w:t>
            </w:r>
          </w:p>
        </w:tc>
        <w:tc>
          <w:tcPr>
            <w:tcW w:w="870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Воздушная подвижная телеметрия</w:t>
            </w:r>
          </w:p>
        </w:tc>
      </w:tr>
      <w:tr w:rsidR="00C666C5" w:rsidRPr="00844C33" w:rsidTr="00DB2F1F">
        <w:tc>
          <w:tcPr>
            <w:tcW w:w="869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AB1E7D">
              <w:rPr>
                <w:i/>
              </w:rPr>
              <w:t>I</w:t>
            </w:r>
            <w:r w:rsidRPr="00844C33">
              <w:t>/</w:t>
            </w:r>
            <w:r w:rsidRPr="00AB1E7D">
              <w:rPr>
                <w:i/>
              </w:rPr>
              <w:t>N</w:t>
            </w: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>Interference-to-noise ratio</w:t>
            </w:r>
          </w:p>
        </w:tc>
        <w:tc>
          <w:tcPr>
            <w:tcW w:w="870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</w:p>
        </w:tc>
        <w:tc>
          <w:tcPr>
            <w:tcW w:w="4058" w:type="dxa"/>
          </w:tcPr>
          <w:p w:rsidR="00C666C5" w:rsidRPr="00844C33" w:rsidRDefault="00C666C5" w:rsidP="00DB2F1F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</w:pPr>
            <w:r w:rsidRPr="00844C33">
              <w:t xml:space="preserve">Отношение </w:t>
            </w:r>
            <w:r>
              <w:t>помеха/шум</w:t>
            </w:r>
          </w:p>
        </w:tc>
      </w:tr>
    </w:tbl>
    <w:p w:rsidR="00C666C5" w:rsidRPr="00603600" w:rsidRDefault="00C666C5" w:rsidP="00C666C5">
      <w:pPr>
        <w:pStyle w:val="Normalaftertitle"/>
        <w:rPr>
          <w:szCs w:val="24"/>
          <w:lang w:val="en-US"/>
        </w:rPr>
      </w:pPr>
      <w:r w:rsidRPr="00844C33">
        <w:rPr>
          <w:szCs w:val="24"/>
        </w:rPr>
        <w:t>Ассамблея радиосвязи МСЭ,</w:t>
      </w:r>
    </w:p>
    <w:p w:rsidR="00C666C5" w:rsidRPr="00471208" w:rsidRDefault="00C666C5" w:rsidP="00C666C5">
      <w:pPr>
        <w:pStyle w:val="Call"/>
        <w:rPr>
          <w:szCs w:val="24"/>
        </w:rPr>
      </w:pPr>
      <w:r>
        <w:rPr>
          <w:szCs w:val="24"/>
        </w:rPr>
        <w:t>учитывая,</w:t>
      </w:r>
    </w:p>
    <w:p w:rsidR="00C666C5" w:rsidRPr="00844C33" w:rsidRDefault="00C666C5" w:rsidP="00C666C5">
      <w:pPr>
        <w:widowControl w:val="0"/>
        <w:snapToGrid w:val="0"/>
        <w:rPr>
          <w:szCs w:val="24"/>
        </w:rPr>
      </w:pPr>
      <w:r w:rsidRPr="00603600">
        <w:rPr>
          <w:i/>
          <w:iCs/>
          <w:szCs w:val="24"/>
          <w:lang w:val="en-US"/>
        </w:rPr>
        <w:t>a</w:t>
      </w:r>
      <w:r w:rsidRPr="00C60468">
        <w:rPr>
          <w:i/>
          <w:iCs/>
          <w:szCs w:val="24"/>
        </w:rPr>
        <w:t>)</w:t>
      </w:r>
      <w:r w:rsidRPr="00C60468">
        <w:rPr>
          <w:szCs w:val="24"/>
        </w:rPr>
        <w:tab/>
      </w:r>
      <w:proofErr w:type="gramStart"/>
      <w:r w:rsidRPr="00844C33">
        <w:rPr>
          <w:szCs w:val="24"/>
        </w:rPr>
        <w:t>что</w:t>
      </w:r>
      <w:proofErr w:type="gramEnd"/>
      <w:r w:rsidRPr="00844C33">
        <w:rPr>
          <w:szCs w:val="24"/>
        </w:rPr>
        <w:t xml:space="preserve"> различные в техническом и эксплуатационном отношении </w:t>
      </w:r>
      <w:r>
        <w:rPr>
          <w:szCs w:val="24"/>
        </w:rPr>
        <w:t>системы</w:t>
      </w:r>
      <w:r w:rsidRPr="00844C33">
        <w:rPr>
          <w:szCs w:val="24"/>
        </w:rPr>
        <w:t xml:space="preserve"> воздушной подвижной службы (ВПС), ограниченные передачами систем телеметрии для сетей летных испытаний, уже </w:t>
      </w:r>
      <w:r>
        <w:rPr>
          <w:szCs w:val="24"/>
        </w:rPr>
        <w:t>эксплуатируются</w:t>
      </w:r>
      <w:r w:rsidRPr="00844C33">
        <w:rPr>
          <w:szCs w:val="24"/>
        </w:rPr>
        <w:t xml:space="preserve"> в полосе частот 5</w:t>
      </w:r>
      <w:r>
        <w:rPr>
          <w:szCs w:val="24"/>
        </w:rPr>
        <w:t> </w:t>
      </w:r>
      <w:r w:rsidRPr="00844C33">
        <w:rPr>
          <w:szCs w:val="24"/>
        </w:rPr>
        <w:t>ГГц в</w:t>
      </w:r>
      <w:r>
        <w:rPr>
          <w:szCs w:val="24"/>
        </w:rPr>
        <w:t> </w:t>
      </w:r>
      <w:r w:rsidRPr="00844C33">
        <w:rPr>
          <w:szCs w:val="24"/>
        </w:rPr>
        <w:t>соответствии с Резолюцией</w:t>
      </w:r>
      <w:r>
        <w:rPr>
          <w:szCs w:val="24"/>
        </w:rPr>
        <w:t> </w:t>
      </w:r>
      <w:r w:rsidRPr="00844C33">
        <w:rPr>
          <w:b/>
          <w:szCs w:val="24"/>
        </w:rPr>
        <w:t>418 (Пересм. ВКР-15)</w:t>
      </w:r>
      <w:r w:rsidRPr="00844C33">
        <w:rPr>
          <w:szCs w:val="24"/>
        </w:rPr>
        <w:t>;</w:t>
      </w:r>
    </w:p>
    <w:p w:rsidR="00C666C5" w:rsidRPr="001B0E54" w:rsidRDefault="00C666C5" w:rsidP="00C666C5">
      <w:pPr>
        <w:snapToGrid w:val="0"/>
        <w:rPr>
          <w:spacing w:val="-2"/>
          <w:szCs w:val="24"/>
        </w:rPr>
      </w:pPr>
      <w:r w:rsidRPr="00844C33">
        <w:rPr>
          <w:i/>
          <w:iCs/>
          <w:szCs w:val="24"/>
        </w:rPr>
        <w:t>b)</w:t>
      </w:r>
      <w:r w:rsidRPr="00844C33">
        <w:rPr>
          <w:szCs w:val="24"/>
        </w:rPr>
        <w:tab/>
      </w:r>
      <w:r w:rsidRPr="001B0E54">
        <w:rPr>
          <w:spacing w:val="-2"/>
          <w:szCs w:val="24"/>
        </w:rPr>
        <w:t xml:space="preserve">что эксплуатация станции воздушного судна обычно осуществляется в соответствии с национальными и международными правилами и регламентарными положениями, включая </w:t>
      </w:r>
      <w:r w:rsidRPr="001B0E54">
        <w:rPr>
          <w:spacing w:val="-2"/>
          <w:szCs w:val="24"/>
        </w:rPr>
        <w:lastRenderedPageBreak/>
        <w:t>удовлетворительное соответствие взаимосогласованным техническим стандартам и эксплуатационным требованиям;</w:t>
      </w:r>
    </w:p>
    <w:p w:rsidR="00C666C5" w:rsidRPr="00844C33" w:rsidRDefault="00C666C5" w:rsidP="00C666C5">
      <w:pPr>
        <w:snapToGrid w:val="0"/>
        <w:rPr>
          <w:szCs w:val="24"/>
        </w:rPr>
      </w:pPr>
      <w:r w:rsidRPr="00844C33">
        <w:rPr>
          <w:i/>
          <w:iCs/>
          <w:szCs w:val="24"/>
        </w:rPr>
        <w:t>c)</w:t>
      </w:r>
      <w:r w:rsidRPr="00844C33">
        <w:rPr>
          <w:szCs w:val="24"/>
        </w:rPr>
        <w:tab/>
        <w:t>что существует необходимость в определении технических и эксплуатационных характеристик для проведения анализа совместного использования частот</w:t>
      </w:r>
      <w:r>
        <w:rPr>
          <w:szCs w:val="24"/>
        </w:rPr>
        <w:t>, связанного с ВПС, передачи в которой ограничены передачами находящихся на борту воздушных судов систем телеметрии для летных испытаний</w:t>
      </w:r>
      <w:r w:rsidRPr="00844C33">
        <w:rPr>
          <w:szCs w:val="24"/>
        </w:rPr>
        <w:t>;</w:t>
      </w:r>
    </w:p>
    <w:p w:rsidR="00C666C5" w:rsidRPr="00C60468" w:rsidRDefault="00C666C5" w:rsidP="00C666C5">
      <w:pPr>
        <w:widowControl w:val="0"/>
        <w:snapToGrid w:val="0"/>
        <w:rPr>
          <w:szCs w:val="24"/>
        </w:rPr>
      </w:pPr>
      <w:r w:rsidRPr="00844C33">
        <w:rPr>
          <w:i/>
          <w:iCs/>
          <w:szCs w:val="24"/>
        </w:rPr>
        <w:t>d)</w:t>
      </w:r>
      <w:r w:rsidRPr="00844C33">
        <w:rPr>
          <w:szCs w:val="24"/>
        </w:rPr>
        <w:tab/>
        <w:t xml:space="preserve">что определение технических и эксплуатационных требований к станциям воздушных судов </w:t>
      </w:r>
      <w:r>
        <w:rPr>
          <w:szCs w:val="24"/>
        </w:rPr>
        <w:t>описано</w:t>
      </w:r>
      <w:r w:rsidRPr="00844C33">
        <w:rPr>
          <w:szCs w:val="24"/>
        </w:rPr>
        <w:t xml:space="preserve"> в Рекомендации МСЭ-R M.1828 и обеспечивает общую техническую основу для содействия проведению проверки станций воздушных судов на соответствие различными национальными и международными органами и разработк</w:t>
      </w:r>
      <w:r>
        <w:rPr>
          <w:szCs w:val="24"/>
        </w:rPr>
        <w:t>е</w:t>
      </w:r>
      <w:r w:rsidRPr="00844C33">
        <w:rPr>
          <w:szCs w:val="24"/>
        </w:rPr>
        <w:t xml:space="preserve"> мероприятий по взаимному признанию соответствия станций воздушных судов</w:t>
      </w:r>
      <w:r>
        <w:rPr>
          <w:szCs w:val="24"/>
        </w:rPr>
        <w:t>,</w:t>
      </w:r>
    </w:p>
    <w:p w:rsidR="00C666C5" w:rsidRPr="00F057A9" w:rsidRDefault="00C666C5" w:rsidP="00C666C5">
      <w:pPr>
        <w:pStyle w:val="Call"/>
        <w:rPr>
          <w:szCs w:val="24"/>
        </w:rPr>
      </w:pPr>
      <w:r>
        <w:rPr>
          <w:szCs w:val="24"/>
        </w:rPr>
        <w:t>признавая,</w:t>
      </w:r>
    </w:p>
    <w:p w:rsidR="00C666C5" w:rsidRPr="00844C33" w:rsidRDefault="00C666C5" w:rsidP="00C666C5">
      <w:r w:rsidRPr="00603600">
        <w:rPr>
          <w:i/>
          <w:iCs/>
          <w:lang w:val="en-US"/>
        </w:rPr>
        <w:t>a</w:t>
      </w:r>
      <w:r w:rsidRPr="00C60468">
        <w:rPr>
          <w:i/>
          <w:iCs/>
        </w:rPr>
        <w:t>)</w:t>
      </w:r>
      <w:r w:rsidRPr="00C60468">
        <w:tab/>
      </w:r>
      <w:proofErr w:type="gramStart"/>
      <w:r w:rsidRPr="00844C33">
        <w:t>что</w:t>
      </w:r>
      <w:proofErr w:type="gramEnd"/>
      <w:r w:rsidRPr="00844C33">
        <w:t xml:space="preserve"> в полосе частот 5150–5250</w:t>
      </w:r>
      <w:r>
        <w:t> </w:t>
      </w:r>
      <w:r w:rsidRPr="00844C33">
        <w:t xml:space="preserve">МГц существуют распределения на </w:t>
      </w:r>
      <w:r>
        <w:t xml:space="preserve">глобальной </w:t>
      </w:r>
      <w:r w:rsidRPr="00844C33">
        <w:t>первичной основе воздушной радионавигационной службе, фиксированной спутниковой службе (Земля-космос) и подвижной службе, за исключением воздушной подвижной службы;</w:t>
      </w:r>
    </w:p>
    <w:p w:rsidR="00C666C5" w:rsidRPr="00844C33" w:rsidRDefault="00C666C5" w:rsidP="00C666C5">
      <w:r w:rsidRPr="00844C33">
        <w:rPr>
          <w:i/>
          <w:iCs/>
        </w:rPr>
        <w:t>b)</w:t>
      </w:r>
      <w:r w:rsidRPr="00844C33">
        <w:tab/>
        <w:t>что в соответствии с п</w:t>
      </w:r>
      <w:r>
        <w:t>унктом </w:t>
      </w:r>
      <w:r w:rsidRPr="00844C33">
        <w:rPr>
          <w:b/>
        </w:rPr>
        <w:t>5.446C</w:t>
      </w:r>
      <w:r w:rsidRPr="00844C33">
        <w:t xml:space="preserve"> РР в Районе</w:t>
      </w:r>
      <w:r>
        <w:t> </w:t>
      </w:r>
      <w:r w:rsidRPr="00844C33">
        <w:t>1 (за исключением Алжира, Саудовской Аравии, Бахрейна, Египта, Объединенных Арабских Эмиратов, Иордании, Кувейта, Ливана, Марокко, Омана, Катара, Сирийской Арабской Республики, Судана, Южного Судана и Туниса) и</w:t>
      </w:r>
      <w:r>
        <w:t> </w:t>
      </w:r>
      <w:r w:rsidRPr="00844C33">
        <w:t>в</w:t>
      </w:r>
      <w:r>
        <w:t> </w:t>
      </w:r>
      <w:r w:rsidRPr="00844C33">
        <w:t>Бразилии полоса частот 5150</w:t>
      </w:r>
      <w:r>
        <w:t>–</w:t>
      </w:r>
      <w:r w:rsidRPr="00844C33">
        <w:t>5250</w:t>
      </w:r>
      <w:r>
        <w:t> </w:t>
      </w:r>
      <w:r w:rsidRPr="00844C33">
        <w:t xml:space="preserve">МГц распределена также </w:t>
      </w:r>
      <w:r>
        <w:t xml:space="preserve">воздушной подвижной службе </w:t>
      </w:r>
      <w:r w:rsidRPr="00844C33">
        <w:t>на</w:t>
      </w:r>
      <w:r>
        <w:t> </w:t>
      </w:r>
      <w:r w:rsidRPr="00844C33">
        <w:t>первичной основе, ограниченной передачами воздушной телеметрии со станций воздушных судов;</w:t>
      </w:r>
    </w:p>
    <w:p w:rsidR="00C666C5" w:rsidRPr="00844C33" w:rsidRDefault="00C666C5" w:rsidP="00C666C5">
      <w:pPr>
        <w:rPr>
          <w:bCs/>
        </w:rPr>
      </w:pPr>
      <w:r w:rsidRPr="00844C33">
        <w:rPr>
          <w:i/>
        </w:rPr>
        <w:t>c)</w:t>
      </w:r>
      <w:r w:rsidRPr="00844C33">
        <w:tab/>
        <w:t>что в соответствии с п</w:t>
      </w:r>
      <w:r>
        <w:t>унктом </w:t>
      </w:r>
      <w:r w:rsidRPr="00844C33">
        <w:rPr>
          <w:b/>
        </w:rPr>
        <w:t>5.446C</w:t>
      </w:r>
      <w:r w:rsidRPr="00844C33">
        <w:t xml:space="preserve"> РР станции воздушной подвижной телеметрии (</w:t>
      </w:r>
      <w:r>
        <w:t>АМТ</w:t>
      </w:r>
      <w:r w:rsidRPr="00844C33">
        <w:t>) не должны требовать защиты от других станций, работающих в соответствии со Статьей</w:t>
      </w:r>
      <w:r>
        <w:t> </w:t>
      </w:r>
      <w:r w:rsidRPr="00844C33">
        <w:rPr>
          <w:b/>
        </w:rPr>
        <w:t>5</w:t>
      </w:r>
      <w:r w:rsidRPr="00844C33">
        <w:t>;</w:t>
      </w:r>
    </w:p>
    <w:p w:rsidR="00C666C5" w:rsidRPr="00C60468" w:rsidRDefault="00C666C5" w:rsidP="00C666C5">
      <w:pPr>
        <w:rPr>
          <w:szCs w:val="24"/>
        </w:rPr>
      </w:pPr>
      <w:r w:rsidRPr="00844C33">
        <w:rPr>
          <w:i/>
          <w:iCs/>
          <w:szCs w:val="24"/>
        </w:rPr>
        <w:t>d)</w:t>
      </w:r>
      <w:r w:rsidRPr="00844C33">
        <w:rPr>
          <w:szCs w:val="24"/>
        </w:rPr>
        <w:tab/>
        <w:t>что характеристики телеметрического оборудования, работающего в полосе частот 5150–5250</w:t>
      </w:r>
      <w:r>
        <w:rPr>
          <w:szCs w:val="24"/>
        </w:rPr>
        <w:t> </w:t>
      </w:r>
      <w:r w:rsidRPr="00844C33">
        <w:rPr>
          <w:szCs w:val="24"/>
        </w:rPr>
        <w:t xml:space="preserve">МГц, могут </w:t>
      </w:r>
      <w:r>
        <w:rPr>
          <w:szCs w:val="24"/>
        </w:rPr>
        <w:t>быть также применимы</w:t>
      </w:r>
      <w:r w:rsidRPr="00844C33">
        <w:rPr>
          <w:szCs w:val="24"/>
        </w:rPr>
        <w:t xml:space="preserve"> </w:t>
      </w:r>
      <w:r>
        <w:rPr>
          <w:szCs w:val="24"/>
        </w:rPr>
        <w:t>для полосы</w:t>
      </w:r>
      <w:r w:rsidRPr="00844C33">
        <w:rPr>
          <w:szCs w:val="24"/>
        </w:rPr>
        <w:t xml:space="preserve"> частот 5091–5150</w:t>
      </w:r>
      <w:r>
        <w:rPr>
          <w:szCs w:val="24"/>
        </w:rPr>
        <w:t> </w:t>
      </w:r>
      <w:r w:rsidRPr="00844C33">
        <w:rPr>
          <w:szCs w:val="24"/>
        </w:rPr>
        <w:t xml:space="preserve">МГц, если </w:t>
      </w:r>
      <w:r>
        <w:rPr>
          <w:szCs w:val="24"/>
        </w:rPr>
        <w:t xml:space="preserve">такое </w:t>
      </w:r>
      <w:r w:rsidRPr="00844C33">
        <w:rPr>
          <w:szCs w:val="24"/>
        </w:rPr>
        <w:t xml:space="preserve">оборудование </w:t>
      </w:r>
      <w:r>
        <w:rPr>
          <w:szCs w:val="24"/>
        </w:rPr>
        <w:t>используется и</w:t>
      </w:r>
      <w:r w:rsidRPr="00844C33">
        <w:rPr>
          <w:szCs w:val="24"/>
        </w:rPr>
        <w:t xml:space="preserve"> в этой полосе частот администрация</w:t>
      </w:r>
      <w:r>
        <w:rPr>
          <w:szCs w:val="24"/>
        </w:rPr>
        <w:t>ми</w:t>
      </w:r>
      <w:r w:rsidRPr="00844C33">
        <w:rPr>
          <w:szCs w:val="24"/>
        </w:rPr>
        <w:t>, упомянуты</w:t>
      </w:r>
      <w:r>
        <w:rPr>
          <w:szCs w:val="24"/>
        </w:rPr>
        <w:t>ми</w:t>
      </w:r>
      <w:r w:rsidRPr="00844C33">
        <w:rPr>
          <w:szCs w:val="24"/>
        </w:rPr>
        <w:t xml:space="preserve"> в пункте</w:t>
      </w:r>
      <w:r>
        <w:rPr>
          <w:szCs w:val="24"/>
        </w:rPr>
        <w:t> </w:t>
      </w:r>
      <w:r w:rsidRPr="008C17B7">
        <w:rPr>
          <w:i/>
          <w:szCs w:val="24"/>
        </w:rPr>
        <w:t>b)</w:t>
      </w:r>
      <w:r w:rsidRPr="00844C33">
        <w:rPr>
          <w:szCs w:val="24"/>
        </w:rPr>
        <w:t xml:space="preserve"> раздела </w:t>
      </w:r>
      <w:r w:rsidRPr="00844C33">
        <w:rPr>
          <w:i/>
          <w:szCs w:val="24"/>
        </w:rPr>
        <w:t>признавая</w:t>
      </w:r>
      <w:r w:rsidRPr="00844C33">
        <w:rPr>
          <w:szCs w:val="24"/>
        </w:rPr>
        <w:t>,</w:t>
      </w:r>
    </w:p>
    <w:p w:rsidR="00C666C5" w:rsidRPr="008C17B7" w:rsidRDefault="00C666C5" w:rsidP="00C666C5">
      <w:pPr>
        <w:pStyle w:val="Call"/>
        <w:rPr>
          <w:szCs w:val="24"/>
        </w:rPr>
      </w:pPr>
      <w:r>
        <w:rPr>
          <w:szCs w:val="24"/>
        </w:rPr>
        <w:t>отмечая,</w:t>
      </w:r>
    </w:p>
    <w:p w:rsidR="00C666C5" w:rsidRPr="00C60468" w:rsidRDefault="00C666C5" w:rsidP="00C666C5">
      <w:pPr>
        <w:rPr>
          <w:szCs w:val="24"/>
        </w:rPr>
      </w:pPr>
      <w:r w:rsidRPr="00844C33">
        <w:rPr>
          <w:szCs w:val="24"/>
        </w:rPr>
        <w:t>что Рекомендация МСЭ-R M.1459 и Отчеты МСЭ-R M.2221 и МСЭ-R M.2238 также содержат технические параметры и критерии защиты систем телеметрии для летных испытаний,</w:t>
      </w:r>
    </w:p>
    <w:p w:rsidR="00C666C5" w:rsidRPr="005A3CA4" w:rsidRDefault="00C666C5" w:rsidP="00C666C5">
      <w:pPr>
        <w:pStyle w:val="Call"/>
        <w:rPr>
          <w:b/>
          <w:szCs w:val="24"/>
        </w:rPr>
      </w:pPr>
      <w:r>
        <w:rPr>
          <w:szCs w:val="24"/>
        </w:rPr>
        <w:t>рекомендует</w:t>
      </w:r>
    </w:p>
    <w:p w:rsidR="00C666C5" w:rsidRPr="00C60468" w:rsidRDefault="00C666C5" w:rsidP="00C666C5">
      <w:r w:rsidRPr="00C60468">
        <w:rPr>
          <w:b/>
          <w:bCs/>
        </w:rPr>
        <w:t>1</w:t>
      </w:r>
      <w:r w:rsidRPr="00C60468">
        <w:tab/>
      </w:r>
      <w:r w:rsidRPr="00844C33">
        <w:t xml:space="preserve">применять для анализа совместного использования частот </w:t>
      </w:r>
      <w:r>
        <w:t>приведенные</w:t>
      </w:r>
      <w:r w:rsidRPr="00844C33">
        <w:t xml:space="preserve"> в Приложении технические и эксплуатационные характеристики передающих станций воздушных судов и приемных станций воздушной подвижной службы</w:t>
      </w:r>
      <w:r>
        <w:t>, передачи которых ограничены</w:t>
      </w:r>
      <w:r w:rsidRPr="00844C33">
        <w:t xml:space="preserve"> передач</w:t>
      </w:r>
      <w:r>
        <w:t>ами</w:t>
      </w:r>
      <w:r w:rsidRPr="00844C33">
        <w:t xml:space="preserve"> телеметрии для летных испытаний в полосе частот 5150–5250</w:t>
      </w:r>
      <w:r>
        <w:t> </w:t>
      </w:r>
      <w:r w:rsidRPr="00844C33">
        <w:t>МГц;</w:t>
      </w:r>
    </w:p>
    <w:p w:rsidR="00C666C5" w:rsidRPr="005A3CA4" w:rsidRDefault="00C666C5" w:rsidP="00C666C5">
      <w:r w:rsidRPr="00C60468">
        <w:rPr>
          <w:b/>
          <w:bCs/>
        </w:rPr>
        <w:t>2</w:t>
      </w:r>
      <w:r w:rsidRPr="00C60468">
        <w:tab/>
      </w:r>
      <w:r>
        <w:t xml:space="preserve">использовать в качестве критерия защиты на основе суммарных помех для наземных приемных станций АМТ отношение </w:t>
      </w:r>
      <w:r w:rsidRPr="005A3CA4">
        <w:rPr>
          <w:i/>
          <w:lang w:val="en-US"/>
        </w:rPr>
        <w:t>I</w:t>
      </w:r>
      <w:r w:rsidRPr="00C60468">
        <w:t>/</w:t>
      </w:r>
      <w:r w:rsidRPr="005A3CA4">
        <w:rPr>
          <w:i/>
          <w:lang w:val="en-US"/>
        </w:rPr>
        <w:t>N</w:t>
      </w:r>
      <w:r>
        <w:t>, равное –6 дБ.</w:t>
      </w:r>
    </w:p>
    <w:p w:rsidR="00C666C5" w:rsidRPr="00C60468" w:rsidRDefault="00C666C5" w:rsidP="00C66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C60468">
        <w:br w:type="page"/>
      </w:r>
    </w:p>
    <w:p w:rsidR="00C666C5" w:rsidRPr="00C60468" w:rsidRDefault="00C666C5" w:rsidP="00C666C5">
      <w:pPr>
        <w:pStyle w:val="AnnexNoTitle"/>
        <w:rPr>
          <w:szCs w:val="26"/>
        </w:rPr>
      </w:pPr>
      <w:r w:rsidRPr="00BD1094">
        <w:rPr>
          <w:szCs w:val="26"/>
        </w:rPr>
        <w:lastRenderedPageBreak/>
        <w:t>Приложение</w:t>
      </w:r>
      <w:r w:rsidRPr="00C60468">
        <w:rPr>
          <w:szCs w:val="26"/>
        </w:rPr>
        <w:br/>
      </w:r>
      <w:r w:rsidRPr="00C60468">
        <w:rPr>
          <w:szCs w:val="26"/>
        </w:rPr>
        <w:br/>
      </w:r>
      <w:r w:rsidRPr="00BD1094">
        <w:rPr>
          <w:szCs w:val="26"/>
        </w:rPr>
        <w:t>Технические и эксплуатационные характеристики станций</w:t>
      </w:r>
      <w:r>
        <w:rPr>
          <w:szCs w:val="26"/>
        </w:rPr>
        <w:br/>
      </w:r>
      <w:r w:rsidRPr="00BD1094">
        <w:rPr>
          <w:szCs w:val="26"/>
        </w:rPr>
        <w:t>воздушной подвижной службы, передачи которых ограничены передачами воздушной подвижной телеметрии для летных испытаний</w:t>
      </w:r>
      <w:r>
        <w:rPr>
          <w:szCs w:val="26"/>
        </w:rPr>
        <w:br/>
      </w:r>
      <w:r w:rsidRPr="00BD1094">
        <w:rPr>
          <w:szCs w:val="26"/>
        </w:rPr>
        <w:t>в полосе частот 5150–5250 МГц в Районе 1 и в Бразилии</w:t>
      </w:r>
      <w:r>
        <w:rPr>
          <w:szCs w:val="26"/>
        </w:rPr>
        <w:br/>
      </w:r>
      <w:r w:rsidRPr="00BD1094">
        <w:rPr>
          <w:szCs w:val="26"/>
        </w:rPr>
        <w:t>в соответствии с пунктом 5.446C РР</w:t>
      </w:r>
    </w:p>
    <w:p w:rsidR="00C666C5" w:rsidRPr="00844C33" w:rsidRDefault="00C666C5" w:rsidP="00C666C5">
      <w:pPr>
        <w:pStyle w:val="Heading1"/>
      </w:pPr>
      <w:r w:rsidRPr="00C60468">
        <w:t>1</w:t>
      </w:r>
      <w:r w:rsidRPr="00C60468">
        <w:tab/>
      </w:r>
      <w:r w:rsidRPr="00844C33">
        <w:t>Характеристики воздушной подвижной телеметрии</w:t>
      </w:r>
    </w:p>
    <w:p w:rsidR="00C666C5" w:rsidRPr="00C60468" w:rsidRDefault="00C666C5" w:rsidP="00C666C5">
      <w:pPr>
        <w:widowControl w:val="0"/>
        <w:snapToGrid w:val="0"/>
      </w:pPr>
      <w:r w:rsidRPr="00844C33">
        <w:t xml:space="preserve">В </w:t>
      </w:r>
      <w:r>
        <w:t>ниже</w:t>
      </w:r>
      <w:r w:rsidRPr="00844C33">
        <w:t xml:space="preserve">следующей таблице представлены характеристики передающих и приемных станций воздушной подвижной телеметрии, </w:t>
      </w:r>
      <w:r>
        <w:t>релевантные</w:t>
      </w:r>
      <w:r w:rsidRPr="00844C33">
        <w:t xml:space="preserve"> для анализа совместного использования частот с другими службами.</w:t>
      </w:r>
    </w:p>
    <w:p w:rsidR="00C666C5" w:rsidRDefault="00C666C5" w:rsidP="00C666C5">
      <w:pPr>
        <w:pStyle w:val="TableNo"/>
        <w:rPr>
          <w:lang w:val="en-US"/>
        </w:rPr>
      </w:pPr>
      <w:r>
        <w:t>ТАБЛИЦА</w:t>
      </w:r>
      <w:r>
        <w:rPr>
          <w:lang w:val="en-US"/>
        </w:rPr>
        <w:t xml:space="preserve"> 1</w:t>
      </w:r>
    </w:p>
    <w:p w:rsidR="00C666C5" w:rsidRPr="00A87D62" w:rsidRDefault="00C666C5" w:rsidP="00C666C5">
      <w:pPr>
        <w:pStyle w:val="Tabletitle"/>
        <w:rPr>
          <w:lang w:val="en-US"/>
        </w:rPr>
      </w:pPr>
      <w:r w:rsidRPr="00844C33">
        <w:t>Характеристики воздушной подвижной телеметрии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515"/>
      </w:tblGrid>
      <w:tr w:rsidR="00C666C5" w:rsidRPr="0016464F" w:rsidTr="00DB2F1F">
        <w:trPr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4708C5" w:rsidRDefault="00C666C5" w:rsidP="004708C5">
            <w:pPr>
              <w:pStyle w:val="Tablehead"/>
              <w:rPr>
                <w:sz w:val="20"/>
              </w:rPr>
            </w:pP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4708C5" w:rsidRDefault="00C666C5" w:rsidP="004708C5">
            <w:pPr>
              <w:pStyle w:val="Tablehead"/>
              <w:rPr>
                <w:sz w:val="20"/>
              </w:rPr>
            </w:pPr>
            <w:r w:rsidRPr="004708C5">
              <w:rPr>
                <w:sz w:val="20"/>
              </w:rPr>
              <w:t>Система воздушной подвижной телеметрии</w:t>
            </w:r>
          </w:p>
        </w:tc>
      </w:tr>
      <w:tr w:rsidR="00C666C5" w:rsidRPr="00C60468" w:rsidTr="00DB2F1F">
        <w:trPr>
          <w:jc w:val="center"/>
        </w:trPr>
        <w:tc>
          <w:tcPr>
            <w:tcW w:w="962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4708C5" w:rsidRDefault="00C666C5" w:rsidP="004708C5">
            <w:pPr>
              <w:pStyle w:val="Tablehead"/>
              <w:jc w:val="left"/>
              <w:rPr>
                <w:sz w:val="20"/>
              </w:rPr>
            </w:pPr>
            <w:r w:rsidRPr="004708C5">
              <w:rPr>
                <w:sz w:val="20"/>
              </w:rPr>
              <w:t>Передатчик (на борту воздушного судна)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Диапазон частот (МГц)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6464F">
              <w:rPr>
                <w:sz w:val="18"/>
                <w:szCs w:val="18"/>
              </w:rPr>
              <w:t>150–5</w:t>
            </w:r>
            <w:r>
              <w:rPr>
                <w:sz w:val="18"/>
                <w:szCs w:val="18"/>
              </w:rPr>
              <w:t> </w:t>
            </w:r>
            <w:r w:rsidRPr="0016464F">
              <w:rPr>
                <w:sz w:val="18"/>
                <w:szCs w:val="18"/>
              </w:rPr>
              <w:t>160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Ширина полосы канала (МГц)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8</w:t>
            </w:r>
          </w:p>
        </w:tc>
      </w:tr>
      <w:tr w:rsidR="00C666C5" w:rsidRPr="00C60468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Модуляция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SOQPSK с одной несущей или COFDM-QPSK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Максимальная мощность передачи (дБВт)</w:t>
            </w:r>
            <w:r w:rsidRPr="0016464F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 xml:space="preserve">20 </w:t>
            </w:r>
          </w:p>
        </w:tc>
      </w:tr>
      <w:tr w:rsidR="00C666C5" w:rsidRPr="00C60468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Расположение бортовых антенн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Одна антенна расположена на фюзеляже воздушного судна снизу, а</w:t>
            </w:r>
            <w:r>
              <w:rPr>
                <w:sz w:val="18"/>
                <w:szCs w:val="18"/>
              </w:rPr>
              <w:t xml:space="preserve"> </w:t>
            </w:r>
            <w:r w:rsidRPr="0016464F">
              <w:rPr>
                <w:sz w:val="18"/>
                <w:szCs w:val="18"/>
              </w:rPr>
              <w:t>другая – сверху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Pr="0016464F">
              <w:rPr>
                <w:sz w:val="18"/>
                <w:szCs w:val="18"/>
              </w:rPr>
              <w:t>силени</w:t>
            </w:r>
            <w:r>
              <w:rPr>
                <w:sz w:val="18"/>
                <w:szCs w:val="18"/>
              </w:rPr>
              <w:t>е</w:t>
            </w:r>
            <w:r w:rsidRPr="0016464F">
              <w:rPr>
                <w:sz w:val="18"/>
                <w:szCs w:val="18"/>
              </w:rPr>
              <w:t xml:space="preserve"> передающей антенны (дБи)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0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Потери в кабеле (дБ)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 xml:space="preserve">2 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Высота полета воздушного судна (м)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0–15 000</w:t>
            </w:r>
          </w:p>
        </w:tc>
      </w:tr>
      <w:tr w:rsidR="00C666C5" w:rsidRPr="00C60468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Количество воздушных судов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Типичное</w:t>
            </w:r>
            <w:r>
              <w:rPr>
                <w:sz w:val="18"/>
                <w:szCs w:val="18"/>
              </w:rPr>
              <w:t xml:space="preserve"> – </w:t>
            </w:r>
            <w:r w:rsidRPr="0016464F">
              <w:rPr>
                <w:sz w:val="18"/>
                <w:szCs w:val="18"/>
              </w:rPr>
              <w:t>три воздушных судна находятся в полете одновременно, но ведут передачу не на одной и той же частоте (каждое воздушное судно использует свой канал)</w:t>
            </w:r>
          </w:p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Максимальное</w:t>
            </w:r>
            <w:r>
              <w:rPr>
                <w:sz w:val="18"/>
                <w:szCs w:val="18"/>
              </w:rPr>
              <w:t xml:space="preserve"> –</w:t>
            </w:r>
            <w:r w:rsidRPr="0016464F">
              <w:rPr>
                <w:sz w:val="18"/>
                <w:szCs w:val="18"/>
              </w:rPr>
              <w:t xml:space="preserve"> пять воздушных судов находятся в полете одновременно, но ведут передачу не на одной и той же частоте (каждое воздушное судно использует свой канал)</w:t>
            </w:r>
          </w:p>
        </w:tc>
      </w:tr>
      <w:tr w:rsidR="00C666C5" w:rsidRPr="0016464F" w:rsidTr="00DB2F1F">
        <w:trPr>
          <w:jc w:val="center"/>
        </w:trPr>
        <w:tc>
          <w:tcPr>
            <w:tcW w:w="9629" w:type="dxa"/>
            <w:gridSpan w:val="2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rPr>
                <w:b/>
                <w:sz w:val="18"/>
                <w:szCs w:val="18"/>
                <w:lang w:val="en-US"/>
              </w:rPr>
            </w:pPr>
            <w:r w:rsidRPr="0016464F">
              <w:rPr>
                <w:b/>
                <w:sz w:val="18"/>
                <w:szCs w:val="18"/>
              </w:rPr>
              <w:t>Приемник (на земле)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Диаграмма направленности антенны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 xml:space="preserve">Параболическая антенна с управляемой диаграммой направленности </w:t>
            </w:r>
          </w:p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Рекомендация МСЭ-R S.580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Pr="0016464F">
              <w:rPr>
                <w:sz w:val="18"/>
                <w:szCs w:val="18"/>
              </w:rPr>
              <w:t>силени</w:t>
            </w:r>
            <w:r>
              <w:rPr>
                <w:sz w:val="18"/>
                <w:szCs w:val="18"/>
              </w:rPr>
              <w:t>е</w:t>
            </w:r>
            <w:r w:rsidRPr="0016464F">
              <w:rPr>
                <w:sz w:val="18"/>
                <w:szCs w:val="18"/>
              </w:rPr>
              <w:t xml:space="preserve"> приемной антенны (дБи)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40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Коэффициент шума (дБ)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9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Диапазон частот приемника (МГц)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6464F">
              <w:rPr>
                <w:sz w:val="18"/>
                <w:szCs w:val="18"/>
              </w:rPr>
              <w:t>150–5</w:t>
            </w:r>
            <w:r>
              <w:rPr>
                <w:sz w:val="18"/>
                <w:szCs w:val="18"/>
              </w:rPr>
              <w:t> </w:t>
            </w:r>
            <w:r w:rsidRPr="0016464F">
              <w:rPr>
                <w:sz w:val="18"/>
                <w:szCs w:val="18"/>
              </w:rPr>
              <w:t>160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Ширина полосы приемника (МГц)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8</w:t>
            </w:r>
          </w:p>
        </w:tc>
      </w:tr>
      <w:tr w:rsidR="00C666C5" w:rsidRPr="0016464F" w:rsidTr="00DB2F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Высота приемника над уровнем земли(м)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От 6 до 40</w:t>
            </w:r>
          </w:p>
        </w:tc>
      </w:tr>
      <w:tr w:rsidR="00C666C5" w:rsidRPr="00C60468" w:rsidTr="00DB2F1F">
        <w:trPr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Диапазон углов места приемной антенны (градусы)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66C5" w:rsidRPr="0016464F" w:rsidRDefault="00C666C5" w:rsidP="00DB2F1F">
            <w:pPr>
              <w:pStyle w:val="Tabletext"/>
              <w:jc w:val="left"/>
              <w:rPr>
                <w:sz w:val="18"/>
                <w:szCs w:val="18"/>
              </w:rPr>
            </w:pPr>
            <w:r w:rsidRPr="0016464F">
              <w:rPr>
                <w:sz w:val="18"/>
                <w:szCs w:val="18"/>
              </w:rPr>
              <w:t>От –5</w:t>
            </w:r>
            <w:r w:rsidRPr="0016464F">
              <w:rPr>
                <w:sz w:val="18"/>
                <w:szCs w:val="18"/>
              </w:rPr>
              <w:sym w:font="Symbol" w:char="F0B0"/>
            </w:r>
            <w:r w:rsidRPr="0016464F">
              <w:rPr>
                <w:sz w:val="18"/>
                <w:szCs w:val="18"/>
              </w:rPr>
              <w:t xml:space="preserve"> до 90</w:t>
            </w:r>
            <w:r w:rsidRPr="0016464F">
              <w:rPr>
                <w:sz w:val="18"/>
                <w:szCs w:val="18"/>
              </w:rPr>
              <w:sym w:font="Symbol" w:char="F0B0"/>
            </w:r>
            <w:r w:rsidRPr="0016464F">
              <w:rPr>
                <w:sz w:val="18"/>
                <w:szCs w:val="18"/>
              </w:rPr>
              <w:t xml:space="preserve"> (в 99% случаев угол места составляет от –2° до 5°)</w:t>
            </w:r>
          </w:p>
        </w:tc>
      </w:tr>
      <w:tr w:rsidR="00C666C5" w:rsidRPr="00672A23" w:rsidTr="00DB2F1F">
        <w:trPr>
          <w:jc w:val="center"/>
        </w:trPr>
        <w:tc>
          <w:tcPr>
            <w:tcW w:w="9629" w:type="dxa"/>
            <w:gridSpan w:val="2"/>
            <w:tcBorders>
              <w:left w:val="nil"/>
              <w:bottom w:val="nil"/>
              <w:right w:val="nil"/>
            </w:tcBorders>
          </w:tcPr>
          <w:p w:rsidR="00C666C5" w:rsidRPr="00672A23" w:rsidRDefault="00C666C5" w:rsidP="00FC15AA">
            <w:pPr>
              <w:pStyle w:val="TableLegend0"/>
              <w:tabs>
                <w:tab w:val="clear" w:pos="794"/>
                <w:tab w:val="left" w:pos="318"/>
              </w:tabs>
              <w:ind w:left="34"/>
              <w:rPr>
                <w:vertAlign w:val="superscript"/>
              </w:rPr>
            </w:pPr>
            <w:r w:rsidRPr="00C60468">
              <w:rPr>
                <w:vertAlign w:val="superscript"/>
              </w:rPr>
              <w:t>1)</w:t>
            </w:r>
            <w:r w:rsidRPr="00C60468">
              <w:tab/>
            </w:r>
            <w:r w:rsidRPr="0016464F">
              <w:t>Эффективная мощность регулируется в соответствии с пределами п.п.м., определенными в Приложении 1 к</w:t>
            </w:r>
            <w:r>
              <w:t> </w:t>
            </w:r>
            <w:r w:rsidRPr="0016464F">
              <w:t xml:space="preserve">Резолюции </w:t>
            </w:r>
            <w:r w:rsidRPr="0016464F">
              <w:rPr>
                <w:b/>
              </w:rPr>
              <w:t>418 (Пересм. ВКР-15)</w:t>
            </w:r>
            <w:r w:rsidRPr="0016464F">
              <w:t>.</w:t>
            </w:r>
          </w:p>
        </w:tc>
      </w:tr>
    </w:tbl>
    <w:p w:rsidR="00FC15AA" w:rsidRDefault="00FC15AA" w:rsidP="00FC15AA">
      <w:pPr>
        <w:overflowPunct/>
        <w:autoSpaceDE/>
        <w:autoSpaceDN/>
        <w:adjustRightInd/>
        <w:spacing w:before="0"/>
        <w:jc w:val="center"/>
        <w:textAlignment w:val="auto"/>
      </w:pPr>
    </w:p>
    <w:p w:rsidR="004D14DC" w:rsidRPr="00273494" w:rsidRDefault="004D14DC" w:rsidP="00FC15AA">
      <w:pPr>
        <w:overflowPunct/>
        <w:autoSpaceDE/>
        <w:autoSpaceDN/>
        <w:adjustRightInd/>
        <w:spacing w:before="0"/>
        <w:jc w:val="center"/>
        <w:textAlignment w:val="auto"/>
        <w:rPr>
          <w:lang w:val="en-US"/>
        </w:rPr>
      </w:pPr>
      <w:r>
        <w:t>______________</w:t>
      </w:r>
    </w:p>
    <w:sectPr w:rsidR="004D14DC" w:rsidRPr="00273494" w:rsidSect="00C906E6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6775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67750">
      <w:rPr>
        <w:b/>
        <w:bCs/>
        <w:noProof/>
        <w:szCs w:val="22"/>
        <w:lang w:val="en-US"/>
      </w:rPr>
      <w:t>МСЭ-R  M.2122-0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67750">
      <w:rPr>
        <w:b/>
        <w:bCs/>
        <w:noProof/>
      </w:rPr>
      <w:t>МСЭ-R  M.2122-0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6775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67750">
      <w:rPr>
        <w:b/>
        <w:bCs/>
        <w:noProof/>
        <w:szCs w:val="22"/>
        <w:lang w:val="en-US"/>
      </w:rPr>
      <w:t>МСЭ-R  M.2122-0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6775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8C5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67750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666C5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C15AA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FC15A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C15A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C15A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C15A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C15A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C15A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C15A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C15A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C15A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C15A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link w:val="FooterChar"/>
    <w:rsid w:val="00FC15A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C15AA"/>
  </w:style>
  <w:style w:type="paragraph" w:customStyle="1" w:styleId="Headingb">
    <w:name w:val="Heading_b"/>
    <w:basedOn w:val="Heading3"/>
    <w:next w:val="Normal"/>
    <w:link w:val="HeadingbChar"/>
    <w:rsid w:val="00FC15A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FC15A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C15AA"/>
  </w:style>
  <w:style w:type="paragraph" w:customStyle="1" w:styleId="AnnexNoTitle">
    <w:name w:val="Annex_NoTitle"/>
    <w:basedOn w:val="Heading1"/>
    <w:next w:val="Normalaftertitle"/>
    <w:link w:val="AnnexNoTitleChar1"/>
    <w:rsid w:val="00FC15AA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C15AA"/>
    <w:pPr>
      <w:spacing w:before="320"/>
    </w:pPr>
  </w:style>
  <w:style w:type="paragraph" w:customStyle="1" w:styleId="enumlev2">
    <w:name w:val="enumlev2"/>
    <w:basedOn w:val="enumlev1"/>
    <w:rsid w:val="00FC15AA"/>
    <w:pPr>
      <w:ind w:left="1191" w:hanging="397"/>
    </w:pPr>
  </w:style>
  <w:style w:type="paragraph" w:customStyle="1" w:styleId="enumlev1">
    <w:name w:val="enumlev1"/>
    <w:basedOn w:val="Normal"/>
    <w:link w:val="enumlev1Char"/>
    <w:rsid w:val="00FC15AA"/>
    <w:pPr>
      <w:spacing w:before="80"/>
      <w:ind w:left="794" w:hanging="794"/>
    </w:pPr>
  </w:style>
  <w:style w:type="paragraph" w:customStyle="1" w:styleId="enumlev3">
    <w:name w:val="enumlev3"/>
    <w:basedOn w:val="enumlev2"/>
    <w:rsid w:val="00FC15AA"/>
    <w:pPr>
      <w:ind w:left="1588"/>
    </w:pPr>
  </w:style>
  <w:style w:type="paragraph" w:customStyle="1" w:styleId="Note">
    <w:name w:val="Note"/>
    <w:basedOn w:val="Normal"/>
    <w:link w:val="NoteChar"/>
    <w:rsid w:val="00FC15A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C15A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FC15A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C15AA"/>
    <w:pPr>
      <w:jc w:val="center"/>
    </w:pPr>
  </w:style>
  <w:style w:type="paragraph" w:customStyle="1" w:styleId="Recdate">
    <w:name w:val="Rec_date"/>
    <w:basedOn w:val="Recref"/>
    <w:next w:val="Normal"/>
    <w:rsid w:val="00FC15AA"/>
    <w:pPr>
      <w:jc w:val="right"/>
    </w:pPr>
  </w:style>
  <w:style w:type="paragraph" w:customStyle="1" w:styleId="HeadingSum">
    <w:name w:val="Heading_Sum"/>
    <w:basedOn w:val="Headingb"/>
    <w:next w:val="Normal"/>
    <w:rsid w:val="00FC15A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C15AA"/>
  </w:style>
  <w:style w:type="paragraph" w:customStyle="1" w:styleId="Tablefin">
    <w:name w:val="Table_fin"/>
    <w:basedOn w:val="Normal"/>
    <w:next w:val="Normal"/>
    <w:rsid w:val="00FC15A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C15A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rsid w:val="00FC15A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0"/>
    <w:rsid w:val="00FC15A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C15A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eqChar"/>
    <w:rsid w:val="00FC15A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C15A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C15AA"/>
    <w:pPr>
      <w:ind w:left="794"/>
    </w:pPr>
  </w:style>
  <w:style w:type="paragraph" w:customStyle="1" w:styleId="Figurelegend">
    <w:name w:val="Figure_legend"/>
    <w:basedOn w:val="Normal"/>
    <w:rsid w:val="00FC15A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C15AA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C15A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link w:val="FigureChar"/>
    <w:rsid w:val="00FC15AA"/>
    <w:pPr>
      <w:spacing w:before="0" w:after="240"/>
    </w:pPr>
  </w:style>
  <w:style w:type="paragraph" w:customStyle="1" w:styleId="tocpart">
    <w:name w:val="tocpart"/>
    <w:basedOn w:val="Normal"/>
    <w:rsid w:val="00FC15A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C15A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link w:val="ArttitleChar"/>
    <w:rsid w:val="00FC15A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C15A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C15A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C15A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C15AA"/>
    <w:rPr>
      <w:b/>
    </w:rPr>
  </w:style>
  <w:style w:type="paragraph" w:customStyle="1" w:styleId="Chaptitle">
    <w:name w:val="Chap_title"/>
    <w:basedOn w:val="Arttitle"/>
    <w:next w:val="Normalaftertitle"/>
    <w:rsid w:val="00FC15AA"/>
  </w:style>
  <w:style w:type="character" w:styleId="FootnoteReference">
    <w:name w:val="footnote reference"/>
    <w:aliases w:val="Appel note de bas de p"/>
    <w:uiPriority w:val="99"/>
    <w:rsid w:val="00FC15A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FC15AA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rsid w:val="00FC15AA"/>
  </w:style>
  <w:style w:type="paragraph" w:styleId="Index2">
    <w:name w:val="index 2"/>
    <w:basedOn w:val="Normal"/>
    <w:next w:val="Normal"/>
    <w:rsid w:val="00FC15AA"/>
    <w:pPr>
      <w:ind w:left="283"/>
    </w:pPr>
  </w:style>
  <w:style w:type="paragraph" w:styleId="Index3">
    <w:name w:val="index 3"/>
    <w:basedOn w:val="Normal"/>
    <w:next w:val="Normal"/>
    <w:rsid w:val="00FC15AA"/>
    <w:pPr>
      <w:ind w:left="566"/>
    </w:pPr>
  </w:style>
  <w:style w:type="paragraph" w:styleId="IndexHeading">
    <w:name w:val="index heading"/>
    <w:basedOn w:val="Normal"/>
    <w:next w:val="Index1"/>
    <w:rsid w:val="00FC15AA"/>
  </w:style>
  <w:style w:type="paragraph" w:customStyle="1" w:styleId="Line">
    <w:name w:val="Line"/>
    <w:basedOn w:val="Normal"/>
    <w:next w:val="Normal"/>
    <w:rsid w:val="00FC15A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C15A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C15AA"/>
  </w:style>
  <w:style w:type="paragraph" w:customStyle="1" w:styleId="Partref">
    <w:name w:val="Part_ref"/>
    <w:basedOn w:val="Normal"/>
    <w:next w:val="Normal"/>
    <w:rsid w:val="00FC15A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C15A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C15AA"/>
  </w:style>
  <w:style w:type="paragraph" w:customStyle="1" w:styleId="QuestionNo">
    <w:name w:val="Question_No"/>
    <w:basedOn w:val="RecNo"/>
    <w:next w:val="Normal"/>
    <w:rsid w:val="00FC15AA"/>
  </w:style>
  <w:style w:type="paragraph" w:customStyle="1" w:styleId="Questionref">
    <w:name w:val="Question_ref"/>
    <w:basedOn w:val="Recref"/>
    <w:next w:val="Questiondate"/>
    <w:rsid w:val="00FC15AA"/>
  </w:style>
  <w:style w:type="paragraph" w:customStyle="1" w:styleId="Questiontitle">
    <w:name w:val="Question_title"/>
    <w:basedOn w:val="Normal"/>
    <w:next w:val="Questionref"/>
    <w:rsid w:val="00FC15AA"/>
  </w:style>
  <w:style w:type="paragraph" w:customStyle="1" w:styleId="Reftext">
    <w:name w:val="Ref_text"/>
    <w:basedOn w:val="Normal"/>
    <w:rsid w:val="00FC15AA"/>
    <w:pPr>
      <w:ind w:left="794" w:hanging="794"/>
    </w:pPr>
  </w:style>
  <w:style w:type="paragraph" w:customStyle="1" w:styleId="Reftitle">
    <w:name w:val="Ref_title"/>
    <w:basedOn w:val="Normal"/>
    <w:next w:val="Reftext"/>
    <w:rsid w:val="00FC15A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C15AA"/>
  </w:style>
  <w:style w:type="paragraph" w:customStyle="1" w:styleId="RepNo">
    <w:name w:val="Rep_No"/>
    <w:basedOn w:val="RecNo"/>
    <w:next w:val="Reptitle"/>
    <w:rsid w:val="00FC15AA"/>
  </w:style>
  <w:style w:type="paragraph" w:customStyle="1" w:styleId="Reptitle">
    <w:name w:val="Rep_title"/>
    <w:basedOn w:val="Rectitle"/>
    <w:next w:val="Repref"/>
    <w:rsid w:val="00FC15AA"/>
  </w:style>
  <w:style w:type="paragraph" w:customStyle="1" w:styleId="Repref">
    <w:name w:val="Rep_ref"/>
    <w:basedOn w:val="Recref"/>
    <w:next w:val="Repdate"/>
    <w:rsid w:val="00FC15AA"/>
  </w:style>
  <w:style w:type="paragraph" w:customStyle="1" w:styleId="Resdate">
    <w:name w:val="Res_date"/>
    <w:basedOn w:val="Recdate"/>
    <w:next w:val="Normalaftertitle"/>
    <w:rsid w:val="00FC15AA"/>
  </w:style>
  <w:style w:type="paragraph" w:customStyle="1" w:styleId="ResNo">
    <w:name w:val="Res_No"/>
    <w:basedOn w:val="RecNo"/>
    <w:next w:val="Normal"/>
    <w:rsid w:val="00FC15AA"/>
  </w:style>
  <w:style w:type="paragraph" w:customStyle="1" w:styleId="Restitle">
    <w:name w:val="Res_title"/>
    <w:basedOn w:val="Normal"/>
    <w:next w:val="Resref"/>
    <w:link w:val="RestitleChar"/>
    <w:rsid w:val="00FC15AA"/>
  </w:style>
  <w:style w:type="paragraph" w:customStyle="1" w:styleId="Resref">
    <w:name w:val="Res_ref"/>
    <w:basedOn w:val="Recref"/>
    <w:next w:val="Resdate"/>
    <w:rsid w:val="00FC15AA"/>
  </w:style>
  <w:style w:type="paragraph" w:customStyle="1" w:styleId="SectionNo">
    <w:name w:val="Section_No"/>
    <w:basedOn w:val="Normal"/>
    <w:next w:val="Normal"/>
    <w:rsid w:val="00FC15AA"/>
  </w:style>
  <w:style w:type="paragraph" w:customStyle="1" w:styleId="Sectiontitle">
    <w:name w:val="Section_title"/>
    <w:basedOn w:val="Normal"/>
    <w:next w:val="Normalaftertitle"/>
    <w:rsid w:val="00FC15A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C15A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C15A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C15A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C15A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C15A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C15AA"/>
  </w:style>
  <w:style w:type="paragraph" w:styleId="TOC6">
    <w:name w:val="toc 6"/>
    <w:basedOn w:val="TOC4"/>
    <w:rsid w:val="00FC15AA"/>
  </w:style>
  <w:style w:type="paragraph" w:styleId="TOC7">
    <w:name w:val="toc 7"/>
    <w:basedOn w:val="TOC4"/>
    <w:rsid w:val="00FC15AA"/>
  </w:style>
  <w:style w:type="paragraph" w:styleId="TOC8">
    <w:name w:val="toc 8"/>
    <w:basedOn w:val="TOC4"/>
    <w:rsid w:val="00FC15AA"/>
  </w:style>
  <w:style w:type="paragraph" w:customStyle="1" w:styleId="Annexref">
    <w:name w:val="Annex_ref"/>
    <w:basedOn w:val="Normal"/>
    <w:next w:val="Normalaftertitle"/>
    <w:rsid w:val="00FC15A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C15AA"/>
  </w:style>
  <w:style w:type="paragraph" w:customStyle="1" w:styleId="Tabletitle">
    <w:name w:val="Table_title"/>
    <w:basedOn w:val="Normal"/>
    <w:next w:val="Tablehead"/>
    <w:link w:val="Tabletitle0"/>
    <w:rsid w:val="00FC15A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C15A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ru-RU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ru-RU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ru-RU" w:eastAsia="en-US"/>
    </w:rPr>
  </w:style>
  <w:style w:type="character" w:customStyle="1" w:styleId="TableheadChar">
    <w:name w:val="Table_head Char"/>
    <w:basedOn w:val="DefaultParagraphFont"/>
    <w:link w:val="Tablehead"/>
    <w:locked/>
    <w:rsid w:val="00FC15AA"/>
    <w:rPr>
      <w:b/>
      <w:sz w:val="22"/>
      <w:lang w:val="ru-RU" w:eastAsia="en-US"/>
    </w:rPr>
  </w:style>
  <w:style w:type="character" w:customStyle="1" w:styleId="TablelegendChar">
    <w:name w:val="Table_legend Char"/>
    <w:link w:val="Tablelegend"/>
    <w:locked/>
    <w:rsid w:val="004D14DC"/>
    <w:rPr>
      <w:sz w:val="22"/>
      <w:lang w:val="ru-RU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ru-RU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sz w:val="22"/>
      <w:lang w:val="ru-RU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ru-RU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ru-RU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ru-RU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ru-RU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ru-RU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ru-RU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ru-RU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8"/>
      <w:lang w:val="ru-RU" w:eastAsia="en-US"/>
    </w:rPr>
  </w:style>
  <w:style w:type="character" w:customStyle="1" w:styleId="enumlev1Char">
    <w:name w:val="enumlev1 Char"/>
    <w:link w:val="enumlev1"/>
    <w:locked/>
    <w:rsid w:val="00FC15AA"/>
    <w:rPr>
      <w:sz w:val="22"/>
      <w:lang w:val="ru-RU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ru-RU" w:eastAsia="en-US"/>
    </w:rPr>
  </w:style>
  <w:style w:type="character" w:customStyle="1" w:styleId="NoteChar">
    <w:name w:val="Note Char"/>
    <w:basedOn w:val="DefaultParagraphFont"/>
    <w:link w:val="Note"/>
    <w:locked/>
    <w:rsid w:val="004D14DC"/>
    <w:rPr>
      <w:lang w:val="ru-RU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8"/>
      <w:lang w:val="ru-RU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sz w:val="22"/>
      <w:lang w:val="ru-RU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ru-RU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ru-RU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table" w:styleId="TableGrid">
    <w:name w:val="Table Grid"/>
    <w:basedOn w:val="TableNormal"/>
    <w:rsid w:val="00C666C5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def">
    <w:name w:val="Art_def"/>
    <w:rsid w:val="00FC15AA"/>
    <w:rPr>
      <w:rFonts w:ascii="Times New Roman" w:hAnsi="Times New Roman"/>
      <w:b/>
    </w:rPr>
  </w:style>
  <w:style w:type="paragraph" w:styleId="CommentText">
    <w:name w:val="annotation text"/>
    <w:basedOn w:val="Normal"/>
    <w:link w:val="CommentTextChar"/>
    <w:semiHidden/>
    <w:rsid w:val="00FC15AA"/>
    <w:pPr>
      <w:spacing w:before="136"/>
    </w:pPr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FC15AA"/>
    <w:rPr>
      <w:lang w:val="en-GB" w:eastAsia="en-US"/>
    </w:rPr>
  </w:style>
  <w:style w:type="paragraph" w:styleId="NormalWeb">
    <w:name w:val="Normal (Web)"/>
    <w:basedOn w:val="Normal"/>
    <w:rsid w:val="00FC15A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paragraph" w:customStyle="1" w:styleId="Style1">
    <w:name w:val="Style1"/>
    <w:basedOn w:val="Call"/>
    <w:rsid w:val="00FC15AA"/>
  </w:style>
  <w:style w:type="paragraph" w:customStyle="1" w:styleId="Table">
    <w:name w:val="Table_#"/>
    <w:basedOn w:val="Normal"/>
    <w:next w:val="Tabletitle"/>
    <w:rsid w:val="00FC15AA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Legend0">
    <w:name w:val="Table_Legend"/>
    <w:basedOn w:val="Normal"/>
    <w:next w:val="Normal"/>
    <w:rsid w:val="00FC15AA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FC15AA"/>
    <w:pPr>
      <w:spacing w:before="100" w:after="100" w:line="190" w:lineRule="exact"/>
      <w:ind w:left="0" w:right="0"/>
    </w:pPr>
  </w:style>
  <w:style w:type="paragraph" w:customStyle="1" w:styleId="TableTitle1">
    <w:name w:val="Table_Title"/>
    <w:basedOn w:val="Table"/>
    <w:next w:val="Blanc"/>
    <w:rsid w:val="00FC15AA"/>
    <w:pPr>
      <w:spacing w:before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rec/R-REC-M.1828/e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tu.int/rec/R-REC-M.1459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/R-REP-M.2238" TargetMode="Externa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pub/R-REP-M.222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11F8C-E1BF-4B0F-8A90-14902F773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5</Pages>
  <Words>1239</Words>
  <Characters>8955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10174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2009-06-26T14:19:00Z</cp:lastPrinted>
  <dcterms:created xsi:type="dcterms:W3CDTF">2019-07-24T11:40:00Z</dcterms:created>
  <dcterms:modified xsi:type="dcterms:W3CDTF">2019-07-24T14:20:00Z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