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B95B80" w:rsidRPr="002E723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  <w:r w:rsidR="00B95B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120</w:t>
            </w:r>
            <w:r w:rsidR="00B95B80" w:rsidRPr="002E723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B95B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FE79FE" w:rsidRPr="00225DDD" w:rsidRDefault="00FE79FE" w:rsidP="00B95B8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B95B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B95B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7442C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3804DC" w:rsidRDefault="00B95B80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 характеристики и критерии защиты для систем воздушной подвижной службы, работающих в подвижной службе в полосе частот 21,2–22 ГГц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7442C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7D373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670B72">
        <w:fldChar w:fldCharType="begin"/>
      </w:r>
      <w:r w:rsidR="00670B72">
        <w:instrText xml:space="preserve"> HYPERLINK "http://www.itu.int/ITU-R/</w:instrText>
      </w:r>
      <w:r w:rsidR="00670B72">
        <w:instrText xml:space="preserve">go/patents/en" </w:instrText>
      </w:r>
      <w:r w:rsidR="00670B72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670B72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7D373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7D3737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6E56A2" w:rsidRPr="007D3737" w:rsidRDefault="00B62AB1" w:rsidP="007D373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7D3737">
        <w:rPr>
          <w:sz w:val="20"/>
          <w:lang w:val="en-GB"/>
        </w:rPr>
        <w:t>9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804DC" w:rsidRDefault="00C906E6" w:rsidP="003804DC">
      <w:pPr>
        <w:pStyle w:val="RecNo"/>
        <w:spacing w:before="0"/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B95B80" w:rsidRPr="00694BD6">
        <w:rPr>
          <w:rStyle w:val="href"/>
          <w:szCs w:val="26"/>
          <w:lang w:val="ru-RU"/>
        </w:rPr>
        <w:t>2120-0</w:t>
      </w:r>
    </w:p>
    <w:p w:rsidR="00B95B80" w:rsidRPr="00CB334E" w:rsidRDefault="00B95B80" w:rsidP="00B95B80">
      <w:pPr>
        <w:pStyle w:val="Rectitle"/>
        <w:rPr>
          <w:szCs w:val="26"/>
          <w:lang w:val="ru-RU"/>
        </w:rPr>
      </w:pPr>
      <w:r w:rsidRPr="00694BD6">
        <w:rPr>
          <w:szCs w:val="26"/>
          <w:lang w:val="ru-RU"/>
        </w:rPr>
        <w:t>Технические характеристики и критерии защиты для систем воздушной подвижной службы, работающих в подвижной службе</w:t>
      </w:r>
      <w:r w:rsidRPr="00CB334E">
        <w:rPr>
          <w:szCs w:val="26"/>
          <w:lang w:val="ru-RU"/>
        </w:rPr>
        <w:br/>
      </w:r>
      <w:r w:rsidRPr="00694BD6">
        <w:rPr>
          <w:szCs w:val="26"/>
          <w:lang w:val="ru-RU"/>
        </w:rPr>
        <w:t>в полосе частот 21,2</w:t>
      </w:r>
      <w:r w:rsidRPr="00CB334E">
        <w:rPr>
          <w:szCs w:val="26"/>
          <w:lang w:val="ru-RU"/>
        </w:rPr>
        <w:t>–</w:t>
      </w:r>
      <w:r w:rsidRPr="00694BD6">
        <w:rPr>
          <w:szCs w:val="26"/>
          <w:lang w:val="ru-RU"/>
        </w:rPr>
        <w:t>22 ГГц</w:t>
      </w:r>
    </w:p>
    <w:p w:rsidR="00B95B80" w:rsidRPr="00CB334E" w:rsidRDefault="00B95B80" w:rsidP="00B95B80">
      <w:pPr>
        <w:pStyle w:val="Recdate"/>
        <w:rPr>
          <w:sz w:val="20"/>
          <w:lang w:val="ru-RU"/>
        </w:rPr>
      </w:pPr>
      <w:r w:rsidRPr="00CB334E">
        <w:rPr>
          <w:lang w:val="ru-RU"/>
        </w:rPr>
        <w:t>(2019)</w:t>
      </w:r>
    </w:p>
    <w:p w:rsidR="00B95B80" w:rsidRPr="00694BD6" w:rsidRDefault="00B95B80" w:rsidP="00B95B80">
      <w:pPr>
        <w:pStyle w:val="HeadingSum"/>
        <w:rPr>
          <w:sz w:val="20"/>
          <w:lang w:val="ru-RU"/>
        </w:rPr>
      </w:pPr>
      <w:r w:rsidRPr="00694BD6">
        <w:rPr>
          <w:sz w:val="20"/>
          <w:lang w:val="ru-RU"/>
        </w:rPr>
        <w:t>Сфера применения</w:t>
      </w:r>
    </w:p>
    <w:p w:rsidR="00B95B80" w:rsidRPr="00CB334E" w:rsidRDefault="00B95B80" w:rsidP="00B95B80">
      <w:pPr>
        <w:pStyle w:val="Summary"/>
        <w:rPr>
          <w:sz w:val="20"/>
          <w:lang w:val="ru-RU"/>
        </w:rPr>
      </w:pPr>
      <w:r w:rsidRPr="00694BD6">
        <w:rPr>
          <w:sz w:val="20"/>
          <w:lang w:val="ru-RU"/>
        </w:rPr>
        <w:t>Настоящая Рекомендация содержит информацию о технических характеристиках и критериях защиты для систем, работающих в воздушной подвижной службе (ВПС), которые планируется эксплуатировать или которые уже эксплуатируются в полосе частот 21,2</w:t>
      </w:r>
      <w:r>
        <w:rPr>
          <w:sz w:val="20"/>
          <w:lang w:val="ru-RU"/>
        </w:rPr>
        <w:t>–</w:t>
      </w:r>
      <w:r w:rsidRPr="00694BD6">
        <w:rPr>
          <w:sz w:val="20"/>
          <w:lang w:val="ru-RU"/>
        </w:rPr>
        <w:t>22 ГГц</w:t>
      </w:r>
      <w:r>
        <w:rPr>
          <w:sz w:val="20"/>
          <w:lang w:val="ru-RU"/>
        </w:rPr>
        <w:t>,</w:t>
      </w:r>
      <w:r w:rsidRPr="00694BD6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694BD6">
        <w:rPr>
          <w:sz w:val="20"/>
          <w:lang w:val="ru-RU"/>
        </w:rPr>
        <w:t xml:space="preserve"> </w:t>
      </w:r>
      <w:r>
        <w:rPr>
          <w:sz w:val="20"/>
          <w:lang w:val="ru-RU"/>
        </w:rPr>
        <w:t>использования</w:t>
      </w:r>
      <w:r w:rsidRPr="00694BD6">
        <w:rPr>
          <w:sz w:val="20"/>
          <w:lang w:val="ru-RU"/>
        </w:rPr>
        <w:t>, в случае необходимости, в</w:t>
      </w:r>
      <w:r>
        <w:rPr>
          <w:sz w:val="20"/>
          <w:lang w:val="ru-RU"/>
        </w:rPr>
        <w:t> </w:t>
      </w:r>
      <w:r w:rsidRPr="00694BD6">
        <w:rPr>
          <w:sz w:val="20"/>
          <w:lang w:val="ru-RU"/>
        </w:rPr>
        <w:t>исследованиях совместного использования частот и совместимости.</w:t>
      </w:r>
    </w:p>
    <w:p w:rsidR="00B95B80" w:rsidRPr="00694BD6" w:rsidRDefault="00B95B80" w:rsidP="00B95B80">
      <w:pPr>
        <w:pStyle w:val="Headingb"/>
        <w:rPr>
          <w:rFonts w:ascii="Times New Roman Bold" w:hAnsi="Times New Roman Bold" w:cs="Times New Roman Bold"/>
          <w:lang w:val="ru-RU"/>
        </w:rPr>
      </w:pPr>
      <w:r>
        <w:rPr>
          <w:lang w:val="ru-RU"/>
        </w:rPr>
        <w:t>Ключевые слова</w:t>
      </w:r>
    </w:p>
    <w:p w:rsidR="00B95B80" w:rsidRPr="00CB334E" w:rsidRDefault="00B95B80" w:rsidP="00B95B80">
      <w:pPr>
        <w:rPr>
          <w:lang w:val="ru-RU"/>
        </w:rPr>
      </w:pPr>
      <w:r w:rsidRPr="009E74ED">
        <w:rPr>
          <w:szCs w:val="18"/>
          <w:lang w:val="ru-RU"/>
        </w:rPr>
        <w:t>Воздушная подвижная служба, технические характеристики, критерии защиты</w:t>
      </w:r>
    </w:p>
    <w:p w:rsidR="00B95B80" w:rsidRPr="00C727F6" w:rsidRDefault="00B95B80" w:rsidP="00B95B80">
      <w:pPr>
        <w:pStyle w:val="Headingb"/>
        <w:rPr>
          <w:lang w:val="ru-RU"/>
        </w:rPr>
      </w:pPr>
      <w:r>
        <w:rPr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3969"/>
        <w:gridCol w:w="907"/>
        <w:gridCol w:w="3969"/>
      </w:tblGrid>
      <w:tr w:rsidR="00B95B80" w:rsidTr="006358F8">
        <w:tc>
          <w:tcPr>
            <w:tcW w:w="907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  <w:r>
              <w:rPr>
                <w:lang w:val="en-US"/>
              </w:rPr>
              <w:t>AMS</w:t>
            </w:r>
          </w:p>
        </w:tc>
        <w:tc>
          <w:tcPr>
            <w:tcW w:w="3969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  <w:r>
              <w:rPr>
                <w:lang w:val="en-US"/>
              </w:rPr>
              <w:t>Aeronautical mobile service</w:t>
            </w:r>
          </w:p>
        </w:tc>
        <w:tc>
          <w:tcPr>
            <w:tcW w:w="907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ВПС</w:t>
            </w:r>
          </w:p>
        </w:tc>
        <w:tc>
          <w:tcPr>
            <w:tcW w:w="3969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Воздушная подвижная служба</w:t>
            </w:r>
          </w:p>
        </w:tc>
      </w:tr>
      <w:tr w:rsidR="00B95B80" w:rsidTr="006358F8">
        <w:tc>
          <w:tcPr>
            <w:tcW w:w="907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FM</w:t>
            </w:r>
          </w:p>
        </w:tc>
        <w:tc>
          <w:tcPr>
            <w:tcW w:w="3969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Frequency modulation</w:t>
            </w:r>
          </w:p>
        </w:tc>
        <w:tc>
          <w:tcPr>
            <w:tcW w:w="907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ЧМ</w:t>
            </w:r>
          </w:p>
        </w:tc>
        <w:tc>
          <w:tcPr>
            <w:tcW w:w="3969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Частотная модуляция</w:t>
            </w:r>
          </w:p>
        </w:tc>
      </w:tr>
      <w:tr w:rsidR="00B95B80" w:rsidRPr="00CB334E" w:rsidTr="006358F8">
        <w:tc>
          <w:tcPr>
            <w:tcW w:w="907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GMSK</w:t>
            </w:r>
          </w:p>
        </w:tc>
        <w:tc>
          <w:tcPr>
            <w:tcW w:w="3969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Gaussian minimum shift keying</w:t>
            </w:r>
          </w:p>
        </w:tc>
        <w:tc>
          <w:tcPr>
            <w:tcW w:w="907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3969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Гауссова манипуляция</w:t>
            </w:r>
            <w:r>
              <w:rPr>
                <w:lang w:val="ru-RU"/>
              </w:rPr>
              <w:br/>
              <w:t>с минимальным сдвигом</w:t>
            </w:r>
          </w:p>
        </w:tc>
      </w:tr>
      <w:tr w:rsidR="00B95B80" w:rsidRPr="00CB334E" w:rsidTr="006358F8">
        <w:tc>
          <w:tcPr>
            <w:tcW w:w="907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I</w:t>
            </w:r>
            <w:r>
              <w:rPr>
                <w:lang w:val="en-US"/>
              </w:rPr>
              <w:t>/</w:t>
            </w:r>
            <w:r>
              <w:rPr>
                <w:i/>
                <w:iCs/>
                <w:lang w:val="en-US"/>
              </w:rPr>
              <w:t>N</w:t>
            </w:r>
          </w:p>
        </w:tc>
        <w:tc>
          <w:tcPr>
            <w:tcW w:w="3969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Interference to noise ratio</w:t>
            </w:r>
          </w:p>
        </w:tc>
        <w:tc>
          <w:tcPr>
            <w:tcW w:w="907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3969" w:type="dxa"/>
          </w:tcPr>
          <w:p w:rsidR="00B95B80" w:rsidRDefault="00B95B80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Отношение уровня помех к уровню шума</w:t>
            </w:r>
          </w:p>
        </w:tc>
      </w:tr>
    </w:tbl>
    <w:p w:rsidR="00B95B80" w:rsidRPr="00CB334E" w:rsidRDefault="00B95B80" w:rsidP="00B95B80">
      <w:pPr>
        <w:pStyle w:val="Normalaftertitle"/>
        <w:rPr>
          <w:lang w:val="ru-RU"/>
        </w:rPr>
      </w:pPr>
      <w:r w:rsidRPr="002333DB">
        <w:rPr>
          <w:lang w:val="ru-RU"/>
        </w:rPr>
        <w:t>Ассамблея радиосвязи МСЭ,</w:t>
      </w:r>
    </w:p>
    <w:p w:rsidR="00B95B80" w:rsidRPr="005B5C52" w:rsidRDefault="00B95B80" w:rsidP="00B95B80">
      <w:pPr>
        <w:pStyle w:val="Call"/>
        <w:rPr>
          <w:lang w:val="ru-RU"/>
        </w:rPr>
      </w:pPr>
      <w:r>
        <w:rPr>
          <w:lang w:val="ru-RU"/>
        </w:rPr>
        <w:t>учитывая,</w:t>
      </w:r>
    </w:p>
    <w:p w:rsidR="00B95B80" w:rsidRPr="004F6282" w:rsidRDefault="00B95B80" w:rsidP="00B95B80">
      <w:pPr>
        <w:rPr>
          <w:i/>
          <w:szCs w:val="18"/>
          <w:lang w:val="ru-RU"/>
        </w:rPr>
      </w:pPr>
      <w:r>
        <w:rPr>
          <w:i/>
          <w:lang w:val="en-US"/>
        </w:rPr>
        <w:t>a</w:t>
      </w:r>
      <w:r w:rsidRPr="00CB334E">
        <w:rPr>
          <w:i/>
          <w:lang w:val="ru-RU"/>
        </w:rPr>
        <w:t>)</w:t>
      </w:r>
      <w:r w:rsidRPr="00CB334E">
        <w:rPr>
          <w:i/>
          <w:lang w:val="ru-RU"/>
        </w:rPr>
        <w:tab/>
      </w:r>
      <w:proofErr w:type="gramStart"/>
      <w:r w:rsidRPr="004F6282">
        <w:rPr>
          <w:szCs w:val="18"/>
          <w:lang w:val="ru-RU"/>
        </w:rPr>
        <w:t>что</w:t>
      </w:r>
      <w:proofErr w:type="gramEnd"/>
      <w:r w:rsidRPr="004F6282">
        <w:rPr>
          <w:szCs w:val="18"/>
          <w:lang w:val="ru-RU"/>
        </w:rPr>
        <w:t xml:space="preserve"> подвижная служба – это широко определенная служба, одной из разновидностей которой является воздушная подвижная служба (ВПС);</w:t>
      </w:r>
    </w:p>
    <w:p w:rsidR="00B95B80" w:rsidRPr="004F6282" w:rsidRDefault="00B95B80" w:rsidP="00B95B80">
      <w:pPr>
        <w:rPr>
          <w:i/>
          <w:szCs w:val="18"/>
          <w:lang w:val="ru-RU"/>
        </w:rPr>
      </w:pPr>
      <w:r w:rsidRPr="004F6282">
        <w:rPr>
          <w:i/>
          <w:szCs w:val="18"/>
          <w:lang w:val="ru-RU"/>
        </w:rPr>
        <w:t>b)</w:t>
      </w:r>
      <w:r w:rsidRPr="004F6282">
        <w:rPr>
          <w:i/>
          <w:szCs w:val="18"/>
          <w:lang w:val="ru-RU"/>
        </w:rPr>
        <w:tab/>
      </w:r>
      <w:r w:rsidRPr="004F6282">
        <w:rPr>
          <w:szCs w:val="18"/>
          <w:lang w:val="ru-RU"/>
        </w:rPr>
        <w:t>что такое использование широко определенных служб обеспечивает гибкость распределения частот;</w:t>
      </w:r>
    </w:p>
    <w:p w:rsidR="00B95B80" w:rsidRPr="004F6282" w:rsidRDefault="00B95B80" w:rsidP="00B95B80">
      <w:pPr>
        <w:rPr>
          <w:i/>
          <w:szCs w:val="18"/>
          <w:lang w:val="ru-RU"/>
        </w:rPr>
      </w:pPr>
      <w:r w:rsidRPr="004F6282">
        <w:rPr>
          <w:i/>
          <w:szCs w:val="18"/>
          <w:lang w:val="ru-RU"/>
        </w:rPr>
        <w:t>c)</w:t>
      </w:r>
      <w:r w:rsidRPr="004F6282">
        <w:rPr>
          <w:i/>
          <w:szCs w:val="18"/>
          <w:lang w:val="ru-RU"/>
        </w:rPr>
        <w:tab/>
      </w:r>
      <w:r w:rsidRPr="004F6282">
        <w:rPr>
          <w:szCs w:val="18"/>
          <w:lang w:val="ru-RU"/>
        </w:rPr>
        <w:t>что использование широко определенных служб не препятствует использованию полосы частот каким-либо применением тех служб, которым она распределена, и не устанавливает приоритета в Регламенте радиосвязи;</w:t>
      </w:r>
    </w:p>
    <w:p w:rsidR="00B95B80" w:rsidRPr="004F6282" w:rsidRDefault="00B95B80" w:rsidP="00B95B80">
      <w:pPr>
        <w:keepLines/>
        <w:rPr>
          <w:szCs w:val="18"/>
          <w:lang w:val="ru-RU"/>
        </w:rPr>
      </w:pPr>
      <w:r w:rsidRPr="004F6282">
        <w:rPr>
          <w:i/>
          <w:szCs w:val="18"/>
          <w:lang w:val="ru-RU"/>
        </w:rPr>
        <w:t>d)</w:t>
      </w:r>
      <w:r w:rsidRPr="004F6282">
        <w:rPr>
          <w:szCs w:val="18"/>
          <w:lang w:val="ru-RU"/>
        </w:rPr>
        <w:tab/>
        <w:t xml:space="preserve">что системы и сети, </w:t>
      </w:r>
      <w:r>
        <w:rPr>
          <w:szCs w:val="18"/>
          <w:lang w:val="ru-RU"/>
        </w:rPr>
        <w:t>работающие</w:t>
      </w:r>
      <w:r w:rsidRPr="004F6282">
        <w:rPr>
          <w:szCs w:val="18"/>
          <w:lang w:val="ru-RU"/>
        </w:rPr>
        <w:t xml:space="preserve"> в ВПС, используются для широкополосных и узкополосных воздушных линий передачи данных в целях обеспечения работы применений дистанционного зондирования в таких областях, например, как науки о Земле, управление землепользованием и распределение энергии. Примеры таких применений включают, в частности, мониторинг толщины и распределения морского льда, обеспечение соблюдения местного и национального законодательства, картирование лесных пожаров, мониторинг состояния нефтепроводов, контроль за использованием земель сельскохозяйственного назначения и в городских районах, а также обследования природных ресурсов;</w:t>
      </w:r>
    </w:p>
    <w:p w:rsidR="00B95B80" w:rsidRPr="00485938" w:rsidRDefault="00B95B80" w:rsidP="00B95B80">
      <w:pPr>
        <w:rPr>
          <w:spacing w:val="-2"/>
          <w:szCs w:val="22"/>
          <w:lang w:val="ru-RU"/>
        </w:rPr>
      </w:pPr>
      <w:r w:rsidRPr="004F6282">
        <w:rPr>
          <w:i/>
          <w:iCs/>
          <w:szCs w:val="22"/>
          <w:lang w:val="ru-RU"/>
        </w:rPr>
        <w:t>e)</w:t>
      </w:r>
      <w:r w:rsidRPr="004F6282">
        <w:rPr>
          <w:szCs w:val="22"/>
          <w:lang w:val="ru-RU"/>
        </w:rPr>
        <w:tab/>
      </w:r>
      <w:r w:rsidRPr="00485938">
        <w:rPr>
          <w:spacing w:val="-2"/>
          <w:szCs w:val="18"/>
          <w:lang w:val="ru-RU"/>
        </w:rPr>
        <w:t>что в ВПС возрастает количество различных планируемых и функционирующих систем и сетей</w:t>
      </w:r>
      <w:r w:rsidRPr="00485938">
        <w:rPr>
          <w:spacing w:val="-2"/>
          <w:szCs w:val="22"/>
          <w:lang w:val="ru-RU"/>
        </w:rPr>
        <w:t>;</w:t>
      </w:r>
    </w:p>
    <w:p w:rsidR="00B95B80" w:rsidRPr="00485938" w:rsidRDefault="00B95B80" w:rsidP="00B95B80">
      <w:pPr>
        <w:rPr>
          <w:spacing w:val="-2"/>
          <w:szCs w:val="18"/>
          <w:lang w:val="ru-RU"/>
        </w:rPr>
      </w:pPr>
      <w:r w:rsidRPr="004F6282">
        <w:rPr>
          <w:i/>
          <w:iCs/>
          <w:szCs w:val="18"/>
          <w:lang w:val="ru-RU"/>
        </w:rPr>
        <w:t>f)</w:t>
      </w:r>
      <w:r w:rsidRPr="004F6282">
        <w:rPr>
          <w:i/>
          <w:iCs/>
          <w:szCs w:val="18"/>
          <w:lang w:val="ru-RU"/>
        </w:rPr>
        <w:tab/>
      </w:r>
      <w:r w:rsidRPr="00485938">
        <w:rPr>
          <w:spacing w:val="-2"/>
          <w:szCs w:val="18"/>
          <w:lang w:val="ru-RU"/>
        </w:rPr>
        <w:t>что использование широко определенной радиослужбы может повысить гибкость процесса распределения частот, однако оно может привести к более сложным схемам совместного использования частот в той или иной полосе частот;</w:t>
      </w:r>
    </w:p>
    <w:p w:rsidR="00B95B80" w:rsidRPr="004F6282" w:rsidRDefault="00B95B80" w:rsidP="00B95B80">
      <w:pPr>
        <w:rPr>
          <w:iCs/>
          <w:szCs w:val="22"/>
          <w:lang w:val="ru-RU"/>
        </w:rPr>
      </w:pPr>
      <w:r w:rsidRPr="004F6282">
        <w:rPr>
          <w:i/>
          <w:szCs w:val="22"/>
          <w:lang w:val="ru-RU"/>
        </w:rPr>
        <w:t>g)</w:t>
      </w:r>
      <w:r w:rsidRPr="004F6282">
        <w:rPr>
          <w:i/>
          <w:szCs w:val="22"/>
          <w:lang w:val="ru-RU"/>
        </w:rPr>
        <w:tab/>
      </w:r>
      <w:r w:rsidRPr="004F6282">
        <w:rPr>
          <w:iCs/>
          <w:szCs w:val="22"/>
          <w:lang w:val="ru-RU"/>
        </w:rPr>
        <w:t xml:space="preserve">что </w:t>
      </w:r>
      <w:r>
        <w:rPr>
          <w:iCs/>
          <w:szCs w:val="22"/>
          <w:lang w:val="ru-RU"/>
        </w:rPr>
        <w:t>в силу</w:t>
      </w:r>
      <w:r w:rsidRPr="004F6282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характеристик</w:t>
      </w:r>
      <w:r w:rsidRPr="004F6282">
        <w:rPr>
          <w:iCs/>
          <w:szCs w:val="22"/>
          <w:lang w:val="ru-RU"/>
        </w:rPr>
        <w:t xml:space="preserve"> станци</w:t>
      </w:r>
      <w:r>
        <w:rPr>
          <w:iCs/>
          <w:szCs w:val="22"/>
          <w:lang w:val="ru-RU"/>
        </w:rPr>
        <w:t>и</w:t>
      </w:r>
      <w:r w:rsidRPr="004F6282">
        <w:rPr>
          <w:iCs/>
          <w:szCs w:val="22"/>
          <w:lang w:val="ru-RU"/>
        </w:rPr>
        <w:t>, работающ</w:t>
      </w:r>
      <w:r>
        <w:rPr>
          <w:iCs/>
          <w:szCs w:val="22"/>
          <w:lang w:val="ru-RU"/>
        </w:rPr>
        <w:t>ей</w:t>
      </w:r>
      <w:r w:rsidRPr="004F6282">
        <w:rPr>
          <w:iCs/>
          <w:szCs w:val="22"/>
          <w:lang w:val="ru-RU"/>
        </w:rPr>
        <w:t xml:space="preserve"> на воздушной подвижной платформе, некоторые администрации могли исключить возможность эксплуатации воздушных систем в</w:t>
      </w:r>
      <w:r>
        <w:rPr>
          <w:iCs/>
          <w:szCs w:val="22"/>
          <w:lang w:val="ru-RU"/>
        </w:rPr>
        <w:t> </w:t>
      </w:r>
      <w:r w:rsidRPr="004F6282">
        <w:rPr>
          <w:iCs/>
          <w:szCs w:val="22"/>
          <w:lang w:val="ru-RU"/>
        </w:rPr>
        <w:t>пределах распределений подвижной службе;</w:t>
      </w:r>
    </w:p>
    <w:p w:rsidR="00B95B80" w:rsidRPr="00485938" w:rsidRDefault="00B95B80" w:rsidP="00B95B80">
      <w:pPr>
        <w:rPr>
          <w:spacing w:val="-2"/>
          <w:szCs w:val="24"/>
          <w:lang w:val="ru-RU"/>
        </w:rPr>
      </w:pPr>
      <w:r w:rsidRPr="004F6282">
        <w:rPr>
          <w:i/>
          <w:iCs/>
          <w:szCs w:val="22"/>
          <w:lang w:val="ru-RU"/>
        </w:rPr>
        <w:lastRenderedPageBreak/>
        <w:t>h)</w:t>
      </w:r>
      <w:r w:rsidRPr="004F6282">
        <w:rPr>
          <w:i/>
          <w:iCs/>
          <w:szCs w:val="22"/>
          <w:lang w:val="ru-RU"/>
        </w:rPr>
        <w:tab/>
      </w:r>
      <w:r w:rsidRPr="00485938">
        <w:rPr>
          <w:spacing w:val="-2"/>
          <w:szCs w:val="22"/>
          <w:lang w:val="ru-RU"/>
        </w:rPr>
        <w:t>что при использовании широко определенных служб могут потребоваться условия сосуществования для решения вопросов использования определенных полос частот на региональном или глобальном уровне,</w:t>
      </w:r>
    </w:p>
    <w:p w:rsidR="00B95B80" w:rsidRPr="00EF1E0C" w:rsidRDefault="00B95B80" w:rsidP="00B95B80">
      <w:pPr>
        <w:pStyle w:val="Call"/>
        <w:rPr>
          <w:lang w:val="ru-RU"/>
        </w:rPr>
      </w:pPr>
      <w:r>
        <w:rPr>
          <w:lang w:val="ru-RU"/>
        </w:rPr>
        <w:t>признавая,</w:t>
      </w:r>
    </w:p>
    <w:p w:rsidR="00B95B80" w:rsidRPr="004F6282" w:rsidRDefault="00B95B80" w:rsidP="00B95B80">
      <w:pPr>
        <w:rPr>
          <w:szCs w:val="18"/>
          <w:lang w:val="ru-RU"/>
        </w:rPr>
      </w:pPr>
      <w:r>
        <w:rPr>
          <w:i/>
          <w:iCs/>
          <w:lang w:val="en-US"/>
        </w:rPr>
        <w:t>a</w:t>
      </w:r>
      <w:r w:rsidRPr="00CB334E">
        <w:rPr>
          <w:i/>
          <w:iCs/>
          <w:lang w:val="ru-RU"/>
        </w:rPr>
        <w:t>)</w:t>
      </w:r>
      <w:r w:rsidRPr="00CB334E">
        <w:rPr>
          <w:i/>
          <w:iCs/>
          <w:lang w:val="ru-RU"/>
        </w:rPr>
        <w:tab/>
      </w:r>
      <w:proofErr w:type="gramStart"/>
      <w:r w:rsidRPr="004F6282">
        <w:rPr>
          <w:szCs w:val="18"/>
          <w:lang w:val="ru-RU"/>
        </w:rPr>
        <w:t>что</w:t>
      </w:r>
      <w:proofErr w:type="gramEnd"/>
      <w:r w:rsidRPr="004F6282">
        <w:rPr>
          <w:szCs w:val="18"/>
          <w:lang w:val="ru-RU"/>
        </w:rPr>
        <w:t xml:space="preserve"> полоса частот 21,2–22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ГГц распределена на первичной основе фиксированн</w:t>
      </w:r>
      <w:r>
        <w:rPr>
          <w:szCs w:val="18"/>
          <w:lang w:val="ru-RU"/>
        </w:rPr>
        <w:t>ой</w:t>
      </w:r>
      <w:r w:rsidRPr="004F6282">
        <w:rPr>
          <w:szCs w:val="18"/>
          <w:lang w:val="ru-RU"/>
        </w:rPr>
        <w:t xml:space="preserve"> и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подвижн</w:t>
      </w:r>
      <w:r>
        <w:rPr>
          <w:szCs w:val="18"/>
          <w:lang w:val="ru-RU"/>
        </w:rPr>
        <w:t>ой</w:t>
      </w:r>
      <w:r w:rsidRPr="004F6282">
        <w:rPr>
          <w:szCs w:val="18"/>
          <w:lang w:val="ru-RU"/>
        </w:rPr>
        <w:t xml:space="preserve"> службам на глобальном уровне; </w:t>
      </w:r>
    </w:p>
    <w:p w:rsidR="00B95B80" w:rsidRPr="004F6282" w:rsidRDefault="00B95B80" w:rsidP="00B95B80">
      <w:pPr>
        <w:rPr>
          <w:szCs w:val="18"/>
          <w:lang w:val="ru-RU"/>
        </w:rPr>
      </w:pPr>
      <w:r w:rsidRPr="004F6282">
        <w:rPr>
          <w:i/>
          <w:szCs w:val="18"/>
          <w:lang w:val="ru-RU"/>
        </w:rPr>
        <w:t>b)</w:t>
      </w:r>
      <w:r w:rsidRPr="004F6282">
        <w:rPr>
          <w:i/>
          <w:szCs w:val="18"/>
          <w:lang w:val="ru-RU"/>
        </w:rPr>
        <w:tab/>
      </w:r>
      <w:r w:rsidRPr="004F6282">
        <w:rPr>
          <w:szCs w:val="18"/>
          <w:lang w:val="ru-RU"/>
        </w:rPr>
        <w:t>что полоса частот 21,2–21,4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ГГц также распределена на первичной основе спутниковой службе исследования Земли (пассивной) и службе космических исследований (пассивной) на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глобальном уровне;</w:t>
      </w:r>
    </w:p>
    <w:p w:rsidR="00B95B80" w:rsidRPr="004F6282" w:rsidRDefault="00B95B80" w:rsidP="00B95B80">
      <w:pPr>
        <w:rPr>
          <w:szCs w:val="18"/>
          <w:lang w:val="ru-RU"/>
        </w:rPr>
      </w:pPr>
      <w:r w:rsidRPr="004F6282">
        <w:rPr>
          <w:i/>
          <w:iCs/>
          <w:szCs w:val="18"/>
          <w:lang w:val="ru-RU"/>
        </w:rPr>
        <w:t>c)</w:t>
      </w:r>
      <w:r w:rsidRPr="004F6282">
        <w:rPr>
          <w:szCs w:val="18"/>
          <w:lang w:val="ru-RU"/>
        </w:rPr>
        <w:tab/>
        <w:t>что полоса частот 21,4–22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ГГц также распределена на первичной основе радиовещательной спутниковой службе в Районах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1 и 3;</w:t>
      </w:r>
    </w:p>
    <w:p w:rsidR="00B95B80" w:rsidRPr="004F6282" w:rsidRDefault="00B95B80" w:rsidP="00B95B80">
      <w:pPr>
        <w:rPr>
          <w:szCs w:val="18"/>
          <w:lang w:val="ru-RU"/>
        </w:rPr>
      </w:pPr>
      <w:r w:rsidRPr="004F6282">
        <w:rPr>
          <w:i/>
          <w:iCs/>
          <w:szCs w:val="18"/>
          <w:lang w:val="ru-RU"/>
        </w:rPr>
        <w:t>d)</w:t>
      </w:r>
      <w:r w:rsidRPr="004F6282">
        <w:rPr>
          <w:szCs w:val="18"/>
          <w:lang w:val="ru-RU"/>
        </w:rPr>
        <w:tab/>
        <w:t>что воздушная подвижная служба включает радиосвязь между стационарными станциями воздушной службы и бортовыми станциями воздушных судов или между бортовыми станциями воздушных судов;</w:t>
      </w:r>
    </w:p>
    <w:p w:rsidR="00B95B80" w:rsidRPr="004F6282" w:rsidRDefault="00B95B80" w:rsidP="00B95B80">
      <w:pPr>
        <w:rPr>
          <w:szCs w:val="18"/>
          <w:lang w:val="ru-RU"/>
        </w:rPr>
      </w:pPr>
      <w:r w:rsidRPr="004F6282">
        <w:rPr>
          <w:i/>
          <w:iCs/>
          <w:szCs w:val="18"/>
          <w:lang w:val="ru-RU"/>
        </w:rPr>
        <w:t>e)</w:t>
      </w:r>
      <w:r w:rsidRPr="004F6282">
        <w:rPr>
          <w:szCs w:val="18"/>
          <w:lang w:val="ru-RU"/>
        </w:rPr>
        <w:tab/>
        <w:t xml:space="preserve">что </w:t>
      </w:r>
      <w:r>
        <w:rPr>
          <w:szCs w:val="18"/>
          <w:lang w:val="ru-RU"/>
        </w:rPr>
        <w:t>в отношении</w:t>
      </w:r>
      <w:r w:rsidRPr="004F6282">
        <w:rPr>
          <w:szCs w:val="18"/>
          <w:lang w:val="ru-RU"/>
        </w:rPr>
        <w:t xml:space="preserve"> полосы частот 21,4–22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ГГц п</w:t>
      </w:r>
      <w:r>
        <w:rPr>
          <w:szCs w:val="18"/>
          <w:lang w:val="ru-RU"/>
        </w:rPr>
        <w:t>ункт </w:t>
      </w:r>
      <w:r w:rsidRPr="004F6282">
        <w:rPr>
          <w:b/>
          <w:szCs w:val="18"/>
          <w:lang w:val="ru-RU"/>
        </w:rPr>
        <w:t>5.530A</w:t>
      </w:r>
      <w:r w:rsidRPr="004F6282">
        <w:rPr>
          <w:szCs w:val="18"/>
          <w:lang w:val="ru-RU"/>
        </w:rPr>
        <w:t xml:space="preserve"> РР в частности </w:t>
      </w:r>
      <w:r>
        <w:rPr>
          <w:szCs w:val="18"/>
          <w:lang w:val="ru-RU"/>
        </w:rPr>
        <w:t>гласит</w:t>
      </w:r>
      <w:r w:rsidRPr="004F6282">
        <w:rPr>
          <w:szCs w:val="18"/>
          <w:lang w:val="ru-RU"/>
        </w:rPr>
        <w:t>: "Если иное не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согласовано заинтересованными администрациями, любая станция фиксированной или подвижной службы какой-либо администрации не должна создавать плотность потока мощности, превышающую −120,4 дБ(Вт/(м</w:t>
      </w:r>
      <w:r w:rsidRPr="004F6282">
        <w:rPr>
          <w:szCs w:val="18"/>
          <w:vertAlign w:val="superscript"/>
          <w:lang w:val="ru-RU"/>
        </w:rPr>
        <w:t>2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·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МГц)) на высоте 3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м над поверхностью земли в любой точке территории любой другой администрации в Районах 1 и 3 более чем для 20% времени";</w:t>
      </w:r>
    </w:p>
    <w:p w:rsidR="00B95B80" w:rsidRPr="00CB334E" w:rsidRDefault="00B95B80" w:rsidP="00B95B80">
      <w:pPr>
        <w:rPr>
          <w:lang w:val="ru-RU"/>
        </w:rPr>
      </w:pPr>
      <w:r w:rsidRPr="004F6282">
        <w:rPr>
          <w:i/>
          <w:szCs w:val="18"/>
          <w:lang w:val="ru-RU"/>
        </w:rPr>
        <w:t>f)</w:t>
      </w:r>
      <w:r w:rsidRPr="004F6282">
        <w:rPr>
          <w:i/>
          <w:szCs w:val="18"/>
          <w:lang w:val="ru-RU"/>
        </w:rPr>
        <w:tab/>
      </w:r>
      <w:r w:rsidRPr="004F6282">
        <w:rPr>
          <w:szCs w:val="18"/>
          <w:lang w:val="ru-RU"/>
        </w:rPr>
        <w:t xml:space="preserve">что </w:t>
      </w:r>
      <w:r>
        <w:rPr>
          <w:szCs w:val="18"/>
          <w:lang w:val="ru-RU"/>
        </w:rPr>
        <w:t>в отношении</w:t>
      </w:r>
      <w:r w:rsidRPr="004F6282">
        <w:rPr>
          <w:szCs w:val="18"/>
          <w:lang w:val="ru-RU"/>
        </w:rPr>
        <w:t xml:space="preserve"> полосы частот 21,4–22 ГГц </w:t>
      </w:r>
      <w:r>
        <w:rPr>
          <w:szCs w:val="18"/>
          <w:lang w:val="ru-RU"/>
        </w:rPr>
        <w:t xml:space="preserve">в </w:t>
      </w:r>
      <w:r w:rsidRPr="004F6282">
        <w:rPr>
          <w:szCs w:val="18"/>
          <w:lang w:val="ru-RU"/>
        </w:rPr>
        <w:t>п</w:t>
      </w:r>
      <w:r>
        <w:rPr>
          <w:szCs w:val="18"/>
          <w:lang w:val="ru-RU"/>
        </w:rPr>
        <w:t>ункте </w:t>
      </w:r>
      <w:r w:rsidRPr="004F6282">
        <w:rPr>
          <w:b/>
          <w:szCs w:val="18"/>
          <w:lang w:val="ru-RU"/>
        </w:rPr>
        <w:t>5.530B</w:t>
      </w:r>
      <w:r w:rsidRPr="004F6282">
        <w:rPr>
          <w:szCs w:val="18"/>
          <w:lang w:val="ru-RU"/>
        </w:rPr>
        <w:t xml:space="preserve"> РР рекомендует</w:t>
      </w:r>
      <w:r>
        <w:rPr>
          <w:szCs w:val="18"/>
          <w:lang w:val="ru-RU"/>
        </w:rPr>
        <w:t>ся</w:t>
      </w:r>
      <w:r w:rsidRPr="004F6282">
        <w:rPr>
          <w:szCs w:val="18"/>
          <w:lang w:val="ru-RU"/>
        </w:rPr>
        <w:t xml:space="preserve"> администрациям в Районах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 xml:space="preserve">1 и 3 не развертывать станции подвижной службы, а развертывание станций фиксированной службы рекомендуется ограничивать линиями связи </w:t>
      </w:r>
      <w:r>
        <w:rPr>
          <w:szCs w:val="18"/>
          <w:lang w:val="ru-RU"/>
        </w:rPr>
        <w:t xml:space="preserve">пункта с пунктом </w:t>
      </w:r>
      <w:r w:rsidRPr="004F6282">
        <w:rPr>
          <w:szCs w:val="18"/>
          <w:lang w:val="ru-RU"/>
        </w:rPr>
        <w:t>в целях содействия развитию радиовещательной спутниковой службы,</w:t>
      </w:r>
    </w:p>
    <w:p w:rsidR="00B95B80" w:rsidRPr="00EF1E0C" w:rsidRDefault="00B95B80" w:rsidP="00B95B80">
      <w:pPr>
        <w:pStyle w:val="Call"/>
        <w:rPr>
          <w:lang w:val="ru-RU"/>
        </w:rPr>
      </w:pPr>
      <w:r>
        <w:rPr>
          <w:lang w:val="ru-RU"/>
        </w:rPr>
        <w:t>рекомендует</w:t>
      </w:r>
    </w:p>
    <w:p w:rsidR="00B95B80" w:rsidRPr="004F6282" w:rsidRDefault="00B95B80" w:rsidP="00B95B80">
      <w:pPr>
        <w:rPr>
          <w:szCs w:val="18"/>
          <w:lang w:val="ru-RU"/>
        </w:rPr>
      </w:pPr>
      <w:r w:rsidRPr="00CB334E">
        <w:rPr>
          <w:b/>
          <w:lang w:val="ru-RU"/>
        </w:rPr>
        <w:t>1</w:t>
      </w:r>
      <w:r w:rsidRPr="00CB334E">
        <w:rPr>
          <w:lang w:val="ru-RU"/>
        </w:rPr>
        <w:tab/>
      </w:r>
      <w:r w:rsidRPr="004F6282">
        <w:rPr>
          <w:szCs w:val="18"/>
          <w:lang w:val="ru-RU"/>
        </w:rPr>
        <w:t xml:space="preserve">рассматривать технические и эксплуатационные характеристики систем, </w:t>
      </w:r>
      <w:r>
        <w:rPr>
          <w:szCs w:val="18"/>
          <w:lang w:val="ru-RU"/>
        </w:rPr>
        <w:t>работающих</w:t>
      </w:r>
      <w:r w:rsidRPr="004F6282">
        <w:rPr>
          <w:szCs w:val="18"/>
          <w:lang w:val="ru-RU"/>
        </w:rPr>
        <w:t xml:space="preserve"> в ВПС, описание которых содержится в Приложении, в качестве типовых характеристик систем,</w:t>
      </w:r>
      <w:r>
        <w:rPr>
          <w:szCs w:val="18"/>
          <w:lang w:val="ru-RU"/>
        </w:rPr>
        <w:t xml:space="preserve"> работающих</w:t>
      </w:r>
      <w:r w:rsidRPr="004F6282">
        <w:rPr>
          <w:szCs w:val="18"/>
          <w:lang w:val="ru-RU"/>
        </w:rPr>
        <w:t xml:space="preserve"> в полосе частот 21,2–22 ГГц;</w:t>
      </w:r>
    </w:p>
    <w:p w:rsidR="00B95B80" w:rsidRPr="00CB334E" w:rsidRDefault="00B95B80" w:rsidP="00B95B80">
      <w:pPr>
        <w:rPr>
          <w:lang w:val="ru-RU"/>
        </w:rPr>
      </w:pPr>
      <w:r w:rsidRPr="004F6282">
        <w:rPr>
          <w:b/>
          <w:bCs/>
          <w:szCs w:val="18"/>
          <w:lang w:val="ru-RU"/>
        </w:rPr>
        <w:t>2</w:t>
      </w:r>
      <w:r w:rsidRPr="004F6282">
        <w:rPr>
          <w:szCs w:val="18"/>
          <w:lang w:val="ru-RU"/>
        </w:rPr>
        <w:tab/>
        <w:t xml:space="preserve">использовать при </w:t>
      </w:r>
      <w:r>
        <w:rPr>
          <w:szCs w:val="18"/>
          <w:lang w:val="ru-RU"/>
        </w:rPr>
        <w:t>провелении</w:t>
      </w:r>
      <w:r w:rsidRPr="004F6282">
        <w:rPr>
          <w:szCs w:val="18"/>
          <w:lang w:val="ru-RU"/>
        </w:rPr>
        <w:t xml:space="preserve"> анализа совместно</w:t>
      </w:r>
      <w:r>
        <w:rPr>
          <w:szCs w:val="18"/>
          <w:lang w:val="ru-RU"/>
        </w:rPr>
        <w:t>го</w:t>
      </w:r>
      <w:r w:rsidRPr="004F6282">
        <w:rPr>
          <w:szCs w:val="18"/>
          <w:lang w:val="ru-RU"/>
        </w:rPr>
        <w:t xml:space="preserve"> использовании частот и совместимости</w:t>
      </w:r>
      <w:r>
        <w:rPr>
          <w:szCs w:val="18"/>
          <w:lang w:val="ru-RU"/>
        </w:rPr>
        <w:t>,</w:t>
      </w:r>
      <w:r w:rsidRPr="004F6282">
        <w:rPr>
          <w:szCs w:val="18"/>
          <w:lang w:val="ru-RU"/>
        </w:rPr>
        <w:t xml:space="preserve"> по</w:t>
      </w:r>
      <w:r>
        <w:rPr>
          <w:szCs w:val="18"/>
          <w:lang w:val="ru-RU"/>
        </w:rPr>
        <w:t> </w:t>
      </w:r>
      <w:r w:rsidRPr="004F6282">
        <w:rPr>
          <w:szCs w:val="18"/>
          <w:lang w:val="ru-RU"/>
        </w:rPr>
        <w:t>мере необходимости</w:t>
      </w:r>
      <w:r>
        <w:rPr>
          <w:szCs w:val="18"/>
          <w:lang w:val="ru-RU"/>
        </w:rPr>
        <w:t>,</w:t>
      </w:r>
      <w:r w:rsidRPr="004F6282">
        <w:rPr>
          <w:szCs w:val="18"/>
          <w:lang w:val="ru-RU"/>
        </w:rPr>
        <w:t xml:space="preserve"> технические характеристики и критерии защиты для приемных и передающих станций ВПС, </w:t>
      </w:r>
      <w:r>
        <w:rPr>
          <w:szCs w:val="18"/>
          <w:lang w:val="ru-RU"/>
        </w:rPr>
        <w:t>приведенные</w:t>
      </w:r>
      <w:r w:rsidRPr="004F6282">
        <w:rPr>
          <w:szCs w:val="18"/>
          <w:lang w:val="ru-RU"/>
        </w:rPr>
        <w:t xml:space="preserve"> в Приложении.</w:t>
      </w:r>
    </w:p>
    <w:p w:rsidR="00B95B80" w:rsidRDefault="00B95B80" w:rsidP="00B95B80">
      <w:pPr>
        <w:rPr>
          <w:lang w:val="ru-RU"/>
        </w:rPr>
      </w:pPr>
    </w:p>
    <w:p w:rsidR="00670B72" w:rsidRPr="00CB334E" w:rsidRDefault="00670B72" w:rsidP="00B95B80">
      <w:pPr>
        <w:rPr>
          <w:lang w:val="ru-RU"/>
        </w:rPr>
      </w:pPr>
    </w:p>
    <w:p w:rsidR="00B95B80" w:rsidRPr="00CB334E" w:rsidRDefault="00B95B80" w:rsidP="00B95B80">
      <w:pPr>
        <w:pStyle w:val="AnnexNoTitle"/>
        <w:rPr>
          <w:lang w:val="ru-RU"/>
        </w:rPr>
      </w:pPr>
      <w:r w:rsidRPr="00EF1E0C">
        <w:rPr>
          <w:szCs w:val="26"/>
          <w:lang w:val="ru-RU"/>
        </w:rPr>
        <w:t>Приложение</w:t>
      </w:r>
      <w:r w:rsidRPr="00CB334E">
        <w:rPr>
          <w:szCs w:val="26"/>
          <w:lang w:val="ru-RU"/>
        </w:rPr>
        <w:br/>
      </w:r>
      <w:r w:rsidRPr="00CB334E">
        <w:rPr>
          <w:lang w:val="ru-RU"/>
        </w:rPr>
        <w:br/>
      </w:r>
      <w:r w:rsidRPr="001B24D3">
        <w:rPr>
          <w:szCs w:val="26"/>
          <w:lang w:val="ru-RU" w:eastAsia="zh-CN"/>
        </w:rPr>
        <w:t>Технические характеристики и критерии защиты для систем воздушной подвижной службы в полосе частот 21,2–22 ГГц</w:t>
      </w:r>
    </w:p>
    <w:p w:rsidR="00B95B80" w:rsidRPr="00EF1E0C" w:rsidRDefault="00B95B80" w:rsidP="00B95B80">
      <w:pPr>
        <w:pStyle w:val="Heading1"/>
        <w:rPr>
          <w:lang w:val="ru-RU"/>
        </w:rPr>
      </w:pPr>
      <w:r w:rsidRPr="00CB334E">
        <w:rPr>
          <w:lang w:val="ru-RU"/>
        </w:rPr>
        <w:t>1</w:t>
      </w:r>
      <w:r w:rsidRPr="00CB334E">
        <w:rPr>
          <w:lang w:val="ru-RU"/>
        </w:rPr>
        <w:tab/>
      </w:r>
      <w:r>
        <w:rPr>
          <w:lang w:val="ru-RU"/>
        </w:rPr>
        <w:t>Введение</w:t>
      </w:r>
    </w:p>
    <w:p w:rsidR="00B95B80" w:rsidRPr="001B24D3" w:rsidRDefault="00B95B80" w:rsidP="00B95B80">
      <w:pPr>
        <w:rPr>
          <w:szCs w:val="22"/>
          <w:lang w:val="ru-RU"/>
        </w:rPr>
      </w:pPr>
      <w:r w:rsidRPr="001B24D3">
        <w:rPr>
          <w:szCs w:val="22"/>
          <w:lang w:val="ru-RU"/>
        </w:rPr>
        <w:t xml:space="preserve">Системы и сети, </w:t>
      </w:r>
      <w:r>
        <w:rPr>
          <w:szCs w:val="22"/>
          <w:lang w:val="ru-RU"/>
        </w:rPr>
        <w:t>работающие</w:t>
      </w:r>
      <w:r w:rsidRPr="001B24D3">
        <w:rPr>
          <w:szCs w:val="22"/>
          <w:lang w:val="ru-RU"/>
        </w:rPr>
        <w:t xml:space="preserve"> в ВПС, все чаще используются органами местного самоуправления и национальными правительствами, а также объединениями гражданского сектора и системы образования для обеспечения широкополосных воздушных линий передачи данных </w:t>
      </w:r>
      <w:r w:rsidRPr="001B24D3">
        <w:rPr>
          <w:szCs w:val="18"/>
          <w:lang w:val="ru-RU"/>
        </w:rPr>
        <w:t>в целях оказания поддержки применениям дистанционного зондирования (например, наук</w:t>
      </w:r>
      <w:r>
        <w:rPr>
          <w:szCs w:val="18"/>
          <w:lang w:val="ru-RU"/>
        </w:rPr>
        <w:t>и</w:t>
      </w:r>
      <w:r w:rsidRPr="001B24D3">
        <w:rPr>
          <w:szCs w:val="18"/>
          <w:lang w:val="ru-RU"/>
        </w:rPr>
        <w:t xml:space="preserve"> о Земле, управлени</w:t>
      </w:r>
      <w:r>
        <w:rPr>
          <w:szCs w:val="18"/>
          <w:lang w:val="ru-RU"/>
        </w:rPr>
        <w:t>е</w:t>
      </w:r>
      <w:r w:rsidRPr="001B24D3">
        <w:rPr>
          <w:szCs w:val="18"/>
          <w:lang w:val="ru-RU"/>
        </w:rPr>
        <w:t xml:space="preserve"> землепользованием и распределени</w:t>
      </w:r>
      <w:r>
        <w:rPr>
          <w:szCs w:val="18"/>
          <w:lang w:val="ru-RU"/>
        </w:rPr>
        <w:t>е</w:t>
      </w:r>
      <w:r w:rsidRPr="001B24D3">
        <w:rPr>
          <w:szCs w:val="18"/>
          <w:lang w:val="ru-RU"/>
        </w:rPr>
        <w:t xml:space="preserve"> энергии)</w:t>
      </w:r>
      <w:r w:rsidRPr="001B24D3">
        <w:rPr>
          <w:szCs w:val="22"/>
          <w:lang w:val="ru-RU"/>
        </w:rPr>
        <w:t xml:space="preserve">. </w:t>
      </w:r>
      <w:r w:rsidRPr="001B24D3">
        <w:rPr>
          <w:szCs w:val="18"/>
          <w:lang w:val="ru-RU"/>
        </w:rPr>
        <w:t>Примерами таких применений служат, в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 xml:space="preserve">частности, мониторинг толщины и распределения ледяного покрова арктических морей, обеспечение соблюдения местного и национального законодательства, картирование лесных пожаров, мониторинг состояния </w:t>
      </w:r>
      <w:r w:rsidRPr="001B24D3">
        <w:rPr>
          <w:szCs w:val="18"/>
          <w:lang w:val="ru-RU"/>
        </w:rPr>
        <w:lastRenderedPageBreak/>
        <w:t>нефтепроводов, контроль за использованием земель сельскохозяйственного назначения и в городских районах, а также обследование природных ресурсов</w:t>
      </w:r>
      <w:r w:rsidRPr="001B24D3">
        <w:rPr>
          <w:szCs w:val="22"/>
          <w:lang w:val="ru-RU"/>
        </w:rPr>
        <w:t>.</w:t>
      </w:r>
    </w:p>
    <w:p w:rsidR="00B95B80" w:rsidRPr="001B24D3" w:rsidRDefault="00B95B80" w:rsidP="00B95B80">
      <w:pPr>
        <w:pStyle w:val="Heading1"/>
        <w:rPr>
          <w:szCs w:val="18"/>
          <w:lang w:val="ru-RU"/>
        </w:rPr>
      </w:pPr>
      <w:r w:rsidRPr="001B24D3">
        <w:rPr>
          <w:szCs w:val="18"/>
          <w:lang w:val="ru-RU"/>
        </w:rPr>
        <w:t>2</w:t>
      </w:r>
      <w:r w:rsidRPr="001B24D3">
        <w:rPr>
          <w:szCs w:val="18"/>
          <w:lang w:val="ru-RU"/>
        </w:rPr>
        <w:tab/>
        <w:t>Оперативное развертывание</w:t>
      </w:r>
    </w:p>
    <w:p w:rsidR="00B95B80" w:rsidRPr="001B24D3" w:rsidRDefault="00B95B80" w:rsidP="00B95B80">
      <w:pPr>
        <w:rPr>
          <w:szCs w:val="18"/>
          <w:lang w:val="ru-RU"/>
        </w:rPr>
      </w:pPr>
      <w:r w:rsidRPr="001B24D3">
        <w:rPr>
          <w:szCs w:val="18"/>
          <w:lang w:val="ru-RU"/>
        </w:rPr>
        <w:t>Платформы работают в воздушном пространстве группами по четыре на 100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миль, используя воздушные подвижные системы для связи с другими платформами и осуществляя полеты на высоте от 500 футов (152,4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м) до 50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000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футов (15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240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м).</w:t>
      </w:r>
    </w:p>
    <w:p w:rsidR="00B95B80" w:rsidRPr="001B24D3" w:rsidRDefault="00B95B80" w:rsidP="00B95B80">
      <w:pPr>
        <w:pStyle w:val="Heading1"/>
        <w:rPr>
          <w:szCs w:val="18"/>
          <w:lang w:val="ru-RU"/>
        </w:rPr>
      </w:pPr>
      <w:r w:rsidRPr="001B24D3">
        <w:rPr>
          <w:szCs w:val="18"/>
          <w:lang w:val="ru-RU"/>
        </w:rPr>
        <w:t>3</w:t>
      </w:r>
      <w:r w:rsidRPr="001B24D3">
        <w:rPr>
          <w:szCs w:val="18"/>
          <w:lang w:val="ru-RU"/>
        </w:rPr>
        <w:tab/>
        <w:t>Технические характеристики воздушных подвижных систем</w:t>
      </w:r>
    </w:p>
    <w:p w:rsidR="00B95B80" w:rsidRPr="00CB334E" w:rsidRDefault="00B95B80" w:rsidP="00B95B80">
      <w:pPr>
        <w:rPr>
          <w:szCs w:val="24"/>
          <w:lang w:val="ru-RU"/>
        </w:rPr>
      </w:pPr>
      <w:r w:rsidRPr="001B24D3">
        <w:rPr>
          <w:szCs w:val="18"/>
          <w:lang w:val="ru-RU"/>
        </w:rPr>
        <w:t>Типовые технические характеристики для воздушных линий передачи данных в ВПС в полосе частот 21,2–22 ГГц представлены в таблице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1</w:t>
      </w:r>
      <w:r w:rsidRPr="001B24D3">
        <w:rPr>
          <w:szCs w:val="22"/>
          <w:lang w:val="ru-RU"/>
        </w:rPr>
        <w:t>.</w:t>
      </w:r>
    </w:p>
    <w:p w:rsidR="00B95B80" w:rsidRPr="001B24D3" w:rsidRDefault="00B95B80" w:rsidP="00B95B80">
      <w:pPr>
        <w:pStyle w:val="Heading2"/>
        <w:rPr>
          <w:szCs w:val="18"/>
          <w:lang w:val="ru-RU"/>
        </w:rPr>
      </w:pPr>
      <w:r w:rsidRPr="00CB334E">
        <w:rPr>
          <w:lang w:val="ru-RU"/>
        </w:rPr>
        <w:t>3.1</w:t>
      </w:r>
      <w:r w:rsidRPr="00CB334E">
        <w:rPr>
          <w:lang w:val="ru-RU"/>
        </w:rPr>
        <w:tab/>
      </w:r>
      <w:r w:rsidRPr="001B24D3">
        <w:rPr>
          <w:szCs w:val="18"/>
          <w:lang w:val="ru-RU"/>
        </w:rPr>
        <w:t>Характеристики передатчика</w:t>
      </w:r>
    </w:p>
    <w:p w:rsidR="00B95B80" w:rsidRPr="001B24D3" w:rsidRDefault="00B95B80" w:rsidP="00B95B80">
      <w:pPr>
        <w:rPr>
          <w:szCs w:val="18"/>
          <w:lang w:val="ru-RU"/>
        </w:rPr>
      </w:pPr>
      <w:r w:rsidRPr="001B24D3">
        <w:rPr>
          <w:szCs w:val="18"/>
          <w:lang w:val="ru-RU"/>
        </w:rPr>
        <w:t>В системе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1 воздушной подвижной системы, работающей или планируемой для работы в полосе частот 21,2–22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ГГц, обычно используется цифровая модуляция ЧМ-несущей типа гауссовой манипуляции с минимальным сдвигом (GMSK). Такой передатчик излуча</w:t>
      </w:r>
      <w:r w:rsidR="00670B72">
        <w:rPr>
          <w:szCs w:val="18"/>
          <w:lang w:val="ru-RU"/>
        </w:rPr>
        <w:t>ет радиоволны одного формата. В </w:t>
      </w:r>
      <w:r w:rsidRPr="001B24D3">
        <w:rPr>
          <w:szCs w:val="18"/>
          <w:lang w:val="ru-RU"/>
        </w:rPr>
        <w:t xml:space="preserve">передатчиках используются твердотельные выходные усилители мощности. </w:t>
      </w:r>
    </w:p>
    <w:p w:rsidR="00B95B80" w:rsidRPr="001B24D3" w:rsidRDefault="00B95B80" w:rsidP="00B95B80">
      <w:pPr>
        <w:rPr>
          <w:szCs w:val="18"/>
          <w:lang w:val="ru-RU"/>
        </w:rPr>
      </w:pPr>
      <w:r w:rsidRPr="001B24D3">
        <w:rPr>
          <w:szCs w:val="18"/>
          <w:lang w:val="ru-RU"/>
        </w:rPr>
        <w:t>Ширина полосы радиочастотного излучения передатчика (3 дБ) системы 1 для систем подвижной связи, работающих или планируемых для работы в полосе частот 21,2–22 ГГц. Пиковая выходная мощность передатчика фиксирован</w:t>
      </w:r>
      <w:r>
        <w:rPr>
          <w:szCs w:val="18"/>
          <w:lang w:val="ru-RU"/>
        </w:rPr>
        <w:t>ная</w:t>
      </w:r>
      <w:r w:rsidRPr="001B24D3">
        <w:rPr>
          <w:szCs w:val="18"/>
          <w:lang w:val="ru-RU"/>
        </w:rPr>
        <w:t xml:space="preserve"> и составляет 50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>дБм. Каждая станция системы 1 осуществляет передачу с</w:t>
      </w:r>
      <w:r>
        <w:rPr>
          <w:szCs w:val="18"/>
          <w:lang w:val="ru-RU"/>
        </w:rPr>
        <w:t xml:space="preserve"> коэффициентом заполнения, составляющим</w:t>
      </w:r>
      <w:r w:rsidRPr="001B24D3">
        <w:rPr>
          <w:szCs w:val="18"/>
          <w:lang w:val="ru-RU"/>
        </w:rPr>
        <w:t xml:space="preserve"> менее 20% рабочего периода установки.</w:t>
      </w:r>
    </w:p>
    <w:p w:rsidR="00B95B80" w:rsidRPr="001B24D3" w:rsidRDefault="00B95B80" w:rsidP="00B95B80">
      <w:pPr>
        <w:pStyle w:val="Heading2"/>
        <w:rPr>
          <w:szCs w:val="18"/>
          <w:lang w:val="ru-RU"/>
        </w:rPr>
      </w:pPr>
      <w:r w:rsidRPr="001B24D3">
        <w:rPr>
          <w:szCs w:val="18"/>
          <w:lang w:val="ru-RU"/>
        </w:rPr>
        <w:t>3.2</w:t>
      </w:r>
      <w:r w:rsidRPr="001B24D3">
        <w:rPr>
          <w:szCs w:val="18"/>
          <w:lang w:val="ru-RU"/>
        </w:rPr>
        <w:tab/>
        <w:t>Характеристики приемника</w:t>
      </w:r>
    </w:p>
    <w:p w:rsidR="00B95B80" w:rsidRPr="001B24D3" w:rsidRDefault="00B95B80" w:rsidP="00B95B80">
      <w:pPr>
        <w:rPr>
          <w:szCs w:val="18"/>
          <w:lang w:val="ru-RU"/>
        </w:rPr>
      </w:pPr>
      <w:r w:rsidRPr="001B24D3">
        <w:rPr>
          <w:szCs w:val="18"/>
          <w:lang w:val="ru-RU"/>
        </w:rPr>
        <w:t>Для улучшения рабочих характеристик в системе</w:t>
      </w:r>
      <w:r>
        <w:rPr>
          <w:szCs w:val="18"/>
          <w:lang w:val="ru-RU"/>
        </w:rPr>
        <w:t> </w:t>
      </w:r>
      <w:r w:rsidRPr="001B24D3">
        <w:rPr>
          <w:szCs w:val="18"/>
          <w:lang w:val="ru-RU"/>
        </w:rPr>
        <w:t xml:space="preserve">1 используется цифровая обработка сигналов. </w:t>
      </w:r>
      <w:r>
        <w:rPr>
          <w:szCs w:val="18"/>
          <w:lang w:val="ru-RU"/>
        </w:rPr>
        <w:t>В </w:t>
      </w:r>
      <w:r w:rsidRPr="001B24D3">
        <w:rPr>
          <w:szCs w:val="18"/>
          <w:lang w:val="ru-RU"/>
        </w:rPr>
        <w:t xml:space="preserve">системах 1 нового поколения для обработки сигналов используются другие передовые методы для ускорения обработки требуемого сигнала и может также обеспечиваться подавление нежелательных сигналов. </w:t>
      </w:r>
    </w:p>
    <w:p w:rsidR="00B95B80" w:rsidRPr="001B24D3" w:rsidRDefault="00B95B80" w:rsidP="00B95B80">
      <w:pPr>
        <w:pStyle w:val="Heading2"/>
        <w:rPr>
          <w:szCs w:val="18"/>
          <w:lang w:val="ru-RU"/>
        </w:rPr>
      </w:pPr>
      <w:r w:rsidRPr="001B24D3">
        <w:rPr>
          <w:szCs w:val="18"/>
          <w:lang w:val="ru-RU"/>
        </w:rPr>
        <w:t>3.3</w:t>
      </w:r>
      <w:r w:rsidRPr="001B24D3">
        <w:rPr>
          <w:szCs w:val="18"/>
          <w:lang w:val="ru-RU"/>
        </w:rPr>
        <w:tab/>
        <w:t>Характеристики антенны</w:t>
      </w:r>
    </w:p>
    <w:p w:rsidR="00B95B80" w:rsidRPr="00CB334E" w:rsidRDefault="00B95B80" w:rsidP="00B95B80">
      <w:pPr>
        <w:rPr>
          <w:lang w:val="ru-RU"/>
        </w:rPr>
      </w:pPr>
      <w:r w:rsidRPr="001B24D3">
        <w:rPr>
          <w:szCs w:val="18"/>
          <w:lang w:val="ru-RU"/>
        </w:rPr>
        <w:t>Коэффициент усиления бортовой антенны системы 1 составляет 0 дБи при всенаправленной вертикальной поляризации.</w:t>
      </w:r>
    </w:p>
    <w:p w:rsidR="00B95B80" w:rsidRPr="00DC6A8D" w:rsidRDefault="00B95B80" w:rsidP="00B95B80">
      <w:pPr>
        <w:pStyle w:val="Heading1"/>
        <w:jc w:val="left"/>
        <w:rPr>
          <w:lang w:val="ru-RU"/>
        </w:rPr>
      </w:pPr>
      <w:r w:rsidRPr="00CB334E">
        <w:rPr>
          <w:lang w:val="ru-RU"/>
        </w:rPr>
        <w:t>4</w:t>
      </w:r>
      <w:r w:rsidRPr="00CB334E">
        <w:rPr>
          <w:lang w:val="ru-RU"/>
        </w:rPr>
        <w:tab/>
      </w:r>
      <w:r>
        <w:rPr>
          <w:lang w:val="ru-RU"/>
        </w:rPr>
        <w:t>Критерии защиты для систем воздушной подвижной службы в полосе частот 21,2–22 ГГц</w:t>
      </w:r>
    </w:p>
    <w:p w:rsidR="00B95B80" w:rsidRPr="001B24D3" w:rsidRDefault="00B95B80" w:rsidP="00B95B80">
      <w:pPr>
        <w:rPr>
          <w:szCs w:val="18"/>
          <w:lang w:val="ru-RU"/>
        </w:rPr>
      </w:pPr>
      <w:r w:rsidRPr="001B24D3">
        <w:rPr>
          <w:szCs w:val="18"/>
          <w:lang w:val="ru-RU"/>
        </w:rPr>
        <w:t>При работе в условиях, когда расстояние разнесения между передатчиком и приемником составляет почти максимальную величину линии прямой радиовидимости, показатели линии связи часто ограничиваются шумами. Увеличение фактического уровня шума в приемнике на 1 дБ означало бы существенное снижение протяженности линии связи, эквивалентно</w:t>
      </w:r>
      <w:r>
        <w:rPr>
          <w:szCs w:val="18"/>
          <w:lang w:val="ru-RU"/>
        </w:rPr>
        <w:t>е</w:t>
      </w:r>
      <w:r w:rsidRPr="001B24D3">
        <w:rPr>
          <w:szCs w:val="18"/>
          <w:lang w:val="ru-RU"/>
        </w:rPr>
        <w:t xml:space="preserve"> снижению протяженности линии связи примерно на 10% в условиях распространения в свободном пространстве.</w:t>
      </w:r>
    </w:p>
    <w:p w:rsidR="00B95B80" w:rsidRPr="00CB334E" w:rsidRDefault="00B95B80" w:rsidP="00B95B80">
      <w:pPr>
        <w:rPr>
          <w:lang w:val="ru-RU"/>
        </w:rPr>
      </w:pPr>
      <w:r w:rsidRPr="001B24D3">
        <w:rPr>
          <w:szCs w:val="18"/>
          <w:lang w:val="ru-RU"/>
        </w:rPr>
        <w:t xml:space="preserve">Такое увеличение фактического уровня шума в приемнике соответствует соотношению </w:t>
      </w:r>
      <w:r w:rsidRPr="00DC6A8D">
        <w:rPr>
          <w:iCs/>
          <w:szCs w:val="18"/>
          <w:lang w:val="ru-RU"/>
        </w:rPr>
        <w:t>(</w:t>
      </w:r>
      <w:r w:rsidRPr="00C1775A">
        <w:rPr>
          <w:i/>
          <w:iCs/>
          <w:szCs w:val="18"/>
          <w:lang w:val="ru-RU"/>
        </w:rPr>
        <w:t>I + N</w:t>
      </w:r>
      <w:r w:rsidRPr="00DC6A8D">
        <w:rPr>
          <w:iCs/>
          <w:szCs w:val="18"/>
          <w:lang w:val="ru-RU"/>
        </w:rPr>
        <w:t>)</w:t>
      </w:r>
      <w:r w:rsidRPr="00C1775A">
        <w:rPr>
          <w:i/>
          <w:iCs/>
          <w:szCs w:val="18"/>
          <w:lang w:val="ru-RU"/>
        </w:rPr>
        <w:t>/N</w:t>
      </w:r>
      <w:r w:rsidRPr="001B24D3">
        <w:rPr>
          <w:szCs w:val="18"/>
          <w:lang w:val="ru-RU"/>
        </w:rPr>
        <w:t xml:space="preserve"> в 1,26 или </w:t>
      </w:r>
      <w:r w:rsidRPr="00C1775A">
        <w:rPr>
          <w:i/>
          <w:iCs/>
          <w:szCs w:val="18"/>
          <w:lang w:val="ru-RU"/>
        </w:rPr>
        <w:t>I/N</w:t>
      </w:r>
      <w:r w:rsidRPr="001B24D3">
        <w:rPr>
          <w:szCs w:val="18"/>
          <w:lang w:val="ru-RU"/>
        </w:rPr>
        <w:t xml:space="preserve"> порядка –6 дБ. Эта величина представляет собой критерий требуемой защиты для ВПС от помех, создаваемых другой службой радиосвязи. </w:t>
      </w:r>
      <w:r>
        <w:rPr>
          <w:szCs w:val="18"/>
          <w:lang w:val="ru-RU"/>
        </w:rPr>
        <w:t>Д</w:t>
      </w:r>
      <w:r w:rsidRPr="001B24D3">
        <w:rPr>
          <w:szCs w:val="18"/>
          <w:lang w:val="ru-RU"/>
        </w:rPr>
        <w:t xml:space="preserve">ля защиты ВПС </w:t>
      </w:r>
      <w:r>
        <w:rPr>
          <w:szCs w:val="18"/>
          <w:lang w:val="ru-RU"/>
        </w:rPr>
        <w:t>п</w:t>
      </w:r>
      <w:r w:rsidRPr="001B24D3">
        <w:rPr>
          <w:szCs w:val="18"/>
          <w:lang w:val="ru-RU"/>
        </w:rPr>
        <w:t>ри наличии нескольких возможных источников помех необходимо, чтобы этот критерий не был превышен ввиду суммарных помех от нескольких источников.</w:t>
      </w:r>
    </w:p>
    <w:p w:rsidR="00B95B80" w:rsidRPr="00CB334E" w:rsidRDefault="00B95B80" w:rsidP="00B95B80">
      <w:pPr>
        <w:pStyle w:val="TableNo"/>
        <w:keepLines/>
        <w:pageBreakBefore/>
        <w:rPr>
          <w:lang w:val="ru-RU"/>
        </w:rPr>
      </w:pPr>
      <w:r>
        <w:rPr>
          <w:lang w:val="ru-RU"/>
        </w:rPr>
        <w:lastRenderedPageBreak/>
        <w:t>ТАБЛИЦА</w:t>
      </w:r>
      <w:r w:rsidRPr="00CB334E">
        <w:rPr>
          <w:lang w:val="ru-RU"/>
        </w:rPr>
        <w:t xml:space="preserve"> 1</w:t>
      </w:r>
    </w:p>
    <w:p w:rsidR="00B95B80" w:rsidRPr="00CB334E" w:rsidRDefault="00B95B80" w:rsidP="00B95B80">
      <w:pPr>
        <w:pStyle w:val="Tabletitle"/>
        <w:rPr>
          <w:lang w:val="ru-RU"/>
        </w:rPr>
      </w:pPr>
      <w:r w:rsidRPr="001B24D3">
        <w:rPr>
          <w:szCs w:val="18"/>
          <w:lang w:val="ru-RU"/>
        </w:rPr>
        <w:t>Типовые технические характеристики систем воздушной подвижной службы</w:t>
      </w:r>
      <w:r>
        <w:rPr>
          <w:szCs w:val="18"/>
          <w:lang w:val="ru-RU"/>
        </w:rPr>
        <w:br/>
      </w:r>
      <w:r w:rsidRPr="001B24D3">
        <w:rPr>
          <w:szCs w:val="18"/>
          <w:lang w:val="ru-RU"/>
        </w:rPr>
        <w:t>в полосе частот 21,2</w:t>
      </w:r>
      <w:r w:rsidRPr="001B24D3">
        <w:rPr>
          <w:szCs w:val="18"/>
          <w:lang w:val="ru-RU"/>
        </w:rPr>
        <w:noBreakHyphen/>
        <w:t>22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8"/>
        <w:gridCol w:w="4471"/>
      </w:tblGrid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head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Параметр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358F8">
            <w:pPr>
              <w:pStyle w:val="Tablehead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Система 1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Направление связи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Воздух-воздух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Диапазон настройки передатчика (ГГц)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21,2</w:t>
            </w:r>
            <w:r>
              <w:rPr>
                <w:szCs w:val="18"/>
                <w:lang w:val="ru-RU"/>
              </w:rPr>
              <w:t>–</w:t>
            </w:r>
            <w:r w:rsidRPr="001B24D3">
              <w:rPr>
                <w:szCs w:val="18"/>
                <w:lang w:val="ru-RU"/>
              </w:rPr>
              <w:t>21,5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Выходная мощность передатчика (дБм)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50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 xml:space="preserve">Ширина полосы передатчика (МГц) </w:t>
            </w:r>
            <w:r w:rsidRPr="001B24D3">
              <w:rPr>
                <w:szCs w:val="18"/>
                <w:lang w:val="ru-RU"/>
              </w:rPr>
              <w:br/>
            </w:r>
            <w:r w:rsidRPr="001B24D3">
              <w:rPr>
                <w:szCs w:val="18"/>
                <w:lang w:val="ru-RU"/>
              </w:rPr>
              <w:tab/>
              <w:t>−3 дБ</w:t>
            </w:r>
          </w:p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ab/>
              <w:t>−20 дБ</w:t>
            </w:r>
          </w:p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ab/>
              <w:t>−60 дБ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br/>
              <w:t>310</w:t>
            </w:r>
          </w:p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315</w:t>
            </w:r>
          </w:p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360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Ослабление побочных излучений передатчика (дБ)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&gt; −80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Модуляция передатчика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ЧМ/GMSK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Диапазон настройки приемника (ГГц)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21,2</w:t>
            </w:r>
            <w:r>
              <w:rPr>
                <w:szCs w:val="18"/>
                <w:lang w:val="ru-RU"/>
              </w:rPr>
              <w:t>–</w:t>
            </w:r>
            <w:r w:rsidRPr="001B24D3">
              <w:rPr>
                <w:szCs w:val="18"/>
                <w:lang w:val="ru-RU"/>
              </w:rPr>
              <w:t>21,5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 xml:space="preserve">Избирательность приемника по ПЧ (МГц) </w:t>
            </w:r>
            <w:r w:rsidRPr="001B24D3">
              <w:rPr>
                <w:szCs w:val="18"/>
                <w:lang w:val="ru-RU"/>
              </w:rPr>
              <w:br/>
            </w:r>
            <w:r w:rsidRPr="001B24D3">
              <w:rPr>
                <w:szCs w:val="18"/>
                <w:lang w:val="ru-RU"/>
              </w:rPr>
              <w:tab/>
              <w:t>−3 дБ</w:t>
            </w:r>
            <w:r w:rsidRPr="001B24D3">
              <w:rPr>
                <w:szCs w:val="18"/>
                <w:lang w:val="ru-RU"/>
              </w:rPr>
              <w:br/>
            </w:r>
            <w:r w:rsidRPr="001B24D3">
              <w:rPr>
                <w:szCs w:val="18"/>
                <w:lang w:val="ru-RU"/>
              </w:rPr>
              <w:tab/>
              <w:t>−20 дБ</w:t>
            </w:r>
            <w:r w:rsidRPr="001B24D3">
              <w:rPr>
                <w:szCs w:val="18"/>
                <w:lang w:val="ru-RU"/>
              </w:rPr>
              <w:br/>
            </w:r>
            <w:r w:rsidRPr="001B24D3">
              <w:rPr>
                <w:szCs w:val="18"/>
                <w:lang w:val="ru-RU"/>
              </w:rPr>
              <w:tab/>
              <w:t>−60 дБ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br/>
              <w:t>306</w:t>
            </w:r>
            <w:r w:rsidRPr="001B24D3">
              <w:rPr>
                <w:szCs w:val="18"/>
                <w:lang w:val="ru-RU"/>
              </w:rPr>
              <w:br/>
              <w:t>315</w:t>
            </w:r>
            <w:r w:rsidRPr="001B24D3">
              <w:rPr>
                <w:szCs w:val="18"/>
                <w:lang w:val="ru-RU"/>
              </w:rPr>
              <w:br/>
              <w:t>380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 xml:space="preserve">Избирательность приемника по ВЧ (МГц) </w:t>
            </w:r>
            <w:r w:rsidRPr="001B24D3">
              <w:rPr>
                <w:szCs w:val="18"/>
                <w:lang w:val="ru-RU"/>
              </w:rPr>
              <w:br/>
            </w:r>
            <w:r w:rsidRPr="001B24D3">
              <w:rPr>
                <w:szCs w:val="18"/>
                <w:lang w:val="ru-RU"/>
              </w:rPr>
              <w:tab/>
              <w:t>−3 дБ</w:t>
            </w:r>
            <w:r w:rsidRPr="001B24D3">
              <w:rPr>
                <w:szCs w:val="18"/>
                <w:lang w:val="ru-RU"/>
              </w:rPr>
              <w:br/>
            </w:r>
            <w:r w:rsidRPr="001B24D3">
              <w:rPr>
                <w:szCs w:val="18"/>
                <w:lang w:val="ru-RU"/>
              </w:rPr>
              <w:tab/>
              <w:t>−20 дБ</w:t>
            </w:r>
            <w:r w:rsidRPr="001B24D3">
              <w:rPr>
                <w:szCs w:val="18"/>
                <w:lang w:val="ru-RU"/>
              </w:rPr>
              <w:br/>
            </w:r>
            <w:r w:rsidRPr="001B24D3">
              <w:rPr>
                <w:szCs w:val="18"/>
                <w:lang w:val="ru-RU"/>
              </w:rPr>
              <w:tab/>
              <w:t>−60 дБ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br/>
              <w:t>310</w:t>
            </w:r>
            <w:r w:rsidRPr="001B24D3">
              <w:rPr>
                <w:szCs w:val="18"/>
                <w:lang w:val="ru-RU"/>
              </w:rPr>
              <w:br/>
              <w:t>315</w:t>
            </w:r>
            <w:r w:rsidRPr="001B24D3">
              <w:rPr>
                <w:szCs w:val="18"/>
                <w:lang w:val="ru-RU"/>
              </w:rPr>
              <w:br/>
              <w:t>360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Коэффициент шума приемника (дБ)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7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 xml:space="preserve">Подавление </w:t>
            </w:r>
            <w:r w:rsidRPr="00C1775A">
              <w:rPr>
                <w:szCs w:val="18"/>
                <w:lang w:val="ru-RU"/>
              </w:rPr>
              <w:t>помех по зеркальному каналу</w:t>
            </w:r>
            <w:r w:rsidRPr="001B24D3">
              <w:rPr>
                <w:szCs w:val="18"/>
                <w:lang w:val="ru-RU"/>
              </w:rPr>
              <w:t xml:space="preserve"> в приемнике (дБ)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30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Подавление побочных излучений в приемнике (дБ)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60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У</w:t>
            </w:r>
            <w:r w:rsidRPr="001B24D3">
              <w:rPr>
                <w:szCs w:val="18"/>
                <w:lang w:val="ru-RU"/>
              </w:rPr>
              <w:t>силени</w:t>
            </w:r>
            <w:r>
              <w:rPr>
                <w:szCs w:val="18"/>
                <w:lang w:val="ru-RU"/>
              </w:rPr>
              <w:t>е</w:t>
            </w:r>
            <w:r w:rsidRPr="001B24D3">
              <w:rPr>
                <w:szCs w:val="18"/>
                <w:lang w:val="ru-RU"/>
              </w:rPr>
              <w:t xml:space="preserve"> антенны</w:t>
            </w:r>
            <w:r>
              <w:rPr>
                <w:szCs w:val="18"/>
                <w:lang w:val="ru-RU"/>
              </w:rPr>
              <w:t xml:space="preserve"> </w:t>
            </w:r>
            <w:r w:rsidRPr="001B24D3">
              <w:rPr>
                <w:szCs w:val="18"/>
                <w:lang w:val="ru-RU"/>
              </w:rPr>
              <w:t>(дБи)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0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1-й боковой лепесток антенны (дБ)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Неприменимо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Поляризация антенны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Вертикальная</w:t>
            </w:r>
          </w:p>
        </w:tc>
      </w:tr>
      <w:tr w:rsidR="00B95B80" w:rsidTr="006358F8">
        <w:trPr>
          <w:jc w:val="center"/>
        </w:trPr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B80" w:rsidRPr="001B24D3" w:rsidRDefault="00B95B80" w:rsidP="00670B72">
            <w:pPr>
              <w:pStyle w:val="Tabletext"/>
              <w:jc w:val="left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Диаграмма направленности/тип антенны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80" w:rsidRPr="001B24D3" w:rsidRDefault="00B95B80" w:rsidP="006358F8">
            <w:pPr>
              <w:pStyle w:val="Tabletext"/>
              <w:jc w:val="center"/>
              <w:rPr>
                <w:szCs w:val="18"/>
                <w:lang w:val="ru-RU"/>
              </w:rPr>
            </w:pPr>
            <w:r w:rsidRPr="001B24D3">
              <w:rPr>
                <w:szCs w:val="18"/>
                <w:lang w:val="ru-RU"/>
              </w:rPr>
              <w:t>Всенаправленная</w:t>
            </w:r>
          </w:p>
        </w:tc>
      </w:tr>
    </w:tbl>
    <w:p w:rsidR="00B95B80" w:rsidRDefault="00B95B80" w:rsidP="00B95B80">
      <w:pPr>
        <w:pStyle w:val="Tablefin"/>
        <w:rPr>
          <w:lang w:val="ru-RU"/>
        </w:rPr>
      </w:pPr>
    </w:p>
    <w:p w:rsidR="00B95B80" w:rsidRDefault="00B95B80">
      <w:pPr>
        <w:jc w:val="center"/>
      </w:pPr>
      <w:bookmarkStart w:id="3" w:name="_GoBack"/>
      <w:bookmarkEnd w:id="3"/>
      <w:r>
        <w:t>______________</w:t>
      </w:r>
    </w:p>
    <w:sectPr w:rsidR="00B95B80" w:rsidSect="00C906E6">
      <w:headerReference w:type="first" r:id="rId1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?????????????¡ì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70B72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70B72">
      <w:rPr>
        <w:b/>
        <w:bCs/>
        <w:noProof/>
        <w:szCs w:val="22"/>
        <w:lang w:val="en-US"/>
      </w:rPr>
      <w:t>МСЭ-R  M.2120-0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70B72">
      <w:rPr>
        <w:b/>
        <w:bCs/>
        <w:noProof/>
      </w:rPr>
      <w:t>МСЭ-R  M.2120-0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70B72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70B72">
      <w:rPr>
        <w:b/>
        <w:bCs/>
        <w:noProof/>
        <w:szCs w:val="22"/>
        <w:lang w:val="en-US"/>
      </w:rPr>
      <w:t>МСЭ-R  M.2120-0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70B72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5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15"/>
  </w:num>
  <w:num w:numId="17">
    <w:abstractNumId w:val="1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70B72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7D3737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5B80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65D6F3F7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uiPriority w:val="99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TableNoChar">
    <w:name w:val="Table_No Char"/>
    <w:basedOn w:val="DefaultParagraphFont"/>
    <w:locked/>
    <w:rsid w:val="00B95B80"/>
    <w:rPr>
      <w:sz w:val="24"/>
      <w:lang w:val="fr-FR" w:eastAsia="en-US"/>
    </w:rPr>
  </w:style>
  <w:style w:type="table" w:styleId="TableGrid">
    <w:name w:val="Table Grid"/>
    <w:basedOn w:val="TableNormal"/>
    <w:rsid w:val="00B95B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B95B8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F4F1A-9E26-4F27-A29E-F66FE2FC5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</TotalTime>
  <Pages>6</Pages>
  <Words>1459</Words>
  <Characters>10223</Characters>
  <Application>Microsoft Office Word</Application>
  <DocSecurity>0</DocSecurity>
  <Lines>601</Lines>
  <Paragraphs>259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11423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2019-07-31T12:43:00Z</dcterms:created>
  <dcterms:modified xsi:type="dcterms:W3CDTF">2019-07-31T12:46:00Z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