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507996"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3705C">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C3705C">
              <w:rPr>
                <w:rFonts w:ascii="Tahoma" w:hAnsi="Tahoma" w:cs="Tahoma"/>
                <w:b/>
                <w:bCs/>
                <w:iCs/>
                <w:color w:val="243285"/>
                <w:sz w:val="36"/>
                <w:szCs w:val="36"/>
                <w:lang w:val="es-ES_tradnl"/>
              </w:rPr>
              <w:t>2115-0</w:t>
            </w:r>
          </w:p>
          <w:p w:rsidR="00042292" w:rsidRPr="00A07AEB" w:rsidRDefault="00042292" w:rsidP="00C3705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C3705C">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C3705C">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C3705C"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C3705C" w:rsidP="00C3705C">
            <w:pPr>
              <w:spacing w:before="80" w:line="500" w:lineRule="exact"/>
              <w:jc w:val="right"/>
              <w:rPr>
                <w:rFonts w:ascii="Tahoma" w:hAnsi="Tahoma" w:cs="Tahoma"/>
                <w:b/>
                <w:bCs/>
                <w:color w:val="243285"/>
                <w:sz w:val="44"/>
                <w:szCs w:val="44"/>
                <w:lang w:val="es-ES_tradnl"/>
              </w:rPr>
            </w:pPr>
            <w:r w:rsidRPr="00C3705C">
              <w:rPr>
                <w:rFonts w:ascii="Tahoma" w:hAnsi="Tahoma" w:cs="Tahoma"/>
                <w:b/>
                <w:bCs/>
                <w:color w:val="243285"/>
                <w:sz w:val="44"/>
                <w:szCs w:val="44"/>
                <w:lang w:val="es-ES_tradnl"/>
              </w:rPr>
              <w:t xml:space="preserve">Características técnicas y operacionales y criterios de protección de los sistemas del servicio móvil aeronáutico en la gama </w:t>
            </w:r>
            <w:r>
              <w:rPr>
                <w:rFonts w:ascii="Tahoma" w:hAnsi="Tahoma" w:cs="Tahoma"/>
                <w:b/>
                <w:bCs/>
                <w:color w:val="243285"/>
                <w:sz w:val="44"/>
                <w:szCs w:val="44"/>
                <w:lang w:val="es-ES_tradnl"/>
              </w:rPr>
              <w:br/>
            </w:r>
            <w:r w:rsidRPr="00C3705C">
              <w:rPr>
                <w:rFonts w:ascii="Tahoma" w:hAnsi="Tahoma" w:cs="Tahoma"/>
                <w:b/>
                <w:bCs/>
                <w:color w:val="243285"/>
                <w:sz w:val="44"/>
                <w:szCs w:val="44"/>
                <w:lang w:val="es-ES_tradnl"/>
              </w:rPr>
              <w:t>de frecuencias 45,5-47 GHz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507996"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507996"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50799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507996"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507996"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50799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50799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50799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507996"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2678A4">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2678A4">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C3705C">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C3705C">
        <w:rPr>
          <w:rStyle w:val="href"/>
          <w:lang w:val="es-ES_tradnl"/>
        </w:rPr>
        <w:t>2115-0</w:t>
      </w:r>
    </w:p>
    <w:p w:rsidR="00C3705C" w:rsidRPr="002F4D19" w:rsidRDefault="00C3705C" w:rsidP="00C3705C">
      <w:pPr>
        <w:pStyle w:val="Rectitle"/>
        <w:rPr>
          <w:lang w:val="es-ES_tradnl"/>
        </w:rPr>
      </w:pPr>
      <w:r w:rsidRPr="002F4D19">
        <w:rPr>
          <w:lang w:val="es-ES_tradnl"/>
        </w:rPr>
        <w:t>Características técnicas y operacionales y criterios de protección de los sistemas del servicio móvil aeronáutico en la gama de frecuencias 45,5-47 GHz</w:t>
      </w:r>
    </w:p>
    <w:p w:rsidR="00C3705C" w:rsidRPr="002F4D19" w:rsidRDefault="00C3705C" w:rsidP="00C3705C">
      <w:pPr>
        <w:pStyle w:val="Recdate"/>
        <w:rPr>
          <w:lang w:val="es-ES_tradnl"/>
        </w:rPr>
      </w:pPr>
      <w:r w:rsidRPr="002F4D19">
        <w:rPr>
          <w:lang w:val="es-ES_tradnl"/>
        </w:rPr>
        <w:t>(2018)</w:t>
      </w:r>
    </w:p>
    <w:p w:rsidR="00C3705C" w:rsidRPr="002F4D19" w:rsidRDefault="00C3705C" w:rsidP="00C3705C">
      <w:pPr>
        <w:pStyle w:val="HeadingSum"/>
      </w:pPr>
      <w:bookmarkStart w:id="3" w:name="dbreak"/>
      <w:bookmarkEnd w:id="3"/>
      <w:r w:rsidRPr="002F4D19">
        <w:t>Cometido</w:t>
      </w:r>
    </w:p>
    <w:p w:rsidR="00C3705C" w:rsidRPr="002F4D19" w:rsidRDefault="00C3705C" w:rsidP="00C3705C">
      <w:pPr>
        <w:pStyle w:val="Summary"/>
      </w:pPr>
      <w:r w:rsidRPr="002F4D19">
        <w:t xml:space="preserve">En esta Recomendación se proporciona información sobre </w:t>
      </w:r>
      <w:r>
        <w:t xml:space="preserve">las </w:t>
      </w:r>
      <w:r w:rsidRPr="002F4D19">
        <w:t xml:space="preserve">características técnicas y </w:t>
      </w:r>
      <w:r>
        <w:t xml:space="preserve">unos </w:t>
      </w:r>
      <w:r w:rsidRPr="002F4D19">
        <w:t>criterios de protección de los sistemas del servicio móvil aeronáutico (AMS) que operan en el servicio móvil en la gama de frecuencias 45,5 47 GHz.</w:t>
      </w:r>
    </w:p>
    <w:p w:rsidR="00C3705C" w:rsidRPr="002F4D19" w:rsidRDefault="00C3705C" w:rsidP="00C3705C">
      <w:pPr>
        <w:pStyle w:val="Headingb"/>
        <w:rPr>
          <w:lang w:val="es-ES_tradnl"/>
        </w:rPr>
      </w:pPr>
      <w:r w:rsidRPr="002F4D19">
        <w:rPr>
          <w:lang w:val="es-ES_tradnl"/>
        </w:rPr>
        <w:t>Recomendaciones e Informes conexos</w:t>
      </w:r>
    </w:p>
    <w:p w:rsidR="00C3705C" w:rsidRPr="002F4D19" w:rsidRDefault="00C3705C" w:rsidP="00C3705C">
      <w:pPr>
        <w:rPr>
          <w:lang w:val="es-ES_tradnl"/>
        </w:rPr>
      </w:pPr>
      <w:r w:rsidRPr="002F4D19">
        <w:rPr>
          <w:lang w:val="es-ES_tradnl"/>
        </w:rPr>
        <w:t xml:space="preserve">Recomendación UIT-R M.1851, UIT-R P.2108, UIT-R </w:t>
      </w:r>
      <w:r>
        <w:rPr>
          <w:lang w:val="es-ES_tradnl"/>
        </w:rPr>
        <w:t>P</w:t>
      </w:r>
      <w:r w:rsidRPr="002F4D19">
        <w:rPr>
          <w:lang w:val="es-ES_tradnl"/>
        </w:rPr>
        <w:t>.676</w:t>
      </w:r>
    </w:p>
    <w:p w:rsidR="00C3705C" w:rsidRPr="002F4D19" w:rsidRDefault="00C3705C" w:rsidP="00C3705C">
      <w:pPr>
        <w:pStyle w:val="Headingb"/>
        <w:rPr>
          <w:lang w:val="es-ES_tradnl"/>
        </w:rPr>
      </w:pPr>
      <w:r w:rsidRPr="002F4D19">
        <w:rPr>
          <w:lang w:val="es-ES_tradnl"/>
        </w:rPr>
        <w:t>Palabras clave</w:t>
      </w:r>
    </w:p>
    <w:p w:rsidR="00C3705C" w:rsidRPr="002F4D19" w:rsidRDefault="00C3705C" w:rsidP="00C3705C">
      <w:pPr>
        <w:rPr>
          <w:lang w:val="es-ES_tradnl"/>
        </w:rPr>
      </w:pPr>
      <w:r w:rsidRPr="002F4D19">
        <w:rPr>
          <w:lang w:val="es-ES_tradnl"/>
        </w:rPr>
        <w:t>Sistemas del servicio móvil aeronáutico, AMS, características técnicas, criterios de protección</w:t>
      </w:r>
    </w:p>
    <w:p w:rsidR="00C3705C" w:rsidRPr="002F4D19" w:rsidRDefault="00C3705C" w:rsidP="00C3705C">
      <w:pPr>
        <w:pStyle w:val="Headingb"/>
        <w:rPr>
          <w:lang w:val="es-ES_tradnl"/>
        </w:rPr>
      </w:pPr>
      <w:r w:rsidRPr="002F4D19">
        <w:rPr>
          <w:lang w:val="es-ES_tradnl"/>
        </w:rPr>
        <w:t>Abreviaturas/Glosario</w:t>
      </w:r>
    </w:p>
    <w:p w:rsidR="00C3705C" w:rsidRPr="002F4D19" w:rsidRDefault="00C3705C" w:rsidP="00C3705C">
      <w:pPr>
        <w:tabs>
          <w:tab w:val="clear" w:pos="794"/>
        </w:tabs>
        <w:rPr>
          <w:lang w:val="es-ES_tradnl"/>
        </w:rPr>
      </w:pPr>
      <w:bookmarkStart w:id="4" w:name="lt_pId074"/>
      <w:r w:rsidRPr="002F4D19">
        <w:rPr>
          <w:lang w:val="es-ES_tradnl"/>
        </w:rPr>
        <w:t>ADL</w:t>
      </w:r>
      <w:r w:rsidRPr="002F4D19">
        <w:rPr>
          <w:lang w:val="es-ES_tradnl"/>
        </w:rPr>
        <w:tab/>
        <w:t>Enlace de datos del AMS</w:t>
      </w:r>
    </w:p>
    <w:p w:rsidR="00C3705C" w:rsidRPr="002F4D19" w:rsidRDefault="00C3705C" w:rsidP="00C3705C">
      <w:pPr>
        <w:tabs>
          <w:tab w:val="clear" w:pos="794"/>
        </w:tabs>
        <w:rPr>
          <w:lang w:val="es-ES_tradnl"/>
        </w:rPr>
      </w:pPr>
      <w:r w:rsidRPr="002F4D19">
        <w:rPr>
          <w:lang w:val="es-ES_tradnl"/>
        </w:rPr>
        <w:t>ADT</w:t>
      </w:r>
      <w:r w:rsidRPr="002F4D19">
        <w:rPr>
          <w:lang w:val="es-ES_tradnl"/>
        </w:rPr>
        <w:tab/>
        <w:t>Terminal de datos aerotransportado</w:t>
      </w:r>
    </w:p>
    <w:p w:rsidR="00C3705C" w:rsidRPr="002F4D19" w:rsidRDefault="00C3705C" w:rsidP="00C3705C">
      <w:pPr>
        <w:tabs>
          <w:tab w:val="clear" w:pos="794"/>
        </w:tabs>
        <w:rPr>
          <w:lang w:val="es-ES_tradnl"/>
        </w:rPr>
      </w:pPr>
      <w:r w:rsidRPr="002F4D19">
        <w:rPr>
          <w:lang w:val="es-ES_tradnl"/>
        </w:rPr>
        <w:t>AMS</w:t>
      </w:r>
      <w:r w:rsidRPr="002F4D19">
        <w:rPr>
          <w:lang w:val="es-ES_tradnl"/>
        </w:rPr>
        <w:tab/>
        <w:t>Servicio móvil aeronáutico</w:t>
      </w:r>
    </w:p>
    <w:p w:rsidR="00C3705C" w:rsidRPr="002F4D19" w:rsidRDefault="00C3705C" w:rsidP="00C3705C">
      <w:pPr>
        <w:tabs>
          <w:tab w:val="clear" w:pos="794"/>
        </w:tabs>
        <w:rPr>
          <w:lang w:val="es-ES_tradnl"/>
        </w:rPr>
      </w:pPr>
      <w:r w:rsidRPr="002F4D19">
        <w:rPr>
          <w:lang w:val="es-ES_tradnl"/>
        </w:rPr>
        <w:t>GDT</w:t>
      </w:r>
      <w:r w:rsidRPr="002F4D19">
        <w:rPr>
          <w:lang w:val="es-ES_tradnl"/>
        </w:rPr>
        <w:tab/>
        <w:t>Terminal de datos en tierra</w:t>
      </w:r>
    </w:p>
    <w:p w:rsidR="00C3705C" w:rsidRPr="002F4D19" w:rsidRDefault="00C3705C" w:rsidP="00C3705C">
      <w:pPr>
        <w:tabs>
          <w:tab w:val="clear" w:pos="794"/>
        </w:tabs>
        <w:rPr>
          <w:lang w:val="es-ES_tradnl"/>
        </w:rPr>
      </w:pPr>
      <w:r w:rsidRPr="002F4D19">
        <w:rPr>
          <w:lang w:val="es-ES_tradnl"/>
        </w:rPr>
        <w:t>I/N</w:t>
      </w:r>
      <w:bookmarkEnd w:id="4"/>
      <w:r w:rsidRPr="002F4D19">
        <w:rPr>
          <w:lang w:val="es-ES_tradnl"/>
        </w:rPr>
        <w:tab/>
        <w:t>Relación interferencia/ruido</w:t>
      </w:r>
    </w:p>
    <w:p w:rsidR="00C3705C" w:rsidRPr="002F4D19" w:rsidRDefault="00C3705C" w:rsidP="00C3705C">
      <w:pPr>
        <w:tabs>
          <w:tab w:val="clear" w:pos="794"/>
        </w:tabs>
        <w:rPr>
          <w:lang w:val="es-ES_tradnl"/>
        </w:rPr>
      </w:pPr>
      <w:r w:rsidRPr="002F4D19">
        <w:rPr>
          <w:lang w:val="es-ES_tradnl"/>
        </w:rPr>
        <w:t>RHCP</w:t>
      </w:r>
      <w:r w:rsidRPr="002F4D19">
        <w:rPr>
          <w:lang w:val="es-ES_tradnl"/>
        </w:rPr>
        <w:tab/>
        <w:t>Polarización circular dextrógira</w:t>
      </w:r>
    </w:p>
    <w:p w:rsidR="00C3705C" w:rsidRPr="002F4D19" w:rsidRDefault="00C3705C" w:rsidP="00C3705C">
      <w:pPr>
        <w:tabs>
          <w:tab w:val="clear" w:pos="794"/>
        </w:tabs>
        <w:rPr>
          <w:lang w:val="es-ES_tradnl"/>
        </w:rPr>
      </w:pPr>
      <w:r w:rsidRPr="002F4D19">
        <w:rPr>
          <w:lang w:val="es-ES_tradnl"/>
        </w:rPr>
        <w:t>RLOS</w:t>
      </w:r>
      <w:r w:rsidRPr="002F4D19">
        <w:rPr>
          <w:lang w:val="es-ES_tradnl"/>
        </w:rPr>
        <w:tab/>
        <w:t>Visibilidad directa radioeléctrica</w:t>
      </w:r>
    </w:p>
    <w:p w:rsidR="00C3705C" w:rsidRPr="002F4D19" w:rsidRDefault="00C3705C" w:rsidP="00C3705C">
      <w:pPr>
        <w:pStyle w:val="Normalaftertitle"/>
        <w:rPr>
          <w:lang w:val="es-ES_tradnl"/>
        </w:rPr>
      </w:pPr>
      <w:r w:rsidRPr="002F4D19">
        <w:rPr>
          <w:lang w:val="es-ES_tradnl"/>
        </w:rPr>
        <w:t>La Asamblea de Radiocomunicaciones de la UIT,</w:t>
      </w:r>
    </w:p>
    <w:p w:rsidR="00C3705C" w:rsidRPr="002F4D19" w:rsidRDefault="00C3705C" w:rsidP="00C3705C">
      <w:pPr>
        <w:pStyle w:val="Call"/>
        <w:rPr>
          <w:lang w:val="es-ES_tradnl"/>
        </w:rPr>
      </w:pPr>
      <w:proofErr w:type="gramStart"/>
      <w:r w:rsidRPr="002F4D19">
        <w:rPr>
          <w:lang w:val="es-ES_tradnl"/>
        </w:rPr>
        <w:t>considerando</w:t>
      </w:r>
      <w:proofErr w:type="gramEnd"/>
    </w:p>
    <w:p w:rsidR="00C3705C" w:rsidRPr="002F4D19" w:rsidRDefault="00C3705C" w:rsidP="00C3705C">
      <w:pPr>
        <w:rPr>
          <w:iCs/>
          <w:lang w:val="es-ES_tradnl"/>
        </w:rPr>
      </w:pPr>
      <w:proofErr w:type="gramStart"/>
      <w:r w:rsidRPr="002F4D19">
        <w:rPr>
          <w:iCs/>
          <w:lang w:val="es-ES_tradnl"/>
        </w:rPr>
        <w:t>que</w:t>
      </w:r>
      <w:proofErr w:type="gramEnd"/>
      <w:r w:rsidRPr="002F4D19">
        <w:rPr>
          <w:iCs/>
          <w:lang w:val="es-ES_tradnl"/>
        </w:rPr>
        <w:t xml:space="preserve"> los sistemas y redes que funcionan en el servicio móvil aeronáutico (AMS) se utilizan para </w:t>
      </w:r>
      <w:r>
        <w:rPr>
          <w:iCs/>
          <w:lang w:val="es-ES_tradnl"/>
        </w:rPr>
        <w:t xml:space="preserve">proporcionar </w:t>
      </w:r>
      <w:r w:rsidRPr="002F4D19">
        <w:rPr>
          <w:iCs/>
          <w:lang w:val="es-ES_tradnl"/>
        </w:rPr>
        <w:t xml:space="preserve">enlaces de datos de banda ancha y de banda estrecha aerotransportados para soportar </w:t>
      </w:r>
      <w:r>
        <w:rPr>
          <w:iCs/>
          <w:lang w:val="es-ES_tradnl"/>
        </w:rPr>
        <w:t xml:space="preserve">aplicaciones de </w:t>
      </w:r>
      <w:r w:rsidRPr="002F4D19">
        <w:rPr>
          <w:iCs/>
          <w:lang w:val="es-ES_tradnl"/>
        </w:rPr>
        <w:t>operaciones de socorro en caso de catástrofe, investigación científica, teledetección, lucha contra los incendios, tasación de tierras y cultivos, supervisión de oleoductos y otras aplicac</w:t>
      </w:r>
      <w:r>
        <w:rPr>
          <w:iCs/>
          <w:lang w:val="es-ES_tradnl"/>
        </w:rPr>
        <w:t>iones de gestión de emergencias,</w:t>
      </w:r>
    </w:p>
    <w:p w:rsidR="00C3705C" w:rsidRPr="002F4D19" w:rsidRDefault="00C3705C" w:rsidP="00C3705C">
      <w:pPr>
        <w:pStyle w:val="Call"/>
        <w:rPr>
          <w:lang w:val="es-ES_tradnl"/>
        </w:rPr>
      </w:pPr>
      <w:proofErr w:type="gramStart"/>
      <w:r w:rsidRPr="002F4D19">
        <w:rPr>
          <w:lang w:val="es-ES_tradnl"/>
        </w:rPr>
        <w:t>reconociendo</w:t>
      </w:r>
      <w:proofErr w:type="gramEnd"/>
    </w:p>
    <w:p w:rsidR="00C3705C" w:rsidRPr="002F4D19" w:rsidRDefault="00C3705C" w:rsidP="00C3705C">
      <w:pPr>
        <w:rPr>
          <w:lang w:val="es-ES_tradnl"/>
        </w:rPr>
      </w:pPr>
      <w:r w:rsidRPr="002F4D19">
        <w:rPr>
          <w:i/>
          <w:lang w:val="es-ES_tradnl"/>
        </w:rPr>
        <w:t>a)</w:t>
      </w:r>
      <w:r w:rsidRPr="002F4D19">
        <w:rPr>
          <w:i/>
          <w:lang w:val="es-ES_tradnl"/>
        </w:rPr>
        <w:tab/>
      </w:r>
      <w:r w:rsidRPr="002F4D19">
        <w:rPr>
          <w:lang w:val="es-ES_tradnl"/>
        </w:rPr>
        <w:t>que la banda de frecuencia 45,5-47 GHz está atribuida mundialmente a título primario al servicio móvil;</w:t>
      </w:r>
    </w:p>
    <w:p w:rsidR="00C3705C" w:rsidRPr="002F4D19" w:rsidRDefault="00C3705C" w:rsidP="00C3705C">
      <w:pPr>
        <w:rPr>
          <w:i/>
          <w:lang w:val="es-ES_tradnl"/>
        </w:rPr>
      </w:pPr>
      <w:r w:rsidRPr="002F4D19">
        <w:rPr>
          <w:i/>
          <w:iCs/>
          <w:lang w:val="es-ES_tradnl"/>
        </w:rPr>
        <w:t>b)</w:t>
      </w:r>
      <w:r w:rsidRPr="002F4D19">
        <w:rPr>
          <w:lang w:val="es-ES_tradnl"/>
        </w:rPr>
        <w:tab/>
        <w:t xml:space="preserve">que el servicio móvil aeronáutico (AMS) es un subconjunto del servicio móvil; </w:t>
      </w:r>
    </w:p>
    <w:p w:rsidR="00C3705C" w:rsidRPr="00776404" w:rsidRDefault="00C3705C" w:rsidP="00C3705C">
      <w:pPr>
        <w:rPr>
          <w:lang w:val="es-ES_tradnl"/>
        </w:rPr>
      </w:pPr>
      <w:r w:rsidRPr="002F4D19">
        <w:rPr>
          <w:i/>
          <w:iCs/>
          <w:szCs w:val="24"/>
          <w:lang w:val="es-ES_tradnl"/>
        </w:rPr>
        <w:t>c)</w:t>
      </w:r>
      <w:r w:rsidRPr="002F4D19">
        <w:rPr>
          <w:szCs w:val="24"/>
          <w:lang w:val="es-ES_tradnl"/>
        </w:rPr>
        <w:tab/>
      </w:r>
      <w:bookmarkStart w:id="5" w:name="lt_pId042"/>
      <w:r w:rsidRPr="00776404">
        <w:rPr>
          <w:lang w:val="es-ES_tradnl"/>
        </w:rPr>
        <w:t>que el servicio móvil aeronáutico es un servicio móvil entre estaciones aeronáuticas y estaciones de aeronave, o entre estaciones de aeronave;</w:t>
      </w:r>
      <w:bookmarkEnd w:id="5"/>
    </w:p>
    <w:p w:rsidR="00C3705C" w:rsidRPr="002F4D19" w:rsidRDefault="00C3705C" w:rsidP="00C3705C">
      <w:pPr>
        <w:rPr>
          <w:lang w:val="es-ES_tradnl"/>
        </w:rPr>
      </w:pPr>
      <w:r w:rsidRPr="002F4D19">
        <w:rPr>
          <w:i/>
          <w:iCs/>
          <w:lang w:val="es-ES_tradnl"/>
        </w:rPr>
        <w:t>d)</w:t>
      </w:r>
      <w:r w:rsidRPr="002F4D19">
        <w:rPr>
          <w:iCs/>
          <w:lang w:val="es-ES_tradnl"/>
        </w:rPr>
        <w:tab/>
      </w:r>
      <w:r w:rsidRPr="002F4D19">
        <w:rPr>
          <w:lang w:val="es-ES_tradnl"/>
        </w:rPr>
        <w:t>que la utilización de sistemas que funcionan en el servicio móvil aeronáutico no impide la utilización de esta banda de frecuencias por cualquier otra aplicación actual o planificada de los servicios para los cuales está atribuida y no establece ninguna prioridad en el Reg</w:t>
      </w:r>
      <w:r>
        <w:rPr>
          <w:lang w:val="es-ES_tradnl"/>
        </w:rPr>
        <w:t>lamento de Radiocomunicaciones;</w:t>
      </w:r>
    </w:p>
    <w:p w:rsidR="00C3705C" w:rsidRPr="002F4D19" w:rsidRDefault="00C3705C" w:rsidP="00C3705C">
      <w:pPr>
        <w:rPr>
          <w:lang w:val="es-ES_tradnl"/>
        </w:rPr>
      </w:pPr>
      <w:r w:rsidRPr="002F4D19">
        <w:rPr>
          <w:i/>
          <w:iCs/>
          <w:lang w:val="es-ES_tradnl"/>
        </w:rPr>
        <w:lastRenderedPageBreak/>
        <w:t>e)</w:t>
      </w:r>
      <w:r w:rsidRPr="002F4D19">
        <w:rPr>
          <w:lang w:val="es-ES_tradnl"/>
        </w:rPr>
        <w:tab/>
        <w:t>que la banda de frecuencias 45,5-47 GHz también está atribuida a título primario a los servicios móvil por satélite, de radionavegación y de radionavegación por satélite en partes de la banda de frecuencias, o en su totalidad;</w:t>
      </w:r>
    </w:p>
    <w:p w:rsidR="00C3705C" w:rsidRPr="002F4D19" w:rsidRDefault="00C3705C" w:rsidP="00C3705C">
      <w:pPr>
        <w:rPr>
          <w:lang w:val="es-ES_tradnl"/>
        </w:rPr>
      </w:pPr>
      <w:bookmarkStart w:id="6" w:name="lt_pId095"/>
      <w:r w:rsidRPr="002F4D19">
        <w:rPr>
          <w:i/>
          <w:iCs/>
          <w:lang w:val="es-ES_tradnl"/>
        </w:rPr>
        <w:t>f)</w:t>
      </w:r>
      <w:bookmarkEnd w:id="6"/>
      <w:r w:rsidRPr="002F4D19">
        <w:rPr>
          <w:lang w:val="es-ES_tradnl"/>
        </w:rPr>
        <w:tab/>
      </w:r>
      <w:bookmarkStart w:id="7" w:name="lt_pId096"/>
      <w:r w:rsidRPr="002F4D19">
        <w:rPr>
          <w:lang w:val="es-ES_tradnl"/>
        </w:rPr>
        <w:t>que en estas bandas la UIT prevé y está estudiando actualmente nuevos sistemas del serv</w:t>
      </w:r>
      <w:r>
        <w:rPr>
          <w:lang w:val="es-ES_tradnl"/>
        </w:rPr>
        <w:t>icio móvil y del servicio fijo;</w:t>
      </w:r>
    </w:p>
    <w:p w:rsidR="00C3705C" w:rsidRDefault="00C3705C" w:rsidP="00C3705C">
      <w:pPr>
        <w:rPr>
          <w:lang w:val="es-ES_tradnl"/>
        </w:rPr>
      </w:pPr>
      <w:bookmarkStart w:id="8" w:name="lt_pId097"/>
      <w:bookmarkEnd w:id="7"/>
      <w:r w:rsidRPr="002F4D19">
        <w:rPr>
          <w:i/>
          <w:iCs/>
          <w:lang w:val="es-ES_tradnl"/>
        </w:rPr>
        <w:t>g)</w:t>
      </w:r>
      <w:bookmarkEnd w:id="8"/>
      <w:r w:rsidRPr="002F4D19">
        <w:rPr>
          <w:lang w:val="es-ES_tradnl"/>
        </w:rPr>
        <w:tab/>
      </w:r>
      <w:bookmarkStart w:id="9" w:name="lt_pId098"/>
      <w:r w:rsidRPr="002F4D19">
        <w:rPr>
          <w:lang w:val="es-ES_tradnl"/>
        </w:rPr>
        <w:t>que el funcionamiento de los sistemas móviles aeronáuticos supone una compartición más compleja sobre zonas amplias y puede hacer necesarios unos acuerdos bilaterales entre la administración que opera el AMS y</w:t>
      </w:r>
      <w:r>
        <w:rPr>
          <w:lang w:val="es-ES_tradnl"/>
        </w:rPr>
        <w:t xml:space="preserve"> las administraciones afectadas;</w:t>
      </w:r>
    </w:p>
    <w:p w:rsidR="00C3705C" w:rsidRPr="00750B63" w:rsidRDefault="00C3705C" w:rsidP="00C3705C">
      <w:pPr>
        <w:rPr>
          <w:lang w:val="es-ES_tradnl"/>
        </w:rPr>
      </w:pPr>
      <w:r w:rsidRPr="00750B63">
        <w:rPr>
          <w:i/>
          <w:iCs/>
          <w:lang w:val="es-ES_tradnl"/>
        </w:rPr>
        <w:t>h)</w:t>
      </w:r>
      <w:r w:rsidRPr="00750B63">
        <w:rPr>
          <w:lang w:val="es-ES_tradnl"/>
        </w:rPr>
        <w:tab/>
      </w:r>
      <w:bookmarkStart w:id="10" w:name="lt_pId099"/>
      <w:r w:rsidRPr="00750B63">
        <w:rPr>
          <w:lang w:val="es-ES_tradnl"/>
        </w:rPr>
        <w:t xml:space="preserve">que el número </w:t>
      </w:r>
      <w:r w:rsidRPr="00750B63">
        <w:rPr>
          <w:b/>
          <w:lang w:val="es-ES_tradnl"/>
        </w:rPr>
        <w:t>21</w:t>
      </w:r>
      <w:r w:rsidRPr="00750B63">
        <w:rPr>
          <w:bCs/>
          <w:lang w:val="es-ES_tradnl"/>
        </w:rPr>
        <w:t xml:space="preserve"> del RR contiene límites de potencia</w:t>
      </w:r>
      <w:r w:rsidRPr="00750B63">
        <w:rPr>
          <w:lang w:val="es-ES_tradnl"/>
        </w:rPr>
        <w:t xml:space="preserve"> y otros requisitos para los servicios terrenales y espaciales que comparten bandas de frecuencias por encima de 1 GHz</w:t>
      </w:r>
      <w:bookmarkEnd w:id="10"/>
      <w:r w:rsidRPr="00750B63">
        <w:rPr>
          <w:lang w:val="es-ES_tradnl"/>
        </w:rPr>
        <w:t>,</w:t>
      </w:r>
    </w:p>
    <w:bookmarkEnd w:id="9"/>
    <w:p w:rsidR="00C3705C" w:rsidRPr="002F4D19" w:rsidRDefault="00C3705C" w:rsidP="00C3705C">
      <w:pPr>
        <w:pStyle w:val="Call"/>
        <w:rPr>
          <w:lang w:val="es-ES_tradnl"/>
        </w:rPr>
      </w:pPr>
      <w:proofErr w:type="gramStart"/>
      <w:r w:rsidRPr="002F4D19">
        <w:rPr>
          <w:lang w:val="es-ES_tradnl"/>
        </w:rPr>
        <w:t>recomienda</w:t>
      </w:r>
      <w:proofErr w:type="gramEnd"/>
    </w:p>
    <w:p w:rsidR="00C3705C" w:rsidRPr="002F4D19" w:rsidRDefault="00C3705C" w:rsidP="00C3705C">
      <w:pPr>
        <w:rPr>
          <w:lang w:val="es-ES_tradnl"/>
        </w:rPr>
      </w:pPr>
      <w:r w:rsidRPr="002F4D19">
        <w:rPr>
          <w:b/>
          <w:bCs/>
          <w:lang w:val="es-ES_tradnl"/>
        </w:rPr>
        <w:t>1</w:t>
      </w:r>
      <w:r w:rsidRPr="002F4D19">
        <w:rPr>
          <w:lang w:val="es-ES_tradnl"/>
        </w:rPr>
        <w:tab/>
        <w:t>que se consideren las características técnicas y operacionales de los sistemas que funcionan en el AMS descritas en el Anexo como representativas de los que funcionan en las bandas de frecuencias 45,5-47 GHz;</w:t>
      </w:r>
    </w:p>
    <w:p w:rsidR="00C3705C" w:rsidRDefault="00C3705C" w:rsidP="00C3705C">
      <w:pPr>
        <w:rPr>
          <w:lang w:val="es-ES_tradnl"/>
        </w:rPr>
      </w:pPr>
      <w:r w:rsidRPr="002F4D19">
        <w:rPr>
          <w:b/>
          <w:bCs/>
          <w:lang w:val="es-ES_tradnl"/>
        </w:rPr>
        <w:t>2</w:t>
      </w:r>
      <w:r w:rsidRPr="002F4D19">
        <w:rPr>
          <w:lang w:val="es-ES_tradnl"/>
        </w:rPr>
        <w:tab/>
        <w:t>que se utilice el criterio de relación entre la potencia de la señal interferente y el nivel de potencia de ruido en el receptor (</w:t>
      </w:r>
      <w:r w:rsidRPr="00E54266">
        <w:rPr>
          <w:i/>
          <w:iCs/>
          <w:lang w:val="es-ES_tradnl"/>
        </w:rPr>
        <w:t>I/N</w:t>
      </w:r>
      <w:r w:rsidRPr="002F4D19">
        <w:rPr>
          <w:lang w:val="es-ES_tradnl"/>
        </w:rPr>
        <w:t>) de –6 dB como el nivel de protección requerido para los receptores del AMS. Si están presentes múltiples posibles fuentes de interferencia, la protección del AMS exige que ese criterio no se rebase debido a la interferencia combinada de múltiples fuentes.</w:t>
      </w:r>
    </w:p>
    <w:p w:rsidR="00C3705C" w:rsidRDefault="00C3705C" w:rsidP="00C3705C">
      <w:pPr>
        <w:rPr>
          <w:lang w:val="es-ES_tradnl"/>
        </w:rPr>
      </w:pPr>
    </w:p>
    <w:p w:rsidR="00C3705C" w:rsidRPr="002F4D19" w:rsidRDefault="00C3705C" w:rsidP="00C3705C">
      <w:pPr>
        <w:rPr>
          <w:lang w:val="es-ES_tradnl"/>
        </w:rPr>
      </w:pPr>
    </w:p>
    <w:p w:rsidR="00C3705C" w:rsidRPr="002F4D19" w:rsidRDefault="00C3705C" w:rsidP="00C3705C">
      <w:pPr>
        <w:pStyle w:val="AnnexNoTitle"/>
        <w:rPr>
          <w:lang w:val="es-ES_tradnl"/>
        </w:rPr>
      </w:pPr>
      <w:bookmarkStart w:id="11" w:name="_Toc498956410"/>
      <w:r w:rsidRPr="002F4D19">
        <w:rPr>
          <w:lang w:val="es-ES_tradnl"/>
        </w:rPr>
        <w:t xml:space="preserve">Anexo </w:t>
      </w:r>
      <w:r w:rsidRPr="002F4D19">
        <w:rPr>
          <w:lang w:val="es-ES_tradnl"/>
        </w:rPr>
        <w:br/>
      </w:r>
      <w:r w:rsidRPr="002F4D19">
        <w:rPr>
          <w:lang w:val="es-ES_tradnl"/>
        </w:rPr>
        <w:br/>
      </w:r>
      <w:bookmarkEnd w:id="11"/>
      <w:r w:rsidRPr="002F4D19">
        <w:rPr>
          <w:lang w:val="es-ES_tradnl"/>
        </w:rPr>
        <w:t>Características técnicas y operacionales y criterios de protección de los sistemas del servicio móvil aeronáutico en la gama de frecuencias 45,5-47 GHz</w:t>
      </w:r>
    </w:p>
    <w:p w:rsidR="00C3705C" w:rsidRPr="002F4D19" w:rsidRDefault="00C3705C" w:rsidP="00C3705C">
      <w:pPr>
        <w:pStyle w:val="Heading1"/>
        <w:rPr>
          <w:lang w:val="es-ES_tradnl"/>
        </w:rPr>
      </w:pPr>
      <w:r w:rsidRPr="002F4D19">
        <w:rPr>
          <w:lang w:val="es-ES_tradnl"/>
        </w:rPr>
        <w:t>1</w:t>
      </w:r>
      <w:r w:rsidRPr="002F4D19">
        <w:rPr>
          <w:lang w:val="es-ES_tradnl"/>
        </w:rPr>
        <w:tab/>
        <w:t>Introducción</w:t>
      </w:r>
    </w:p>
    <w:p w:rsidR="00C3705C" w:rsidRPr="002F4D19" w:rsidRDefault="00C3705C" w:rsidP="00C3705C">
      <w:pPr>
        <w:rPr>
          <w:lang w:val="es-ES_tradnl"/>
        </w:rPr>
      </w:pPr>
      <w:r w:rsidRPr="002F4D19">
        <w:rPr>
          <w:lang w:val="es-ES_tradnl"/>
        </w:rPr>
        <w:t>Los gobiernos locales y nacionales, así como el sector civil y organismos educativo y de investigación, utilizan cada vez más los sistemas y redes que funcionan en el servicio móvil aeronáutico (AMS) para proporcionar enlaces de datos de banda ancha y de banda estrecha aerotransportados que soportan aplicaciones de investigación científica, teledetección, control de la utilización de las tierras de agricultura y urbanas, aplicación de las leyes nacionales y locales, cartografía de incendios forestales y supervisión de oleoductos.</w:t>
      </w:r>
    </w:p>
    <w:p w:rsidR="00C3705C" w:rsidRPr="002F4D19" w:rsidRDefault="00C3705C" w:rsidP="003831C4">
      <w:pPr>
        <w:rPr>
          <w:lang w:val="es-ES_tradnl"/>
        </w:rPr>
      </w:pPr>
      <w:r w:rsidRPr="002F4D19">
        <w:rPr>
          <w:lang w:val="es-ES_tradnl"/>
        </w:rPr>
        <w:t>Los enlaces de datos de banda ancha se utilizan para transmitir los datos recolectados de uno o de v</w:t>
      </w:r>
      <w:r>
        <w:rPr>
          <w:lang w:val="es-ES_tradnl"/>
        </w:rPr>
        <w:t>arios equipos de teledetección/</w:t>
      </w:r>
      <w:r w:rsidRPr="002F4D19">
        <w:rPr>
          <w:lang w:val="es-ES_tradnl"/>
        </w:rPr>
        <w:t>investigación a bordo de una aeronave y los enlaces de datos de banda estrecha se utilizan para controlar el equipo de teledetección a bordo de las aeronaves.</w:t>
      </w:r>
    </w:p>
    <w:p w:rsidR="00C3705C" w:rsidRPr="002F4D19" w:rsidRDefault="00C3705C" w:rsidP="00C3705C">
      <w:pPr>
        <w:pStyle w:val="Heading1"/>
        <w:rPr>
          <w:lang w:val="es-ES_tradnl"/>
        </w:rPr>
      </w:pPr>
      <w:r w:rsidRPr="002F4D19">
        <w:rPr>
          <w:lang w:val="es-ES_tradnl"/>
        </w:rPr>
        <w:t>2</w:t>
      </w:r>
      <w:r w:rsidRPr="002F4D19">
        <w:rPr>
          <w:lang w:val="es-ES_tradnl"/>
        </w:rPr>
        <w:tab/>
        <w:t>Características técnicas de los sistemas móviles aeronáuticos</w:t>
      </w:r>
    </w:p>
    <w:p w:rsidR="00C3705C" w:rsidRPr="002F4D19" w:rsidRDefault="00C3705C" w:rsidP="00C3705C">
      <w:pPr>
        <w:rPr>
          <w:lang w:val="es-ES_tradnl"/>
        </w:rPr>
      </w:pPr>
      <w:r w:rsidRPr="002F4D19">
        <w:rPr>
          <w:lang w:val="es-ES_tradnl"/>
        </w:rPr>
        <w:t>En el Cuadro 1 se indican las características técnicas representativas de los enlaces de datos aerotransportados en el AMS para la banda de frecuencias 45,5-47 GHz.</w:t>
      </w:r>
    </w:p>
    <w:p w:rsidR="00C3705C" w:rsidRPr="0022097B" w:rsidRDefault="00C3705C" w:rsidP="008E7C85">
      <w:pPr>
        <w:pStyle w:val="TableNo"/>
      </w:pPr>
      <w:bookmarkStart w:id="12" w:name="lt_pId115"/>
      <w:r w:rsidRPr="002F4D19">
        <w:lastRenderedPageBreak/>
        <w:t>CUADRO</w:t>
      </w:r>
      <w:r w:rsidRPr="0022097B">
        <w:t xml:space="preserve"> 1</w:t>
      </w:r>
      <w:bookmarkEnd w:id="12"/>
    </w:p>
    <w:p w:rsidR="00C3705C" w:rsidRPr="002F4D19" w:rsidRDefault="00C3705C" w:rsidP="008E7C85">
      <w:pPr>
        <w:pStyle w:val="Tabletitle"/>
        <w:rPr>
          <w:lang w:val="es-ES_tradnl"/>
        </w:rPr>
      </w:pPr>
      <w:bookmarkStart w:id="13" w:name="lt_pId116"/>
      <w:r w:rsidRPr="002F4D19">
        <w:rPr>
          <w:lang w:val="es-ES_tradnl"/>
        </w:rPr>
        <w:t xml:space="preserve">Características técnicas representativas de los sistemas que funcionan en el </w:t>
      </w:r>
      <w:r>
        <w:rPr>
          <w:lang w:val="es-ES_tradnl"/>
        </w:rPr>
        <w:br/>
      </w:r>
      <w:r w:rsidRPr="002F4D19">
        <w:rPr>
          <w:lang w:val="es-ES_tradnl"/>
        </w:rPr>
        <w:t xml:space="preserve">servicio móvil aeronáutico en la </w:t>
      </w:r>
      <w:r>
        <w:rPr>
          <w:lang w:val="es-ES_tradnl"/>
        </w:rPr>
        <w:t>gama de frecuencias 45,5-47 GHz</w:t>
      </w:r>
    </w:p>
    <w:tbl>
      <w:tblPr>
        <w:tblStyle w:val="Tablaconcuadrcula1"/>
        <w:tblW w:w="9639" w:type="dxa"/>
        <w:tblLook w:val="04A0" w:firstRow="1" w:lastRow="0" w:firstColumn="1" w:lastColumn="0" w:noHBand="0" w:noVBand="1"/>
      </w:tblPr>
      <w:tblGrid>
        <w:gridCol w:w="1563"/>
        <w:gridCol w:w="952"/>
        <w:gridCol w:w="1270"/>
        <w:gridCol w:w="1004"/>
        <w:gridCol w:w="1004"/>
        <w:gridCol w:w="1006"/>
        <w:gridCol w:w="2840"/>
      </w:tblGrid>
      <w:tr w:rsidR="00C3705C" w:rsidRPr="002F4D19" w:rsidTr="0059715F">
        <w:trPr>
          <w:tblHeader/>
        </w:trPr>
        <w:tc>
          <w:tcPr>
            <w:tcW w:w="1304" w:type="pct"/>
            <w:gridSpan w:val="2"/>
            <w:shd w:val="clear" w:color="auto" w:fill="auto"/>
            <w:vAlign w:val="center"/>
            <w:hideMark/>
          </w:tcPr>
          <w:bookmarkEnd w:id="13"/>
          <w:p w:rsidR="00C3705C" w:rsidRPr="002F4D19" w:rsidRDefault="00C3705C" w:rsidP="0059715F">
            <w:pPr>
              <w:pStyle w:val="Tablehead"/>
              <w:rPr>
                <w:rFonts w:ascii="Times New Roman" w:hAnsi="Times New Roman"/>
                <w:lang w:val="es-ES_tradnl"/>
              </w:rPr>
            </w:pPr>
            <w:r w:rsidRPr="002F4D19">
              <w:rPr>
                <w:rFonts w:ascii="Times New Roman" w:hAnsi="Times New Roman"/>
                <w:lang w:val="es-ES_tradnl"/>
              </w:rPr>
              <w:t>Parámetro</w:t>
            </w:r>
          </w:p>
        </w:tc>
        <w:tc>
          <w:tcPr>
            <w:tcW w:w="659" w:type="pct"/>
            <w:shd w:val="clear" w:color="auto" w:fill="auto"/>
            <w:vAlign w:val="center"/>
            <w:hideMark/>
          </w:tcPr>
          <w:p w:rsidR="00C3705C" w:rsidRPr="002F4D19" w:rsidRDefault="00C3705C" w:rsidP="0059715F">
            <w:pPr>
              <w:pStyle w:val="Tablehead"/>
              <w:rPr>
                <w:rFonts w:ascii="Times New Roman" w:hAnsi="Times New Roman"/>
                <w:lang w:val="es-ES_tradnl"/>
              </w:rPr>
            </w:pPr>
            <w:r w:rsidRPr="002F4D19">
              <w:rPr>
                <w:rFonts w:ascii="Times New Roman" w:hAnsi="Times New Roman"/>
                <w:lang w:val="es-ES_tradnl"/>
              </w:rPr>
              <w:t>Unidades</w:t>
            </w:r>
          </w:p>
        </w:tc>
        <w:tc>
          <w:tcPr>
            <w:tcW w:w="1563" w:type="pct"/>
            <w:gridSpan w:val="3"/>
            <w:shd w:val="clear" w:color="auto" w:fill="auto"/>
            <w:hideMark/>
          </w:tcPr>
          <w:p w:rsidR="00C3705C" w:rsidRPr="002F4D19" w:rsidRDefault="00C3705C" w:rsidP="0059715F">
            <w:pPr>
              <w:pStyle w:val="Tablehead"/>
              <w:rPr>
                <w:rFonts w:ascii="Times New Roman" w:hAnsi="Times New Roman"/>
                <w:lang w:val="es-ES_tradnl"/>
              </w:rPr>
            </w:pPr>
            <w:r w:rsidRPr="002F4D19">
              <w:rPr>
                <w:rFonts w:ascii="Times New Roman" w:hAnsi="Times New Roman"/>
                <w:lang w:val="es-ES_tradnl"/>
              </w:rPr>
              <w:t xml:space="preserve">Sistema 1 </w:t>
            </w:r>
            <w:r w:rsidRPr="002F4D19">
              <w:rPr>
                <w:rFonts w:ascii="Times New Roman" w:hAnsi="Times New Roman"/>
                <w:lang w:val="es-ES_tradnl"/>
              </w:rPr>
              <w:br/>
              <w:t>Aerotransportado</w:t>
            </w:r>
          </w:p>
        </w:tc>
        <w:tc>
          <w:tcPr>
            <w:tcW w:w="1474" w:type="pct"/>
            <w:shd w:val="clear" w:color="auto" w:fill="auto"/>
            <w:hideMark/>
          </w:tcPr>
          <w:p w:rsidR="00C3705C" w:rsidRPr="002F4D19" w:rsidRDefault="00C3705C" w:rsidP="0059715F">
            <w:pPr>
              <w:pStyle w:val="Tablehead"/>
              <w:rPr>
                <w:rFonts w:ascii="Times New Roman" w:hAnsi="Times New Roman"/>
                <w:lang w:val="es-ES_tradnl"/>
              </w:rPr>
            </w:pPr>
            <w:bookmarkStart w:id="14" w:name="lt_pId139"/>
            <w:r w:rsidRPr="002F4D19">
              <w:rPr>
                <w:rFonts w:ascii="Times New Roman" w:hAnsi="Times New Roman"/>
                <w:lang w:val="es-ES_tradnl"/>
              </w:rPr>
              <w:t>Sistema 1</w:t>
            </w:r>
            <w:bookmarkEnd w:id="14"/>
            <w:r w:rsidRPr="002F4D19">
              <w:rPr>
                <w:rFonts w:ascii="Times New Roman" w:hAnsi="Times New Roman"/>
                <w:lang w:val="es-ES_tradnl"/>
              </w:rPr>
              <w:br/>
              <w:t>En tierra</w:t>
            </w:r>
          </w:p>
        </w:tc>
      </w:tr>
      <w:tr w:rsidR="00C3705C" w:rsidRPr="0022097B" w:rsidTr="0059715F">
        <w:trPr>
          <w:tblHeader/>
        </w:trPr>
        <w:tc>
          <w:tcPr>
            <w:tcW w:w="1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Rango de frecuencias</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C3705C" w:rsidRPr="008E7C85" w:rsidRDefault="00C3705C" w:rsidP="008E7C85">
            <w:pPr>
              <w:pStyle w:val="Tabletext"/>
              <w:jc w:val="center"/>
              <w:rPr>
                <w:rFonts w:asciiTheme="majorBidi" w:hAnsiTheme="majorBidi" w:cstheme="majorBidi"/>
                <w:lang w:val="es-ES_tradnl"/>
              </w:rPr>
            </w:pPr>
            <w:bookmarkStart w:id="15" w:name="lt_pId125"/>
            <w:r w:rsidRPr="008E7C85">
              <w:rPr>
                <w:rFonts w:asciiTheme="majorBidi" w:hAnsiTheme="majorBidi" w:cstheme="majorBidi"/>
                <w:lang w:val="es-ES_tradnl"/>
              </w:rPr>
              <w:t>GHz</w:t>
            </w:r>
            <w:bookmarkEnd w:id="15"/>
          </w:p>
        </w:tc>
        <w:tc>
          <w:tcPr>
            <w:tcW w:w="3038" w:type="pct"/>
            <w:gridSpan w:val="4"/>
            <w:tcBorders>
              <w:top w:val="single" w:sz="4" w:space="0" w:color="auto"/>
              <w:left w:val="single" w:sz="4" w:space="0" w:color="auto"/>
              <w:bottom w:val="single" w:sz="4" w:space="0" w:color="auto"/>
              <w:right w:val="single" w:sz="4" w:space="0" w:color="auto"/>
            </w:tcBorders>
            <w:shd w:val="clear" w:color="auto" w:fill="auto"/>
          </w:tcPr>
          <w:p w:rsidR="00C3705C" w:rsidRPr="008E7C85" w:rsidRDefault="00C3705C" w:rsidP="008E7C85">
            <w:pPr>
              <w:pStyle w:val="Tabletext"/>
              <w:jc w:val="center"/>
              <w:rPr>
                <w:rFonts w:asciiTheme="majorBidi" w:hAnsiTheme="majorBidi" w:cstheme="majorBidi"/>
                <w:lang w:val="es-ES_tradnl"/>
              </w:rPr>
            </w:pPr>
            <w:bookmarkStart w:id="16" w:name="lt_pId126"/>
            <w:r w:rsidRPr="008E7C85">
              <w:rPr>
                <w:rFonts w:asciiTheme="majorBidi" w:hAnsiTheme="majorBidi" w:cstheme="majorBidi"/>
                <w:lang w:val="es-ES_tradnl"/>
              </w:rPr>
              <w:t>45,5-47,0 GHz</w:t>
            </w:r>
            <w:bookmarkEnd w:id="16"/>
          </w:p>
        </w:tc>
      </w:tr>
      <w:tr w:rsidR="00C3705C" w:rsidRPr="0022097B" w:rsidTr="0059715F">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3705C" w:rsidRPr="008E7C85" w:rsidRDefault="00C3705C" w:rsidP="008E7C85">
            <w:pPr>
              <w:pStyle w:val="Tabletext"/>
              <w:jc w:val="left"/>
              <w:rPr>
                <w:rFonts w:asciiTheme="majorBidi" w:hAnsiTheme="majorBidi" w:cstheme="majorBidi"/>
                <w:b/>
                <w:bCs/>
                <w:lang w:val="es-ES_tradnl"/>
              </w:rPr>
            </w:pPr>
            <w:r w:rsidRPr="008E7C85">
              <w:rPr>
                <w:rFonts w:asciiTheme="majorBidi" w:hAnsiTheme="majorBidi" w:cstheme="majorBidi"/>
                <w:b/>
                <w:bCs/>
                <w:lang w:val="es-ES_tradnl"/>
              </w:rPr>
              <w:t>Transmisor</w:t>
            </w:r>
          </w:p>
        </w:tc>
      </w:tr>
      <w:tr w:rsidR="00C3705C" w:rsidRPr="0022097B" w:rsidTr="0059715F">
        <w:tc>
          <w:tcPr>
            <w:tcW w:w="1304" w:type="pct"/>
            <w:gridSpan w:val="2"/>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Potencia de salida</w:t>
            </w:r>
          </w:p>
        </w:tc>
        <w:tc>
          <w:tcPr>
            <w:tcW w:w="659"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17" w:name="lt_pId129"/>
            <w:r w:rsidRPr="008E7C85">
              <w:rPr>
                <w:rFonts w:asciiTheme="majorBidi" w:hAnsiTheme="majorBidi" w:cstheme="majorBidi"/>
                <w:lang w:val="es-ES_tradnl"/>
              </w:rPr>
              <w:t>dBm</w:t>
            </w:r>
            <w:bookmarkEnd w:id="17"/>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bookmarkStart w:id="18" w:name="lt_pId130"/>
            <w:r w:rsidRPr="008E7C85">
              <w:rPr>
                <w:rFonts w:asciiTheme="majorBidi" w:hAnsiTheme="majorBidi" w:cstheme="majorBidi"/>
                <w:lang w:val="es-ES_tradnl"/>
              </w:rPr>
              <w:t>0 a 37</w:t>
            </w:r>
            <w:bookmarkEnd w:id="18"/>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bookmarkStart w:id="19" w:name="lt_pId131"/>
            <w:r w:rsidRPr="008E7C85">
              <w:rPr>
                <w:rFonts w:asciiTheme="majorBidi" w:hAnsiTheme="majorBidi" w:cstheme="majorBidi"/>
                <w:lang w:val="es-ES_tradnl"/>
              </w:rPr>
              <w:t>0 a 45</w:t>
            </w:r>
            <w:bookmarkEnd w:id="19"/>
          </w:p>
        </w:tc>
      </w:tr>
      <w:tr w:rsidR="00C3705C" w:rsidRPr="0022097B" w:rsidTr="0059715F">
        <w:tc>
          <w:tcPr>
            <w:tcW w:w="810" w:type="pct"/>
            <w:vMerge w:val="restar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Ancho de banda</w:t>
            </w: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20" w:name="lt_pId133"/>
            <w:r w:rsidRPr="008E7C85">
              <w:rPr>
                <w:rFonts w:asciiTheme="majorBidi" w:hAnsiTheme="majorBidi" w:cstheme="majorBidi"/>
                <w:lang w:val="es-ES_tradnl"/>
              </w:rPr>
              <w:t>3 dB</w:t>
            </w:r>
            <w:bookmarkEnd w:id="20"/>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21" w:name="lt_pId134"/>
            <w:r w:rsidRPr="008E7C85">
              <w:rPr>
                <w:rFonts w:asciiTheme="majorBidi" w:hAnsiTheme="majorBidi" w:cstheme="majorBidi"/>
                <w:lang w:val="es-ES_tradnl"/>
              </w:rPr>
              <w:t>MHz</w:t>
            </w:r>
            <w:bookmarkEnd w:id="21"/>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0,8</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0,8</w:t>
            </w:r>
          </w:p>
        </w:tc>
      </w:tr>
      <w:tr w:rsidR="00C3705C" w:rsidRPr="0022097B" w:rsidTr="0059715F">
        <w:tc>
          <w:tcPr>
            <w:tcW w:w="810" w:type="pct"/>
            <w:vMerge/>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22" w:name="lt_pId137"/>
            <w:r w:rsidRPr="008E7C85">
              <w:rPr>
                <w:rFonts w:asciiTheme="majorBidi" w:hAnsiTheme="majorBidi" w:cstheme="majorBidi"/>
                <w:lang w:val="es-ES_tradnl"/>
              </w:rPr>
              <w:t>20 dB</w:t>
            </w:r>
            <w:bookmarkEnd w:id="22"/>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23" w:name="lt_pId138"/>
            <w:r w:rsidRPr="008E7C85">
              <w:rPr>
                <w:rFonts w:asciiTheme="majorBidi" w:hAnsiTheme="majorBidi" w:cstheme="majorBidi"/>
                <w:lang w:val="es-ES_tradnl"/>
              </w:rPr>
              <w:t>MHz</w:t>
            </w:r>
            <w:bookmarkEnd w:id="23"/>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3</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3</w:t>
            </w:r>
          </w:p>
        </w:tc>
      </w:tr>
      <w:tr w:rsidR="00C3705C" w:rsidRPr="0022097B" w:rsidTr="0059715F">
        <w:tc>
          <w:tcPr>
            <w:tcW w:w="810" w:type="pct"/>
            <w:vMerge/>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24" w:name="lt_pId141"/>
            <w:r w:rsidRPr="008E7C85">
              <w:rPr>
                <w:rFonts w:asciiTheme="majorBidi" w:hAnsiTheme="majorBidi" w:cstheme="majorBidi"/>
                <w:lang w:val="es-ES_tradnl"/>
              </w:rPr>
              <w:t>60 dB</w:t>
            </w:r>
            <w:bookmarkEnd w:id="24"/>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25" w:name="lt_pId142"/>
            <w:r w:rsidRPr="008E7C85">
              <w:rPr>
                <w:rFonts w:asciiTheme="majorBidi" w:hAnsiTheme="majorBidi" w:cstheme="majorBidi"/>
                <w:lang w:val="es-ES_tradnl"/>
              </w:rPr>
              <w:t>MHz</w:t>
            </w:r>
            <w:bookmarkEnd w:id="25"/>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12</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12</w:t>
            </w:r>
          </w:p>
        </w:tc>
      </w:tr>
      <w:tr w:rsidR="00C3705C" w:rsidRPr="0022097B" w:rsidTr="0059715F">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3705C" w:rsidRPr="008E7C85" w:rsidRDefault="00C3705C" w:rsidP="008E7C85">
            <w:pPr>
              <w:pStyle w:val="Tabletext"/>
              <w:jc w:val="left"/>
              <w:rPr>
                <w:rFonts w:asciiTheme="majorBidi" w:hAnsiTheme="majorBidi" w:cstheme="majorBidi"/>
                <w:b/>
                <w:bCs/>
                <w:lang w:val="es-ES_tradnl"/>
              </w:rPr>
            </w:pPr>
            <w:r w:rsidRPr="008E7C85">
              <w:rPr>
                <w:rFonts w:asciiTheme="majorBidi" w:hAnsiTheme="majorBidi" w:cstheme="majorBidi"/>
                <w:b/>
                <w:bCs/>
                <w:lang w:val="es-ES_tradnl"/>
              </w:rPr>
              <w:t>Receptor</w:t>
            </w:r>
          </w:p>
        </w:tc>
      </w:tr>
      <w:tr w:rsidR="00C3705C" w:rsidRPr="0022097B" w:rsidTr="0059715F">
        <w:tc>
          <w:tcPr>
            <w:tcW w:w="810" w:type="pct"/>
            <w:vMerge w:val="restart"/>
            <w:hideMark/>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Selectividad RF</w:t>
            </w: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26" w:name="lt_pId147"/>
            <w:r w:rsidRPr="008E7C85">
              <w:rPr>
                <w:rFonts w:asciiTheme="majorBidi" w:hAnsiTheme="majorBidi" w:cstheme="majorBidi"/>
                <w:lang w:val="es-ES_tradnl"/>
              </w:rPr>
              <w:t>3 dB</w:t>
            </w:r>
            <w:bookmarkEnd w:id="26"/>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27" w:name="lt_pId148"/>
            <w:r w:rsidRPr="008E7C85">
              <w:rPr>
                <w:rFonts w:asciiTheme="majorBidi" w:hAnsiTheme="majorBidi" w:cstheme="majorBidi"/>
                <w:lang w:val="es-ES_tradnl"/>
              </w:rPr>
              <w:t>MHz</w:t>
            </w:r>
            <w:bookmarkEnd w:id="27"/>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590</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520</w:t>
            </w:r>
          </w:p>
        </w:tc>
      </w:tr>
      <w:tr w:rsidR="00C3705C" w:rsidRPr="0022097B" w:rsidTr="0059715F">
        <w:tc>
          <w:tcPr>
            <w:tcW w:w="810" w:type="pct"/>
            <w:vMerge/>
            <w:hideMark/>
          </w:tcPr>
          <w:p w:rsidR="00C3705C" w:rsidRPr="008E7C85" w:rsidRDefault="00C3705C" w:rsidP="008E7C85">
            <w:pPr>
              <w:pStyle w:val="Tabletext"/>
              <w:jc w:val="center"/>
              <w:rPr>
                <w:rFonts w:asciiTheme="majorBidi" w:hAnsiTheme="majorBidi" w:cstheme="majorBidi"/>
                <w:lang w:val="es-ES_tradnl"/>
              </w:rPr>
            </w:pP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28" w:name="lt_pId151"/>
            <w:r w:rsidRPr="008E7C85">
              <w:rPr>
                <w:rFonts w:asciiTheme="majorBidi" w:hAnsiTheme="majorBidi" w:cstheme="majorBidi"/>
                <w:lang w:val="es-ES_tradnl"/>
              </w:rPr>
              <w:t>20 dB</w:t>
            </w:r>
            <w:bookmarkEnd w:id="28"/>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29" w:name="lt_pId152"/>
            <w:r w:rsidRPr="008E7C85">
              <w:rPr>
                <w:rFonts w:asciiTheme="majorBidi" w:hAnsiTheme="majorBidi" w:cstheme="majorBidi"/>
                <w:lang w:val="es-ES_tradnl"/>
              </w:rPr>
              <w:t>MHz</w:t>
            </w:r>
            <w:bookmarkEnd w:id="29"/>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1 000</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580</w:t>
            </w:r>
          </w:p>
        </w:tc>
      </w:tr>
      <w:tr w:rsidR="00C3705C" w:rsidRPr="0022097B" w:rsidTr="0059715F">
        <w:tc>
          <w:tcPr>
            <w:tcW w:w="810" w:type="pct"/>
            <w:vMerge/>
            <w:hideMark/>
          </w:tcPr>
          <w:p w:rsidR="00C3705C" w:rsidRPr="008E7C85" w:rsidRDefault="00C3705C" w:rsidP="008E7C85">
            <w:pPr>
              <w:pStyle w:val="Tabletext"/>
              <w:jc w:val="center"/>
              <w:rPr>
                <w:rFonts w:asciiTheme="majorBidi" w:hAnsiTheme="majorBidi" w:cstheme="majorBidi"/>
                <w:lang w:val="es-ES_tradnl"/>
              </w:rPr>
            </w:pP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30" w:name="lt_pId155"/>
            <w:r w:rsidRPr="008E7C85">
              <w:rPr>
                <w:rFonts w:asciiTheme="majorBidi" w:hAnsiTheme="majorBidi" w:cstheme="majorBidi"/>
                <w:lang w:val="es-ES_tradnl"/>
              </w:rPr>
              <w:t>60 dB</w:t>
            </w:r>
            <w:bookmarkEnd w:id="30"/>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31" w:name="lt_pId156"/>
            <w:r w:rsidRPr="008E7C85">
              <w:rPr>
                <w:rFonts w:asciiTheme="majorBidi" w:hAnsiTheme="majorBidi" w:cstheme="majorBidi"/>
                <w:lang w:val="es-ES_tradnl"/>
              </w:rPr>
              <w:t>MHz</w:t>
            </w:r>
            <w:bookmarkEnd w:id="31"/>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2 600</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720</w:t>
            </w:r>
          </w:p>
        </w:tc>
      </w:tr>
      <w:tr w:rsidR="00C3705C" w:rsidRPr="0022097B" w:rsidTr="0059715F">
        <w:tc>
          <w:tcPr>
            <w:tcW w:w="810" w:type="pct"/>
            <w:vMerge w:val="restart"/>
            <w:hideMark/>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Selectividad IF</w:t>
            </w: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32" w:name="lt_pId160"/>
            <w:r w:rsidRPr="008E7C85">
              <w:rPr>
                <w:rFonts w:asciiTheme="majorBidi" w:hAnsiTheme="majorBidi" w:cstheme="majorBidi"/>
                <w:lang w:val="es-ES_tradnl"/>
              </w:rPr>
              <w:t>3 dB</w:t>
            </w:r>
            <w:bookmarkEnd w:id="32"/>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33" w:name="lt_pId161"/>
            <w:r w:rsidRPr="008E7C85">
              <w:rPr>
                <w:rFonts w:asciiTheme="majorBidi" w:hAnsiTheme="majorBidi" w:cstheme="majorBidi"/>
                <w:lang w:val="es-ES_tradnl"/>
              </w:rPr>
              <w:t>MHz</w:t>
            </w:r>
            <w:bookmarkEnd w:id="33"/>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400 / 4</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140 / 2</w:t>
            </w:r>
          </w:p>
        </w:tc>
      </w:tr>
      <w:tr w:rsidR="00C3705C" w:rsidRPr="0022097B" w:rsidTr="0059715F">
        <w:tc>
          <w:tcPr>
            <w:tcW w:w="810" w:type="pct"/>
            <w:vMerge/>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34" w:name="lt_pId164"/>
            <w:r w:rsidRPr="008E7C85">
              <w:rPr>
                <w:rFonts w:asciiTheme="majorBidi" w:hAnsiTheme="majorBidi" w:cstheme="majorBidi"/>
                <w:lang w:val="es-ES_tradnl"/>
              </w:rPr>
              <w:t>20 dB</w:t>
            </w:r>
            <w:bookmarkEnd w:id="34"/>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35" w:name="lt_pId165"/>
            <w:r w:rsidRPr="008E7C85">
              <w:rPr>
                <w:rFonts w:asciiTheme="majorBidi" w:hAnsiTheme="majorBidi" w:cstheme="majorBidi"/>
                <w:lang w:val="es-ES_tradnl"/>
              </w:rPr>
              <w:t>MHz</w:t>
            </w:r>
            <w:bookmarkEnd w:id="35"/>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800 / 15</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400 / 12</w:t>
            </w:r>
          </w:p>
        </w:tc>
      </w:tr>
      <w:tr w:rsidR="00C3705C" w:rsidRPr="0022097B" w:rsidTr="0059715F">
        <w:tc>
          <w:tcPr>
            <w:tcW w:w="810" w:type="pct"/>
            <w:vMerge/>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p>
        </w:tc>
        <w:tc>
          <w:tcPr>
            <w:tcW w:w="494"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36" w:name="lt_pId168"/>
            <w:r w:rsidRPr="008E7C85">
              <w:rPr>
                <w:rFonts w:asciiTheme="majorBidi" w:hAnsiTheme="majorBidi" w:cstheme="majorBidi"/>
                <w:lang w:val="es-ES_tradnl"/>
              </w:rPr>
              <w:t>60 dB</w:t>
            </w:r>
            <w:bookmarkEnd w:id="36"/>
          </w:p>
        </w:tc>
        <w:tc>
          <w:tcPr>
            <w:tcW w:w="659" w:type="pct"/>
            <w:tcBorders>
              <w:top w:val="single" w:sz="4" w:space="0" w:color="auto"/>
              <w:left w:val="single" w:sz="4" w:space="0" w:color="auto"/>
              <w:bottom w:val="single" w:sz="4" w:space="0" w:color="auto"/>
              <w:right w:val="single" w:sz="4" w:space="0" w:color="auto"/>
            </w:tcBorders>
            <w:vAlign w:val="center"/>
            <w:hideMark/>
          </w:tcPr>
          <w:p w:rsidR="00C3705C" w:rsidRPr="008E7C85" w:rsidRDefault="00C3705C" w:rsidP="008E7C85">
            <w:pPr>
              <w:pStyle w:val="Tabletext"/>
              <w:jc w:val="center"/>
              <w:rPr>
                <w:rFonts w:asciiTheme="majorBidi" w:hAnsiTheme="majorBidi" w:cstheme="majorBidi"/>
                <w:lang w:val="es-ES_tradnl"/>
              </w:rPr>
            </w:pPr>
            <w:bookmarkStart w:id="37" w:name="lt_pId169"/>
            <w:r w:rsidRPr="008E7C85">
              <w:rPr>
                <w:rFonts w:asciiTheme="majorBidi" w:hAnsiTheme="majorBidi" w:cstheme="majorBidi"/>
                <w:lang w:val="es-ES_tradnl"/>
              </w:rPr>
              <w:t>MHz</w:t>
            </w:r>
            <w:bookmarkEnd w:id="37"/>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2 200 / 45</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850 / 30</w:t>
            </w:r>
          </w:p>
        </w:tc>
      </w:tr>
      <w:tr w:rsidR="00C3705C" w:rsidRPr="0022097B" w:rsidTr="0059715F">
        <w:tc>
          <w:tcPr>
            <w:tcW w:w="1304" w:type="pct"/>
            <w:gridSpan w:val="2"/>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Factor de ruido</w:t>
            </w:r>
          </w:p>
        </w:tc>
        <w:tc>
          <w:tcPr>
            <w:tcW w:w="659"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38" w:name="lt_pId173"/>
            <w:r w:rsidRPr="008E7C85">
              <w:rPr>
                <w:rFonts w:asciiTheme="majorBidi" w:hAnsiTheme="majorBidi" w:cstheme="majorBidi"/>
                <w:lang w:val="es-ES_tradnl"/>
              </w:rPr>
              <w:t>dB</w:t>
            </w:r>
            <w:bookmarkEnd w:id="38"/>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4</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4</w:t>
            </w:r>
          </w:p>
        </w:tc>
      </w:tr>
      <w:tr w:rsidR="00C3705C" w:rsidRPr="0022097B" w:rsidTr="0059715F">
        <w:tc>
          <w:tcPr>
            <w:tcW w:w="1304" w:type="pct"/>
            <w:gridSpan w:val="2"/>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Sensibilidad</w:t>
            </w:r>
          </w:p>
        </w:tc>
        <w:tc>
          <w:tcPr>
            <w:tcW w:w="659" w:type="pct"/>
            <w:tcBorders>
              <w:top w:val="single" w:sz="4" w:space="0" w:color="auto"/>
              <w:left w:val="single" w:sz="4" w:space="0" w:color="auto"/>
              <w:bottom w:val="single" w:sz="4" w:space="0" w:color="auto"/>
              <w:right w:val="single" w:sz="4" w:space="0" w:color="auto"/>
            </w:tcBorders>
            <w:hideMark/>
          </w:tcPr>
          <w:p w:rsidR="00C3705C" w:rsidRPr="008E7C85" w:rsidRDefault="00C3705C" w:rsidP="008E7C85">
            <w:pPr>
              <w:pStyle w:val="Tabletext"/>
              <w:jc w:val="center"/>
              <w:rPr>
                <w:rFonts w:asciiTheme="majorBidi" w:hAnsiTheme="majorBidi" w:cstheme="majorBidi"/>
                <w:lang w:val="es-ES_tradnl"/>
              </w:rPr>
            </w:pPr>
            <w:bookmarkStart w:id="39" w:name="lt_pId177"/>
            <w:r w:rsidRPr="008E7C85">
              <w:rPr>
                <w:rFonts w:asciiTheme="majorBidi" w:hAnsiTheme="majorBidi" w:cstheme="majorBidi"/>
                <w:lang w:val="es-ES_tradnl"/>
              </w:rPr>
              <w:t>dBm</w:t>
            </w:r>
            <w:bookmarkEnd w:id="39"/>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bookmarkStart w:id="40" w:name="lt_pId178"/>
            <w:r w:rsidRPr="008E7C85">
              <w:rPr>
                <w:rFonts w:asciiTheme="majorBidi" w:hAnsiTheme="majorBidi" w:cstheme="majorBidi"/>
                <w:lang w:val="es-ES_tradnl"/>
              </w:rPr>
              <w:t>−105 a −112</w:t>
            </w:r>
            <w:bookmarkEnd w:id="40"/>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bookmarkStart w:id="41" w:name="lt_pId179"/>
            <w:r w:rsidRPr="008E7C85">
              <w:rPr>
                <w:rFonts w:asciiTheme="majorBidi" w:hAnsiTheme="majorBidi" w:cstheme="majorBidi"/>
                <w:lang w:val="es-ES_tradnl"/>
              </w:rPr>
              <w:t>−105 a −110</w:t>
            </w:r>
            <w:bookmarkEnd w:id="41"/>
          </w:p>
        </w:tc>
      </w:tr>
      <w:tr w:rsidR="00C3705C" w:rsidRPr="0022097B" w:rsidTr="0059715F">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3705C" w:rsidRPr="008E7C85" w:rsidRDefault="00C3705C" w:rsidP="008E7C85">
            <w:pPr>
              <w:pStyle w:val="Tabletext"/>
              <w:jc w:val="left"/>
              <w:rPr>
                <w:rFonts w:asciiTheme="majorBidi" w:hAnsiTheme="majorBidi" w:cstheme="majorBidi"/>
                <w:b/>
                <w:bCs/>
                <w:lang w:val="es-ES_tradnl"/>
              </w:rPr>
            </w:pPr>
            <w:r w:rsidRPr="008E7C85">
              <w:rPr>
                <w:rFonts w:asciiTheme="majorBidi" w:hAnsiTheme="majorBidi" w:cstheme="majorBidi"/>
                <w:b/>
                <w:bCs/>
                <w:lang w:val="es-ES_tradnl"/>
              </w:rPr>
              <w:t>Antena</w:t>
            </w:r>
          </w:p>
        </w:tc>
      </w:tr>
      <w:tr w:rsidR="00C3705C" w:rsidRPr="0022097B" w:rsidTr="0059715F">
        <w:tc>
          <w:tcPr>
            <w:tcW w:w="1304" w:type="pct"/>
            <w:gridSpan w:val="2"/>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Ganancia de la antena</w:t>
            </w:r>
          </w:p>
        </w:tc>
        <w:tc>
          <w:tcPr>
            <w:tcW w:w="659" w:type="pct"/>
            <w:tcBorders>
              <w:top w:val="single" w:sz="4" w:space="0" w:color="auto"/>
              <w:left w:val="single" w:sz="4" w:space="0" w:color="auto"/>
              <w:bottom w:val="single" w:sz="4" w:space="0" w:color="auto"/>
              <w:right w:val="single" w:sz="4" w:space="0" w:color="auto"/>
            </w:tcBorders>
          </w:tcPr>
          <w:p w:rsidR="00C3705C" w:rsidRPr="008E7C85" w:rsidRDefault="00C3705C" w:rsidP="008E7C85">
            <w:pPr>
              <w:pStyle w:val="Tabletext"/>
              <w:jc w:val="center"/>
              <w:rPr>
                <w:rFonts w:asciiTheme="majorBidi" w:hAnsiTheme="majorBidi" w:cstheme="majorBidi"/>
                <w:lang w:val="es-ES_tradnl"/>
              </w:rPr>
            </w:pPr>
            <w:bookmarkStart w:id="42" w:name="lt_pId182"/>
            <w:r w:rsidRPr="008E7C85">
              <w:rPr>
                <w:rFonts w:asciiTheme="majorBidi" w:hAnsiTheme="majorBidi" w:cstheme="majorBidi"/>
                <w:lang w:val="es-ES_tradnl"/>
              </w:rPr>
              <w:t>dBi</w:t>
            </w:r>
            <w:bookmarkEnd w:id="42"/>
          </w:p>
        </w:tc>
        <w:tc>
          <w:tcPr>
            <w:tcW w:w="521"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27</w:t>
            </w:r>
          </w:p>
        </w:tc>
        <w:tc>
          <w:tcPr>
            <w:tcW w:w="521"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17</w:t>
            </w:r>
          </w:p>
        </w:tc>
        <w:tc>
          <w:tcPr>
            <w:tcW w:w="522"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13</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40</w:t>
            </w:r>
          </w:p>
        </w:tc>
      </w:tr>
      <w:tr w:rsidR="00C3705C" w:rsidRPr="0022097B" w:rsidTr="0059715F">
        <w:tc>
          <w:tcPr>
            <w:tcW w:w="1304" w:type="pct"/>
            <w:gridSpan w:val="2"/>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Polarización</w:t>
            </w:r>
          </w:p>
        </w:tc>
        <w:tc>
          <w:tcPr>
            <w:tcW w:w="659" w:type="pct"/>
            <w:tcBorders>
              <w:top w:val="single" w:sz="4" w:space="0" w:color="auto"/>
              <w:left w:val="single" w:sz="4" w:space="0" w:color="auto"/>
              <w:bottom w:val="single" w:sz="4" w:space="0" w:color="auto"/>
              <w:right w:val="single" w:sz="4" w:space="0" w:color="auto"/>
            </w:tcBorders>
          </w:tcPr>
          <w:p w:rsidR="00C3705C" w:rsidRPr="008E7C85" w:rsidRDefault="00C3705C" w:rsidP="008E7C85">
            <w:pPr>
              <w:pStyle w:val="Tabletext"/>
              <w:jc w:val="center"/>
              <w:rPr>
                <w:rFonts w:asciiTheme="majorBidi" w:hAnsiTheme="majorBidi" w:cstheme="majorBidi"/>
                <w:lang w:val="es-ES_tradnl"/>
              </w:rPr>
            </w:pP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bookmarkStart w:id="43" w:name="lt_pId188"/>
            <w:r w:rsidRPr="008E7C85">
              <w:rPr>
                <w:rFonts w:asciiTheme="majorBidi" w:hAnsiTheme="majorBidi" w:cstheme="majorBidi"/>
                <w:lang w:val="es-ES_tradnl"/>
              </w:rPr>
              <w:t>RHCP</w:t>
            </w:r>
            <w:r w:rsidRPr="008E7C85">
              <w:rPr>
                <w:rFonts w:asciiTheme="majorBidi" w:hAnsiTheme="majorBidi" w:cstheme="majorBidi"/>
                <w:vertAlign w:val="superscript"/>
                <w:lang w:val="es-ES_tradnl"/>
              </w:rPr>
              <w:t>(1)</w:t>
            </w:r>
            <w:r w:rsidRPr="008E7C85">
              <w:rPr>
                <w:rFonts w:asciiTheme="majorBidi" w:hAnsiTheme="majorBidi" w:cstheme="majorBidi"/>
                <w:lang w:val="es-ES_tradnl"/>
              </w:rPr>
              <w:t xml:space="preserve"> </w:t>
            </w:r>
            <w:bookmarkEnd w:id="43"/>
            <w:r w:rsidRPr="008E7C85">
              <w:rPr>
                <w:rFonts w:asciiTheme="majorBidi" w:hAnsiTheme="majorBidi" w:cstheme="majorBidi"/>
                <w:lang w:val="es-ES_tradnl"/>
              </w:rPr>
              <w:t>y lineal</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bookmarkStart w:id="44" w:name="lt_pId189"/>
            <w:r w:rsidRPr="008E7C85">
              <w:rPr>
                <w:rFonts w:asciiTheme="majorBidi" w:hAnsiTheme="majorBidi" w:cstheme="majorBidi"/>
                <w:lang w:val="es-ES_tradnl"/>
              </w:rPr>
              <w:t>RHCP</w:t>
            </w:r>
            <w:r w:rsidRPr="008E7C85">
              <w:rPr>
                <w:rFonts w:asciiTheme="majorBidi" w:hAnsiTheme="majorBidi" w:cstheme="majorBidi"/>
                <w:vertAlign w:val="superscript"/>
                <w:lang w:val="es-ES_tradnl"/>
              </w:rPr>
              <w:t>(1)</w:t>
            </w:r>
            <w:r w:rsidRPr="008E7C85">
              <w:rPr>
                <w:rFonts w:asciiTheme="majorBidi" w:hAnsiTheme="majorBidi" w:cstheme="majorBidi"/>
                <w:lang w:val="es-ES_tradnl"/>
              </w:rPr>
              <w:t xml:space="preserve"> </w:t>
            </w:r>
            <w:bookmarkEnd w:id="44"/>
            <w:r w:rsidRPr="008E7C85">
              <w:rPr>
                <w:rFonts w:asciiTheme="majorBidi" w:hAnsiTheme="majorBidi" w:cstheme="majorBidi"/>
                <w:lang w:val="es-ES_tradnl"/>
              </w:rPr>
              <w:t>y lineal</w:t>
            </w:r>
          </w:p>
        </w:tc>
      </w:tr>
      <w:tr w:rsidR="00C3705C" w:rsidRPr="0022097B" w:rsidTr="0059715F">
        <w:tc>
          <w:tcPr>
            <w:tcW w:w="1304" w:type="pct"/>
            <w:gridSpan w:val="2"/>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Diagrama/tipo de antena</w:t>
            </w:r>
          </w:p>
        </w:tc>
        <w:tc>
          <w:tcPr>
            <w:tcW w:w="659" w:type="pct"/>
            <w:tcBorders>
              <w:top w:val="single" w:sz="4" w:space="0" w:color="auto"/>
              <w:left w:val="single" w:sz="4" w:space="0" w:color="auto"/>
              <w:bottom w:val="single" w:sz="4" w:space="0" w:color="auto"/>
              <w:right w:val="single" w:sz="4" w:space="0" w:color="auto"/>
            </w:tcBorders>
          </w:tcPr>
          <w:p w:rsidR="00C3705C" w:rsidRPr="008E7C85" w:rsidRDefault="00C3705C" w:rsidP="008E7C85">
            <w:pPr>
              <w:pStyle w:val="Tabletext"/>
              <w:jc w:val="center"/>
              <w:rPr>
                <w:rFonts w:asciiTheme="majorBidi" w:hAnsiTheme="majorBidi" w:cstheme="majorBidi"/>
                <w:lang w:val="es-ES_tradnl"/>
              </w:rPr>
            </w:pP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Antena de ranuras</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Reflector parabólico</w:t>
            </w:r>
          </w:p>
        </w:tc>
      </w:tr>
      <w:tr w:rsidR="00C3705C" w:rsidRPr="0022097B" w:rsidTr="0059715F">
        <w:tc>
          <w:tcPr>
            <w:tcW w:w="1304" w:type="pct"/>
            <w:gridSpan w:val="2"/>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Anchura de banda horizontal</w:t>
            </w:r>
          </w:p>
        </w:tc>
        <w:tc>
          <w:tcPr>
            <w:tcW w:w="659" w:type="pct"/>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Grados</w:t>
            </w:r>
          </w:p>
        </w:tc>
        <w:tc>
          <w:tcPr>
            <w:tcW w:w="521"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10/</w:t>
            </w:r>
          </w:p>
        </w:tc>
        <w:tc>
          <w:tcPr>
            <w:tcW w:w="521"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15</w:t>
            </w:r>
          </w:p>
        </w:tc>
        <w:tc>
          <w:tcPr>
            <w:tcW w:w="522"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29</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3</w:t>
            </w:r>
          </w:p>
        </w:tc>
      </w:tr>
      <w:tr w:rsidR="00C3705C" w:rsidRPr="0022097B" w:rsidTr="0059715F">
        <w:tc>
          <w:tcPr>
            <w:tcW w:w="1304" w:type="pct"/>
            <w:gridSpan w:val="2"/>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Anchura de banda vertical</w:t>
            </w:r>
          </w:p>
        </w:tc>
        <w:tc>
          <w:tcPr>
            <w:tcW w:w="659" w:type="pct"/>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Grados</w:t>
            </w:r>
          </w:p>
        </w:tc>
        <w:tc>
          <w:tcPr>
            <w:tcW w:w="521"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15</w:t>
            </w:r>
          </w:p>
        </w:tc>
        <w:tc>
          <w:tcPr>
            <w:tcW w:w="521"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20</w:t>
            </w:r>
          </w:p>
        </w:tc>
        <w:tc>
          <w:tcPr>
            <w:tcW w:w="522"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12</w:t>
            </w:r>
          </w:p>
        </w:tc>
        <w:tc>
          <w:tcPr>
            <w:tcW w:w="1474" w:type="pct"/>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3</w:t>
            </w:r>
          </w:p>
        </w:tc>
      </w:tr>
      <w:tr w:rsidR="00C3705C" w:rsidRPr="00750B63" w:rsidTr="0059715F">
        <w:tc>
          <w:tcPr>
            <w:tcW w:w="1304" w:type="pct"/>
            <w:gridSpan w:val="2"/>
          </w:tcPr>
          <w:p w:rsidR="00C3705C" w:rsidRPr="008E7C85" w:rsidRDefault="00C3705C" w:rsidP="008E7C85">
            <w:pPr>
              <w:pStyle w:val="Tabletext"/>
              <w:jc w:val="left"/>
              <w:rPr>
                <w:rFonts w:asciiTheme="majorBidi" w:hAnsiTheme="majorBidi" w:cstheme="majorBidi"/>
                <w:lang w:val="es-ES_tradnl"/>
              </w:rPr>
            </w:pPr>
            <w:r w:rsidRPr="008E7C85">
              <w:rPr>
                <w:rFonts w:asciiTheme="majorBidi" w:hAnsiTheme="majorBidi" w:cstheme="majorBidi"/>
                <w:lang w:val="es-ES_tradnl"/>
              </w:rPr>
              <w:t>Modelo de diagrama de antena</w:t>
            </w:r>
          </w:p>
        </w:tc>
        <w:tc>
          <w:tcPr>
            <w:tcW w:w="659" w:type="pct"/>
            <w:tcBorders>
              <w:top w:val="single" w:sz="4" w:space="0" w:color="auto"/>
              <w:left w:val="single" w:sz="4" w:space="0" w:color="auto"/>
              <w:bottom w:val="single" w:sz="4" w:space="0" w:color="auto"/>
              <w:right w:val="single" w:sz="4" w:space="0" w:color="auto"/>
            </w:tcBorders>
          </w:tcPr>
          <w:p w:rsidR="00C3705C" w:rsidRPr="008E7C85" w:rsidRDefault="00C3705C" w:rsidP="008E7C85">
            <w:pPr>
              <w:pStyle w:val="Tabletext"/>
              <w:jc w:val="center"/>
              <w:rPr>
                <w:rFonts w:asciiTheme="majorBidi" w:hAnsiTheme="majorBidi" w:cstheme="majorBidi"/>
                <w:lang w:val="es-ES_tradnl"/>
              </w:rPr>
            </w:pP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 xml:space="preserve">Recomendación </w:t>
            </w:r>
            <w:r w:rsidRPr="008E7C85">
              <w:rPr>
                <w:rFonts w:asciiTheme="majorBidi" w:hAnsiTheme="majorBidi" w:cstheme="majorBidi"/>
                <w:lang w:val="es-ES_tradnl"/>
              </w:rPr>
              <w:br/>
              <w:t>UIT-R M.1851</w:t>
            </w:r>
          </w:p>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(Distribución uniforme)</w:t>
            </w:r>
          </w:p>
        </w:tc>
        <w:tc>
          <w:tcPr>
            <w:tcW w:w="1474" w:type="pct"/>
            <w:tcBorders>
              <w:top w:val="single" w:sz="4" w:space="0" w:color="auto"/>
              <w:left w:val="single" w:sz="4" w:space="0" w:color="auto"/>
              <w:bottom w:val="single" w:sz="4" w:space="0" w:color="auto"/>
              <w:right w:val="single" w:sz="4" w:space="0" w:color="auto"/>
            </w:tcBorders>
          </w:tcPr>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Recomendación</w:t>
            </w:r>
            <w:r w:rsidRPr="008E7C85">
              <w:rPr>
                <w:rFonts w:asciiTheme="majorBidi" w:hAnsiTheme="majorBidi" w:cstheme="majorBidi"/>
                <w:lang w:val="es-ES_tradnl"/>
              </w:rPr>
              <w:br/>
              <w:t>UIT-R M.1851</w:t>
            </w:r>
          </w:p>
          <w:p w:rsidR="00C3705C" w:rsidRPr="008E7C85" w:rsidRDefault="00C3705C" w:rsidP="008E7C85">
            <w:pPr>
              <w:pStyle w:val="Tabletext"/>
              <w:jc w:val="center"/>
              <w:rPr>
                <w:rFonts w:asciiTheme="majorBidi" w:hAnsiTheme="majorBidi" w:cstheme="majorBidi"/>
                <w:lang w:val="es-ES_tradnl"/>
              </w:rPr>
            </w:pPr>
            <w:r w:rsidRPr="008E7C85">
              <w:rPr>
                <w:rFonts w:asciiTheme="majorBidi" w:hAnsiTheme="majorBidi" w:cstheme="majorBidi"/>
                <w:lang w:val="es-ES_tradnl"/>
              </w:rPr>
              <w:t>(Distribución uniforme</w:t>
            </w:r>
            <w:bookmarkStart w:id="45" w:name="lt_pId209"/>
            <w:r w:rsidRPr="008E7C85">
              <w:rPr>
                <w:rFonts w:asciiTheme="majorBidi" w:hAnsiTheme="majorBidi" w:cstheme="majorBidi"/>
                <w:lang w:val="es-ES_tradnl"/>
              </w:rPr>
              <w:t>)</w:t>
            </w:r>
            <w:bookmarkEnd w:id="45"/>
          </w:p>
        </w:tc>
      </w:tr>
      <w:tr w:rsidR="00C3705C" w:rsidRPr="0022097B" w:rsidTr="0059715F">
        <w:tc>
          <w:tcPr>
            <w:tcW w:w="5000" w:type="pct"/>
            <w:gridSpan w:val="7"/>
            <w:tcBorders>
              <w:top w:val="single" w:sz="4" w:space="0" w:color="auto"/>
              <w:left w:val="nil"/>
              <w:bottom w:val="nil"/>
              <w:right w:val="nil"/>
            </w:tcBorders>
          </w:tcPr>
          <w:p w:rsidR="00C3705C" w:rsidRPr="008E7C85" w:rsidRDefault="00C3705C" w:rsidP="008E7C85">
            <w:pPr>
              <w:pStyle w:val="Tabletext"/>
              <w:rPr>
                <w:rFonts w:asciiTheme="majorBidi" w:hAnsiTheme="majorBidi" w:cstheme="majorBidi"/>
                <w:lang w:val="es-ES_tradnl"/>
              </w:rPr>
            </w:pPr>
            <w:bookmarkStart w:id="46" w:name="_Hlk483929207"/>
            <w:r w:rsidRPr="008E7C85">
              <w:rPr>
                <w:rFonts w:asciiTheme="majorBidi" w:hAnsiTheme="majorBidi" w:cstheme="majorBidi"/>
                <w:vertAlign w:val="superscript"/>
                <w:lang w:val="es-ES_tradnl"/>
              </w:rPr>
              <w:t>(1)</w:t>
            </w:r>
            <w:r w:rsidRPr="008E7C85">
              <w:rPr>
                <w:rFonts w:asciiTheme="majorBidi" w:hAnsiTheme="majorBidi" w:cstheme="majorBidi"/>
                <w:lang w:val="es-ES_tradnl"/>
              </w:rPr>
              <w:tab/>
            </w:r>
            <w:bookmarkStart w:id="47" w:name="lt_pId211"/>
            <w:r w:rsidRPr="008E7C85">
              <w:rPr>
                <w:rFonts w:asciiTheme="majorBidi" w:hAnsiTheme="majorBidi" w:cstheme="majorBidi"/>
                <w:lang w:val="es-ES_tradnl"/>
              </w:rPr>
              <w:t>RHCP – Polarización circular dextrógira.</w:t>
            </w:r>
            <w:bookmarkEnd w:id="46"/>
            <w:bookmarkEnd w:id="47"/>
          </w:p>
        </w:tc>
      </w:tr>
    </w:tbl>
    <w:p w:rsidR="00C3705C" w:rsidRPr="00AF0D6D" w:rsidRDefault="00C3705C" w:rsidP="00C3705C">
      <w:pPr>
        <w:pStyle w:val="Heading1"/>
        <w:rPr>
          <w:lang w:val="es-ES_tradnl"/>
        </w:rPr>
      </w:pPr>
      <w:r w:rsidRPr="0022097B">
        <w:rPr>
          <w:lang w:val="es-ES_tradnl"/>
        </w:rPr>
        <w:t>3</w:t>
      </w:r>
      <w:r w:rsidRPr="0022097B">
        <w:rPr>
          <w:lang w:val="es-ES_tradnl"/>
        </w:rPr>
        <w:tab/>
      </w:r>
      <w:r>
        <w:rPr>
          <w:lang w:val="es-ES_tradnl"/>
        </w:rPr>
        <w:t>Características operacionales</w:t>
      </w:r>
    </w:p>
    <w:p w:rsidR="00C3705C" w:rsidRPr="002F4D19" w:rsidRDefault="00C3705C" w:rsidP="00C3705C">
      <w:pPr>
        <w:rPr>
          <w:lang w:val="es-ES_tradnl"/>
        </w:rPr>
      </w:pPr>
      <w:bookmarkStart w:id="48" w:name="lt_pId214"/>
      <w:r w:rsidRPr="002F4D19">
        <w:rPr>
          <w:lang w:val="es-ES_tradnl"/>
        </w:rPr>
        <w:t xml:space="preserve">El AMS es un servicio móvil entre estaciones aeronáuticas y estaciones de aeronave, o entre dos estaciones de aeronave. Plataformas tripuladas y no tripuladas equipadas con enlaces de datos AMS (AMS data links, ADL) pueden funcionar </w:t>
      </w:r>
      <w:r>
        <w:rPr>
          <w:lang w:val="es-ES_tradnl"/>
        </w:rPr>
        <w:t>en todo el mundo</w:t>
      </w:r>
      <w:r w:rsidRPr="002F4D19">
        <w:rPr>
          <w:lang w:val="es-ES_tradnl"/>
        </w:rPr>
        <w:t xml:space="preserve"> y en cualquier lugar de un país cuya administración haya autorizado su utilización.</w:t>
      </w:r>
    </w:p>
    <w:p w:rsidR="00C3705C" w:rsidRPr="0022097B" w:rsidRDefault="00C3705C" w:rsidP="00C3705C">
      <w:pPr>
        <w:rPr>
          <w:lang w:val="es-ES_tradnl"/>
        </w:rPr>
      </w:pPr>
      <w:bookmarkStart w:id="49" w:name="lt_pId218"/>
      <w:bookmarkEnd w:id="48"/>
      <w:r w:rsidRPr="002F4D19">
        <w:rPr>
          <w:lang w:val="es-ES_tradnl"/>
        </w:rPr>
        <w:t>Un ADL puede existir entre un terminal de datos aerotransportado (</w:t>
      </w:r>
      <w:r w:rsidRPr="002F4D19">
        <w:rPr>
          <w:i/>
          <w:iCs/>
          <w:lang w:val="es-ES_tradnl"/>
        </w:rPr>
        <w:t>airborne data terminal</w:t>
      </w:r>
      <w:r w:rsidRPr="002F4D19">
        <w:rPr>
          <w:lang w:val="es-ES_tradnl"/>
        </w:rPr>
        <w:t>, ADT), que es una estación de aeronave, y un terminal de datos en tierra (</w:t>
      </w:r>
      <w:r w:rsidRPr="002F4D19">
        <w:rPr>
          <w:i/>
          <w:iCs/>
          <w:lang w:val="es-ES_tradnl"/>
        </w:rPr>
        <w:t>ground data terminal</w:t>
      </w:r>
      <w:r w:rsidRPr="002F4D19">
        <w:rPr>
          <w:lang w:val="es-ES_tradnl"/>
        </w:rPr>
        <w:t>, GDT), que es una estación aeronáutica, o entre dos ADT. Los ADL son bidireccionales por naturaleza y pueden funcionar en modo de banda estrecha o banda ancha</w:t>
      </w:r>
      <w:r>
        <w:rPr>
          <w:lang w:val="es-ES_tradnl"/>
        </w:rPr>
        <w:t>,</w:t>
      </w:r>
      <w:r w:rsidRPr="002F4D19">
        <w:rPr>
          <w:lang w:val="es-ES_tradnl"/>
        </w:rPr>
        <w:t xml:space="preserve"> en una o en ambas direcciones. </w:t>
      </w:r>
      <w:r w:rsidRPr="002F4D19">
        <w:rPr>
          <w:lang w:val="es-ES"/>
        </w:rPr>
        <w:t xml:space="preserve">Son posibles </w:t>
      </w:r>
      <w:r w:rsidRPr="002F4D19">
        <w:rPr>
          <w:lang w:val="es-ES"/>
        </w:rPr>
        <w:lastRenderedPageBreak/>
        <w:t xml:space="preserve">redes con múltiples </w:t>
      </w:r>
      <w:r>
        <w:rPr>
          <w:lang w:val="es-ES"/>
        </w:rPr>
        <w:t xml:space="preserve">ADL entre ADT y/o GDT. </w:t>
      </w:r>
      <w:bookmarkStart w:id="50" w:name="lt_pId219"/>
      <w:bookmarkEnd w:id="49"/>
      <w:r w:rsidRPr="002F4D19">
        <w:rPr>
          <w:lang w:val="es-ES_tradnl"/>
        </w:rPr>
        <w:t>Los GDT pueden estar en una sola ubicación permanente o ser transportables</w:t>
      </w:r>
      <w:r w:rsidRPr="0022097B">
        <w:rPr>
          <w:lang w:val="es-ES_tradnl"/>
        </w:rPr>
        <w:t>.</w:t>
      </w:r>
      <w:bookmarkEnd w:id="50"/>
    </w:p>
    <w:p w:rsidR="00C3705C" w:rsidRPr="002F4D19" w:rsidRDefault="00C3705C" w:rsidP="00C3705C">
      <w:pPr>
        <w:keepNext/>
        <w:keepLines/>
        <w:rPr>
          <w:lang w:val="es-ES_tradnl"/>
        </w:rPr>
      </w:pPr>
      <w:bookmarkStart w:id="51" w:name="lt_pId220"/>
      <w:r w:rsidRPr="002F4D19">
        <w:rPr>
          <w:lang w:val="es-ES_tradnl"/>
        </w:rPr>
        <w:t>La longitud del enlace para el ADL suele estar limitada por el horizonte de visibilidad directa radioeléctrica (</w:t>
      </w:r>
      <w:r w:rsidRPr="002F4D19">
        <w:rPr>
          <w:i/>
          <w:lang w:val="es-ES_tradnl"/>
        </w:rPr>
        <w:t>radio-line-of-sight</w:t>
      </w:r>
      <w:r w:rsidRPr="002F4D19">
        <w:rPr>
          <w:lang w:val="es-ES_tradnl"/>
        </w:rPr>
        <w:t>, RLOS), que depende de la configuración del terreno a proximidad del GDT y la altitud del ADT. La altitud operacional de las plataformas aerotransportadas equipadas con esos ADL puede ser de hasta 20 km. La longitud del enlace puede varia</w:t>
      </w:r>
      <w:r>
        <w:rPr>
          <w:lang w:val="es-ES_tradnl"/>
        </w:rPr>
        <w:t>r</w:t>
      </w:r>
      <w:r w:rsidRPr="002F4D19">
        <w:rPr>
          <w:lang w:val="es-ES_tradnl"/>
        </w:rPr>
        <w:t xml:space="preserve"> entre unos pocos kilómetros hasta aproximarse a la distancia del horizonte RLOS. En un enlace aire-tierra</w:t>
      </w:r>
      <w:r>
        <w:rPr>
          <w:lang w:val="es-ES_tradnl"/>
        </w:rPr>
        <w:t xml:space="preserve"> o tierra-aire,</w:t>
      </w:r>
      <w:r w:rsidRPr="002F4D19">
        <w:rPr>
          <w:lang w:val="es-ES_tradnl"/>
        </w:rPr>
        <w:t xml:space="preserve"> la longitud de ese enlace puede ser de aproximadamente 450 km</w:t>
      </w:r>
      <w:r>
        <w:rPr>
          <w:lang w:val="es-ES_tradnl"/>
        </w:rPr>
        <w:t>.</w:t>
      </w:r>
    </w:p>
    <w:p w:rsidR="00C3705C" w:rsidRPr="002F4D19" w:rsidRDefault="00C3705C" w:rsidP="00C3705C">
      <w:pPr>
        <w:rPr>
          <w:highlight w:val="cyan"/>
          <w:lang w:val="es-ES_tradnl"/>
        </w:rPr>
      </w:pPr>
      <w:bookmarkStart w:id="52" w:name="lt_pId224"/>
      <w:bookmarkEnd w:id="51"/>
      <w:r w:rsidRPr="002F4D19">
        <w:rPr>
          <w:lang w:val="es-ES_tradnl"/>
        </w:rPr>
        <w:t>El funciona</w:t>
      </w:r>
      <w:r>
        <w:rPr>
          <w:lang w:val="es-ES_tradnl"/>
        </w:rPr>
        <w:t>miento del</w:t>
      </w:r>
      <w:r w:rsidRPr="002F4D19">
        <w:rPr>
          <w:lang w:val="es-ES_tradnl"/>
        </w:rPr>
        <w:t xml:space="preserve"> enlace entre dos ADT es similar al enlace entre un GDT y un ADT, con la salvedad de que la longitud del enlace depende de la altitud operacional de los dos ADT. En un enlace directo aire-aire, </w:t>
      </w:r>
      <w:r>
        <w:rPr>
          <w:lang w:val="es-ES_tradnl"/>
        </w:rPr>
        <w:t>su</w:t>
      </w:r>
      <w:r w:rsidRPr="002F4D19">
        <w:rPr>
          <w:lang w:val="es-ES_tradnl"/>
        </w:rPr>
        <w:t xml:space="preserve"> longitud puede ser de aproximadamente 900 km. Otros factores que se deben tener en cuenta, como las pérdidas atmosféricas (atenuación debida a la lluvia, gases, etc.) y pérdidas debidas a ecos parásitos, como las descritas en las Recomendaciones UIT-R de la serie P pertinentes, pueden reducir la distancia máxima del enlace entre dos aeronaves. Dependiendo de las condiciones ambientales y de la ubicación de la aeronave, la distancia del enlace puede ser inferior a 900 km.</w:t>
      </w:r>
    </w:p>
    <w:p w:rsidR="00C3705C" w:rsidRPr="002F4D19" w:rsidRDefault="00C3705C" w:rsidP="00C3705C">
      <w:pPr>
        <w:rPr>
          <w:lang w:val="es-ES_tradnl"/>
        </w:rPr>
      </w:pPr>
      <w:bookmarkStart w:id="53" w:name="lt_pId228"/>
      <w:bookmarkEnd w:id="52"/>
      <w:r w:rsidRPr="002F4D19">
        <w:rPr>
          <w:lang w:val="es-ES_tradnl"/>
        </w:rPr>
        <w:t>La duración temporal del enlace puede abarcar toda la duración del vuelo. La duración de actividad de un ADL solo está limitada por el tiempo de vuelo del ADT.</w:t>
      </w:r>
    </w:p>
    <w:bookmarkEnd w:id="53"/>
    <w:p w:rsidR="00C3705C" w:rsidRPr="002467E3" w:rsidRDefault="00C3705C" w:rsidP="00C3705C">
      <w:pPr>
        <w:pStyle w:val="Heading1"/>
        <w:rPr>
          <w:lang w:val="es-ES_tradnl"/>
        </w:rPr>
      </w:pPr>
      <w:r w:rsidRPr="0022097B">
        <w:rPr>
          <w:lang w:val="es-ES_tradnl"/>
        </w:rPr>
        <w:t>4</w:t>
      </w:r>
      <w:r w:rsidRPr="0022097B">
        <w:rPr>
          <w:lang w:val="es-ES_tradnl"/>
        </w:rPr>
        <w:tab/>
      </w:r>
      <w:r w:rsidRPr="002F4D19">
        <w:rPr>
          <w:lang w:val="es-ES_tradnl"/>
        </w:rPr>
        <w:t>Criterios de protección</w:t>
      </w:r>
    </w:p>
    <w:p w:rsidR="00C3705C" w:rsidRPr="002F4D19" w:rsidRDefault="00C3705C" w:rsidP="00C3705C">
      <w:pPr>
        <w:rPr>
          <w:lang w:val="es-ES_tradnl"/>
        </w:rPr>
      </w:pPr>
      <w:bookmarkStart w:id="54" w:name="lt_pId232"/>
      <w:r w:rsidRPr="002F4D19">
        <w:rPr>
          <w:lang w:val="es-ES_tradnl"/>
        </w:rPr>
        <w:t>La calidad de funcionamiento del enlace de comunicación está a menudo limitada por el ruido. Un increment</w:t>
      </w:r>
      <w:r>
        <w:rPr>
          <w:lang w:val="es-ES_tradnl"/>
        </w:rPr>
        <w:t>o</w:t>
      </w:r>
      <w:r w:rsidRPr="002F4D19">
        <w:rPr>
          <w:lang w:val="es-ES_tradnl"/>
        </w:rPr>
        <w:t xml:space="preserve"> de 1 dB del ruido efectivo del receptor </w:t>
      </w:r>
      <w:r>
        <w:rPr>
          <w:lang w:val="es-ES_tradnl"/>
        </w:rPr>
        <w:t>tiene</w:t>
      </w:r>
      <w:r w:rsidRPr="002F4D19">
        <w:rPr>
          <w:lang w:val="es-ES_tradnl"/>
        </w:rPr>
        <w:t xml:space="preserve"> diferentes efectos, por ejemplo, una reducción del margen de desvanecimiento disponible, una reducción de la longitud efectiva para mantener una tasa de error de bit aceptable o una desensibilización del receptor. En condiciones de propagación en el espacio libre, un incremento de 1 dB del nivel de ruido provoca una reducción del alcance </w:t>
      </w:r>
      <w:r>
        <w:rPr>
          <w:lang w:val="es-ES_tradnl"/>
        </w:rPr>
        <w:t xml:space="preserve">de la comunicación </w:t>
      </w:r>
      <w:r w:rsidRPr="002F4D19">
        <w:rPr>
          <w:lang w:val="es-ES_tradnl"/>
        </w:rPr>
        <w:t>de aproximadamente 10%. La degradación puede ser mayor en entorno</w:t>
      </w:r>
      <w:r>
        <w:rPr>
          <w:lang w:val="es-ES_tradnl"/>
        </w:rPr>
        <w:t>s</w:t>
      </w:r>
      <w:r w:rsidRPr="002F4D19">
        <w:rPr>
          <w:lang w:val="es-ES_tradnl"/>
        </w:rPr>
        <w:t xml:space="preserve"> </w:t>
      </w:r>
      <w:r>
        <w:rPr>
          <w:lang w:val="es-ES_tradnl"/>
        </w:rPr>
        <w:t>más ruidosos</w:t>
      </w:r>
      <w:r w:rsidRPr="002F4D19">
        <w:rPr>
          <w:lang w:val="es-ES_tradnl"/>
        </w:rPr>
        <w:t>.</w:t>
      </w:r>
    </w:p>
    <w:p w:rsidR="00C3705C" w:rsidRPr="002F4D19" w:rsidRDefault="00C3705C" w:rsidP="00C3705C">
      <w:pPr>
        <w:rPr>
          <w:lang w:val="es-ES_tradnl"/>
        </w:rPr>
      </w:pPr>
      <w:bookmarkStart w:id="55" w:name="lt_pId236"/>
      <w:bookmarkEnd w:id="54"/>
      <w:r w:rsidRPr="002F4D19">
        <w:rPr>
          <w:lang w:val="es-ES_tradnl"/>
        </w:rPr>
        <w:t xml:space="preserve">Un incremento del ruido efectivo del receptor de 1 dB corresponde a una relación entre ruido más interferencia y ruido, </w:t>
      </w:r>
      <w:r w:rsidRPr="002467E3">
        <w:rPr>
          <w:i/>
          <w:iCs/>
          <w:lang w:val="es-ES_tradnl"/>
        </w:rPr>
        <w:t>(I + N)/N</w:t>
      </w:r>
      <w:r w:rsidRPr="002F4D19">
        <w:rPr>
          <w:lang w:val="es-ES_tradnl"/>
        </w:rPr>
        <w:t xml:space="preserve">, de 1,26, y a una relación de interferencia/ruido, </w:t>
      </w:r>
      <w:r w:rsidRPr="002467E3">
        <w:rPr>
          <w:i/>
          <w:iCs/>
          <w:lang w:val="es-ES_tradnl"/>
        </w:rPr>
        <w:t>I/N</w:t>
      </w:r>
      <w:r w:rsidRPr="002F4D19">
        <w:rPr>
          <w:lang w:val="es-ES_tradnl"/>
        </w:rPr>
        <w:t xml:space="preserve">, de aproximadamente </w:t>
      </w:r>
      <w:r w:rsidRPr="002467E3">
        <w:rPr>
          <w:lang w:val="es-ES_tradnl"/>
        </w:rPr>
        <w:t>–</w:t>
      </w:r>
      <w:r w:rsidRPr="002F4D19">
        <w:rPr>
          <w:lang w:val="es-ES_tradnl"/>
        </w:rPr>
        <w:t xml:space="preserve">6 dB. Esto representa el criterio de protección requerido </w:t>
      </w:r>
      <w:r>
        <w:rPr>
          <w:lang w:val="es-ES_tradnl"/>
        </w:rPr>
        <w:t>por los sistemas del</w:t>
      </w:r>
      <w:r w:rsidRPr="002F4D19">
        <w:rPr>
          <w:lang w:val="es-ES_tradnl"/>
        </w:rPr>
        <w:t xml:space="preserve"> AMS frente a la interferencia provocada por otro servicio de radiocomunicaciones. Si están presentes múltiples fuentes de interferen</w:t>
      </w:r>
      <w:r>
        <w:rPr>
          <w:lang w:val="es-ES_tradnl"/>
        </w:rPr>
        <w:t>cia potencial, la protección de los sistemas</w:t>
      </w:r>
      <w:r w:rsidRPr="002F4D19">
        <w:rPr>
          <w:lang w:val="es-ES_tradnl"/>
        </w:rPr>
        <w:t xml:space="preserve"> </w:t>
      </w:r>
      <w:r>
        <w:rPr>
          <w:lang w:val="es-ES_tradnl"/>
        </w:rPr>
        <w:t xml:space="preserve">del </w:t>
      </w:r>
      <w:r w:rsidRPr="002F4D19">
        <w:rPr>
          <w:lang w:val="es-ES_tradnl"/>
        </w:rPr>
        <w:t>AMS exige que ese criterio no se rebase debido a la interferencia combinada de múltiples fuentes.</w:t>
      </w:r>
    </w:p>
    <w:bookmarkEnd w:id="55"/>
    <w:p w:rsidR="00C3705C" w:rsidRPr="00750B63" w:rsidRDefault="00C3705C" w:rsidP="00C3705C">
      <w:pPr>
        <w:pStyle w:val="Reasons"/>
        <w:rPr>
          <w:lang w:val="es-ES_tradnl"/>
        </w:rPr>
      </w:pPr>
    </w:p>
    <w:p w:rsidR="00C3705C" w:rsidRDefault="00C3705C" w:rsidP="00C3705C">
      <w:pPr>
        <w:jc w:val="center"/>
      </w:pPr>
      <w:r>
        <w:t>______________</w:t>
      </w:r>
    </w:p>
    <w:p w:rsidR="00574749" w:rsidRDefault="00574749" w:rsidP="0021735B">
      <w:pPr>
        <w:rPr>
          <w:lang w:val="es-ES_tradnl"/>
        </w:rPr>
      </w:pPr>
      <w:bookmarkStart w:id="56" w:name="_GoBack"/>
      <w:bookmarkEnd w:id="56"/>
    </w:p>
    <w:sectPr w:rsidR="00574749" w:rsidSect="0004229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B63B45">
      <w:rPr>
        <w:rStyle w:val="PageNumber"/>
        <w:b/>
        <w:bCs/>
        <w:noProof/>
      </w:rPr>
      <w:t>ii</w:t>
    </w:r>
    <w:r>
      <w:rPr>
        <w:rStyle w:val="PageNumber"/>
        <w:b/>
        <w:bCs/>
      </w:rPr>
      <w:fldChar w:fldCharType="end"/>
    </w:r>
    <w:r w:rsidR="00042292">
      <w:tab/>
    </w:r>
    <w:fldSimple w:instr=" DOCPROPERTY &quot;Header&quot; \* MERGEFORMAT ">
      <w:r w:rsidR="00B63B45" w:rsidRPr="00B63B45">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B63B45">
      <w:rPr>
        <w:b/>
        <w:bCs/>
        <w:noProof/>
      </w:rPr>
      <w:t>UIT-R  M.2115-0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fldSimple w:instr=" DOCPROPERTY &quot;Header&quot; \* MERGEFORMAT ">
      <w:r w:rsidR="00B63B45" w:rsidRPr="00B63B45">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B63B45">
      <w:rPr>
        <w:b/>
        <w:bCs/>
        <w:noProof/>
      </w:rPr>
      <w:t>UIT-R  M.2115-0</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5C7249" w:rsidRDefault="006870AA" w:rsidP="005C7249">
    <w:pPr>
      <w:tabs>
        <w:tab w:val="clear" w:pos="794"/>
        <w:tab w:val="clear" w:pos="1191"/>
        <w:tab w:val="clear" w:pos="1588"/>
        <w:tab w:val="clear" w:pos="1985"/>
        <w:tab w:val="center" w:pos="482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63B45">
      <w:rPr>
        <w:rStyle w:val="PageNumber"/>
        <w:b/>
        <w:bCs/>
        <w:noProof/>
        <w:lang w:val="en-US"/>
      </w:rPr>
      <w:t>2</w:t>
    </w:r>
    <w:r>
      <w:rPr>
        <w:rStyle w:val="PageNumber"/>
        <w:b/>
        <w:bCs/>
      </w:rPr>
      <w:fldChar w:fldCharType="end"/>
    </w:r>
    <w:r w:rsidR="00607D68">
      <w:rPr>
        <w:lang w:val="en-US"/>
      </w:rPr>
      <w:tab/>
    </w:r>
    <w:fldSimple w:instr=" DOCPROPERTY &quot;Header&quot; \* MERGEFORMAT ">
      <w:r w:rsidR="00B63B45" w:rsidRPr="00B63B45">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B63B45">
      <w:rPr>
        <w:b/>
        <w:bCs/>
        <w:noProof/>
      </w:rPr>
      <w:t>UIT-R  M.2115-0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2678A4" w:rsidRDefault="00F32218" w:rsidP="002678A4">
    <w:pPr>
      <w:pStyle w:val="Header"/>
      <w:jc w:val="left"/>
      <w:rPr>
        <w:b/>
        <w:bCs/>
      </w:rPr>
    </w:pPr>
    <w:r>
      <w:tab/>
    </w:r>
    <w:fldSimple w:instr=" DOCPROPERTY &quot;Header&quot; \* MERGEFORMAT ">
      <w:r w:rsidR="00B63B45" w:rsidRPr="00B63B45">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B63B45">
      <w:rPr>
        <w:b/>
        <w:bCs/>
        <w:noProof/>
      </w:rPr>
      <w:t>UIT-R  M.2115-0</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B63B45">
      <w:rPr>
        <w:rStyle w:val="PageNumber"/>
        <w:b/>
        <w:bCs/>
        <w:noProof/>
      </w:rPr>
      <w:t>3</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1B26B3"/>
    <w:rsid w:val="001B2F46"/>
    <w:rsid w:val="001B395D"/>
    <w:rsid w:val="0021735B"/>
    <w:rsid w:val="002678A4"/>
    <w:rsid w:val="002D76C4"/>
    <w:rsid w:val="00383195"/>
    <w:rsid w:val="003831C4"/>
    <w:rsid w:val="00410F5B"/>
    <w:rsid w:val="00427ED9"/>
    <w:rsid w:val="004E4FBE"/>
    <w:rsid w:val="00507996"/>
    <w:rsid w:val="00536630"/>
    <w:rsid w:val="00567624"/>
    <w:rsid w:val="00574749"/>
    <w:rsid w:val="005C7249"/>
    <w:rsid w:val="00607D68"/>
    <w:rsid w:val="00616F70"/>
    <w:rsid w:val="006870AA"/>
    <w:rsid w:val="006F3D6E"/>
    <w:rsid w:val="007172BA"/>
    <w:rsid w:val="0072064A"/>
    <w:rsid w:val="0076082A"/>
    <w:rsid w:val="008C67E6"/>
    <w:rsid w:val="008E7C85"/>
    <w:rsid w:val="00906075"/>
    <w:rsid w:val="00982F3A"/>
    <w:rsid w:val="00A07AEB"/>
    <w:rsid w:val="00A6617B"/>
    <w:rsid w:val="00A80825"/>
    <w:rsid w:val="00AB0DC8"/>
    <w:rsid w:val="00B42F17"/>
    <w:rsid w:val="00B44E24"/>
    <w:rsid w:val="00B63B45"/>
    <w:rsid w:val="00C36A75"/>
    <w:rsid w:val="00C3705C"/>
    <w:rsid w:val="00C411AF"/>
    <w:rsid w:val="00CB1354"/>
    <w:rsid w:val="00CF7F63"/>
    <w:rsid w:val="00D131B8"/>
    <w:rsid w:val="00D33FA3"/>
    <w:rsid w:val="00D4362D"/>
    <w:rsid w:val="00DF4176"/>
    <w:rsid w:val="00DF4734"/>
    <w:rsid w:val="00E704B6"/>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6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36630"/>
    <w:pPr>
      <w:keepNext/>
      <w:keepLines/>
      <w:spacing w:before="480"/>
      <w:ind w:left="794" w:hanging="794"/>
      <w:outlineLvl w:val="0"/>
    </w:pPr>
    <w:rPr>
      <w:b/>
    </w:rPr>
  </w:style>
  <w:style w:type="paragraph" w:styleId="Heading2">
    <w:name w:val="heading 2"/>
    <w:basedOn w:val="Heading1"/>
    <w:next w:val="Normal"/>
    <w:link w:val="Heading2Char"/>
    <w:qFormat/>
    <w:rsid w:val="00536630"/>
    <w:pPr>
      <w:spacing w:before="320"/>
      <w:outlineLvl w:val="1"/>
    </w:pPr>
  </w:style>
  <w:style w:type="paragraph" w:styleId="Heading3">
    <w:name w:val="heading 3"/>
    <w:basedOn w:val="Heading1"/>
    <w:next w:val="Normal"/>
    <w:qFormat/>
    <w:rsid w:val="00536630"/>
    <w:pPr>
      <w:spacing w:before="200"/>
      <w:outlineLvl w:val="2"/>
    </w:pPr>
  </w:style>
  <w:style w:type="paragraph" w:styleId="Heading4">
    <w:name w:val="heading 4"/>
    <w:basedOn w:val="Heading3"/>
    <w:next w:val="Normal"/>
    <w:qFormat/>
    <w:rsid w:val="00536630"/>
    <w:pPr>
      <w:tabs>
        <w:tab w:val="clear" w:pos="794"/>
        <w:tab w:val="left" w:pos="992"/>
      </w:tabs>
      <w:ind w:left="992" w:hanging="992"/>
      <w:outlineLvl w:val="3"/>
    </w:pPr>
  </w:style>
  <w:style w:type="paragraph" w:styleId="Heading5">
    <w:name w:val="heading 5"/>
    <w:basedOn w:val="Heading4"/>
    <w:next w:val="Normal"/>
    <w:qFormat/>
    <w:rsid w:val="00536630"/>
    <w:pPr>
      <w:outlineLvl w:val="4"/>
    </w:pPr>
  </w:style>
  <w:style w:type="paragraph" w:styleId="Heading6">
    <w:name w:val="heading 6"/>
    <w:basedOn w:val="Heading4"/>
    <w:next w:val="Normal"/>
    <w:qFormat/>
    <w:rsid w:val="00536630"/>
    <w:pPr>
      <w:tabs>
        <w:tab w:val="clear" w:pos="992"/>
        <w:tab w:val="clear" w:pos="1191"/>
      </w:tabs>
      <w:ind w:left="1588" w:hanging="1588"/>
      <w:outlineLvl w:val="5"/>
    </w:pPr>
  </w:style>
  <w:style w:type="paragraph" w:styleId="Heading7">
    <w:name w:val="heading 7"/>
    <w:basedOn w:val="Heading6"/>
    <w:next w:val="Normal"/>
    <w:qFormat/>
    <w:rsid w:val="00536630"/>
    <w:pPr>
      <w:outlineLvl w:val="6"/>
    </w:pPr>
  </w:style>
  <w:style w:type="paragraph" w:styleId="Heading8">
    <w:name w:val="heading 8"/>
    <w:basedOn w:val="Heading6"/>
    <w:next w:val="Normal"/>
    <w:qFormat/>
    <w:rsid w:val="00536630"/>
    <w:pPr>
      <w:outlineLvl w:val="7"/>
    </w:pPr>
  </w:style>
  <w:style w:type="paragraph" w:styleId="Heading9">
    <w:name w:val="heading 9"/>
    <w:basedOn w:val="Heading6"/>
    <w:next w:val="Normal"/>
    <w:qFormat/>
    <w:rsid w:val="00536630"/>
    <w:pPr>
      <w:jc w:val="left"/>
      <w:outlineLvl w:val="8"/>
    </w:pPr>
  </w:style>
  <w:style w:type="character" w:default="1" w:styleId="DefaultParagraphFont">
    <w:name w:val="Default Paragraph Font"/>
    <w:uiPriority w:val="1"/>
    <w:semiHidden/>
    <w:unhideWhenUsed/>
    <w:rsid w:val="0053663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6630"/>
  </w:style>
  <w:style w:type="paragraph" w:styleId="Header">
    <w:name w:val="header"/>
    <w:basedOn w:val="Normal"/>
    <w:link w:val="HeaderChar"/>
    <w:rsid w:val="0053663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3663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630"/>
  </w:style>
  <w:style w:type="paragraph" w:customStyle="1" w:styleId="Headingb">
    <w:name w:val="Heading_b"/>
    <w:basedOn w:val="Heading3"/>
    <w:next w:val="Normal"/>
    <w:link w:val="HeadingbChar"/>
    <w:rsid w:val="00536630"/>
    <w:pPr>
      <w:spacing w:before="160"/>
      <w:ind w:left="0" w:firstLine="0"/>
      <w:outlineLvl w:val="9"/>
    </w:pPr>
  </w:style>
  <w:style w:type="paragraph" w:customStyle="1" w:styleId="Headingi">
    <w:name w:val="Heading_i"/>
    <w:basedOn w:val="Heading3"/>
    <w:next w:val="Normal"/>
    <w:rsid w:val="00536630"/>
    <w:pPr>
      <w:spacing w:before="160"/>
      <w:ind w:left="0" w:firstLine="0"/>
    </w:pPr>
    <w:rPr>
      <w:b w:val="0"/>
      <w:i/>
    </w:rPr>
  </w:style>
  <w:style w:type="character" w:customStyle="1" w:styleId="href">
    <w:name w:val="href"/>
    <w:basedOn w:val="DefaultParagraphFont"/>
    <w:rsid w:val="00536630"/>
  </w:style>
  <w:style w:type="paragraph" w:customStyle="1" w:styleId="enumlev1">
    <w:name w:val="enumlev1"/>
    <w:basedOn w:val="Normal"/>
    <w:rsid w:val="00536630"/>
    <w:pPr>
      <w:spacing w:before="80"/>
      <w:ind w:left="794" w:hanging="794"/>
    </w:pPr>
  </w:style>
  <w:style w:type="paragraph" w:customStyle="1" w:styleId="enumlev2">
    <w:name w:val="enumlev2"/>
    <w:basedOn w:val="enumlev1"/>
    <w:rsid w:val="00536630"/>
    <w:pPr>
      <w:ind w:left="1191" w:hanging="397"/>
    </w:pPr>
  </w:style>
  <w:style w:type="paragraph" w:customStyle="1" w:styleId="enumlev3">
    <w:name w:val="enumlev3"/>
    <w:basedOn w:val="enumlev2"/>
    <w:rsid w:val="00536630"/>
    <w:pPr>
      <w:ind w:left="1588"/>
    </w:pPr>
  </w:style>
  <w:style w:type="paragraph" w:customStyle="1" w:styleId="Normalaftertitle">
    <w:name w:val="Normal_after_title"/>
    <w:basedOn w:val="Normal"/>
    <w:next w:val="Normal"/>
    <w:link w:val="NormalaftertitleChar"/>
    <w:rsid w:val="00536630"/>
    <w:pPr>
      <w:spacing w:before="320"/>
    </w:pPr>
  </w:style>
  <w:style w:type="paragraph" w:customStyle="1" w:styleId="Note">
    <w:name w:val="Note"/>
    <w:basedOn w:val="Normal"/>
    <w:rsid w:val="0053663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63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36630"/>
    <w:pPr>
      <w:spacing w:before="240"/>
    </w:pPr>
    <w:rPr>
      <w:sz w:val="22"/>
      <w:lang w:val="es-ES_tradnl"/>
    </w:rPr>
  </w:style>
  <w:style w:type="paragraph" w:customStyle="1" w:styleId="Recref">
    <w:name w:val="Rec_ref"/>
    <w:basedOn w:val="Normal"/>
    <w:next w:val="Recdate"/>
    <w:rsid w:val="00536630"/>
    <w:pPr>
      <w:jc w:val="center"/>
    </w:pPr>
  </w:style>
  <w:style w:type="paragraph" w:customStyle="1" w:styleId="Recdate">
    <w:name w:val="Rec_date"/>
    <w:basedOn w:val="Recref"/>
    <w:next w:val="Normalaftertitle"/>
    <w:rsid w:val="00536630"/>
    <w:pPr>
      <w:jc w:val="right"/>
    </w:pPr>
  </w:style>
  <w:style w:type="paragraph" w:customStyle="1" w:styleId="AnnexNoTitle">
    <w:name w:val="Annex_NoTitle"/>
    <w:basedOn w:val="Normal"/>
    <w:next w:val="Normalaftertitle"/>
    <w:link w:val="AnnexNoTitleChar1"/>
    <w:rsid w:val="00536630"/>
    <w:pPr>
      <w:keepNext/>
      <w:keepLines/>
      <w:spacing w:before="480" w:after="80"/>
      <w:jc w:val="center"/>
    </w:pPr>
    <w:rPr>
      <w:b/>
      <w:sz w:val="28"/>
    </w:rPr>
  </w:style>
  <w:style w:type="paragraph" w:customStyle="1" w:styleId="AppendixNoTitle">
    <w:name w:val="Appendix_NoTitle"/>
    <w:basedOn w:val="AnnexNoTitle"/>
    <w:next w:val="Normal"/>
    <w:rsid w:val="00536630"/>
  </w:style>
  <w:style w:type="paragraph" w:customStyle="1" w:styleId="Tablefin">
    <w:name w:val="Table_fin"/>
    <w:basedOn w:val="Normal"/>
    <w:next w:val="Normal"/>
    <w:rsid w:val="00536630"/>
    <w:pPr>
      <w:spacing w:before="0"/>
    </w:pPr>
    <w:rPr>
      <w:sz w:val="20"/>
      <w:lang w:val="en-GB"/>
    </w:rPr>
  </w:style>
  <w:style w:type="paragraph" w:customStyle="1" w:styleId="Tablehead">
    <w:name w:val="Table_head"/>
    <w:basedOn w:val="Normal"/>
    <w:next w:val="Normal"/>
    <w:link w:val="TableheadChar"/>
    <w:rsid w:val="005366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6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630"/>
    <w:pPr>
      <w:keepNext/>
      <w:spacing w:before="360" w:after="120"/>
      <w:jc w:val="center"/>
    </w:pPr>
  </w:style>
  <w:style w:type="paragraph" w:customStyle="1" w:styleId="Tabletext">
    <w:name w:val="Table_text"/>
    <w:basedOn w:val="Normal"/>
    <w:link w:val="TabletextChar"/>
    <w:rsid w:val="005366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630"/>
    <w:pPr>
      <w:tabs>
        <w:tab w:val="clear" w:pos="1191"/>
        <w:tab w:val="clear" w:pos="1588"/>
        <w:tab w:val="clear" w:pos="1985"/>
        <w:tab w:val="center" w:pos="4820"/>
        <w:tab w:val="right" w:pos="9639"/>
      </w:tabs>
    </w:pPr>
  </w:style>
  <w:style w:type="paragraph" w:customStyle="1" w:styleId="Equationlegend">
    <w:name w:val="Equation_legend"/>
    <w:basedOn w:val="NormalIndent"/>
    <w:rsid w:val="0053663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630"/>
    <w:pPr>
      <w:ind w:left="794"/>
    </w:pPr>
  </w:style>
  <w:style w:type="paragraph" w:customStyle="1" w:styleId="Figurelegend">
    <w:name w:val="Figure_legend"/>
    <w:basedOn w:val="Normal"/>
    <w:rsid w:val="0053663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36630"/>
    <w:pPr>
      <w:keepNext/>
      <w:keepLines/>
      <w:spacing w:before="480" w:after="80"/>
      <w:jc w:val="center"/>
    </w:pPr>
    <w:rPr>
      <w:caps/>
      <w:sz w:val="18"/>
    </w:rPr>
  </w:style>
  <w:style w:type="paragraph" w:customStyle="1" w:styleId="tocpart">
    <w:name w:val="tocpart"/>
    <w:basedOn w:val="Normal"/>
    <w:rsid w:val="0053663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630"/>
    <w:pPr>
      <w:keepNext/>
      <w:keepLines/>
      <w:spacing w:before="480"/>
      <w:jc w:val="center"/>
    </w:pPr>
    <w:rPr>
      <w:sz w:val="28"/>
    </w:rPr>
  </w:style>
  <w:style w:type="paragraph" w:customStyle="1" w:styleId="Arttitle">
    <w:name w:val="Art_title"/>
    <w:basedOn w:val="Normal"/>
    <w:next w:val="Normalaftertitle"/>
    <w:rsid w:val="00536630"/>
    <w:pPr>
      <w:keepNext/>
      <w:keepLines/>
      <w:spacing w:before="240"/>
      <w:jc w:val="center"/>
    </w:pPr>
    <w:rPr>
      <w:b/>
      <w:sz w:val="28"/>
    </w:rPr>
  </w:style>
  <w:style w:type="paragraph" w:customStyle="1" w:styleId="Blanc">
    <w:name w:val="Blanc"/>
    <w:basedOn w:val="Normal"/>
    <w:next w:val="Tabletext"/>
    <w:rsid w:val="0053663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63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36630"/>
    <w:pPr>
      <w:keepNext/>
      <w:keepLines/>
      <w:spacing w:before="160"/>
      <w:ind w:left="794"/>
    </w:pPr>
    <w:rPr>
      <w:i/>
    </w:rPr>
  </w:style>
  <w:style w:type="paragraph" w:customStyle="1" w:styleId="ChapNo">
    <w:name w:val="Chap_No"/>
    <w:basedOn w:val="ArtNo"/>
    <w:next w:val="Chaptitle"/>
    <w:rsid w:val="00536630"/>
    <w:rPr>
      <w:b/>
    </w:rPr>
  </w:style>
  <w:style w:type="paragraph" w:customStyle="1" w:styleId="Chaptitle">
    <w:name w:val="Chap_title"/>
    <w:basedOn w:val="Arttitle"/>
    <w:next w:val="Normalaftertitle"/>
    <w:rsid w:val="00536630"/>
  </w:style>
  <w:style w:type="character" w:styleId="FootnoteReference">
    <w:name w:val="footnote reference"/>
    <w:basedOn w:val="DefaultParagraphFont"/>
    <w:semiHidden/>
    <w:rsid w:val="00536630"/>
    <w:rPr>
      <w:position w:val="6"/>
      <w:sz w:val="18"/>
    </w:rPr>
  </w:style>
  <w:style w:type="paragraph" w:styleId="FootnoteText">
    <w:name w:val="footnote text"/>
    <w:basedOn w:val="Normal"/>
    <w:semiHidden/>
    <w:rsid w:val="00536630"/>
    <w:pPr>
      <w:keepLines/>
      <w:tabs>
        <w:tab w:val="left" w:pos="255"/>
      </w:tabs>
      <w:ind w:left="255" w:hanging="255"/>
    </w:pPr>
    <w:rPr>
      <w:sz w:val="22"/>
    </w:rPr>
  </w:style>
  <w:style w:type="paragraph" w:styleId="Index1">
    <w:name w:val="index 1"/>
    <w:basedOn w:val="Normal"/>
    <w:next w:val="Normal"/>
    <w:semiHidden/>
    <w:rsid w:val="00536630"/>
  </w:style>
  <w:style w:type="paragraph" w:styleId="Index2">
    <w:name w:val="index 2"/>
    <w:basedOn w:val="Normal"/>
    <w:next w:val="Normal"/>
    <w:semiHidden/>
    <w:rsid w:val="00536630"/>
    <w:pPr>
      <w:ind w:left="283"/>
    </w:pPr>
  </w:style>
  <w:style w:type="paragraph" w:styleId="Index3">
    <w:name w:val="index 3"/>
    <w:basedOn w:val="Normal"/>
    <w:next w:val="Normal"/>
    <w:semiHidden/>
    <w:rsid w:val="00536630"/>
    <w:pPr>
      <w:ind w:left="566"/>
    </w:pPr>
  </w:style>
  <w:style w:type="paragraph" w:styleId="IndexHeading">
    <w:name w:val="index heading"/>
    <w:basedOn w:val="Normal"/>
    <w:next w:val="Index1"/>
    <w:semiHidden/>
    <w:rsid w:val="00536630"/>
  </w:style>
  <w:style w:type="paragraph" w:customStyle="1" w:styleId="Line">
    <w:name w:val="Line"/>
    <w:basedOn w:val="Normal"/>
    <w:next w:val="Normal"/>
    <w:rsid w:val="0053663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63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630"/>
  </w:style>
  <w:style w:type="paragraph" w:customStyle="1" w:styleId="Partref">
    <w:name w:val="Part_ref"/>
    <w:basedOn w:val="Normal"/>
    <w:next w:val="Normal"/>
    <w:rsid w:val="00536630"/>
    <w:pPr>
      <w:keepNext/>
      <w:keepLines/>
      <w:spacing w:after="280"/>
      <w:jc w:val="center"/>
    </w:pPr>
  </w:style>
  <w:style w:type="paragraph" w:customStyle="1" w:styleId="Parttitle">
    <w:name w:val="Part_title"/>
    <w:basedOn w:val="Normal"/>
    <w:next w:val="Normalaftertitle"/>
    <w:rsid w:val="0053663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630"/>
  </w:style>
  <w:style w:type="paragraph" w:customStyle="1" w:styleId="QuestionNo">
    <w:name w:val="Question_No"/>
    <w:basedOn w:val="RecNo"/>
    <w:next w:val="Normal"/>
    <w:rsid w:val="00536630"/>
  </w:style>
  <w:style w:type="paragraph" w:customStyle="1" w:styleId="Questionref">
    <w:name w:val="Question_ref"/>
    <w:basedOn w:val="Recref"/>
    <w:next w:val="Questiondate"/>
    <w:rsid w:val="00536630"/>
  </w:style>
  <w:style w:type="paragraph" w:customStyle="1" w:styleId="Questiontitle">
    <w:name w:val="Question_title"/>
    <w:basedOn w:val="Normal"/>
    <w:next w:val="Questionref"/>
    <w:rsid w:val="00536630"/>
  </w:style>
  <w:style w:type="paragraph" w:customStyle="1" w:styleId="Reftext">
    <w:name w:val="Ref_text"/>
    <w:basedOn w:val="Normal"/>
    <w:rsid w:val="00536630"/>
    <w:pPr>
      <w:ind w:left="794" w:hanging="794"/>
    </w:pPr>
    <w:rPr>
      <w:sz w:val="22"/>
    </w:rPr>
  </w:style>
  <w:style w:type="paragraph" w:customStyle="1" w:styleId="Reftitle">
    <w:name w:val="Ref_title"/>
    <w:basedOn w:val="Normal"/>
    <w:next w:val="Reftext"/>
    <w:rsid w:val="0053663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630"/>
  </w:style>
  <w:style w:type="paragraph" w:customStyle="1" w:styleId="RepNo">
    <w:name w:val="Rep_No"/>
    <w:basedOn w:val="RecNo"/>
    <w:next w:val="Reptitle"/>
    <w:rsid w:val="00536630"/>
  </w:style>
  <w:style w:type="paragraph" w:customStyle="1" w:styleId="Repref">
    <w:name w:val="Rep_ref"/>
    <w:basedOn w:val="Recref"/>
    <w:next w:val="Repdate"/>
    <w:rsid w:val="00536630"/>
  </w:style>
  <w:style w:type="paragraph" w:customStyle="1" w:styleId="Reptitle">
    <w:name w:val="Rep_title"/>
    <w:basedOn w:val="Rectitle"/>
    <w:next w:val="Repref"/>
    <w:rsid w:val="00536630"/>
  </w:style>
  <w:style w:type="paragraph" w:customStyle="1" w:styleId="Resdate">
    <w:name w:val="Res_date"/>
    <w:basedOn w:val="Recdate"/>
    <w:next w:val="Normalaftertitle"/>
    <w:rsid w:val="00536630"/>
  </w:style>
  <w:style w:type="paragraph" w:customStyle="1" w:styleId="ResNo">
    <w:name w:val="Res_No"/>
    <w:basedOn w:val="RecNo"/>
    <w:next w:val="Restitle"/>
    <w:rsid w:val="00536630"/>
  </w:style>
  <w:style w:type="paragraph" w:customStyle="1" w:styleId="Resref">
    <w:name w:val="Res_ref"/>
    <w:basedOn w:val="Recref"/>
    <w:next w:val="Resdate"/>
    <w:rsid w:val="00536630"/>
  </w:style>
  <w:style w:type="paragraph" w:customStyle="1" w:styleId="Restitle">
    <w:name w:val="Res_title"/>
    <w:basedOn w:val="Normal"/>
    <w:next w:val="Resref"/>
    <w:rsid w:val="00536630"/>
    <w:pPr>
      <w:spacing w:before="240"/>
      <w:jc w:val="center"/>
    </w:pPr>
    <w:rPr>
      <w:b/>
      <w:sz w:val="28"/>
    </w:rPr>
  </w:style>
  <w:style w:type="paragraph" w:customStyle="1" w:styleId="SectionNo">
    <w:name w:val="Section_No"/>
    <w:basedOn w:val="Normal"/>
    <w:next w:val="Normal"/>
    <w:rsid w:val="00536630"/>
  </w:style>
  <w:style w:type="paragraph" w:customStyle="1" w:styleId="Sectiontitle">
    <w:name w:val="Section_title"/>
    <w:basedOn w:val="Normal"/>
    <w:next w:val="Normalaftertitle"/>
    <w:rsid w:val="0053663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630"/>
    <w:pPr>
      <w:tabs>
        <w:tab w:val="clear" w:pos="794"/>
        <w:tab w:val="clear" w:pos="1191"/>
        <w:tab w:val="clear" w:pos="1588"/>
        <w:tab w:val="clear" w:pos="1985"/>
        <w:tab w:val="right" w:pos="9611"/>
      </w:tabs>
    </w:pPr>
    <w:rPr>
      <w:i/>
    </w:rPr>
  </w:style>
  <w:style w:type="paragraph" w:styleId="TOC1">
    <w:name w:val="toc 1"/>
    <w:basedOn w:val="Normal"/>
    <w:rsid w:val="0053663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630"/>
    <w:pPr>
      <w:tabs>
        <w:tab w:val="clear" w:pos="567"/>
        <w:tab w:val="left" w:pos="1276"/>
      </w:tabs>
      <w:spacing w:before="160"/>
      <w:ind w:left="1276" w:hanging="709"/>
    </w:pPr>
  </w:style>
  <w:style w:type="paragraph" w:styleId="TOC3">
    <w:name w:val="toc 3"/>
    <w:basedOn w:val="TOC2"/>
    <w:semiHidden/>
    <w:rsid w:val="00536630"/>
    <w:pPr>
      <w:tabs>
        <w:tab w:val="clear" w:pos="1276"/>
        <w:tab w:val="left" w:pos="2155"/>
      </w:tabs>
      <w:ind w:left="2155" w:hanging="879"/>
    </w:pPr>
  </w:style>
  <w:style w:type="paragraph" w:styleId="TOC4">
    <w:name w:val="toc 4"/>
    <w:basedOn w:val="TOC3"/>
    <w:semiHidden/>
    <w:rsid w:val="00536630"/>
    <w:pPr>
      <w:tabs>
        <w:tab w:val="left" w:pos="3261"/>
      </w:tabs>
      <w:spacing w:before="80"/>
      <w:ind w:left="3261" w:hanging="993"/>
    </w:pPr>
  </w:style>
  <w:style w:type="paragraph" w:styleId="TOC5">
    <w:name w:val="toc 5"/>
    <w:basedOn w:val="TOC4"/>
    <w:semiHidden/>
    <w:rsid w:val="00536630"/>
  </w:style>
  <w:style w:type="paragraph" w:styleId="TOC6">
    <w:name w:val="toc 6"/>
    <w:basedOn w:val="TOC4"/>
    <w:semiHidden/>
    <w:rsid w:val="00536630"/>
  </w:style>
  <w:style w:type="paragraph" w:styleId="TOC7">
    <w:name w:val="toc 7"/>
    <w:basedOn w:val="TOC4"/>
    <w:semiHidden/>
    <w:rsid w:val="00536630"/>
  </w:style>
  <w:style w:type="paragraph" w:styleId="TOC8">
    <w:name w:val="toc 8"/>
    <w:basedOn w:val="TOC4"/>
    <w:semiHidden/>
    <w:rsid w:val="00536630"/>
  </w:style>
  <w:style w:type="paragraph" w:customStyle="1" w:styleId="Rectitle">
    <w:name w:val="Rec_title"/>
    <w:basedOn w:val="Normal"/>
    <w:next w:val="Recref"/>
    <w:rsid w:val="00536630"/>
    <w:pPr>
      <w:keepNext/>
      <w:keepLines/>
      <w:spacing w:before="240"/>
      <w:jc w:val="center"/>
    </w:pPr>
    <w:rPr>
      <w:b/>
      <w:sz w:val="28"/>
    </w:rPr>
  </w:style>
  <w:style w:type="paragraph" w:customStyle="1" w:styleId="Annexref">
    <w:name w:val="Annex_ref"/>
    <w:basedOn w:val="Normal"/>
    <w:next w:val="Normalaftertitle"/>
    <w:rsid w:val="00536630"/>
    <w:pPr>
      <w:keepNext/>
      <w:keepLines/>
      <w:spacing w:after="280"/>
      <w:jc w:val="center"/>
    </w:pPr>
  </w:style>
  <w:style w:type="paragraph" w:customStyle="1" w:styleId="Appendixref">
    <w:name w:val="Appendix_ref"/>
    <w:basedOn w:val="Annexref"/>
    <w:next w:val="Normalaftertitle"/>
    <w:rsid w:val="00536630"/>
  </w:style>
  <w:style w:type="paragraph" w:customStyle="1" w:styleId="Figuretitle">
    <w:name w:val="Figure_title"/>
    <w:basedOn w:val="Normal"/>
    <w:next w:val="Figure"/>
    <w:rsid w:val="0053663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6630"/>
    <w:pPr>
      <w:keepNext/>
      <w:spacing w:before="0" w:after="120"/>
      <w:jc w:val="center"/>
    </w:pPr>
    <w:rPr>
      <w:b/>
    </w:rPr>
  </w:style>
  <w:style w:type="paragraph" w:customStyle="1" w:styleId="Summary">
    <w:name w:val="Summary"/>
    <w:basedOn w:val="Normal"/>
    <w:next w:val="Normalaftertitle"/>
    <w:autoRedefine/>
    <w:rsid w:val="00536630"/>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536630"/>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36630"/>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bChar">
    <w:name w:val="Heading_b Char"/>
    <w:link w:val="Headingb"/>
    <w:rsid w:val="00C3705C"/>
    <w:rPr>
      <w:b/>
      <w:sz w:val="24"/>
      <w:lang w:val="fr-FR" w:eastAsia="en-US"/>
    </w:rPr>
  </w:style>
  <w:style w:type="character" w:customStyle="1" w:styleId="NormalaftertitleChar">
    <w:name w:val="Normal_after_title Char"/>
    <w:link w:val="Normalaftertitle"/>
    <w:rsid w:val="00C3705C"/>
    <w:rPr>
      <w:sz w:val="24"/>
      <w:lang w:val="fr-FR" w:eastAsia="en-US"/>
    </w:rPr>
  </w:style>
  <w:style w:type="character" w:customStyle="1" w:styleId="AnnexNoTitleChar1">
    <w:name w:val="Annex_NoTitle Char1"/>
    <w:link w:val="AnnexNoTitle"/>
    <w:rsid w:val="00C3705C"/>
    <w:rPr>
      <w:b/>
      <w:sz w:val="28"/>
      <w:lang w:val="fr-FR" w:eastAsia="en-US"/>
    </w:rPr>
  </w:style>
  <w:style w:type="character" w:customStyle="1" w:styleId="CallChar">
    <w:name w:val="Call Char"/>
    <w:link w:val="Call"/>
    <w:rsid w:val="00C3705C"/>
    <w:rPr>
      <w:i/>
      <w:sz w:val="24"/>
      <w:lang w:val="fr-FR" w:eastAsia="en-US"/>
    </w:rPr>
  </w:style>
  <w:style w:type="table" w:customStyle="1" w:styleId="Tablaconcuadrcula1">
    <w:name w:val="Tabla con cuadrícula1"/>
    <w:basedOn w:val="TableNormal"/>
    <w:next w:val="TableGrid"/>
    <w:uiPriority w:val="59"/>
    <w:rsid w:val="00C3705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6</Pages>
  <Words>1836</Words>
  <Characters>10275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12087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10</cp:revision>
  <cp:lastPrinted>2018-04-30T08:54:00Z</cp:lastPrinted>
  <dcterms:created xsi:type="dcterms:W3CDTF">2018-04-30T08:45:00Z</dcterms:created>
  <dcterms:modified xsi:type="dcterms:W3CDTF">2018-04-30T09:01:00Z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