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p w:rsidR="009F0EB3" w:rsidRDefault="009F0EB3" w:rsidP="009F0EB3"/>
    <w:tbl>
      <w:tblPr>
        <w:tblW w:w="10089" w:type="dxa"/>
        <w:tblLook w:val="01E0" w:firstRow="1" w:lastRow="1" w:firstColumn="1" w:lastColumn="1" w:noHBand="0" w:noVBand="0"/>
      </w:tblPr>
      <w:tblGrid>
        <w:gridCol w:w="10089"/>
      </w:tblGrid>
      <w:tr w:rsidR="009F0EB3" w:rsidRPr="004F65E4" w:rsidTr="00FE69C6">
        <w:tc>
          <w:tcPr>
            <w:tcW w:w="10089" w:type="dxa"/>
          </w:tcPr>
          <w:p w:rsidR="009F0EB3" w:rsidRPr="001511A6" w:rsidRDefault="009F0EB3" w:rsidP="00FE69C6">
            <w:pPr>
              <w:spacing w:before="380" w:line="280" w:lineRule="exact"/>
              <w:jc w:val="right"/>
              <w:rPr>
                <w:rFonts w:ascii="Tahoma" w:hAnsi="Tahoma" w:cs="Tahoma"/>
                <w:b/>
                <w:bCs/>
                <w:iCs/>
                <w:color w:val="243285"/>
                <w:sz w:val="32"/>
                <w:szCs w:val="32"/>
                <w:lang w:val="en-US"/>
              </w:rPr>
            </w:pPr>
          </w:p>
          <w:p w:rsidR="009F0EB3" w:rsidRPr="004F65E4" w:rsidRDefault="009F0EB3" w:rsidP="00FE69C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C05B3B">
              <w:rPr>
                <w:rFonts w:ascii="Tahoma" w:hAnsi="Tahoma" w:cs="Tahoma"/>
                <w:b/>
                <w:bCs/>
                <w:iCs/>
                <w:color w:val="243285"/>
                <w:sz w:val="36"/>
                <w:szCs w:val="36"/>
              </w:rPr>
              <w:t>2114-0</w:t>
            </w:r>
          </w:p>
          <w:p w:rsidR="009F0EB3" w:rsidRPr="004F65E4" w:rsidRDefault="009F0EB3" w:rsidP="00C05B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C05B3B">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C05B3B">
              <w:rPr>
                <w:rFonts w:ascii="Tahoma" w:hAnsi="Tahoma" w:cs="Tahoma"/>
                <w:b/>
                <w:bCs/>
                <w:iCs/>
                <w:color w:val="243285"/>
                <w:szCs w:val="24"/>
              </w:rPr>
              <w:t>8</w:t>
            </w:r>
            <w:r w:rsidRPr="004F65E4">
              <w:rPr>
                <w:rFonts w:ascii="Tahoma" w:hAnsi="Tahoma" w:cs="Tahoma"/>
                <w:b/>
                <w:bCs/>
                <w:iCs/>
                <w:color w:val="243285"/>
                <w:szCs w:val="24"/>
              </w:rPr>
              <w:t>)</w:t>
            </w:r>
          </w:p>
        </w:tc>
      </w:tr>
      <w:tr w:rsidR="009F0EB3" w:rsidRPr="00C05B3B" w:rsidTr="00FE69C6">
        <w:tc>
          <w:tcPr>
            <w:tcW w:w="10089" w:type="dxa"/>
          </w:tcPr>
          <w:p w:rsidR="009F0EB3" w:rsidRPr="003E1DED" w:rsidRDefault="009F0EB3" w:rsidP="00FE69C6">
            <w:pPr>
              <w:spacing w:before="80" w:line="500" w:lineRule="exact"/>
              <w:jc w:val="right"/>
              <w:rPr>
                <w:rFonts w:ascii="Tahoma" w:hAnsi="Tahoma" w:cs="Tahoma"/>
                <w:b/>
                <w:bCs/>
                <w:iCs/>
                <w:color w:val="243285"/>
                <w:sz w:val="44"/>
                <w:szCs w:val="44"/>
                <w:lang w:val="en-US"/>
              </w:rPr>
            </w:pPr>
          </w:p>
          <w:p w:rsidR="009F0EB3" w:rsidRPr="00C05B3B" w:rsidRDefault="00C05B3B" w:rsidP="00C05B3B">
            <w:pPr>
              <w:spacing w:before="80" w:line="500" w:lineRule="exact"/>
              <w:jc w:val="right"/>
              <w:rPr>
                <w:rFonts w:ascii="Tahoma" w:hAnsi="Tahoma" w:cs="Tahoma"/>
                <w:b/>
                <w:bCs/>
                <w:iCs/>
                <w:color w:val="243285"/>
                <w:sz w:val="44"/>
                <w:szCs w:val="44"/>
                <w:lang w:val="en-GB"/>
              </w:rPr>
            </w:pPr>
            <w:r w:rsidRPr="00C05B3B">
              <w:rPr>
                <w:rFonts w:ascii="Tahoma" w:hAnsi="Tahoma" w:cs="Tahoma"/>
                <w:b/>
                <w:bCs/>
                <w:iCs/>
                <w:color w:val="243285"/>
                <w:sz w:val="44"/>
                <w:szCs w:val="44"/>
                <w:lang w:val="en-GB"/>
              </w:rPr>
              <w:t xml:space="preserve">Technical and operational characteristics of and protection criteria for aeronautical mobile service systems in the </w:t>
            </w:r>
            <w:r>
              <w:rPr>
                <w:rFonts w:ascii="Tahoma" w:hAnsi="Tahoma" w:cs="Tahoma"/>
                <w:b/>
                <w:bCs/>
                <w:iCs/>
                <w:color w:val="243285"/>
                <w:sz w:val="44"/>
                <w:szCs w:val="44"/>
                <w:lang w:val="en-GB"/>
              </w:rPr>
              <w:br/>
            </w:r>
            <w:r w:rsidRPr="00C05B3B">
              <w:rPr>
                <w:rFonts w:ascii="Tahoma" w:hAnsi="Tahoma" w:cs="Tahoma"/>
                <w:b/>
                <w:bCs/>
                <w:iCs/>
                <w:color w:val="243285"/>
                <w:sz w:val="44"/>
                <w:szCs w:val="44"/>
                <w:lang w:val="en-GB"/>
              </w:rPr>
              <w:t>frequency bands 22.5-23.6 GHz</w:t>
            </w:r>
            <w:r w:rsidRPr="00C05B3B">
              <w:rPr>
                <w:rFonts w:ascii="Tahoma" w:hAnsi="Tahoma" w:cs="Tahoma"/>
                <w:b/>
                <w:bCs/>
                <w:iCs/>
                <w:color w:val="243285"/>
                <w:sz w:val="44"/>
                <w:szCs w:val="44"/>
                <w:lang w:val="en-GB"/>
              </w:rPr>
              <w:br/>
              <w:t>and 25.25-27.5 GHz</w:t>
            </w:r>
          </w:p>
        </w:tc>
      </w:tr>
      <w:tr w:rsidR="009F0EB3" w:rsidTr="00FE69C6">
        <w:tc>
          <w:tcPr>
            <w:tcW w:w="10089" w:type="dxa"/>
          </w:tcPr>
          <w:p w:rsidR="009F0EB3" w:rsidRPr="00052F66" w:rsidRDefault="009F0EB3" w:rsidP="00FE69C6">
            <w:pPr>
              <w:spacing w:before="80" w:line="280" w:lineRule="exact"/>
              <w:ind w:right="640"/>
              <w:rPr>
                <w:rFonts w:ascii="Tahoma" w:hAnsi="Tahoma" w:cs="Tahoma"/>
                <w:b/>
                <w:bCs/>
                <w:iCs/>
                <w:color w:val="243285"/>
                <w:sz w:val="32"/>
                <w:szCs w:val="32"/>
                <w:lang w:val="en-US"/>
              </w:rPr>
            </w:pPr>
          </w:p>
          <w:p w:rsidR="009F0EB3" w:rsidRPr="00052F66" w:rsidRDefault="009F0EB3" w:rsidP="00FE69C6">
            <w:pPr>
              <w:spacing w:before="80" w:after="180" w:line="360" w:lineRule="exact"/>
              <w:ind w:right="720"/>
              <w:rPr>
                <w:rFonts w:ascii="Tahoma" w:hAnsi="Tahoma" w:cs="Tahoma"/>
                <w:b/>
                <w:bCs/>
                <w:iCs/>
                <w:color w:val="243285"/>
                <w:sz w:val="36"/>
                <w:szCs w:val="36"/>
                <w:lang w:val="en-US"/>
              </w:rPr>
            </w:pPr>
          </w:p>
          <w:p w:rsidR="009F0EB3" w:rsidRPr="001511A6" w:rsidRDefault="009F0EB3" w:rsidP="00FE69C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9F0EB3" w:rsidRDefault="009F0EB3" w:rsidP="00FE69C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9F0EB3" w:rsidRPr="0041667C" w:rsidRDefault="009F0EB3" w:rsidP="00FE69C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9F0EB3" w:rsidRDefault="009F0EB3" w:rsidP="009F0EB3">
      <w:pPr>
        <w:spacing w:before="80"/>
        <w:rPr>
          <w:i/>
          <w:sz w:val="22"/>
          <w:lang w:val="en-US"/>
        </w:rPr>
      </w:pPr>
    </w:p>
    <w:p w:rsidR="009F0EB3" w:rsidRDefault="009F0EB3" w:rsidP="009F0EB3">
      <w:pPr>
        <w:spacing w:before="80"/>
        <w:rPr>
          <w:i/>
          <w:sz w:val="22"/>
          <w:lang w:val="en-US"/>
        </w:rPr>
      </w:pPr>
    </w:p>
    <w:p w:rsidR="009F0EB3" w:rsidRDefault="009F0EB3" w:rsidP="009F0EB3">
      <w:pPr>
        <w:spacing w:before="80"/>
        <w:rPr>
          <w:i/>
          <w:sz w:val="22"/>
          <w:lang w:val="en-US"/>
        </w:rPr>
      </w:pPr>
    </w:p>
    <w:p w:rsidR="009F0EB3" w:rsidRDefault="009F0EB3" w:rsidP="009F0EB3">
      <w:pPr>
        <w:spacing w:before="80"/>
        <w:rPr>
          <w:i/>
          <w:sz w:val="22"/>
          <w:lang w:val="en-US"/>
        </w:rPr>
      </w:pPr>
    </w:p>
    <w:p w:rsidR="009F0EB3" w:rsidRDefault="009F0EB3" w:rsidP="009F0EB3">
      <w:pPr>
        <w:spacing w:before="80"/>
        <w:rPr>
          <w:i/>
          <w:sz w:val="22"/>
          <w:lang w:val="en-US"/>
        </w:rPr>
      </w:pPr>
    </w:p>
    <w:p w:rsidR="009F0EB3" w:rsidRDefault="009F0EB3" w:rsidP="009F0EB3">
      <w:pPr>
        <w:spacing w:before="80"/>
        <w:rPr>
          <w:i/>
          <w:sz w:val="22"/>
          <w:lang w:val="en-US"/>
        </w:rPr>
      </w:pPr>
    </w:p>
    <w:p w:rsidR="009F0EB3" w:rsidRDefault="009F0EB3" w:rsidP="009F0EB3">
      <w:pPr>
        <w:pStyle w:val="Equation"/>
        <w:tabs>
          <w:tab w:val="clear" w:pos="4820"/>
          <w:tab w:val="clear" w:pos="9639"/>
          <w:tab w:val="left" w:pos="1191"/>
          <w:tab w:val="left" w:pos="1588"/>
          <w:tab w:val="left" w:pos="1985"/>
        </w:tabs>
        <w:rPr>
          <w:rFonts w:ascii="Palatino Linotype" w:hAnsi="Palatino Linotype"/>
          <w:lang w:val="en-US"/>
        </w:rPr>
        <w:sectPr w:rsidR="009F0EB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9F0EB3" w:rsidRPr="00586EF8" w:rsidRDefault="009F0EB3" w:rsidP="009F0E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F0EB3" w:rsidRDefault="009F0EB3" w:rsidP="009F0EB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F0EB3" w:rsidRDefault="009F0EB3" w:rsidP="009F0EB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F0EB3" w:rsidRPr="00B714F3" w:rsidRDefault="009F0EB3" w:rsidP="009F0EB3">
      <w:pPr>
        <w:pStyle w:val="Heading1"/>
        <w:spacing w:before="680"/>
        <w:jc w:val="center"/>
        <w:rPr>
          <w:szCs w:val="24"/>
          <w:lang w:val="en-US"/>
        </w:rPr>
      </w:pPr>
      <w:r w:rsidRPr="00B714F3">
        <w:rPr>
          <w:szCs w:val="24"/>
          <w:lang w:val="en-US"/>
        </w:rPr>
        <w:t>Policy on Intellectual Pro</w:t>
      </w:r>
      <w:bookmarkStart w:id="1" w:name="_GoBack"/>
      <w:bookmarkEnd w:id="1"/>
      <w:r w:rsidRPr="00B714F3">
        <w:rPr>
          <w:szCs w:val="24"/>
          <w:lang w:val="en-US"/>
        </w:rPr>
        <w:t>perty Right (IPR)</w:t>
      </w:r>
    </w:p>
    <w:p w:rsidR="009F0EB3" w:rsidRPr="00B714F3" w:rsidRDefault="009F0EB3" w:rsidP="009F0EB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F0EB3" w:rsidRDefault="009F0EB3" w:rsidP="009F0EB3">
      <w:pPr>
        <w:jc w:val="center"/>
        <w:rPr>
          <w:sz w:val="22"/>
          <w:lang w:val="en-US"/>
        </w:rPr>
      </w:pPr>
    </w:p>
    <w:p w:rsidR="009F0EB3" w:rsidRDefault="009F0EB3" w:rsidP="009F0EB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0EB3" w:rsidRPr="0004784F" w:rsidTr="00FE69C6">
        <w:tc>
          <w:tcPr>
            <w:tcW w:w="9360" w:type="dxa"/>
            <w:gridSpan w:val="2"/>
          </w:tcPr>
          <w:p w:rsidR="009F0EB3" w:rsidRPr="00036EE3" w:rsidRDefault="009F0EB3" w:rsidP="00FE69C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F0EB3" w:rsidRPr="00036EE3"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9F0EB3" w:rsidRPr="00036EE3" w:rsidTr="00FE69C6">
        <w:tc>
          <w:tcPr>
            <w:tcW w:w="1140" w:type="dxa"/>
          </w:tcPr>
          <w:p w:rsidR="009F0EB3" w:rsidRPr="00036EE3" w:rsidRDefault="009F0EB3" w:rsidP="00FE69C6">
            <w:pPr>
              <w:spacing w:before="200" w:after="100"/>
              <w:ind w:left="57"/>
              <w:rPr>
                <w:b/>
                <w:bCs/>
                <w:sz w:val="20"/>
                <w:lang w:val="en-US"/>
              </w:rPr>
            </w:pPr>
            <w:r w:rsidRPr="00036EE3">
              <w:rPr>
                <w:b/>
                <w:bCs/>
                <w:sz w:val="20"/>
                <w:lang w:val="en-US"/>
              </w:rPr>
              <w:t>Series</w:t>
            </w:r>
          </w:p>
        </w:tc>
        <w:tc>
          <w:tcPr>
            <w:tcW w:w="8220" w:type="dxa"/>
          </w:tcPr>
          <w:p w:rsidR="009F0EB3" w:rsidRPr="00036EE3"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F0EB3" w:rsidRPr="00036EE3"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BO</w:t>
            </w:r>
          </w:p>
        </w:tc>
        <w:tc>
          <w:tcPr>
            <w:tcW w:w="8220" w:type="dxa"/>
          </w:tcPr>
          <w:p w:rsidR="009F0EB3" w:rsidRPr="00036EE3"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F0EB3" w:rsidRPr="0004784F" w:rsidTr="00FE69C6">
        <w:tc>
          <w:tcPr>
            <w:tcW w:w="1140" w:type="dxa"/>
            <w:tcBorders>
              <w:bottom w:val="nil"/>
            </w:tcBorders>
          </w:tcPr>
          <w:p w:rsidR="009F0EB3" w:rsidRPr="00036EE3" w:rsidRDefault="009F0EB3" w:rsidP="00FE69C6">
            <w:pPr>
              <w:spacing w:before="30" w:after="30"/>
              <w:ind w:left="57"/>
              <w:jc w:val="left"/>
              <w:rPr>
                <w:b/>
                <w:bCs/>
                <w:sz w:val="20"/>
                <w:lang w:val="en-US"/>
              </w:rPr>
            </w:pPr>
            <w:r w:rsidRPr="00036EE3">
              <w:rPr>
                <w:b/>
                <w:bCs/>
                <w:sz w:val="20"/>
                <w:lang w:val="en-US"/>
              </w:rPr>
              <w:t>BR</w:t>
            </w:r>
          </w:p>
        </w:tc>
        <w:tc>
          <w:tcPr>
            <w:tcW w:w="8220" w:type="dxa"/>
            <w:tcBorders>
              <w:bottom w:val="nil"/>
            </w:tcBorders>
          </w:tcPr>
          <w:p w:rsidR="009F0EB3" w:rsidRPr="00036EE3"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F0EB3" w:rsidRPr="00036EE3" w:rsidTr="00FE69C6">
        <w:tc>
          <w:tcPr>
            <w:tcW w:w="1140" w:type="dxa"/>
            <w:tcBorders>
              <w:top w:val="nil"/>
              <w:bottom w:val="nil"/>
            </w:tcBorders>
            <w:shd w:val="clear" w:color="auto" w:fill="auto"/>
          </w:tcPr>
          <w:p w:rsidR="009F0EB3" w:rsidRPr="007D224F" w:rsidRDefault="009F0EB3" w:rsidP="00FE69C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F0EB3" w:rsidRPr="007D224F"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F0EB3" w:rsidRPr="00ED2695" w:rsidTr="00FE69C6">
        <w:tc>
          <w:tcPr>
            <w:tcW w:w="1140" w:type="dxa"/>
            <w:tcBorders>
              <w:top w:val="nil"/>
              <w:bottom w:val="nil"/>
            </w:tcBorders>
            <w:shd w:val="clear" w:color="auto" w:fill="auto"/>
          </w:tcPr>
          <w:p w:rsidR="009F0EB3" w:rsidRPr="00ED2695" w:rsidRDefault="009F0EB3" w:rsidP="00FE69C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0EB3" w:rsidRPr="00ED2695"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F0EB3" w:rsidRPr="007D224F" w:rsidTr="00FE69C6">
        <w:tc>
          <w:tcPr>
            <w:tcW w:w="1140" w:type="dxa"/>
            <w:tcBorders>
              <w:top w:val="nil"/>
              <w:bottom w:val="nil"/>
            </w:tcBorders>
            <w:shd w:val="clear" w:color="auto" w:fill="auto"/>
          </w:tcPr>
          <w:p w:rsidR="009F0EB3" w:rsidRPr="0041667C" w:rsidRDefault="009F0EB3" w:rsidP="00FE69C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F0EB3" w:rsidRPr="0041667C" w:rsidRDefault="009F0EB3" w:rsidP="00FE6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F0EB3" w:rsidRPr="0041667C" w:rsidTr="00FE69C6">
        <w:tc>
          <w:tcPr>
            <w:tcW w:w="1140" w:type="dxa"/>
            <w:tcBorders>
              <w:top w:val="nil"/>
              <w:bottom w:val="nil"/>
            </w:tcBorders>
            <w:shd w:val="clear" w:color="auto" w:fill="F3F3F3"/>
          </w:tcPr>
          <w:p w:rsidR="009F0EB3" w:rsidRPr="0041667C" w:rsidRDefault="009F0EB3" w:rsidP="00FE69C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9F0EB3" w:rsidRPr="0041667C" w:rsidRDefault="009F0EB3" w:rsidP="00FE69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9F0EB3" w:rsidRPr="00036EE3" w:rsidTr="00FE69C6">
        <w:tc>
          <w:tcPr>
            <w:tcW w:w="1140" w:type="dxa"/>
            <w:tcBorders>
              <w:top w:val="nil"/>
            </w:tcBorders>
          </w:tcPr>
          <w:p w:rsidR="009F0EB3" w:rsidRPr="00036EE3" w:rsidRDefault="009F0EB3" w:rsidP="00FE69C6">
            <w:pPr>
              <w:spacing w:before="30" w:after="30"/>
              <w:ind w:left="57"/>
              <w:jc w:val="left"/>
              <w:rPr>
                <w:b/>
                <w:bCs/>
                <w:sz w:val="20"/>
                <w:lang w:val="fr-CH"/>
              </w:rPr>
            </w:pPr>
            <w:r w:rsidRPr="00036EE3">
              <w:rPr>
                <w:b/>
                <w:bCs/>
                <w:sz w:val="20"/>
                <w:lang w:val="fr-CH"/>
              </w:rPr>
              <w:t>P</w:t>
            </w:r>
          </w:p>
        </w:tc>
        <w:tc>
          <w:tcPr>
            <w:tcW w:w="8220" w:type="dxa"/>
            <w:tcBorders>
              <w:top w:val="nil"/>
            </w:tcBorders>
          </w:tcPr>
          <w:p w:rsidR="009F0EB3" w:rsidRPr="00036EE3" w:rsidRDefault="009F0EB3" w:rsidP="00FE69C6">
            <w:pPr>
              <w:spacing w:before="30" w:after="30"/>
              <w:jc w:val="left"/>
              <w:rPr>
                <w:sz w:val="20"/>
                <w:lang w:val="fr-CH"/>
              </w:rPr>
            </w:pPr>
            <w:r w:rsidRPr="00036EE3">
              <w:rPr>
                <w:sz w:val="20"/>
                <w:lang w:val="fr-CH"/>
              </w:rPr>
              <w:t>Radiowave propagation</w:t>
            </w:r>
          </w:p>
        </w:tc>
      </w:tr>
      <w:tr w:rsidR="009F0EB3" w:rsidRPr="00036EE3"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RA</w:t>
            </w:r>
          </w:p>
        </w:tc>
        <w:tc>
          <w:tcPr>
            <w:tcW w:w="8220" w:type="dxa"/>
          </w:tcPr>
          <w:p w:rsidR="009F0EB3" w:rsidRPr="00036EE3" w:rsidRDefault="009F0EB3" w:rsidP="00FE6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F0EB3" w:rsidRPr="00036EE3"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RS</w:t>
            </w:r>
          </w:p>
        </w:tc>
        <w:tc>
          <w:tcPr>
            <w:tcW w:w="8220" w:type="dxa"/>
          </w:tcPr>
          <w:p w:rsidR="009F0EB3" w:rsidRPr="00036EE3" w:rsidRDefault="009F0EB3" w:rsidP="00FE69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F0EB3" w:rsidRPr="00036EE3"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S</w:t>
            </w:r>
          </w:p>
        </w:tc>
        <w:tc>
          <w:tcPr>
            <w:tcW w:w="8220" w:type="dxa"/>
          </w:tcPr>
          <w:p w:rsidR="009F0EB3" w:rsidRPr="00036EE3" w:rsidRDefault="009F0EB3" w:rsidP="00FE69C6">
            <w:pPr>
              <w:spacing w:before="30" w:after="30"/>
              <w:jc w:val="left"/>
              <w:rPr>
                <w:sz w:val="20"/>
                <w:lang w:val="en-US"/>
              </w:rPr>
            </w:pPr>
            <w:r w:rsidRPr="00036EE3">
              <w:rPr>
                <w:sz w:val="20"/>
                <w:lang w:val="en-US"/>
              </w:rPr>
              <w:t>Fixed-satellite service</w:t>
            </w:r>
          </w:p>
        </w:tc>
      </w:tr>
      <w:tr w:rsidR="009F0EB3" w:rsidRPr="00036EE3"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SA</w:t>
            </w:r>
          </w:p>
        </w:tc>
        <w:tc>
          <w:tcPr>
            <w:tcW w:w="8220" w:type="dxa"/>
          </w:tcPr>
          <w:p w:rsidR="009F0EB3" w:rsidRPr="00036EE3" w:rsidRDefault="009F0EB3" w:rsidP="00FE69C6">
            <w:pPr>
              <w:spacing w:before="30" w:after="30"/>
              <w:jc w:val="left"/>
              <w:rPr>
                <w:sz w:val="20"/>
                <w:lang w:val="en-US"/>
              </w:rPr>
            </w:pPr>
            <w:r w:rsidRPr="00036EE3">
              <w:rPr>
                <w:sz w:val="20"/>
                <w:lang w:val="en-US"/>
              </w:rPr>
              <w:t>Space applications and meteorology</w:t>
            </w:r>
          </w:p>
        </w:tc>
      </w:tr>
      <w:tr w:rsidR="009F0EB3" w:rsidRPr="0004784F" w:rsidTr="00FE69C6">
        <w:tc>
          <w:tcPr>
            <w:tcW w:w="1140" w:type="dxa"/>
            <w:tcBorders>
              <w:bottom w:val="nil"/>
            </w:tcBorders>
          </w:tcPr>
          <w:p w:rsidR="009F0EB3" w:rsidRPr="00036EE3" w:rsidRDefault="009F0EB3" w:rsidP="00FE69C6">
            <w:pPr>
              <w:spacing w:before="30" w:after="30"/>
              <w:ind w:left="57"/>
              <w:jc w:val="left"/>
              <w:rPr>
                <w:b/>
                <w:bCs/>
                <w:sz w:val="20"/>
                <w:lang w:val="en-US"/>
              </w:rPr>
            </w:pPr>
            <w:r w:rsidRPr="00036EE3">
              <w:rPr>
                <w:b/>
                <w:bCs/>
                <w:sz w:val="20"/>
                <w:lang w:val="en-US"/>
              </w:rPr>
              <w:t>SF</w:t>
            </w:r>
          </w:p>
        </w:tc>
        <w:tc>
          <w:tcPr>
            <w:tcW w:w="8220" w:type="dxa"/>
            <w:tcBorders>
              <w:bottom w:val="nil"/>
            </w:tcBorders>
          </w:tcPr>
          <w:p w:rsidR="009F0EB3" w:rsidRPr="00036EE3" w:rsidRDefault="009F0EB3" w:rsidP="00FE69C6">
            <w:pPr>
              <w:spacing w:before="30" w:after="30"/>
              <w:jc w:val="left"/>
              <w:rPr>
                <w:sz w:val="20"/>
                <w:lang w:val="en-US"/>
              </w:rPr>
            </w:pPr>
            <w:r w:rsidRPr="00036EE3">
              <w:rPr>
                <w:sz w:val="20"/>
                <w:lang w:val="en-US"/>
              </w:rPr>
              <w:t>Frequency sharing and coordination between fixed-satellite and fixed service systems</w:t>
            </w:r>
          </w:p>
        </w:tc>
      </w:tr>
      <w:tr w:rsidR="009F0EB3" w:rsidRPr="00036EE3" w:rsidTr="00FE69C6">
        <w:tc>
          <w:tcPr>
            <w:tcW w:w="1140" w:type="dxa"/>
            <w:tcBorders>
              <w:top w:val="nil"/>
              <w:bottom w:val="nil"/>
            </w:tcBorders>
            <w:shd w:val="clear" w:color="auto" w:fill="auto"/>
          </w:tcPr>
          <w:p w:rsidR="009F0EB3" w:rsidRPr="000A4386" w:rsidRDefault="009F0EB3" w:rsidP="00FE69C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F0EB3" w:rsidRPr="000A4386" w:rsidRDefault="009F0EB3" w:rsidP="00FE69C6">
            <w:pPr>
              <w:spacing w:before="30" w:after="30"/>
              <w:jc w:val="left"/>
              <w:rPr>
                <w:sz w:val="20"/>
                <w:lang w:val="en-US"/>
              </w:rPr>
            </w:pPr>
            <w:r w:rsidRPr="000A4386">
              <w:rPr>
                <w:sz w:val="20"/>
                <w:lang w:val="en-US"/>
              </w:rPr>
              <w:t>Spectrum management</w:t>
            </w:r>
          </w:p>
        </w:tc>
      </w:tr>
      <w:tr w:rsidR="009F0EB3" w:rsidRPr="00036EE3" w:rsidTr="00FE69C6">
        <w:tc>
          <w:tcPr>
            <w:tcW w:w="1140" w:type="dxa"/>
            <w:tcBorders>
              <w:top w:val="nil"/>
            </w:tcBorders>
          </w:tcPr>
          <w:p w:rsidR="009F0EB3" w:rsidRPr="00036EE3" w:rsidRDefault="009F0EB3" w:rsidP="00FE69C6">
            <w:pPr>
              <w:spacing w:before="30" w:after="30"/>
              <w:ind w:left="57"/>
              <w:jc w:val="left"/>
              <w:rPr>
                <w:b/>
                <w:bCs/>
                <w:sz w:val="20"/>
                <w:lang w:val="en-US"/>
              </w:rPr>
            </w:pPr>
            <w:r w:rsidRPr="00036EE3">
              <w:rPr>
                <w:b/>
                <w:bCs/>
                <w:sz w:val="20"/>
                <w:lang w:val="en-US"/>
              </w:rPr>
              <w:t>SNG</w:t>
            </w:r>
          </w:p>
        </w:tc>
        <w:tc>
          <w:tcPr>
            <w:tcW w:w="8220" w:type="dxa"/>
            <w:tcBorders>
              <w:top w:val="nil"/>
            </w:tcBorders>
          </w:tcPr>
          <w:p w:rsidR="009F0EB3" w:rsidRPr="00036EE3" w:rsidRDefault="009F0EB3" w:rsidP="00FE69C6">
            <w:pPr>
              <w:spacing w:before="30" w:after="30"/>
              <w:jc w:val="left"/>
              <w:rPr>
                <w:sz w:val="20"/>
                <w:lang w:val="en-US"/>
              </w:rPr>
            </w:pPr>
            <w:r w:rsidRPr="00036EE3">
              <w:rPr>
                <w:sz w:val="20"/>
                <w:lang w:val="en-US"/>
              </w:rPr>
              <w:t>Satellite news gathering</w:t>
            </w:r>
          </w:p>
        </w:tc>
      </w:tr>
      <w:tr w:rsidR="009F0EB3" w:rsidRPr="0004784F"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TF</w:t>
            </w:r>
          </w:p>
        </w:tc>
        <w:tc>
          <w:tcPr>
            <w:tcW w:w="8220" w:type="dxa"/>
          </w:tcPr>
          <w:p w:rsidR="009F0EB3" w:rsidRPr="00036EE3" w:rsidRDefault="009F0EB3" w:rsidP="00FE69C6">
            <w:pPr>
              <w:spacing w:before="30" w:after="30"/>
              <w:jc w:val="left"/>
              <w:rPr>
                <w:sz w:val="20"/>
                <w:lang w:val="en-US"/>
              </w:rPr>
            </w:pPr>
            <w:r w:rsidRPr="00036EE3">
              <w:rPr>
                <w:sz w:val="20"/>
                <w:lang w:val="en-US"/>
              </w:rPr>
              <w:t>Time signals and frequency standards emissions</w:t>
            </w:r>
          </w:p>
        </w:tc>
      </w:tr>
      <w:tr w:rsidR="009F0EB3" w:rsidRPr="00036EE3" w:rsidTr="00FE69C6">
        <w:tc>
          <w:tcPr>
            <w:tcW w:w="1140" w:type="dxa"/>
          </w:tcPr>
          <w:p w:rsidR="009F0EB3" w:rsidRPr="00036EE3" w:rsidRDefault="009F0EB3" w:rsidP="00FE69C6">
            <w:pPr>
              <w:spacing w:before="30" w:after="30"/>
              <w:ind w:left="57"/>
              <w:jc w:val="left"/>
              <w:rPr>
                <w:b/>
                <w:bCs/>
                <w:sz w:val="20"/>
                <w:lang w:val="en-US"/>
              </w:rPr>
            </w:pPr>
            <w:r w:rsidRPr="00036EE3">
              <w:rPr>
                <w:b/>
                <w:bCs/>
                <w:sz w:val="20"/>
                <w:lang w:val="en-US"/>
              </w:rPr>
              <w:t>V</w:t>
            </w:r>
          </w:p>
        </w:tc>
        <w:tc>
          <w:tcPr>
            <w:tcW w:w="8220" w:type="dxa"/>
          </w:tcPr>
          <w:p w:rsidR="009F0EB3" w:rsidRPr="00036EE3" w:rsidRDefault="009F0EB3" w:rsidP="00FE69C6">
            <w:pPr>
              <w:spacing w:before="30" w:after="180"/>
              <w:jc w:val="left"/>
              <w:rPr>
                <w:sz w:val="20"/>
                <w:lang w:val="en-US"/>
              </w:rPr>
            </w:pPr>
            <w:r w:rsidRPr="00036EE3">
              <w:rPr>
                <w:sz w:val="20"/>
                <w:lang w:val="en-US"/>
              </w:rPr>
              <w:t>Vocabulary and related subjects</w:t>
            </w:r>
          </w:p>
        </w:tc>
      </w:tr>
    </w:tbl>
    <w:p w:rsidR="009F0EB3" w:rsidRPr="00036EE3" w:rsidRDefault="009F0EB3" w:rsidP="009F0EB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0EB3" w:rsidTr="00FE69C6">
        <w:tc>
          <w:tcPr>
            <w:tcW w:w="720" w:type="dxa"/>
          </w:tcPr>
          <w:p w:rsidR="009F0EB3" w:rsidRDefault="009F0EB3" w:rsidP="00FE69C6">
            <w:pPr>
              <w:jc w:val="center"/>
              <w:rPr>
                <w:sz w:val="22"/>
                <w:lang w:val="en-US"/>
              </w:rPr>
            </w:pPr>
          </w:p>
        </w:tc>
      </w:tr>
    </w:tbl>
    <w:p w:rsidR="009F0EB3" w:rsidRPr="00036EE3" w:rsidRDefault="009F0EB3" w:rsidP="009F0EB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F0EB3" w:rsidRPr="0004784F" w:rsidTr="00FE69C6">
        <w:tc>
          <w:tcPr>
            <w:tcW w:w="9360" w:type="dxa"/>
          </w:tcPr>
          <w:p w:rsidR="009F0EB3" w:rsidRPr="002F5199" w:rsidRDefault="009F0EB3" w:rsidP="00FE69C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F0EB3" w:rsidRDefault="009F0EB3" w:rsidP="009F0EB3">
      <w:pPr>
        <w:spacing w:before="0"/>
        <w:jc w:val="center"/>
        <w:rPr>
          <w:sz w:val="22"/>
          <w:lang w:val="en-US"/>
        </w:rPr>
      </w:pPr>
    </w:p>
    <w:p w:rsidR="009F0EB3" w:rsidRDefault="009F0EB3" w:rsidP="009F0EB3">
      <w:pPr>
        <w:spacing w:before="0"/>
        <w:jc w:val="center"/>
        <w:rPr>
          <w:sz w:val="22"/>
          <w:lang w:val="en-US"/>
        </w:rPr>
      </w:pPr>
    </w:p>
    <w:p w:rsidR="009F0EB3" w:rsidRPr="002F5199" w:rsidRDefault="009F0EB3" w:rsidP="009F0EB3">
      <w:pPr>
        <w:spacing w:before="0"/>
        <w:jc w:val="right"/>
        <w:rPr>
          <w:i/>
          <w:iCs/>
          <w:sz w:val="20"/>
          <w:lang w:val="en-US"/>
        </w:rPr>
      </w:pPr>
      <w:r w:rsidRPr="002F5199">
        <w:rPr>
          <w:i/>
          <w:iCs/>
          <w:sz w:val="20"/>
          <w:lang w:val="en-US"/>
        </w:rPr>
        <w:t>Electronic Publication</w:t>
      </w:r>
    </w:p>
    <w:p w:rsidR="009F0EB3" w:rsidRPr="002F5199" w:rsidRDefault="009F0EB3" w:rsidP="00C05B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C05B3B">
        <w:rPr>
          <w:sz w:val="20"/>
          <w:lang w:val="en-US"/>
        </w:rPr>
        <w:t>8</w:t>
      </w:r>
    </w:p>
    <w:p w:rsidR="009F0EB3" w:rsidRDefault="009F0EB3" w:rsidP="009F0EB3">
      <w:pPr>
        <w:jc w:val="center"/>
        <w:rPr>
          <w:sz w:val="22"/>
          <w:lang w:val="en-US"/>
        </w:rPr>
      </w:pPr>
    </w:p>
    <w:p w:rsidR="009F0EB3" w:rsidRPr="00470E28" w:rsidRDefault="009F0EB3" w:rsidP="00C05B3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C05B3B">
        <w:rPr>
          <w:sz w:val="20"/>
          <w:lang w:val="en-US"/>
        </w:rPr>
        <w:t>8</w:t>
      </w:r>
    </w:p>
    <w:p w:rsidR="009F0EB3" w:rsidRPr="00470E28" w:rsidRDefault="009F0EB3" w:rsidP="009F0EB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F0EB3" w:rsidRDefault="009F0EB3" w:rsidP="009F0EB3">
      <w:pPr>
        <w:spacing w:before="160"/>
        <w:rPr>
          <w:i/>
          <w:sz w:val="20"/>
          <w:lang w:val="en-US"/>
        </w:rPr>
        <w:sectPr w:rsidR="009F0EB3" w:rsidSect="00C05B3B">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9F0EB3" w:rsidRPr="00052F66" w:rsidRDefault="009F0EB3" w:rsidP="009F0EB3">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C05B3B">
        <w:rPr>
          <w:rStyle w:val="href"/>
          <w:lang w:val="en-US"/>
        </w:rPr>
        <w:t>2114-0</w:t>
      </w:r>
    </w:p>
    <w:p w:rsidR="009F0EB3" w:rsidRPr="00C05B3B" w:rsidRDefault="00C05B3B" w:rsidP="00C05B3B">
      <w:pPr>
        <w:pStyle w:val="Rectitle"/>
        <w:rPr>
          <w:lang w:val="en-GB"/>
        </w:rPr>
      </w:pPr>
      <w:r w:rsidRPr="00C05B3B">
        <w:rPr>
          <w:lang w:val="en-GB"/>
        </w:rPr>
        <w:t>Technical and operational characteristics of and protection criteria for aeronautical mobile service systems in the frequency bands 22.5-23.6 GHz</w:t>
      </w:r>
      <w:r w:rsidRPr="00C05B3B">
        <w:rPr>
          <w:lang w:val="en-GB"/>
        </w:rPr>
        <w:br/>
        <w:t>and 25.25-27.5 GHz</w:t>
      </w:r>
    </w:p>
    <w:p w:rsidR="00C05B3B" w:rsidRDefault="00C05B3B" w:rsidP="00C05B3B">
      <w:pPr>
        <w:pStyle w:val="Recdate"/>
        <w:rPr>
          <w:sz w:val="22"/>
          <w:lang w:val="en-US"/>
        </w:rPr>
      </w:pPr>
      <w:r>
        <w:rPr>
          <w:lang w:val="en-US"/>
        </w:rPr>
        <w:t>(2018)</w:t>
      </w:r>
    </w:p>
    <w:p w:rsidR="00C05B3B" w:rsidRDefault="00C05B3B" w:rsidP="00F9385F">
      <w:pPr>
        <w:pStyle w:val="HeadingSum"/>
      </w:pPr>
      <w:r>
        <w:t>Scope</w:t>
      </w:r>
    </w:p>
    <w:p w:rsidR="00C05B3B" w:rsidRDefault="00C05B3B" w:rsidP="00F9385F">
      <w:pPr>
        <w:pStyle w:val="Summary"/>
      </w:pPr>
      <w:r w:rsidRPr="00C05B3B">
        <w:t>This Recommendation provides information on the technical characteristics and protection criteria for systems operating in the aeronautical mobile service (AMS) in the frequency bands 22.5-23.6 GHz and 25.25</w:t>
      </w:r>
      <w:r w:rsidRPr="00C05B3B">
        <w:noBreakHyphen/>
        <w:t>27.5 GHz.</w:t>
      </w:r>
    </w:p>
    <w:p w:rsidR="00C05B3B" w:rsidRPr="00C05B3B" w:rsidRDefault="00C05B3B" w:rsidP="009E329B">
      <w:pPr>
        <w:pStyle w:val="Headingb"/>
        <w:rPr>
          <w:lang w:val="en-GB"/>
        </w:rPr>
      </w:pPr>
      <w:r w:rsidRPr="00C05B3B">
        <w:rPr>
          <w:lang w:val="en-GB"/>
        </w:rPr>
        <w:t>Related ITU Recommendations and Reports</w:t>
      </w:r>
    </w:p>
    <w:p w:rsidR="00C05B3B" w:rsidRPr="009E329B" w:rsidRDefault="00C05B3B" w:rsidP="009E329B">
      <w:pPr>
        <w:rPr>
          <w:b/>
          <w:bCs/>
          <w:szCs w:val="24"/>
          <w:lang w:val="fr-CH"/>
        </w:rPr>
      </w:pPr>
      <w:r w:rsidRPr="009E329B">
        <w:rPr>
          <w:lang w:val="fr-CH"/>
        </w:rPr>
        <w:t xml:space="preserve">Recommendations </w:t>
      </w:r>
      <w:r w:rsidRPr="009E329B">
        <w:rPr>
          <w:szCs w:val="24"/>
          <w:lang w:val="fr-CH"/>
        </w:rPr>
        <w:t>ITU-R M.1851</w:t>
      </w:r>
      <w:r w:rsidRPr="009E329B">
        <w:rPr>
          <w:rStyle w:val="Hyperlink"/>
          <w:color w:val="000000" w:themeColor="text1"/>
          <w:szCs w:val="24"/>
          <w:u w:val="none"/>
          <w:lang w:val="fr-CH"/>
        </w:rPr>
        <w:t>, ITU-R P.2108, ITU-R P.676.</w:t>
      </w:r>
    </w:p>
    <w:p w:rsidR="00C05B3B" w:rsidRDefault="00C05B3B" w:rsidP="009E329B">
      <w:pPr>
        <w:pStyle w:val="Headingb"/>
        <w:rPr>
          <w:lang w:val="en-US"/>
        </w:rPr>
      </w:pPr>
      <w:r>
        <w:rPr>
          <w:lang w:val="en-US"/>
        </w:rPr>
        <w:t>Keywords</w:t>
      </w:r>
    </w:p>
    <w:p w:rsidR="00C05B3B" w:rsidRDefault="00C05B3B" w:rsidP="009E329B">
      <w:pPr>
        <w:rPr>
          <w:lang w:val="en-GB"/>
        </w:rPr>
      </w:pPr>
      <w:r w:rsidRPr="00C05B3B">
        <w:rPr>
          <w:lang w:val="en-GB"/>
        </w:rPr>
        <w:t>Aeronautical mobile service systems, AMS, technical characteristics, protection criteria</w:t>
      </w:r>
    </w:p>
    <w:p w:rsidR="00C05B3B" w:rsidRDefault="00C05B3B" w:rsidP="009E329B">
      <w:pPr>
        <w:pStyle w:val="Headingb"/>
        <w:rPr>
          <w:lang w:val="en-US"/>
        </w:rPr>
      </w:pPr>
      <w:r>
        <w:rPr>
          <w:lang w:val="en-US"/>
        </w:rPr>
        <w:t>Abbreviations/Glossary</w:t>
      </w:r>
    </w:p>
    <w:p w:rsidR="00C05B3B" w:rsidRDefault="00C05B3B" w:rsidP="009E329B">
      <w:pPr>
        <w:tabs>
          <w:tab w:val="clear" w:pos="794"/>
        </w:tabs>
        <w:rPr>
          <w:lang w:val="en-GB"/>
        </w:rPr>
      </w:pPr>
      <w:r w:rsidRPr="00C05B3B">
        <w:rPr>
          <w:lang w:val="en-GB"/>
        </w:rPr>
        <w:t>ADL</w:t>
      </w:r>
      <w:r w:rsidRPr="00C05B3B">
        <w:rPr>
          <w:lang w:val="en-GB"/>
        </w:rPr>
        <w:tab/>
        <w:t>AMS data link</w:t>
      </w:r>
    </w:p>
    <w:p w:rsidR="00C05B3B" w:rsidRPr="00C05B3B" w:rsidRDefault="00C05B3B" w:rsidP="009E329B">
      <w:pPr>
        <w:tabs>
          <w:tab w:val="clear" w:pos="794"/>
        </w:tabs>
        <w:rPr>
          <w:lang w:val="en-GB"/>
        </w:rPr>
      </w:pPr>
      <w:r w:rsidRPr="00C05B3B">
        <w:rPr>
          <w:lang w:val="en-GB"/>
        </w:rPr>
        <w:t>ADT</w:t>
      </w:r>
      <w:r w:rsidRPr="00C05B3B">
        <w:rPr>
          <w:lang w:val="en-GB"/>
        </w:rPr>
        <w:tab/>
        <w:t>Airborne data terminal</w:t>
      </w:r>
    </w:p>
    <w:p w:rsidR="00C05B3B" w:rsidRPr="00C05B3B" w:rsidRDefault="00C05B3B" w:rsidP="009E329B">
      <w:pPr>
        <w:tabs>
          <w:tab w:val="clear" w:pos="794"/>
        </w:tabs>
        <w:rPr>
          <w:lang w:val="en-GB"/>
        </w:rPr>
      </w:pPr>
      <w:r w:rsidRPr="00C05B3B">
        <w:rPr>
          <w:lang w:val="en-GB"/>
        </w:rPr>
        <w:t>AMS</w:t>
      </w:r>
      <w:r w:rsidRPr="00C05B3B">
        <w:rPr>
          <w:lang w:val="en-GB"/>
        </w:rPr>
        <w:tab/>
        <w:t>Aeronautical mobile service</w:t>
      </w:r>
    </w:p>
    <w:p w:rsidR="00C05B3B" w:rsidRPr="00C05B3B" w:rsidRDefault="00C05B3B" w:rsidP="009E329B">
      <w:pPr>
        <w:tabs>
          <w:tab w:val="clear" w:pos="794"/>
        </w:tabs>
        <w:rPr>
          <w:lang w:val="en-GB"/>
        </w:rPr>
      </w:pPr>
      <w:r w:rsidRPr="00C05B3B">
        <w:rPr>
          <w:lang w:val="en-GB"/>
        </w:rPr>
        <w:t>GDT</w:t>
      </w:r>
      <w:r w:rsidRPr="00C05B3B">
        <w:rPr>
          <w:lang w:val="en-GB"/>
        </w:rPr>
        <w:tab/>
        <w:t>Ground data terminal</w:t>
      </w:r>
    </w:p>
    <w:p w:rsidR="00C05B3B" w:rsidRPr="00C05B3B" w:rsidRDefault="00C05B3B" w:rsidP="009E329B">
      <w:pPr>
        <w:tabs>
          <w:tab w:val="clear" w:pos="794"/>
        </w:tabs>
        <w:rPr>
          <w:lang w:val="en-GB"/>
        </w:rPr>
      </w:pPr>
      <w:r w:rsidRPr="00C05B3B">
        <w:rPr>
          <w:lang w:val="en-GB"/>
        </w:rPr>
        <w:t>RHCP</w:t>
      </w:r>
      <w:r w:rsidRPr="00C05B3B">
        <w:rPr>
          <w:lang w:val="en-GB"/>
        </w:rPr>
        <w:tab/>
        <w:t>Right hand circularly polarised</w:t>
      </w:r>
    </w:p>
    <w:p w:rsidR="00C05B3B" w:rsidRPr="00C05B3B" w:rsidRDefault="00C05B3B" w:rsidP="009E329B">
      <w:pPr>
        <w:tabs>
          <w:tab w:val="clear" w:pos="794"/>
        </w:tabs>
        <w:rPr>
          <w:lang w:val="en-GB"/>
        </w:rPr>
      </w:pPr>
      <w:r w:rsidRPr="00C05B3B">
        <w:rPr>
          <w:lang w:val="en-GB"/>
        </w:rPr>
        <w:t>RLOS</w:t>
      </w:r>
      <w:r w:rsidRPr="00C05B3B">
        <w:rPr>
          <w:lang w:val="en-GB"/>
        </w:rPr>
        <w:tab/>
        <w:t>Radio-line-of-sight</w:t>
      </w:r>
    </w:p>
    <w:p w:rsidR="00C05B3B" w:rsidRDefault="00C05B3B" w:rsidP="009E329B">
      <w:pPr>
        <w:pStyle w:val="Normalaftertitle"/>
      </w:pPr>
      <w:r>
        <w:t>The ITU Radiocommunication Assembly,</w:t>
      </w:r>
    </w:p>
    <w:p w:rsidR="00C05B3B" w:rsidRPr="00C05B3B" w:rsidRDefault="00C05B3B" w:rsidP="00C05B3B">
      <w:pPr>
        <w:pStyle w:val="Call"/>
        <w:rPr>
          <w:szCs w:val="24"/>
          <w:lang w:val="en-GB"/>
        </w:rPr>
      </w:pPr>
      <w:r w:rsidRPr="00C05B3B">
        <w:rPr>
          <w:szCs w:val="24"/>
          <w:lang w:val="en-GB"/>
        </w:rPr>
        <w:t>considering</w:t>
      </w:r>
    </w:p>
    <w:p w:rsidR="00C05B3B" w:rsidRPr="00C05B3B" w:rsidRDefault="00C05B3B" w:rsidP="009E329B">
      <w:pPr>
        <w:rPr>
          <w:lang w:val="en-GB"/>
        </w:rPr>
      </w:pPr>
      <w:r w:rsidRPr="00C05B3B">
        <w:rPr>
          <w:lang w:val="en-GB"/>
        </w:rPr>
        <w:t>that systems and networks operating in the aeronautical mobile service (AMS) are used for broadband and narrow-band airborne data links to support scientific research, remote sensing, fire</w:t>
      </w:r>
      <w:r w:rsidRPr="00C05B3B">
        <w:rPr>
          <w:lang w:val="en-GB"/>
        </w:rPr>
        <w:noBreakHyphen/>
        <w:t>fighting, land and crop surveying, pipeline monitoring, and emergency management applications,</w:t>
      </w:r>
    </w:p>
    <w:p w:rsidR="00C05B3B" w:rsidRPr="00C05B3B" w:rsidRDefault="00C05B3B" w:rsidP="00C05B3B">
      <w:pPr>
        <w:pStyle w:val="Call"/>
        <w:rPr>
          <w:szCs w:val="24"/>
          <w:lang w:val="en-GB"/>
        </w:rPr>
      </w:pPr>
      <w:r w:rsidRPr="00C05B3B">
        <w:rPr>
          <w:szCs w:val="24"/>
          <w:lang w:val="en-GB"/>
        </w:rPr>
        <w:t>recognizing</w:t>
      </w:r>
    </w:p>
    <w:p w:rsidR="00C05B3B" w:rsidRPr="00C05B3B" w:rsidRDefault="00C05B3B" w:rsidP="009E329B">
      <w:pPr>
        <w:rPr>
          <w:lang w:val="en-GB"/>
        </w:rPr>
      </w:pPr>
      <w:r w:rsidRPr="00C05B3B">
        <w:rPr>
          <w:i/>
          <w:iCs/>
          <w:lang w:val="en-GB"/>
        </w:rPr>
        <w:t>a)</w:t>
      </w:r>
      <w:r w:rsidRPr="00C05B3B">
        <w:rPr>
          <w:i/>
          <w:iCs/>
          <w:lang w:val="en-GB"/>
        </w:rPr>
        <w:tab/>
      </w:r>
      <w:r w:rsidRPr="00C05B3B">
        <w:rPr>
          <w:lang w:val="en-GB"/>
        </w:rPr>
        <w:t>that the frequency bands 22.5-23.6 GHz and 25.25-27.5 GHz are globally allocated on a primary basis to the mobile service;</w:t>
      </w:r>
    </w:p>
    <w:p w:rsidR="00C05B3B" w:rsidRPr="00C05B3B" w:rsidRDefault="00C05B3B" w:rsidP="009E329B">
      <w:pPr>
        <w:rPr>
          <w:szCs w:val="24"/>
          <w:lang w:val="en-GB"/>
        </w:rPr>
      </w:pPr>
      <w:r w:rsidRPr="00C05B3B">
        <w:rPr>
          <w:i/>
          <w:szCs w:val="24"/>
          <w:lang w:val="en-GB"/>
        </w:rPr>
        <w:t>b)</w:t>
      </w:r>
      <w:r w:rsidRPr="00C05B3B">
        <w:rPr>
          <w:szCs w:val="24"/>
          <w:lang w:val="en-GB"/>
        </w:rPr>
        <w:tab/>
      </w:r>
      <w:r w:rsidRPr="00C05B3B">
        <w:rPr>
          <w:lang w:val="en-GB"/>
        </w:rPr>
        <w:t>that aeronautical mobile service (AMS) is a subset of the mobile service;</w:t>
      </w:r>
    </w:p>
    <w:p w:rsidR="00C05B3B" w:rsidRPr="00C05B3B" w:rsidRDefault="00C05B3B" w:rsidP="009E329B">
      <w:pPr>
        <w:rPr>
          <w:szCs w:val="24"/>
          <w:lang w:val="en-GB"/>
        </w:rPr>
      </w:pPr>
      <w:r w:rsidRPr="00C05B3B">
        <w:rPr>
          <w:i/>
          <w:iCs/>
          <w:szCs w:val="24"/>
          <w:lang w:val="en-GB"/>
        </w:rPr>
        <w:t>c)</w:t>
      </w:r>
      <w:r w:rsidRPr="00C05B3B">
        <w:rPr>
          <w:szCs w:val="24"/>
          <w:lang w:val="en-GB"/>
        </w:rPr>
        <w:tab/>
        <w:t>that the aeronautical mobile service is a mobile service between aeronautical stations and aircraft stations, or between aircraft stations;</w:t>
      </w:r>
    </w:p>
    <w:p w:rsidR="00C05B3B" w:rsidRPr="00C05B3B" w:rsidRDefault="00C05B3B" w:rsidP="009E329B">
      <w:pPr>
        <w:rPr>
          <w:lang w:val="en-GB"/>
        </w:rPr>
      </w:pPr>
      <w:r w:rsidRPr="00C05B3B">
        <w:rPr>
          <w:i/>
          <w:iCs/>
          <w:lang w:val="en-GB"/>
        </w:rPr>
        <w:t>d)</w:t>
      </w:r>
      <w:r w:rsidRPr="00C05B3B">
        <w:rPr>
          <w:lang w:val="en-GB"/>
        </w:rPr>
        <w:tab/>
        <w:t>that the use of systems operated under aeronautical mobile service does not preclude the use of these frequency bands by any current and planned application of the services to which they are allocated and does not establish any priority in the Radio Regulations;</w:t>
      </w:r>
    </w:p>
    <w:p w:rsidR="00C05B3B" w:rsidRPr="00C05B3B" w:rsidRDefault="00C05B3B" w:rsidP="009E329B">
      <w:pPr>
        <w:rPr>
          <w:szCs w:val="24"/>
          <w:lang w:val="en-GB"/>
        </w:rPr>
      </w:pPr>
      <w:r w:rsidRPr="00C05B3B">
        <w:rPr>
          <w:i/>
          <w:szCs w:val="24"/>
          <w:lang w:val="en-GB"/>
        </w:rPr>
        <w:t>e)</w:t>
      </w:r>
      <w:r w:rsidRPr="00C05B3B">
        <w:rPr>
          <w:szCs w:val="24"/>
          <w:lang w:val="en-GB"/>
        </w:rPr>
        <w:tab/>
        <w:t>that the frequency band 22.5-23.6 GHz is also allocated on a primary basis to the fixed, inter</w:t>
      </w:r>
      <w:r w:rsidRPr="00C05B3B">
        <w:rPr>
          <w:szCs w:val="24"/>
          <w:lang w:val="en-GB"/>
        </w:rPr>
        <w:noBreakHyphen/>
        <w:t>satellite, and space research services in some or all parts of the frequency bands;</w:t>
      </w:r>
    </w:p>
    <w:p w:rsidR="00C05B3B" w:rsidRPr="00C05B3B" w:rsidRDefault="00C05B3B" w:rsidP="00424890">
      <w:pPr>
        <w:rPr>
          <w:lang w:val="en-GB"/>
        </w:rPr>
      </w:pPr>
      <w:r w:rsidRPr="00C05B3B">
        <w:rPr>
          <w:i/>
          <w:iCs/>
          <w:lang w:val="en-GB"/>
        </w:rPr>
        <w:t>f)</w:t>
      </w:r>
      <w:r w:rsidRPr="00C05B3B">
        <w:rPr>
          <w:lang w:val="en-GB"/>
        </w:rPr>
        <w:tab/>
        <w:t>that the frequency band 25.25-27.5 GHz is also allocated on a primary basis to the earth exploration-satellite, fixed, fixed-satellite, inter-satellite, and space research services in some or all parts of the frequency bands;</w:t>
      </w:r>
    </w:p>
    <w:p w:rsidR="00C05B3B" w:rsidRPr="00C05B3B" w:rsidRDefault="00C05B3B" w:rsidP="00424890">
      <w:pPr>
        <w:rPr>
          <w:lang w:val="en-GB"/>
        </w:rPr>
      </w:pPr>
      <w:r w:rsidRPr="00C05B3B">
        <w:rPr>
          <w:i/>
          <w:lang w:val="en-GB"/>
        </w:rPr>
        <w:t>g)</w:t>
      </w:r>
      <w:r w:rsidRPr="00C05B3B">
        <w:rPr>
          <w:i/>
          <w:lang w:val="en-GB"/>
        </w:rPr>
        <w:tab/>
      </w:r>
      <w:r w:rsidRPr="00C05B3B">
        <w:rPr>
          <w:lang w:val="en-GB"/>
        </w:rPr>
        <w:t>that in these bands new systems under the mobile service as well as under the fixed service are currently envisaged and studied by ITU;</w:t>
      </w:r>
    </w:p>
    <w:p w:rsidR="00C05B3B" w:rsidRPr="00C05B3B" w:rsidRDefault="00C05B3B" w:rsidP="00424890">
      <w:pPr>
        <w:rPr>
          <w:lang w:val="en-GB"/>
        </w:rPr>
      </w:pPr>
      <w:r w:rsidRPr="00C05B3B">
        <w:rPr>
          <w:i/>
          <w:lang w:val="en-GB"/>
        </w:rPr>
        <w:t>h)</w:t>
      </w:r>
      <w:r w:rsidRPr="00C05B3B">
        <w:rPr>
          <w:i/>
          <w:lang w:val="en-GB"/>
        </w:rPr>
        <w:tab/>
      </w:r>
      <w:r w:rsidRPr="00C05B3B">
        <w:rPr>
          <w:lang w:val="en-GB"/>
        </w:rPr>
        <w:t xml:space="preserve">that operations of aeronautical mobile systems </w:t>
      </w:r>
      <w:r w:rsidRPr="00C05B3B">
        <w:rPr>
          <w:iCs/>
          <w:lang w:val="en-GB"/>
        </w:rPr>
        <w:t>introduce more complex sharing</w:t>
      </w:r>
      <w:r w:rsidRPr="00C05B3B">
        <w:rPr>
          <w:lang w:val="en-GB"/>
        </w:rPr>
        <w:t xml:space="preserve"> over large areas and may require bilateral agreement between the administration operating AMS and affected administrations,</w:t>
      </w:r>
    </w:p>
    <w:p w:rsidR="00C05B3B" w:rsidRPr="00C05B3B" w:rsidRDefault="00C05B3B" w:rsidP="00C05B3B">
      <w:pPr>
        <w:pStyle w:val="Call"/>
        <w:rPr>
          <w:lang w:val="en-GB"/>
        </w:rPr>
      </w:pPr>
      <w:r w:rsidRPr="00C05B3B">
        <w:rPr>
          <w:lang w:val="en-GB"/>
        </w:rPr>
        <w:t>recommends</w:t>
      </w:r>
    </w:p>
    <w:p w:rsidR="00C05B3B" w:rsidRPr="00C05B3B" w:rsidRDefault="00C05B3B" w:rsidP="00C05B3B">
      <w:pPr>
        <w:rPr>
          <w:szCs w:val="24"/>
          <w:lang w:val="en-GB"/>
        </w:rPr>
      </w:pPr>
      <w:r w:rsidRPr="00424890">
        <w:rPr>
          <w:b/>
          <w:bCs/>
          <w:lang w:val="en-GB"/>
        </w:rPr>
        <w:t>1</w:t>
      </w:r>
      <w:r w:rsidRPr="00C05B3B">
        <w:rPr>
          <w:lang w:val="en-GB"/>
        </w:rPr>
        <w:tab/>
      </w:r>
      <w:r w:rsidRPr="00C05B3B">
        <w:rPr>
          <w:szCs w:val="24"/>
          <w:lang w:val="en-GB"/>
        </w:rPr>
        <w:t>that the technical and operational characteristics of the systems operating in the AMS described in the Annex should be considered representative of those operating in the frequency bands 22.5-23.6 GHz and 25.25-27.5 GHz;</w:t>
      </w:r>
    </w:p>
    <w:p w:rsidR="00C05B3B" w:rsidRPr="00C05B3B" w:rsidRDefault="00C05B3B" w:rsidP="00424890">
      <w:pPr>
        <w:rPr>
          <w:szCs w:val="24"/>
          <w:lang w:val="en-GB"/>
        </w:rPr>
      </w:pPr>
      <w:r w:rsidRPr="00424890">
        <w:rPr>
          <w:b/>
          <w:bCs/>
          <w:szCs w:val="24"/>
          <w:lang w:val="en-GB"/>
        </w:rPr>
        <w:t>2</w:t>
      </w:r>
      <w:r w:rsidRPr="00C05B3B">
        <w:rPr>
          <w:szCs w:val="24"/>
          <w:lang w:val="en-GB"/>
        </w:rPr>
        <w:tab/>
        <w:t xml:space="preserve">that the criterion of interfering signal power to receiver noise power level, </w:t>
      </w:r>
      <w:r w:rsidRPr="00C05B3B">
        <w:rPr>
          <w:i/>
          <w:iCs/>
          <w:szCs w:val="24"/>
          <w:lang w:val="en-GB"/>
        </w:rPr>
        <w:t>I/N</w:t>
      </w:r>
      <w:r w:rsidRPr="00C05B3B">
        <w:rPr>
          <w:szCs w:val="24"/>
          <w:lang w:val="en-GB"/>
        </w:rPr>
        <w:t xml:space="preserve">, of </w:t>
      </w:r>
      <w:r w:rsidRPr="00C05B3B">
        <w:rPr>
          <w:szCs w:val="24"/>
          <w:lang w:val="en-GB"/>
        </w:rPr>
        <w:br/>
      </w:r>
      <w:r w:rsidR="00424890">
        <w:rPr>
          <w:szCs w:val="24"/>
          <w:lang w:val="en-GB"/>
        </w:rPr>
        <w:t>−</w:t>
      </w:r>
      <w:r w:rsidRPr="00C05B3B">
        <w:rPr>
          <w:szCs w:val="24"/>
          <w:lang w:val="en-GB"/>
        </w:rPr>
        <w:t>6 dB should be used as the required protection level for AMS receivers. If multiple potential interference sources are present, protection of the AMS requires that this criterion is not exceeded due to the aggregate interference from the multiple sources.</w:t>
      </w:r>
    </w:p>
    <w:p w:rsidR="00C05B3B" w:rsidRDefault="00C05B3B" w:rsidP="00424890">
      <w:pPr>
        <w:rPr>
          <w:lang w:val="en-GB"/>
        </w:rPr>
      </w:pPr>
    </w:p>
    <w:p w:rsidR="00424890" w:rsidRPr="00C05B3B" w:rsidRDefault="00424890" w:rsidP="00424890">
      <w:pPr>
        <w:rPr>
          <w:lang w:val="en-GB"/>
        </w:rPr>
      </w:pPr>
    </w:p>
    <w:p w:rsidR="00C05B3B" w:rsidRPr="00424890" w:rsidRDefault="00C05B3B" w:rsidP="00424890">
      <w:pPr>
        <w:pStyle w:val="AnnexNoTitle"/>
        <w:rPr>
          <w:lang w:val="en-GB"/>
        </w:rPr>
      </w:pPr>
      <w:r w:rsidRPr="00424890">
        <w:rPr>
          <w:lang w:val="en-GB"/>
        </w:rPr>
        <w:t>Annex</w:t>
      </w:r>
      <w:r w:rsidR="00424890" w:rsidRPr="00424890">
        <w:rPr>
          <w:caps/>
          <w:lang w:val="en-GB"/>
        </w:rPr>
        <w:br/>
      </w:r>
      <w:r w:rsidR="00424890">
        <w:rPr>
          <w:caps/>
          <w:lang w:val="en-GB"/>
        </w:rPr>
        <w:br/>
      </w:r>
      <w:r w:rsidRPr="00424890">
        <w:rPr>
          <w:lang w:val="en-GB"/>
        </w:rPr>
        <w:t>Technical and operational characteristics of and protection criteria for aeronautical mobile service systems operating in the frequency</w:t>
      </w:r>
      <w:r w:rsidRPr="00424890">
        <w:rPr>
          <w:lang w:val="en-GB"/>
        </w:rPr>
        <w:br/>
      </w:r>
      <w:r w:rsidRPr="00424890">
        <w:rPr>
          <w:szCs w:val="28"/>
          <w:lang w:val="en-GB"/>
        </w:rPr>
        <w:t>bands 22.5-23.6 GHz and 25.25-27.5</w:t>
      </w:r>
      <w:r w:rsidRPr="00424890">
        <w:rPr>
          <w:lang w:val="en-GB"/>
        </w:rPr>
        <w:t xml:space="preserve"> GHz</w:t>
      </w:r>
    </w:p>
    <w:p w:rsidR="00C05B3B" w:rsidRPr="00C05B3B" w:rsidRDefault="00C05B3B" w:rsidP="00424890">
      <w:pPr>
        <w:pStyle w:val="Heading1"/>
        <w:rPr>
          <w:lang w:val="en-GB"/>
        </w:rPr>
      </w:pPr>
      <w:r w:rsidRPr="00C05B3B">
        <w:rPr>
          <w:lang w:val="en-GB"/>
        </w:rPr>
        <w:t>1</w:t>
      </w:r>
      <w:r w:rsidRPr="00C05B3B">
        <w:rPr>
          <w:lang w:val="en-GB"/>
        </w:rPr>
        <w:tab/>
        <w:t>Introduction</w:t>
      </w:r>
    </w:p>
    <w:p w:rsidR="00C05B3B" w:rsidRPr="00C05B3B" w:rsidRDefault="00C05B3B" w:rsidP="00424890">
      <w:pPr>
        <w:rPr>
          <w:lang w:val="en-GB"/>
        </w:rPr>
      </w:pPr>
      <w:r w:rsidRPr="00C05B3B">
        <w:rPr>
          <w:lang w:val="en-GB"/>
        </w:rPr>
        <w:t>Systems and networks operating in the aeronautical mobile service (AMS) are used for broadband and narrow-band airborne data links to support scientific research, remote sensing, fire-fighting, land and crop surveying, pipeline monitoring, and emergency management applications.</w:t>
      </w:r>
    </w:p>
    <w:p w:rsidR="00C05B3B" w:rsidRPr="00C05B3B" w:rsidRDefault="00C05B3B" w:rsidP="00C05B3B">
      <w:pPr>
        <w:rPr>
          <w:lang w:val="en-GB"/>
        </w:rPr>
      </w:pPr>
      <w:r w:rsidRPr="00C05B3B">
        <w:rPr>
          <w:lang w:val="en-GB"/>
        </w:rPr>
        <w:t>The broadband data links are used to transmit data collected from one or multiple research/remote sensing equipment on the aircraft, and the narrow-band data links are used to control this remote sensing equipment on-board the aircraft.</w:t>
      </w:r>
    </w:p>
    <w:p w:rsidR="00C05B3B" w:rsidRPr="00C05B3B" w:rsidRDefault="00C05B3B" w:rsidP="00424890">
      <w:pPr>
        <w:pStyle w:val="Heading1"/>
        <w:rPr>
          <w:lang w:val="en-GB"/>
        </w:rPr>
      </w:pPr>
      <w:r w:rsidRPr="00C05B3B">
        <w:rPr>
          <w:lang w:val="en-GB"/>
        </w:rPr>
        <w:t>2</w:t>
      </w:r>
      <w:r w:rsidRPr="00C05B3B">
        <w:rPr>
          <w:lang w:val="en-GB"/>
        </w:rPr>
        <w:tab/>
        <w:t>Operational deployment</w:t>
      </w:r>
    </w:p>
    <w:p w:rsidR="00C05B3B" w:rsidRPr="00C05B3B" w:rsidRDefault="00C05B3B" w:rsidP="00CA2652">
      <w:pPr>
        <w:rPr>
          <w:lang w:val="en-GB"/>
        </w:rPr>
      </w:pPr>
      <w:r w:rsidRPr="00C05B3B">
        <w:rPr>
          <w:lang w:val="en-GB"/>
        </w:rPr>
        <w:t xml:space="preserve">In the frequency bands 22.5-23.6 GHz and 25.25-27.5 GHz, the mobile service is allocated on a primary basis in all three ITU-R </w:t>
      </w:r>
      <w:r w:rsidR="00CA2652">
        <w:rPr>
          <w:lang w:val="en-GB"/>
        </w:rPr>
        <w:t>R</w:t>
      </w:r>
      <w:r w:rsidRPr="00C05B3B">
        <w:rPr>
          <w:lang w:val="en-GB"/>
        </w:rPr>
        <w:t>egions. The AMS is a mobile service between aeronautical stations and aircraft stations, or between aircraft stations. Platforms equipped with AMS data links (ADL) can be deployed anywhere within a country whose administration has authorized their use in accordance with the authorization.</w:t>
      </w:r>
    </w:p>
    <w:p w:rsidR="00C05B3B" w:rsidRPr="00C05B3B" w:rsidRDefault="00C05B3B" w:rsidP="00CA2652">
      <w:pPr>
        <w:rPr>
          <w:lang w:val="en-GB"/>
        </w:rPr>
      </w:pPr>
      <w:r w:rsidRPr="00C05B3B">
        <w:rPr>
          <w:lang w:val="en-GB"/>
        </w:rPr>
        <w:t xml:space="preserve">An ADL may exist between an airborne data terminal (ADT), which is an aircraft station, and a ground data terminal (GDT), which is an aeronautical station, or between two ADTs. </w:t>
      </w:r>
    </w:p>
    <w:p w:rsidR="00C05B3B" w:rsidRPr="00C05B3B" w:rsidRDefault="00C05B3B" w:rsidP="00CA2652">
      <w:pPr>
        <w:rPr>
          <w:lang w:val="en-GB"/>
        </w:rPr>
      </w:pPr>
      <w:r w:rsidRPr="00C05B3B">
        <w:rPr>
          <w:lang w:val="en-GB"/>
        </w:rPr>
        <w:t>The GDT may be at a single permanent location or they may be transportable. Transportable GDTs can be moved to meet operational needs. The duration that a transportable GDT remains at a particular location is dependent upon operational requirements.</w:t>
      </w:r>
    </w:p>
    <w:p w:rsidR="00C05B3B" w:rsidRPr="00C05B3B" w:rsidRDefault="00C05B3B" w:rsidP="00CA2652">
      <w:pPr>
        <w:rPr>
          <w:lang w:val="en-GB"/>
        </w:rPr>
      </w:pPr>
      <w:r w:rsidRPr="00C05B3B">
        <w:rPr>
          <w:lang w:val="en-GB"/>
        </w:rPr>
        <w:t>The link distance for the ADL is generally limited by the radio</w:t>
      </w:r>
      <w:r w:rsidRPr="00C05B3B">
        <w:rPr>
          <w:lang w:val="en-GB"/>
        </w:rPr>
        <w:noBreakHyphen/>
        <w:t>line</w:t>
      </w:r>
      <w:r w:rsidRPr="00C05B3B">
        <w:rPr>
          <w:lang w:val="en-GB"/>
        </w:rPr>
        <w:noBreakHyphen/>
        <w:t>of</w:t>
      </w:r>
      <w:r w:rsidRPr="00C05B3B">
        <w:rPr>
          <w:lang w:val="en-GB"/>
        </w:rPr>
        <w:noBreakHyphen/>
        <w:t>sight (RLOS) horizon which is a function of the terrain in the vicinity of the GDT and the altitude of the ADT. The operational altitude of airborne platforms equipped with these ADLs depends on specific operational requirements and can be up to approximately 20 km. Although some of the link lengths may be relatively short, many of the link distances approach RLOS horizon distance. For an air-to-ground link, the link distance may be approximately 450 km.</w:t>
      </w:r>
    </w:p>
    <w:p w:rsidR="00C05B3B" w:rsidRPr="00C05B3B" w:rsidRDefault="00C05B3B" w:rsidP="00CA2652">
      <w:pPr>
        <w:rPr>
          <w:lang w:val="en-GB"/>
        </w:rPr>
      </w:pPr>
      <w:r w:rsidRPr="00C05B3B">
        <w:rPr>
          <w:lang w:val="en-GB"/>
        </w:rPr>
        <w:t xml:space="preserve">The link between two ADTs operates in similar manner as the link between a GDT and an ADT with the exception that the link distance is a function of the operating altitude of the two ADTs. In the case of a direct air-to-air link, this link distance may be up to 900 km. </w:t>
      </w:r>
    </w:p>
    <w:p w:rsidR="00C05B3B" w:rsidRPr="00C05B3B" w:rsidRDefault="00C05B3B" w:rsidP="00CA2652">
      <w:pPr>
        <w:rPr>
          <w:lang w:val="en-GB"/>
        </w:rPr>
      </w:pPr>
      <w:r w:rsidRPr="00C05B3B">
        <w:rPr>
          <w:lang w:val="en-GB"/>
        </w:rPr>
        <w:t>Other factors to consider, such as atmospheric losses (rain attenuation, gases, etc.) and clutter losses, as described in the relevant ITU</w:t>
      </w:r>
      <w:r w:rsidRPr="00C05B3B">
        <w:rPr>
          <w:lang w:val="en-GB"/>
        </w:rPr>
        <w:noBreakHyphen/>
        <w:t xml:space="preserve">R Recommendations P-Series, could reduce the maximum distance of the link between two aircraft. Depending on the environmental conditions and locations of the aircraft, the crosslink distance might be shorter than 900 km. </w:t>
      </w:r>
    </w:p>
    <w:p w:rsidR="00C05B3B" w:rsidRPr="00C05B3B" w:rsidRDefault="00C05B3B" w:rsidP="00CA2652">
      <w:pPr>
        <w:rPr>
          <w:lang w:val="en-GB"/>
        </w:rPr>
      </w:pPr>
      <w:r w:rsidRPr="00C05B3B">
        <w:rPr>
          <w:lang w:val="en-GB"/>
        </w:rPr>
        <w:t>A single GDT may support several ADT via different links. If the ADLs are operating in a narrow</w:t>
      </w:r>
      <w:r w:rsidRPr="00C05B3B">
        <w:rPr>
          <w:lang w:val="en-GB"/>
        </w:rPr>
        <w:noBreakHyphen/>
        <w:t>band mode, multiple data links may be supported through frequency separation. If the data links are operating in a wide band mode, multiple data links may be supported through geographic separation using multiple high-gain, narrow-beam antennas.</w:t>
      </w:r>
    </w:p>
    <w:p w:rsidR="00C05B3B" w:rsidRPr="00C05B3B" w:rsidRDefault="00C05B3B" w:rsidP="00CA2652">
      <w:pPr>
        <w:rPr>
          <w:lang w:val="en-GB"/>
        </w:rPr>
      </w:pPr>
      <w:r w:rsidRPr="00C05B3B">
        <w:rPr>
          <w:lang w:val="en-GB"/>
        </w:rPr>
        <w:t>An ADT may serve as a node within a larger network or as a repeater to extend the range between the data-collection ADT and the data-receiving GDT. In this case, the ADT may have two or more ADLs between either two ADTs or between one ADT and one GDT.</w:t>
      </w:r>
    </w:p>
    <w:p w:rsidR="00C05B3B" w:rsidRPr="00C05B3B" w:rsidRDefault="00C05B3B" w:rsidP="00C05B3B">
      <w:pPr>
        <w:rPr>
          <w:lang w:val="en-GB"/>
        </w:rPr>
      </w:pPr>
      <w:r w:rsidRPr="00C05B3B">
        <w:rPr>
          <w:lang w:val="en-GB"/>
        </w:rPr>
        <w:t>The temporal duration of the link can span the entire flight duration, i.e. take off/landing, transit to/from the operational area, and the time used for data collection in the operational area. Thus, the time duration during which an ADL can be active may extend for many hours.</w:t>
      </w:r>
    </w:p>
    <w:p w:rsidR="00C05B3B" w:rsidRPr="00C05B3B" w:rsidRDefault="00C05B3B" w:rsidP="007743FD">
      <w:pPr>
        <w:pStyle w:val="Heading1"/>
        <w:rPr>
          <w:lang w:val="en-GB"/>
        </w:rPr>
      </w:pPr>
      <w:r w:rsidRPr="00C05B3B">
        <w:rPr>
          <w:lang w:val="en-GB"/>
        </w:rPr>
        <w:t>3</w:t>
      </w:r>
      <w:r w:rsidRPr="00C05B3B">
        <w:rPr>
          <w:lang w:val="en-GB"/>
        </w:rPr>
        <w:tab/>
        <w:t>Technical characteristics of aeronautical mobile systems</w:t>
      </w:r>
    </w:p>
    <w:p w:rsidR="00C05B3B" w:rsidRPr="00C05B3B" w:rsidRDefault="00C05B3B" w:rsidP="007743FD">
      <w:pPr>
        <w:rPr>
          <w:lang w:val="en-GB"/>
        </w:rPr>
      </w:pPr>
      <w:r w:rsidRPr="00C05B3B">
        <w:rPr>
          <w:lang w:val="en-GB"/>
        </w:rPr>
        <w:t xml:space="preserve">Representative technical characteristics for airborne data links in the AMS for the frequency bands </w:t>
      </w:r>
      <w:r w:rsidRPr="00C05B3B">
        <w:rPr>
          <w:szCs w:val="24"/>
          <w:lang w:val="en-GB"/>
        </w:rPr>
        <w:t>22.5-23.6 GHz and 25.25-27.5</w:t>
      </w:r>
      <w:r w:rsidRPr="00C05B3B">
        <w:rPr>
          <w:lang w:val="en-GB"/>
        </w:rPr>
        <w:t> GHz are provided in Table 1.</w:t>
      </w:r>
    </w:p>
    <w:p w:rsidR="00C05B3B" w:rsidRPr="00C05B3B" w:rsidRDefault="00C05B3B" w:rsidP="00C05B3B">
      <w:pPr>
        <w:pStyle w:val="Heading2"/>
        <w:rPr>
          <w:lang w:val="en-GB"/>
        </w:rPr>
      </w:pPr>
      <w:r w:rsidRPr="00C05B3B">
        <w:rPr>
          <w:lang w:val="en-GB"/>
        </w:rPr>
        <w:t>3.1</w:t>
      </w:r>
      <w:r w:rsidRPr="00C05B3B">
        <w:rPr>
          <w:lang w:val="en-GB"/>
        </w:rPr>
        <w:tab/>
        <w:t>Transmitter characteristics</w:t>
      </w:r>
    </w:p>
    <w:p w:rsidR="00C05B3B" w:rsidRPr="00C05B3B" w:rsidRDefault="00C05B3B" w:rsidP="00C05B3B">
      <w:pPr>
        <w:rPr>
          <w:lang w:val="en-GB"/>
        </w:rPr>
      </w:pPr>
      <w:r w:rsidRPr="00C05B3B">
        <w:rPr>
          <w:lang w:val="en-GB"/>
        </w:rPr>
        <w:t xml:space="preserve">The aeronautical mobile systems operating or planned to operate in the frequency bands </w:t>
      </w:r>
      <w:r w:rsidRPr="00C05B3B">
        <w:rPr>
          <w:szCs w:val="24"/>
          <w:lang w:val="en-GB"/>
        </w:rPr>
        <w:t>22.5</w:t>
      </w:r>
      <w:r w:rsidRPr="00C05B3B">
        <w:rPr>
          <w:szCs w:val="24"/>
          <w:lang w:val="en-GB"/>
        </w:rPr>
        <w:noBreakHyphen/>
        <w:t>23.6 GHz and 25.25-27.5</w:t>
      </w:r>
      <w:r w:rsidRPr="00C05B3B">
        <w:rPr>
          <w:lang w:val="en-GB"/>
        </w:rPr>
        <w:t> GHz typically use digital modulations. A given transmitter may be capable of radiating more than one waveform. Solid-state power amplifier output devices are typically used in the transmitters. The trend towards use of solid-state transmitters in new mobile systems will continue for the foreseeable future due to the wide bandwidth, low level of generated spurious emissions, low power consumption, and reliability of these devices.</w:t>
      </w:r>
    </w:p>
    <w:p w:rsidR="00C05B3B" w:rsidRPr="00C05B3B" w:rsidRDefault="00C05B3B" w:rsidP="007743FD">
      <w:pPr>
        <w:rPr>
          <w:szCs w:val="24"/>
          <w:lang w:val="en-GB"/>
        </w:rPr>
      </w:pPr>
      <w:r w:rsidRPr="00C05B3B">
        <w:rPr>
          <w:szCs w:val="24"/>
          <w:lang w:val="en-GB"/>
        </w:rPr>
        <w:t>Typical transmitter radio frequency emission (3 dB) bandwidths of mobile systems operating or planned to operate in the frequency bands 22.5-23.6 GHz and 25.25-27.5 GHz range from about 143 to 865 MHz. Transmitter peak output powers range from 0.1 W (20 dBm) to 60 W (48 dBm). However, the maximum power level at the input to the antenna is limited to 10 watts in the 25.25</w:t>
      </w:r>
      <w:r w:rsidRPr="00C05B3B">
        <w:rPr>
          <w:szCs w:val="24"/>
          <w:lang w:val="en-GB"/>
        </w:rPr>
        <w:noBreakHyphen/>
        <w:t>27.5</w:t>
      </w:r>
      <w:r w:rsidR="007743FD">
        <w:rPr>
          <w:szCs w:val="24"/>
          <w:lang w:val="en-GB"/>
        </w:rPr>
        <w:t> </w:t>
      </w:r>
      <w:r w:rsidRPr="00C05B3B">
        <w:rPr>
          <w:szCs w:val="24"/>
          <w:lang w:val="en-GB"/>
        </w:rPr>
        <w:t>GHz frequency range by RR No</w:t>
      </w:r>
      <w:r w:rsidR="007743FD">
        <w:rPr>
          <w:szCs w:val="24"/>
          <w:lang w:val="en-GB"/>
        </w:rPr>
        <w:t>.</w:t>
      </w:r>
      <w:r w:rsidRPr="00C05B3B">
        <w:rPr>
          <w:szCs w:val="24"/>
          <w:lang w:val="en-GB"/>
        </w:rPr>
        <w:t xml:space="preserve"> </w:t>
      </w:r>
      <w:r w:rsidRPr="00C05B3B">
        <w:rPr>
          <w:b/>
          <w:bCs/>
          <w:szCs w:val="24"/>
          <w:lang w:val="en-GB"/>
        </w:rPr>
        <w:t>21.5</w:t>
      </w:r>
      <w:r w:rsidRPr="00C05B3B">
        <w:rPr>
          <w:szCs w:val="24"/>
          <w:lang w:val="en-GB"/>
        </w:rPr>
        <w:t>, and the equivalent isotropically radiated power is limited to 24 dBW (in any 1 MHz band) in the 25.25-27.5 GHz frequency range when the direction of maximum radiation of the antenna is within 1.5 degrees of the geostationary-satellite orbit by RR No</w:t>
      </w:r>
      <w:r w:rsidR="007743FD">
        <w:rPr>
          <w:szCs w:val="24"/>
          <w:lang w:val="en-GB"/>
        </w:rPr>
        <w:t>.</w:t>
      </w:r>
      <w:r w:rsidRPr="00C05B3B">
        <w:rPr>
          <w:szCs w:val="24"/>
          <w:lang w:val="en-GB"/>
        </w:rPr>
        <w:t xml:space="preserve"> </w:t>
      </w:r>
      <w:r w:rsidRPr="00C05B3B">
        <w:rPr>
          <w:b/>
          <w:bCs/>
          <w:szCs w:val="24"/>
          <w:lang w:val="en-GB"/>
        </w:rPr>
        <w:t>21.2</w:t>
      </w:r>
      <w:r w:rsidRPr="00C05B3B">
        <w:rPr>
          <w:szCs w:val="24"/>
          <w:lang w:val="en-GB"/>
        </w:rPr>
        <w:t>.</w:t>
      </w:r>
    </w:p>
    <w:p w:rsidR="00C05B3B" w:rsidRPr="00C05B3B" w:rsidRDefault="00C05B3B" w:rsidP="007743FD">
      <w:pPr>
        <w:pStyle w:val="Heading2"/>
        <w:rPr>
          <w:lang w:val="en-GB"/>
        </w:rPr>
      </w:pPr>
      <w:r w:rsidRPr="00C05B3B">
        <w:rPr>
          <w:lang w:val="en-GB"/>
        </w:rPr>
        <w:t>3.2</w:t>
      </w:r>
      <w:r w:rsidRPr="00C05B3B">
        <w:rPr>
          <w:lang w:val="en-GB"/>
        </w:rPr>
        <w:tab/>
        <w:t>Receiver characteristics</w:t>
      </w:r>
    </w:p>
    <w:p w:rsidR="00C05B3B" w:rsidRPr="00C05B3B" w:rsidRDefault="00C05B3B" w:rsidP="00C05B3B">
      <w:pPr>
        <w:rPr>
          <w:lang w:val="en-GB"/>
        </w:rPr>
      </w:pPr>
      <w:r w:rsidRPr="00C05B3B">
        <w:rPr>
          <w:lang w:val="en-GB"/>
        </w:rPr>
        <w:t xml:space="preserve">The aeronautical mobile systems in the frequency bands </w:t>
      </w:r>
      <w:r w:rsidRPr="00C05B3B">
        <w:rPr>
          <w:szCs w:val="24"/>
          <w:lang w:val="en-GB"/>
        </w:rPr>
        <w:t>22.5-23.6 GHz and 25.25-27.5</w:t>
      </w:r>
      <w:r w:rsidRPr="00C05B3B">
        <w:rPr>
          <w:lang w:val="en-GB"/>
        </w:rPr>
        <w:t> GHz use digital signal processing to enhance system performance.</w:t>
      </w:r>
    </w:p>
    <w:p w:rsidR="00C05B3B" w:rsidRPr="00C05B3B" w:rsidRDefault="00C05B3B" w:rsidP="00C05B3B">
      <w:pPr>
        <w:rPr>
          <w:szCs w:val="24"/>
          <w:lang w:val="en-GB"/>
        </w:rPr>
      </w:pPr>
      <w:r w:rsidRPr="00C05B3B">
        <w:rPr>
          <w:szCs w:val="24"/>
          <w:lang w:val="en-GB"/>
        </w:rPr>
        <w:t>The signal processing in the newer generation of aeronautical mobile systems may use direct sequence spread spectrum or other advanced techniques to produce a processing gain for the desired signal and may also provide suppression of undesired signals.</w:t>
      </w:r>
    </w:p>
    <w:p w:rsidR="00C05B3B" w:rsidRPr="00C05B3B" w:rsidRDefault="00C05B3B" w:rsidP="00C05B3B">
      <w:pPr>
        <w:pStyle w:val="Heading2"/>
        <w:rPr>
          <w:lang w:val="en-GB"/>
        </w:rPr>
      </w:pPr>
      <w:r w:rsidRPr="00C05B3B">
        <w:rPr>
          <w:lang w:val="en-GB"/>
        </w:rPr>
        <w:t>3.3</w:t>
      </w:r>
      <w:r w:rsidRPr="00C05B3B">
        <w:rPr>
          <w:lang w:val="en-GB"/>
        </w:rPr>
        <w:tab/>
        <w:t>Antenna characteristics</w:t>
      </w:r>
    </w:p>
    <w:p w:rsidR="00C05B3B" w:rsidRPr="00C05B3B" w:rsidRDefault="00C05B3B" w:rsidP="00C05B3B">
      <w:pPr>
        <w:rPr>
          <w:lang w:val="en-GB"/>
        </w:rPr>
      </w:pPr>
      <w:r w:rsidRPr="00C05B3B">
        <w:rPr>
          <w:lang w:val="en-GB"/>
        </w:rPr>
        <w:t xml:space="preserve">A variety of different types of antennas may be used by systems in the frequency bands </w:t>
      </w:r>
      <w:r w:rsidRPr="00C05B3B">
        <w:rPr>
          <w:szCs w:val="24"/>
          <w:lang w:val="en-GB"/>
        </w:rPr>
        <w:t>22.5</w:t>
      </w:r>
      <w:r w:rsidRPr="00C05B3B">
        <w:rPr>
          <w:szCs w:val="24"/>
          <w:lang w:val="en-GB"/>
        </w:rPr>
        <w:noBreakHyphen/>
        <w:t xml:space="preserve">23.6 GHz and 25.25-27.5 </w:t>
      </w:r>
      <w:r w:rsidRPr="00C05B3B">
        <w:rPr>
          <w:lang w:val="en-GB"/>
        </w:rPr>
        <w:t>GHz. The antennas gain is typically in the range 33-46 dBi. Horizontal, vertical, and circular polarizations are used.</w:t>
      </w:r>
    </w:p>
    <w:p w:rsidR="00C05B3B" w:rsidRPr="00C05B3B" w:rsidRDefault="00C05B3B" w:rsidP="00C05B3B">
      <w:pPr>
        <w:rPr>
          <w:lang w:val="en-GB"/>
        </w:rPr>
      </w:pPr>
      <w:r w:rsidRPr="00C05B3B">
        <w:rPr>
          <w:lang w:val="en-GB"/>
        </w:rPr>
        <w:t xml:space="preserve">If antenna characteristics provided in Table 1 are sufficient, these characteristics should be used in sharing analyses. If additional characteristics are required, the first source of the data should be measured antenna characteristics. Otherwise the antenna data in Table 1 in conjunction with Recommendation </w:t>
      </w:r>
      <w:r w:rsidRPr="007743FD">
        <w:rPr>
          <w:szCs w:val="24"/>
          <w:lang w:val="en-GB"/>
        </w:rPr>
        <w:t>ITU-R M.1851</w:t>
      </w:r>
      <w:r w:rsidRPr="00C05B3B">
        <w:rPr>
          <w:lang w:val="en-GB"/>
        </w:rPr>
        <w:t xml:space="preserve"> should be used.</w:t>
      </w:r>
    </w:p>
    <w:p w:rsidR="00C05B3B" w:rsidRPr="00C05B3B" w:rsidRDefault="00C05B3B" w:rsidP="007743FD">
      <w:pPr>
        <w:pStyle w:val="Heading1"/>
        <w:rPr>
          <w:lang w:val="en-GB"/>
        </w:rPr>
      </w:pPr>
      <w:r w:rsidRPr="00C05B3B">
        <w:rPr>
          <w:lang w:val="en-GB"/>
        </w:rPr>
        <w:t>4</w:t>
      </w:r>
      <w:r w:rsidRPr="00C05B3B">
        <w:rPr>
          <w:lang w:val="en-GB"/>
        </w:rPr>
        <w:tab/>
        <w:t>Protection criteria for the aeronautical mobile service in the frequency bands 22.5</w:t>
      </w:r>
      <w:r w:rsidR="007743FD">
        <w:rPr>
          <w:lang w:val="en-GB"/>
        </w:rPr>
        <w:noBreakHyphen/>
      </w:r>
      <w:r w:rsidRPr="00C05B3B">
        <w:rPr>
          <w:lang w:val="en-GB"/>
        </w:rPr>
        <w:t>23.6</w:t>
      </w:r>
      <w:r w:rsidR="007743FD">
        <w:rPr>
          <w:lang w:val="en-GB"/>
        </w:rPr>
        <w:t> </w:t>
      </w:r>
      <w:r w:rsidRPr="00C05B3B">
        <w:rPr>
          <w:lang w:val="en-GB"/>
        </w:rPr>
        <w:t>GHz and 25.25-27.5 GHz</w:t>
      </w:r>
    </w:p>
    <w:p w:rsidR="00C05B3B" w:rsidRPr="00C05B3B" w:rsidRDefault="00C05B3B" w:rsidP="007743FD">
      <w:pPr>
        <w:rPr>
          <w:lang w:val="en-GB"/>
        </w:rPr>
      </w:pPr>
      <w:r w:rsidRPr="00C05B3B">
        <w:rPr>
          <w:lang w:val="en-GB"/>
        </w:rPr>
        <w:t>The performance of the communication link is often noise limited. An increase in receiver effective noise of 1 dB would constitute significant degradation in the communication range, equivalent to a reduction in communication range of approximately 10% in a free-space propagation environment.</w:t>
      </w:r>
    </w:p>
    <w:p w:rsidR="00C05B3B" w:rsidRPr="00C05B3B" w:rsidRDefault="00C05B3B" w:rsidP="007743FD">
      <w:pPr>
        <w:rPr>
          <w:lang w:val="en-GB"/>
        </w:rPr>
      </w:pPr>
      <w:r w:rsidRPr="00C05B3B">
        <w:rPr>
          <w:lang w:val="en-GB"/>
        </w:rPr>
        <w:t>An increase of 1 dB in the effective receiver noise level corresponds to an (</w:t>
      </w:r>
      <w:r w:rsidRPr="00C05B3B">
        <w:rPr>
          <w:i/>
          <w:iCs/>
          <w:lang w:val="en-GB"/>
        </w:rPr>
        <w:t>I</w:t>
      </w:r>
      <w:r w:rsidRPr="00C05B3B">
        <w:rPr>
          <w:lang w:val="en-GB"/>
        </w:rPr>
        <w:t xml:space="preserve"> + </w:t>
      </w:r>
      <w:r w:rsidRPr="00C05B3B">
        <w:rPr>
          <w:i/>
          <w:iCs/>
          <w:lang w:val="en-GB"/>
        </w:rPr>
        <w:t>N</w:t>
      </w:r>
      <w:r w:rsidRPr="00C05B3B">
        <w:rPr>
          <w:lang w:val="en-GB"/>
        </w:rPr>
        <w:t>)/</w:t>
      </w:r>
      <w:r w:rsidRPr="00C05B3B">
        <w:rPr>
          <w:i/>
          <w:iCs/>
          <w:lang w:val="en-GB"/>
        </w:rPr>
        <w:t>N</w:t>
      </w:r>
      <w:r w:rsidRPr="00C05B3B">
        <w:rPr>
          <w:lang w:val="en-GB"/>
        </w:rPr>
        <w:t xml:space="preserve"> ratio of 1.26, or an </w:t>
      </w:r>
      <w:r w:rsidRPr="00C05B3B">
        <w:rPr>
          <w:i/>
          <w:iCs/>
          <w:lang w:val="en-GB"/>
        </w:rPr>
        <w:t>I</w:t>
      </w:r>
      <w:r w:rsidRPr="00C05B3B">
        <w:rPr>
          <w:lang w:val="en-GB"/>
        </w:rPr>
        <w:t>/</w:t>
      </w:r>
      <w:r w:rsidRPr="00C05B3B">
        <w:rPr>
          <w:i/>
          <w:iCs/>
          <w:lang w:val="en-GB"/>
        </w:rPr>
        <w:t>N</w:t>
      </w:r>
      <w:r w:rsidRPr="00C05B3B">
        <w:rPr>
          <w:lang w:val="en-GB"/>
        </w:rPr>
        <w:t xml:space="preserve"> ratio of about </w:t>
      </w:r>
      <w:r w:rsidR="007743FD">
        <w:rPr>
          <w:lang w:val="en-GB"/>
        </w:rPr>
        <w:t>−</w:t>
      </w:r>
      <w:r w:rsidRPr="00C05B3B">
        <w:rPr>
          <w:lang w:val="en-GB"/>
        </w:rPr>
        <w:t xml:space="preserve">6 dB. Given the decrease in AMS range and increase in probability of bit error rate performance due to an increase in effective receiver noise level of 1 dB, the </w:t>
      </w:r>
      <w:r w:rsidRPr="00C05B3B">
        <w:rPr>
          <w:i/>
          <w:iCs/>
          <w:lang w:val="en-GB"/>
        </w:rPr>
        <w:t>I</w:t>
      </w:r>
      <w:r w:rsidRPr="00C05B3B">
        <w:rPr>
          <w:lang w:val="en-GB"/>
        </w:rPr>
        <w:t>/</w:t>
      </w:r>
      <w:r w:rsidRPr="00C05B3B">
        <w:rPr>
          <w:i/>
          <w:iCs/>
          <w:lang w:val="en-GB"/>
        </w:rPr>
        <w:t>N</w:t>
      </w:r>
      <w:r w:rsidRPr="00C05B3B">
        <w:rPr>
          <w:lang w:val="en-GB"/>
        </w:rPr>
        <w:t xml:space="preserve"> = </w:t>
      </w:r>
      <w:r w:rsidR="007743FD">
        <w:rPr>
          <w:lang w:val="en-GB"/>
        </w:rPr>
        <w:t>−</w:t>
      </w:r>
      <w:r w:rsidRPr="00C05B3B">
        <w:rPr>
          <w:lang w:val="en-GB"/>
        </w:rPr>
        <w:t>6 dB value represents the required protection criterion for the AMS from interference due to another radiocommunication service. If multiple potential interference sources are present, protection of the AMS requires that this criterion is not exceeded due to the aggregate interference from the multiple sources.</w:t>
      </w:r>
    </w:p>
    <w:p w:rsidR="00C05B3B" w:rsidRDefault="00C05B3B" w:rsidP="00C05B3B">
      <w:pPr>
        <w:pStyle w:val="AnnexNo"/>
        <w:spacing w:before="120"/>
      </w:pPr>
    </w:p>
    <w:p w:rsidR="00C05B3B" w:rsidRPr="00C05B3B" w:rsidRDefault="00C05B3B" w:rsidP="00C05B3B">
      <w:pPr>
        <w:overflowPunct/>
        <w:autoSpaceDE/>
        <w:autoSpaceDN/>
        <w:adjustRightInd/>
        <w:spacing w:before="0"/>
        <w:rPr>
          <w:lang w:val="en-GB"/>
        </w:rPr>
        <w:sectPr w:rsidR="00C05B3B" w:rsidRPr="00C05B3B" w:rsidSect="008E319F">
          <w:pgSz w:w="11907" w:h="16834" w:code="9"/>
          <w:pgMar w:top="1418" w:right="1134" w:bottom="1134" w:left="1134" w:header="720" w:footer="482" w:gutter="0"/>
          <w:paperSrc w:first="15" w:other="15"/>
          <w:pgNumType w:start="1"/>
          <w:cols w:space="720"/>
        </w:sectPr>
      </w:pPr>
    </w:p>
    <w:p w:rsidR="00C05B3B" w:rsidRPr="00C05B3B" w:rsidRDefault="008E319F" w:rsidP="00C05B3B">
      <w:pPr>
        <w:pStyle w:val="TableNo"/>
        <w:rPr>
          <w:lang w:val="en-GB"/>
        </w:rPr>
      </w:pPr>
      <w:r w:rsidRPr="00C05B3B">
        <w:rPr>
          <w:lang w:val="en-GB"/>
        </w:rPr>
        <w:t xml:space="preserve">TABLE </w:t>
      </w:r>
      <w:r w:rsidR="00C05B3B" w:rsidRPr="00C05B3B">
        <w:rPr>
          <w:lang w:val="en-GB"/>
        </w:rPr>
        <w:t>1</w:t>
      </w:r>
    </w:p>
    <w:p w:rsidR="00C05B3B" w:rsidRPr="00C05B3B" w:rsidRDefault="00C05B3B" w:rsidP="00C05B3B">
      <w:pPr>
        <w:pStyle w:val="Tabletitle"/>
        <w:rPr>
          <w:lang w:val="en-GB"/>
        </w:rPr>
      </w:pPr>
      <w:r w:rsidRPr="00C05B3B">
        <w:rPr>
          <w:lang w:val="en-GB"/>
        </w:rPr>
        <w:t xml:space="preserve">Representative technical characteristics of aeronautical mobile service systems in the frequency </w:t>
      </w:r>
      <w:r w:rsidR="008E319F">
        <w:rPr>
          <w:lang w:val="en-GB"/>
        </w:rPr>
        <w:br/>
      </w:r>
      <w:r w:rsidRPr="00C05B3B">
        <w:rPr>
          <w:lang w:val="en-GB"/>
        </w:rPr>
        <w:t>bands 22.5-23.6 GHz and 25.25-27.5 GHz</w:t>
      </w:r>
    </w:p>
    <w:tbl>
      <w:tblPr>
        <w:tblStyle w:val="TableGrid"/>
        <w:tblW w:w="14459" w:type="dxa"/>
        <w:tblInd w:w="0" w:type="dxa"/>
        <w:tblLayout w:type="fixed"/>
        <w:tblLook w:val="04A0" w:firstRow="1" w:lastRow="0" w:firstColumn="1" w:lastColumn="0" w:noHBand="0" w:noVBand="1"/>
      </w:tblPr>
      <w:tblGrid>
        <w:gridCol w:w="1459"/>
        <w:gridCol w:w="897"/>
        <w:gridCol w:w="1195"/>
        <w:gridCol w:w="2839"/>
        <w:gridCol w:w="2689"/>
        <w:gridCol w:w="2541"/>
        <w:gridCol w:w="2839"/>
      </w:tblGrid>
      <w:tr w:rsidR="008E319F" w:rsidRPr="008E319F" w:rsidTr="008E319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Parameter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Units</w:t>
            </w:r>
          </w:p>
        </w:tc>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 xml:space="preserve">System 1 </w:t>
            </w:r>
            <w:r w:rsidRPr="008E319F">
              <w:rPr>
                <w:rFonts w:asciiTheme="majorBidi" w:hAnsiTheme="majorBidi" w:cstheme="majorBidi"/>
                <w:szCs w:val="22"/>
                <w:lang w:val="en-US"/>
              </w:rPr>
              <w:br/>
              <w:t>Airborne</w:t>
            </w:r>
          </w:p>
        </w:tc>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System 1</w:t>
            </w:r>
            <w:r w:rsidRPr="008E319F">
              <w:rPr>
                <w:rFonts w:asciiTheme="majorBidi" w:hAnsiTheme="majorBidi" w:cstheme="majorBidi"/>
                <w:szCs w:val="22"/>
                <w:lang w:val="en-US"/>
              </w:rPr>
              <w:br/>
              <w:t>Ground</w:t>
            </w:r>
          </w:p>
        </w:tc>
        <w:tc>
          <w:tcPr>
            <w:tcW w:w="2541" w:type="dxa"/>
            <w:tcBorders>
              <w:top w:val="single" w:sz="4" w:space="0" w:color="auto"/>
              <w:left w:val="single" w:sz="4" w:space="0" w:color="auto"/>
              <w:bottom w:val="single" w:sz="4" w:space="0" w:color="auto"/>
              <w:right w:val="single" w:sz="4" w:space="0" w:color="auto"/>
            </w:tcBorders>
            <w:shd w:val="clear" w:color="auto" w:fill="auto"/>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 xml:space="preserve">System 2 </w:t>
            </w:r>
            <w:r w:rsidRPr="008E319F">
              <w:rPr>
                <w:rFonts w:asciiTheme="majorBidi" w:hAnsiTheme="majorBidi" w:cstheme="majorBidi"/>
                <w:szCs w:val="22"/>
                <w:lang w:val="en-US"/>
              </w:rPr>
              <w:br/>
              <w:t>Airborne</w:t>
            </w:r>
          </w:p>
        </w:tc>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 xml:space="preserve">System 2 </w:t>
            </w:r>
            <w:r w:rsidRPr="008E319F">
              <w:rPr>
                <w:rFonts w:asciiTheme="majorBidi" w:hAnsiTheme="majorBidi" w:cstheme="majorBidi"/>
                <w:szCs w:val="22"/>
                <w:lang w:val="en-US"/>
              </w:rPr>
              <w:br/>
              <w:t>Ground</w:t>
            </w:r>
          </w:p>
        </w:tc>
      </w:tr>
      <w:tr w:rsidR="00C05B3B" w:rsidRPr="008E319F" w:rsidTr="008E319F">
        <w:tc>
          <w:tcPr>
            <w:tcW w:w="14459" w:type="dxa"/>
            <w:gridSpan w:val="7"/>
            <w:tcBorders>
              <w:top w:val="single" w:sz="4" w:space="0" w:color="auto"/>
              <w:left w:val="single" w:sz="4" w:space="0" w:color="auto"/>
              <w:bottom w:val="single" w:sz="4" w:space="0" w:color="auto"/>
              <w:right w:val="single" w:sz="4" w:space="0" w:color="auto"/>
            </w:tcBorders>
            <w:shd w:val="clear" w:color="auto" w:fill="auto"/>
            <w:hideMark/>
          </w:tcPr>
          <w:p w:rsidR="00C05B3B" w:rsidRPr="008E319F" w:rsidRDefault="00C05B3B">
            <w:pPr>
              <w:pStyle w:val="Tabletext"/>
              <w:rPr>
                <w:rFonts w:asciiTheme="majorBidi" w:hAnsiTheme="majorBidi" w:cstheme="majorBidi"/>
                <w:b/>
                <w:bCs/>
                <w:szCs w:val="22"/>
                <w:lang w:val="en-US"/>
              </w:rPr>
            </w:pPr>
            <w:r w:rsidRPr="008E319F">
              <w:rPr>
                <w:rFonts w:asciiTheme="majorBidi" w:hAnsiTheme="majorBidi" w:cstheme="majorBidi"/>
                <w:b/>
                <w:bCs/>
                <w:szCs w:val="22"/>
                <w:lang w:val="en-US"/>
              </w:rPr>
              <w:t>Transmitter</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Tuning range</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GHz</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25.75-27.15</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22.9-23.3</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25.25-27.5</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22.55-23.5</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keepLines/>
              <w:tabs>
                <w:tab w:val="left" w:leader="dot" w:pos="7938"/>
                <w:tab w:val="center" w:pos="9526"/>
              </w:tabs>
              <w:ind w:left="567" w:hanging="567"/>
              <w:rPr>
                <w:rFonts w:asciiTheme="majorBidi" w:hAnsiTheme="majorBidi" w:cstheme="majorBidi"/>
                <w:szCs w:val="22"/>
                <w:vertAlign w:val="superscript"/>
                <w:lang w:val="en-US"/>
              </w:rPr>
            </w:pPr>
            <w:r w:rsidRPr="008E319F">
              <w:rPr>
                <w:rFonts w:asciiTheme="majorBidi" w:hAnsiTheme="majorBidi" w:cstheme="majorBidi"/>
                <w:szCs w:val="22"/>
                <w:lang w:val="en-US"/>
              </w:rPr>
              <w:t>Power output</w:t>
            </w:r>
            <w:r w:rsidRPr="008E319F">
              <w:rPr>
                <w:rFonts w:asciiTheme="majorBidi" w:hAnsiTheme="majorBidi" w:cstheme="majorBidi"/>
                <w:szCs w:val="22"/>
                <w:vertAlign w:val="superscript"/>
                <w:lang w:val="en-US"/>
              </w:rPr>
              <w:t>(1)</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dBm</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27 to 48</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30 to 48</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20 to 47</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20 to 47</w:t>
            </w:r>
          </w:p>
        </w:tc>
      </w:tr>
      <w:tr w:rsidR="00C05B3B" w:rsidRPr="008E319F" w:rsidTr="008E319F">
        <w:tc>
          <w:tcPr>
            <w:tcW w:w="1459" w:type="dxa"/>
            <w:vMerge w:val="restart"/>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Bandwidth </w:t>
            </w: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3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MHz</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865</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580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746</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143</w:t>
            </w:r>
          </w:p>
        </w:tc>
      </w:tr>
      <w:tr w:rsidR="00C05B3B" w:rsidRPr="008E319F" w:rsidTr="008E319F">
        <w:tc>
          <w:tcPr>
            <w:tcW w:w="1459" w:type="dxa"/>
            <w:vMerge/>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overflowPunct/>
              <w:autoSpaceDE/>
              <w:autoSpaceDN/>
              <w:adjustRightInd/>
              <w:spacing w:before="0"/>
              <w:rPr>
                <w:rFonts w:asciiTheme="majorBidi" w:hAnsiTheme="majorBidi" w:cstheme="majorBidi"/>
                <w:sz w:val="22"/>
                <w:szCs w:val="22"/>
                <w:lang w:val="en-US"/>
              </w:rPr>
            </w:pP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20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930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850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1 009</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196</w:t>
            </w:r>
          </w:p>
        </w:tc>
      </w:tr>
      <w:tr w:rsidR="00C05B3B" w:rsidRPr="008E319F" w:rsidTr="008E319F">
        <w:tc>
          <w:tcPr>
            <w:tcW w:w="1459" w:type="dxa"/>
            <w:vMerge/>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overflowPunct/>
              <w:autoSpaceDE/>
              <w:autoSpaceDN/>
              <w:adjustRightInd/>
              <w:spacing w:before="0"/>
              <w:rPr>
                <w:rFonts w:asciiTheme="majorBidi" w:hAnsiTheme="majorBidi" w:cstheme="majorBidi"/>
                <w:sz w:val="22"/>
                <w:szCs w:val="22"/>
                <w:lang w:val="en-US"/>
              </w:rPr>
            </w:pP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60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3 100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3 250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4 270</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1 010</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Harmonic attenuation </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65</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65</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62</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62</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Spurious attenuation </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60</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60</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Modulation</w:t>
            </w:r>
          </w:p>
        </w:tc>
        <w:tc>
          <w:tcPr>
            <w:tcW w:w="1195" w:type="dxa"/>
            <w:tcBorders>
              <w:top w:val="single" w:sz="4" w:space="0" w:color="auto"/>
              <w:left w:val="single" w:sz="4" w:space="0" w:color="auto"/>
              <w:bottom w:val="single" w:sz="4" w:space="0" w:color="auto"/>
              <w:right w:val="single" w:sz="4" w:space="0" w:color="auto"/>
            </w:tcBorders>
          </w:tcPr>
          <w:p w:rsidR="00C05B3B" w:rsidRPr="008E319F" w:rsidRDefault="00C05B3B">
            <w:pPr>
              <w:pStyle w:val="Tabletext"/>
              <w:rPr>
                <w:rFonts w:asciiTheme="majorBidi" w:hAnsiTheme="majorBidi" w:cstheme="majorBidi"/>
                <w:szCs w:val="22"/>
                <w:lang w:val="en-US"/>
              </w:rPr>
            </w:pP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Digital</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Digital</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Digital</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Digital</w:t>
            </w:r>
          </w:p>
        </w:tc>
      </w:tr>
      <w:tr w:rsidR="00C05B3B" w:rsidRPr="008E319F" w:rsidTr="008E319F">
        <w:tc>
          <w:tcPr>
            <w:tcW w:w="14459" w:type="dxa"/>
            <w:gridSpan w:val="7"/>
            <w:tcBorders>
              <w:top w:val="single" w:sz="4" w:space="0" w:color="auto"/>
              <w:left w:val="single" w:sz="4" w:space="0" w:color="auto"/>
              <w:bottom w:val="single" w:sz="4" w:space="0" w:color="auto"/>
              <w:right w:val="single" w:sz="4" w:space="0" w:color="auto"/>
            </w:tcBorders>
            <w:shd w:val="clear" w:color="auto" w:fill="auto"/>
            <w:hideMark/>
          </w:tcPr>
          <w:p w:rsidR="00C05B3B" w:rsidRPr="008E319F" w:rsidRDefault="00C05B3B">
            <w:pPr>
              <w:pStyle w:val="Tabletext"/>
              <w:rPr>
                <w:rFonts w:asciiTheme="majorBidi" w:hAnsiTheme="majorBidi" w:cstheme="majorBidi"/>
                <w:b/>
                <w:bCs/>
                <w:szCs w:val="22"/>
                <w:lang w:val="en-US"/>
              </w:rPr>
            </w:pPr>
            <w:r w:rsidRPr="008E319F">
              <w:rPr>
                <w:rFonts w:asciiTheme="majorBidi" w:hAnsiTheme="majorBidi" w:cstheme="majorBidi"/>
                <w:b/>
                <w:bCs/>
                <w:szCs w:val="22"/>
                <w:lang w:val="en-US"/>
              </w:rPr>
              <w:t>Receiver</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Tuning range</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GHz</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22.9-23.3</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25.75-27.15</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22.55-23.5</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25.25-27.5</w:t>
            </w:r>
          </w:p>
        </w:tc>
      </w:tr>
      <w:tr w:rsidR="00C05B3B" w:rsidRPr="008E319F" w:rsidTr="008E319F">
        <w:tc>
          <w:tcPr>
            <w:tcW w:w="1459" w:type="dxa"/>
            <w:vMerge w:val="restart"/>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RF Selectivity </w:t>
            </w: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3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1 410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2 410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3 299</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3 299</w:t>
            </w:r>
          </w:p>
        </w:tc>
      </w:tr>
      <w:tr w:rsidR="00C05B3B" w:rsidRPr="008E319F" w:rsidTr="008E319F">
        <w:tc>
          <w:tcPr>
            <w:tcW w:w="1459" w:type="dxa"/>
            <w:vMerge/>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overflowPunct/>
              <w:autoSpaceDE/>
              <w:autoSpaceDN/>
              <w:adjustRightInd/>
              <w:spacing w:before="0"/>
              <w:rPr>
                <w:rFonts w:asciiTheme="majorBidi" w:hAnsiTheme="majorBidi" w:cstheme="majorBidi"/>
                <w:sz w:val="22"/>
                <w:szCs w:val="22"/>
                <w:lang w:val="en-US"/>
              </w:rPr>
            </w:pP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20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1 540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2 620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3 510</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3 510</w:t>
            </w:r>
          </w:p>
        </w:tc>
      </w:tr>
      <w:tr w:rsidR="00C05B3B" w:rsidRPr="008E319F" w:rsidTr="008E319F">
        <w:tc>
          <w:tcPr>
            <w:tcW w:w="1459" w:type="dxa"/>
            <w:vMerge/>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overflowPunct/>
              <w:autoSpaceDE/>
              <w:autoSpaceDN/>
              <w:adjustRightInd/>
              <w:spacing w:before="0"/>
              <w:rPr>
                <w:rFonts w:asciiTheme="majorBidi" w:hAnsiTheme="majorBidi" w:cstheme="majorBidi"/>
                <w:sz w:val="22"/>
                <w:szCs w:val="22"/>
                <w:lang w:val="en-US"/>
              </w:rPr>
            </w:pP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60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1 850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3 300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3 940</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3 940</w:t>
            </w:r>
          </w:p>
        </w:tc>
      </w:tr>
      <w:tr w:rsidR="00C05B3B" w:rsidRPr="008E319F" w:rsidTr="008E319F">
        <w:tc>
          <w:tcPr>
            <w:tcW w:w="1459" w:type="dxa"/>
            <w:vMerge w:val="restart"/>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IF Selectivity </w:t>
            </w: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3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652</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 xml:space="preserve"> 957</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 xml:space="preserve"> 226</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 xml:space="preserve"> 854</w:t>
            </w:r>
          </w:p>
        </w:tc>
      </w:tr>
      <w:tr w:rsidR="00C05B3B" w:rsidRPr="008E319F" w:rsidTr="008E319F">
        <w:tc>
          <w:tcPr>
            <w:tcW w:w="1459" w:type="dxa"/>
            <w:vMerge/>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overflowPunct/>
              <w:autoSpaceDE/>
              <w:autoSpaceDN/>
              <w:adjustRightInd/>
              <w:spacing w:before="0"/>
              <w:rPr>
                <w:rFonts w:asciiTheme="majorBidi" w:hAnsiTheme="majorBidi" w:cstheme="majorBidi"/>
                <w:sz w:val="22"/>
                <w:szCs w:val="22"/>
                <w:lang w:val="en-US"/>
              </w:rPr>
            </w:pP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20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971</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 xml:space="preserve"> 1 075</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 xml:space="preserve"> 324</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 xml:space="preserve"> 1 108</w:t>
            </w:r>
          </w:p>
        </w:tc>
      </w:tr>
      <w:tr w:rsidR="00C05B3B" w:rsidRPr="008E319F" w:rsidTr="008E319F">
        <w:tc>
          <w:tcPr>
            <w:tcW w:w="1459" w:type="dxa"/>
            <w:vMerge/>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overflowPunct/>
              <w:autoSpaceDE/>
              <w:autoSpaceDN/>
              <w:adjustRightInd/>
              <w:spacing w:before="0"/>
              <w:rPr>
                <w:rFonts w:asciiTheme="majorBidi" w:hAnsiTheme="majorBidi" w:cstheme="majorBidi"/>
                <w:sz w:val="22"/>
                <w:szCs w:val="22"/>
                <w:lang w:val="en-US"/>
              </w:rPr>
            </w:pPr>
          </w:p>
        </w:tc>
        <w:tc>
          <w:tcPr>
            <w:tcW w:w="8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60 dB</w:t>
            </w:r>
          </w:p>
        </w:tc>
        <w:tc>
          <w:tcPr>
            <w:tcW w:w="1195"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MHz </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3 540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3 540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2 248</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keepNext/>
              <w:keepLines/>
              <w:tabs>
                <w:tab w:val="left" w:leader="dot" w:pos="7938"/>
                <w:tab w:val="center" w:pos="9526"/>
              </w:tabs>
              <w:ind w:left="567" w:hanging="567"/>
              <w:jc w:val="center"/>
              <w:rPr>
                <w:rFonts w:asciiTheme="majorBidi" w:hAnsiTheme="majorBidi" w:cstheme="majorBidi"/>
                <w:szCs w:val="22"/>
                <w:highlight w:val="yellow"/>
                <w:lang w:val="en-US"/>
              </w:rPr>
            </w:pPr>
            <w:r w:rsidRPr="008E319F">
              <w:rPr>
                <w:rFonts w:asciiTheme="majorBidi" w:hAnsiTheme="majorBidi" w:cstheme="majorBidi"/>
                <w:szCs w:val="22"/>
                <w:lang w:val="en-US"/>
              </w:rPr>
              <w:t>4 248</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NF</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4</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4</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3.5</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4.5</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Sensitivity </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dBm</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8E319F">
            <w:pPr>
              <w:pStyle w:val="Tabletext"/>
              <w:jc w:val="center"/>
              <w:rPr>
                <w:rFonts w:asciiTheme="majorBidi" w:hAnsiTheme="majorBidi" w:cstheme="majorBidi"/>
                <w:szCs w:val="22"/>
                <w:lang w:val="en-US"/>
              </w:rPr>
            </w:pPr>
            <w:r>
              <w:rPr>
                <w:rFonts w:asciiTheme="majorBidi" w:hAnsiTheme="majorBidi" w:cstheme="majorBidi"/>
                <w:szCs w:val="22"/>
                <w:lang w:val="en-US"/>
              </w:rPr>
              <w:t>−</w:t>
            </w:r>
            <w:r w:rsidR="00C05B3B" w:rsidRPr="008E319F">
              <w:rPr>
                <w:rFonts w:asciiTheme="majorBidi" w:hAnsiTheme="majorBidi" w:cstheme="majorBidi"/>
                <w:szCs w:val="22"/>
                <w:lang w:val="en-US"/>
              </w:rPr>
              <w:t>80.1</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8E319F">
            <w:pPr>
              <w:pStyle w:val="Tabletext"/>
              <w:jc w:val="center"/>
              <w:rPr>
                <w:rFonts w:asciiTheme="majorBidi" w:hAnsiTheme="majorBidi" w:cstheme="majorBidi"/>
                <w:szCs w:val="22"/>
                <w:lang w:val="en-US"/>
              </w:rPr>
            </w:pPr>
            <w:r>
              <w:rPr>
                <w:rFonts w:asciiTheme="majorBidi" w:hAnsiTheme="majorBidi" w:cstheme="majorBidi"/>
                <w:szCs w:val="22"/>
                <w:lang w:val="en-US"/>
              </w:rPr>
              <w:t>−</w:t>
            </w:r>
            <w:r w:rsidR="00C05B3B" w:rsidRPr="008E319F">
              <w:rPr>
                <w:rFonts w:asciiTheme="majorBidi" w:hAnsiTheme="majorBidi" w:cstheme="majorBidi"/>
                <w:szCs w:val="22"/>
                <w:lang w:val="en-US"/>
              </w:rPr>
              <w:t>79.7</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8E319F">
            <w:pPr>
              <w:pStyle w:val="Tabletext"/>
              <w:jc w:val="center"/>
              <w:rPr>
                <w:rFonts w:asciiTheme="majorBidi" w:hAnsiTheme="majorBidi" w:cstheme="majorBidi"/>
                <w:szCs w:val="22"/>
                <w:lang w:val="en-US"/>
              </w:rPr>
            </w:pPr>
            <w:r>
              <w:rPr>
                <w:rFonts w:asciiTheme="majorBidi" w:hAnsiTheme="majorBidi" w:cstheme="majorBidi"/>
                <w:szCs w:val="22"/>
                <w:lang w:val="en-US"/>
              </w:rPr>
              <w:t>−</w:t>
            </w:r>
            <w:r w:rsidR="00C05B3B" w:rsidRPr="008E319F">
              <w:rPr>
                <w:rFonts w:asciiTheme="majorBidi" w:hAnsiTheme="majorBidi" w:cstheme="majorBidi"/>
                <w:szCs w:val="22"/>
                <w:lang w:val="en-US"/>
              </w:rPr>
              <w:t>85.4</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8E319F">
            <w:pPr>
              <w:pStyle w:val="Tabletext"/>
              <w:jc w:val="center"/>
              <w:rPr>
                <w:rFonts w:asciiTheme="majorBidi" w:hAnsiTheme="majorBidi" w:cstheme="majorBidi"/>
                <w:szCs w:val="22"/>
                <w:lang w:val="en-US"/>
              </w:rPr>
            </w:pPr>
            <w:r>
              <w:rPr>
                <w:rFonts w:asciiTheme="majorBidi" w:hAnsiTheme="majorBidi" w:cstheme="majorBidi"/>
                <w:szCs w:val="22"/>
                <w:lang w:val="en-US"/>
              </w:rPr>
              <w:t>−</w:t>
            </w:r>
            <w:r w:rsidR="00C05B3B" w:rsidRPr="008E319F">
              <w:rPr>
                <w:rFonts w:asciiTheme="majorBidi" w:hAnsiTheme="majorBidi" w:cstheme="majorBidi"/>
                <w:szCs w:val="22"/>
                <w:lang w:val="en-US"/>
              </w:rPr>
              <w:t>79.1</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Image rejection </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80</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80</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vertAlign w:val="superscript"/>
                <w:lang w:val="en-US"/>
              </w:rPr>
            </w:pPr>
            <w:r w:rsidRPr="008E319F">
              <w:rPr>
                <w:rFonts w:asciiTheme="majorBidi" w:hAnsiTheme="majorBidi" w:cstheme="majorBidi"/>
                <w:szCs w:val="22"/>
                <w:lang w:val="en-US"/>
              </w:rPr>
              <w:t>Not Available</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vertAlign w:val="superscript"/>
                <w:lang w:val="en-US"/>
              </w:rPr>
            </w:pPr>
            <w:r w:rsidRPr="008E319F">
              <w:rPr>
                <w:rFonts w:asciiTheme="majorBidi" w:hAnsiTheme="majorBidi" w:cstheme="majorBidi"/>
                <w:szCs w:val="22"/>
                <w:lang w:val="en-US"/>
              </w:rPr>
              <w:t>Not Available</w:t>
            </w:r>
          </w:p>
        </w:tc>
      </w:tr>
      <w:tr w:rsidR="00C05B3B" w:rsidRPr="008E319F" w:rsidTr="008E319F">
        <w:tc>
          <w:tcPr>
            <w:tcW w:w="2356" w:type="dxa"/>
            <w:gridSpan w:val="2"/>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Spurious rejection </w:t>
            </w:r>
          </w:p>
        </w:tc>
        <w:tc>
          <w:tcPr>
            <w:tcW w:w="1195"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65</w:t>
            </w:r>
          </w:p>
        </w:tc>
        <w:tc>
          <w:tcPr>
            <w:tcW w:w="268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65</w:t>
            </w:r>
          </w:p>
        </w:tc>
        <w:tc>
          <w:tcPr>
            <w:tcW w:w="254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75</w:t>
            </w:r>
          </w:p>
        </w:tc>
        <w:tc>
          <w:tcPr>
            <w:tcW w:w="283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75</w:t>
            </w:r>
          </w:p>
        </w:tc>
      </w:tr>
    </w:tbl>
    <w:p w:rsidR="008E319F" w:rsidRPr="00C05B3B" w:rsidRDefault="008E319F" w:rsidP="008E319F">
      <w:pPr>
        <w:pStyle w:val="TableNo"/>
        <w:rPr>
          <w:lang w:val="en-GB"/>
        </w:rPr>
      </w:pPr>
      <w:r w:rsidRPr="00C05B3B">
        <w:rPr>
          <w:lang w:val="en-GB"/>
        </w:rPr>
        <w:t>TABLE 1</w:t>
      </w:r>
      <w:r>
        <w:rPr>
          <w:lang w:val="en-GB"/>
        </w:rPr>
        <w:t xml:space="preserve"> (</w:t>
      </w:r>
      <w:r w:rsidRPr="008E319F">
        <w:rPr>
          <w:i/>
          <w:iCs/>
          <w:lang w:val="en-GB"/>
        </w:rPr>
        <w:t>end</w:t>
      </w:r>
      <w:r>
        <w:rPr>
          <w:lang w:val="en-GB"/>
        </w:rPr>
        <w:t>)</w:t>
      </w:r>
    </w:p>
    <w:tbl>
      <w:tblPr>
        <w:tblStyle w:val="TableGrid"/>
        <w:tblW w:w="14459" w:type="dxa"/>
        <w:jc w:val="center"/>
        <w:tblInd w:w="0" w:type="dxa"/>
        <w:tblLayout w:type="fixed"/>
        <w:tblLook w:val="04A0" w:firstRow="1" w:lastRow="0" w:firstColumn="1" w:lastColumn="0" w:noHBand="0" w:noVBand="1"/>
      </w:tblPr>
      <w:tblGrid>
        <w:gridCol w:w="2207"/>
        <w:gridCol w:w="1121"/>
        <w:gridCol w:w="2803"/>
        <w:gridCol w:w="2709"/>
        <w:gridCol w:w="2522"/>
        <w:gridCol w:w="3097"/>
      </w:tblGrid>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Parameter</w:t>
            </w:r>
          </w:p>
        </w:tc>
        <w:tc>
          <w:tcPr>
            <w:tcW w:w="1121"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Units</w:t>
            </w:r>
          </w:p>
        </w:tc>
        <w:tc>
          <w:tcPr>
            <w:tcW w:w="2803"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 xml:space="preserve">System 1 </w:t>
            </w:r>
            <w:r w:rsidRPr="008E319F">
              <w:rPr>
                <w:rFonts w:asciiTheme="majorBidi" w:hAnsiTheme="majorBidi" w:cstheme="majorBidi"/>
                <w:szCs w:val="22"/>
                <w:lang w:val="en-US"/>
              </w:rPr>
              <w:br/>
              <w:t>Airborne</w:t>
            </w:r>
          </w:p>
        </w:tc>
        <w:tc>
          <w:tcPr>
            <w:tcW w:w="2709"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System 1</w:t>
            </w:r>
            <w:r w:rsidRPr="008E319F">
              <w:rPr>
                <w:rFonts w:asciiTheme="majorBidi" w:hAnsiTheme="majorBidi" w:cstheme="majorBidi"/>
                <w:szCs w:val="22"/>
                <w:lang w:val="en-US"/>
              </w:rPr>
              <w:br/>
              <w:t>Ground</w:t>
            </w:r>
          </w:p>
        </w:tc>
        <w:tc>
          <w:tcPr>
            <w:tcW w:w="2522"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 xml:space="preserve">System 2 </w:t>
            </w:r>
            <w:r w:rsidRPr="008E319F">
              <w:rPr>
                <w:rFonts w:asciiTheme="majorBidi" w:hAnsiTheme="majorBidi" w:cstheme="majorBidi"/>
                <w:szCs w:val="22"/>
                <w:lang w:val="en-US"/>
              </w:rPr>
              <w:br/>
              <w:t>Airborne</w:t>
            </w:r>
          </w:p>
        </w:tc>
        <w:tc>
          <w:tcPr>
            <w:tcW w:w="309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head"/>
              <w:rPr>
                <w:rFonts w:asciiTheme="majorBidi" w:hAnsiTheme="majorBidi" w:cstheme="majorBidi"/>
                <w:szCs w:val="22"/>
                <w:lang w:val="en-US"/>
              </w:rPr>
            </w:pPr>
            <w:r w:rsidRPr="008E319F">
              <w:rPr>
                <w:rFonts w:asciiTheme="majorBidi" w:hAnsiTheme="majorBidi" w:cstheme="majorBidi"/>
                <w:szCs w:val="22"/>
                <w:lang w:val="en-US"/>
              </w:rPr>
              <w:t xml:space="preserve">System 2 </w:t>
            </w:r>
            <w:r w:rsidRPr="008E319F">
              <w:rPr>
                <w:rFonts w:asciiTheme="majorBidi" w:hAnsiTheme="majorBidi" w:cstheme="majorBidi"/>
                <w:szCs w:val="22"/>
                <w:lang w:val="en-US"/>
              </w:rPr>
              <w:br/>
              <w:t>Ground</w:t>
            </w:r>
          </w:p>
        </w:tc>
      </w:tr>
      <w:tr w:rsidR="00C05B3B" w:rsidRPr="00921E45" w:rsidTr="00921E45">
        <w:trPr>
          <w:jc w:val="center"/>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hideMark/>
          </w:tcPr>
          <w:p w:rsidR="00C05B3B" w:rsidRPr="00921E45" w:rsidRDefault="00C05B3B">
            <w:pPr>
              <w:pStyle w:val="Tabletext"/>
              <w:rPr>
                <w:rFonts w:asciiTheme="majorBidi" w:hAnsiTheme="majorBidi" w:cstheme="majorBidi"/>
                <w:b/>
                <w:bCs/>
                <w:szCs w:val="22"/>
                <w:lang w:val="en-US"/>
              </w:rPr>
            </w:pPr>
            <w:r w:rsidRPr="00921E45">
              <w:rPr>
                <w:rFonts w:asciiTheme="majorBidi" w:hAnsiTheme="majorBidi" w:cstheme="majorBidi"/>
                <w:b/>
                <w:bCs/>
                <w:szCs w:val="22"/>
                <w:lang w:val="en-US"/>
              </w:rPr>
              <w:t>Antenna</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Antenna gain </w:t>
            </w:r>
          </w:p>
        </w:tc>
        <w:tc>
          <w:tcPr>
            <w:tcW w:w="1121"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dBi</w:t>
            </w: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33</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rsidP="008E319F">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36-46 </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33 </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rsidP="008E319F">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 xml:space="preserve">33-46 </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1</w:t>
            </w:r>
            <w:r w:rsidRPr="008E319F">
              <w:rPr>
                <w:rFonts w:asciiTheme="majorBidi" w:hAnsiTheme="majorBidi" w:cstheme="majorBidi"/>
                <w:szCs w:val="22"/>
                <w:vertAlign w:val="superscript"/>
                <w:lang w:val="en-US"/>
              </w:rPr>
              <w:t>st</w:t>
            </w:r>
            <w:r w:rsidRPr="008E319F">
              <w:rPr>
                <w:rFonts w:asciiTheme="majorBidi" w:hAnsiTheme="majorBidi" w:cstheme="majorBidi"/>
                <w:szCs w:val="22"/>
                <w:lang w:val="en-US"/>
              </w:rPr>
              <w:t xml:space="preserve"> sidelobe</w:t>
            </w:r>
          </w:p>
        </w:tc>
        <w:tc>
          <w:tcPr>
            <w:tcW w:w="1121"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dBi</w:t>
            </w: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17</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18</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16</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16</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Polarization</w:t>
            </w:r>
          </w:p>
        </w:tc>
        <w:tc>
          <w:tcPr>
            <w:tcW w:w="1121" w:type="dxa"/>
            <w:tcBorders>
              <w:top w:val="single" w:sz="4" w:space="0" w:color="auto"/>
              <w:left w:val="single" w:sz="4" w:space="0" w:color="auto"/>
              <w:bottom w:val="single" w:sz="4" w:space="0" w:color="auto"/>
              <w:right w:val="single" w:sz="4" w:space="0" w:color="auto"/>
            </w:tcBorders>
          </w:tcPr>
          <w:p w:rsidR="00C05B3B" w:rsidRPr="008E319F" w:rsidRDefault="00C05B3B">
            <w:pPr>
              <w:pStyle w:val="Tabletext"/>
              <w:rPr>
                <w:rFonts w:asciiTheme="majorBidi" w:hAnsiTheme="majorBidi" w:cstheme="majorBidi"/>
                <w:szCs w:val="22"/>
                <w:lang w:val="en-US"/>
              </w:rPr>
            </w:pP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vertAlign w:val="superscript"/>
                <w:lang w:val="en-US"/>
              </w:rPr>
            </w:pPr>
            <w:r w:rsidRPr="008E319F">
              <w:rPr>
                <w:rFonts w:asciiTheme="majorBidi" w:hAnsiTheme="majorBidi" w:cstheme="majorBidi"/>
                <w:szCs w:val="22"/>
                <w:lang w:val="en-US"/>
              </w:rPr>
              <w:t>RHCP</w:t>
            </w:r>
            <w:r w:rsidRPr="008E319F">
              <w:rPr>
                <w:rFonts w:asciiTheme="majorBidi" w:hAnsiTheme="majorBidi" w:cstheme="majorBidi"/>
                <w:szCs w:val="22"/>
                <w:vertAlign w:val="superscript"/>
                <w:lang w:val="en-US"/>
              </w:rPr>
              <w:t>(2)</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RHCP</w:t>
            </w:r>
            <w:r w:rsidRPr="008E319F">
              <w:rPr>
                <w:rFonts w:asciiTheme="majorBidi" w:hAnsiTheme="majorBidi" w:cstheme="majorBidi"/>
                <w:szCs w:val="22"/>
                <w:vertAlign w:val="superscript"/>
                <w:lang w:val="en-US"/>
              </w:rPr>
              <w:t>(2)</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RHCP</w:t>
            </w:r>
            <w:r w:rsidRPr="008E319F">
              <w:rPr>
                <w:rFonts w:asciiTheme="majorBidi" w:hAnsiTheme="majorBidi" w:cstheme="majorBidi"/>
                <w:szCs w:val="22"/>
                <w:vertAlign w:val="superscript"/>
                <w:lang w:val="en-US"/>
              </w:rPr>
              <w:t>(2)</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RHCP</w:t>
            </w:r>
            <w:r w:rsidRPr="008E319F">
              <w:rPr>
                <w:rFonts w:asciiTheme="majorBidi" w:hAnsiTheme="majorBidi" w:cstheme="majorBidi"/>
                <w:szCs w:val="22"/>
                <w:vertAlign w:val="superscript"/>
                <w:lang w:val="en-US"/>
              </w:rPr>
              <w:t>(2)</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spacing w:before="20" w:after="0"/>
              <w:rPr>
                <w:rFonts w:asciiTheme="majorBidi" w:hAnsiTheme="majorBidi" w:cstheme="majorBidi"/>
                <w:szCs w:val="22"/>
                <w:lang w:val="en-US"/>
              </w:rPr>
            </w:pPr>
            <w:r w:rsidRPr="008E319F">
              <w:rPr>
                <w:rFonts w:asciiTheme="majorBidi" w:hAnsiTheme="majorBidi" w:cstheme="majorBidi"/>
                <w:szCs w:val="22"/>
                <w:lang w:val="en-US"/>
              </w:rPr>
              <w:t>Antenna pattern/Type</w:t>
            </w:r>
          </w:p>
        </w:tc>
        <w:tc>
          <w:tcPr>
            <w:tcW w:w="1121" w:type="dxa"/>
            <w:tcBorders>
              <w:top w:val="single" w:sz="4" w:space="0" w:color="auto"/>
              <w:left w:val="single" w:sz="4" w:space="0" w:color="auto"/>
              <w:bottom w:val="single" w:sz="4" w:space="0" w:color="auto"/>
              <w:right w:val="single" w:sz="4" w:space="0" w:color="auto"/>
            </w:tcBorders>
          </w:tcPr>
          <w:p w:rsidR="00C05B3B" w:rsidRPr="008E319F" w:rsidRDefault="00C05B3B">
            <w:pPr>
              <w:pStyle w:val="Tabletext"/>
              <w:spacing w:before="20" w:after="0"/>
              <w:rPr>
                <w:rFonts w:asciiTheme="majorBidi" w:hAnsiTheme="majorBidi" w:cstheme="majorBidi"/>
                <w:szCs w:val="22"/>
                <w:lang w:val="en-US"/>
              </w:rPr>
            </w:pP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Parabolic reflector</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Parabolic reflector</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Parabolic reflector</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Parabolic reflector</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Horizontal BW </w:t>
            </w:r>
          </w:p>
        </w:tc>
        <w:tc>
          <w:tcPr>
            <w:tcW w:w="1121"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degrees</w:t>
            </w: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3.0</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2.7</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7.2</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7.2</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rPr>
                <w:rFonts w:asciiTheme="majorBidi" w:hAnsiTheme="majorBidi" w:cstheme="majorBidi"/>
                <w:szCs w:val="22"/>
                <w:lang w:val="en-US"/>
              </w:rPr>
            </w:pPr>
            <w:r w:rsidRPr="008E319F">
              <w:rPr>
                <w:rFonts w:asciiTheme="majorBidi" w:hAnsiTheme="majorBidi" w:cstheme="majorBidi"/>
                <w:szCs w:val="22"/>
                <w:lang w:val="en-US"/>
              </w:rPr>
              <w:t xml:space="preserve">Vertical BW </w:t>
            </w:r>
          </w:p>
        </w:tc>
        <w:tc>
          <w:tcPr>
            <w:tcW w:w="1121"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degrees</w:t>
            </w: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3.0</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2.7</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7.2</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7.2</w:t>
            </w:r>
          </w:p>
        </w:tc>
      </w:tr>
      <w:tr w:rsidR="00C05B3B" w:rsidRPr="008E319F" w:rsidTr="008E319F">
        <w:trPr>
          <w:jc w:val="center"/>
        </w:trPr>
        <w:tc>
          <w:tcPr>
            <w:tcW w:w="2207" w:type="dxa"/>
            <w:tcBorders>
              <w:top w:val="single" w:sz="4" w:space="0" w:color="auto"/>
              <w:left w:val="single" w:sz="4" w:space="0" w:color="auto"/>
              <w:bottom w:val="single" w:sz="4" w:space="0" w:color="auto"/>
              <w:right w:val="single" w:sz="4" w:space="0" w:color="auto"/>
            </w:tcBorders>
            <w:hideMark/>
          </w:tcPr>
          <w:p w:rsidR="00C05B3B" w:rsidRPr="008E319F" w:rsidRDefault="00C05B3B">
            <w:pPr>
              <w:pStyle w:val="Tabletext"/>
              <w:spacing w:before="20" w:after="0"/>
              <w:rPr>
                <w:rFonts w:asciiTheme="majorBidi" w:hAnsiTheme="majorBidi" w:cstheme="majorBidi"/>
                <w:szCs w:val="22"/>
                <w:lang w:val="en-US"/>
              </w:rPr>
            </w:pPr>
            <w:r w:rsidRPr="008E319F">
              <w:rPr>
                <w:rFonts w:asciiTheme="majorBidi" w:hAnsiTheme="majorBidi" w:cstheme="majorBidi"/>
                <w:szCs w:val="22"/>
                <w:lang w:val="en-US"/>
              </w:rPr>
              <w:t>Antenna model</w:t>
            </w:r>
          </w:p>
        </w:tc>
        <w:tc>
          <w:tcPr>
            <w:tcW w:w="1121" w:type="dxa"/>
            <w:tcBorders>
              <w:top w:val="single" w:sz="4" w:space="0" w:color="auto"/>
              <w:left w:val="single" w:sz="4" w:space="0" w:color="auto"/>
              <w:bottom w:val="single" w:sz="4" w:space="0" w:color="auto"/>
              <w:right w:val="single" w:sz="4" w:space="0" w:color="auto"/>
            </w:tcBorders>
          </w:tcPr>
          <w:p w:rsidR="00C05B3B" w:rsidRPr="008E319F" w:rsidRDefault="00C05B3B">
            <w:pPr>
              <w:pStyle w:val="Tabletext"/>
              <w:spacing w:before="20" w:after="0"/>
              <w:rPr>
                <w:rFonts w:asciiTheme="majorBidi" w:hAnsiTheme="majorBidi" w:cstheme="majorBidi"/>
                <w:szCs w:val="22"/>
                <w:lang w:val="en-US"/>
              </w:rPr>
            </w:pPr>
          </w:p>
        </w:tc>
        <w:tc>
          <w:tcPr>
            <w:tcW w:w="2803"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Recommendation</w:t>
            </w:r>
            <w:r w:rsidRPr="008E319F">
              <w:rPr>
                <w:rFonts w:asciiTheme="majorBidi" w:hAnsiTheme="majorBidi" w:cstheme="majorBidi"/>
                <w:szCs w:val="22"/>
                <w:lang w:val="en-US"/>
              </w:rPr>
              <w:br/>
            </w:r>
            <w:r w:rsidRPr="008E319F">
              <w:rPr>
                <w:rFonts w:asciiTheme="majorBidi" w:hAnsiTheme="majorBidi" w:cstheme="majorBidi"/>
                <w:szCs w:val="22"/>
                <w:lang w:val="en-US"/>
              </w:rPr>
              <w:t>ITU-R M.1851</w:t>
            </w:r>
            <w:r w:rsidRPr="008E319F">
              <w:rPr>
                <w:rFonts w:asciiTheme="majorBidi" w:hAnsiTheme="majorBidi" w:cstheme="majorBidi"/>
                <w:szCs w:val="22"/>
                <w:vertAlign w:val="superscript"/>
                <w:lang w:val="en-US"/>
              </w:rPr>
              <w:t>(3)</w:t>
            </w:r>
            <w:r w:rsidRPr="008E319F">
              <w:rPr>
                <w:rFonts w:asciiTheme="majorBidi" w:hAnsiTheme="majorBidi" w:cstheme="majorBidi"/>
                <w:szCs w:val="22"/>
                <w:lang w:val="en-US"/>
              </w:rPr>
              <w:t xml:space="preserve">  </w:t>
            </w:r>
            <w:r w:rsidRPr="008E319F">
              <w:rPr>
                <w:rFonts w:asciiTheme="majorBidi" w:hAnsiTheme="majorBidi" w:cstheme="majorBidi"/>
                <w:szCs w:val="22"/>
                <w:lang w:val="en-US"/>
              </w:rPr>
              <w:br/>
              <w:t>(uniform distribution)</w:t>
            </w:r>
          </w:p>
        </w:tc>
        <w:tc>
          <w:tcPr>
            <w:tcW w:w="2709"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Recommendation</w:t>
            </w:r>
            <w:r w:rsidRPr="008E319F">
              <w:rPr>
                <w:rFonts w:asciiTheme="majorBidi" w:hAnsiTheme="majorBidi" w:cstheme="majorBidi"/>
                <w:szCs w:val="22"/>
                <w:lang w:val="en-US"/>
              </w:rPr>
              <w:br/>
            </w:r>
            <w:r w:rsidRPr="008E319F">
              <w:rPr>
                <w:rFonts w:asciiTheme="majorBidi" w:hAnsiTheme="majorBidi" w:cstheme="majorBidi"/>
                <w:szCs w:val="22"/>
                <w:lang w:val="en-US"/>
              </w:rPr>
              <w:t>ITU-R M.1851</w:t>
            </w:r>
            <w:r w:rsidRPr="008E319F">
              <w:rPr>
                <w:rFonts w:asciiTheme="majorBidi" w:hAnsiTheme="majorBidi" w:cstheme="majorBidi"/>
                <w:szCs w:val="22"/>
                <w:vertAlign w:val="superscript"/>
                <w:lang w:val="en-US"/>
              </w:rPr>
              <w:t>(3)</w:t>
            </w:r>
            <w:r w:rsidRPr="008E319F">
              <w:rPr>
                <w:rFonts w:asciiTheme="majorBidi" w:hAnsiTheme="majorBidi" w:cstheme="majorBidi"/>
                <w:szCs w:val="22"/>
                <w:lang w:val="en-US"/>
              </w:rPr>
              <w:br/>
              <w:t>(uniform distribution)</w:t>
            </w:r>
          </w:p>
        </w:tc>
        <w:tc>
          <w:tcPr>
            <w:tcW w:w="2522"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Recommendation</w:t>
            </w:r>
            <w:r w:rsidRPr="008E319F">
              <w:rPr>
                <w:rFonts w:asciiTheme="majorBidi" w:hAnsiTheme="majorBidi" w:cstheme="majorBidi"/>
                <w:szCs w:val="22"/>
                <w:lang w:val="en-US"/>
              </w:rPr>
              <w:br/>
            </w:r>
            <w:r w:rsidRPr="008E319F">
              <w:rPr>
                <w:rFonts w:asciiTheme="majorBidi" w:hAnsiTheme="majorBidi" w:cstheme="majorBidi"/>
                <w:szCs w:val="22"/>
                <w:lang w:val="en-US"/>
              </w:rPr>
              <w:t>ITU-R M.1851</w:t>
            </w:r>
            <w:r w:rsidRPr="008E319F">
              <w:rPr>
                <w:rFonts w:asciiTheme="majorBidi" w:hAnsiTheme="majorBidi" w:cstheme="majorBidi"/>
                <w:szCs w:val="22"/>
                <w:vertAlign w:val="superscript"/>
                <w:lang w:val="en-US"/>
              </w:rPr>
              <w:t>(3)</w:t>
            </w:r>
            <w:r w:rsidRPr="008E319F">
              <w:rPr>
                <w:rFonts w:asciiTheme="majorBidi" w:hAnsiTheme="majorBidi" w:cstheme="majorBidi"/>
                <w:szCs w:val="22"/>
                <w:lang w:val="en-US"/>
              </w:rPr>
              <w:t xml:space="preserve"> </w:t>
            </w:r>
            <w:r w:rsidRPr="008E319F">
              <w:rPr>
                <w:rFonts w:asciiTheme="majorBidi" w:hAnsiTheme="majorBidi" w:cstheme="majorBidi"/>
                <w:szCs w:val="22"/>
                <w:lang w:val="en-US"/>
              </w:rPr>
              <w:br/>
              <w:t>(uniform distribution)</w:t>
            </w:r>
          </w:p>
        </w:tc>
        <w:tc>
          <w:tcPr>
            <w:tcW w:w="3097" w:type="dxa"/>
            <w:tcBorders>
              <w:top w:val="single" w:sz="4" w:space="0" w:color="auto"/>
              <w:left w:val="single" w:sz="4" w:space="0" w:color="auto"/>
              <w:bottom w:val="single" w:sz="4" w:space="0" w:color="auto"/>
              <w:right w:val="single" w:sz="4" w:space="0" w:color="auto"/>
            </w:tcBorders>
            <w:vAlign w:val="center"/>
            <w:hideMark/>
          </w:tcPr>
          <w:p w:rsidR="00C05B3B" w:rsidRPr="008E319F" w:rsidRDefault="00C05B3B">
            <w:pPr>
              <w:pStyle w:val="Tabletext"/>
              <w:jc w:val="center"/>
              <w:rPr>
                <w:rFonts w:asciiTheme="majorBidi" w:hAnsiTheme="majorBidi" w:cstheme="majorBidi"/>
                <w:szCs w:val="22"/>
                <w:lang w:val="en-US"/>
              </w:rPr>
            </w:pPr>
            <w:r w:rsidRPr="008E319F">
              <w:rPr>
                <w:rFonts w:asciiTheme="majorBidi" w:hAnsiTheme="majorBidi" w:cstheme="majorBidi"/>
                <w:szCs w:val="22"/>
                <w:lang w:val="en-US"/>
              </w:rPr>
              <w:t>Recommendation</w:t>
            </w:r>
            <w:r w:rsidRPr="008E319F">
              <w:rPr>
                <w:rFonts w:asciiTheme="majorBidi" w:hAnsiTheme="majorBidi" w:cstheme="majorBidi"/>
                <w:szCs w:val="22"/>
                <w:lang w:val="en-US"/>
              </w:rPr>
              <w:br/>
            </w:r>
            <w:r w:rsidRPr="008E319F">
              <w:rPr>
                <w:rFonts w:asciiTheme="majorBidi" w:hAnsiTheme="majorBidi" w:cstheme="majorBidi"/>
                <w:szCs w:val="22"/>
                <w:lang w:val="en-US"/>
              </w:rPr>
              <w:t>ITU-R M.1851</w:t>
            </w:r>
            <w:r w:rsidRPr="008E319F">
              <w:rPr>
                <w:rFonts w:asciiTheme="majorBidi" w:hAnsiTheme="majorBidi" w:cstheme="majorBidi"/>
                <w:szCs w:val="22"/>
                <w:vertAlign w:val="superscript"/>
                <w:lang w:val="en-US"/>
              </w:rPr>
              <w:t>(3)</w:t>
            </w:r>
            <w:r w:rsidRPr="008E319F">
              <w:rPr>
                <w:rFonts w:asciiTheme="majorBidi" w:hAnsiTheme="majorBidi" w:cstheme="majorBidi"/>
                <w:szCs w:val="22"/>
                <w:lang w:val="en-US"/>
              </w:rPr>
              <w:t xml:space="preserve"> </w:t>
            </w:r>
            <w:r w:rsidRPr="008E319F">
              <w:rPr>
                <w:rFonts w:asciiTheme="majorBidi" w:hAnsiTheme="majorBidi" w:cstheme="majorBidi"/>
                <w:szCs w:val="22"/>
                <w:lang w:val="en-US"/>
              </w:rPr>
              <w:br/>
              <w:t>(uniform distribution)</w:t>
            </w:r>
          </w:p>
        </w:tc>
      </w:tr>
      <w:tr w:rsidR="00C05B3B" w:rsidRPr="008E319F" w:rsidTr="008E319F">
        <w:trPr>
          <w:jc w:val="center"/>
        </w:trPr>
        <w:tc>
          <w:tcPr>
            <w:tcW w:w="14459" w:type="dxa"/>
            <w:gridSpan w:val="6"/>
            <w:tcBorders>
              <w:top w:val="single" w:sz="4" w:space="0" w:color="auto"/>
              <w:left w:val="nil"/>
              <w:bottom w:val="nil"/>
              <w:right w:val="nil"/>
            </w:tcBorders>
            <w:hideMark/>
          </w:tcPr>
          <w:p w:rsidR="00C05B3B" w:rsidRPr="006A7E15" w:rsidRDefault="00C05B3B" w:rsidP="006A7E15">
            <w:pPr>
              <w:pStyle w:val="Tabletext"/>
              <w:ind w:left="284" w:hanging="284"/>
              <w:rPr>
                <w:rFonts w:asciiTheme="majorBidi" w:hAnsiTheme="majorBidi" w:cstheme="majorBidi"/>
                <w:lang w:val="en-US"/>
              </w:rPr>
            </w:pPr>
            <w:r w:rsidRPr="006A7E15">
              <w:rPr>
                <w:rFonts w:asciiTheme="majorBidi" w:hAnsiTheme="majorBidi" w:cstheme="majorBidi"/>
                <w:lang w:val="en-US"/>
              </w:rPr>
              <w:t>Notes:</w:t>
            </w:r>
          </w:p>
          <w:p w:rsidR="00C05B3B" w:rsidRPr="006A7E15" w:rsidRDefault="00C05B3B" w:rsidP="006A7E15">
            <w:pPr>
              <w:pStyle w:val="Tabletext"/>
              <w:ind w:left="284" w:hanging="284"/>
              <w:rPr>
                <w:rFonts w:asciiTheme="majorBidi" w:hAnsiTheme="majorBidi" w:cstheme="majorBidi"/>
                <w:lang w:val="en-US"/>
              </w:rPr>
            </w:pPr>
            <w:r w:rsidRPr="006A7E15">
              <w:rPr>
                <w:rFonts w:asciiTheme="majorBidi" w:hAnsiTheme="majorBidi" w:cstheme="majorBidi"/>
                <w:vertAlign w:val="superscript"/>
                <w:lang w:val="en-US"/>
              </w:rPr>
              <w:t>(1)</w:t>
            </w:r>
            <w:r w:rsidRPr="006A7E15">
              <w:rPr>
                <w:rFonts w:asciiTheme="majorBidi" w:hAnsiTheme="majorBidi" w:cstheme="majorBidi"/>
                <w:lang w:val="en-US"/>
              </w:rPr>
              <w:tab/>
              <w:t xml:space="preserve">In the frequency range 25.25-27.5 GHz, RR No. </w:t>
            </w:r>
            <w:r w:rsidRPr="006A7E15">
              <w:rPr>
                <w:rFonts w:asciiTheme="majorBidi" w:hAnsiTheme="majorBidi" w:cstheme="majorBidi"/>
                <w:b/>
                <w:bCs/>
                <w:lang w:val="en-US"/>
              </w:rPr>
              <w:t>21</w:t>
            </w:r>
            <w:r w:rsidRPr="006A7E15">
              <w:rPr>
                <w:rFonts w:asciiTheme="majorBidi" w:hAnsiTheme="majorBidi" w:cstheme="majorBidi"/>
                <w:lang w:val="en-US"/>
              </w:rPr>
              <w:t xml:space="preserve"> (§</w:t>
            </w:r>
            <w:r w:rsidR="006A7E15">
              <w:rPr>
                <w:rFonts w:asciiTheme="majorBidi" w:hAnsiTheme="majorBidi" w:cstheme="majorBidi"/>
                <w:lang w:val="en-US"/>
              </w:rPr>
              <w:t> </w:t>
            </w:r>
            <w:r w:rsidRPr="006A7E15">
              <w:rPr>
                <w:rFonts w:asciiTheme="majorBidi" w:hAnsiTheme="majorBidi" w:cstheme="majorBidi"/>
                <w:b/>
                <w:lang w:val="en-US"/>
              </w:rPr>
              <w:t>21.2</w:t>
            </w:r>
            <w:r w:rsidRPr="006A7E15">
              <w:rPr>
                <w:rFonts w:asciiTheme="majorBidi" w:hAnsiTheme="majorBidi" w:cstheme="majorBidi"/>
                <w:lang w:val="en-US"/>
              </w:rPr>
              <w:t xml:space="preserve"> and </w:t>
            </w:r>
            <w:r w:rsidRPr="006A7E15">
              <w:rPr>
                <w:rFonts w:asciiTheme="majorBidi" w:hAnsiTheme="majorBidi" w:cstheme="majorBidi"/>
                <w:b/>
                <w:lang w:val="en-US"/>
              </w:rPr>
              <w:t>21.5</w:t>
            </w:r>
            <w:r w:rsidRPr="006A7E15">
              <w:rPr>
                <w:rFonts w:asciiTheme="majorBidi" w:hAnsiTheme="majorBidi" w:cstheme="majorBidi"/>
                <w:lang w:val="en-US"/>
              </w:rPr>
              <w:t>) apply.</w:t>
            </w:r>
          </w:p>
          <w:p w:rsidR="00C05B3B" w:rsidRPr="006A7E15" w:rsidRDefault="00C05B3B" w:rsidP="006A7E15">
            <w:pPr>
              <w:pStyle w:val="Tabletext"/>
              <w:ind w:left="284" w:hanging="284"/>
              <w:rPr>
                <w:rFonts w:asciiTheme="majorBidi" w:hAnsiTheme="majorBidi" w:cstheme="majorBidi"/>
                <w:lang w:val="en-US"/>
              </w:rPr>
            </w:pPr>
            <w:r w:rsidRPr="006A7E15">
              <w:rPr>
                <w:rFonts w:asciiTheme="majorBidi" w:hAnsiTheme="majorBidi" w:cstheme="majorBidi"/>
                <w:vertAlign w:val="superscript"/>
                <w:lang w:val="en-US"/>
              </w:rPr>
              <w:t>(2)</w:t>
            </w:r>
            <w:r w:rsidRPr="006A7E15">
              <w:rPr>
                <w:rFonts w:asciiTheme="majorBidi" w:hAnsiTheme="majorBidi" w:cstheme="majorBidi"/>
                <w:lang w:val="en-US"/>
              </w:rPr>
              <w:tab/>
              <w:t>RHCP – Right Hand Circularly Polarized.</w:t>
            </w:r>
          </w:p>
          <w:p w:rsidR="00C05B3B" w:rsidRPr="008E319F" w:rsidRDefault="00C05B3B" w:rsidP="006A7E15">
            <w:pPr>
              <w:pStyle w:val="Tabletext"/>
              <w:ind w:left="284" w:hanging="284"/>
              <w:rPr>
                <w:lang w:val="en-US"/>
              </w:rPr>
            </w:pPr>
            <w:r w:rsidRPr="006A7E15">
              <w:rPr>
                <w:rFonts w:asciiTheme="majorBidi" w:hAnsiTheme="majorBidi" w:cstheme="majorBidi"/>
                <w:vertAlign w:val="superscript"/>
                <w:lang w:val="en-US"/>
              </w:rPr>
              <w:t>(3)</w:t>
            </w:r>
            <w:r w:rsidRPr="006A7E15">
              <w:rPr>
                <w:rFonts w:asciiTheme="majorBidi" w:hAnsiTheme="majorBidi" w:cstheme="majorBidi"/>
                <w:lang w:val="en-US"/>
              </w:rPr>
              <w:tab/>
              <w:t xml:space="preserve">Recommendation </w:t>
            </w:r>
            <w:r w:rsidRPr="006A7E15">
              <w:rPr>
                <w:rFonts w:asciiTheme="majorBidi" w:hAnsiTheme="majorBidi" w:cstheme="majorBidi"/>
                <w:szCs w:val="22"/>
                <w:lang w:val="en-US"/>
              </w:rPr>
              <w:t>ITU-R M.1851</w:t>
            </w:r>
            <w:r w:rsidRPr="006A7E15">
              <w:rPr>
                <w:rFonts w:asciiTheme="majorBidi" w:hAnsiTheme="majorBidi" w:cstheme="majorBidi"/>
                <w:lang w:val="en-US"/>
              </w:rPr>
              <w:t xml:space="preserve"> provides several patterns based on the field distribution across the aperture of the antenna. The suggested distribution for modelling the antennas is shown in the parenthetical text based on guidance in Recommendation </w:t>
            </w:r>
            <w:r w:rsidRPr="006A7E15">
              <w:rPr>
                <w:rFonts w:asciiTheme="majorBidi" w:hAnsiTheme="majorBidi" w:cstheme="majorBidi"/>
                <w:szCs w:val="22"/>
                <w:lang w:val="en-US"/>
              </w:rPr>
              <w:t>ITU-R M.1851</w:t>
            </w:r>
            <w:r w:rsidRPr="008E319F">
              <w:rPr>
                <w:lang w:val="en-US"/>
              </w:rPr>
              <w:t>.</w:t>
            </w:r>
          </w:p>
        </w:tc>
      </w:tr>
    </w:tbl>
    <w:p w:rsidR="00C05B3B" w:rsidRDefault="00C05B3B" w:rsidP="006A7E15">
      <w:pPr>
        <w:pStyle w:val="Tablefin"/>
      </w:pPr>
    </w:p>
    <w:p w:rsidR="006A7E15" w:rsidRPr="006A7E15" w:rsidRDefault="006A7E15" w:rsidP="006A7E15">
      <w:pPr>
        <w:rPr>
          <w:lang w:val="en-GB"/>
        </w:rPr>
      </w:pPr>
    </w:p>
    <w:p w:rsidR="00A6617B" w:rsidRPr="00C05B3B" w:rsidRDefault="006A7E15" w:rsidP="006A7E15">
      <w:pPr>
        <w:jc w:val="center"/>
      </w:pPr>
      <w:r>
        <w:t>______________</w:t>
      </w:r>
    </w:p>
    <w:sectPr w:rsidR="00A6617B" w:rsidRPr="00C05B3B" w:rsidSect="008E319F">
      <w:headerReference w:type="even" r:id="rId13"/>
      <w:headerReference w:type="default" r:id="rId1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EB3" w:rsidRDefault="009F0EB3">
      <w:r>
        <w:separator/>
      </w:r>
    </w:p>
  </w:endnote>
  <w:endnote w:type="continuationSeparator" w:id="0">
    <w:p w:rsidR="009F0EB3" w:rsidRDefault="009F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EB3" w:rsidRDefault="009F0EB3">
      <w:r>
        <w:separator/>
      </w:r>
    </w:p>
  </w:footnote>
  <w:footnote w:type="continuationSeparator" w:id="0">
    <w:p w:rsidR="009F0EB3" w:rsidRDefault="009F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B3" w:rsidRDefault="009F0EB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B3" w:rsidRDefault="009F0EB3" w:rsidP="00B033C8">
    <w:pPr>
      <w:ind w:right="360" w:firstLine="360"/>
    </w:pPr>
    <w:r>
      <w:rPr>
        <w:noProof/>
        <w:lang w:val="en-GB" w:eastAsia="en-GB"/>
      </w:rPr>
      <w:drawing>
        <wp:anchor distT="0" distB="0" distL="114300" distR="114300" simplePos="0" relativeHeight="251659264" behindDoc="1" locked="0" layoutInCell="1" allowOverlap="1" wp14:anchorId="45E8FC3F" wp14:editId="1621CDF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B3" w:rsidRPr="00FC42AF" w:rsidRDefault="009F0EB3" w:rsidP="007913D0">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A66137" w:rsidRPr="00A6613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66137">
      <w:rPr>
        <w:b/>
        <w:bCs/>
        <w:noProof/>
      </w:rPr>
      <w:t>ITU-R  M.2114-0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B3" w:rsidRPr="00FC42AF" w:rsidRDefault="009F0EB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66137">
      <w:rPr>
        <w:rStyle w:val="PageNumber"/>
        <w:b/>
        <w:bCs/>
        <w:noProof/>
      </w:rPr>
      <w:t>ii</w:t>
    </w:r>
    <w:r>
      <w:rPr>
        <w:rStyle w:val="PageNumber"/>
        <w:b/>
        <w:bCs/>
      </w:rPr>
      <w:fldChar w:fldCharType="end"/>
    </w:r>
    <w:r w:rsidRPr="00FC42AF">
      <w:tab/>
    </w:r>
    <w:r>
      <w:fldChar w:fldCharType="begin"/>
    </w:r>
    <w:r>
      <w:instrText xml:space="preserve"> DOCPROPERTY "Header" \* MERGEFORMAT </w:instrText>
    </w:r>
    <w:r>
      <w:fldChar w:fldCharType="separate"/>
    </w:r>
    <w:r w:rsidR="00A66137" w:rsidRPr="00A6613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66137">
      <w:rPr>
        <w:b/>
        <w:bCs/>
        <w:noProof/>
      </w:rPr>
      <w:t>ITU-R  M.2114-0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B3" w:rsidRPr="00F9385F" w:rsidRDefault="00F9385F" w:rsidP="00F9385F">
    <w:pPr>
      <w:tabs>
        <w:tab w:val="clear" w:pos="794"/>
        <w:tab w:val="clear" w:pos="1191"/>
        <w:tab w:val="clear" w:pos="1588"/>
        <w:tab w:val="clear" w:pos="1985"/>
        <w:tab w:val="center" w:pos="4848"/>
        <w:tab w:val="center" w:pos="9696"/>
      </w:tabs>
      <w:jc w:val="left"/>
    </w:pPr>
    <w:r w:rsidRPr="00FC42AF">
      <w:tab/>
    </w:r>
    <w:r>
      <w:fldChar w:fldCharType="begin"/>
    </w:r>
    <w:r>
      <w:instrText xml:space="preserve"> DOCPROPERTY "Header" \* MERGEFORMAT </w:instrText>
    </w:r>
    <w:r>
      <w:fldChar w:fldCharType="separate"/>
    </w:r>
    <w:r w:rsidR="00A66137" w:rsidRPr="00A6613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66137">
      <w:rPr>
        <w:b/>
        <w:bCs/>
        <w:noProof/>
      </w:rPr>
      <w:t>ITU-R  M.2114-0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66137">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F9385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66137">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66137" w:rsidRPr="00A6613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66137">
      <w:rPr>
        <w:b/>
        <w:bCs/>
        <w:noProof/>
      </w:rPr>
      <w:t>ITU-R  M.2114-0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F9385F">
    <w:pPr>
      <w:pStyle w:val="Header"/>
      <w:tabs>
        <w:tab w:val="clear" w:pos="4848"/>
        <w:tab w:val="clear" w:pos="9696"/>
        <w:tab w:val="center" w:pos="7088"/>
        <w:tab w:val="right" w:pos="14034"/>
      </w:tabs>
    </w:pPr>
    <w:r>
      <w:tab/>
    </w:r>
    <w:r w:rsidR="00A66137">
      <w:fldChar w:fldCharType="begin"/>
    </w:r>
    <w:r w:rsidR="00A66137">
      <w:instrText xml:space="preserve"> DOCPROPERTY "Header" \* MERGEFORMAT </w:instrText>
    </w:r>
    <w:r w:rsidR="00A66137">
      <w:fldChar w:fldCharType="separate"/>
    </w:r>
    <w:r w:rsidR="00A66137" w:rsidRPr="00A66137">
      <w:rPr>
        <w:b/>
        <w:bCs/>
      </w:rPr>
      <w:t xml:space="preserve">Rec. </w:t>
    </w:r>
    <w:r w:rsidR="00A66137">
      <w:rPr>
        <w:b/>
        <w:bCs/>
      </w:rPr>
      <w:fldChar w:fldCharType="end"/>
    </w:r>
    <w:r>
      <w:rPr>
        <w:b/>
        <w:bCs/>
      </w:rPr>
      <w:t xml:space="preserve"> </w:t>
    </w:r>
    <w:r>
      <w:rPr>
        <w:b/>
        <w:bCs/>
      </w:rPr>
      <w:fldChar w:fldCharType="begin"/>
    </w:r>
    <w:r>
      <w:rPr>
        <w:b/>
        <w:bCs/>
      </w:rPr>
      <w:instrText>styleref href</w:instrText>
    </w:r>
    <w:r>
      <w:rPr>
        <w:b/>
        <w:bCs/>
      </w:rPr>
      <w:fldChar w:fldCharType="separate"/>
    </w:r>
    <w:r w:rsidR="00A66137">
      <w:rPr>
        <w:b/>
        <w:bCs/>
        <w:noProof/>
      </w:rPr>
      <w:t>ITU-R  M.2114-0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66137">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EB3"/>
    <w:rsid w:val="00035F78"/>
    <w:rsid w:val="00217EBF"/>
    <w:rsid w:val="00242AEE"/>
    <w:rsid w:val="002D76C4"/>
    <w:rsid w:val="00424890"/>
    <w:rsid w:val="0052529D"/>
    <w:rsid w:val="00607D68"/>
    <w:rsid w:val="006A7E15"/>
    <w:rsid w:val="007468DA"/>
    <w:rsid w:val="007743FD"/>
    <w:rsid w:val="008E319F"/>
    <w:rsid w:val="00921E45"/>
    <w:rsid w:val="00930A19"/>
    <w:rsid w:val="009E00A8"/>
    <w:rsid w:val="009E329B"/>
    <w:rsid w:val="009F0EB3"/>
    <w:rsid w:val="00A66137"/>
    <w:rsid w:val="00A6617B"/>
    <w:rsid w:val="00AB0DC8"/>
    <w:rsid w:val="00B44E24"/>
    <w:rsid w:val="00B61C68"/>
    <w:rsid w:val="00C05B3B"/>
    <w:rsid w:val="00CA2652"/>
    <w:rsid w:val="00DF4176"/>
    <w:rsid w:val="00F938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8150FDD"/>
  <w15:docId w15:val="{B1232B2B-8288-48E4-892E-C67D8BC4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8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2489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9F0EB3"/>
    <w:rPr>
      <w:b/>
      <w:sz w:val="22"/>
      <w:lang w:val="fr-FR" w:eastAsia="en-US"/>
    </w:rPr>
  </w:style>
  <w:style w:type="character" w:customStyle="1" w:styleId="TabletextChar">
    <w:name w:val="Table_text Char"/>
    <w:basedOn w:val="DefaultParagraphFont"/>
    <w:link w:val="Tabletext"/>
    <w:locked/>
    <w:rsid w:val="009F0EB3"/>
    <w:rPr>
      <w:sz w:val="22"/>
      <w:lang w:val="fr-FR" w:eastAsia="en-US"/>
    </w:rPr>
  </w:style>
  <w:style w:type="character" w:styleId="Hyperlink">
    <w:name w:val="Hyperlink"/>
    <w:basedOn w:val="DefaultParagraphFont"/>
    <w:rsid w:val="009F0EB3"/>
    <w:rPr>
      <w:color w:val="0000FF"/>
      <w:u w:val="single"/>
    </w:rPr>
  </w:style>
  <w:style w:type="character" w:customStyle="1" w:styleId="CallChar">
    <w:name w:val="Call Char"/>
    <w:link w:val="Call"/>
    <w:locked/>
    <w:rsid w:val="00C05B3B"/>
    <w:rPr>
      <w:i/>
      <w:sz w:val="24"/>
      <w:lang w:val="fr-FR" w:eastAsia="en-US"/>
    </w:rPr>
  </w:style>
  <w:style w:type="paragraph" w:customStyle="1" w:styleId="Normalaftertitle0">
    <w:name w:val="Normal after title"/>
    <w:basedOn w:val="Normal"/>
    <w:next w:val="Normal"/>
    <w:rsid w:val="00C05B3B"/>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character" w:customStyle="1" w:styleId="HeadingbChar">
    <w:name w:val="Heading_b Char"/>
    <w:link w:val="Headingb"/>
    <w:locked/>
    <w:rsid w:val="00C05B3B"/>
    <w:rPr>
      <w:b/>
      <w:sz w:val="24"/>
      <w:lang w:val="fr-FR" w:eastAsia="en-US"/>
    </w:rPr>
  </w:style>
  <w:style w:type="character" w:customStyle="1" w:styleId="AnnexNoChar">
    <w:name w:val="Annex_No Char"/>
    <w:link w:val="AnnexNo"/>
    <w:locked/>
    <w:rsid w:val="00C05B3B"/>
    <w:rPr>
      <w:caps/>
      <w:sz w:val="28"/>
      <w:lang w:val="en-GB" w:eastAsia="en-US"/>
    </w:rPr>
  </w:style>
  <w:style w:type="paragraph" w:customStyle="1" w:styleId="AnnexNo">
    <w:name w:val="Annex_No"/>
    <w:basedOn w:val="Normal"/>
    <w:next w:val="Normal"/>
    <w:link w:val="AnnexNoChar"/>
    <w:rsid w:val="00C05B3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05B3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Reasons">
    <w:name w:val="Reasons"/>
    <w:basedOn w:val="Normal"/>
    <w:qFormat/>
    <w:rsid w:val="00C05B3B"/>
    <w:pPr>
      <w:tabs>
        <w:tab w:val="clear" w:pos="794"/>
        <w:tab w:val="clear" w:pos="1191"/>
        <w:tab w:val="left" w:pos="1134"/>
      </w:tabs>
      <w:jc w:val="left"/>
      <w:textAlignment w:val="auto"/>
    </w:pPr>
    <w:rPr>
      <w:lang w:val="en-GB"/>
    </w:rPr>
  </w:style>
  <w:style w:type="table" w:styleId="TableGrid">
    <w:name w:val="Table Grid"/>
    <w:basedOn w:val="TableNormal"/>
    <w:uiPriority w:val="59"/>
    <w:rsid w:val="00C05B3B"/>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54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8</Pages>
  <Words>2224</Words>
  <Characters>12587</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Template BR_Rec_2005.dot</vt:lpstr>
      <vt:lpstr>Policy on Intellectual Property Right (IPR)</vt:lpstr>
      <vt:lpstr>Annex  Technical and operational characteristics of and protection criteria for </vt:lpstr>
      <vt:lpstr>1	Introduction</vt:lpstr>
      <vt:lpstr>2	Operational deployment</vt:lpstr>
      <vt:lpstr>3	Technical characteristics of aeronautical mobile systems</vt:lpstr>
      <vt:lpstr>    3.1	Transmitter characteristics</vt:lpstr>
      <vt:lpstr>    3.2	Receiver characteristics</vt:lpstr>
      <vt:lpstr>    3.3	Antenna characteristics</vt:lpstr>
      <vt:lpstr>4	Protection criteria for the aeronautical mobile service in the frequency bands</vt:lpstr>
    </vt:vector>
  </TitlesOfParts>
  <Manager/>
  <Company>ITU</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15</cp:revision>
  <cp:lastPrinted>2018-01-30T12:58:00Z</cp:lastPrinted>
  <dcterms:created xsi:type="dcterms:W3CDTF">2018-01-30T12:41:00Z</dcterms:created>
  <dcterms:modified xsi:type="dcterms:W3CDTF">2018-01-30T12:58:00Z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