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51C" w:rsidRDefault="009D551C" w:rsidP="009D551C">
      <w:bookmarkStart w:id="0" w:name="_GoBack"/>
      <w:bookmarkEnd w:id="0"/>
    </w:p>
    <w:p w:rsidR="009D551C" w:rsidRDefault="009D551C" w:rsidP="009D551C"/>
    <w:p w:rsidR="009D551C" w:rsidRDefault="009D551C" w:rsidP="009D551C"/>
    <w:p w:rsidR="009D551C" w:rsidRDefault="009D551C" w:rsidP="009D551C"/>
    <w:p w:rsidR="009D551C" w:rsidRDefault="009D551C" w:rsidP="009D551C"/>
    <w:p w:rsidR="009D551C" w:rsidRDefault="009D551C" w:rsidP="009D551C"/>
    <w:p w:rsidR="009D551C" w:rsidRDefault="009D551C" w:rsidP="009D551C"/>
    <w:p w:rsidR="009D551C" w:rsidRDefault="009D551C" w:rsidP="009D551C"/>
    <w:p w:rsidR="009D551C" w:rsidRDefault="009D551C" w:rsidP="009D551C"/>
    <w:tbl>
      <w:tblPr>
        <w:tblW w:w="10089" w:type="dxa"/>
        <w:tblLook w:val="01E0" w:firstRow="1" w:lastRow="1" w:firstColumn="1" w:lastColumn="1" w:noHBand="0" w:noVBand="0"/>
      </w:tblPr>
      <w:tblGrid>
        <w:gridCol w:w="10089"/>
      </w:tblGrid>
      <w:tr w:rsidR="009D551C" w:rsidRPr="00A443C2" w:rsidTr="00166038">
        <w:tc>
          <w:tcPr>
            <w:tcW w:w="10089" w:type="dxa"/>
          </w:tcPr>
          <w:p w:rsidR="009D551C" w:rsidRPr="00B033C8" w:rsidRDefault="009D551C" w:rsidP="00166038">
            <w:pPr>
              <w:spacing w:before="380" w:line="280" w:lineRule="exact"/>
              <w:jc w:val="right"/>
              <w:rPr>
                <w:rFonts w:ascii="Tahoma" w:hAnsi="Tahoma" w:cs="Tahoma"/>
                <w:b/>
                <w:bCs/>
                <w:iCs/>
                <w:color w:val="243285"/>
                <w:sz w:val="32"/>
                <w:szCs w:val="32"/>
                <w:lang w:val="en-US"/>
              </w:rPr>
            </w:pPr>
          </w:p>
          <w:p w:rsidR="009D551C" w:rsidRPr="00A443C2" w:rsidRDefault="009D551C" w:rsidP="007D15F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7D15F9">
              <w:rPr>
                <w:rFonts w:ascii="Tahoma" w:hAnsi="Tahoma" w:cs="Tahoma"/>
                <w:b/>
                <w:bCs/>
                <w:iCs/>
                <w:color w:val="243285"/>
                <w:sz w:val="36"/>
                <w:szCs w:val="36"/>
              </w:rPr>
              <w:t>2084-0</w:t>
            </w:r>
          </w:p>
          <w:p w:rsidR="009D551C" w:rsidRPr="00A443C2" w:rsidRDefault="009D551C" w:rsidP="007D15F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7D15F9">
              <w:rPr>
                <w:rFonts w:ascii="Tahoma" w:hAnsi="Tahoma" w:cs="Tahoma"/>
                <w:b/>
                <w:bCs/>
                <w:iCs/>
                <w:color w:val="243285"/>
                <w:szCs w:val="24"/>
              </w:rPr>
              <w:t>09</w:t>
            </w:r>
            <w:r>
              <w:rPr>
                <w:rFonts w:ascii="Tahoma" w:hAnsi="Tahoma" w:cs="Tahoma"/>
                <w:b/>
                <w:bCs/>
                <w:iCs/>
                <w:color w:val="243285"/>
                <w:szCs w:val="24"/>
              </w:rPr>
              <w:t>/</w:t>
            </w:r>
            <w:r w:rsidR="007D15F9">
              <w:rPr>
                <w:rFonts w:ascii="Tahoma" w:hAnsi="Tahoma" w:cs="Tahoma"/>
                <w:b/>
                <w:bCs/>
                <w:iCs/>
                <w:color w:val="243285"/>
                <w:szCs w:val="24"/>
              </w:rPr>
              <w:t>2015</w:t>
            </w:r>
            <w:r w:rsidRPr="00A443C2">
              <w:rPr>
                <w:rFonts w:ascii="Tahoma" w:hAnsi="Tahoma" w:cs="Tahoma"/>
                <w:b/>
                <w:bCs/>
                <w:iCs/>
                <w:color w:val="243285"/>
                <w:szCs w:val="24"/>
              </w:rPr>
              <w:t>)</w:t>
            </w:r>
          </w:p>
        </w:tc>
      </w:tr>
      <w:tr w:rsidR="009D551C" w:rsidRPr="00F54FBD" w:rsidTr="00166038">
        <w:trPr>
          <w:trHeight w:val="4629"/>
        </w:trPr>
        <w:tc>
          <w:tcPr>
            <w:tcW w:w="10089" w:type="dxa"/>
          </w:tcPr>
          <w:p w:rsidR="009D551C" w:rsidRDefault="009D551C" w:rsidP="00166038">
            <w:pPr>
              <w:spacing w:before="80" w:line="500" w:lineRule="exact"/>
              <w:jc w:val="right"/>
              <w:rPr>
                <w:rFonts w:ascii="Tahoma" w:hAnsi="Tahoma" w:cs="Tahoma"/>
                <w:b/>
                <w:bCs/>
                <w:iCs/>
                <w:color w:val="243285"/>
                <w:sz w:val="44"/>
                <w:szCs w:val="44"/>
              </w:rPr>
            </w:pPr>
          </w:p>
          <w:p w:rsidR="009D551C" w:rsidRPr="00F54FBD" w:rsidRDefault="007D15F9" w:rsidP="007D15F9">
            <w:pPr>
              <w:spacing w:before="80" w:line="500" w:lineRule="exact"/>
              <w:jc w:val="right"/>
              <w:rPr>
                <w:rFonts w:ascii="Tahoma" w:hAnsi="Tahoma" w:cs="Tahoma"/>
                <w:b/>
                <w:bCs/>
                <w:iCs/>
                <w:color w:val="243285"/>
                <w:sz w:val="44"/>
                <w:szCs w:val="44"/>
              </w:rPr>
            </w:pPr>
            <w:bookmarkStart w:id="1" w:name="dtitle2" w:colFirst="0" w:colLast="0"/>
            <w:r w:rsidRPr="007D15F9">
              <w:rPr>
                <w:rFonts w:ascii="Tahoma" w:hAnsi="Tahoma" w:cs="Tahoma"/>
                <w:b/>
                <w:bCs/>
                <w:iCs/>
                <w:color w:val="243285"/>
                <w:sz w:val="44"/>
                <w:szCs w:val="44"/>
              </w:rPr>
              <w:t xml:space="preserve">Normes relatives aux interfaces radioélectriques pour les communications de véhicule à véhicule et de véhicule à infrastructure pour les applications </w:t>
            </w:r>
            <w:r w:rsidRPr="007D15F9">
              <w:rPr>
                <w:rFonts w:ascii="Tahoma" w:hAnsi="Tahoma" w:cs="Tahoma"/>
                <w:b/>
                <w:bCs/>
                <w:iCs/>
                <w:color w:val="243285"/>
                <w:sz w:val="44"/>
                <w:szCs w:val="44"/>
              </w:rPr>
              <w:br/>
              <w:t>des systèmes de transport intelligents</w:t>
            </w:r>
            <w:bookmarkEnd w:id="1"/>
          </w:p>
        </w:tc>
      </w:tr>
      <w:tr w:rsidR="009D551C" w:rsidRPr="00F54FBD" w:rsidTr="00166038">
        <w:tc>
          <w:tcPr>
            <w:tcW w:w="10089" w:type="dxa"/>
          </w:tcPr>
          <w:p w:rsidR="009D551C" w:rsidRPr="00F54FBD" w:rsidRDefault="009D551C" w:rsidP="00166038">
            <w:pPr>
              <w:spacing w:before="80" w:line="280" w:lineRule="exact"/>
              <w:ind w:right="640"/>
              <w:rPr>
                <w:rFonts w:ascii="Tahoma" w:hAnsi="Tahoma" w:cs="Tahoma"/>
                <w:b/>
                <w:bCs/>
                <w:iCs/>
                <w:color w:val="243285"/>
                <w:sz w:val="32"/>
                <w:szCs w:val="32"/>
              </w:rPr>
            </w:pPr>
          </w:p>
          <w:p w:rsidR="009D551C" w:rsidRPr="00F54FBD" w:rsidRDefault="009D551C" w:rsidP="00166038">
            <w:pPr>
              <w:spacing w:before="80" w:line="280" w:lineRule="exact"/>
              <w:ind w:right="640"/>
              <w:rPr>
                <w:rFonts w:ascii="Tahoma" w:hAnsi="Tahoma" w:cs="Tahoma"/>
                <w:b/>
                <w:bCs/>
                <w:iCs/>
                <w:color w:val="243285"/>
                <w:sz w:val="32"/>
                <w:szCs w:val="32"/>
              </w:rPr>
            </w:pPr>
          </w:p>
          <w:p w:rsidR="009D551C" w:rsidRPr="00F54FBD" w:rsidRDefault="009D551C" w:rsidP="00166038">
            <w:pPr>
              <w:spacing w:before="80" w:after="180" w:line="360" w:lineRule="exact"/>
              <w:ind w:right="720"/>
              <w:rPr>
                <w:rFonts w:ascii="Tahoma" w:hAnsi="Tahoma" w:cs="Tahoma"/>
                <w:b/>
                <w:bCs/>
                <w:iCs/>
                <w:color w:val="243285"/>
                <w:sz w:val="36"/>
                <w:szCs w:val="36"/>
              </w:rPr>
            </w:pPr>
          </w:p>
          <w:p w:rsidR="009D551C" w:rsidRPr="00F54FBD" w:rsidRDefault="009D551C" w:rsidP="0016603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9D551C" w:rsidRPr="00F54FBD" w:rsidRDefault="009D551C" w:rsidP="0016603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9D551C" w:rsidRPr="00F54FBD" w:rsidRDefault="009D551C" w:rsidP="009D551C">
      <w:pPr>
        <w:spacing w:before="80"/>
        <w:rPr>
          <w:i/>
          <w:sz w:val="22"/>
        </w:rPr>
      </w:pPr>
    </w:p>
    <w:p w:rsidR="009D551C" w:rsidRPr="00F54FBD" w:rsidRDefault="009D551C" w:rsidP="009D551C">
      <w:pPr>
        <w:spacing w:before="80"/>
        <w:rPr>
          <w:i/>
          <w:sz w:val="22"/>
        </w:rPr>
      </w:pPr>
    </w:p>
    <w:p w:rsidR="009D551C" w:rsidRPr="00F54FBD" w:rsidRDefault="009D551C" w:rsidP="009D551C">
      <w:pPr>
        <w:spacing w:before="80"/>
        <w:rPr>
          <w:i/>
          <w:sz w:val="22"/>
        </w:rPr>
      </w:pPr>
    </w:p>
    <w:p w:rsidR="009D551C" w:rsidRPr="00F54FBD" w:rsidRDefault="009D551C" w:rsidP="009D551C">
      <w:pPr>
        <w:spacing w:before="80"/>
        <w:rPr>
          <w:i/>
          <w:sz w:val="22"/>
        </w:rPr>
      </w:pPr>
    </w:p>
    <w:p w:rsidR="009D551C" w:rsidRPr="00F54FBD" w:rsidRDefault="009D551C" w:rsidP="009D551C">
      <w:pPr>
        <w:pStyle w:val="Equation"/>
        <w:tabs>
          <w:tab w:val="clear" w:pos="4820"/>
          <w:tab w:val="clear" w:pos="9639"/>
          <w:tab w:val="left" w:pos="1191"/>
          <w:tab w:val="left" w:pos="1588"/>
          <w:tab w:val="left" w:pos="1985"/>
        </w:tabs>
        <w:rPr>
          <w:rFonts w:ascii="Palatino Linotype" w:hAnsi="Palatino Linotype"/>
        </w:rPr>
        <w:sectPr w:rsidR="009D551C" w:rsidRPr="00F54FBD">
          <w:headerReference w:type="even" r:id="rId6"/>
          <w:headerReference w:type="default" r:id="rId7"/>
          <w:pgSz w:w="11907" w:h="16840" w:code="9"/>
          <w:pgMar w:top="1089" w:right="1089" w:bottom="284" w:left="1089" w:header="567" w:footer="284" w:gutter="0"/>
          <w:pgNumType w:start="1"/>
          <w:cols w:space="720"/>
        </w:sectPr>
      </w:pPr>
    </w:p>
    <w:p w:rsidR="009D551C" w:rsidRPr="00F54FBD" w:rsidRDefault="009D551C" w:rsidP="009D55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9D551C" w:rsidRPr="00F54FBD" w:rsidRDefault="009D551C" w:rsidP="009D551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D551C" w:rsidRPr="00F54FBD" w:rsidRDefault="009D551C" w:rsidP="009D551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D551C" w:rsidRPr="00E44CBB" w:rsidRDefault="009D551C" w:rsidP="009D551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D551C" w:rsidRPr="00E44CBB" w:rsidRDefault="009D551C" w:rsidP="009D551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D551C" w:rsidRPr="00C95B6F" w:rsidRDefault="009D551C" w:rsidP="009D551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D551C" w:rsidRPr="009454F8" w:rsidTr="00166038">
        <w:tc>
          <w:tcPr>
            <w:tcW w:w="9360" w:type="dxa"/>
            <w:gridSpan w:val="2"/>
          </w:tcPr>
          <w:p w:rsidR="009D551C" w:rsidRPr="009454F8" w:rsidRDefault="009D551C" w:rsidP="0016603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D551C" w:rsidRPr="009454F8" w:rsidRDefault="009D551C" w:rsidP="00166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9D551C" w:rsidRPr="00036EE3" w:rsidTr="00166038">
        <w:tc>
          <w:tcPr>
            <w:tcW w:w="1140" w:type="dxa"/>
          </w:tcPr>
          <w:p w:rsidR="009D551C" w:rsidRPr="00614CC6" w:rsidRDefault="009D551C" w:rsidP="00166038">
            <w:pPr>
              <w:spacing w:before="90" w:after="100"/>
              <w:ind w:left="57"/>
              <w:rPr>
                <w:b/>
                <w:bCs/>
                <w:sz w:val="20"/>
                <w:lang w:val="en-US"/>
              </w:rPr>
            </w:pPr>
            <w:r w:rsidRPr="00614CC6">
              <w:rPr>
                <w:b/>
                <w:bCs/>
                <w:sz w:val="20"/>
                <w:lang w:val="en-US"/>
              </w:rPr>
              <w:t>Séries</w:t>
            </w:r>
          </w:p>
        </w:tc>
        <w:tc>
          <w:tcPr>
            <w:tcW w:w="8220" w:type="dxa"/>
          </w:tcPr>
          <w:p w:rsidR="009D551C" w:rsidRPr="00614CC6" w:rsidRDefault="009D551C" w:rsidP="00166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D551C" w:rsidRPr="00036EE3"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BO</w:t>
            </w:r>
          </w:p>
        </w:tc>
        <w:tc>
          <w:tcPr>
            <w:tcW w:w="8220" w:type="dxa"/>
          </w:tcPr>
          <w:p w:rsidR="009D551C" w:rsidRPr="00614CC6" w:rsidRDefault="009D551C" w:rsidP="00166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9D551C" w:rsidRPr="009454F8"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BR</w:t>
            </w:r>
          </w:p>
        </w:tc>
        <w:tc>
          <w:tcPr>
            <w:tcW w:w="8220" w:type="dxa"/>
          </w:tcPr>
          <w:p w:rsidR="009D551C" w:rsidRPr="00614CC6" w:rsidRDefault="009D551C" w:rsidP="00166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D551C" w:rsidRPr="00036EE3"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BS</w:t>
            </w:r>
          </w:p>
        </w:tc>
        <w:tc>
          <w:tcPr>
            <w:tcW w:w="8220" w:type="dxa"/>
          </w:tcPr>
          <w:p w:rsidR="009D551C" w:rsidRPr="00614CC6" w:rsidRDefault="009D551C" w:rsidP="00166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9D551C" w:rsidRPr="00ED2695" w:rsidTr="00166038">
        <w:tc>
          <w:tcPr>
            <w:tcW w:w="1140" w:type="dxa"/>
            <w:shd w:val="clear" w:color="auto" w:fill="auto"/>
          </w:tcPr>
          <w:p w:rsidR="009D551C" w:rsidRPr="00614CC6" w:rsidRDefault="009D551C" w:rsidP="00166038">
            <w:pPr>
              <w:spacing w:before="30" w:after="30"/>
              <w:ind w:left="57"/>
              <w:jc w:val="left"/>
              <w:rPr>
                <w:b/>
                <w:bCs/>
                <w:sz w:val="20"/>
                <w:lang w:val="en-US"/>
              </w:rPr>
            </w:pPr>
            <w:r w:rsidRPr="00614CC6">
              <w:rPr>
                <w:b/>
                <w:bCs/>
                <w:sz w:val="20"/>
                <w:lang w:val="en-US"/>
              </w:rPr>
              <w:t>BT</w:t>
            </w:r>
          </w:p>
        </w:tc>
        <w:tc>
          <w:tcPr>
            <w:tcW w:w="8220" w:type="dxa"/>
            <w:shd w:val="clear" w:color="auto" w:fill="auto"/>
          </w:tcPr>
          <w:p w:rsidR="009D551C" w:rsidRPr="00614CC6" w:rsidRDefault="009D551C" w:rsidP="00166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D551C" w:rsidRPr="00036EE3" w:rsidTr="00166038">
        <w:tc>
          <w:tcPr>
            <w:tcW w:w="1140" w:type="dxa"/>
            <w:shd w:val="clear" w:color="auto" w:fill="auto"/>
          </w:tcPr>
          <w:p w:rsidR="009D551C" w:rsidRPr="00614CC6" w:rsidRDefault="009D551C" w:rsidP="00166038">
            <w:pPr>
              <w:spacing w:before="30" w:after="30"/>
              <w:ind w:left="57"/>
              <w:jc w:val="left"/>
              <w:rPr>
                <w:b/>
                <w:bCs/>
                <w:sz w:val="20"/>
                <w:lang w:val="fr-CH"/>
              </w:rPr>
            </w:pPr>
            <w:r w:rsidRPr="00614CC6">
              <w:rPr>
                <w:b/>
                <w:bCs/>
                <w:sz w:val="20"/>
                <w:lang w:val="fr-CH"/>
              </w:rPr>
              <w:t>F</w:t>
            </w:r>
          </w:p>
        </w:tc>
        <w:tc>
          <w:tcPr>
            <w:tcW w:w="8220" w:type="dxa"/>
            <w:shd w:val="clear" w:color="auto" w:fill="auto"/>
          </w:tcPr>
          <w:p w:rsidR="009D551C" w:rsidRPr="00614CC6" w:rsidRDefault="009D551C" w:rsidP="001660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D551C" w:rsidRPr="00592F9F" w:rsidTr="00166038">
        <w:tc>
          <w:tcPr>
            <w:tcW w:w="1140" w:type="dxa"/>
            <w:shd w:val="clear" w:color="auto" w:fill="F3F3F3"/>
          </w:tcPr>
          <w:p w:rsidR="009D551C" w:rsidRPr="00592F9F" w:rsidRDefault="009D551C" w:rsidP="00166038">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9D551C" w:rsidRPr="00592F9F" w:rsidRDefault="009D551C" w:rsidP="001660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9D551C" w:rsidRPr="00036EE3" w:rsidTr="00166038">
        <w:tc>
          <w:tcPr>
            <w:tcW w:w="1140" w:type="dxa"/>
          </w:tcPr>
          <w:p w:rsidR="009D551C" w:rsidRPr="00614CC6" w:rsidRDefault="009D551C" w:rsidP="00166038">
            <w:pPr>
              <w:spacing w:before="30" w:after="30"/>
              <w:ind w:left="57"/>
              <w:jc w:val="left"/>
              <w:rPr>
                <w:b/>
                <w:bCs/>
                <w:sz w:val="20"/>
                <w:lang w:val="fr-CH"/>
              </w:rPr>
            </w:pPr>
            <w:r w:rsidRPr="00614CC6">
              <w:rPr>
                <w:b/>
                <w:bCs/>
                <w:sz w:val="20"/>
                <w:lang w:val="fr-CH"/>
              </w:rPr>
              <w:t>P</w:t>
            </w:r>
          </w:p>
        </w:tc>
        <w:tc>
          <w:tcPr>
            <w:tcW w:w="8220" w:type="dxa"/>
          </w:tcPr>
          <w:p w:rsidR="009D551C" w:rsidRPr="00614CC6" w:rsidRDefault="009D551C" w:rsidP="00166038">
            <w:pPr>
              <w:spacing w:before="30" w:after="30"/>
              <w:jc w:val="left"/>
              <w:rPr>
                <w:sz w:val="20"/>
                <w:lang w:val="fr-CH"/>
              </w:rPr>
            </w:pPr>
            <w:r w:rsidRPr="00614CC6">
              <w:rPr>
                <w:sz w:val="20"/>
              </w:rPr>
              <w:t>Propagation des ondes radioélectriques</w:t>
            </w:r>
          </w:p>
        </w:tc>
      </w:tr>
      <w:tr w:rsidR="009D551C" w:rsidRPr="00036EE3"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RA</w:t>
            </w:r>
          </w:p>
        </w:tc>
        <w:tc>
          <w:tcPr>
            <w:tcW w:w="8220" w:type="dxa"/>
          </w:tcPr>
          <w:p w:rsidR="009D551C" w:rsidRPr="00614CC6" w:rsidRDefault="009D551C" w:rsidP="001660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D551C" w:rsidRPr="00036EE3"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RS</w:t>
            </w:r>
          </w:p>
        </w:tc>
        <w:tc>
          <w:tcPr>
            <w:tcW w:w="8220" w:type="dxa"/>
          </w:tcPr>
          <w:p w:rsidR="009D551C" w:rsidRPr="00614CC6" w:rsidRDefault="009D551C" w:rsidP="001660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D551C" w:rsidRPr="00036EE3"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S</w:t>
            </w:r>
          </w:p>
        </w:tc>
        <w:tc>
          <w:tcPr>
            <w:tcW w:w="8220" w:type="dxa"/>
          </w:tcPr>
          <w:p w:rsidR="009D551C" w:rsidRPr="00614CC6" w:rsidRDefault="009D551C" w:rsidP="00166038">
            <w:pPr>
              <w:spacing w:before="30" w:after="30"/>
              <w:jc w:val="left"/>
              <w:rPr>
                <w:sz w:val="20"/>
                <w:lang w:val="en-US"/>
              </w:rPr>
            </w:pPr>
            <w:r w:rsidRPr="00614CC6">
              <w:rPr>
                <w:sz w:val="20"/>
              </w:rPr>
              <w:t>Service fixe par satellite</w:t>
            </w:r>
          </w:p>
        </w:tc>
      </w:tr>
      <w:tr w:rsidR="009D551C" w:rsidRPr="00036EE3"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SA</w:t>
            </w:r>
          </w:p>
        </w:tc>
        <w:tc>
          <w:tcPr>
            <w:tcW w:w="8220" w:type="dxa"/>
          </w:tcPr>
          <w:p w:rsidR="009D551C" w:rsidRPr="00614CC6" w:rsidRDefault="009D551C" w:rsidP="00166038">
            <w:pPr>
              <w:spacing w:before="30" w:after="30"/>
              <w:jc w:val="left"/>
              <w:rPr>
                <w:sz w:val="20"/>
                <w:lang w:val="en-US"/>
              </w:rPr>
            </w:pPr>
            <w:r w:rsidRPr="00614CC6">
              <w:rPr>
                <w:sz w:val="20"/>
              </w:rPr>
              <w:t>Applications spatiales et météorologie</w:t>
            </w:r>
          </w:p>
        </w:tc>
      </w:tr>
      <w:tr w:rsidR="009D551C" w:rsidRPr="00614CC6"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SF</w:t>
            </w:r>
          </w:p>
        </w:tc>
        <w:tc>
          <w:tcPr>
            <w:tcW w:w="8220" w:type="dxa"/>
          </w:tcPr>
          <w:p w:rsidR="009D551C" w:rsidRPr="00614CC6" w:rsidRDefault="009D551C" w:rsidP="00166038">
            <w:pPr>
              <w:spacing w:before="30" w:after="30"/>
              <w:jc w:val="left"/>
              <w:rPr>
                <w:sz w:val="20"/>
              </w:rPr>
            </w:pPr>
            <w:r w:rsidRPr="00614CC6">
              <w:rPr>
                <w:sz w:val="20"/>
              </w:rPr>
              <w:t>Partage des fréquences et coordination entre les systèmes du service fixe par satellite et du service fixe</w:t>
            </w:r>
          </w:p>
        </w:tc>
      </w:tr>
      <w:tr w:rsidR="009D551C" w:rsidRPr="00036EE3" w:rsidTr="00166038">
        <w:tc>
          <w:tcPr>
            <w:tcW w:w="1140" w:type="dxa"/>
            <w:shd w:val="clear" w:color="auto" w:fill="auto"/>
          </w:tcPr>
          <w:p w:rsidR="009D551C" w:rsidRPr="00592F9F" w:rsidRDefault="009D551C" w:rsidP="00166038">
            <w:pPr>
              <w:spacing w:before="30" w:after="30"/>
              <w:ind w:left="57"/>
              <w:jc w:val="left"/>
              <w:rPr>
                <w:b/>
                <w:bCs/>
                <w:sz w:val="20"/>
                <w:lang w:val="en-US"/>
              </w:rPr>
            </w:pPr>
            <w:r w:rsidRPr="00592F9F">
              <w:rPr>
                <w:b/>
                <w:bCs/>
                <w:sz w:val="20"/>
                <w:lang w:val="en-US"/>
              </w:rPr>
              <w:t>SM</w:t>
            </w:r>
          </w:p>
        </w:tc>
        <w:tc>
          <w:tcPr>
            <w:tcW w:w="8220" w:type="dxa"/>
            <w:shd w:val="clear" w:color="auto" w:fill="auto"/>
          </w:tcPr>
          <w:p w:rsidR="009D551C" w:rsidRPr="00592F9F" w:rsidRDefault="009D551C" w:rsidP="00166038">
            <w:pPr>
              <w:spacing w:before="30" w:after="30"/>
              <w:jc w:val="left"/>
              <w:rPr>
                <w:sz w:val="20"/>
                <w:lang w:val="en-US"/>
              </w:rPr>
            </w:pPr>
            <w:r w:rsidRPr="00592F9F">
              <w:rPr>
                <w:sz w:val="20"/>
              </w:rPr>
              <w:t>Gestion du spectre</w:t>
            </w:r>
          </w:p>
        </w:tc>
      </w:tr>
      <w:tr w:rsidR="009D551C" w:rsidRPr="00036EE3"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SNG</w:t>
            </w:r>
          </w:p>
        </w:tc>
        <w:tc>
          <w:tcPr>
            <w:tcW w:w="8220" w:type="dxa"/>
          </w:tcPr>
          <w:p w:rsidR="009D551C" w:rsidRPr="00614CC6" w:rsidRDefault="009D551C" w:rsidP="00166038">
            <w:pPr>
              <w:spacing w:before="30" w:after="30"/>
              <w:jc w:val="left"/>
              <w:rPr>
                <w:sz w:val="20"/>
                <w:lang w:val="en-US"/>
              </w:rPr>
            </w:pPr>
            <w:r w:rsidRPr="00614CC6">
              <w:rPr>
                <w:sz w:val="20"/>
              </w:rPr>
              <w:t>Reportage d'actualités par satellite</w:t>
            </w:r>
          </w:p>
        </w:tc>
      </w:tr>
      <w:tr w:rsidR="009D551C" w:rsidRPr="00614CC6"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TF</w:t>
            </w:r>
          </w:p>
        </w:tc>
        <w:tc>
          <w:tcPr>
            <w:tcW w:w="8220" w:type="dxa"/>
          </w:tcPr>
          <w:p w:rsidR="009D551C" w:rsidRPr="00614CC6" w:rsidRDefault="009D551C" w:rsidP="00166038">
            <w:pPr>
              <w:spacing w:before="30" w:after="30"/>
              <w:jc w:val="left"/>
              <w:rPr>
                <w:sz w:val="20"/>
              </w:rPr>
            </w:pPr>
            <w:r w:rsidRPr="00614CC6">
              <w:rPr>
                <w:sz w:val="20"/>
              </w:rPr>
              <w:t>Emissions de fréquences étalon et de signaux horaires</w:t>
            </w:r>
          </w:p>
        </w:tc>
      </w:tr>
      <w:tr w:rsidR="009D551C" w:rsidRPr="00036EE3" w:rsidTr="00166038">
        <w:tc>
          <w:tcPr>
            <w:tcW w:w="1140" w:type="dxa"/>
          </w:tcPr>
          <w:p w:rsidR="009D551C" w:rsidRPr="00614CC6" w:rsidRDefault="009D551C" w:rsidP="00166038">
            <w:pPr>
              <w:spacing w:before="30" w:after="30"/>
              <w:ind w:left="57"/>
              <w:jc w:val="left"/>
              <w:rPr>
                <w:b/>
                <w:bCs/>
                <w:sz w:val="20"/>
                <w:lang w:val="en-US"/>
              </w:rPr>
            </w:pPr>
            <w:r w:rsidRPr="00614CC6">
              <w:rPr>
                <w:b/>
                <w:bCs/>
                <w:sz w:val="20"/>
                <w:lang w:val="en-US"/>
              </w:rPr>
              <w:t>V</w:t>
            </w:r>
          </w:p>
        </w:tc>
        <w:tc>
          <w:tcPr>
            <w:tcW w:w="8220" w:type="dxa"/>
          </w:tcPr>
          <w:p w:rsidR="009D551C" w:rsidRPr="00614CC6" w:rsidRDefault="009D551C" w:rsidP="00166038">
            <w:pPr>
              <w:spacing w:before="30" w:after="140"/>
              <w:jc w:val="left"/>
              <w:rPr>
                <w:sz w:val="20"/>
                <w:lang w:val="en-US"/>
              </w:rPr>
            </w:pPr>
            <w:r w:rsidRPr="00614CC6">
              <w:rPr>
                <w:sz w:val="20"/>
              </w:rPr>
              <w:t>Vocabulaire et sujets associés</w:t>
            </w:r>
          </w:p>
        </w:tc>
      </w:tr>
    </w:tbl>
    <w:p w:rsidR="009D551C" w:rsidRPr="00036EE3" w:rsidRDefault="009D551C" w:rsidP="009D551C">
      <w:pPr>
        <w:spacing w:before="0"/>
        <w:jc w:val="center"/>
        <w:rPr>
          <w:sz w:val="20"/>
          <w:lang w:val="en-US"/>
        </w:rPr>
      </w:pPr>
    </w:p>
    <w:p w:rsidR="009D551C" w:rsidRPr="00036EE3" w:rsidRDefault="009D551C" w:rsidP="009D551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D551C" w:rsidRPr="00756B4D" w:rsidTr="00166038">
        <w:tc>
          <w:tcPr>
            <w:tcW w:w="9360" w:type="dxa"/>
          </w:tcPr>
          <w:p w:rsidR="009D551C" w:rsidRPr="00756B4D" w:rsidRDefault="009D551C" w:rsidP="0016603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D551C" w:rsidRPr="00756B4D" w:rsidRDefault="009D551C" w:rsidP="009D551C">
      <w:pPr>
        <w:spacing w:before="0"/>
        <w:jc w:val="center"/>
        <w:rPr>
          <w:sz w:val="22"/>
        </w:rPr>
      </w:pPr>
    </w:p>
    <w:p w:rsidR="009D551C" w:rsidRPr="00614CC6" w:rsidRDefault="009D551C" w:rsidP="009D551C">
      <w:pPr>
        <w:spacing w:before="100"/>
        <w:jc w:val="right"/>
        <w:rPr>
          <w:i/>
          <w:iCs/>
          <w:sz w:val="20"/>
        </w:rPr>
      </w:pPr>
      <w:r w:rsidRPr="00614CC6">
        <w:rPr>
          <w:i/>
          <w:iCs/>
          <w:sz w:val="20"/>
        </w:rPr>
        <w:t>Publication électronique</w:t>
      </w:r>
    </w:p>
    <w:p w:rsidR="009D551C" w:rsidRPr="00614CC6" w:rsidRDefault="009D551C" w:rsidP="009D551C">
      <w:pPr>
        <w:spacing w:before="0"/>
        <w:jc w:val="right"/>
        <w:rPr>
          <w:sz w:val="20"/>
        </w:rPr>
      </w:pPr>
      <w:r w:rsidRPr="00614CC6">
        <w:rPr>
          <w:sz w:val="20"/>
        </w:rPr>
        <w:t>Genève, 20</w:t>
      </w:r>
      <w:r>
        <w:rPr>
          <w:sz w:val="20"/>
        </w:rPr>
        <w:t>16</w:t>
      </w:r>
    </w:p>
    <w:p w:rsidR="009D551C" w:rsidRPr="00614CC6" w:rsidRDefault="009D551C" w:rsidP="009D551C">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9D551C" w:rsidRPr="00614CC6" w:rsidRDefault="009D551C" w:rsidP="009D551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D551C" w:rsidRPr="00614CC6" w:rsidRDefault="009D551C" w:rsidP="009D551C">
      <w:pPr>
        <w:spacing w:before="160"/>
        <w:rPr>
          <w:i/>
          <w:sz w:val="20"/>
          <w:highlight w:val="yellow"/>
        </w:rPr>
        <w:sectPr w:rsidR="009D551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A6617B" w:rsidRDefault="009D551C" w:rsidP="007D15F9">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7D15F9">
        <w:rPr>
          <w:rStyle w:val="href"/>
        </w:rPr>
        <w:t>2084-0</w:t>
      </w:r>
    </w:p>
    <w:p w:rsidR="0018746B" w:rsidRPr="000F7658" w:rsidRDefault="0018746B" w:rsidP="0018746B">
      <w:pPr>
        <w:pStyle w:val="Rectitle"/>
      </w:pPr>
      <w:r w:rsidRPr="000F7658">
        <w:t xml:space="preserve">Normes relatives aux interfaces radioélectriques pour les communications </w:t>
      </w:r>
      <w:r>
        <w:t xml:space="preserve">de </w:t>
      </w:r>
      <w:r w:rsidRPr="000F7658">
        <w:t xml:space="preserve">véhicule à véhicule </w:t>
      </w:r>
      <w:r>
        <w:t xml:space="preserve">et de véhicule </w:t>
      </w:r>
      <w:r w:rsidRPr="000F7658">
        <w:t xml:space="preserve">à infrastructure pour les applications </w:t>
      </w:r>
      <w:r>
        <w:br/>
      </w:r>
      <w:r w:rsidRPr="000F7658">
        <w:t>des systèmes de transport intelligents</w:t>
      </w:r>
    </w:p>
    <w:p w:rsidR="0018746B" w:rsidRPr="000F7658" w:rsidRDefault="0018746B" w:rsidP="00B677EE">
      <w:pPr>
        <w:pStyle w:val="Recref"/>
        <w:rPr>
          <w:rFonts w:eastAsia="MS Mincho"/>
          <w:lang w:eastAsia="ja-JP"/>
        </w:rPr>
      </w:pPr>
      <w:r w:rsidRPr="000F7658">
        <w:rPr>
          <w:rFonts w:eastAsia="MS Mincho"/>
          <w:lang w:eastAsia="ja-JP"/>
        </w:rPr>
        <w:t>(Question UIT-R 205-5/5)</w:t>
      </w:r>
    </w:p>
    <w:p w:rsidR="0018746B" w:rsidRPr="000F7658" w:rsidRDefault="0018746B" w:rsidP="0018746B">
      <w:pPr>
        <w:pStyle w:val="Recdate"/>
      </w:pPr>
      <w:r w:rsidRPr="000F7658">
        <w:t>(2015)</w:t>
      </w:r>
    </w:p>
    <w:p w:rsidR="0018746B" w:rsidRPr="000F7658" w:rsidRDefault="0018746B" w:rsidP="0018746B">
      <w:pPr>
        <w:pStyle w:val="HeadingSum"/>
        <w:rPr>
          <w:rFonts w:eastAsia="MS Mincho"/>
          <w:lang w:val="fr-FR"/>
        </w:rPr>
      </w:pPr>
      <w:r w:rsidRPr="000F7658">
        <w:rPr>
          <w:rFonts w:eastAsia="MS Mincho"/>
          <w:lang w:val="fr-FR"/>
        </w:rPr>
        <w:t>Domaine d'application</w:t>
      </w:r>
    </w:p>
    <w:p w:rsidR="0018746B" w:rsidRPr="000F7658" w:rsidRDefault="0018746B" w:rsidP="0018746B">
      <w:pPr>
        <w:pStyle w:val="Summary"/>
        <w:rPr>
          <w:rFonts w:eastAsia="MS Mincho"/>
          <w:lang w:val="fr-FR" w:eastAsia="ja-JP"/>
        </w:rPr>
      </w:pPr>
      <w:r w:rsidRPr="000F7658">
        <w:rPr>
          <w:rFonts w:eastAsia="MS Mincho"/>
          <w:lang w:val="fr-FR"/>
        </w:rPr>
        <w:t xml:space="preserve">La présente Recommandation recense les normes portant spécifiquement sur les interfaces radioélectriques pour les communications de véhicule à véhicule </w:t>
      </w:r>
      <w:r>
        <w:rPr>
          <w:rFonts w:eastAsia="MS Mincho"/>
          <w:lang w:val="fr-FR"/>
        </w:rPr>
        <w:t xml:space="preserve">et de véhicule </w:t>
      </w:r>
      <w:r w:rsidRPr="000F7658">
        <w:rPr>
          <w:rFonts w:eastAsia="MS Mincho"/>
          <w:lang w:val="fr-FR"/>
        </w:rPr>
        <w:t>à infrastructure pour les applications des systèmes de transport intelligents. Les caractéristiques techniques et opérationnelles décrites dans la présente Recommandation sont basées sur les bandes de fréquences qui sont déjà utilisées pour les systèmes de transport intelligents (ITS) et les applications du service mobile.</w:t>
      </w:r>
    </w:p>
    <w:p w:rsidR="0018746B" w:rsidRPr="000F7658" w:rsidRDefault="0018746B" w:rsidP="0018746B">
      <w:pPr>
        <w:pStyle w:val="Headingb"/>
        <w:rPr>
          <w:rFonts w:eastAsia="MS Mincho"/>
        </w:rPr>
      </w:pPr>
      <w:r w:rsidRPr="000F7658">
        <w:rPr>
          <w:rFonts w:eastAsia="MS Mincho"/>
        </w:rPr>
        <w:t>Mots clés</w:t>
      </w:r>
    </w:p>
    <w:p w:rsidR="0018746B" w:rsidRPr="000F7658" w:rsidRDefault="0018746B" w:rsidP="0018746B">
      <w:pPr>
        <w:rPr>
          <w:rFonts w:eastAsia="MS Mincho"/>
          <w:lang w:eastAsia="ja-JP"/>
        </w:rPr>
      </w:pPr>
      <w:r w:rsidRPr="000F7658">
        <w:rPr>
          <w:rFonts w:eastAsia="MS Mincho"/>
          <w:lang w:eastAsia="ja-JP"/>
        </w:rPr>
        <w:t xml:space="preserve">ITS, communications </w:t>
      </w:r>
      <w:r w:rsidRPr="000F7658">
        <w:rPr>
          <w:rFonts w:eastAsia="MS Mincho"/>
        </w:rPr>
        <w:t>de véhicule à véhicule</w:t>
      </w:r>
      <w:r w:rsidRPr="000F7658">
        <w:rPr>
          <w:rFonts w:eastAsia="MS Mincho"/>
          <w:lang w:eastAsia="ja-JP"/>
        </w:rPr>
        <w:t>, communications de véhicule à infrastructure</w:t>
      </w:r>
    </w:p>
    <w:p w:rsidR="0018746B" w:rsidRPr="000F7658" w:rsidRDefault="0018746B" w:rsidP="0018746B">
      <w:pPr>
        <w:pStyle w:val="Headingb"/>
        <w:rPr>
          <w:rFonts w:eastAsia="MS Mincho"/>
        </w:rPr>
      </w:pPr>
      <w:r w:rsidRPr="000F7658">
        <w:rPr>
          <w:rFonts w:eastAsia="MS Mincho"/>
        </w:rPr>
        <w:t>Acronymes et abréviations</w:t>
      </w:r>
    </w:p>
    <w:p w:rsidR="0018746B" w:rsidRPr="000F7658" w:rsidRDefault="0018746B" w:rsidP="0018746B">
      <w:pPr>
        <w:tabs>
          <w:tab w:val="clear" w:pos="1191"/>
          <w:tab w:val="left" w:pos="1418"/>
        </w:tabs>
        <w:rPr>
          <w:rFonts w:eastAsiaTheme="minorEastAsia"/>
          <w:lang w:eastAsia="ja-JP"/>
        </w:rPr>
      </w:pPr>
      <w:r w:rsidRPr="000F7658">
        <w:rPr>
          <w:rFonts w:eastAsia="MS Mincho"/>
        </w:rPr>
        <w:t>AMDP/AC</w:t>
      </w:r>
      <w:r w:rsidRPr="000F7658">
        <w:rPr>
          <w:rFonts w:eastAsia="MS Mincho"/>
        </w:rPr>
        <w:tab/>
      </w:r>
      <w:r w:rsidRPr="000F7658">
        <w:rPr>
          <w:rFonts w:eastAsia="Dotum"/>
          <w:lang w:eastAsia="ko-KR"/>
        </w:rPr>
        <w:t>Accès multiple avec détection de porteuse/anticollision</w:t>
      </w:r>
    </w:p>
    <w:p w:rsidR="0018746B" w:rsidRPr="00623B7B" w:rsidRDefault="0018746B" w:rsidP="0018746B">
      <w:pPr>
        <w:tabs>
          <w:tab w:val="clear" w:pos="1191"/>
          <w:tab w:val="left" w:pos="1418"/>
        </w:tabs>
        <w:rPr>
          <w:rFonts w:eastAsia="MS Mincho"/>
          <w:lang w:val="en-US" w:eastAsia="ja-JP"/>
        </w:rPr>
      </w:pPr>
      <w:r w:rsidRPr="00623B7B">
        <w:rPr>
          <w:rFonts w:eastAsia="MS Mincho"/>
          <w:lang w:val="en-US" w:eastAsia="ja-JP"/>
        </w:rPr>
        <w:t>ARIB</w:t>
      </w:r>
      <w:r w:rsidRPr="00623B7B">
        <w:rPr>
          <w:rFonts w:eastAsia="MS Mincho"/>
          <w:lang w:val="en-US" w:eastAsia="ja-JP"/>
        </w:rPr>
        <w:tab/>
      </w:r>
      <w:r w:rsidRPr="00623B7B">
        <w:rPr>
          <w:rFonts w:eastAsia="MS Mincho"/>
          <w:lang w:val="en-US" w:eastAsia="ja-JP"/>
        </w:rPr>
        <w:tab/>
      </w:r>
      <w:r w:rsidRPr="00623B7B">
        <w:rPr>
          <w:rFonts w:eastAsia="MS Mincho"/>
          <w:iCs/>
          <w:lang w:val="en-US" w:eastAsia="ja-JP"/>
        </w:rPr>
        <w:t>Association of Radio Industries and Businesses</w:t>
      </w:r>
    </w:p>
    <w:p w:rsidR="0018746B" w:rsidRPr="000F7658" w:rsidRDefault="0018746B" w:rsidP="0018746B">
      <w:pPr>
        <w:tabs>
          <w:tab w:val="clear" w:pos="1191"/>
          <w:tab w:val="left" w:pos="1418"/>
        </w:tabs>
        <w:rPr>
          <w:rFonts w:eastAsia="MS Mincho"/>
        </w:rPr>
      </w:pPr>
      <w:r w:rsidRPr="000F7658">
        <w:rPr>
          <w:rFonts w:eastAsia="MS Mincho"/>
        </w:rPr>
        <w:t>ATS</w:t>
      </w:r>
      <w:r w:rsidRPr="000F7658">
        <w:rPr>
          <w:rFonts w:eastAsia="MS Mincho"/>
        </w:rPr>
        <w:tab/>
      </w:r>
      <w:r w:rsidRPr="000F7658">
        <w:rPr>
          <w:rFonts w:eastAsia="MS Mincho"/>
        </w:rPr>
        <w:tab/>
        <w:t xml:space="preserve">Suite de tests abstraits </w:t>
      </w:r>
      <w:r w:rsidRPr="000F7658">
        <w:rPr>
          <w:rFonts w:eastAsia="MS Mincho"/>
          <w:i/>
        </w:rPr>
        <w:t>(abstract test suite)</w:t>
      </w:r>
    </w:p>
    <w:p w:rsidR="0018746B" w:rsidRPr="000F5B3F" w:rsidRDefault="0018746B" w:rsidP="0018746B">
      <w:pPr>
        <w:tabs>
          <w:tab w:val="clear" w:pos="1191"/>
          <w:tab w:val="left" w:pos="1418"/>
        </w:tabs>
        <w:rPr>
          <w:rFonts w:eastAsia="Dotum"/>
          <w:lang w:val="fr-CH" w:eastAsia="ko-KR"/>
        </w:rPr>
      </w:pPr>
      <w:r w:rsidRPr="000F5B3F">
        <w:rPr>
          <w:rFonts w:eastAsia="MS Mincho"/>
          <w:lang w:val="fr-CH" w:eastAsia="ko-KR"/>
        </w:rPr>
        <w:t>CED</w:t>
      </w:r>
      <w:r w:rsidRPr="000F5B3F">
        <w:rPr>
          <w:rFonts w:eastAsia="MS Mincho"/>
          <w:lang w:val="fr-CH" w:eastAsia="ko-KR"/>
        </w:rPr>
        <w:tab/>
      </w:r>
      <w:r w:rsidRPr="000F5B3F">
        <w:rPr>
          <w:rFonts w:eastAsia="MS Mincho"/>
          <w:lang w:val="fr-CH" w:eastAsia="ko-KR"/>
        </w:rPr>
        <w:tab/>
      </w:r>
      <w:r w:rsidRPr="000F5B3F">
        <w:rPr>
          <w:rFonts w:eastAsia="Dotum"/>
          <w:lang w:val="fr-CH" w:eastAsia="ko-KR"/>
        </w:rPr>
        <w:t>Correction d'erreur directe</w:t>
      </w:r>
    </w:p>
    <w:p w:rsidR="0018746B" w:rsidRPr="000F7658" w:rsidRDefault="0018746B" w:rsidP="0018746B">
      <w:pPr>
        <w:tabs>
          <w:tab w:val="clear" w:pos="1191"/>
          <w:tab w:val="left" w:pos="1418"/>
        </w:tabs>
        <w:rPr>
          <w:rFonts w:eastAsia="MS Mincho"/>
        </w:rPr>
      </w:pPr>
      <w:r w:rsidRPr="000F7658">
        <w:rPr>
          <w:rFonts w:eastAsia="MS Mincho"/>
        </w:rPr>
        <w:t>CEN</w:t>
      </w:r>
      <w:r w:rsidRPr="000F7658">
        <w:rPr>
          <w:rFonts w:eastAsia="MS Mincho"/>
        </w:rPr>
        <w:tab/>
      </w:r>
      <w:r w:rsidRPr="000F7658">
        <w:rPr>
          <w:rFonts w:eastAsia="MS Mincho"/>
        </w:rPr>
        <w:tab/>
        <w:t>Comité européen de normalisation</w:t>
      </w:r>
    </w:p>
    <w:p w:rsidR="0018746B" w:rsidRPr="000F7658" w:rsidRDefault="0018746B" w:rsidP="0018746B">
      <w:pPr>
        <w:tabs>
          <w:tab w:val="clear" w:pos="1191"/>
          <w:tab w:val="left" w:pos="1418"/>
        </w:tabs>
        <w:rPr>
          <w:rFonts w:eastAsiaTheme="minorEastAsia"/>
          <w:lang w:eastAsia="ja-JP"/>
        </w:rPr>
      </w:pPr>
      <w:r w:rsidRPr="000F7658">
        <w:rPr>
          <w:rFonts w:eastAsia="MS Mincho"/>
        </w:rPr>
        <w:t>DCC</w:t>
      </w:r>
      <w:r w:rsidRPr="000F7658">
        <w:rPr>
          <w:rFonts w:eastAsiaTheme="minorEastAsia"/>
          <w:lang w:eastAsia="ja-JP"/>
        </w:rPr>
        <w:tab/>
      </w:r>
      <w:r w:rsidRPr="000F7658">
        <w:rPr>
          <w:rFonts w:eastAsiaTheme="minorEastAsia"/>
          <w:lang w:eastAsia="ja-JP"/>
        </w:rPr>
        <w:tab/>
      </w:r>
      <w:r w:rsidRPr="000F7658">
        <w:rPr>
          <w:rFonts w:eastAsia="MS Mincho"/>
        </w:rPr>
        <w:t xml:space="preserve">Limitation décentralisée des encombrements </w:t>
      </w:r>
      <w:r w:rsidRPr="000F7658">
        <w:rPr>
          <w:rFonts w:eastAsia="MS Mincho"/>
          <w:i/>
        </w:rPr>
        <w:t>(decentralized congestion control)</w:t>
      </w:r>
    </w:p>
    <w:p w:rsidR="0018746B" w:rsidRPr="009461C6" w:rsidRDefault="0018746B" w:rsidP="0018746B">
      <w:pPr>
        <w:tabs>
          <w:tab w:val="clear" w:pos="1191"/>
          <w:tab w:val="left" w:pos="1418"/>
        </w:tabs>
        <w:ind w:left="1418" w:hanging="1418"/>
        <w:rPr>
          <w:rFonts w:eastAsiaTheme="minorEastAsia"/>
          <w:spacing w:val="-4"/>
          <w:lang w:eastAsia="ja-JP"/>
        </w:rPr>
      </w:pPr>
      <w:r w:rsidRPr="000F7658">
        <w:rPr>
          <w:rFonts w:eastAsiaTheme="minorEastAsia"/>
          <w:lang w:eastAsia="ja-JP"/>
        </w:rPr>
        <w:t>DSRC</w:t>
      </w:r>
      <w:r w:rsidRPr="000F7658">
        <w:rPr>
          <w:rFonts w:eastAsiaTheme="minorEastAsia"/>
          <w:lang w:eastAsia="ja-JP"/>
        </w:rPr>
        <w:tab/>
      </w:r>
      <w:r w:rsidRPr="000F7658">
        <w:rPr>
          <w:rFonts w:eastAsiaTheme="minorEastAsia"/>
          <w:lang w:eastAsia="ja-JP"/>
        </w:rPr>
        <w:tab/>
      </w:r>
      <w:r w:rsidRPr="009461C6">
        <w:rPr>
          <w:rFonts w:eastAsiaTheme="minorEastAsia"/>
          <w:spacing w:val="-4"/>
          <w:lang w:eastAsia="ja-JP"/>
        </w:rPr>
        <w:t xml:space="preserve">Communications spécialisées à courte distance </w:t>
      </w:r>
      <w:r w:rsidRPr="009461C6">
        <w:rPr>
          <w:rFonts w:eastAsiaTheme="minorEastAsia"/>
          <w:i/>
          <w:spacing w:val="-4"/>
          <w:lang w:eastAsia="ja-JP"/>
        </w:rPr>
        <w:t>(dedicated short range communications)</w:t>
      </w:r>
    </w:p>
    <w:p w:rsidR="0018746B" w:rsidRPr="000F7658" w:rsidRDefault="0018746B" w:rsidP="0018746B">
      <w:pPr>
        <w:tabs>
          <w:tab w:val="clear" w:pos="1191"/>
          <w:tab w:val="left" w:pos="1418"/>
        </w:tabs>
        <w:rPr>
          <w:rFonts w:eastAsia="MS Mincho"/>
          <w:lang w:eastAsia="ja-JP"/>
        </w:rPr>
      </w:pPr>
      <w:r w:rsidRPr="000F7658">
        <w:rPr>
          <w:rFonts w:eastAsia="MS Mincho"/>
        </w:rPr>
        <w:t>EFC</w:t>
      </w:r>
      <w:r w:rsidRPr="000F7658">
        <w:rPr>
          <w:rFonts w:eastAsia="MS Mincho"/>
          <w:lang w:eastAsia="ja-JP"/>
        </w:rPr>
        <w:tab/>
      </w:r>
      <w:r w:rsidRPr="000F7658">
        <w:rPr>
          <w:rFonts w:eastAsia="MS Mincho"/>
          <w:lang w:eastAsia="ja-JP"/>
        </w:rPr>
        <w:tab/>
      </w:r>
      <w:r w:rsidRPr="000F7658">
        <w:rPr>
          <w:rFonts w:eastAsia="MS Mincho"/>
        </w:rPr>
        <w:t xml:space="preserve">Télépéage </w:t>
      </w:r>
      <w:r w:rsidRPr="000F7658">
        <w:rPr>
          <w:rFonts w:eastAsia="MS Mincho"/>
          <w:i/>
        </w:rPr>
        <w:t>(electronic fee collection)</w:t>
      </w:r>
    </w:p>
    <w:p w:rsidR="0018746B" w:rsidRPr="000F7658" w:rsidRDefault="0018746B" w:rsidP="0018746B">
      <w:pPr>
        <w:tabs>
          <w:tab w:val="clear" w:pos="1191"/>
          <w:tab w:val="left" w:pos="1418"/>
        </w:tabs>
        <w:ind w:left="1418" w:hanging="1418"/>
        <w:rPr>
          <w:rFonts w:eastAsia="Dotum"/>
          <w:lang w:eastAsia="ko-KR"/>
        </w:rPr>
      </w:pPr>
      <w:r w:rsidRPr="000F7658">
        <w:rPr>
          <w:rFonts w:eastAsia="MS Mincho"/>
          <w:lang w:eastAsia="ja-JP"/>
        </w:rPr>
        <w:t>ETSI</w:t>
      </w:r>
      <w:r w:rsidRPr="000F7658">
        <w:rPr>
          <w:rFonts w:eastAsia="MS Mincho"/>
        </w:rPr>
        <w:tab/>
      </w:r>
      <w:r w:rsidRPr="000F7658">
        <w:rPr>
          <w:rFonts w:eastAsia="MS Mincho"/>
        </w:rPr>
        <w:tab/>
      </w:r>
      <w:r w:rsidRPr="000F7658">
        <w:rPr>
          <w:rFonts w:eastAsia="SimSun"/>
          <w:lang w:eastAsia="ja-JP"/>
        </w:rPr>
        <w:t xml:space="preserve">Institut européen des normes de télécommunication </w:t>
      </w:r>
      <w:r w:rsidRPr="000F7658">
        <w:rPr>
          <w:rFonts w:eastAsia="SimSun"/>
          <w:i/>
          <w:lang w:eastAsia="ja-JP"/>
        </w:rPr>
        <w:t>(European Telecommunications Standards Institute)</w:t>
      </w:r>
    </w:p>
    <w:p w:rsidR="0018746B" w:rsidRPr="00623B7B" w:rsidRDefault="0018746B" w:rsidP="0018746B">
      <w:pPr>
        <w:tabs>
          <w:tab w:val="clear" w:pos="1191"/>
          <w:tab w:val="left" w:pos="1418"/>
        </w:tabs>
        <w:rPr>
          <w:rFonts w:eastAsia="Dotum"/>
          <w:lang w:val="en-US" w:eastAsia="ko-KR"/>
        </w:rPr>
      </w:pPr>
      <w:r w:rsidRPr="00623B7B">
        <w:rPr>
          <w:rFonts w:eastAsia="Dotum"/>
          <w:lang w:val="en-US" w:eastAsia="ko-KR"/>
        </w:rPr>
        <w:t>IEEE</w:t>
      </w:r>
      <w:r w:rsidRPr="00623B7B">
        <w:rPr>
          <w:rFonts w:eastAsia="Dotum"/>
          <w:lang w:val="en-US" w:eastAsia="ko-KR"/>
        </w:rPr>
        <w:tab/>
      </w:r>
      <w:r w:rsidRPr="00623B7B">
        <w:rPr>
          <w:rFonts w:eastAsia="Dotum"/>
          <w:lang w:val="en-US" w:eastAsia="ko-KR"/>
        </w:rPr>
        <w:tab/>
        <w:t>Institute of Electrical and Electronics Engineers</w:t>
      </w:r>
    </w:p>
    <w:p w:rsidR="0018746B" w:rsidRPr="000F7658" w:rsidRDefault="0018746B" w:rsidP="0018746B">
      <w:pPr>
        <w:tabs>
          <w:tab w:val="clear" w:pos="1191"/>
          <w:tab w:val="left" w:pos="1418"/>
        </w:tabs>
        <w:rPr>
          <w:rFonts w:eastAsia="Dotum"/>
          <w:lang w:eastAsia="ko-KR"/>
        </w:rPr>
      </w:pPr>
      <w:r w:rsidRPr="000F7658">
        <w:rPr>
          <w:rFonts w:eastAsia="Dotum"/>
          <w:lang w:eastAsia="ko-KR"/>
        </w:rPr>
        <w:t>ITS</w:t>
      </w:r>
      <w:r w:rsidRPr="000F7658">
        <w:rPr>
          <w:rFonts w:eastAsia="Dotum"/>
          <w:lang w:eastAsia="ko-KR"/>
        </w:rPr>
        <w:tab/>
      </w:r>
      <w:r w:rsidRPr="000F7658">
        <w:rPr>
          <w:rFonts w:eastAsia="Dotum"/>
          <w:lang w:eastAsia="ko-KR"/>
        </w:rPr>
        <w:tab/>
        <w:t xml:space="preserve">Systèmes de transport intelligents </w:t>
      </w:r>
      <w:r w:rsidRPr="000F7658">
        <w:rPr>
          <w:rFonts w:eastAsia="Dotum"/>
          <w:i/>
          <w:lang w:eastAsia="ko-KR"/>
        </w:rPr>
        <w:t>(intelligent transport systems)</w:t>
      </w:r>
    </w:p>
    <w:p w:rsidR="0018746B" w:rsidRPr="000F7658" w:rsidRDefault="0018746B" w:rsidP="0018746B">
      <w:pPr>
        <w:tabs>
          <w:tab w:val="clear" w:pos="1191"/>
          <w:tab w:val="left" w:pos="1418"/>
        </w:tabs>
        <w:rPr>
          <w:rFonts w:eastAsia="Dotum"/>
          <w:lang w:eastAsia="ko-KR"/>
        </w:rPr>
      </w:pPr>
      <w:r w:rsidRPr="000F7658">
        <w:rPr>
          <w:rFonts w:eastAsia="MS Mincho"/>
        </w:rPr>
        <w:t>MAQ</w:t>
      </w:r>
      <w:r w:rsidRPr="000F7658">
        <w:rPr>
          <w:rFonts w:eastAsia="MS Mincho"/>
        </w:rPr>
        <w:tab/>
      </w:r>
      <w:r w:rsidRPr="000F7658">
        <w:rPr>
          <w:rFonts w:eastAsia="MS Mincho"/>
        </w:rPr>
        <w:tab/>
      </w:r>
      <w:r w:rsidRPr="000F7658">
        <w:rPr>
          <w:rFonts w:eastAsia="Dotum"/>
          <w:lang w:eastAsia="ko-KR"/>
        </w:rPr>
        <w:t>Modulation d'amplitude en quadrature</w:t>
      </w:r>
    </w:p>
    <w:p w:rsidR="0018746B" w:rsidRPr="000F7658" w:rsidRDefault="0018746B" w:rsidP="0018746B">
      <w:pPr>
        <w:tabs>
          <w:tab w:val="clear" w:pos="1191"/>
          <w:tab w:val="left" w:pos="1418"/>
        </w:tabs>
        <w:rPr>
          <w:rFonts w:eastAsia="Dotum"/>
          <w:lang w:eastAsia="ko-KR"/>
        </w:rPr>
      </w:pPr>
      <w:r w:rsidRPr="000F7658">
        <w:rPr>
          <w:rFonts w:eastAsia="MS Mincho"/>
        </w:rPr>
        <w:t>MDP-2</w:t>
      </w:r>
      <w:r w:rsidRPr="000F7658">
        <w:rPr>
          <w:rFonts w:eastAsia="MS Mincho"/>
        </w:rPr>
        <w:tab/>
      </w:r>
      <w:r w:rsidRPr="000F7658">
        <w:rPr>
          <w:rFonts w:eastAsia="MS Mincho"/>
        </w:rPr>
        <w:tab/>
      </w:r>
      <w:r w:rsidRPr="000F7658">
        <w:rPr>
          <w:rFonts w:eastAsia="Dotum"/>
          <w:lang w:eastAsia="ko-KR"/>
        </w:rPr>
        <w:t>Modulation par déplacement de phase bivalente</w:t>
      </w:r>
    </w:p>
    <w:p w:rsidR="0018746B" w:rsidRPr="000F7658" w:rsidRDefault="0018746B" w:rsidP="0018746B">
      <w:pPr>
        <w:tabs>
          <w:tab w:val="clear" w:pos="1191"/>
          <w:tab w:val="left" w:pos="1418"/>
        </w:tabs>
        <w:rPr>
          <w:rFonts w:eastAsiaTheme="minorEastAsia"/>
          <w:lang w:eastAsia="ja-JP"/>
        </w:rPr>
      </w:pPr>
      <w:r w:rsidRPr="000F7658">
        <w:rPr>
          <w:rFonts w:eastAsia="MS Mincho"/>
        </w:rPr>
        <w:t>MDP-4</w:t>
      </w:r>
      <w:r w:rsidRPr="000F7658">
        <w:rPr>
          <w:rFonts w:eastAsia="MS Mincho"/>
        </w:rPr>
        <w:tab/>
      </w:r>
      <w:r w:rsidRPr="000F7658">
        <w:rPr>
          <w:rFonts w:eastAsia="MS Mincho"/>
        </w:rPr>
        <w:tab/>
      </w:r>
      <w:r w:rsidRPr="000F7658">
        <w:rPr>
          <w:rFonts w:eastAsia="Dotum"/>
          <w:lang w:eastAsia="ko-KR"/>
        </w:rPr>
        <w:t>Modulation par déplacement de phase quadrivalente</w:t>
      </w:r>
    </w:p>
    <w:p w:rsidR="0018746B" w:rsidRPr="000F7658" w:rsidRDefault="0018746B" w:rsidP="0018746B">
      <w:pPr>
        <w:tabs>
          <w:tab w:val="clear" w:pos="1191"/>
          <w:tab w:val="left" w:pos="1418"/>
        </w:tabs>
        <w:rPr>
          <w:rFonts w:eastAsia="Dotum"/>
          <w:lang w:eastAsia="ko-KR"/>
        </w:rPr>
      </w:pPr>
      <w:r w:rsidRPr="000F7658">
        <w:rPr>
          <w:rFonts w:eastAsia="MS Mincho"/>
        </w:rPr>
        <w:t>MROF</w:t>
      </w:r>
      <w:r w:rsidRPr="000F7658">
        <w:rPr>
          <w:rFonts w:eastAsia="Dotum"/>
          <w:lang w:eastAsia="ko-KR"/>
        </w:rPr>
        <w:tab/>
      </w:r>
      <w:r w:rsidRPr="000F7658">
        <w:rPr>
          <w:rFonts w:eastAsia="Dotum"/>
          <w:lang w:eastAsia="ko-KR"/>
        </w:rPr>
        <w:tab/>
        <w:t>Multiplexage par répartition orthogonale de la fréquence</w:t>
      </w:r>
    </w:p>
    <w:p w:rsidR="0018746B" w:rsidRPr="000F7658" w:rsidRDefault="0018746B" w:rsidP="0018746B">
      <w:pPr>
        <w:tabs>
          <w:tab w:val="clear" w:pos="1191"/>
          <w:tab w:val="left" w:pos="1418"/>
        </w:tabs>
        <w:ind w:left="1418" w:hanging="1418"/>
        <w:rPr>
          <w:rFonts w:eastAsia="MS Mincho"/>
          <w:lang w:eastAsia="ja-JP"/>
        </w:rPr>
      </w:pPr>
      <w:r w:rsidRPr="000F7658">
        <w:rPr>
          <w:rFonts w:eastAsia="MS Mincho"/>
          <w:lang w:eastAsia="ja-JP"/>
        </w:rPr>
        <w:t>PICS</w:t>
      </w:r>
      <w:r w:rsidRPr="000F7658">
        <w:rPr>
          <w:rFonts w:eastAsia="MS Mincho"/>
          <w:lang w:eastAsia="ja-JP"/>
        </w:rPr>
        <w:tab/>
      </w:r>
      <w:r w:rsidRPr="000F7658">
        <w:rPr>
          <w:rFonts w:eastAsia="MS Mincho"/>
          <w:lang w:eastAsia="ja-JP"/>
        </w:rPr>
        <w:tab/>
        <w:t xml:space="preserve">Déclaration de conformité d'une instance de protocole </w:t>
      </w:r>
      <w:r w:rsidRPr="000F7658">
        <w:rPr>
          <w:rFonts w:eastAsia="MS Mincho"/>
          <w:i/>
          <w:lang w:eastAsia="ja-JP"/>
        </w:rPr>
        <w:t>(protocol implementation conformance statement)</w:t>
      </w:r>
    </w:p>
    <w:p w:rsidR="0018746B" w:rsidRPr="000F7658" w:rsidRDefault="0018746B" w:rsidP="0018746B">
      <w:pPr>
        <w:tabs>
          <w:tab w:val="clear" w:pos="1191"/>
          <w:tab w:val="left" w:pos="1418"/>
        </w:tabs>
        <w:ind w:left="1418" w:hanging="1418"/>
        <w:rPr>
          <w:rFonts w:eastAsia="MS Mincho"/>
        </w:rPr>
      </w:pPr>
      <w:r w:rsidRPr="000F7658">
        <w:rPr>
          <w:rFonts w:eastAsia="MS Mincho"/>
        </w:rPr>
        <w:t>PIXIT</w:t>
      </w:r>
      <w:r w:rsidRPr="000F7658">
        <w:rPr>
          <w:rFonts w:eastAsia="MS Mincho"/>
        </w:rPr>
        <w:tab/>
      </w:r>
      <w:r w:rsidRPr="000F7658">
        <w:rPr>
          <w:rFonts w:eastAsia="MS Mincho"/>
        </w:rPr>
        <w:tab/>
        <w:t xml:space="preserve">Informations complémentaires sur l'instance de protocole destinées au test </w:t>
      </w:r>
      <w:r w:rsidRPr="000F7658">
        <w:rPr>
          <w:rFonts w:eastAsia="MS Mincho"/>
          <w:i/>
        </w:rPr>
        <w:t>(protocol implementation extra information for testing)</w:t>
      </w:r>
    </w:p>
    <w:p w:rsidR="0018746B" w:rsidRPr="000F7658" w:rsidRDefault="0018746B" w:rsidP="0018746B">
      <w:pPr>
        <w:tabs>
          <w:tab w:val="clear" w:pos="1191"/>
          <w:tab w:val="left" w:pos="1418"/>
        </w:tabs>
        <w:rPr>
          <w:rFonts w:eastAsia="MS Mincho"/>
          <w:lang w:eastAsia="ja-JP"/>
        </w:rPr>
      </w:pPr>
      <w:r w:rsidRPr="000F7658">
        <w:rPr>
          <w:rFonts w:eastAsia="MS Mincho"/>
          <w:lang w:eastAsia="ja-JP"/>
        </w:rPr>
        <w:t>TSS &amp; TP</w:t>
      </w:r>
      <w:r w:rsidRPr="000F7658">
        <w:rPr>
          <w:rFonts w:eastAsia="MS Mincho"/>
          <w:lang w:eastAsia="ja-JP"/>
        </w:rPr>
        <w:tab/>
        <w:t xml:space="preserve">Structure des suites de tests et objectifs des tests </w:t>
      </w:r>
      <w:r w:rsidRPr="000F7658">
        <w:rPr>
          <w:rFonts w:eastAsia="MS Mincho"/>
          <w:i/>
          <w:lang w:eastAsia="ja-JP"/>
        </w:rPr>
        <w:t>(test suite structure and test purposes)</w:t>
      </w:r>
    </w:p>
    <w:p w:rsidR="0018746B" w:rsidRPr="000F7658" w:rsidRDefault="0018746B" w:rsidP="0018746B">
      <w:pPr>
        <w:tabs>
          <w:tab w:val="clear" w:pos="1191"/>
          <w:tab w:val="left" w:pos="1418"/>
        </w:tabs>
        <w:rPr>
          <w:rFonts w:eastAsiaTheme="minorEastAsia"/>
          <w:lang w:eastAsia="ja-JP"/>
        </w:rPr>
      </w:pPr>
      <w:r w:rsidRPr="000F7658">
        <w:rPr>
          <w:rFonts w:eastAsia="Malgun Gothic"/>
          <w:lang w:eastAsia="ko-KR"/>
        </w:rPr>
        <w:t>TTA</w:t>
      </w:r>
      <w:r w:rsidRPr="000F7658">
        <w:rPr>
          <w:rFonts w:eastAsia="Malgun Gothic"/>
          <w:lang w:eastAsia="ko-KR"/>
        </w:rPr>
        <w:tab/>
      </w:r>
      <w:r w:rsidRPr="000F7658">
        <w:rPr>
          <w:rFonts w:eastAsia="Malgun Gothic"/>
          <w:lang w:eastAsia="ko-KR"/>
        </w:rPr>
        <w:tab/>
      </w:r>
      <w:r w:rsidRPr="000F7658">
        <w:rPr>
          <w:rFonts w:eastAsia="MS Mincho"/>
          <w:lang w:eastAsia="ko-KR"/>
        </w:rPr>
        <w:t>Telecommunications Technology Association</w:t>
      </w:r>
    </w:p>
    <w:p w:rsidR="0018746B" w:rsidRPr="000F7658" w:rsidRDefault="0018746B" w:rsidP="0018746B">
      <w:pPr>
        <w:tabs>
          <w:tab w:val="clear" w:pos="1191"/>
          <w:tab w:val="left" w:pos="1418"/>
        </w:tabs>
        <w:rPr>
          <w:rFonts w:eastAsia="MS Mincho"/>
          <w:lang w:eastAsia="ja-JP"/>
        </w:rPr>
      </w:pPr>
      <w:r w:rsidRPr="000F7658">
        <w:rPr>
          <w:rFonts w:eastAsia="MS Mincho"/>
          <w:lang w:eastAsia="ja-JP"/>
        </w:rPr>
        <w:lastRenderedPageBreak/>
        <w:t>V2I</w:t>
      </w:r>
      <w:r w:rsidRPr="000F7658">
        <w:rPr>
          <w:rFonts w:eastAsia="MS Mincho"/>
          <w:lang w:eastAsia="ja-JP"/>
        </w:rPr>
        <w:tab/>
      </w:r>
      <w:r w:rsidRPr="000F7658">
        <w:rPr>
          <w:rFonts w:eastAsia="MS Mincho"/>
          <w:lang w:eastAsia="ja-JP"/>
        </w:rPr>
        <w:tab/>
        <w:t>de véhicule à infrastructure</w:t>
      </w:r>
    </w:p>
    <w:p w:rsidR="0018746B" w:rsidRPr="000F7658" w:rsidRDefault="0018746B" w:rsidP="0018746B">
      <w:pPr>
        <w:tabs>
          <w:tab w:val="clear" w:pos="1191"/>
          <w:tab w:val="left" w:pos="1418"/>
        </w:tabs>
        <w:rPr>
          <w:rFonts w:eastAsia="MS Mincho"/>
          <w:lang w:eastAsia="ja-JP"/>
        </w:rPr>
      </w:pPr>
      <w:r w:rsidRPr="000F7658">
        <w:rPr>
          <w:rFonts w:eastAsia="MS Mincho"/>
          <w:lang w:eastAsia="ja-JP"/>
        </w:rPr>
        <w:t>V2V</w:t>
      </w:r>
      <w:r w:rsidRPr="000F7658">
        <w:rPr>
          <w:rFonts w:eastAsia="MS Mincho"/>
          <w:lang w:eastAsia="ja-JP"/>
        </w:rPr>
        <w:tab/>
      </w:r>
      <w:r w:rsidRPr="000F7658">
        <w:rPr>
          <w:rFonts w:eastAsia="MS Mincho"/>
          <w:lang w:eastAsia="ja-JP"/>
        </w:rPr>
        <w:tab/>
      </w:r>
      <w:r w:rsidRPr="000F7658">
        <w:rPr>
          <w:rFonts w:eastAsia="MS Mincho"/>
        </w:rPr>
        <w:t>de véhicule à véhicule</w:t>
      </w:r>
    </w:p>
    <w:p w:rsidR="0018746B" w:rsidRPr="000F7658" w:rsidRDefault="0018746B" w:rsidP="0018746B">
      <w:pPr>
        <w:tabs>
          <w:tab w:val="clear" w:pos="1191"/>
          <w:tab w:val="left" w:pos="1418"/>
        </w:tabs>
        <w:ind w:left="1418" w:hanging="1418"/>
        <w:rPr>
          <w:rFonts w:eastAsia="MS Mincho"/>
          <w:lang w:eastAsia="ja-JP"/>
        </w:rPr>
      </w:pPr>
      <w:r w:rsidRPr="000F7658">
        <w:rPr>
          <w:rFonts w:eastAsia="MS Mincho"/>
          <w:lang w:eastAsia="ja-JP"/>
        </w:rPr>
        <w:t>WAVE</w:t>
      </w:r>
      <w:r w:rsidRPr="000F7658">
        <w:rPr>
          <w:rFonts w:eastAsia="MS Mincho"/>
          <w:lang w:eastAsia="ja-JP"/>
        </w:rPr>
        <w:tab/>
      </w:r>
      <w:r w:rsidRPr="000F7658">
        <w:rPr>
          <w:rFonts w:eastAsia="MS Mincho"/>
          <w:lang w:eastAsia="ja-JP"/>
        </w:rPr>
        <w:tab/>
        <w:t xml:space="preserve">Accès hertzien dans l'environnement des véhicules </w:t>
      </w:r>
      <w:r w:rsidRPr="000F7658">
        <w:rPr>
          <w:rFonts w:eastAsia="MS Mincho"/>
          <w:i/>
          <w:lang w:eastAsia="ja-JP"/>
        </w:rPr>
        <w:t>(wireless access in vehicular environments)</w:t>
      </w:r>
    </w:p>
    <w:p w:rsidR="0018746B" w:rsidRPr="000F7658" w:rsidRDefault="0018746B" w:rsidP="0018746B">
      <w:pPr>
        <w:pStyle w:val="Headingb"/>
        <w:spacing w:before="240"/>
        <w:rPr>
          <w:rFonts w:eastAsia="MS Mincho"/>
        </w:rPr>
      </w:pPr>
      <w:r w:rsidRPr="000F7658">
        <w:rPr>
          <w:rFonts w:eastAsia="MS Mincho"/>
        </w:rPr>
        <w:t>Recommandations de l'UIT connexes</w:t>
      </w:r>
    </w:p>
    <w:p w:rsidR="0018746B" w:rsidRPr="000F7658" w:rsidRDefault="0018746B" w:rsidP="009461C6">
      <w:pPr>
        <w:tabs>
          <w:tab w:val="clear" w:pos="794"/>
          <w:tab w:val="clear" w:pos="1191"/>
          <w:tab w:val="clear" w:pos="1588"/>
          <w:tab w:val="clear" w:pos="1985"/>
          <w:tab w:val="left" w:pos="1134"/>
          <w:tab w:val="left" w:pos="1871"/>
          <w:tab w:val="left" w:pos="2268"/>
        </w:tabs>
        <w:ind w:left="3686" w:hanging="3686"/>
        <w:jc w:val="left"/>
        <w:rPr>
          <w:rFonts w:eastAsia="MS Mincho"/>
          <w:szCs w:val="24"/>
        </w:rPr>
      </w:pPr>
      <w:r w:rsidRPr="000F7658">
        <w:rPr>
          <w:lang w:eastAsia="ja-JP"/>
        </w:rPr>
        <w:t>Recommandation UIT-R M.1453</w:t>
      </w:r>
      <w:r w:rsidRPr="000F7658">
        <w:rPr>
          <w:rFonts w:eastAsia="MS Mincho"/>
          <w:lang w:eastAsia="ja-JP"/>
        </w:rPr>
        <w:tab/>
      </w:r>
      <w:r w:rsidRPr="000F7658">
        <w:rPr>
          <w:lang w:eastAsia="ja-JP"/>
        </w:rPr>
        <w:t>Systèmes de transport intelligents – Communications spécialisées à courte distance à 5,8 GHz</w:t>
      </w:r>
    </w:p>
    <w:p w:rsidR="0018746B" w:rsidRPr="000F7658" w:rsidRDefault="0018746B" w:rsidP="009461C6">
      <w:pPr>
        <w:ind w:left="3686" w:hanging="3686"/>
        <w:rPr>
          <w:rFonts w:eastAsia="MS Mincho"/>
          <w:lang w:eastAsia="ja-JP"/>
        </w:rPr>
      </w:pPr>
      <w:r w:rsidRPr="000F7658">
        <w:rPr>
          <w:lang w:eastAsia="ja-JP"/>
        </w:rPr>
        <w:t>Recommandation UIT-R M.1890</w:t>
      </w:r>
      <w:r w:rsidRPr="000F7658">
        <w:rPr>
          <w:rFonts w:eastAsia="MS Mincho"/>
          <w:lang w:eastAsia="ja-JP"/>
        </w:rPr>
        <w:tab/>
      </w:r>
      <w:r w:rsidRPr="009461C6">
        <w:rPr>
          <w:rFonts w:eastAsia="MS Mincho"/>
          <w:spacing w:val="-4"/>
          <w:lang w:eastAsia="ja-JP"/>
        </w:rPr>
        <w:t>Systèmes de transport intelligents – Lignes directrices et objectifs</w:t>
      </w:r>
    </w:p>
    <w:p w:rsidR="0018746B" w:rsidRPr="000F7658" w:rsidRDefault="0018746B" w:rsidP="0018746B">
      <w:pPr>
        <w:pStyle w:val="Normalaftertitle"/>
        <w:rPr>
          <w:rFonts w:eastAsia="MS Mincho"/>
          <w:lang w:eastAsia="ja-JP"/>
        </w:rPr>
      </w:pPr>
      <w:r w:rsidRPr="000F7658">
        <w:rPr>
          <w:rFonts w:eastAsia="MS Mincho"/>
        </w:rPr>
        <w:t>L'Assemblée des radiocommunications de l'UIT,</w:t>
      </w:r>
    </w:p>
    <w:p w:rsidR="0018746B" w:rsidRPr="000F7658" w:rsidRDefault="0018746B" w:rsidP="0018746B">
      <w:pPr>
        <w:pStyle w:val="Call"/>
      </w:pPr>
      <w:r w:rsidRPr="000F7658">
        <w:t>considérant</w:t>
      </w:r>
    </w:p>
    <w:p w:rsidR="0018746B" w:rsidRPr="000F7658" w:rsidRDefault="0018746B" w:rsidP="0018746B">
      <w:pPr>
        <w:rPr>
          <w:rFonts w:eastAsia="MS Mincho"/>
          <w:lang w:eastAsia="ja-JP"/>
        </w:rPr>
      </w:pPr>
      <w:r w:rsidRPr="000F7658">
        <w:rPr>
          <w:rFonts w:eastAsia="MS Mincho"/>
          <w:i/>
          <w:iCs/>
          <w:lang w:eastAsia="ja-JP"/>
        </w:rPr>
        <w:t>a)</w:t>
      </w:r>
      <w:r w:rsidRPr="000F7658">
        <w:rPr>
          <w:rFonts w:eastAsia="MS Mincho"/>
          <w:lang w:eastAsia="ja-JP"/>
        </w:rPr>
        <w:tab/>
        <w:t xml:space="preserve">que des organisations de normalisation élaborent actuellement des normes spécifiques pour les communications </w:t>
      </w:r>
      <w:r>
        <w:rPr>
          <w:rFonts w:eastAsia="MS Mincho"/>
        </w:rPr>
        <w:t>de véhicule</w:t>
      </w:r>
      <w:r w:rsidRPr="000F7658">
        <w:rPr>
          <w:rFonts w:eastAsia="MS Mincho"/>
        </w:rPr>
        <w:t xml:space="preserve"> à véhicule </w:t>
      </w:r>
      <w:r w:rsidRPr="000F7658">
        <w:rPr>
          <w:rFonts w:eastAsia="MS Mincho"/>
          <w:lang w:eastAsia="ja-JP"/>
        </w:rPr>
        <w:t>et de véhicule à infrastructure dans les systèmes de transport intelligents (ITS);</w:t>
      </w:r>
    </w:p>
    <w:p w:rsidR="0018746B" w:rsidRPr="000F7658" w:rsidRDefault="0018746B" w:rsidP="0018746B">
      <w:pPr>
        <w:rPr>
          <w:rFonts w:eastAsia="MS Mincho"/>
          <w:lang w:eastAsia="ja-JP"/>
        </w:rPr>
      </w:pPr>
      <w:r w:rsidRPr="000F7658">
        <w:rPr>
          <w:rFonts w:eastAsia="MS Mincho"/>
          <w:i/>
          <w:iCs/>
          <w:lang w:eastAsia="ja-JP"/>
        </w:rPr>
        <w:t>b)</w:t>
      </w:r>
      <w:r w:rsidRPr="000F7658">
        <w:rPr>
          <w:rFonts w:eastAsia="MS Mincho"/>
          <w:lang w:eastAsia="ja-JP"/>
        </w:rPr>
        <w:tab/>
        <w:t>qu'en utilisant la Recommandation de l'UIT-R qui répertorie ces normes, les fabricants et les opérateurs devraient pouvoir déterminer celles qui sont les plus adaptées à leurs besoins,</w:t>
      </w:r>
    </w:p>
    <w:p w:rsidR="0018746B" w:rsidRPr="000F7658" w:rsidRDefault="0018746B" w:rsidP="0018746B">
      <w:pPr>
        <w:pStyle w:val="Call"/>
      </w:pPr>
      <w:r w:rsidRPr="000F7658">
        <w:t>notant</w:t>
      </w:r>
    </w:p>
    <w:p w:rsidR="0018746B" w:rsidRPr="000F7658" w:rsidRDefault="0018746B" w:rsidP="0018746B">
      <w:pPr>
        <w:rPr>
          <w:rFonts w:eastAsia="MS Mincho"/>
          <w:lang w:eastAsia="ja-JP"/>
        </w:rPr>
      </w:pPr>
      <w:r w:rsidRPr="000F7658">
        <w:rPr>
          <w:rFonts w:eastAsia="MS Mincho"/>
        </w:rPr>
        <w:t>la Recommandation UIT-R M.1453, relative aux communications spécialisées à courte distance (DSRC) à 5,8 GHz,</w:t>
      </w:r>
    </w:p>
    <w:p w:rsidR="0018746B" w:rsidRPr="000F7658" w:rsidRDefault="0018746B" w:rsidP="0018746B">
      <w:pPr>
        <w:pStyle w:val="Call"/>
      </w:pPr>
      <w:r w:rsidRPr="000F7658">
        <w:t>recommande</w:t>
      </w:r>
    </w:p>
    <w:p w:rsidR="0018746B" w:rsidRPr="000F7658" w:rsidRDefault="0018746B" w:rsidP="0018746B">
      <w:pPr>
        <w:rPr>
          <w:rFonts w:eastAsia="MS Mincho"/>
        </w:rPr>
      </w:pPr>
      <w:r w:rsidRPr="000F7658">
        <w:rPr>
          <w:rFonts w:eastAsia="MS Mincho"/>
        </w:rPr>
        <w:t xml:space="preserve">que les normes relatives aux interfaces radioélectriques décrites dans les Annexes 1 à 4 soient utilisées pour les communications de véhicule à véhicule et de véhicule à infrastructure. </w:t>
      </w:r>
    </w:p>
    <w:p w:rsidR="0018746B" w:rsidRPr="000F7658" w:rsidRDefault="0018746B" w:rsidP="0018746B">
      <w:pPr>
        <w:rPr>
          <w:rFonts w:eastAsia="MS Mincho"/>
        </w:rPr>
      </w:pPr>
      <w:r w:rsidRPr="000F7658">
        <w:rPr>
          <w:rFonts w:eastAsia="MS Mincho"/>
        </w:rPr>
        <w:t xml:space="preserve">NOTE – Les caractéristiques techniques de ces normes sont résumées dans l'Annexe 5. </w:t>
      </w:r>
    </w:p>
    <w:p w:rsidR="0018746B" w:rsidRPr="000F7658" w:rsidRDefault="0018746B" w:rsidP="0018746B">
      <w:pPr>
        <w:rPr>
          <w:rFonts w:eastAsia="MS Mincho"/>
        </w:rPr>
      </w:pPr>
    </w:p>
    <w:p w:rsidR="0018746B" w:rsidRPr="000F7658" w:rsidRDefault="0018746B" w:rsidP="0018746B">
      <w:pPr>
        <w:rPr>
          <w:rFonts w:eastAsia="MS Mincho"/>
        </w:rPr>
      </w:pPr>
    </w:p>
    <w:p w:rsidR="0018746B" w:rsidRPr="000F7658" w:rsidRDefault="0018746B" w:rsidP="0018746B">
      <w:pPr>
        <w:pStyle w:val="AnnexNoTitle"/>
        <w:rPr>
          <w:rFonts w:ascii="Times New Roman Bold" w:eastAsia="MS Mincho" w:hAnsi="Times New Roman Bold"/>
          <w:lang w:eastAsia="ja-JP"/>
        </w:rPr>
      </w:pPr>
      <w:r w:rsidRPr="000F7658">
        <w:rPr>
          <w:rFonts w:eastAsia="MS Mincho"/>
        </w:rPr>
        <w:t>Annexe 1</w:t>
      </w:r>
      <w:r w:rsidRPr="000F7658">
        <w:rPr>
          <w:rFonts w:eastAsia="MS Mincho"/>
        </w:rPr>
        <w:br/>
      </w:r>
      <w:r w:rsidRPr="000F7658">
        <w:rPr>
          <w:rFonts w:eastAsia="MS Mincho"/>
        </w:rPr>
        <w:br/>
      </w:r>
      <w:r w:rsidRPr="000F7658">
        <w:rPr>
          <w:rFonts w:ascii="Times New Roman Bold" w:eastAsia="MS Mincho" w:hAnsi="Times New Roman Bold"/>
          <w:lang w:eastAsia="ja-JP"/>
        </w:rPr>
        <w:t>Normes de l'ETSI</w:t>
      </w:r>
    </w:p>
    <w:p w:rsidR="0018746B" w:rsidRPr="000F7658" w:rsidRDefault="0018746B" w:rsidP="0018746B">
      <w:pPr>
        <w:pStyle w:val="Normalaftertitle"/>
        <w:rPr>
          <w:rFonts w:eastAsia="MS Mincho"/>
        </w:rPr>
      </w:pPr>
      <w:r w:rsidRPr="000F7658">
        <w:rPr>
          <w:rFonts w:eastAsia="MS Mincho"/>
        </w:rPr>
        <w:t>Les normes de l'ETSI concernant la couche d'accès et la couche média s'appuient sur des caractéristiques telles que:</w:t>
      </w:r>
    </w:p>
    <w:p w:rsidR="0018746B" w:rsidRPr="000F7658" w:rsidRDefault="0018746B" w:rsidP="0018746B">
      <w:pPr>
        <w:pStyle w:val="enumlev1"/>
        <w:rPr>
          <w:rFonts w:eastAsia="MS Mincho"/>
        </w:rPr>
      </w:pPr>
      <w:r w:rsidRPr="000F7658">
        <w:rPr>
          <w:rFonts w:eastAsia="MS Mincho"/>
        </w:rPr>
        <w:t>–</w:t>
      </w:r>
      <w:r w:rsidRPr="000F7658">
        <w:rPr>
          <w:rFonts w:eastAsia="MS Mincho"/>
        </w:rPr>
        <w:tab/>
        <w:t>le fonctionnement à 5,9 GHz;</w:t>
      </w:r>
    </w:p>
    <w:p w:rsidR="0018746B" w:rsidRPr="000F7658" w:rsidRDefault="0018746B" w:rsidP="0018746B">
      <w:pPr>
        <w:pStyle w:val="enumlev1"/>
        <w:rPr>
          <w:rFonts w:eastAsia="MS Mincho"/>
        </w:rPr>
      </w:pPr>
      <w:r w:rsidRPr="000F7658">
        <w:rPr>
          <w:rFonts w:eastAsia="MS Mincho"/>
        </w:rPr>
        <w:t>–</w:t>
      </w:r>
      <w:r w:rsidRPr="000F7658">
        <w:rPr>
          <w:rFonts w:eastAsia="MS Mincho"/>
        </w:rPr>
        <w:tab/>
        <w:t>le fonctionnement multicanal;</w:t>
      </w:r>
    </w:p>
    <w:p w:rsidR="0018746B" w:rsidRPr="000F7658" w:rsidRDefault="0018746B" w:rsidP="0018746B">
      <w:pPr>
        <w:pStyle w:val="enumlev1"/>
        <w:rPr>
          <w:rFonts w:eastAsia="MS Mincho"/>
        </w:rPr>
      </w:pPr>
      <w:r w:rsidRPr="000F7658">
        <w:rPr>
          <w:rFonts w:eastAsia="MS Mincho"/>
        </w:rPr>
        <w:t>–</w:t>
      </w:r>
      <w:r w:rsidRPr="000F7658">
        <w:rPr>
          <w:rFonts w:eastAsia="MS Mincho"/>
        </w:rPr>
        <w:tab/>
        <w:t>la limitation décentralisée des encombrements (DCC);</w:t>
      </w:r>
    </w:p>
    <w:p w:rsidR="0018746B" w:rsidRPr="000F7658" w:rsidRDefault="0018746B" w:rsidP="0018746B">
      <w:pPr>
        <w:pStyle w:val="enumlev1"/>
        <w:rPr>
          <w:rFonts w:eastAsia="MS Mincho"/>
        </w:rPr>
      </w:pPr>
      <w:r w:rsidRPr="000F7658">
        <w:rPr>
          <w:rFonts w:eastAsia="MS Mincho"/>
        </w:rPr>
        <w:t>–</w:t>
      </w:r>
      <w:r w:rsidRPr="000F7658">
        <w:rPr>
          <w:rFonts w:eastAsia="MS Mincho"/>
        </w:rPr>
        <w:tab/>
        <w:t>la coexistence des applications ITS et EFC (utilisant les communications DSRC du CEN) dans les bandes de fréquences des 5,8 GHz et 5,9 GHz.</w:t>
      </w:r>
    </w:p>
    <w:p w:rsidR="0018746B" w:rsidRPr="000F7658" w:rsidRDefault="0018746B" w:rsidP="0018746B">
      <w:pPr>
        <w:pStyle w:val="TableNo"/>
        <w:rPr>
          <w:rFonts w:eastAsia="MS Mincho"/>
        </w:rPr>
      </w:pPr>
      <w:r w:rsidRPr="000F7658">
        <w:rPr>
          <w:rFonts w:eastAsia="MS Mincho"/>
        </w:rPr>
        <w:lastRenderedPageBreak/>
        <w:t>TABLEAU 1</w:t>
      </w:r>
    </w:p>
    <w:p w:rsidR="0018746B" w:rsidRPr="000F7658" w:rsidRDefault="0018746B" w:rsidP="0018746B">
      <w:pPr>
        <w:pStyle w:val="Tabletitle"/>
        <w:rPr>
          <w:rFonts w:eastAsia="MS Mincho"/>
        </w:rPr>
      </w:pPr>
      <w:r w:rsidRPr="000F7658">
        <w:rPr>
          <w:rFonts w:eastAsia="MS Mincho"/>
        </w:rPr>
        <w:t>Normes de base concernant la couche d'accès et la couche média</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gridCol w:w="2102"/>
      </w:tblGrid>
      <w:tr w:rsidR="0018746B" w:rsidRPr="000F7658" w:rsidTr="00166038">
        <w:trPr>
          <w:trHeight w:val="674"/>
          <w:jc w:val="center"/>
        </w:trPr>
        <w:tc>
          <w:tcPr>
            <w:tcW w:w="7650"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head"/>
              <w:keepLines/>
              <w:rPr>
                <w:rFonts w:eastAsia="MS Mincho"/>
              </w:rPr>
            </w:pPr>
            <w:r w:rsidRPr="000F7658">
              <w:rPr>
                <w:rFonts w:eastAsia="MS Mincho"/>
              </w:rPr>
              <w:br w:type="page"/>
              <w:t>Titre de la norme</w:t>
            </w:r>
          </w:p>
        </w:tc>
        <w:tc>
          <w:tcPr>
            <w:tcW w:w="210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head"/>
              <w:keepLines/>
              <w:rPr>
                <w:rFonts w:eastAsia="MS Mincho"/>
              </w:rPr>
            </w:pPr>
            <w:r w:rsidRPr="000F7658">
              <w:rPr>
                <w:rFonts w:eastAsia="MS Mincho"/>
              </w:rPr>
              <w:t>Numéro de la norme</w:t>
            </w:r>
          </w:p>
        </w:tc>
      </w:tr>
      <w:tr w:rsidR="0018746B" w:rsidRPr="000F7658" w:rsidTr="00166038">
        <w:trPr>
          <w:trHeight w:val="1260"/>
          <w:jc w:val="center"/>
        </w:trPr>
        <w:tc>
          <w:tcPr>
            <w:tcW w:w="7650"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keepNext/>
              <w:keepLines/>
              <w:jc w:val="left"/>
              <w:rPr>
                <w:rFonts w:eastAsia="MS Mincho"/>
              </w:rPr>
            </w:pPr>
            <w:r w:rsidRPr="000F7658">
              <w:rPr>
                <w:rFonts w:eastAsia="MS Mincho"/>
              </w:rPr>
              <w:t>Systèmes de transport intelligents (ITS);</w:t>
            </w:r>
          </w:p>
          <w:p w:rsidR="0018746B" w:rsidRPr="000F7658" w:rsidRDefault="0018746B" w:rsidP="00166038">
            <w:pPr>
              <w:pStyle w:val="Tabletext"/>
              <w:keepNext/>
              <w:keepLines/>
              <w:jc w:val="left"/>
              <w:rPr>
                <w:rFonts w:eastAsia="MS Mincho"/>
              </w:rPr>
            </w:pPr>
            <w:r w:rsidRPr="000F7658">
              <w:rPr>
                <w:rFonts w:eastAsia="MS Mincho"/>
              </w:rPr>
              <w:t>Equipements de radiocommunication fonctionnant dans la bande de fréquences 5 855-5 925 MHz;</w:t>
            </w:r>
          </w:p>
          <w:p w:rsidR="0018746B" w:rsidRPr="000F7658" w:rsidRDefault="0018746B" w:rsidP="00166038">
            <w:pPr>
              <w:pStyle w:val="Tabletext"/>
              <w:keepNext/>
              <w:keepLines/>
              <w:jc w:val="left"/>
              <w:rPr>
                <w:rFonts w:eastAsia="MS Mincho"/>
              </w:rPr>
            </w:pPr>
            <w:r w:rsidRPr="000F7658">
              <w:rPr>
                <w:rFonts w:eastAsia="MS Mincho"/>
              </w:rPr>
              <w:t>Norme EN harmonisée couvrant les conditions essentielles de l'Article 3.2 de la Directive R&amp;TTE</w:t>
            </w:r>
          </w:p>
        </w:tc>
        <w:tc>
          <w:tcPr>
            <w:tcW w:w="210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B677EE">
            <w:pPr>
              <w:pStyle w:val="Tabletext"/>
              <w:keepNext/>
              <w:keepLines/>
              <w:jc w:val="center"/>
              <w:rPr>
                <w:rFonts w:eastAsia="MS Mincho"/>
              </w:rPr>
            </w:pPr>
            <w:r>
              <w:rPr>
                <w:rFonts w:eastAsia="MS Mincho"/>
              </w:rPr>
              <w:t>ETSI EN 302 </w:t>
            </w:r>
            <w:r w:rsidRPr="000F7658">
              <w:rPr>
                <w:rFonts w:eastAsia="MS Mincho"/>
              </w:rPr>
              <w:t>571</w:t>
            </w:r>
          </w:p>
        </w:tc>
      </w:tr>
      <w:tr w:rsidR="0018746B" w:rsidRPr="000F7658" w:rsidTr="00166038">
        <w:trPr>
          <w:trHeight w:val="283"/>
          <w:jc w:val="center"/>
        </w:trPr>
        <w:tc>
          <w:tcPr>
            <w:tcW w:w="7650"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rPr>
                <w:rFonts w:eastAsia="MS Mincho"/>
              </w:rPr>
            </w:pPr>
            <w:r w:rsidRPr="000F7658">
              <w:rPr>
                <w:rFonts w:eastAsia="MS Mincho"/>
              </w:rPr>
              <w:t>Systèmes de transport intelligents (ITS);</w:t>
            </w:r>
          </w:p>
          <w:p w:rsidR="0018746B" w:rsidRPr="000F7658" w:rsidRDefault="0018746B" w:rsidP="00166038">
            <w:pPr>
              <w:pStyle w:val="Tabletext"/>
              <w:rPr>
                <w:rFonts w:eastAsia="MS Mincho"/>
              </w:rPr>
            </w:pPr>
            <w:r w:rsidRPr="000F7658">
              <w:rPr>
                <w:rFonts w:eastAsia="MS Mincho"/>
              </w:rPr>
              <w:t>Spécifications de la couche d'accès pour les systèmes de transport intelligents fonctionnant dans la bande de fréquences des 5 GHz</w:t>
            </w:r>
          </w:p>
        </w:tc>
        <w:tc>
          <w:tcPr>
            <w:tcW w:w="210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B677EE">
            <w:pPr>
              <w:pStyle w:val="Tabletext"/>
              <w:keepNext/>
              <w:keepLines/>
              <w:jc w:val="center"/>
              <w:rPr>
                <w:rFonts w:eastAsia="MS Mincho"/>
              </w:rPr>
            </w:pPr>
            <w:r w:rsidRPr="000F7658">
              <w:rPr>
                <w:rFonts w:eastAsia="MS Mincho"/>
              </w:rPr>
              <w:t>ETSI EN 302 663</w:t>
            </w:r>
          </w:p>
        </w:tc>
      </w:tr>
      <w:tr w:rsidR="0018746B" w:rsidRPr="000F7658" w:rsidTr="00166038">
        <w:trPr>
          <w:trHeight w:val="283"/>
          <w:jc w:val="center"/>
        </w:trPr>
        <w:tc>
          <w:tcPr>
            <w:tcW w:w="7650"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jc w:val="left"/>
              <w:rPr>
                <w:rFonts w:eastAsia="MS Mincho"/>
              </w:rPr>
            </w:pPr>
            <w:r w:rsidRPr="000F7658">
              <w:rPr>
                <w:rFonts w:eastAsia="MS Mincho"/>
              </w:rPr>
              <w:t>Systèmes de transport intelligents (ITS);</w:t>
            </w:r>
          </w:p>
          <w:p w:rsidR="0018746B" w:rsidRPr="000F7658" w:rsidRDefault="0018746B" w:rsidP="00166038">
            <w:pPr>
              <w:pStyle w:val="Tabletext"/>
              <w:jc w:val="left"/>
              <w:rPr>
                <w:rFonts w:eastAsia="MS Mincho"/>
              </w:rPr>
            </w:pPr>
            <w:r w:rsidRPr="000F7658">
              <w:rPr>
                <w:rFonts w:eastAsia="MS Mincho"/>
              </w:rPr>
              <w:t>Mécanismes de limitation décentralisée des encombrements pour les systèmes de transport intelligents fonctionnant dans la gamme des 5 GHz;</w:t>
            </w:r>
          </w:p>
          <w:p w:rsidR="0018746B" w:rsidRPr="000F7658" w:rsidRDefault="0018746B" w:rsidP="00166038">
            <w:pPr>
              <w:pStyle w:val="Tabletext"/>
              <w:jc w:val="left"/>
              <w:rPr>
                <w:rFonts w:eastAsia="MS Mincho"/>
              </w:rPr>
            </w:pPr>
            <w:r w:rsidRPr="000F7658">
              <w:rPr>
                <w:rFonts w:eastAsia="MS Mincho"/>
              </w:rPr>
              <w:t>Partie concernant la couche d'accès</w:t>
            </w:r>
          </w:p>
        </w:tc>
        <w:tc>
          <w:tcPr>
            <w:tcW w:w="210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B677EE">
            <w:pPr>
              <w:pStyle w:val="Tabletext"/>
              <w:jc w:val="center"/>
              <w:rPr>
                <w:rFonts w:eastAsia="MS Mincho"/>
              </w:rPr>
            </w:pPr>
            <w:r w:rsidRPr="000F7658">
              <w:rPr>
                <w:rFonts w:eastAsia="MS Mincho"/>
              </w:rPr>
              <w:t>ETSI TS 102 687</w:t>
            </w:r>
          </w:p>
        </w:tc>
      </w:tr>
      <w:tr w:rsidR="0018746B" w:rsidRPr="000F7658" w:rsidTr="00166038">
        <w:trPr>
          <w:trHeight w:val="283"/>
          <w:jc w:val="center"/>
        </w:trPr>
        <w:tc>
          <w:tcPr>
            <w:tcW w:w="7650"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jc w:val="left"/>
              <w:rPr>
                <w:rFonts w:eastAsia="MS Mincho"/>
              </w:rPr>
            </w:pPr>
            <w:r w:rsidRPr="000F7658">
              <w:rPr>
                <w:rFonts w:eastAsia="MS Mincho"/>
              </w:rPr>
              <w:t>Systèmes de transport intelligents (ITS);</w:t>
            </w:r>
          </w:p>
          <w:p w:rsidR="0018746B" w:rsidRPr="000F7658" w:rsidRDefault="0018746B" w:rsidP="00166038">
            <w:pPr>
              <w:pStyle w:val="Tabletext"/>
              <w:jc w:val="left"/>
              <w:rPr>
                <w:rFonts w:eastAsia="MS Mincho"/>
              </w:rPr>
            </w:pPr>
            <w:r w:rsidRPr="000F7658">
              <w:rPr>
                <w:rFonts w:eastAsia="MS Mincho"/>
              </w:rPr>
              <w:t>Techniques d'atténuation pour éviter les brouillages entre les équipements de communication spécialisée à courte distance (DSRC) du CEN et les systèmes de transport intelligents (ITS) fonctionnant dans la gamme de fréquences des 5 GHz</w:t>
            </w:r>
          </w:p>
        </w:tc>
        <w:tc>
          <w:tcPr>
            <w:tcW w:w="210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B677EE">
            <w:pPr>
              <w:pStyle w:val="Tabletext"/>
              <w:jc w:val="center"/>
              <w:rPr>
                <w:rFonts w:eastAsia="MS Mincho"/>
              </w:rPr>
            </w:pPr>
            <w:r w:rsidRPr="000F7658">
              <w:rPr>
                <w:rFonts w:eastAsia="MS Mincho"/>
              </w:rPr>
              <w:t>ETSI TS 102 792</w:t>
            </w:r>
          </w:p>
        </w:tc>
      </w:tr>
      <w:tr w:rsidR="0018746B" w:rsidRPr="000F7658" w:rsidTr="00166038">
        <w:trPr>
          <w:trHeight w:val="283"/>
          <w:jc w:val="center"/>
        </w:trPr>
        <w:tc>
          <w:tcPr>
            <w:tcW w:w="7650"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jc w:val="left"/>
              <w:rPr>
                <w:rFonts w:eastAsia="MS Mincho"/>
              </w:rPr>
            </w:pPr>
            <w:r w:rsidRPr="000F7658">
              <w:rPr>
                <w:rFonts w:eastAsia="MS Mincho"/>
              </w:rPr>
              <w:t>Systèmes de transport intelligents (ITS);</w:t>
            </w:r>
          </w:p>
          <w:p w:rsidR="0018746B" w:rsidRPr="000F7658" w:rsidRDefault="0018746B" w:rsidP="00166038">
            <w:pPr>
              <w:pStyle w:val="Tabletext"/>
              <w:jc w:val="left"/>
              <w:rPr>
                <w:rFonts w:eastAsia="MS Mincho"/>
              </w:rPr>
            </w:pPr>
            <w:r w:rsidRPr="000F7658">
              <w:rPr>
                <w:rFonts w:eastAsia="MS Mincho"/>
              </w:rPr>
              <w:t>Spécifications de canal harmonisées pour les systèmes de transport intelligents (ITS) fonctionnant dans la bande de fréquences des 5 GHz</w:t>
            </w:r>
          </w:p>
        </w:tc>
        <w:tc>
          <w:tcPr>
            <w:tcW w:w="210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B677EE">
            <w:pPr>
              <w:pStyle w:val="Tabletext"/>
              <w:jc w:val="center"/>
              <w:rPr>
                <w:rFonts w:eastAsia="MS Mincho"/>
              </w:rPr>
            </w:pPr>
            <w:r w:rsidRPr="000F7658">
              <w:rPr>
                <w:rFonts w:eastAsia="MS Mincho"/>
              </w:rPr>
              <w:t>ETSI TS 102 724</w:t>
            </w:r>
          </w:p>
        </w:tc>
      </w:tr>
    </w:tbl>
    <w:p w:rsidR="0018746B" w:rsidRPr="000F7658" w:rsidRDefault="0018746B" w:rsidP="0018746B">
      <w:pPr>
        <w:pStyle w:val="TableNo"/>
        <w:rPr>
          <w:rFonts w:eastAsia="MS Mincho"/>
          <w:lang w:eastAsia="ja-JP"/>
        </w:rPr>
      </w:pPr>
      <w:r w:rsidRPr="000F7658">
        <w:rPr>
          <w:rFonts w:eastAsia="MS Mincho"/>
        </w:rPr>
        <w:t>TABLEAU 2</w:t>
      </w:r>
    </w:p>
    <w:p w:rsidR="0018746B" w:rsidRPr="000F7658" w:rsidRDefault="0018746B" w:rsidP="0018746B">
      <w:pPr>
        <w:pStyle w:val="Tabletitle"/>
        <w:rPr>
          <w:rFonts w:eastAsia="MS Mincho"/>
        </w:rPr>
      </w:pPr>
      <w:r w:rsidRPr="000F7658">
        <w:rPr>
          <w:rFonts w:eastAsia="MS Mincho"/>
        </w:rPr>
        <w:t>Normes relatives aux tests concernant la couche d'accès et la couche média</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2"/>
        <w:gridCol w:w="1988"/>
      </w:tblGrid>
      <w:tr w:rsidR="0018746B" w:rsidRPr="000F7658" w:rsidTr="00166038">
        <w:trPr>
          <w:trHeight w:val="674"/>
        </w:trPr>
        <w:tc>
          <w:tcPr>
            <w:tcW w:w="7722" w:type="dxa"/>
            <w:tcBorders>
              <w:top w:val="single" w:sz="4" w:space="0" w:color="auto"/>
              <w:left w:val="single" w:sz="4" w:space="0" w:color="auto"/>
              <w:bottom w:val="single" w:sz="4" w:space="0" w:color="auto"/>
              <w:right w:val="single" w:sz="4" w:space="0" w:color="auto"/>
            </w:tcBorders>
            <w:vAlign w:val="center"/>
            <w:hideMark/>
          </w:tcPr>
          <w:p w:rsidR="0018746B" w:rsidRPr="00CB3BC6" w:rsidRDefault="0018746B" w:rsidP="00166038">
            <w:pPr>
              <w:pStyle w:val="Tablehead"/>
              <w:rPr>
                <w:rFonts w:eastAsia="MS Mincho"/>
              </w:rPr>
            </w:pPr>
            <w:r w:rsidRPr="00CB3BC6">
              <w:rPr>
                <w:rFonts w:eastAsia="MS Mincho"/>
              </w:rPr>
              <w:t>Titre de la norme relative aux tests</w:t>
            </w:r>
          </w:p>
        </w:tc>
        <w:tc>
          <w:tcPr>
            <w:tcW w:w="1988" w:type="dxa"/>
            <w:tcBorders>
              <w:top w:val="single" w:sz="4" w:space="0" w:color="auto"/>
              <w:left w:val="single" w:sz="4" w:space="0" w:color="auto"/>
              <w:bottom w:val="single" w:sz="4" w:space="0" w:color="auto"/>
              <w:right w:val="single" w:sz="4" w:space="0" w:color="auto"/>
            </w:tcBorders>
            <w:vAlign w:val="center"/>
            <w:hideMark/>
          </w:tcPr>
          <w:p w:rsidR="0018746B" w:rsidRPr="00CB3BC6" w:rsidRDefault="0018746B" w:rsidP="00166038">
            <w:pPr>
              <w:pStyle w:val="Tablehead"/>
              <w:rPr>
                <w:rFonts w:eastAsia="MS Mincho"/>
              </w:rPr>
            </w:pPr>
            <w:r w:rsidRPr="00CB3BC6">
              <w:rPr>
                <w:rFonts w:eastAsia="MS Mincho"/>
              </w:rPr>
              <w:t>Numéro de la norme</w:t>
            </w:r>
          </w:p>
        </w:tc>
      </w:tr>
      <w:tr w:rsidR="0018746B" w:rsidRPr="000F7658" w:rsidTr="00166038">
        <w:trPr>
          <w:trHeight w:val="283"/>
        </w:trPr>
        <w:tc>
          <w:tcPr>
            <w:tcW w:w="772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jc w:val="left"/>
              <w:rPr>
                <w:rFonts w:eastAsia="MS Mincho"/>
              </w:rPr>
            </w:pPr>
            <w:r w:rsidRPr="000F7658">
              <w:rPr>
                <w:rFonts w:eastAsia="MS Mincho"/>
              </w:rPr>
              <w:t>Systèmes de transport intelligents (ITS);</w:t>
            </w:r>
          </w:p>
          <w:p w:rsidR="0018746B" w:rsidRPr="000F7658" w:rsidRDefault="0018746B" w:rsidP="00166038">
            <w:pPr>
              <w:pStyle w:val="Tabletext"/>
              <w:jc w:val="left"/>
              <w:rPr>
                <w:rFonts w:eastAsia="MS Mincho"/>
              </w:rPr>
            </w:pPr>
            <w:r w:rsidRPr="000F7658">
              <w:rPr>
                <w:rFonts w:eastAsia="MS Mincho"/>
              </w:rPr>
              <w:t>Spécifications de test pour les algorithmes de limitation de l'encombrement des canaux fonctionnant dans la gamme des 5,9 GHz;</w:t>
            </w:r>
          </w:p>
          <w:p w:rsidR="0018746B" w:rsidRPr="000F7658" w:rsidRDefault="0018746B" w:rsidP="00166038">
            <w:pPr>
              <w:pStyle w:val="Tabletext"/>
              <w:jc w:val="left"/>
              <w:rPr>
                <w:rFonts w:eastAsia="MS Mincho"/>
              </w:rPr>
            </w:pPr>
            <w:r w:rsidRPr="000F7658">
              <w:rPr>
                <w:rFonts w:eastAsia="MS Mincho"/>
              </w:rPr>
              <w:t>Partie 1: Déclaration de conformité d'une instance de protocole (PICS)</w:t>
            </w:r>
          </w:p>
        </w:tc>
        <w:tc>
          <w:tcPr>
            <w:tcW w:w="1988"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B677EE">
            <w:pPr>
              <w:pStyle w:val="Tabletext"/>
              <w:jc w:val="center"/>
              <w:rPr>
                <w:rFonts w:eastAsia="MS Mincho"/>
              </w:rPr>
            </w:pPr>
            <w:r w:rsidRPr="000F7658">
              <w:rPr>
                <w:rFonts w:eastAsia="MS Mincho"/>
              </w:rPr>
              <w:t>ETSI TS 102 917-1</w:t>
            </w:r>
          </w:p>
        </w:tc>
      </w:tr>
      <w:tr w:rsidR="0018746B" w:rsidRPr="000F7658" w:rsidTr="00166038">
        <w:trPr>
          <w:trHeight w:val="283"/>
        </w:trPr>
        <w:tc>
          <w:tcPr>
            <w:tcW w:w="772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jc w:val="left"/>
              <w:rPr>
                <w:rFonts w:eastAsia="MS Mincho"/>
              </w:rPr>
            </w:pPr>
            <w:r w:rsidRPr="000F7658">
              <w:rPr>
                <w:rFonts w:eastAsia="MS Mincho"/>
              </w:rPr>
              <w:t>Systèmes de transport intelligents (ITS);</w:t>
            </w:r>
          </w:p>
          <w:p w:rsidR="0018746B" w:rsidRPr="000F7658" w:rsidRDefault="0018746B" w:rsidP="00166038">
            <w:pPr>
              <w:pStyle w:val="Tabletext"/>
              <w:jc w:val="left"/>
              <w:rPr>
                <w:rFonts w:eastAsia="MS Mincho"/>
              </w:rPr>
            </w:pPr>
            <w:r w:rsidRPr="000F7658">
              <w:rPr>
                <w:rFonts w:eastAsia="MS Mincho"/>
              </w:rPr>
              <w:t>Spécifications de test pour les algorithmes de limitation de l'encombrement des canaux fonctionnant dans la gamme des 5,9 GHz;</w:t>
            </w:r>
          </w:p>
          <w:p w:rsidR="0018746B" w:rsidRPr="000F7658" w:rsidRDefault="0018746B" w:rsidP="00166038">
            <w:pPr>
              <w:pStyle w:val="Tabletext"/>
              <w:jc w:val="left"/>
              <w:rPr>
                <w:rFonts w:eastAsia="MS Mincho"/>
              </w:rPr>
            </w:pPr>
            <w:r w:rsidRPr="000F7658">
              <w:rPr>
                <w:rFonts w:eastAsia="MS Mincho"/>
              </w:rPr>
              <w:t>Partie 2: Structure des suites de tests et objectifs des tests (TSS &amp; TP)</w:t>
            </w:r>
          </w:p>
        </w:tc>
        <w:tc>
          <w:tcPr>
            <w:tcW w:w="1988"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B677EE">
            <w:pPr>
              <w:pStyle w:val="Tabletext"/>
              <w:jc w:val="center"/>
              <w:rPr>
                <w:rFonts w:eastAsia="MS Mincho"/>
              </w:rPr>
            </w:pPr>
            <w:r w:rsidRPr="000F7658">
              <w:rPr>
                <w:rFonts w:eastAsia="MS Mincho"/>
              </w:rPr>
              <w:t>ETSI TS 102 917-2</w:t>
            </w:r>
          </w:p>
        </w:tc>
      </w:tr>
      <w:tr w:rsidR="0018746B" w:rsidRPr="000F7658" w:rsidTr="00166038">
        <w:trPr>
          <w:trHeight w:val="283"/>
        </w:trPr>
        <w:tc>
          <w:tcPr>
            <w:tcW w:w="772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jc w:val="left"/>
              <w:rPr>
                <w:rFonts w:eastAsia="MS Mincho"/>
              </w:rPr>
            </w:pPr>
            <w:r w:rsidRPr="000F7658">
              <w:rPr>
                <w:rFonts w:eastAsia="MS Mincho"/>
              </w:rPr>
              <w:t>Systèmes de transport intelligents (ITS);</w:t>
            </w:r>
          </w:p>
          <w:p w:rsidR="0018746B" w:rsidRPr="000F7658" w:rsidRDefault="0018746B" w:rsidP="00166038">
            <w:pPr>
              <w:pStyle w:val="Tabletext"/>
              <w:jc w:val="left"/>
              <w:rPr>
                <w:rFonts w:eastAsia="MS Mincho"/>
              </w:rPr>
            </w:pPr>
            <w:r w:rsidRPr="000F7658">
              <w:rPr>
                <w:rFonts w:eastAsia="MS Mincho"/>
              </w:rPr>
              <w:t>Spécifications de test pour les algorithmes de limitation de l'encombrement des canaux fonctionnant dans la gamme des 5,9 GHz;</w:t>
            </w:r>
          </w:p>
          <w:p w:rsidR="0018746B" w:rsidRPr="000F7658" w:rsidRDefault="0018746B" w:rsidP="00166038">
            <w:pPr>
              <w:pStyle w:val="Tabletext"/>
              <w:jc w:val="left"/>
              <w:rPr>
                <w:rFonts w:eastAsia="MS Mincho"/>
              </w:rPr>
            </w:pPr>
            <w:r w:rsidRPr="000F7658">
              <w:rPr>
                <w:rFonts w:eastAsia="MS Mincho"/>
              </w:rPr>
              <w:t>Partie 3: Suite de tests abstraits (ATS) et formulaire partiel d'informations complémentaires sur l'instance de protocole destinées aux tests (PIXIT)</w:t>
            </w:r>
          </w:p>
        </w:tc>
        <w:tc>
          <w:tcPr>
            <w:tcW w:w="1988"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B677EE">
            <w:pPr>
              <w:pStyle w:val="Tabletext"/>
              <w:jc w:val="center"/>
              <w:rPr>
                <w:rFonts w:eastAsia="MS Mincho"/>
              </w:rPr>
            </w:pPr>
            <w:r w:rsidRPr="000F7658">
              <w:rPr>
                <w:rFonts w:eastAsia="MS Mincho"/>
              </w:rPr>
              <w:t>ETSI TS 102 917-3</w:t>
            </w:r>
          </w:p>
        </w:tc>
      </w:tr>
      <w:tr w:rsidR="0018746B" w:rsidRPr="000F7658" w:rsidTr="00166038">
        <w:trPr>
          <w:trHeight w:val="283"/>
        </w:trPr>
        <w:tc>
          <w:tcPr>
            <w:tcW w:w="7722"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jc w:val="left"/>
              <w:rPr>
                <w:rFonts w:eastAsia="MS Mincho"/>
              </w:rPr>
            </w:pPr>
            <w:r w:rsidRPr="000F7658">
              <w:rPr>
                <w:rFonts w:eastAsia="MS Mincho"/>
              </w:rPr>
              <w:t>Systèmes de transport intelligents (ITS);</w:t>
            </w:r>
          </w:p>
          <w:p w:rsidR="0018746B" w:rsidRPr="000F7658" w:rsidRDefault="0018746B" w:rsidP="00166038">
            <w:pPr>
              <w:pStyle w:val="Tabletext"/>
              <w:jc w:val="left"/>
              <w:rPr>
                <w:rFonts w:eastAsia="MS Mincho"/>
              </w:rPr>
            </w:pPr>
            <w:r w:rsidRPr="000F7658">
              <w:rPr>
                <w:rFonts w:eastAsia="MS Mincho"/>
              </w:rPr>
              <w:t>Spécifications de test pour les méthodes permettant de garantir la coexistence des systèmes ITS G5 coopératifs avec les équipements RTTT DSRC;</w:t>
            </w:r>
          </w:p>
          <w:p w:rsidR="0018746B" w:rsidRPr="000F7658" w:rsidRDefault="0018746B" w:rsidP="00166038">
            <w:pPr>
              <w:pStyle w:val="Tabletext"/>
              <w:jc w:val="left"/>
              <w:rPr>
                <w:rFonts w:eastAsia="MS Mincho"/>
              </w:rPr>
            </w:pPr>
            <w:r w:rsidRPr="000F7658">
              <w:rPr>
                <w:rFonts w:eastAsia="MS Mincho"/>
              </w:rPr>
              <w:t>Partie 1: Déclaration de conformité d'une instance de protocole (PICS)</w:t>
            </w:r>
          </w:p>
        </w:tc>
        <w:tc>
          <w:tcPr>
            <w:tcW w:w="1988"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B677EE">
            <w:pPr>
              <w:pStyle w:val="Tabletext"/>
              <w:jc w:val="center"/>
              <w:rPr>
                <w:rFonts w:eastAsia="MS Mincho"/>
              </w:rPr>
            </w:pPr>
            <w:r w:rsidRPr="000F7658">
              <w:rPr>
                <w:rFonts w:eastAsia="MS Mincho"/>
              </w:rPr>
              <w:t>ETSI TS 102 916-1</w:t>
            </w:r>
          </w:p>
        </w:tc>
      </w:tr>
    </w:tbl>
    <w:p w:rsidR="0018746B" w:rsidRPr="000F7658" w:rsidRDefault="0018746B" w:rsidP="0018746B">
      <w:pPr>
        <w:pStyle w:val="TableNo"/>
        <w:rPr>
          <w:rFonts w:eastAsia="MS Mincho"/>
          <w:lang w:eastAsia="ja-JP"/>
        </w:rPr>
      </w:pPr>
      <w:r w:rsidRPr="000F7658">
        <w:rPr>
          <w:rFonts w:eastAsia="MS Mincho"/>
        </w:rPr>
        <w:lastRenderedPageBreak/>
        <w:t>TABLEAU 2 (</w:t>
      </w:r>
      <w:r w:rsidRPr="006B5357">
        <w:rPr>
          <w:rFonts w:eastAsia="MS Mincho"/>
          <w:i/>
          <w:iCs/>
        </w:rPr>
        <w:t>fin</w:t>
      </w:r>
      <w:r w:rsidRPr="000F7658">
        <w:rPr>
          <w:rFonts w:eastAsia="MS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7"/>
        <w:gridCol w:w="1957"/>
      </w:tblGrid>
      <w:tr w:rsidR="0018746B" w:rsidRPr="000F7658" w:rsidTr="00166038">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head"/>
              <w:rPr>
                <w:rFonts w:eastAsia="MS Mincho"/>
              </w:rPr>
            </w:pPr>
            <w:r w:rsidRPr="000F7658">
              <w:rPr>
                <w:rFonts w:eastAsia="MS Mincho"/>
              </w:rPr>
              <w:t>Titre de la norme relative aux tests</w:t>
            </w:r>
          </w:p>
        </w:tc>
        <w:tc>
          <w:tcPr>
            <w:tcW w:w="1957"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head"/>
              <w:rPr>
                <w:rFonts w:eastAsia="MS Mincho"/>
              </w:rPr>
            </w:pPr>
            <w:r w:rsidRPr="000F7658">
              <w:rPr>
                <w:rFonts w:eastAsia="MS Mincho"/>
              </w:rPr>
              <w:t>Numéro de la norme</w:t>
            </w:r>
          </w:p>
        </w:tc>
      </w:tr>
      <w:tr w:rsidR="0018746B" w:rsidRPr="000F7658" w:rsidTr="00166038">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jc w:val="left"/>
              <w:rPr>
                <w:rFonts w:eastAsia="MS Mincho"/>
              </w:rPr>
            </w:pPr>
            <w:r w:rsidRPr="000F7658">
              <w:rPr>
                <w:rFonts w:eastAsia="MS Mincho"/>
              </w:rPr>
              <w:t>Systèmes de transport intelligents (ITS);</w:t>
            </w:r>
          </w:p>
          <w:p w:rsidR="0018746B" w:rsidRPr="000F7658" w:rsidRDefault="0018746B" w:rsidP="00166038">
            <w:pPr>
              <w:pStyle w:val="Tabletext"/>
              <w:jc w:val="left"/>
              <w:rPr>
                <w:rFonts w:eastAsia="MS Mincho"/>
              </w:rPr>
            </w:pPr>
            <w:r w:rsidRPr="000F7658">
              <w:rPr>
                <w:rFonts w:eastAsia="MS Mincho"/>
              </w:rPr>
              <w:t>Spécifications de test pour les méthodes permettant de garantir la coexistence des systèmes ITS G5 coopératifs avec les équipements RTTT DSRC;</w:t>
            </w:r>
          </w:p>
          <w:p w:rsidR="0018746B" w:rsidRPr="000F7658" w:rsidRDefault="0018746B" w:rsidP="00166038">
            <w:pPr>
              <w:pStyle w:val="Tabletext"/>
              <w:jc w:val="left"/>
              <w:rPr>
                <w:rFonts w:eastAsia="MS Mincho"/>
              </w:rPr>
            </w:pPr>
            <w:r w:rsidRPr="000F7658">
              <w:rPr>
                <w:rFonts w:eastAsia="MS Mincho"/>
              </w:rPr>
              <w:t>Partie 2: Structure des suites de tests et objectifs des tests (TSS &amp; TP)</w:t>
            </w:r>
          </w:p>
        </w:tc>
        <w:tc>
          <w:tcPr>
            <w:tcW w:w="1957"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rPr>
                <w:rFonts w:eastAsia="MS Mincho"/>
              </w:rPr>
            </w:pPr>
            <w:r w:rsidRPr="000F7658">
              <w:rPr>
                <w:rFonts w:eastAsia="MS Mincho"/>
              </w:rPr>
              <w:t>ETSI TS 102 916-2</w:t>
            </w:r>
          </w:p>
        </w:tc>
      </w:tr>
      <w:tr w:rsidR="0018746B" w:rsidRPr="000F7658" w:rsidTr="00166038">
        <w:trPr>
          <w:trHeight w:val="283"/>
        </w:trPr>
        <w:tc>
          <w:tcPr>
            <w:tcW w:w="7787"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jc w:val="left"/>
              <w:rPr>
                <w:rFonts w:eastAsia="MS Mincho"/>
              </w:rPr>
            </w:pPr>
            <w:r w:rsidRPr="000F7658">
              <w:rPr>
                <w:rFonts w:eastAsia="MS Mincho"/>
              </w:rPr>
              <w:t>Systèmes de transport intelligents (ITS);</w:t>
            </w:r>
          </w:p>
          <w:p w:rsidR="0018746B" w:rsidRPr="000F7658" w:rsidRDefault="0018746B" w:rsidP="00166038">
            <w:pPr>
              <w:pStyle w:val="Tabletext"/>
              <w:jc w:val="left"/>
              <w:rPr>
                <w:rFonts w:eastAsia="MS Mincho"/>
              </w:rPr>
            </w:pPr>
            <w:r w:rsidRPr="000F7658">
              <w:rPr>
                <w:rFonts w:eastAsia="MS Mincho"/>
              </w:rPr>
              <w:t>Spécifications de test pour les méthodes permettant de garantir la coexistence des systèmes ITS G5 coopératifs avec les équipements RTTT DSRC;</w:t>
            </w:r>
          </w:p>
          <w:p w:rsidR="0018746B" w:rsidRPr="000F7658" w:rsidRDefault="0018746B" w:rsidP="00166038">
            <w:pPr>
              <w:pStyle w:val="Tabletext"/>
              <w:jc w:val="left"/>
              <w:rPr>
                <w:rFonts w:eastAsia="MS Mincho"/>
              </w:rPr>
            </w:pPr>
            <w:r w:rsidRPr="000F7658">
              <w:rPr>
                <w:rFonts w:eastAsia="MS Mincho"/>
              </w:rPr>
              <w:t>Partie 3: Suite de tests abstraits (ATS) et formulaire partiel d'informations complémentaires sur l'instance de protocole destinées aux tests (PIXIT)</w:t>
            </w:r>
          </w:p>
        </w:tc>
        <w:tc>
          <w:tcPr>
            <w:tcW w:w="1957"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text"/>
              <w:rPr>
                <w:rFonts w:eastAsia="MS Mincho"/>
              </w:rPr>
            </w:pPr>
            <w:r w:rsidRPr="000F7658">
              <w:rPr>
                <w:rFonts w:eastAsia="MS Mincho"/>
              </w:rPr>
              <w:t>ETSI TS 102 916-3</w:t>
            </w:r>
          </w:p>
        </w:tc>
      </w:tr>
    </w:tbl>
    <w:p w:rsidR="0018746B" w:rsidRPr="000F7658" w:rsidRDefault="0018746B" w:rsidP="00B677EE">
      <w:pPr>
        <w:pStyle w:val="Tablefin"/>
        <w:rPr>
          <w:rFonts w:eastAsia="MS Mincho"/>
        </w:rPr>
      </w:pPr>
    </w:p>
    <w:p w:rsidR="0018746B" w:rsidRPr="000F7658" w:rsidRDefault="0018746B" w:rsidP="0018746B">
      <w:pPr>
        <w:rPr>
          <w:rFonts w:eastAsia="MS Mincho"/>
        </w:rPr>
      </w:pPr>
    </w:p>
    <w:p w:rsidR="0018746B" w:rsidRPr="000F7658" w:rsidRDefault="0018746B" w:rsidP="0018746B">
      <w:pPr>
        <w:pStyle w:val="AnnexNoTitle"/>
        <w:rPr>
          <w:rFonts w:ascii="Times New Roman Bold" w:eastAsia="MS Mincho" w:hAnsi="Times New Roman Bold"/>
          <w:lang w:eastAsia="ja-JP"/>
        </w:rPr>
      </w:pPr>
      <w:r w:rsidRPr="000F7658">
        <w:rPr>
          <w:rFonts w:eastAsia="MS Mincho"/>
        </w:rPr>
        <w:t>Annexe 2</w:t>
      </w:r>
      <w:r w:rsidRPr="000F7658">
        <w:rPr>
          <w:rFonts w:eastAsia="MS Mincho"/>
        </w:rPr>
        <w:br/>
      </w:r>
      <w:r w:rsidRPr="000F7658">
        <w:rPr>
          <w:rFonts w:eastAsia="MS Mincho"/>
        </w:rPr>
        <w:br/>
      </w:r>
      <w:r w:rsidRPr="000F7658">
        <w:rPr>
          <w:rFonts w:ascii="Times New Roman Bold" w:eastAsia="MS Mincho" w:hAnsi="Times New Roman Bold"/>
          <w:lang w:eastAsia="ja-JP"/>
        </w:rPr>
        <w:t>Normes de l'IEEE</w:t>
      </w:r>
    </w:p>
    <w:p w:rsidR="0018746B" w:rsidRPr="000F7658" w:rsidRDefault="0018746B" w:rsidP="0018746B">
      <w:pPr>
        <w:pStyle w:val="Normalaftertitle"/>
        <w:rPr>
          <w:rFonts w:eastAsia="MS Mincho"/>
        </w:rPr>
      </w:pPr>
      <w:r w:rsidRPr="000F7658">
        <w:rPr>
          <w:rFonts w:eastAsia="MS Mincho"/>
        </w:rPr>
        <w:t>Les normes de l'IEEE concernant la couche d'accès et la couche média s'appuient sur des caractéristiques telles que:</w:t>
      </w:r>
    </w:p>
    <w:p w:rsidR="0018746B" w:rsidRPr="000F7658" w:rsidRDefault="0018746B" w:rsidP="0018746B">
      <w:pPr>
        <w:pStyle w:val="enumlev1"/>
        <w:rPr>
          <w:rFonts w:eastAsia="MS Mincho"/>
        </w:rPr>
      </w:pPr>
      <w:r w:rsidRPr="000F7658">
        <w:rPr>
          <w:rFonts w:eastAsia="MS Mincho"/>
        </w:rPr>
        <w:t>–</w:t>
      </w:r>
      <w:r w:rsidRPr="000F7658">
        <w:rPr>
          <w:rFonts w:eastAsia="MS Mincho"/>
        </w:rPr>
        <w:tab/>
        <w:t xml:space="preserve">le fonctionnement </w:t>
      </w:r>
      <w:r>
        <w:rPr>
          <w:rFonts w:eastAsia="MS Mincho"/>
        </w:rPr>
        <w:t>à</w:t>
      </w:r>
      <w:r w:rsidRPr="000F7658">
        <w:rPr>
          <w:rFonts w:eastAsia="MS Mincho"/>
        </w:rPr>
        <w:t xml:space="preserve"> 5,9 GHz;</w:t>
      </w:r>
    </w:p>
    <w:p w:rsidR="0018746B" w:rsidRPr="000F7658" w:rsidRDefault="0018746B" w:rsidP="0018746B">
      <w:pPr>
        <w:pStyle w:val="enumlev1"/>
        <w:rPr>
          <w:rFonts w:eastAsia="MS Mincho"/>
        </w:rPr>
      </w:pPr>
      <w:r w:rsidRPr="000F7658">
        <w:rPr>
          <w:rFonts w:eastAsia="MS Mincho"/>
        </w:rPr>
        <w:t>–</w:t>
      </w:r>
      <w:r w:rsidRPr="000F7658">
        <w:rPr>
          <w:rFonts w:eastAsia="MS Mincho"/>
        </w:rPr>
        <w:tab/>
        <w:t>le fonctionnement multicanal;</w:t>
      </w:r>
    </w:p>
    <w:p w:rsidR="0018746B" w:rsidRPr="000F7658" w:rsidRDefault="0018746B" w:rsidP="0018746B">
      <w:pPr>
        <w:pStyle w:val="enumlev1"/>
        <w:rPr>
          <w:rFonts w:eastAsia="MS Mincho"/>
        </w:rPr>
      </w:pPr>
      <w:r w:rsidRPr="000F7658">
        <w:rPr>
          <w:rFonts w:eastAsia="MS Mincho"/>
        </w:rPr>
        <w:t>–</w:t>
      </w:r>
      <w:r w:rsidRPr="000F7658">
        <w:rPr>
          <w:rFonts w:eastAsia="MS Mincho"/>
        </w:rPr>
        <w:tab/>
        <w:t>la coexistence entre les systèmes ITS et d'autres services dans la bande 5 850-5 925 MHz.</w:t>
      </w:r>
    </w:p>
    <w:p w:rsidR="0018746B" w:rsidRPr="000F7658" w:rsidRDefault="0018746B" w:rsidP="0018746B">
      <w:pPr>
        <w:rPr>
          <w:rFonts w:eastAsia="MS Mincho"/>
          <w:lang w:eastAsia="ja-JP"/>
        </w:rPr>
      </w:pPr>
      <w:r w:rsidRPr="000F7658">
        <w:rPr>
          <w:rFonts w:eastAsia="MS Mincho"/>
          <w:lang w:eastAsia="ja-JP"/>
        </w:rPr>
        <w:t xml:space="preserve">Le programme ITS est dirigé par le Bureau du programme conjoint pour les systèmes ITS de l'Administration fédérale des Etats-Unis responsable des autoroutes. Les exigences applicables à l'utilisation des communications hertziennes multicanal sont basées sur la Norme IEEE 802.11p™-2010 – Norme IEEE pour les technologies de l'information – Réseaux locaux et métropolitains – Exigences spécifiques – Partie 11: Spécifications de la couche de commande d'accès au support (MAC) et de la couche physique (PHY) des réseaux locaux hertziens – Amendement 6: Accès hertzien dans l'environnement des véhicules, élaboré initialement en tant qu'amendement à la norme IEEE 802.11™-2007, inclus dans la révision de la norme IEEE 802.11™-2012 – </w:t>
      </w:r>
      <w:r>
        <w:rPr>
          <w:rFonts w:eastAsia="MS Mincho"/>
          <w:lang w:eastAsia="ja-JP"/>
        </w:rPr>
        <w:t xml:space="preserve">Norme IEEE pour </w:t>
      </w:r>
      <w:r w:rsidRPr="000F7658">
        <w:rPr>
          <w:rFonts w:eastAsia="MS Mincho"/>
          <w:lang w:eastAsia="ja-JP"/>
        </w:rPr>
        <w:t xml:space="preserve">les technologies de l'information – Télécommunications et échange d'informations entre les systèmes – Réseaux locaux et métropolitains – Exigences spécifiques – Partie 11: Spécifications de la couche de commande d'accès au support (MAC) et </w:t>
      </w:r>
      <w:r>
        <w:rPr>
          <w:rFonts w:eastAsia="MS Mincho"/>
          <w:lang w:eastAsia="ja-JP"/>
        </w:rPr>
        <w:t xml:space="preserve">de </w:t>
      </w:r>
      <w:r w:rsidRPr="000F7658">
        <w:rPr>
          <w:rFonts w:eastAsia="MS Mincho"/>
          <w:lang w:eastAsia="ja-JP"/>
        </w:rPr>
        <w:t xml:space="preserve">la couche physique (PHY) des réseaux locaux hertziens. Les exigences applicables aux protocoles de couche supérieure et aux services sont décrites dans la famille de normes IEEE 1609, qui fait appel à la Norme IEEE 802.11. La normalisation des protocoles de couche supérieure et des services va dans le sens des exigences applicables aux communications </w:t>
      </w:r>
      <w:r w:rsidRPr="000F7658">
        <w:rPr>
          <w:rFonts w:eastAsia="MS Mincho"/>
        </w:rPr>
        <w:t xml:space="preserve">de véhicule à véhicule </w:t>
      </w:r>
      <w:r w:rsidRPr="000F7658">
        <w:rPr>
          <w:rFonts w:eastAsia="MS Mincho"/>
          <w:lang w:eastAsia="ja-JP"/>
        </w:rPr>
        <w:t>et de véhicule à infrastructure définies dans l'Architecture ITS nationale et dans les initiatives du Bureau du programme conjoint. L'avantage d'établir des communications hertziennes dans le cadre du programme ITS est que les opérateurs de véhicule, les centres de régulation, les centres de gestion du trafic, les centres d'intervention en cas d'urgence, ainsi que le guidage routier, les alertes de sécurité, les alertes enlèvement et les interventions en cas d'urgence concernant les usagers de la route peuvent s'appuyer sur l'Architecture ITS nationale.</w:t>
      </w:r>
    </w:p>
    <w:p w:rsidR="0018746B" w:rsidRPr="000F7658" w:rsidRDefault="0018746B" w:rsidP="0018746B">
      <w:pPr>
        <w:rPr>
          <w:rFonts w:eastAsia="MS Mincho"/>
          <w:lang w:eastAsia="ja-JP"/>
        </w:rPr>
      </w:pPr>
      <w:r w:rsidRPr="000F7658">
        <w:rPr>
          <w:rFonts w:eastAsia="MS Mincho"/>
          <w:lang w:eastAsia="ja-JP"/>
        </w:rPr>
        <w:t xml:space="preserve">La version publiée de la Norme IEEE 802.11-2012 peut être téléchargée gratuitement sur la page du programme Get de l'IEEE, à l'adresse suivante: </w:t>
      </w:r>
      <w:hyperlink r:id="rId12" w:history="1">
        <w:r w:rsidRPr="00076081">
          <w:rPr>
            <w:rFonts w:asciiTheme="majorBidi" w:eastAsia="MS Mincho" w:hAnsiTheme="majorBidi" w:cstheme="majorBidi"/>
            <w:color w:val="0000FF"/>
            <w:sz w:val="22"/>
            <w:szCs w:val="22"/>
            <w:u w:val="single"/>
            <w:lang w:eastAsia="ja-JP"/>
          </w:rPr>
          <w:t>http://standards.ieee.org/about/get/802/802.11.html</w:t>
        </w:r>
      </w:hyperlink>
      <w:r w:rsidRPr="00B677EE">
        <w:rPr>
          <w:rFonts w:ascii="Arial" w:eastAsia="MS Mincho" w:hAnsi="Arial" w:cs="Arial"/>
          <w:sz w:val="16"/>
          <w:szCs w:val="16"/>
        </w:rPr>
        <w:t>.</w:t>
      </w:r>
    </w:p>
    <w:p w:rsidR="0018746B" w:rsidRPr="000F7658" w:rsidRDefault="0018746B" w:rsidP="0018746B">
      <w:pPr>
        <w:rPr>
          <w:rFonts w:eastAsia="MS Mincho"/>
          <w:lang w:eastAsia="ja-JP"/>
        </w:rPr>
      </w:pPr>
      <w:r w:rsidRPr="000F7658">
        <w:rPr>
          <w:rFonts w:eastAsia="MS Mincho"/>
          <w:lang w:eastAsia="ja-JP"/>
        </w:rPr>
        <w:lastRenderedPageBreak/>
        <w:t>La famille de normes IEEE 1609 contient les normes suivantes:</w:t>
      </w:r>
    </w:p>
    <w:p w:rsidR="0018746B" w:rsidRPr="000F7658" w:rsidRDefault="0018746B" w:rsidP="0018746B">
      <w:pPr>
        <w:rPr>
          <w:rFonts w:eastAsia="MS Mincho"/>
          <w:lang w:eastAsia="ja-JP"/>
        </w:rPr>
      </w:pPr>
      <w:r w:rsidRPr="000F7658">
        <w:rPr>
          <w:rFonts w:eastAsia="MS Mincho"/>
          <w:lang w:eastAsia="ja-JP"/>
        </w:rPr>
        <w:t>IEEE 1609.0™-2013 – Guide de l'IEEE pour l'accès hertzien dans l'environnement des véhicules (WAVE) – Architecture</w:t>
      </w:r>
    </w:p>
    <w:p w:rsidR="0018746B" w:rsidRPr="000F7658" w:rsidRDefault="0018746B" w:rsidP="0018746B">
      <w:pPr>
        <w:rPr>
          <w:rFonts w:eastAsia="MS Mincho"/>
          <w:lang w:eastAsia="ja-JP"/>
        </w:rPr>
      </w:pPr>
      <w:r w:rsidRPr="000F7658">
        <w:rPr>
          <w:rFonts w:eastAsia="MS Mincho"/>
          <w:lang w:eastAsia="ja-JP"/>
        </w:rPr>
        <w:t>IEEE 1609.2™-2013 – Norme de l'IEEE pour l'accès hertzien dans l'environnement des véhicules – Services de sécurité pour les messages d'applications et de gestion</w:t>
      </w:r>
    </w:p>
    <w:p w:rsidR="0018746B" w:rsidRPr="000F7658" w:rsidRDefault="0018746B" w:rsidP="0018746B">
      <w:pPr>
        <w:rPr>
          <w:rFonts w:eastAsia="MS Mincho"/>
          <w:lang w:eastAsia="ja-JP"/>
        </w:rPr>
      </w:pPr>
      <w:r w:rsidRPr="000F7658">
        <w:rPr>
          <w:rFonts w:eastAsia="MS Mincho"/>
          <w:lang w:eastAsia="ja-JP"/>
        </w:rPr>
        <w:t>IEEE 1609.3™-2010 – Norme de l'IEEE pour l'accès hertzien dans l'environnement des véhicules (WAVE) – Services de réseau</w:t>
      </w:r>
    </w:p>
    <w:p w:rsidR="0018746B" w:rsidRPr="000F7658" w:rsidRDefault="0018746B" w:rsidP="0018746B">
      <w:pPr>
        <w:rPr>
          <w:rFonts w:eastAsia="MS Mincho"/>
          <w:lang w:eastAsia="ja-JP"/>
        </w:rPr>
      </w:pPr>
      <w:r w:rsidRPr="000F7658">
        <w:rPr>
          <w:rFonts w:eastAsia="MS Mincho"/>
          <w:lang w:eastAsia="ja-JP"/>
        </w:rPr>
        <w:t>IEEE 1609.3™-2010/Cor 1-2012 – Norme de l'IEEE pour l'accès hertzien dans l'environnement des véhicules (WAVE) – Services de réseau – Corrigendum 1: Corrections diverses</w:t>
      </w:r>
    </w:p>
    <w:p w:rsidR="0018746B" w:rsidRPr="000F7658" w:rsidRDefault="0018746B" w:rsidP="0018746B">
      <w:pPr>
        <w:rPr>
          <w:rFonts w:eastAsia="MS Mincho"/>
          <w:lang w:eastAsia="ja-JP"/>
        </w:rPr>
      </w:pPr>
      <w:r w:rsidRPr="000F7658">
        <w:rPr>
          <w:rFonts w:eastAsia="MS Mincho"/>
          <w:lang w:eastAsia="ja-JP"/>
        </w:rPr>
        <w:t>IEEE 1609.3™-2010/Cor 2-2014 – Norme de l'IEEE pour l'accès hertzien dans l'environnement des véhicules (WAVE) – Services de réseau – Corrigendum 2: Correction des erreurs relevées</w:t>
      </w:r>
    </w:p>
    <w:p w:rsidR="0018746B" w:rsidRPr="000F7658" w:rsidRDefault="0018746B" w:rsidP="0018746B">
      <w:pPr>
        <w:rPr>
          <w:rFonts w:eastAsia="MS Mincho"/>
          <w:lang w:eastAsia="ja-JP"/>
        </w:rPr>
      </w:pPr>
      <w:r w:rsidRPr="000F7658">
        <w:rPr>
          <w:rFonts w:eastAsia="MS Mincho"/>
          <w:lang w:eastAsia="ja-JP"/>
        </w:rPr>
        <w:t>IEEE 1609.4™-2010 – Norme de l'IEEE pour l'accès hertzien dans l'environnement des véhicules (WAVE) – Fonctionnement multicanal</w:t>
      </w:r>
    </w:p>
    <w:p w:rsidR="0018746B" w:rsidRPr="000F7658" w:rsidRDefault="0018746B" w:rsidP="0018746B">
      <w:pPr>
        <w:rPr>
          <w:rFonts w:eastAsia="MS Mincho"/>
          <w:lang w:eastAsia="ja-JP"/>
        </w:rPr>
      </w:pPr>
      <w:r w:rsidRPr="000F7658">
        <w:rPr>
          <w:rFonts w:eastAsia="MS Mincho"/>
          <w:lang w:eastAsia="ja-JP"/>
        </w:rPr>
        <w:t>IEEE 1609.4™-2010/Cor 1-2014 – Norme de l'IEEE pour l'accès hertzien dans l'environnement des véhicules (WAVE) – Fonctionnement multicanal – Corrigendum 1: Correction des erreurs relevées</w:t>
      </w:r>
    </w:p>
    <w:p w:rsidR="0018746B" w:rsidRPr="000F7658" w:rsidRDefault="0018746B" w:rsidP="0018746B">
      <w:pPr>
        <w:rPr>
          <w:rFonts w:eastAsia="MS Mincho"/>
          <w:lang w:eastAsia="ja-JP"/>
        </w:rPr>
      </w:pPr>
      <w:r w:rsidRPr="000F7658">
        <w:rPr>
          <w:rFonts w:eastAsia="MS Mincho"/>
          <w:lang w:eastAsia="ja-JP"/>
        </w:rPr>
        <w:t>IEEE 1609.11™-2010 – Norme de l'IEEE pour l'accès hertzien dans l'environnement des véhicules (WAVE) – Protocole d'échange de données de paiement électronique par voie hertzienne pour les systèmes de transport intelligents (ITS)</w:t>
      </w:r>
    </w:p>
    <w:p w:rsidR="0018746B" w:rsidRPr="000F7658" w:rsidRDefault="0018746B" w:rsidP="0018746B">
      <w:pPr>
        <w:rPr>
          <w:rFonts w:eastAsia="MS Mincho"/>
          <w:lang w:eastAsia="ja-JP"/>
        </w:rPr>
      </w:pPr>
      <w:r w:rsidRPr="000F7658">
        <w:rPr>
          <w:rFonts w:eastAsia="MS Mincho"/>
          <w:lang w:eastAsia="ja-JP"/>
        </w:rPr>
        <w:t>IEEE 1609.12™-2012 – Norme de l'IEEE pour l'accès hertzien dans l'environnement des véhicules (WAVE) – Attributions des identifiants</w:t>
      </w:r>
    </w:p>
    <w:p w:rsidR="0018746B" w:rsidRPr="000F7658" w:rsidRDefault="0018746B" w:rsidP="0018746B">
      <w:pPr>
        <w:rPr>
          <w:rFonts w:eastAsia="MS Mincho"/>
          <w:lang w:eastAsia="ja-JP"/>
        </w:rPr>
      </w:pPr>
    </w:p>
    <w:p w:rsidR="0018746B" w:rsidRPr="000F7658" w:rsidRDefault="0018746B" w:rsidP="0018746B">
      <w:pPr>
        <w:rPr>
          <w:rFonts w:eastAsia="MS Mincho"/>
          <w:lang w:eastAsia="ja-JP"/>
        </w:rPr>
      </w:pPr>
    </w:p>
    <w:p w:rsidR="0018746B" w:rsidRPr="000F7658" w:rsidRDefault="0018746B" w:rsidP="0018746B">
      <w:pPr>
        <w:pStyle w:val="AppendixNoTitle"/>
        <w:rPr>
          <w:rFonts w:eastAsia="MS Mincho"/>
        </w:rPr>
      </w:pPr>
      <w:r w:rsidRPr="000F7658">
        <w:rPr>
          <w:rFonts w:eastAsia="MS Mincho"/>
        </w:rPr>
        <w:t>Annexe 3</w:t>
      </w:r>
      <w:r w:rsidRPr="000F7658">
        <w:rPr>
          <w:rFonts w:eastAsia="MS Mincho"/>
        </w:rPr>
        <w:br/>
      </w:r>
      <w:r w:rsidRPr="000F7658">
        <w:rPr>
          <w:rFonts w:eastAsia="MS Mincho"/>
        </w:rPr>
        <w:br/>
        <w:t>Norme de l'ARIB</w:t>
      </w:r>
    </w:p>
    <w:p w:rsidR="0018746B" w:rsidRPr="000F7658" w:rsidRDefault="0018746B" w:rsidP="0018746B">
      <w:pPr>
        <w:pStyle w:val="Normalaftertitle"/>
        <w:rPr>
          <w:rFonts w:eastAsia="MS Mincho"/>
          <w:lang w:eastAsia="ja-JP"/>
        </w:rPr>
      </w:pPr>
      <w:r w:rsidRPr="000F7658">
        <w:rPr>
          <w:rFonts w:eastAsia="MS Mincho"/>
          <w:lang w:eastAsia="ja-JP"/>
        </w:rPr>
        <w:t>Au Japon, une partie de la bande des 700 MHz (755,5-764,5 MHz) a été assignée pour l'utilisation de systèmes d'aide à la sécurité routière, dans le cadre d'une nouvelle attribution à titre primaire d'une bande issue du dividende numérique. Les caractéristiques techniques des communications de véhicule à véhicule et de véhicule à infrastructure pour les systèmes d'aide à la sécurité routière figurent dans le Tableau 3.</w:t>
      </w:r>
    </w:p>
    <w:p w:rsidR="0018746B" w:rsidRPr="000F7658" w:rsidRDefault="0018746B" w:rsidP="0018746B">
      <w:pPr>
        <w:pStyle w:val="TableNo"/>
        <w:spacing w:before="240"/>
        <w:rPr>
          <w:rFonts w:eastAsia="MS Mincho"/>
          <w:lang w:eastAsia="ja-JP"/>
        </w:rPr>
      </w:pPr>
      <w:r w:rsidRPr="000F7658">
        <w:rPr>
          <w:rFonts w:eastAsia="MS Mincho"/>
        </w:rPr>
        <w:t>TABLEAU 3</w:t>
      </w:r>
    </w:p>
    <w:p w:rsidR="0018746B" w:rsidRDefault="0018746B" w:rsidP="0018746B">
      <w:pPr>
        <w:pStyle w:val="Tabletitle"/>
        <w:rPr>
          <w:rFonts w:eastAsia="MS Mincho"/>
          <w:lang w:eastAsia="ja-JP"/>
        </w:rPr>
      </w:pPr>
      <w:r w:rsidRPr="000F7658">
        <w:rPr>
          <w:rFonts w:eastAsia="MS Mincho"/>
          <w:lang w:eastAsia="ja-JP"/>
        </w:rPr>
        <w:t>Caractéristiques du système de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5528"/>
      </w:tblGrid>
      <w:tr w:rsidR="0018746B" w:rsidRPr="000F7658" w:rsidTr="00166038">
        <w:trPr>
          <w:jc w:val="center"/>
        </w:trPr>
        <w:tc>
          <w:tcPr>
            <w:tcW w:w="39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head"/>
              <w:rPr>
                <w:rFonts w:eastAsia="MS Mincho"/>
                <w:szCs w:val="14"/>
                <w:lang w:eastAsia="ja-JP"/>
              </w:rPr>
            </w:pPr>
            <w:r w:rsidRPr="000F7658">
              <w:rPr>
                <w:rFonts w:eastAsia="MS Mincho"/>
              </w:rPr>
              <w:t>Paramètre</w:t>
            </w:r>
          </w:p>
        </w:tc>
        <w:tc>
          <w:tcPr>
            <w:tcW w:w="552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head"/>
              <w:rPr>
                <w:rFonts w:eastAsia="MS Mincho"/>
                <w:szCs w:val="14"/>
              </w:rPr>
            </w:pPr>
            <w:r w:rsidRPr="000F7658">
              <w:rPr>
                <w:rFonts w:eastAsia="MS Mincho"/>
                <w:lang w:eastAsia="ja-JP"/>
              </w:rPr>
              <w:t>Caractéristique technique</w:t>
            </w:r>
          </w:p>
        </w:tc>
      </w:tr>
      <w:tr w:rsidR="0018746B" w:rsidRPr="000F7658" w:rsidTr="00166038">
        <w:trPr>
          <w:jc w:val="center"/>
        </w:trPr>
        <w:tc>
          <w:tcPr>
            <w:tcW w:w="39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szCs w:val="14"/>
              </w:rPr>
            </w:pPr>
            <w:r w:rsidRPr="000F7658">
              <w:rPr>
                <w:rFonts w:eastAsia="MS Mincho"/>
              </w:rPr>
              <w:t>Plage de fréquences de fonctionnement</w:t>
            </w:r>
          </w:p>
        </w:tc>
        <w:tc>
          <w:tcPr>
            <w:tcW w:w="5528"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18746B" w:rsidRPr="000F7658" w:rsidRDefault="0018746B" w:rsidP="00166038">
            <w:pPr>
              <w:pStyle w:val="Tabletext"/>
              <w:jc w:val="left"/>
              <w:rPr>
                <w:rFonts w:eastAsia="MS Mincho"/>
                <w:szCs w:val="14"/>
                <w:lang w:eastAsia="ja-JP"/>
              </w:rPr>
            </w:pPr>
            <w:r w:rsidRPr="000F7658">
              <w:rPr>
                <w:rFonts w:eastAsia="MS Mincho"/>
                <w:lang w:eastAsia="ja-JP"/>
              </w:rPr>
              <w:t>755,5-764,5 MHz (un seul canal)</w:t>
            </w:r>
          </w:p>
        </w:tc>
      </w:tr>
      <w:tr w:rsidR="0018746B" w:rsidRPr="000F7658" w:rsidTr="00166038">
        <w:trPr>
          <w:jc w:val="center"/>
        </w:trPr>
        <w:tc>
          <w:tcPr>
            <w:tcW w:w="39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szCs w:val="14"/>
                <w:lang w:eastAsia="ja-JP"/>
              </w:rPr>
            </w:pPr>
            <w:r w:rsidRPr="000F7658">
              <w:rPr>
                <w:rFonts w:eastAsia="MS Mincho"/>
                <w:lang w:eastAsia="ja-JP"/>
              </w:rPr>
              <w:t>Largeur de bande occupée</w:t>
            </w:r>
          </w:p>
        </w:tc>
        <w:tc>
          <w:tcPr>
            <w:tcW w:w="5528"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18746B" w:rsidRPr="000F7658" w:rsidRDefault="0018746B" w:rsidP="00166038">
            <w:pPr>
              <w:pStyle w:val="Tabletext"/>
              <w:jc w:val="left"/>
              <w:rPr>
                <w:rFonts w:eastAsia="MS Mincho"/>
                <w:szCs w:val="14"/>
                <w:lang w:eastAsia="ja-JP"/>
              </w:rPr>
            </w:pPr>
            <w:r w:rsidRPr="000F7658">
              <w:rPr>
                <w:rFonts w:eastAsia="MS Mincho"/>
                <w:lang w:eastAsia="ja-JP"/>
              </w:rPr>
              <w:t>Moins de 9 MHz</w:t>
            </w:r>
          </w:p>
        </w:tc>
      </w:tr>
      <w:tr w:rsidR="0018746B" w:rsidRPr="007D15F9" w:rsidTr="00166038">
        <w:trPr>
          <w:jc w:val="center"/>
        </w:trPr>
        <w:tc>
          <w:tcPr>
            <w:tcW w:w="39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szCs w:val="14"/>
                <w:lang w:eastAsia="ja-JP"/>
              </w:rPr>
            </w:pPr>
            <w:r w:rsidRPr="000F7658">
              <w:rPr>
                <w:rFonts w:eastAsia="MS Mincho"/>
              </w:rPr>
              <w:t>Type de modulation</w:t>
            </w:r>
          </w:p>
        </w:tc>
        <w:tc>
          <w:tcPr>
            <w:tcW w:w="5528"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18746B" w:rsidRPr="00623B7B" w:rsidRDefault="0018746B" w:rsidP="00166038">
            <w:pPr>
              <w:pStyle w:val="Tabletext"/>
              <w:jc w:val="left"/>
              <w:rPr>
                <w:rFonts w:eastAsia="MS Mincho"/>
                <w:szCs w:val="14"/>
                <w:lang w:val="en-US"/>
              </w:rPr>
            </w:pPr>
            <w:r w:rsidRPr="00623B7B">
              <w:rPr>
                <w:rFonts w:eastAsia="MS Mincho"/>
                <w:lang w:val="en-US"/>
              </w:rPr>
              <w:t>MDP-2 MROF, MDP-4 MROF, MAQ-16 MROF</w:t>
            </w:r>
          </w:p>
        </w:tc>
      </w:tr>
      <w:tr w:rsidR="0018746B" w:rsidRPr="000F7658" w:rsidTr="00166038">
        <w:trPr>
          <w:jc w:val="center"/>
        </w:trPr>
        <w:tc>
          <w:tcPr>
            <w:tcW w:w="39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szCs w:val="14"/>
              </w:rPr>
            </w:pPr>
            <w:r w:rsidRPr="000F7658">
              <w:rPr>
                <w:rFonts w:eastAsia="MS Mincho"/>
                <w:lang w:eastAsia="ja-JP"/>
              </w:rPr>
              <w:t>Correction d'erreur directe</w:t>
            </w:r>
          </w:p>
        </w:tc>
        <w:tc>
          <w:tcPr>
            <w:tcW w:w="5528"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18746B" w:rsidRPr="000F7658" w:rsidRDefault="0018746B" w:rsidP="00166038">
            <w:pPr>
              <w:pStyle w:val="Tabletext"/>
              <w:jc w:val="left"/>
              <w:rPr>
                <w:rFonts w:eastAsia="MS Mincho"/>
                <w:szCs w:val="14"/>
              </w:rPr>
            </w:pPr>
            <w:r w:rsidRPr="000F7658">
              <w:rPr>
                <w:rFonts w:eastAsia="MS Mincho"/>
              </w:rPr>
              <w:t>Codage convolutif, rendement = 1/2, 3/4</w:t>
            </w:r>
          </w:p>
        </w:tc>
      </w:tr>
      <w:tr w:rsidR="0018746B" w:rsidRPr="007D15F9" w:rsidTr="00166038">
        <w:trPr>
          <w:jc w:val="center"/>
        </w:trPr>
        <w:tc>
          <w:tcPr>
            <w:tcW w:w="39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szCs w:val="14"/>
                <w:lang w:eastAsia="ja-JP"/>
              </w:rPr>
            </w:pPr>
            <w:r w:rsidRPr="000F7658">
              <w:rPr>
                <w:rFonts w:eastAsia="MS Mincho"/>
                <w:lang w:eastAsia="ja-JP"/>
              </w:rPr>
              <w:t>Débit de transmission des données</w:t>
            </w:r>
          </w:p>
        </w:tc>
        <w:tc>
          <w:tcPr>
            <w:tcW w:w="5528"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18746B" w:rsidRPr="00623B7B" w:rsidRDefault="0018746B" w:rsidP="00166038">
            <w:pPr>
              <w:pStyle w:val="Tabletext"/>
              <w:jc w:val="left"/>
              <w:rPr>
                <w:rFonts w:eastAsia="MS Mincho"/>
                <w:szCs w:val="14"/>
                <w:lang w:val="en-US"/>
              </w:rPr>
            </w:pPr>
            <w:r w:rsidRPr="00623B7B">
              <w:rPr>
                <w:rFonts w:eastAsia="MS Mincho"/>
                <w:lang w:val="en-US"/>
              </w:rPr>
              <w:t>3 Mbit/s; 4,5 Mbit/s; 6 Mbit/s; 9 Mbit/s; 12 Mbit/s; 18 Mbit/s</w:t>
            </w:r>
          </w:p>
        </w:tc>
      </w:tr>
      <w:tr w:rsidR="0018746B" w:rsidRPr="000F7658" w:rsidTr="00166038">
        <w:trPr>
          <w:jc w:val="center"/>
        </w:trPr>
        <w:tc>
          <w:tcPr>
            <w:tcW w:w="39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szCs w:val="14"/>
              </w:rPr>
            </w:pPr>
            <w:r w:rsidRPr="000F7658">
              <w:rPr>
                <w:rFonts w:eastAsia="MS Mincho"/>
              </w:rPr>
              <w:t>Commande d'accès au support physique</w:t>
            </w:r>
          </w:p>
        </w:tc>
        <w:tc>
          <w:tcPr>
            <w:tcW w:w="5528"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18746B" w:rsidRPr="000F7658" w:rsidRDefault="0018746B" w:rsidP="00166038">
            <w:pPr>
              <w:pStyle w:val="Tabletext"/>
              <w:jc w:val="left"/>
              <w:rPr>
                <w:rFonts w:eastAsia="MS Mincho"/>
                <w:szCs w:val="14"/>
              </w:rPr>
            </w:pPr>
            <w:r w:rsidRPr="000F7658">
              <w:rPr>
                <w:rFonts w:eastAsia="MS Mincho"/>
              </w:rPr>
              <w:t>AMDP/AC</w:t>
            </w:r>
          </w:p>
        </w:tc>
      </w:tr>
    </w:tbl>
    <w:p w:rsidR="0018746B" w:rsidRPr="000F7658" w:rsidRDefault="0018746B" w:rsidP="0018746B">
      <w:pPr>
        <w:rPr>
          <w:rFonts w:eastAsia="MS Mincho"/>
          <w:lang w:eastAsia="ja-JP"/>
        </w:rPr>
      </w:pPr>
      <w:r w:rsidRPr="000F7658">
        <w:rPr>
          <w:rFonts w:eastAsia="MS Mincho"/>
          <w:lang w:eastAsia="ja-JP"/>
        </w:rPr>
        <w:lastRenderedPageBreak/>
        <w:t>On trouve dans le Tableau 3 les spécifications de base de la norme de l'ARIB, ARIB STD-T109</w:t>
      </w:r>
      <w:r w:rsidRPr="000F7658">
        <w:rPr>
          <w:rFonts w:eastAsia="MS Mincho"/>
          <w:position w:val="6"/>
          <w:sz w:val="18"/>
          <w:lang w:eastAsia="ja-JP"/>
        </w:rPr>
        <w:footnoteReference w:id="1"/>
      </w:r>
      <w:r w:rsidRPr="000F7658">
        <w:rPr>
          <w:rFonts w:eastAsia="MS Mincho"/>
          <w:lang w:eastAsia="ja-JP"/>
        </w:rPr>
        <w:t>, les systèmes de transport intelligents dans la bande des 700 MHz, élaborée en février 2012.</w:t>
      </w:r>
    </w:p>
    <w:p w:rsidR="0018746B" w:rsidRPr="000F7658" w:rsidRDefault="0018746B" w:rsidP="0018746B">
      <w:pPr>
        <w:rPr>
          <w:rFonts w:eastAsia="MS Mincho"/>
          <w:lang w:eastAsia="ja-JP"/>
        </w:rPr>
      </w:pPr>
      <w:r w:rsidRPr="000F7658">
        <w:rPr>
          <w:rFonts w:eastAsia="MS Mincho"/>
          <w:lang w:eastAsia="ja-JP"/>
        </w:rPr>
        <w:t>On utilisera une largeur de canal de 9 MHz dans la bande de fréquences des 700 MHz pour les systèmes d'aide à la sécurité routière.</w:t>
      </w:r>
    </w:p>
    <w:p w:rsidR="0018746B" w:rsidRPr="000F7658" w:rsidRDefault="0018746B" w:rsidP="0018746B">
      <w:pPr>
        <w:rPr>
          <w:rFonts w:eastAsia="MS Mincho"/>
          <w:lang w:eastAsia="ja-JP"/>
        </w:rPr>
      </w:pPr>
      <w:r w:rsidRPr="000F7658">
        <w:rPr>
          <w:rFonts w:eastAsia="MS Mincho"/>
          <w:lang w:eastAsia="ja-JP"/>
        </w:rPr>
        <w:t>Le débit de transmission des données varie en fonction du type de modulation et du rendement de codage (R) choisis de la façon suivante:</w:t>
      </w:r>
    </w:p>
    <w:p w:rsidR="0018746B" w:rsidRPr="00623B7B" w:rsidRDefault="0018746B" w:rsidP="0018746B">
      <w:pPr>
        <w:pStyle w:val="enumlev1"/>
        <w:rPr>
          <w:rFonts w:eastAsia="MS Mincho"/>
          <w:lang w:val="en-US" w:eastAsia="ja-JP"/>
        </w:rPr>
      </w:pPr>
      <w:r w:rsidRPr="00623B7B">
        <w:rPr>
          <w:rFonts w:eastAsia="MS Mincho"/>
          <w:lang w:val="en-US"/>
        </w:rPr>
        <w:t>–</w:t>
      </w:r>
      <w:r w:rsidRPr="00623B7B">
        <w:rPr>
          <w:rFonts w:eastAsia="MS Mincho"/>
          <w:lang w:val="en-US"/>
        </w:rPr>
        <w:tab/>
        <w:t>3 Mbit/s (MDP-2 MROF, R = 1/2); 4,5 Mbit/s (MDP-2 MROF, R = 3/4);</w:t>
      </w:r>
      <w:r w:rsidRPr="00623B7B">
        <w:rPr>
          <w:rFonts w:eastAsia="MS Mincho"/>
          <w:lang w:val="en-US" w:eastAsia="ja-JP"/>
        </w:rPr>
        <w:t xml:space="preserve"> </w:t>
      </w:r>
    </w:p>
    <w:p w:rsidR="0018746B" w:rsidRPr="00623B7B" w:rsidRDefault="0018746B" w:rsidP="0018746B">
      <w:pPr>
        <w:pStyle w:val="enumlev1"/>
        <w:rPr>
          <w:rFonts w:eastAsia="MS Mincho"/>
          <w:lang w:val="en-US" w:eastAsia="ja-JP"/>
        </w:rPr>
      </w:pPr>
      <w:r w:rsidRPr="00623B7B">
        <w:rPr>
          <w:rFonts w:eastAsia="MS Mincho"/>
          <w:lang w:val="en-US"/>
        </w:rPr>
        <w:t>–</w:t>
      </w:r>
      <w:r w:rsidRPr="00623B7B">
        <w:rPr>
          <w:rFonts w:eastAsia="MS Mincho"/>
          <w:lang w:val="en-US"/>
        </w:rPr>
        <w:tab/>
      </w:r>
      <w:r w:rsidRPr="00623B7B">
        <w:rPr>
          <w:rFonts w:eastAsia="MS Mincho"/>
          <w:lang w:val="en-US" w:eastAsia="ja-JP"/>
        </w:rPr>
        <w:t>6 Mbit/s (MDP-4 MROF, R = 1/2); 9 Mbit/s (MDP-4 MROF, R = 3/4);</w:t>
      </w:r>
    </w:p>
    <w:p w:rsidR="0018746B" w:rsidRPr="00623B7B" w:rsidRDefault="0018746B" w:rsidP="0018746B">
      <w:pPr>
        <w:pStyle w:val="enumlev1"/>
        <w:rPr>
          <w:rFonts w:eastAsia="MS Mincho"/>
          <w:lang w:val="en-US" w:eastAsia="ja-JP"/>
        </w:rPr>
      </w:pPr>
      <w:r w:rsidRPr="00623B7B">
        <w:rPr>
          <w:rFonts w:eastAsia="MS Mincho"/>
          <w:lang w:val="en-US"/>
        </w:rPr>
        <w:t>–</w:t>
      </w:r>
      <w:r w:rsidRPr="00623B7B">
        <w:rPr>
          <w:rFonts w:eastAsia="MS Mincho"/>
          <w:lang w:val="en-US"/>
        </w:rPr>
        <w:tab/>
      </w:r>
      <w:r w:rsidRPr="00623B7B">
        <w:rPr>
          <w:rFonts w:eastAsia="MS Mincho"/>
          <w:lang w:val="en-US" w:eastAsia="ja-JP"/>
        </w:rPr>
        <w:t>12 Mbit/s (MAQ-16 MROF, R = 1/2); 18 Mbit/s (MAQ-16 MROF, R = 3/4).</w:t>
      </w:r>
    </w:p>
    <w:p w:rsidR="0018746B" w:rsidRPr="000F7658" w:rsidRDefault="0018746B" w:rsidP="0018746B">
      <w:pPr>
        <w:rPr>
          <w:rFonts w:eastAsia="MS Mincho"/>
          <w:lang w:eastAsia="ja-JP"/>
        </w:rPr>
      </w:pPr>
      <w:r w:rsidRPr="000F7658">
        <w:rPr>
          <w:rFonts w:eastAsia="MS Mincho"/>
          <w:lang w:eastAsia="ja-JP"/>
        </w:rPr>
        <w:t xml:space="preserve">Le même canal sera utilisé à la fois pour les communications entre de véhicule à véhicule et pour les communications de véhicule à infrastructure, sur la base d'une commande d'accès au support physique du type AMDP/AC. </w:t>
      </w:r>
    </w:p>
    <w:p w:rsidR="0018746B" w:rsidRPr="000F7658" w:rsidRDefault="0018746B" w:rsidP="0018746B">
      <w:pPr>
        <w:rPr>
          <w:rFonts w:eastAsia="MS Mincho"/>
          <w:lang w:eastAsia="ja-JP"/>
        </w:rPr>
      </w:pPr>
    </w:p>
    <w:p w:rsidR="0018746B" w:rsidRPr="000F7658" w:rsidRDefault="0018746B" w:rsidP="0018746B">
      <w:pPr>
        <w:rPr>
          <w:rFonts w:eastAsia="MS Mincho"/>
          <w:lang w:eastAsia="ja-JP"/>
        </w:rPr>
      </w:pPr>
    </w:p>
    <w:p w:rsidR="0018746B" w:rsidRPr="000F7658" w:rsidRDefault="0018746B" w:rsidP="0018746B">
      <w:pPr>
        <w:pStyle w:val="AnnexNoTitle"/>
        <w:rPr>
          <w:rFonts w:ascii="Times New Roman Bold" w:eastAsia="MS Mincho" w:hAnsi="Times New Roman Bold"/>
        </w:rPr>
      </w:pPr>
      <w:r w:rsidRPr="000F7658">
        <w:rPr>
          <w:rFonts w:eastAsia="MS Mincho"/>
        </w:rPr>
        <w:t>Annexe 4</w:t>
      </w:r>
      <w:r w:rsidRPr="000F7658">
        <w:rPr>
          <w:rFonts w:eastAsia="MS Mincho"/>
        </w:rPr>
        <w:br/>
      </w:r>
      <w:r w:rsidRPr="000F7658">
        <w:rPr>
          <w:rFonts w:ascii="Times New Roman Bold" w:eastAsia="MS Mincho" w:hAnsi="Times New Roman Bold"/>
        </w:rPr>
        <w:br/>
        <w:t>Normes de la TTA</w:t>
      </w:r>
    </w:p>
    <w:p w:rsidR="0018746B" w:rsidRPr="000F7658" w:rsidRDefault="0018746B" w:rsidP="0018746B">
      <w:pPr>
        <w:pStyle w:val="Heading1"/>
        <w:rPr>
          <w:rFonts w:eastAsia="MS Mincho"/>
          <w:lang w:eastAsia="ja-JP"/>
        </w:rPr>
      </w:pPr>
      <w:r w:rsidRPr="000F7658">
        <w:rPr>
          <w:rFonts w:eastAsia="MS Mincho"/>
        </w:rPr>
        <w:t>1</w:t>
      </w:r>
      <w:r w:rsidRPr="000F7658">
        <w:rPr>
          <w:rFonts w:eastAsia="MS Mincho"/>
        </w:rPr>
        <w:tab/>
        <w:t>Caractéristiques techniques</w:t>
      </w:r>
    </w:p>
    <w:p w:rsidR="0018746B" w:rsidRPr="000F7658" w:rsidRDefault="0018746B" w:rsidP="0018746B">
      <w:pPr>
        <w:rPr>
          <w:rFonts w:eastAsia="MS Mincho"/>
          <w:lang w:eastAsia="ja-JP"/>
        </w:rPr>
      </w:pPr>
      <w:r w:rsidRPr="000F7658">
        <w:rPr>
          <w:rFonts w:eastAsia="MS Mincho"/>
          <w:lang w:eastAsia="ko-KR"/>
        </w:rPr>
        <w:t xml:space="preserve">Pour les applications de radiocommunications évoluées des systèmes de transport intelligents, il faut tenir compte des exigences applicables aux communications V2V et V2I et aux services associés, ainsi que des normes WAVE, afin d'assurer une harmonisation internationale. Pour les applications V2V, il est nécessaire que le temps de latence des paquets soit faible, car l'intervalle de temps pendant lequel un message de sécurité permet de sauver des vies est de l'ordre de 100 ms. De plus, ces applications requièrent un canal radioélectrique très actif pour répondre aux cas où un grand nombre de véhicules tentent de d'activer le canal radioélectrique simultanément. En ce qui concerne les applications V2I, il est nécessaire de recourir à la transmission de longs paquets, contenant un message court, des informations cartographiques ainsi que des informations graphiques, et ayant une taille d'environ 2 koctets dans des conditions de grande mobilité. </w:t>
      </w:r>
    </w:p>
    <w:p w:rsidR="0018746B" w:rsidRPr="000F7658" w:rsidRDefault="0018746B" w:rsidP="0018746B">
      <w:pPr>
        <w:rPr>
          <w:rFonts w:eastAsia="MS Mincho"/>
          <w:lang w:eastAsia="ko-KR"/>
        </w:rPr>
      </w:pPr>
      <w:r w:rsidRPr="000F7658">
        <w:rPr>
          <w:rFonts w:eastAsia="MS Mincho"/>
          <w:lang w:eastAsia="ko-KR"/>
        </w:rPr>
        <w:t>Les applications de radiocommunications évoluées de transport intelligents présentent donc les caractéristiques figurant dans le Tableau 4.</w:t>
      </w:r>
    </w:p>
    <w:p w:rsidR="0018746B" w:rsidRPr="000F7658" w:rsidRDefault="0018746B" w:rsidP="00B677EE">
      <w:pPr>
        <w:pStyle w:val="TableNo"/>
        <w:keepLines/>
        <w:rPr>
          <w:rFonts w:eastAsiaTheme="minorEastAsia"/>
          <w:lang w:eastAsia="ja-JP"/>
        </w:rPr>
      </w:pPr>
      <w:r w:rsidRPr="00C833AD">
        <w:rPr>
          <w:rFonts w:eastAsia="MS Mincho"/>
        </w:rPr>
        <w:lastRenderedPageBreak/>
        <w:t>TABLEAU</w:t>
      </w:r>
      <w:r w:rsidRPr="000F7658">
        <w:rPr>
          <w:rFonts w:eastAsia="MS Mincho"/>
        </w:rPr>
        <w:t xml:space="preserve"> 4</w:t>
      </w:r>
    </w:p>
    <w:p w:rsidR="0018746B" w:rsidRPr="000F7658" w:rsidRDefault="0018746B" w:rsidP="00B677EE">
      <w:pPr>
        <w:pStyle w:val="Tabletitle"/>
        <w:keepLines/>
        <w:rPr>
          <w:rFonts w:eastAsia="MS Mincho"/>
        </w:rPr>
      </w:pPr>
      <w:r w:rsidRPr="00C833AD">
        <w:rPr>
          <w:rFonts w:eastAsia="MS Mincho"/>
        </w:rPr>
        <w:t>Caractéristiques</w:t>
      </w:r>
      <w:r w:rsidRPr="000F7658">
        <w:rPr>
          <w:rFonts w:eastAsia="MS Mincho"/>
        </w:rPr>
        <w:t xml:space="preserve"> techniques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5670"/>
      </w:tblGrid>
      <w:tr w:rsidR="0018746B" w:rsidRPr="000F7658" w:rsidTr="00166038">
        <w:trPr>
          <w:tblHeader/>
          <w:jc w:val="center"/>
        </w:trPr>
        <w:tc>
          <w:tcPr>
            <w:tcW w:w="3402" w:type="dxa"/>
            <w:tcBorders>
              <w:top w:val="single" w:sz="4" w:space="0" w:color="auto"/>
              <w:left w:val="single" w:sz="4" w:space="0" w:color="auto"/>
              <w:bottom w:val="single" w:sz="4" w:space="0" w:color="auto"/>
              <w:right w:val="single" w:sz="4" w:space="0" w:color="auto"/>
            </w:tcBorders>
            <w:hideMark/>
          </w:tcPr>
          <w:p w:rsidR="0018746B" w:rsidRPr="00CB3BC6" w:rsidRDefault="0018746B" w:rsidP="00B677EE">
            <w:pPr>
              <w:pStyle w:val="Tablehead"/>
              <w:keepLines/>
              <w:rPr>
                <w:rFonts w:eastAsia="Gulim"/>
              </w:rPr>
            </w:pPr>
            <w:r w:rsidRPr="00CB3BC6">
              <w:rPr>
                <w:rFonts w:eastAsia="Gulim"/>
              </w:rPr>
              <w:t>Paramètre</w:t>
            </w:r>
          </w:p>
        </w:tc>
        <w:tc>
          <w:tcPr>
            <w:tcW w:w="5670" w:type="dxa"/>
            <w:tcBorders>
              <w:top w:val="single" w:sz="4" w:space="0" w:color="auto"/>
              <w:left w:val="single" w:sz="4" w:space="0" w:color="auto"/>
              <w:bottom w:val="single" w:sz="4" w:space="0" w:color="auto"/>
              <w:right w:val="single" w:sz="4" w:space="0" w:color="auto"/>
            </w:tcBorders>
            <w:hideMark/>
          </w:tcPr>
          <w:p w:rsidR="0018746B" w:rsidRPr="00CB3BC6" w:rsidRDefault="0018746B" w:rsidP="00B677EE">
            <w:pPr>
              <w:pStyle w:val="Tablehead"/>
              <w:keepLines/>
              <w:rPr>
                <w:rFonts w:eastAsia="Gulim"/>
              </w:rPr>
            </w:pPr>
            <w:r w:rsidRPr="00CB3BC6">
              <w:rPr>
                <w:rFonts w:eastAsia="Gulim"/>
              </w:rPr>
              <w:t>Caractéristique technique</w:t>
            </w:r>
          </w:p>
        </w:tc>
      </w:tr>
      <w:tr w:rsidR="0018746B" w:rsidRPr="000F7658" w:rsidTr="00166038">
        <w:trPr>
          <w:jc w:val="center"/>
        </w:trPr>
        <w:tc>
          <w:tcPr>
            <w:tcW w:w="3402"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rPr>
                <w:rFonts w:eastAsia="MS Mincho"/>
              </w:rPr>
            </w:pPr>
            <w:r w:rsidRPr="000F7658">
              <w:rPr>
                <w:rFonts w:eastAsia="MS Mincho"/>
              </w:rPr>
              <w:t>Fréquence RF</w:t>
            </w:r>
          </w:p>
        </w:tc>
        <w:tc>
          <w:tcPr>
            <w:tcW w:w="56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jc w:val="left"/>
              <w:rPr>
                <w:rFonts w:eastAsia="MS Mincho"/>
                <w:b/>
                <w:caps/>
              </w:rPr>
            </w:pPr>
            <w:r w:rsidRPr="000F7658">
              <w:rPr>
                <w:rFonts w:eastAsia="Malgun Gothic"/>
                <w:lang w:eastAsia="ko-KR"/>
              </w:rPr>
              <w:t>5 855-5 925 MHz (système pilote)</w:t>
            </w:r>
          </w:p>
        </w:tc>
      </w:tr>
      <w:tr w:rsidR="0018746B" w:rsidRPr="000F7658" w:rsidTr="00166038">
        <w:trPr>
          <w:jc w:val="center"/>
        </w:trPr>
        <w:tc>
          <w:tcPr>
            <w:tcW w:w="3402"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rPr>
                <w:rFonts w:eastAsia="MS Mincho"/>
              </w:rPr>
            </w:pPr>
            <w:r w:rsidRPr="000F7658">
              <w:rPr>
                <w:rFonts w:eastAsia="MS Mincho"/>
              </w:rPr>
              <w:t xml:space="preserve">Largeur de bande du canal RF </w:t>
            </w:r>
          </w:p>
        </w:tc>
        <w:tc>
          <w:tcPr>
            <w:tcW w:w="56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jc w:val="left"/>
              <w:rPr>
                <w:rFonts w:eastAsia="MS Mincho"/>
                <w:b/>
                <w:caps/>
              </w:rPr>
            </w:pPr>
            <w:r w:rsidRPr="000F7658">
              <w:rPr>
                <w:rFonts w:eastAsia="MS Mincho"/>
              </w:rPr>
              <w:t>10 MHz</w:t>
            </w:r>
          </w:p>
        </w:tc>
      </w:tr>
      <w:tr w:rsidR="0018746B" w:rsidRPr="000F7658" w:rsidTr="00166038">
        <w:trPr>
          <w:jc w:val="center"/>
        </w:trPr>
        <w:tc>
          <w:tcPr>
            <w:tcW w:w="3402"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rPr>
                <w:rFonts w:eastAsia="MS Mincho"/>
              </w:rPr>
            </w:pPr>
            <w:r w:rsidRPr="000F7658">
              <w:rPr>
                <w:rFonts w:eastAsia="MS Mincho"/>
              </w:rPr>
              <w:t>Puissance d'émission RF</w:t>
            </w:r>
          </w:p>
        </w:tc>
        <w:tc>
          <w:tcPr>
            <w:tcW w:w="56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jc w:val="left"/>
              <w:rPr>
                <w:rFonts w:eastAsia="MS Mincho"/>
                <w:b/>
                <w:caps/>
              </w:rPr>
            </w:pPr>
            <w:r w:rsidRPr="000F7658">
              <w:rPr>
                <w:rFonts w:eastAsia="MS Mincho"/>
              </w:rPr>
              <w:t>23 dBm</w:t>
            </w:r>
          </w:p>
        </w:tc>
      </w:tr>
      <w:tr w:rsidR="0018746B" w:rsidRPr="000F7658" w:rsidTr="00166038">
        <w:trPr>
          <w:jc w:val="center"/>
        </w:trPr>
        <w:tc>
          <w:tcPr>
            <w:tcW w:w="3402"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rPr>
                <w:rFonts w:eastAsia="MS Mincho"/>
              </w:rPr>
            </w:pPr>
            <w:r w:rsidRPr="000F7658">
              <w:rPr>
                <w:rFonts w:eastAsia="MS Mincho"/>
              </w:rPr>
              <w:t>Type de modulation</w:t>
            </w:r>
          </w:p>
        </w:tc>
        <w:tc>
          <w:tcPr>
            <w:tcW w:w="56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jc w:val="left"/>
              <w:rPr>
                <w:rFonts w:eastAsia="MS Mincho"/>
              </w:rPr>
            </w:pPr>
            <w:r w:rsidRPr="000F7658">
              <w:rPr>
                <w:rFonts w:eastAsia="MS Mincho"/>
              </w:rPr>
              <w:t>MROF (MDP-2, MDP-4, MAQ-16, option: MAQ-64)</w:t>
            </w:r>
          </w:p>
        </w:tc>
      </w:tr>
      <w:tr w:rsidR="0018746B" w:rsidRPr="007D15F9" w:rsidTr="00166038">
        <w:trPr>
          <w:jc w:val="center"/>
        </w:trPr>
        <w:tc>
          <w:tcPr>
            <w:tcW w:w="3402"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rPr>
                <w:rFonts w:eastAsia="MS Mincho"/>
              </w:rPr>
            </w:pPr>
            <w:r w:rsidRPr="000F7658">
              <w:rPr>
                <w:rFonts w:eastAsia="MS Mincho"/>
              </w:rPr>
              <w:t>Débit de données</w:t>
            </w:r>
          </w:p>
        </w:tc>
        <w:tc>
          <w:tcPr>
            <w:tcW w:w="5670" w:type="dxa"/>
            <w:tcBorders>
              <w:top w:val="single" w:sz="4" w:space="0" w:color="auto"/>
              <w:left w:val="single" w:sz="4" w:space="0" w:color="auto"/>
              <w:bottom w:val="single" w:sz="4" w:space="0" w:color="auto"/>
              <w:right w:val="single" w:sz="4" w:space="0" w:color="auto"/>
            </w:tcBorders>
            <w:hideMark/>
          </w:tcPr>
          <w:p w:rsidR="0018746B" w:rsidRPr="00623B7B" w:rsidRDefault="0018746B" w:rsidP="00B677EE">
            <w:pPr>
              <w:pStyle w:val="Tabletext"/>
              <w:keepNext/>
              <w:keepLines/>
              <w:jc w:val="left"/>
              <w:rPr>
                <w:rFonts w:eastAsia="MS Mincho"/>
                <w:lang w:val="en-US"/>
              </w:rPr>
            </w:pPr>
            <w:r w:rsidRPr="00623B7B">
              <w:rPr>
                <w:rFonts w:eastAsia="MS Mincho"/>
                <w:lang w:val="en-US"/>
              </w:rPr>
              <w:t xml:space="preserve">3; 4,5; 6; 9; 12; 18 Mbit/s; option: 24; 27 Mbit/s </w:t>
            </w:r>
          </w:p>
        </w:tc>
      </w:tr>
      <w:tr w:rsidR="0018746B" w:rsidRPr="000F7658" w:rsidTr="00166038">
        <w:trPr>
          <w:jc w:val="center"/>
        </w:trPr>
        <w:tc>
          <w:tcPr>
            <w:tcW w:w="3402"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rPr>
                <w:rFonts w:eastAsia="MS Mincho"/>
              </w:rPr>
            </w:pPr>
            <w:r w:rsidRPr="000F7658">
              <w:rPr>
                <w:rFonts w:eastAsia="MS Mincho"/>
              </w:rPr>
              <w:t>MAC</w:t>
            </w:r>
          </w:p>
        </w:tc>
        <w:tc>
          <w:tcPr>
            <w:tcW w:w="56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jc w:val="left"/>
              <w:rPr>
                <w:rFonts w:eastAsia="MS Mincho"/>
              </w:rPr>
            </w:pPr>
            <w:r w:rsidRPr="000F7658">
              <w:rPr>
                <w:rFonts w:eastAsia="Malgun Gothic"/>
                <w:lang w:eastAsia="ko-KR"/>
              </w:rPr>
              <w:t xml:space="preserve">AMDP/AC, option: </w:t>
            </w:r>
            <w:r w:rsidRPr="000F7658">
              <w:rPr>
                <w:rFonts w:eastAsia="MS Mincho"/>
              </w:rPr>
              <w:t>AMDP/AC fondé sur des créneaux temporels</w:t>
            </w:r>
          </w:p>
        </w:tc>
      </w:tr>
      <w:tr w:rsidR="0018746B" w:rsidRPr="000F7658" w:rsidTr="00166038">
        <w:trPr>
          <w:jc w:val="center"/>
        </w:trPr>
        <w:tc>
          <w:tcPr>
            <w:tcW w:w="3402"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rPr>
                <w:rFonts w:eastAsia="MS Mincho"/>
              </w:rPr>
            </w:pPr>
            <w:r w:rsidRPr="000F7658">
              <w:rPr>
                <w:rFonts w:eastAsia="MS Mincho"/>
              </w:rPr>
              <w:t>Réseau</w:t>
            </w:r>
          </w:p>
        </w:tc>
        <w:tc>
          <w:tcPr>
            <w:tcW w:w="56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jc w:val="left"/>
              <w:rPr>
                <w:rFonts w:eastAsia="MS Mincho"/>
              </w:rPr>
            </w:pPr>
            <w:r w:rsidRPr="000F7658">
              <w:rPr>
                <w:rFonts w:eastAsia="MS Mincho"/>
              </w:rPr>
              <w:t>IPv4/IPv6, VMP (compatible WSMP)</w:t>
            </w:r>
          </w:p>
        </w:tc>
      </w:tr>
      <w:tr w:rsidR="0018746B" w:rsidRPr="000F7658" w:rsidTr="00166038">
        <w:trPr>
          <w:jc w:val="center"/>
        </w:trPr>
        <w:tc>
          <w:tcPr>
            <w:tcW w:w="3402"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rPr>
                <w:rFonts w:eastAsia="MS Mincho"/>
              </w:rPr>
            </w:pPr>
            <w:r w:rsidRPr="000F7658">
              <w:rPr>
                <w:rFonts w:eastAsia="MS Mincho"/>
              </w:rPr>
              <w:t>Bonds multiples</w:t>
            </w:r>
          </w:p>
        </w:tc>
        <w:tc>
          <w:tcPr>
            <w:tcW w:w="567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B677EE">
            <w:pPr>
              <w:pStyle w:val="Tabletext"/>
              <w:keepNext/>
              <w:keepLines/>
              <w:jc w:val="left"/>
              <w:rPr>
                <w:rFonts w:eastAsia="MS Mincho"/>
                <w:lang w:eastAsia="ko-KR"/>
              </w:rPr>
            </w:pPr>
            <w:r w:rsidRPr="000F7658">
              <w:rPr>
                <w:rFonts w:eastAsia="MS Mincho"/>
                <w:lang w:eastAsia="ko-KR"/>
              </w:rPr>
              <w:t>Routage fondé sur des informations de localisation</w:t>
            </w:r>
          </w:p>
        </w:tc>
      </w:tr>
    </w:tbl>
    <w:p w:rsidR="00B677EE" w:rsidRDefault="00B677EE" w:rsidP="00B677EE">
      <w:pPr>
        <w:pStyle w:val="Tablefin"/>
        <w:rPr>
          <w:rFonts w:eastAsia="MS Mincho"/>
        </w:rPr>
      </w:pPr>
    </w:p>
    <w:p w:rsidR="0018746B" w:rsidRPr="000F7658" w:rsidRDefault="0018746B" w:rsidP="0018746B">
      <w:pPr>
        <w:pStyle w:val="Heading1"/>
        <w:rPr>
          <w:rFonts w:eastAsia="MS PGothic"/>
        </w:rPr>
      </w:pPr>
      <w:r w:rsidRPr="00B677EE">
        <w:rPr>
          <w:rFonts w:eastAsia="MS Mincho"/>
        </w:rPr>
        <w:t>2</w:t>
      </w:r>
      <w:r w:rsidRPr="00B677EE">
        <w:rPr>
          <w:rFonts w:eastAsia="MS Mincho"/>
        </w:rPr>
        <w:tab/>
        <w:t>Normes de la TTA relatives aux applications de radiocommunications évoluées des</w:t>
      </w:r>
      <w:r w:rsidRPr="000F7658">
        <w:rPr>
          <w:rFonts w:eastAsia="MS Mincho"/>
        </w:rPr>
        <w:t xml:space="preserve"> systèmes de transport intelligents</w:t>
      </w:r>
    </w:p>
    <w:p w:rsidR="0018746B" w:rsidRPr="000F7658" w:rsidRDefault="0018746B" w:rsidP="0018746B">
      <w:pPr>
        <w:rPr>
          <w:rFonts w:eastAsia="Malgun Gothic"/>
          <w:lang w:eastAsia="ko-KR"/>
        </w:rPr>
      </w:pPr>
      <w:r w:rsidRPr="000F7658">
        <w:rPr>
          <w:rFonts w:eastAsia="MS Mincho"/>
          <w:lang w:eastAsia="ja-JP"/>
        </w:rPr>
        <w:t xml:space="preserve">En République de Corée, la Telecommunications Technology Association a élaboré quatre normes relatives aux applications de radiocommunications évoluées des systèmes de transport intelligents, présentées de manière </w:t>
      </w:r>
      <w:r w:rsidRPr="000F7658">
        <w:rPr>
          <w:rFonts w:eastAsia="MS Mincho"/>
          <w:lang w:eastAsia="ko-KR"/>
        </w:rPr>
        <w:t>détaillée dans le Tableau 5.</w:t>
      </w:r>
    </w:p>
    <w:p w:rsidR="0018746B" w:rsidRPr="000F7658" w:rsidRDefault="0018746B" w:rsidP="0018746B">
      <w:pPr>
        <w:pStyle w:val="TableNo"/>
        <w:rPr>
          <w:rFonts w:eastAsiaTheme="minorEastAsia"/>
          <w:lang w:eastAsia="ja-JP"/>
        </w:rPr>
      </w:pPr>
      <w:r w:rsidRPr="000F7658">
        <w:rPr>
          <w:rFonts w:eastAsia="MS Mincho"/>
        </w:rPr>
        <w:t>TABLEAU 5</w:t>
      </w:r>
    </w:p>
    <w:p w:rsidR="0018746B" w:rsidRPr="000F7658" w:rsidRDefault="0018746B" w:rsidP="0018746B">
      <w:pPr>
        <w:pStyle w:val="Tabletitle"/>
        <w:rPr>
          <w:rFonts w:eastAsia="Malgun Gothic"/>
          <w:lang w:eastAsia="ko-KR"/>
        </w:rPr>
      </w:pPr>
      <w:r w:rsidRPr="000F7658">
        <w:rPr>
          <w:rFonts w:eastAsia="Malgun Gothic"/>
          <w:lang w:eastAsia="ko-KR"/>
        </w:rPr>
        <w:t xml:space="preserve">Normes de base relatives aux </w:t>
      </w:r>
      <w:r w:rsidRPr="001C1187">
        <w:rPr>
          <w:rFonts w:eastAsia="Malgun Gothic"/>
        </w:rPr>
        <w:t>applications</w:t>
      </w:r>
      <w:r w:rsidRPr="000F7658">
        <w:rPr>
          <w:rFonts w:eastAsia="Malgun Gothic"/>
          <w:lang w:eastAsia="ko-KR"/>
        </w:rPr>
        <w:t xml:space="preserve"> de radiocommunications évoluées </w:t>
      </w:r>
      <w:r w:rsidRPr="000F7658">
        <w:rPr>
          <w:rFonts w:eastAsia="Malgun Gothic"/>
          <w:lang w:eastAsia="ko-KR"/>
        </w:rPr>
        <w:br/>
        <w:t>des systèmes de transport intelligents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7"/>
        <w:gridCol w:w="2800"/>
      </w:tblGrid>
      <w:tr w:rsidR="0018746B" w:rsidRPr="000F7658" w:rsidTr="00166038">
        <w:trPr>
          <w:trHeight w:val="318"/>
          <w:jc w:val="center"/>
        </w:trPr>
        <w:tc>
          <w:tcPr>
            <w:tcW w:w="6267"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head"/>
              <w:rPr>
                <w:rFonts w:eastAsia="MS Mincho"/>
                <w:lang w:eastAsia="ko-KR"/>
              </w:rPr>
            </w:pPr>
            <w:r w:rsidRPr="000F7658">
              <w:rPr>
                <w:rFonts w:eastAsia="MS Mincho"/>
                <w:lang w:eastAsia="ko-KR"/>
              </w:rPr>
              <w:t>Titre de la norme</w:t>
            </w:r>
          </w:p>
        </w:tc>
        <w:tc>
          <w:tcPr>
            <w:tcW w:w="2800" w:type="dxa"/>
            <w:tcBorders>
              <w:top w:val="single" w:sz="4" w:space="0" w:color="auto"/>
              <w:left w:val="single" w:sz="4" w:space="0" w:color="auto"/>
              <w:bottom w:val="single" w:sz="4" w:space="0" w:color="auto"/>
              <w:right w:val="single" w:sz="4" w:space="0" w:color="auto"/>
            </w:tcBorders>
            <w:vAlign w:val="center"/>
            <w:hideMark/>
          </w:tcPr>
          <w:p w:rsidR="0018746B" w:rsidRPr="000F7658" w:rsidRDefault="0018746B" w:rsidP="00166038">
            <w:pPr>
              <w:pStyle w:val="Tablehead"/>
              <w:rPr>
                <w:rFonts w:eastAsia="MS Mincho"/>
                <w:lang w:eastAsia="ko-KR"/>
              </w:rPr>
            </w:pPr>
            <w:r w:rsidRPr="000F7658">
              <w:rPr>
                <w:rFonts w:eastAsia="MS Mincho"/>
              </w:rPr>
              <w:t>Numéro de la norme</w:t>
            </w:r>
          </w:p>
        </w:tc>
      </w:tr>
      <w:tr w:rsidR="0018746B" w:rsidRPr="000F7658" w:rsidTr="00166038">
        <w:trPr>
          <w:jc w:val="center"/>
        </w:trPr>
        <w:tc>
          <w:tcPr>
            <w:tcW w:w="6267"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rPr>
            </w:pPr>
            <w:r w:rsidRPr="000F7658">
              <w:rPr>
                <w:rFonts w:eastAsia="MS Mincho"/>
              </w:rPr>
              <w:t>Système de communication pour véhicules – Etape 1: Exigences</w:t>
            </w:r>
          </w:p>
        </w:tc>
        <w:tc>
          <w:tcPr>
            <w:tcW w:w="280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center"/>
              <w:rPr>
                <w:rFonts w:eastAsia="MS Mincho"/>
                <w:b/>
              </w:rPr>
            </w:pPr>
            <w:r w:rsidRPr="000F7658">
              <w:rPr>
                <w:rFonts w:eastAsia="MS Mincho"/>
              </w:rPr>
              <w:t>TTA</w:t>
            </w:r>
            <w:r w:rsidRPr="000F7658">
              <w:rPr>
                <w:rFonts w:eastAsia="Malgun Gothic"/>
                <w:lang w:eastAsia="ko-KR"/>
              </w:rPr>
              <w:t>K</w:t>
            </w:r>
            <w:r w:rsidRPr="000F7658">
              <w:rPr>
                <w:rFonts w:eastAsia="MS Mincho"/>
              </w:rPr>
              <w:t>.KO-06.0175/R1</w:t>
            </w:r>
          </w:p>
        </w:tc>
      </w:tr>
      <w:tr w:rsidR="0018746B" w:rsidRPr="000F7658" w:rsidTr="00166038">
        <w:trPr>
          <w:jc w:val="center"/>
        </w:trPr>
        <w:tc>
          <w:tcPr>
            <w:tcW w:w="6267"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rPr>
            </w:pPr>
            <w:r w:rsidRPr="000F7658">
              <w:rPr>
                <w:rFonts w:eastAsia="MS Mincho"/>
              </w:rPr>
              <w:t>Système de communication pour véhicules – Etape 2: Architecture</w:t>
            </w:r>
          </w:p>
        </w:tc>
        <w:tc>
          <w:tcPr>
            <w:tcW w:w="280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center"/>
              <w:rPr>
                <w:rFonts w:eastAsia="Malgun Gothic"/>
                <w:lang w:eastAsia="ko-KR"/>
              </w:rPr>
            </w:pPr>
            <w:r w:rsidRPr="000F7658">
              <w:rPr>
                <w:rFonts w:eastAsia="MS Mincho"/>
              </w:rPr>
              <w:t>TTA</w:t>
            </w:r>
            <w:r w:rsidRPr="000F7658">
              <w:rPr>
                <w:rFonts w:eastAsia="Malgun Gothic"/>
                <w:lang w:eastAsia="ko-KR"/>
              </w:rPr>
              <w:t>K</w:t>
            </w:r>
            <w:r w:rsidRPr="000F7658">
              <w:rPr>
                <w:rFonts w:eastAsia="MS Mincho"/>
              </w:rPr>
              <w:t>.KO-06.0193/R1</w:t>
            </w:r>
          </w:p>
        </w:tc>
      </w:tr>
      <w:tr w:rsidR="0018746B" w:rsidRPr="000F7658" w:rsidTr="00166038">
        <w:trPr>
          <w:jc w:val="center"/>
        </w:trPr>
        <w:tc>
          <w:tcPr>
            <w:tcW w:w="6267"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rPr>
            </w:pPr>
            <w:r w:rsidRPr="000F7658">
              <w:rPr>
                <w:rFonts w:eastAsia="MS Mincho"/>
              </w:rPr>
              <w:t>Système de communication pour véhicules – Etape 3: PHY/MAC</w:t>
            </w:r>
          </w:p>
        </w:tc>
        <w:tc>
          <w:tcPr>
            <w:tcW w:w="280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center"/>
              <w:rPr>
                <w:rFonts w:eastAsia="MS Mincho"/>
                <w:b/>
              </w:rPr>
            </w:pPr>
            <w:r w:rsidRPr="000F7658">
              <w:rPr>
                <w:rFonts w:eastAsia="MS Mincho"/>
              </w:rPr>
              <w:t>TTA</w:t>
            </w:r>
            <w:r w:rsidRPr="000F7658">
              <w:rPr>
                <w:rFonts w:eastAsia="Malgun Gothic"/>
                <w:lang w:eastAsia="ko-KR"/>
              </w:rPr>
              <w:t>K</w:t>
            </w:r>
            <w:r w:rsidRPr="000F7658">
              <w:rPr>
                <w:rFonts w:eastAsia="MS Mincho"/>
              </w:rPr>
              <w:t>.KO-06.0216/R1</w:t>
            </w:r>
          </w:p>
        </w:tc>
      </w:tr>
      <w:tr w:rsidR="0018746B" w:rsidRPr="000F7658" w:rsidTr="00166038">
        <w:trPr>
          <w:jc w:val="center"/>
        </w:trPr>
        <w:tc>
          <w:tcPr>
            <w:tcW w:w="6267"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eastAsia="MS Mincho"/>
              </w:rPr>
            </w:pPr>
            <w:r w:rsidRPr="000F7658">
              <w:rPr>
                <w:rFonts w:eastAsia="MS Mincho"/>
              </w:rPr>
              <w:t>Système de communication pour véhicules – Etape 3: Réseau</w:t>
            </w:r>
          </w:p>
        </w:tc>
        <w:tc>
          <w:tcPr>
            <w:tcW w:w="2800"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center"/>
              <w:rPr>
                <w:rFonts w:eastAsia="Malgun Gothic"/>
                <w:lang w:eastAsia="ko-KR"/>
              </w:rPr>
            </w:pPr>
            <w:r w:rsidRPr="000F7658">
              <w:rPr>
                <w:rFonts w:eastAsia="MS Mincho"/>
              </w:rPr>
              <w:t>TTA</w:t>
            </w:r>
            <w:r w:rsidRPr="000F7658">
              <w:rPr>
                <w:rFonts w:eastAsia="Malgun Gothic"/>
                <w:lang w:eastAsia="ko-KR"/>
              </w:rPr>
              <w:t>K</w:t>
            </w:r>
            <w:r w:rsidRPr="000F7658">
              <w:rPr>
                <w:rFonts w:eastAsia="MS Mincho"/>
              </w:rPr>
              <w:t>.KO-06.0234/R1</w:t>
            </w:r>
          </w:p>
        </w:tc>
      </w:tr>
    </w:tbl>
    <w:p w:rsidR="0018746B" w:rsidRDefault="0018746B" w:rsidP="00B677EE">
      <w:pPr>
        <w:pStyle w:val="Tablefin"/>
        <w:rPr>
          <w:rFonts w:eastAsia="MS Mincho"/>
        </w:rPr>
      </w:pPr>
    </w:p>
    <w:p w:rsidR="0018746B" w:rsidRPr="000F7658" w:rsidRDefault="0018746B" w:rsidP="007B7F97">
      <w:pPr>
        <w:pStyle w:val="AnnexNoTitle"/>
        <w:keepNext w:val="0"/>
        <w:keepLines w:val="0"/>
        <w:jc w:val="left"/>
        <w:rPr>
          <w:rFonts w:eastAsia="MS Mincho"/>
        </w:rPr>
      </w:pPr>
      <w:r w:rsidRPr="000F7658">
        <w:rPr>
          <w:rFonts w:eastAsia="MS Mincho"/>
        </w:rPr>
        <w:br w:type="page"/>
      </w:r>
    </w:p>
    <w:p w:rsidR="0018746B" w:rsidRPr="000F7658" w:rsidRDefault="0018746B" w:rsidP="0018746B">
      <w:pPr>
        <w:pStyle w:val="AnnexNoTitle"/>
        <w:rPr>
          <w:rFonts w:eastAsia="MS Mincho"/>
          <w:lang w:eastAsia="ja-JP"/>
        </w:rPr>
      </w:pPr>
      <w:r w:rsidRPr="000F7658">
        <w:rPr>
          <w:rFonts w:eastAsia="MS Mincho"/>
        </w:rPr>
        <w:lastRenderedPageBreak/>
        <w:t>Annexe 5</w:t>
      </w:r>
      <w:r w:rsidRPr="000F7658">
        <w:rPr>
          <w:rFonts w:eastAsia="MS Mincho"/>
        </w:rPr>
        <w:br/>
      </w:r>
      <w:r w:rsidRPr="000F7658">
        <w:rPr>
          <w:rFonts w:eastAsia="MS Mincho"/>
          <w:lang w:eastAsia="ja-JP"/>
        </w:rPr>
        <w:br/>
        <w:t>Résumé des caractéristiques techniques des normes</w:t>
      </w:r>
    </w:p>
    <w:p w:rsidR="0018746B" w:rsidRPr="000F7658" w:rsidRDefault="0018746B" w:rsidP="0018746B">
      <w:pPr>
        <w:pStyle w:val="Normalaftertitle"/>
        <w:rPr>
          <w:rFonts w:eastAsia="MS Mincho"/>
          <w:lang w:eastAsia="ja-JP"/>
        </w:rPr>
      </w:pPr>
      <w:r w:rsidRPr="000F7658">
        <w:rPr>
          <w:rFonts w:eastAsia="MS Mincho"/>
          <w:lang w:eastAsia="ja-JP"/>
        </w:rPr>
        <w:t>On trouvera dans le Tableau 6 les caractéristiques techniques de chaque norme.</w:t>
      </w:r>
    </w:p>
    <w:p w:rsidR="0018746B" w:rsidRPr="000F7658" w:rsidRDefault="0018746B" w:rsidP="0018746B">
      <w:pPr>
        <w:pStyle w:val="TableNo"/>
        <w:rPr>
          <w:rFonts w:eastAsiaTheme="minorEastAsia"/>
        </w:rPr>
      </w:pPr>
      <w:r w:rsidRPr="001C1187">
        <w:rPr>
          <w:rFonts w:eastAsia="MS Mincho"/>
        </w:rPr>
        <w:t>TABLEAU</w:t>
      </w:r>
      <w:r w:rsidRPr="000F7658">
        <w:rPr>
          <w:rFonts w:eastAsia="MS Mincho"/>
        </w:rPr>
        <w:t xml:space="preserve"> 6</w:t>
      </w:r>
    </w:p>
    <w:p w:rsidR="0018746B" w:rsidRPr="001C1187" w:rsidRDefault="0018746B" w:rsidP="0018746B">
      <w:pPr>
        <w:pStyle w:val="Tabletitle"/>
        <w:rPr>
          <w:rFonts w:eastAsiaTheme="minorEastAsia"/>
        </w:rPr>
      </w:pPr>
      <w:r w:rsidRPr="001C1187">
        <w:rPr>
          <w:rFonts w:eastAsiaTheme="minorEastAsia"/>
        </w:rPr>
        <w:t>Caractéristiques techniques</w:t>
      </w:r>
    </w:p>
    <w:tbl>
      <w:tblPr>
        <w:tblW w:w="0" w:type="auto"/>
        <w:tblLook w:val="04A0" w:firstRow="1" w:lastRow="0" w:firstColumn="1" w:lastColumn="0" w:noHBand="0" w:noVBand="1"/>
      </w:tblPr>
      <w:tblGrid>
        <w:gridCol w:w="2016"/>
        <w:gridCol w:w="1848"/>
        <w:gridCol w:w="1848"/>
        <w:gridCol w:w="1848"/>
        <w:gridCol w:w="1848"/>
      </w:tblGrid>
      <w:tr w:rsidR="0018746B" w:rsidRPr="000F7658" w:rsidTr="00166038">
        <w:tc>
          <w:tcPr>
            <w:tcW w:w="2016"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head"/>
            </w:pPr>
            <w:r w:rsidRPr="000F7658">
              <w:t>Paramètre</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head"/>
            </w:pPr>
            <w:r w:rsidRPr="000F7658">
              <w:t xml:space="preserve">ETSI </w:t>
            </w:r>
            <w:r w:rsidRPr="000F7658">
              <w:br/>
              <w:t>(Annexe 1)</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head"/>
            </w:pPr>
            <w:r w:rsidRPr="000F7658">
              <w:t xml:space="preserve">IEEE </w:t>
            </w:r>
            <w:r w:rsidRPr="000F7658">
              <w:br/>
              <w:t>(Annexe 2)</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head"/>
            </w:pPr>
            <w:r w:rsidRPr="000F7658">
              <w:t xml:space="preserve">ARIB </w:t>
            </w:r>
            <w:r w:rsidRPr="000F7658">
              <w:br/>
              <w:t>(Annexe 3)</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head"/>
            </w:pPr>
            <w:r w:rsidRPr="000F7658">
              <w:t xml:space="preserve">TTA </w:t>
            </w:r>
            <w:r w:rsidRPr="000F7658">
              <w:br/>
              <w:t>(Annexe 4)</w:t>
            </w:r>
          </w:p>
        </w:tc>
      </w:tr>
      <w:tr w:rsidR="0018746B" w:rsidRPr="000F7658" w:rsidTr="00166038">
        <w:tc>
          <w:tcPr>
            <w:tcW w:w="2016"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lang w:eastAsia="ja-JP"/>
              </w:rPr>
            </w:pPr>
            <w:r w:rsidRPr="000F7658">
              <w:rPr>
                <w:rFonts w:asciiTheme="majorBidi" w:hAnsiTheme="majorBidi" w:cstheme="majorBidi"/>
              </w:rPr>
              <w:t>Plage de fréquences de fonctionnement</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lang w:eastAsia="ja-JP"/>
              </w:rPr>
              <w:t>5 855-5 925 MHz</w:t>
            </w:r>
          </w:p>
        </w:tc>
        <w:tc>
          <w:tcPr>
            <w:tcW w:w="1848" w:type="dxa"/>
            <w:tcBorders>
              <w:top w:val="single" w:sz="4" w:space="0" w:color="auto"/>
              <w:left w:val="single" w:sz="4" w:space="0" w:color="auto"/>
              <w:bottom w:val="single" w:sz="4" w:space="0" w:color="auto"/>
              <w:right w:val="single" w:sz="4" w:space="0" w:color="auto"/>
            </w:tcBorders>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lang w:eastAsia="ja-JP"/>
              </w:rPr>
              <w:t>5 850-5 925 MHz</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lang w:eastAsia="ja-JP"/>
              </w:rPr>
              <w:t>755,5-764,5 MHz (un seul canal)</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rPr>
              <w:t>5 855-5 925 MHz (système pilote)</w:t>
            </w:r>
          </w:p>
        </w:tc>
      </w:tr>
      <w:tr w:rsidR="0018746B" w:rsidRPr="000F7658" w:rsidTr="00166038">
        <w:tc>
          <w:tcPr>
            <w:tcW w:w="2016"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lang w:eastAsia="ja-JP"/>
              </w:rPr>
            </w:pPr>
            <w:r w:rsidRPr="000F7658">
              <w:rPr>
                <w:rFonts w:asciiTheme="majorBidi" w:hAnsiTheme="majorBidi" w:cstheme="majorBidi"/>
                <w:lang w:eastAsia="ja-JP"/>
              </w:rPr>
              <w:t>Largeur de bande du canal RF</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lang w:eastAsia="ja-JP"/>
              </w:rPr>
              <w:t>10 MHz</w:t>
            </w:r>
          </w:p>
        </w:tc>
        <w:tc>
          <w:tcPr>
            <w:tcW w:w="1848" w:type="dxa"/>
            <w:tcBorders>
              <w:top w:val="single" w:sz="4" w:space="0" w:color="auto"/>
              <w:left w:val="single" w:sz="4" w:space="0" w:color="auto"/>
              <w:bottom w:val="single" w:sz="4" w:space="0" w:color="auto"/>
              <w:right w:val="single" w:sz="4" w:space="0" w:color="auto"/>
            </w:tcBorders>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lang w:eastAsia="ja-JP"/>
              </w:rPr>
              <w:t>10 MHz ou 20 MHz</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lang w:eastAsia="ja-JP"/>
              </w:rPr>
              <w:t>Moins de 9 MHz</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rPr>
              <w:t>Moins de 10 MHz</w:t>
            </w:r>
          </w:p>
        </w:tc>
      </w:tr>
      <w:tr w:rsidR="0018746B" w:rsidRPr="000F7658" w:rsidTr="00166038">
        <w:tc>
          <w:tcPr>
            <w:tcW w:w="2016"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lang w:eastAsia="ja-JP"/>
              </w:rPr>
            </w:pPr>
            <w:r w:rsidRPr="000F7658">
              <w:rPr>
                <w:rFonts w:asciiTheme="majorBidi" w:hAnsiTheme="majorBidi" w:cstheme="majorBidi"/>
              </w:rPr>
              <w:t>Puissance RF d'émission/</w:t>
            </w:r>
            <w:r w:rsidRPr="000F7658">
              <w:rPr>
                <w:rFonts w:asciiTheme="majorBidi" w:hAnsiTheme="majorBidi" w:cstheme="majorBidi"/>
                <w:lang w:eastAsia="ja-JP"/>
              </w:rPr>
              <w:t>p.i.r.e.</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lang w:eastAsia="ja-JP"/>
              </w:rPr>
              <w:t>p.i.r.e. maximale</w:t>
            </w:r>
            <w:r w:rsidRPr="000F7658">
              <w:rPr>
                <w:rFonts w:asciiTheme="majorBidi" w:hAnsiTheme="majorBidi" w:cstheme="majorBidi"/>
                <w:lang w:eastAsia="ja-JP"/>
              </w:rPr>
              <w:br/>
              <w:t>33 dBm</w:t>
            </w:r>
          </w:p>
        </w:tc>
        <w:tc>
          <w:tcPr>
            <w:tcW w:w="1848" w:type="dxa"/>
            <w:tcBorders>
              <w:top w:val="single" w:sz="4" w:space="0" w:color="auto"/>
              <w:left w:val="single" w:sz="4" w:space="0" w:color="auto"/>
              <w:bottom w:val="single" w:sz="4" w:space="0" w:color="auto"/>
              <w:right w:val="single" w:sz="4" w:space="0" w:color="auto"/>
            </w:tcBorders>
          </w:tcPr>
          <w:p w:rsidR="0018746B" w:rsidRPr="000F7658" w:rsidRDefault="0018746B" w:rsidP="00CC4972">
            <w:pPr>
              <w:pStyle w:val="Tabletext"/>
              <w:jc w:val="left"/>
              <w:rPr>
                <w:rFonts w:asciiTheme="majorBidi" w:hAnsiTheme="majorBidi" w:cstheme="majorBidi"/>
                <w:lang w:eastAsia="ja-JP"/>
              </w:rPr>
            </w:pPr>
          </w:p>
        </w:tc>
        <w:tc>
          <w:tcPr>
            <w:tcW w:w="1848" w:type="dxa"/>
            <w:tcBorders>
              <w:top w:val="single" w:sz="4" w:space="0" w:color="auto"/>
              <w:left w:val="single" w:sz="4" w:space="0" w:color="auto"/>
              <w:bottom w:val="single" w:sz="4" w:space="0" w:color="auto"/>
              <w:right w:val="single" w:sz="4" w:space="0" w:color="auto"/>
            </w:tcBorders>
          </w:tcPr>
          <w:p w:rsidR="0018746B" w:rsidRPr="000F7658" w:rsidRDefault="0018746B" w:rsidP="00CC4972">
            <w:pPr>
              <w:pStyle w:val="Tabletext"/>
              <w:jc w:val="center"/>
              <w:rPr>
                <w:rFonts w:asciiTheme="majorBidi" w:hAnsiTheme="majorBidi" w:cstheme="majorBidi"/>
                <w:lang w:eastAsia="ja-JP"/>
              </w:rPr>
            </w:pPr>
            <w:r w:rsidRPr="000F7658">
              <w:rPr>
                <w:rFonts w:asciiTheme="majorBidi" w:hAnsiTheme="majorBidi" w:cstheme="majorBidi"/>
                <w:lang w:eastAsia="ja-JP"/>
              </w:rPr>
              <w:t>–</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rPr>
              <w:t>23 dBm</w:t>
            </w:r>
          </w:p>
        </w:tc>
      </w:tr>
      <w:tr w:rsidR="0018746B" w:rsidRPr="000F7658" w:rsidTr="00166038">
        <w:tc>
          <w:tcPr>
            <w:tcW w:w="2016" w:type="dxa"/>
            <w:tcBorders>
              <w:top w:val="single" w:sz="4" w:space="0" w:color="auto"/>
              <w:left w:val="single" w:sz="4" w:space="0" w:color="auto"/>
              <w:bottom w:val="single" w:sz="4" w:space="0" w:color="auto"/>
              <w:right w:val="single" w:sz="4" w:space="0" w:color="auto"/>
            </w:tcBorders>
            <w:shd w:val="clear" w:color="auto" w:fill="auto"/>
          </w:tcPr>
          <w:p w:rsidR="0018746B" w:rsidRPr="000F7658" w:rsidRDefault="0018746B" w:rsidP="00166038">
            <w:pPr>
              <w:pStyle w:val="Tabletext"/>
              <w:jc w:val="left"/>
              <w:rPr>
                <w:rFonts w:asciiTheme="majorBidi" w:hAnsiTheme="majorBidi" w:cstheme="majorBidi"/>
                <w:lang w:eastAsia="ja-JP"/>
              </w:rPr>
            </w:pPr>
            <w:r w:rsidRPr="000F7658">
              <w:rPr>
                <w:rFonts w:asciiTheme="majorBidi" w:hAnsiTheme="majorBidi" w:cstheme="majorBidi"/>
                <w:lang w:eastAsia="ja-JP"/>
              </w:rPr>
              <w:t>Densité de puissance RF d'émission</w:t>
            </w: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18746B" w:rsidRPr="000F7658" w:rsidRDefault="0018746B" w:rsidP="00CC4972">
            <w:pPr>
              <w:pStyle w:val="Tabletext"/>
              <w:jc w:val="left"/>
              <w:rPr>
                <w:rFonts w:asciiTheme="majorBidi" w:hAnsiTheme="majorBidi" w:cstheme="majorBidi"/>
                <w:lang w:eastAsia="ja-JP"/>
              </w:rPr>
            </w:pP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18746B" w:rsidRPr="000F7658" w:rsidRDefault="0018746B" w:rsidP="00CC4972">
            <w:pPr>
              <w:pStyle w:val="Tabletext"/>
              <w:jc w:val="left"/>
              <w:rPr>
                <w:rFonts w:asciiTheme="majorBidi" w:hAnsiTheme="majorBidi" w:cstheme="majorBidi"/>
                <w:lang w:eastAsia="ja-JP"/>
              </w:rPr>
            </w:pP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18746B" w:rsidRPr="000F7658" w:rsidRDefault="0018746B" w:rsidP="00CC4972">
            <w:pPr>
              <w:pStyle w:val="Tabletext"/>
              <w:jc w:val="left"/>
              <w:rPr>
                <w:rFonts w:asciiTheme="majorBidi" w:hAnsiTheme="majorBidi" w:cstheme="majorBidi"/>
                <w:lang w:eastAsia="ja-JP"/>
              </w:rPr>
            </w:pPr>
            <w:r w:rsidRPr="000F7658">
              <w:rPr>
                <w:rFonts w:asciiTheme="majorBidi" w:hAnsiTheme="majorBidi" w:cstheme="majorBidi"/>
                <w:lang w:eastAsia="ja-JP"/>
              </w:rPr>
              <w:t>10 dBm/MHz</w:t>
            </w:r>
          </w:p>
        </w:tc>
        <w:tc>
          <w:tcPr>
            <w:tcW w:w="1848" w:type="dxa"/>
            <w:tcBorders>
              <w:top w:val="single" w:sz="4" w:space="0" w:color="auto"/>
              <w:left w:val="single" w:sz="4" w:space="0" w:color="auto"/>
              <w:bottom w:val="single" w:sz="4" w:space="0" w:color="auto"/>
              <w:right w:val="single" w:sz="4" w:space="0" w:color="auto"/>
            </w:tcBorders>
            <w:shd w:val="clear" w:color="auto" w:fill="auto"/>
          </w:tcPr>
          <w:p w:rsidR="0018746B" w:rsidRPr="000F7658" w:rsidRDefault="0018746B" w:rsidP="00CC4972">
            <w:pPr>
              <w:pStyle w:val="Tabletext"/>
              <w:jc w:val="left"/>
              <w:rPr>
                <w:rFonts w:asciiTheme="majorBidi" w:hAnsiTheme="majorBidi" w:cstheme="majorBidi"/>
                <w:lang w:eastAsia="ja-JP"/>
              </w:rPr>
            </w:pPr>
          </w:p>
        </w:tc>
      </w:tr>
      <w:tr w:rsidR="0018746B" w:rsidRPr="000F7658" w:rsidTr="00166038">
        <w:trPr>
          <w:trHeight w:val="835"/>
        </w:trPr>
        <w:tc>
          <w:tcPr>
            <w:tcW w:w="2016"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Type de modulation</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263C0C">
            <w:pPr>
              <w:pStyle w:val="Tabletext"/>
              <w:jc w:val="left"/>
              <w:rPr>
                <w:rFonts w:asciiTheme="majorBidi" w:hAnsiTheme="majorBidi" w:cstheme="majorBidi"/>
                <w:szCs w:val="22"/>
                <w:lang w:eastAsia="ja-JP"/>
              </w:rPr>
            </w:pPr>
            <w:r w:rsidRPr="000F7658">
              <w:rPr>
                <w:rFonts w:asciiTheme="majorBidi" w:hAnsiTheme="majorBidi" w:cstheme="majorBidi"/>
                <w:szCs w:val="22"/>
              </w:rPr>
              <w:t>MDP-2 MROF, MDP-4 MROF, MAQ-16 MROF, MAQ-64 MROF</w:t>
            </w:r>
          </w:p>
        </w:tc>
        <w:tc>
          <w:tcPr>
            <w:tcW w:w="1848" w:type="dxa"/>
            <w:tcBorders>
              <w:top w:val="single" w:sz="4" w:space="0" w:color="auto"/>
              <w:left w:val="single" w:sz="4" w:space="0" w:color="auto"/>
              <w:bottom w:val="single" w:sz="4" w:space="0" w:color="auto"/>
              <w:right w:val="single" w:sz="4" w:space="0" w:color="auto"/>
            </w:tcBorders>
          </w:tcPr>
          <w:p w:rsidR="0018746B" w:rsidRPr="000F7658" w:rsidRDefault="0018746B" w:rsidP="00263C0C">
            <w:pPr>
              <w:pStyle w:val="Tabletext"/>
              <w:jc w:val="left"/>
              <w:rPr>
                <w:rFonts w:asciiTheme="majorBidi" w:hAnsiTheme="majorBidi" w:cstheme="majorBidi"/>
                <w:szCs w:val="22"/>
                <w:lang w:eastAsia="ja-JP"/>
              </w:rPr>
            </w:pPr>
            <w:r w:rsidRPr="000F7658">
              <w:rPr>
                <w:rFonts w:asciiTheme="majorBidi" w:hAnsiTheme="majorBidi" w:cstheme="majorBidi"/>
                <w:szCs w:val="22"/>
              </w:rPr>
              <w:t xml:space="preserve">MAQ-64-MROF </w:t>
            </w:r>
            <w:r w:rsidRPr="000F7658">
              <w:rPr>
                <w:rFonts w:asciiTheme="majorBidi" w:hAnsiTheme="majorBidi" w:cstheme="majorBidi"/>
                <w:szCs w:val="22"/>
              </w:rPr>
              <w:br/>
              <w:t>MAQ-16-MROF</w:t>
            </w:r>
            <w:r w:rsidRPr="000F7658">
              <w:rPr>
                <w:rFonts w:asciiTheme="majorBidi" w:hAnsiTheme="majorBidi" w:cstheme="majorBidi"/>
                <w:szCs w:val="22"/>
              </w:rPr>
              <w:br/>
              <w:t>MDP-4-MROF</w:t>
            </w:r>
            <w:r w:rsidRPr="000F7658">
              <w:rPr>
                <w:rFonts w:asciiTheme="majorBidi" w:hAnsiTheme="majorBidi" w:cstheme="majorBidi"/>
                <w:szCs w:val="22"/>
              </w:rPr>
              <w:br/>
              <w:t>MDP-2-MROF</w:t>
            </w:r>
          </w:p>
          <w:p w:rsidR="0018746B" w:rsidRPr="000F7658" w:rsidRDefault="0018746B" w:rsidP="00263C0C">
            <w:pPr>
              <w:pStyle w:val="Tabletext"/>
              <w:jc w:val="left"/>
              <w:rPr>
                <w:rFonts w:asciiTheme="majorBidi" w:hAnsiTheme="majorBidi" w:cstheme="majorBidi"/>
                <w:szCs w:val="22"/>
                <w:lang w:eastAsia="ja-JP"/>
              </w:rPr>
            </w:pPr>
            <w:r w:rsidRPr="000F7658">
              <w:rPr>
                <w:rFonts w:asciiTheme="majorBidi" w:hAnsiTheme="majorBidi" w:cstheme="majorBidi"/>
                <w:szCs w:val="22"/>
              </w:rPr>
              <w:t>52 sous-porteuses</w:t>
            </w:r>
          </w:p>
        </w:tc>
        <w:tc>
          <w:tcPr>
            <w:tcW w:w="1848" w:type="dxa"/>
            <w:tcBorders>
              <w:top w:val="single" w:sz="4" w:space="0" w:color="auto"/>
              <w:left w:val="single" w:sz="4" w:space="0" w:color="auto"/>
              <w:bottom w:val="single" w:sz="4" w:space="0" w:color="auto"/>
              <w:right w:val="single" w:sz="4" w:space="0" w:color="auto"/>
            </w:tcBorders>
            <w:hideMark/>
          </w:tcPr>
          <w:p w:rsidR="0018746B" w:rsidRPr="00623B7B" w:rsidRDefault="0018746B" w:rsidP="00263C0C">
            <w:pPr>
              <w:pStyle w:val="Tabletext"/>
              <w:jc w:val="left"/>
              <w:rPr>
                <w:rFonts w:asciiTheme="majorBidi" w:hAnsiTheme="majorBidi" w:cstheme="majorBidi"/>
                <w:szCs w:val="22"/>
                <w:lang w:val="en-US" w:eastAsia="ja-JP"/>
              </w:rPr>
            </w:pPr>
            <w:r w:rsidRPr="00623B7B">
              <w:rPr>
                <w:rFonts w:asciiTheme="majorBidi" w:hAnsiTheme="majorBidi" w:cstheme="majorBidi"/>
                <w:szCs w:val="22"/>
                <w:lang w:val="en-US"/>
              </w:rPr>
              <w:t>MDP-2 MROF,</w:t>
            </w:r>
          </w:p>
          <w:p w:rsidR="0018746B" w:rsidRPr="00623B7B" w:rsidRDefault="0018746B" w:rsidP="00263C0C">
            <w:pPr>
              <w:pStyle w:val="Tabletext"/>
              <w:jc w:val="left"/>
              <w:rPr>
                <w:rFonts w:asciiTheme="majorBidi" w:hAnsiTheme="majorBidi" w:cstheme="majorBidi"/>
                <w:szCs w:val="22"/>
                <w:lang w:val="en-US" w:eastAsia="ja-JP"/>
              </w:rPr>
            </w:pPr>
            <w:r w:rsidRPr="00623B7B">
              <w:rPr>
                <w:rFonts w:asciiTheme="majorBidi" w:hAnsiTheme="majorBidi" w:cstheme="majorBidi"/>
                <w:szCs w:val="22"/>
                <w:lang w:val="en-US"/>
              </w:rPr>
              <w:t>MDP-4 MROF,</w:t>
            </w:r>
          </w:p>
          <w:p w:rsidR="0018746B" w:rsidRPr="00623B7B" w:rsidRDefault="0018746B" w:rsidP="00263C0C">
            <w:pPr>
              <w:pStyle w:val="Tabletext"/>
              <w:jc w:val="left"/>
              <w:rPr>
                <w:rFonts w:asciiTheme="majorBidi" w:hAnsiTheme="majorBidi" w:cstheme="majorBidi"/>
                <w:szCs w:val="22"/>
                <w:lang w:val="en-US" w:eastAsia="ja-JP"/>
              </w:rPr>
            </w:pPr>
            <w:r w:rsidRPr="00623B7B">
              <w:rPr>
                <w:rFonts w:asciiTheme="majorBidi" w:hAnsiTheme="majorBidi" w:cstheme="majorBidi"/>
                <w:szCs w:val="22"/>
                <w:lang w:val="en-US"/>
              </w:rPr>
              <w:t>MAQ-16 MROF</w:t>
            </w:r>
          </w:p>
        </w:tc>
        <w:tc>
          <w:tcPr>
            <w:tcW w:w="1848" w:type="dxa"/>
            <w:tcBorders>
              <w:top w:val="single" w:sz="4" w:space="0" w:color="auto"/>
              <w:left w:val="single" w:sz="4" w:space="0" w:color="auto"/>
              <w:bottom w:val="single" w:sz="4" w:space="0" w:color="auto"/>
              <w:right w:val="single" w:sz="4" w:space="0" w:color="auto"/>
            </w:tcBorders>
            <w:hideMark/>
          </w:tcPr>
          <w:p w:rsidR="0018746B" w:rsidRPr="00623B7B" w:rsidRDefault="0018746B" w:rsidP="00263C0C">
            <w:pPr>
              <w:pStyle w:val="Tabletext"/>
              <w:jc w:val="left"/>
              <w:rPr>
                <w:rFonts w:asciiTheme="majorBidi" w:hAnsiTheme="majorBidi" w:cstheme="majorBidi"/>
                <w:szCs w:val="22"/>
                <w:lang w:val="en-US"/>
              </w:rPr>
            </w:pPr>
            <w:r w:rsidRPr="00623B7B">
              <w:rPr>
                <w:rFonts w:asciiTheme="majorBidi" w:hAnsiTheme="majorBidi" w:cstheme="majorBidi"/>
                <w:szCs w:val="22"/>
                <w:lang w:val="en-US"/>
              </w:rPr>
              <w:t>MDP-2 MROF, MDP-4 MROF, MAQ-16 MROF,</w:t>
            </w:r>
          </w:p>
          <w:p w:rsidR="0018746B" w:rsidRPr="000F7658" w:rsidRDefault="0018746B" w:rsidP="00263C0C">
            <w:pPr>
              <w:pStyle w:val="Tabletext"/>
              <w:jc w:val="left"/>
              <w:rPr>
                <w:rFonts w:asciiTheme="majorBidi" w:hAnsiTheme="majorBidi" w:cstheme="majorBidi"/>
                <w:szCs w:val="22"/>
                <w:lang w:eastAsia="ja-JP"/>
              </w:rPr>
            </w:pPr>
            <w:r w:rsidRPr="000F7658">
              <w:rPr>
                <w:rFonts w:asciiTheme="majorBidi" w:hAnsiTheme="majorBidi" w:cstheme="majorBidi"/>
                <w:szCs w:val="22"/>
              </w:rPr>
              <w:t>Option: MAQ-64</w:t>
            </w:r>
          </w:p>
        </w:tc>
      </w:tr>
      <w:tr w:rsidR="0018746B" w:rsidRPr="000F7658" w:rsidTr="00166038">
        <w:tc>
          <w:tcPr>
            <w:tcW w:w="2016"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lang w:eastAsia="ja-JP"/>
              </w:rPr>
              <w:t>Correction d'erreur directe</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Codage convolutif, rendement = 1/2, 3/4, 2/3</w:t>
            </w:r>
          </w:p>
        </w:tc>
        <w:tc>
          <w:tcPr>
            <w:tcW w:w="1848" w:type="dxa"/>
            <w:tcBorders>
              <w:top w:val="single" w:sz="4" w:space="0" w:color="auto"/>
              <w:left w:val="single" w:sz="4" w:space="0" w:color="auto"/>
              <w:bottom w:val="single" w:sz="4" w:space="0" w:color="auto"/>
              <w:right w:val="single" w:sz="4" w:space="0" w:color="auto"/>
            </w:tcBorders>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Codage convolutif, rendement = 1/2, 3/4</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Codage convolutif, rendement = 1/2, 3/4</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Codage convolutif, rendement = 1/2, 3/4</w:t>
            </w:r>
          </w:p>
        </w:tc>
      </w:tr>
      <w:tr w:rsidR="0018746B" w:rsidRPr="007D15F9" w:rsidTr="00166038">
        <w:tc>
          <w:tcPr>
            <w:tcW w:w="2016"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lang w:eastAsia="ja-JP"/>
              </w:rPr>
              <w:t>Débit de transmission des données</w:t>
            </w:r>
          </w:p>
        </w:tc>
        <w:tc>
          <w:tcPr>
            <w:tcW w:w="1848" w:type="dxa"/>
            <w:tcBorders>
              <w:top w:val="single" w:sz="4" w:space="0" w:color="auto"/>
              <w:left w:val="single" w:sz="4" w:space="0" w:color="auto"/>
              <w:bottom w:val="single" w:sz="4" w:space="0" w:color="auto"/>
              <w:right w:val="single" w:sz="4" w:space="0" w:color="auto"/>
            </w:tcBorders>
            <w:hideMark/>
          </w:tcPr>
          <w:p w:rsidR="0018746B" w:rsidRPr="00623B7B" w:rsidRDefault="0018746B" w:rsidP="00166038">
            <w:pPr>
              <w:pStyle w:val="Tabletext"/>
              <w:jc w:val="left"/>
              <w:rPr>
                <w:rFonts w:asciiTheme="majorBidi" w:hAnsiTheme="majorBidi" w:cstheme="majorBidi"/>
                <w:szCs w:val="22"/>
                <w:lang w:val="en-US" w:eastAsia="ja-JP"/>
              </w:rPr>
            </w:pPr>
            <w:r w:rsidRPr="00623B7B">
              <w:rPr>
                <w:rFonts w:asciiTheme="majorBidi" w:hAnsiTheme="majorBidi" w:cstheme="majorBidi"/>
                <w:szCs w:val="22"/>
                <w:lang w:val="en-US"/>
              </w:rPr>
              <w:t>3 Mbit/s; 4,5 Mbit/s; 6 Mbit/s; 9 Mbit/s; 12 Mbit/s; 18 Mbit/s; 24 Mbit/s; 27 Mbit/s</w:t>
            </w:r>
          </w:p>
          <w:p w:rsidR="0018746B" w:rsidRPr="00623B7B" w:rsidRDefault="0018746B" w:rsidP="00166038">
            <w:pPr>
              <w:jc w:val="center"/>
              <w:rPr>
                <w:lang w:val="en-US" w:eastAsia="ja-JP"/>
              </w:rPr>
            </w:pPr>
          </w:p>
        </w:tc>
        <w:tc>
          <w:tcPr>
            <w:tcW w:w="1848" w:type="dxa"/>
            <w:tcBorders>
              <w:top w:val="single" w:sz="4" w:space="0" w:color="auto"/>
              <w:left w:val="single" w:sz="4" w:space="0" w:color="auto"/>
              <w:bottom w:val="single" w:sz="4" w:space="0" w:color="auto"/>
              <w:right w:val="single" w:sz="4" w:space="0" w:color="auto"/>
            </w:tcBorders>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lang w:eastAsia="ja-JP"/>
              </w:rPr>
              <w:t>3; 4,5; 6; 9; 12; 18; 24 et 27 Mbit/s pour un espacement des canaux de 10 MHz</w:t>
            </w:r>
            <w:r w:rsidRPr="000F7658">
              <w:rPr>
                <w:rFonts w:asciiTheme="majorBidi" w:hAnsiTheme="majorBidi" w:cstheme="majorBidi"/>
                <w:szCs w:val="22"/>
                <w:lang w:eastAsia="ja-JP"/>
              </w:rPr>
              <w:br/>
            </w:r>
            <w:r>
              <w:rPr>
                <w:rFonts w:asciiTheme="majorBidi" w:hAnsiTheme="majorBidi" w:cstheme="majorBidi"/>
                <w:szCs w:val="22"/>
              </w:rPr>
              <w:t>6; 9; 12; 18; 24; 36; 48 et</w:t>
            </w:r>
            <w:r w:rsidRPr="000F7658">
              <w:rPr>
                <w:rFonts w:asciiTheme="majorBidi" w:hAnsiTheme="majorBidi" w:cstheme="majorBidi"/>
                <w:szCs w:val="22"/>
              </w:rPr>
              <w:t xml:space="preserve"> 54 Mbit/s pour un espacement des canaux de 20 MHz</w:t>
            </w:r>
          </w:p>
        </w:tc>
        <w:tc>
          <w:tcPr>
            <w:tcW w:w="1848" w:type="dxa"/>
            <w:tcBorders>
              <w:top w:val="single" w:sz="4" w:space="0" w:color="auto"/>
              <w:left w:val="single" w:sz="4" w:space="0" w:color="auto"/>
              <w:bottom w:val="single" w:sz="4" w:space="0" w:color="auto"/>
              <w:right w:val="single" w:sz="4" w:space="0" w:color="auto"/>
            </w:tcBorders>
            <w:hideMark/>
          </w:tcPr>
          <w:p w:rsidR="0018746B" w:rsidRPr="00C833AD" w:rsidRDefault="0018746B" w:rsidP="00166038">
            <w:pPr>
              <w:pStyle w:val="Tabletext"/>
              <w:jc w:val="left"/>
              <w:rPr>
                <w:rFonts w:asciiTheme="majorBidi" w:hAnsiTheme="majorBidi" w:cstheme="majorBidi"/>
                <w:szCs w:val="22"/>
                <w:lang w:val="en-US" w:eastAsia="ja-JP"/>
              </w:rPr>
            </w:pPr>
            <w:r w:rsidRPr="00C833AD">
              <w:rPr>
                <w:rFonts w:asciiTheme="majorBidi" w:hAnsiTheme="majorBidi" w:cstheme="majorBidi"/>
                <w:szCs w:val="22"/>
                <w:lang w:val="en-US"/>
              </w:rPr>
              <w:t>3 Mbit/s; 4,5 Mbit/s; 6 Mbit/s; 9 Mbit/s; 12 Mbit/s; 18 Mbit/s</w:t>
            </w:r>
          </w:p>
        </w:tc>
        <w:tc>
          <w:tcPr>
            <w:tcW w:w="1848" w:type="dxa"/>
            <w:tcBorders>
              <w:top w:val="single" w:sz="4" w:space="0" w:color="auto"/>
              <w:left w:val="single" w:sz="4" w:space="0" w:color="auto"/>
              <w:bottom w:val="single" w:sz="4" w:space="0" w:color="auto"/>
              <w:right w:val="single" w:sz="4" w:space="0" w:color="auto"/>
            </w:tcBorders>
            <w:hideMark/>
          </w:tcPr>
          <w:p w:rsidR="0018746B" w:rsidRPr="00623B7B" w:rsidRDefault="0018746B" w:rsidP="00166038">
            <w:pPr>
              <w:pStyle w:val="Tabletext"/>
              <w:jc w:val="left"/>
              <w:rPr>
                <w:rFonts w:asciiTheme="majorBidi" w:hAnsiTheme="majorBidi" w:cstheme="majorBidi"/>
                <w:szCs w:val="22"/>
                <w:lang w:val="en-US"/>
              </w:rPr>
            </w:pPr>
            <w:r w:rsidRPr="00623B7B">
              <w:rPr>
                <w:rFonts w:asciiTheme="majorBidi" w:hAnsiTheme="majorBidi" w:cstheme="majorBidi"/>
                <w:szCs w:val="22"/>
                <w:lang w:val="en-US"/>
              </w:rPr>
              <w:t xml:space="preserve">3; 4,5; 6; 9; 12; </w:t>
            </w:r>
            <w:r w:rsidRPr="00623B7B">
              <w:rPr>
                <w:rFonts w:asciiTheme="majorBidi" w:hAnsiTheme="majorBidi" w:cstheme="majorBidi"/>
                <w:szCs w:val="22"/>
                <w:lang w:val="en-US"/>
              </w:rPr>
              <w:br/>
              <w:t>18 Mbit/s;</w:t>
            </w:r>
          </w:p>
          <w:p w:rsidR="0018746B" w:rsidRPr="00623B7B" w:rsidRDefault="0018746B" w:rsidP="00166038">
            <w:pPr>
              <w:pStyle w:val="Tabletext"/>
              <w:jc w:val="left"/>
              <w:rPr>
                <w:rFonts w:asciiTheme="majorBidi" w:hAnsiTheme="majorBidi" w:cstheme="majorBidi"/>
                <w:szCs w:val="22"/>
                <w:lang w:val="en-US" w:eastAsia="ja-JP"/>
              </w:rPr>
            </w:pPr>
            <w:r w:rsidRPr="00623B7B">
              <w:rPr>
                <w:rFonts w:asciiTheme="majorBidi" w:hAnsiTheme="majorBidi" w:cstheme="majorBidi"/>
                <w:szCs w:val="22"/>
                <w:lang w:val="en-US"/>
              </w:rPr>
              <w:t>Option: 24; 27 Mbit/s</w:t>
            </w:r>
          </w:p>
        </w:tc>
      </w:tr>
      <w:tr w:rsidR="0018746B" w:rsidRPr="000F7658" w:rsidTr="00166038">
        <w:tc>
          <w:tcPr>
            <w:tcW w:w="2016"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Commande d'accès au support physique</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AMDP/AC</w:t>
            </w:r>
          </w:p>
        </w:tc>
        <w:tc>
          <w:tcPr>
            <w:tcW w:w="1848" w:type="dxa"/>
            <w:tcBorders>
              <w:top w:val="single" w:sz="4" w:space="0" w:color="auto"/>
              <w:left w:val="single" w:sz="4" w:space="0" w:color="auto"/>
              <w:bottom w:val="single" w:sz="4" w:space="0" w:color="auto"/>
              <w:right w:val="single" w:sz="4" w:space="0" w:color="auto"/>
            </w:tcBorders>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AMDP/AC</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AMDP/AC</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rPr>
            </w:pPr>
            <w:r w:rsidRPr="000F7658">
              <w:rPr>
                <w:rFonts w:asciiTheme="majorBidi" w:hAnsiTheme="majorBidi" w:cstheme="majorBidi"/>
                <w:szCs w:val="22"/>
              </w:rPr>
              <w:t>AMDP/AC,</w:t>
            </w:r>
          </w:p>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rPr>
              <w:t>Option: AMDP/AC fondé sur des créneaux temporels</w:t>
            </w:r>
          </w:p>
        </w:tc>
      </w:tr>
      <w:tr w:rsidR="0018746B" w:rsidRPr="000F7658" w:rsidTr="00166038">
        <w:tc>
          <w:tcPr>
            <w:tcW w:w="2016"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lang w:eastAsia="ja-JP"/>
              </w:rPr>
              <w:t>Méthode duplex</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lang w:eastAsia="ja-JP"/>
              </w:rPr>
              <w:t>DRT</w:t>
            </w:r>
          </w:p>
        </w:tc>
        <w:tc>
          <w:tcPr>
            <w:tcW w:w="1848" w:type="dxa"/>
            <w:tcBorders>
              <w:top w:val="single" w:sz="4" w:space="0" w:color="auto"/>
              <w:left w:val="single" w:sz="4" w:space="0" w:color="auto"/>
              <w:bottom w:val="single" w:sz="4" w:space="0" w:color="auto"/>
              <w:right w:val="single" w:sz="4" w:space="0" w:color="auto"/>
            </w:tcBorders>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lang w:eastAsia="ja-JP"/>
              </w:rPr>
              <w:t>DRT</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lang w:eastAsia="ja-JP"/>
              </w:rPr>
              <w:t>DRT</w:t>
            </w:r>
          </w:p>
        </w:tc>
        <w:tc>
          <w:tcPr>
            <w:tcW w:w="1848" w:type="dxa"/>
            <w:tcBorders>
              <w:top w:val="single" w:sz="4" w:space="0" w:color="auto"/>
              <w:left w:val="single" w:sz="4" w:space="0" w:color="auto"/>
              <w:bottom w:val="single" w:sz="4" w:space="0" w:color="auto"/>
              <w:right w:val="single" w:sz="4" w:space="0" w:color="auto"/>
            </w:tcBorders>
            <w:hideMark/>
          </w:tcPr>
          <w:p w:rsidR="0018746B" w:rsidRPr="000F7658" w:rsidRDefault="0018746B" w:rsidP="00166038">
            <w:pPr>
              <w:pStyle w:val="Tabletext"/>
              <w:jc w:val="left"/>
              <w:rPr>
                <w:rFonts w:asciiTheme="majorBidi" w:hAnsiTheme="majorBidi" w:cstheme="majorBidi"/>
                <w:szCs w:val="22"/>
                <w:lang w:eastAsia="ja-JP"/>
              </w:rPr>
            </w:pPr>
            <w:r w:rsidRPr="000F7658">
              <w:rPr>
                <w:rFonts w:asciiTheme="majorBidi" w:hAnsiTheme="majorBidi" w:cstheme="majorBidi"/>
                <w:szCs w:val="22"/>
                <w:lang w:eastAsia="ja-JP"/>
              </w:rPr>
              <w:t>DRT</w:t>
            </w:r>
          </w:p>
        </w:tc>
      </w:tr>
    </w:tbl>
    <w:p w:rsidR="0018746B" w:rsidRDefault="0018746B" w:rsidP="0018746B">
      <w:pPr>
        <w:pStyle w:val="Tablefin"/>
        <w:rPr>
          <w:rFonts w:eastAsia="MS Mincho"/>
          <w:lang w:val="fr-FR"/>
        </w:rPr>
      </w:pPr>
      <w:bookmarkStart w:id="5" w:name="_Hlt454183980"/>
      <w:bookmarkEnd w:id="5"/>
    </w:p>
    <w:p w:rsidR="007B7F97" w:rsidRPr="007B7F97" w:rsidRDefault="007B7F97" w:rsidP="007B7F97">
      <w:pPr>
        <w:pStyle w:val="Line"/>
        <w:rPr>
          <w:rFonts w:eastAsia="MS Mincho"/>
        </w:rPr>
      </w:pPr>
    </w:p>
    <w:sectPr w:rsidR="007B7F97" w:rsidRPr="007B7F97" w:rsidSect="007D15F9">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51C" w:rsidRDefault="009D551C">
      <w:r>
        <w:separator/>
      </w:r>
    </w:p>
  </w:endnote>
  <w:endnote w:type="continuationSeparator" w:id="0">
    <w:p w:rsidR="009D551C" w:rsidRDefault="009D5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otum">
    <w:altName w:val="돋움"/>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51C" w:rsidRDefault="009D551C">
      <w:r>
        <w:separator/>
      </w:r>
    </w:p>
  </w:footnote>
  <w:footnote w:type="continuationSeparator" w:id="0">
    <w:p w:rsidR="009D551C" w:rsidRDefault="009D551C">
      <w:r>
        <w:continuationSeparator/>
      </w:r>
    </w:p>
  </w:footnote>
  <w:footnote w:id="1">
    <w:p w:rsidR="0018746B" w:rsidRPr="00F24A29" w:rsidRDefault="0018746B" w:rsidP="0018746B">
      <w:pPr>
        <w:pStyle w:val="FootnoteText"/>
        <w:rPr>
          <w:lang w:val="fr-CH" w:eastAsia="ja-JP"/>
        </w:rPr>
      </w:pPr>
      <w:r>
        <w:rPr>
          <w:rStyle w:val="FootnoteReference"/>
        </w:rPr>
        <w:footnoteRef/>
      </w:r>
      <w:r>
        <w:rPr>
          <w:lang w:val="fr-CH"/>
        </w:rPr>
        <w:tab/>
      </w:r>
      <w:r w:rsidRPr="00F24A29">
        <w:rPr>
          <w:lang w:val="fr-CH"/>
        </w:rPr>
        <w:t>Norme ARIB; ARIB STD-T109, Les systèmes de transport intelligents dans la bande des 700 MHz</w:t>
      </w:r>
      <w:r w:rsidRPr="00F24A29">
        <w:rPr>
          <w:lang w:val="fr-CH" w:eastAsia="ja-JP"/>
        </w:rPr>
        <w:br/>
      </w:r>
      <w:r w:rsidRPr="00B677EE">
        <w:rPr>
          <w:rFonts w:asciiTheme="minorBidi" w:hAnsiTheme="minorBidi" w:cstheme="minorBidi"/>
          <w:sz w:val="16"/>
          <w:szCs w:val="16"/>
          <w:lang w:val="fr-CH" w:eastAsia="ja-JP"/>
        </w:rPr>
        <w:t>(</w:t>
      </w:r>
      <w:hyperlink r:id="rId1" w:history="1">
        <w:r w:rsidRPr="00076081">
          <w:rPr>
            <w:rStyle w:val="Hyperlink"/>
            <w:rFonts w:asciiTheme="majorBidi" w:hAnsiTheme="majorBidi" w:cstheme="majorBidi"/>
            <w:szCs w:val="22"/>
            <w:lang w:val="fr-CH"/>
          </w:rPr>
          <w:t>http://www.arib.or.jp/english/html/overview/doc/5-STD-T109v1_2-E1.pdf</w:t>
        </w:r>
      </w:hyperlink>
      <w:r w:rsidRPr="00B677EE">
        <w:rPr>
          <w:rFonts w:asciiTheme="minorBidi" w:hAnsiTheme="minorBidi" w:cstheme="minorBidi"/>
          <w:sz w:val="16"/>
          <w:szCs w:val="16"/>
          <w:lang w:val="fr-CH" w:eastAsia="ja-JP"/>
        </w:rPr>
        <w:t>)</w:t>
      </w:r>
      <w:r w:rsidRPr="00F24A29">
        <w:rPr>
          <w:lang w:val="fr-CH"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51C" w:rsidRDefault="009D551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51C" w:rsidRDefault="009D551C" w:rsidP="00C668C8">
    <w:pPr>
      <w:pStyle w:val="Header"/>
      <w:ind w:right="360" w:firstLine="360"/>
    </w:pPr>
    <w:r>
      <w:rPr>
        <w:noProof/>
        <w:lang w:val="en-US" w:eastAsia="zh-CN"/>
      </w:rPr>
      <w:drawing>
        <wp:anchor distT="0" distB="0" distL="114300" distR="114300" simplePos="0" relativeHeight="251659264" behindDoc="1" locked="0" layoutInCell="1" allowOverlap="1" wp14:anchorId="41778010" wp14:editId="2078B490">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51C" w:rsidRPr="00837CB5" w:rsidRDefault="009D551C"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B7FB4">
      <w:rPr>
        <w:rStyle w:val="PageNumber"/>
        <w:b/>
        <w:bCs/>
        <w:noProof/>
      </w:rPr>
      <w:t>ii</w:t>
    </w:r>
    <w:r>
      <w:rPr>
        <w:rStyle w:val="PageNumber"/>
        <w:b/>
        <w:bCs/>
      </w:rPr>
      <w:fldChar w:fldCharType="end"/>
    </w:r>
    <w:r w:rsidRPr="00837CB5">
      <w:tab/>
    </w:r>
    <w:fldSimple w:instr=" DOCPROPERTY &quot;Header&quot; \* MERGEFORMAT ">
      <w:r w:rsidR="005B7FB4" w:rsidRPr="005B7FB4">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B7FB4">
      <w:rPr>
        <w:b/>
        <w:bCs/>
        <w:noProof/>
      </w:rPr>
      <w:t>UIT-R  M.2084-0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51C" w:rsidRDefault="009D551C" w:rsidP="00A163D3">
    <w:pPr>
      <w:pStyle w:val="Header"/>
    </w:pPr>
    <w:r>
      <w:tab/>
    </w:r>
    <w:fldSimple w:instr=" DOCPROPERTY &quot;Header&quot; \* MERGEFORMAT ">
      <w:r w:rsidR="005B7FB4" w:rsidRPr="005B7F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7FB4">
      <w:rPr>
        <w:b/>
        <w:bCs/>
        <w:noProof/>
      </w:rPr>
      <w:t>UIT-R  M.2084-0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B7FB4">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B7FB4" w:rsidRPr="005B7FB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B7FB4">
      <w:rPr>
        <w:b/>
        <w:bCs/>
        <w:noProof/>
      </w:rPr>
      <w:t>UIT-R  M.2084-0</w:t>
    </w:r>
    <w:r>
      <w:rPr>
        <w:b/>
        <w:bCs/>
      </w:rPr>
      <w:fldChar w:fldCharType="end"/>
    </w:r>
  </w:p>
  <w:p w:rsidR="000764CC" w:rsidRDefault="000764C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5B7FB4" w:rsidRPr="005B7FB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7FB4">
      <w:rPr>
        <w:b/>
        <w:bCs/>
        <w:noProof/>
      </w:rPr>
      <w:t>UIT-R  M.2084-0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B7FB4">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51C"/>
    <w:rsid w:val="00076081"/>
    <w:rsid w:val="000764CC"/>
    <w:rsid w:val="0016786E"/>
    <w:rsid w:val="0018746B"/>
    <w:rsid w:val="00217EBF"/>
    <w:rsid w:val="00242AEE"/>
    <w:rsid w:val="00263C0C"/>
    <w:rsid w:val="002D76C4"/>
    <w:rsid w:val="0052529D"/>
    <w:rsid w:val="005B7FB4"/>
    <w:rsid w:val="00607D68"/>
    <w:rsid w:val="007468DA"/>
    <w:rsid w:val="007B7F97"/>
    <w:rsid w:val="007C093B"/>
    <w:rsid w:val="007D15F9"/>
    <w:rsid w:val="009461C6"/>
    <w:rsid w:val="009D551C"/>
    <w:rsid w:val="009E00A8"/>
    <w:rsid w:val="00A6617B"/>
    <w:rsid w:val="00AB0DC8"/>
    <w:rsid w:val="00B44E24"/>
    <w:rsid w:val="00B677EE"/>
    <w:rsid w:val="00CC4972"/>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7F2CC2A-B2D3-4ABA-8356-5C03741A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51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D551C"/>
    <w:rPr>
      <w:b/>
      <w:sz w:val="24"/>
      <w:lang w:val="fr-FR" w:eastAsia="en-US"/>
    </w:rPr>
  </w:style>
  <w:style w:type="character" w:customStyle="1" w:styleId="HeaderChar">
    <w:name w:val="Header Char"/>
    <w:basedOn w:val="DefaultParagraphFont"/>
    <w:link w:val="Header"/>
    <w:rsid w:val="009D551C"/>
    <w:rPr>
      <w:sz w:val="24"/>
      <w:lang w:val="fr-FR" w:eastAsia="en-US"/>
    </w:rPr>
  </w:style>
  <w:style w:type="character" w:styleId="Hyperlink">
    <w:name w:val="Hyperlink"/>
    <w:basedOn w:val="DefaultParagraphFont"/>
    <w:rsid w:val="009D551C"/>
    <w:rPr>
      <w:color w:val="0000FF"/>
      <w:u w:val="single"/>
    </w:rPr>
  </w:style>
  <w:style w:type="character" w:customStyle="1" w:styleId="HeadingbChar">
    <w:name w:val="Heading_b Char"/>
    <w:basedOn w:val="DefaultParagraphFont"/>
    <w:link w:val="Headingb"/>
    <w:locked/>
    <w:rsid w:val="0018746B"/>
    <w:rPr>
      <w:b/>
      <w:sz w:val="24"/>
      <w:lang w:val="fr-FR" w:eastAsia="en-US"/>
    </w:rPr>
  </w:style>
  <w:style w:type="character" w:customStyle="1" w:styleId="NormalaftertitleChar">
    <w:name w:val="Normal_after_title Char"/>
    <w:basedOn w:val="DefaultParagraphFont"/>
    <w:link w:val="Normalaftertitle"/>
    <w:locked/>
    <w:rsid w:val="0018746B"/>
    <w:rPr>
      <w:sz w:val="24"/>
      <w:lang w:val="fr-FR" w:eastAsia="en-US"/>
    </w:rPr>
  </w:style>
  <w:style w:type="character" w:customStyle="1" w:styleId="TableheadChar">
    <w:name w:val="Table_head Char"/>
    <w:basedOn w:val="DefaultParagraphFont"/>
    <w:link w:val="Tablehead"/>
    <w:locked/>
    <w:rsid w:val="0018746B"/>
    <w:rPr>
      <w:b/>
      <w:sz w:val="22"/>
      <w:lang w:val="fr-FR" w:eastAsia="en-US"/>
    </w:rPr>
  </w:style>
  <w:style w:type="character" w:customStyle="1" w:styleId="TableNo0">
    <w:name w:val="Table_No Знак"/>
    <w:link w:val="TableNo"/>
    <w:locked/>
    <w:rsid w:val="0018746B"/>
    <w:rPr>
      <w:sz w:val="24"/>
      <w:lang w:val="fr-FR" w:eastAsia="en-US"/>
    </w:rPr>
  </w:style>
  <w:style w:type="character" w:customStyle="1" w:styleId="TabletextChar">
    <w:name w:val="Table_text Char"/>
    <w:basedOn w:val="DefaultParagraphFont"/>
    <w:link w:val="Tabletext"/>
    <w:locked/>
    <w:rsid w:val="0018746B"/>
    <w:rPr>
      <w:sz w:val="22"/>
      <w:lang w:val="fr-FR" w:eastAsia="en-US"/>
    </w:rPr>
  </w:style>
  <w:style w:type="character" w:customStyle="1" w:styleId="CallChar">
    <w:name w:val="Call Char"/>
    <w:basedOn w:val="DefaultParagraphFont"/>
    <w:link w:val="Call"/>
    <w:locked/>
    <w:rsid w:val="0018746B"/>
    <w:rPr>
      <w:i/>
      <w:sz w:val="24"/>
      <w:lang w:val="fr-FR" w:eastAsia="en-US"/>
    </w:rPr>
  </w:style>
  <w:style w:type="character" w:customStyle="1" w:styleId="FootnoteTextChar">
    <w:name w:val="Footnote Text Char"/>
    <w:basedOn w:val="DefaultParagraphFont"/>
    <w:link w:val="FootnoteText"/>
    <w:semiHidden/>
    <w:rsid w:val="0018746B"/>
    <w:rPr>
      <w:sz w:val="22"/>
      <w:lang w:val="fr-FR" w:eastAsia="en-US"/>
    </w:rPr>
  </w:style>
  <w:style w:type="character" w:customStyle="1" w:styleId="Tabletitle0">
    <w:name w:val="Table_title Знак"/>
    <w:link w:val="Tabletitle"/>
    <w:locked/>
    <w:rsid w:val="0018746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tandards.ieee.org/about/get/802/802.11.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doc/5-STD-T109v1_2-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TotalTime>
  <Pages>1</Pages>
  <Words>2850</Words>
  <Characters>17117</Characters>
  <Application>Microsoft Office Word</Application>
  <DocSecurity>0</DocSecurity>
  <Lines>684</Lines>
  <Paragraphs>119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10</cp:revision>
  <cp:lastPrinted>2016-12-07T10:16:00Z</cp:lastPrinted>
  <dcterms:created xsi:type="dcterms:W3CDTF">2016-12-07T09:25:00Z</dcterms:created>
  <dcterms:modified xsi:type="dcterms:W3CDTF">2016-12-07T10:16:00Z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