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B699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4B6994">
              <w:rPr>
                <w:rFonts w:ascii="Tahoma" w:hAnsi="Tahoma" w:cs="Tahoma"/>
                <w:b/>
                <w:bCs/>
                <w:iCs/>
                <w:color w:val="243285"/>
                <w:sz w:val="36"/>
                <w:szCs w:val="36"/>
              </w:rPr>
              <w:t>2069-0</w:t>
            </w:r>
          </w:p>
          <w:p w:rsidR="00FE79FE" w:rsidRPr="00A443C2" w:rsidRDefault="00FE79FE" w:rsidP="004B699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B6994">
              <w:rPr>
                <w:rFonts w:ascii="Tahoma" w:hAnsi="Tahoma" w:cs="Tahoma"/>
                <w:b/>
                <w:bCs/>
                <w:iCs/>
                <w:color w:val="243285"/>
                <w:szCs w:val="24"/>
              </w:rPr>
              <w:t>12</w:t>
            </w:r>
            <w:r w:rsidR="00397AD0">
              <w:rPr>
                <w:rFonts w:ascii="Tahoma" w:hAnsi="Tahoma" w:cs="Tahoma"/>
                <w:b/>
                <w:bCs/>
                <w:iCs/>
                <w:color w:val="243285"/>
                <w:szCs w:val="24"/>
              </w:rPr>
              <w:t>/</w:t>
            </w:r>
            <w:r w:rsidR="004B6994">
              <w:rPr>
                <w:rFonts w:ascii="Tahoma" w:hAnsi="Tahoma" w:cs="Tahoma"/>
                <w:b/>
                <w:bCs/>
                <w:iCs/>
                <w:color w:val="243285"/>
                <w:szCs w:val="24"/>
              </w:rPr>
              <w:t>2014</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Default="004B6994" w:rsidP="004B6994">
            <w:pPr>
              <w:spacing w:before="80" w:line="500" w:lineRule="exact"/>
              <w:jc w:val="right"/>
              <w:rPr>
                <w:rFonts w:ascii="Tahoma" w:hAnsi="Tahoma" w:cs="Tahoma"/>
                <w:b/>
                <w:bCs/>
                <w:iCs/>
                <w:color w:val="243285"/>
                <w:sz w:val="44"/>
                <w:szCs w:val="44"/>
              </w:rPr>
            </w:pPr>
            <w:r w:rsidRPr="004B6994">
              <w:rPr>
                <w:rFonts w:ascii="Tahoma" w:hAnsi="Tahoma" w:cs="Tahoma"/>
                <w:b/>
                <w:bCs/>
                <w:iCs/>
                <w:color w:val="243285"/>
                <w:sz w:val="44"/>
                <w:szCs w:val="44"/>
              </w:rPr>
              <w:t>Effets de la variabilité de la rotation d'antenne sur le couplage d'antenne pour l'analyse des brouillages des radars</w:t>
            </w:r>
          </w:p>
          <w:p w:rsidR="00A163D3" w:rsidRPr="00F54FBD" w:rsidRDefault="00A163D3" w:rsidP="00A163D3">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432F10">
        <w:rPr>
          <w:sz w:val="20"/>
        </w:rPr>
        <w:t>5</w:t>
      </w:r>
    </w:p>
    <w:p w:rsidR="00F54FBD" w:rsidRPr="00614CC6" w:rsidRDefault="00F54FBD" w:rsidP="0024513D">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24513D">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812C4" w:rsidRDefault="00756B4D" w:rsidP="00432F10">
      <w:pPr>
        <w:pStyle w:val="RecNo"/>
        <w:spacing w:before="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 xml:space="preserve">-R  </w:t>
      </w:r>
      <w:r w:rsidR="00432F10" w:rsidRPr="00511A35">
        <w:rPr>
          <w:rStyle w:val="href"/>
          <w:lang w:val="en-GB"/>
        </w:rPr>
        <w:t>M.2069-0</w:t>
      </w:r>
    </w:p>
    <w:p w:rsidR="00B92FB2" w:rsidRPr="00B92FB2" w:rsidRDefault="00B92FB2" w:rsidP="00B92FB2">
      <w:pPr>
        <w:pStyle w:val="Rectitle"/>
      </w:pPr>
      <w:r w:rsidRPr="00B92FB2">
        <w:t>Effets de la variabilité de la rotation d'antenne sur le couplage d'antenne pour l'analyse des brouillages des radars</w:t>
      </w:r>
    </w:p>
    <w:p w:rsidR="00B92FB2" w:rsidRDefault="00B92FB2" w:rsidP="00B92FB2">
      <w:pPr>
        <w:pStyle w:val="Recdate"/>
      </w:pPr>
      <w:r w:rsidRPr="002F32A8">
        <w:t>(2014)</w:t>
      </w:r>
    </w:p>
    <w:p w:rsidR="00B92FB2" w:rsidRPr="00432F10" w:rsidRDefault="00B92FB2" w:rsidP="00D80017">
      <w:pPr>
        <w:pStyle w:val="HeadingSum"/>
        <w:rPr>
          <w:lang w:val="fr-CH"/>
        </w:rPr>
      </w:pPr>
      <w:r w:rsidRPr="00432F10">
        <w:rPr>
          <w:lang w:val="fr-CH"/>
        </w:rPr>
        <w:t>Domaine d'application</w:t>
      </w:r>
    </w:p>
    <w:p w:rsidR="00B92FB2" w:rsidRPr="00432F10" w:rsidRDefault="00B92FB2" w:rsidP="00D80017">
      <w:pPr>
        <w:pStyle w:val="Summary"/>
        <w:rPr>
          <w:lang w:val="fr-CH"/>
        </w:rPr>
      </w:pPr>
      <w:r w:rsidRPr="00432F10">
        <w:rPr>
          <w:lang w:val="fr-CH"/>
        </w:rPr>
        <w:t>La présente Recommandation décrit les effets de la rotation d'antenne sur le couplage d'antenne pour l'analyse des brouillages et de la compatibilité.</w:t>
      </w:r>
    </w:p>
    <w:p w:rsidR="00B92FB2" w:rsidRPr="00B92FB2" w:rsidRDefault="00B92FB2" w:rsidP="00D80017">
      <w:pPr>
        <w:pStyle w:val="Headingb"/>
      </w:pPr>
      <w:r w:rsidRPr="00B92FB2">
        <w:t>Mots clés</w:t>
      </w:r>
    </w:p>
    <w:p w:rsidR="00B92FB2" w:rsidRPr="00B92FB2" w:rsidRDefault="00B92FB2" w:rsidP="00220070">
      <w:r w:rsidRPr="00B92FB2">
        <w:t>Couplage d'antenne, décalage de rotation d'antenne, radar</w:t>
      </w:r>
    </w:p>
    <w:p w:rsidR="00B92FB2" w:rsidRPr="00B92FB2" w:rsidRDefault="00B92FB2" w:rsidP="00BB3A70">
      <w:pPr>
        <w:pStyle w:val="Headingb"/>
      </w:pPr>
      <w:r w:rsidRPr="00B92FB2">
        <w:t>Abréviations/Glossaire</w:t>
      </w:r>
    </w:p>
    <w:p w:rsidR="00B92FB2" w:rsidRPr="00B92FB2" w:rsidRDefault="00B92FB2" w:rsidP="00220070">
      <w:pPr>
        <w:rPr>
          <w:szCs w:val="24"/>
        </w:rPr>
      </w:pPr>
      <w:r w:rsidRPr="00B92FB2">
        <w:t>FCD</w:t>
      </w:r>
      <w:r w:rsidRPr="00B92FB2">
        <w:tab/>
        <w:t>fonction cumulative de distribution</w:t>
      </w:r>
    </w:p>
    <w:p w:rsidR="00B92FB2" w:rsidRPr="00B92FB2" w:rsidRDefault="00B92FB2" w:rsidP="00BB3A70">
      <w:pPr>
        <w:pStyle w:val="Normalaftertitle"/>
      </w:pPr>
      <w:r w:rsidRPr="00B92FB2">
        <w:t>L'Assemblée des radiocommunications de l'UIT,</w:t>
      </w:r>
    </w:p>
    <w:p w:rsidR="00B92FB2" w:rsidRPr="00B92FB2" w:rsidRDefault="00B92FB2" w:rsidP="00BB3A70">
      <w:pPr>
        <w:pStyle w:val="Call"/>
      </w:pPr>
      <w:r w:rsidRPr="00B92FB2">
        <w:t>considérant</w:t>
      </w:r>
    </w:p>
    <w:p w:rsidR="00B92FB2" w:rsidRPr="00B92FB2" w:rsidRDefault="00B92FB2" w:rsidP="00632FF8">
      <w:r w:rsidRPr="00B92FB2">
        <w:rPr>
          <w:i/>
        </w:rPr>
        <w:t>a)</w:t>
      </w:r>
      <w:r w:rsidRPr="00B92FB2">
        <w:tab/>
        <w:t>qu'il est nécessaire de procéder à une estimation du couplage d'antenne des antennes rotatives à des fins d'évaluation des brouillages;</w:t>
      </w:r>
    </w:p>
    <w:p w:rsidR="00B92FB2" w:rsidRPr="00B92FB2" w:rsidRDefault="00B92FB2" w:rsidP="00632FF8">
      <w:r w:rsidRPr="00B92FB2">
        <w:rPr>
          <w:i/>
        </w:rPr>
        <w:t>b)</w:t>
      </w:r>
      <w:r w:rsidRPr="00B92FB2">
        <w:tab/>
        <w:t>que la Recommandation UIT-R M.1851 – «Modèles mathématiques pour les diagrammes d'antenne des systèmes radar du service de radiorepérage à utiliser dans les analyses de brouillage» – peut servir à calculer les diagrammes de rayonnement d'antenne théoriques à utiliser pour les estimations des couplages d'antenne,</w:t>
      </w:r>
    </w:p>
    <w:p w:rsidR="00B92FB2" w:rsidRPr="00B92FB2" w:rsidRDefault="00B92FB2" w:rsidP="00BB3A70">
      <w:pPr>
        <w:pStyle w:val="Call"/>
      </w:pPr>
      <w:r w:rsidRPr="00B92FB2">
        <w:t>recommande</w:t>
      </w:r>
    </w:p>
    <w:p w:rsidR="00B92FB2" w:rsidRPr="00B92FB2" w:rsidRDefault="00B92FB2" w:rsidP="00F14B34">
      <w:r w:rsidRPr="00B92FB2">
        <w:t>que pour évaluer les effets du couplage d'antenne, il convient de tenir compte des informations figurant à l'Annexe 1.</w:t>
      </w:r>
    </w:p>
    <w:p w:rsidR="00B92FB2" w:rsidRPr="00B92FB2" w:rsidRDefault="00B92FB2" w:rsidP="00B92FB2"/>
    <w:p w:rsidR="00B92FB2" w:rsidRPr="00B92FB2" w:rsidRDefault="00B92FB2" w:rsidP="00B92FB2"/>
    <w:p w:rsidR="00B92FB2" w:rsidRPr="00B92FB2" w:rsidRDefault="00B92FB2" w:rsidP="00F14B34">
      <w:pPr>
        <w:pStyle w:val="AnnexNoTitle"/>
      </w:pPr>
      <w:r w:rsidRPr="00B92FB2">
        <w:t>Annexe 1</w:t>
      </w:r>
      <w:r w:rsidRPr="00B92FB2">
        <w:br/>
      </w:r>
      <w:r w:rsidRPr="00B92FB2">
        <w:br/>
        <w:t>Effets du couplage d'antenne</w:t>
      </w:r>
    </w:p>
    <w:p w:rsidR="00B92FB2" w:rsidRPr="00B92FB2" w:rsidRDefault="00B92FB2" w:rsidP="00F14B34">
      <w:pPr>
        <w:pStyle w:val="Normalaftertitle"/>
      </w:pPr>
      <w:r w:rsidRPr="00B92FB2">
        <w:t>La présente Annexe a pour objet d'examiner les effets de la variabilité de la rotation d'antenne sur le couplage d'antenne.</w:t>
      </w:r>
    </w:p>
    <w:p w:rsidR="00B92FB2" w:rsidRPr="00B92FB2" w:rsidRDefault="00B92FB2" w:rsidP="00F14B34">
      <w:pPr>
        <w:pStyle w:val="Headingb"/>
      </w:pPr>
      <w:r w:rsidRPr="00B92FB2">
        <w:t>Couplage d'antenne</w:t>
      </w:r>
    </w:p>
    <w:p w:rsidR="00B92FB2" w:rsidRPr="00B92FB2" w:rsidRDefault="00B92FB2" w:rsidP="00F14B34">
      <w:pPr>
        <w:rPr>
          <w:szCs w:val="24"/>
        </w:rPr>
      </w:pPr>
      <w:r w:rsidRPr="00B92FB2">
        <w:rPr>
          <w:szCs w:val="24"/>
        </w:rPr>
        <w:t xml:space="preserve">Lorsque deux radars fonctionnent en visibilité directe l'un par rapport à l'autre ou que des conditions de propagation anormales le permettent, les rayonnements émis par l'antenne de l'un des radars peuvent être reçus par l'antenne de l'autre radar ou par son récepteur associé. Cette interaction peut conduire à des brouillages mutuels et, partant, à une dégradation de la qualité de fonctionnement. En pareille circonstance, on dit que les deux systèmes sont couplés. Pour anticiper les éventuels problèmes causés par le système brouilleur et mettre en oeuvre les mesures préventives </w:t>
      </w:r>
      <w:r w:rsidRPr="00B92FB2">
        <w:rPr>
          <w:szCs w:val="24"/>
        </w:rPr>
        <w:lastRenderedPageBreak/>
        <w:t>correspondantes, il est nécessaire de calculer l'amplitude du couplage d'antenne entre les deux radars. Le couplage d'antenne entre deux radars dépend des paramètres suivants:</w:t>
      </w:r>
    </w:p>
    <w:p w:rsidR="00B92FB2" w:rsidRPr="00B92FB2" w:rsidRDefault="00B92FB2" w:rsidP="00C647EF">
      <w:pPr>
        <w:pStyle w:val="enumlev1"/>
      </w:pPr>
      <w:r w:rsidRPr="00B92FB2">
        <w:t>–</w:t>
      </w:r>
      <w:r w:rsidRPr="00B92FB2">
        <w:tab/>
        <w:t>conditions de propagation atmosphérique;</w:t>
      </w:r>
    </w:p>
    <w:p w:rsidR="00B92FB2" w:rsidRPr="00B92FB2" w:rsidRDefault="00B92FB2" w:rsidP="00C647EF">
      <w:pPr>
        <w:pStyle w:val="enumlev1"/>
      </w:pPr>
      <w:r w:rsidRPr="00B92FB2">
        <w:t>–</w:t>
      </w:r>
      <w:r w:rsidRPr="00B92FB2">
        <w:tab/>
        <w:t>puissance de l'émetteur;</w:t>
      </w:r>
    </w:p>
    <w:p w:rsidR="00B92FB2" w:rsidRPr="00B92FB2" w:rsidRDefault="00B92FB2" w:rsidP="00C647EF">
      <w:pPr>
        <w:pStyle w:val="enumlev1"/>
      </w:pPr>
      <w:r w:rsidRPr="00B92FB2">
        <w:t>–</w:t>
      </w:r>
      <w:r w:rsidRPr="00B92FB2">
        <w:tab/>
        <w:t>affaiblissement dans les câbles et autres composants des deux systèmes;</w:t>
      </w:r>
    </w:p>
    <w:p w:rsidR="00B92FB2" w:rsidRPr="00B92FB2" w:rsidRDefault="00B92FB2" w:rsidP="00C647EF">
      <w:pPr>
        <w:pStyle w:val="enumlev1"/>
      </w:pPr>
      <w:r w:rsidRPr="00B92FB2">
        <w:t>–</w:t>
      </w:r>
      <w:r w:rsidRPr="00B92FB2">
        <w:tab/>
        <w:t>couplage entre les antennes dû aux diagrammes de rayonnement;</w:t>
      </w:r>
    </w:p>
    <w:p w:rsidR="00B92FB2" w:rsidRPr="00B92FB2" w:rsidRDefault="00B92FB2" w:rsidP="00C647EF">
      <w:pPr>
        <w:pStyle w:val="enumlev1"/>
      </w:pPr>
      <w:r w:rsidRPr="00B92FB2">
        <w:t>–</w:t>
      </w:r>
      <w:r w:rsidRPr="00B92FB2">
        <w:tab/>
        <w:t>sensibilité du récepteur brouillé;</w:t>
      </w:r>
    </w:p>
    <w:p w:rsidR="00B92FB2" w:rsidRPr="00B92FB2" w:rsidRDefault="00B92FB2" w:rsidP="00C647EF">
      <w:pPr>
        <w:pStyle w:val="enumlev1"/>
      </w:pPr>
      <w:r w:rsidRPr="00B92FB2">
        <w:t>–</w:t>
      </w:r>
      <w:r w:rsidRPr="00B92FB2">
        <w:tab/>
        <w:t>distance géographique et élévations du terrain entre les radars;</w:t>
      </w:r>
    </w:p>
    <w:p w:rsidR="00B92FB2" w:rsidRPr="00B92FB2" w:rsidRDefault="00B92FB2" w:rsidP="00C647EF">
      <w:pPr>
        <w:pStyle w:val="enumlev1"/>
      </w:pPr>
      <w:r w:rsidRPr="00B92FB2">
        <w:t>–</w:t>
      </w:r>
      <w:r w:rsidRPr="00B92FB2">
        <w:tab/>
        <w:t>hauteur des antennes au-dessus au sol et angles d'élévation/d'inclinaison des antennes;</w:t>
      </w:r>
    </w:p>
    <w:p w:rsidR="00B92FB2" w:rsidRPr="00B92FB2" w:rsidRDefault="00B92FB2" w:rsidP="00C647EF">
      <w:pPr>
        <w:pStyle w:val="enumlev1"/>
      </w:pPr>
      <w:r w:rsidRPr="00B92FB2">
        <w:t>–</w:t>
      </w:r>
      <w:r w:rsidRPr="00B92FB2">
        <w:tab/>
        <w:t>gains absolus des antennes aux angles auxquels les rayons directs quittent l'antenne d'émission et arrivent à l'antenne de réception;</w:t>
      </w:r>
    </w:p>
    <w:p w:rsidR="00B92FB2" w:rsidRPr="00B92FB2" w:rsidRDefault="00B92FB2" w:rsidP="00C647EF">
      <w:pPr>
        <w:pStyle w:val="enumlev1"/>
      </w:pPr>
      <w:r w:rsidRPr="00B92FB2">
        <w:t>–</w:t>
      </w:r>
      <w:r w:rsidRPr="00B92FB2">
        <w:tab/>
        <w:t>décalage des fréquences de rotation des antennes.</w:t>
      </w:r>
    </w:p>
    <w:p w:rsidR="00B92FB2" w:rsidRPr="00B92FB2" w:rsidRDefault="00B92FB2" w:rsidP="001A1B7C">
      <w:pPr>
        <w:rPr>
          <w:szCs w:val="24"/>
        </w:rPr>
      </w:pPr>
      <w:r w:rsidRPr="00B92FB2">
        <w:rPr>
          <w:szCs w:val="24"/>
        </w:rPr>
        <w:t>Les radars primaires sont des récepteurs qui, du fait de leur sensibilité très élevée, peuvent détecter des signaux réfléchis par des aéronefs, compte tenu des affaiblissements de propagation dans les deux sens (trajet aller et trajet retour), affaiblissements qui se traduisent par un facteur 1/</w:t>
      </w:r>
      <w:r w:rsidRPr="00B92FB2">
        <w:rPr>
          <w:i/>
          <w:iCs/>
          <w:szCs w:val="24"/>
        </w:rPr>
        <w:t>R</w:t>
      </w:r>
      <w:r w:rsidRPr="00B92FB2">
        <w:rPr>
          <w:szCs w:val="24"/>
          <w:vertAlign w:val="superscript"/>
        </w:rPr>
        <w:t>4</w:t>
      </w:r>
      <w:r w:rsidRPr="00B92FB2">
        <w:rPr>
          <w:szCs w:val="24"/>
        </w:rPr>
        <w:t xml:space="preserve"> dans l'équation du radar, </w:t>
      </w:r>
      <w:r w:rsidRPr="00B92FB2">
        <w:rPr>
          <w:i/>
          <w:iCs/>
          <w:szCs w:val="24"/>
        </w:rPr>
        <w:t>R</w:t>
      </w:r>
      <w:r w:rsidRPr="00B92FB2">
        <w:rPr>
          <w:szCs w:val="24"/>
        </w:rPr>
        <w:t xml:space="preserve"> désignant la distance de l'aéronef. </w:t>
      </w:r>
    </w:p>
    <w:p w:rsidR="00B92FB2" w:rsidRPr="00B92FB2" w:rsidRDefault="00B92FB2" w:rsidP="001A1B7C">
      <w:pPr>
        <w:rPr>
          <w:szCs w:val="24"/>
        </w:rPr>
      </w:pPr>
      <w:r w:rsidRPr="00B92FB2">
        <w:rPr>
          <w:szCs w:val="24"/>
        </w:rPr>
        <w:t>Etant donné que le brouillage de radar à radar résulte d'une propagation sur un seul trajet (trajet de propagation en 1/</w:t>
      </w:r>
      <w:r w:rsidRPr="00B92FB2">
        <w:rPr>
          <w:i/>
          <w:iCs/>
          <w:szCs w:val="24"/>
        </w:rPr>
        <w:t>R</w:t>
      </w:r>
      <w:r w:rsidRPr="00B92FB2">
        <w:rPr>
          <w:szCs w:val="24"/>
          <w:vertAlign w:val="superscript"/>
        </w:rPr>
        <w:t>2</w:t>
      </w:r>
      <w:r w:rsidRPr="00B92FB2">
        <w:rPr>
          <w:szCs w:val="24"/>
        </w:rPr>
        <w:t xml:space="preserve">), une distance de séparation plus importante est requise entre le radar brouilleur et le radar brouillé. </w:t>
      </w:r>
    </w:p>
    <w:p w:rsidR="00B92FB2" w:rsidRPr="00B92FB2" w:rsidRDefault="00B92FB2" w:rsidP="001A1B7C">
      <w:pPr>
        <w:rPr>
          <w:szCs w:val="24"/>
        </w:rPr>
      </w:pPr>
      <w:r w:rsidRPr="00B92FB2">
        <w:rPr>
          <w:szCs w:val="24"/>
        </w:rPr>
        <w:t xml:space="preserve">Il ressort de ce qui précède que, dans un réseau de radars assurant une couverture complète, les radars subissent toujours des brouillages causés par les radars environnants. </w:t>
      </w:r>
    </w:p>
    <w:p w:rsidR="00B92FB2" w:rsidRPr="00B92FB2" w:rsidRDefault="00B92FB2" w:rsidP="001A1B7C">
      <w:pPr>
        <w:rPr>
          <w:szCs w:val="24"/>
        </w:rPr>
      </w:pPr>
      <w:r w:rsidRPr="00B92FB2">
        <w:rPr>
          <w:szCs w:val="24"/>
        </w:rPr>
        <w:t xml:space="preserve">Le couplage entre radars se produit essentiellement lorsque les radars fonctionnent à la même fréquence ou à des fréquences voisines, cas où le rejet dépendant de la fréquence (FDR) ou la valeur de crête du FDR sont faibles. La technique d'atténuation actuellement employée pour supprimer les brouillages de radar à radar consiste à attribuer aux radars des fréquences différentes dans la zone de couverture. Pour atténuer les brouillages et assurer la couverture complète d'une région donnée via un plan géographique de fréquences, il est nécessaire de choisir un ensemble de fréquences suffisamment espacées. </w:t>
      </w:r>
    </w:p>
    <w:p w:rsidR="00B92FB2" w:rsidRPr="00B92FB2" w:rsidRDefault="00B92FB2" w:rsidP="001A1B7C">
      <w:pPr>
        <w:rPr>
          <w:szCs w:val="24"/>
        </w:rPr>
      </w:pPr>
      <w:r w:rsidRPr="00B92FB2">
        <w:rPr>
          <w:szCs w:val="24"/>
        </w:rPr>
        <w:t xml:space="preserve">Lorsque les vitesses de rotation de deux antennes sont décalées, il peut se produire des niveaux élevés de brouillages répétitifs et de longue durée. Les Figures 1 à 6 présentent des exemples de décalage de rotation d'antenne (Rec. UIT-R M.1464-1 radar C vers radar C). On notera que ces décalages ne sont pas irréalistes. Exemple de spécifications des besoins concernant le mécanisme de rotation du socle d'un radar de surveillance d'aéroport et la vitesse de balayage de l'antenne: </w:t>
      </w:r>
    </w:p>
    <w:p w:rsidR="00B92FB2" w:rsidRPr="009D6AAF" w:rsidRDefault="00B92FB2" w:rsidP="009D6AAF">
      <w:pPr>
        <w:pStyle w:val="enumlev1"/>
        <w:rPr>
          <w:i/>
          <w:iCs/>
        </w:rPr>
      </w:pPr>
      <w:r w:rsidRPr="00B92FB2">
        <w:tab/>
      </w:r>
      <w:r w:rsidRPr="009D6AAF">
        <w:rPr>
          <w:i/>
          <w:iCs/>
        </w:rPr>
        <w:t>«</w:t>
      </w:r>
      <w:r w:rsidRPr="009D6AAF">
        <w:rPr>
          <w:i/>
          <w:iCs/>
          <w:u w:val="single"/>
        </w:rPr>
        <w:t>Mécanisme de rotation du socle de l'antenne</w:t>
      </w:r>
      <w:r w:rsidRPr="009D6AAF">
        <w:rPr>
          <w:i/>
          <w:iCs/>
        </w:rPr>
        <w:t>. Le mécanisme de rotation du socle doit afficher une vitesse réglable comprise entre 0 et 30</w:t>
      </w:r>
      <w:r w:rsidRPr="009D6AAF">
        <w:rPr>
          <w:i/>
          <w:iCs/>
        </w:rPr>
        <w:sym w:font="Symbol" w:char="F0B0"/>
      </w:r>
      <w:r w:rsidRPr="009D6AAF">
        <w:rPr>
          <w:i/>
          <w:iCs/>
        </w:rPr>
        <w:t>/s, par pas de 1</w:t>
      </w:r>
      <w:r w:rsidRPr="009D6AAF">
        <w:rPr>
          <w:i/>
          <w:iCs/>
        </w:rPr>
        <w:sym w:font="Symbol" w:char="F0B0"/>
      </w:r>
      <w:r w:rsidRPr="009D6AAF">
        <w:rPr>
          <w:i/>
          <w:iCs/>
        </w:rPr>
        <w:t>/s au maximum, avec une précision de ±0,5</w:t>
      </w:r>
      <w:r w:rsidRPr="009D6AAF">
        <w:rPr>
          <w:i/>
          <w:iCs/>
        </w:rPr>
        <w:sym w:font="Symbol" w:char="F0B0"/>
      </w:r>
      <w:r w:rsidRPr="009D6AAF">
        <w:rPr>
          <w:i/>
          <w:iCs/>
        </w:rPr>
        <w:t>/s. Sur commande, le mécanisme de rotation place l'antenne dans une position déterminée et maintient cette position sans s'écarter de ±0,05° de l'angle d'azimut choisi. En exploitation normale, l'antenne pivote dans le sens des aiguilles d'une montre.»</w:t>
      </w:r>
    </w:p>
    <w:p w:rsidR="00B92FB2" w:rsidRPr="00B92FB2" w:rsidRDefault="00B92FB2" w:rsidP="008C6B82">
      <w:pPr>
        <w:rPr>
          <w:szCs w:val="24"/>
        </w:rPr>
      </w:pPr>
      <w:r w:rsidRPr="00B92FB2">
        <w:rPr>
          <w:szCs w:val="24"/>
        </w:rPr>
        <w:t>Une autre spécification indique que «la vitesse de balayage de l'antenne correspond à une révolution toutes les 4,8 secondes, +0,53 ou –0,44 seconde», soit des valeurs de vitesse de rotation comprises entre 67,54</w:t>
      </w:r>
      <w:r w:rsidRPr="00B92FB2">
        <w:rPr>
          <w:szCs w:val="24"/>
        </w:rPr>
        <w:sym w:font="Symbol" w:char="F0B0"/>
      </w:r>
      <w:r w:rsidRPr="00B92FB2">
        <w:rPr>
          <w:szCs w:val="24"/>
        </w:rPr>
        <w:t>/s et 82,57</w:t>
      </w:r>
      <w:r w:rsidRPr="00B92FB2">
        <w:rPr>
          <w:szCs w:val="24"/>
        </w:rPr>
        <w:sym w:font="Symbol" w:char="F0B0"/>
      </w:r>
      <w:r w:rsidRPr="00B92FB2">
        <w:rPr>
          <w:szCs w:val="24"/>
        </w:rPr>
        <w:t>/s.</w:t>
      </w:r>
    </w:p>
    <w:p w:rsidR="00B92FB2" w:rsidRPr="00B92FB2" w:rsidRDefault="00B92FB2" w:rsidP="008C6B82">
      <w:pPr>
        <w:rPr>
          <w:szCs w:val="24"/>
        </w:rPr>
      </w:pPr>
      <w:r w:rsidRPr="00B92FB2">
        <w:rPr>
          <w:szCs w:val="24"/>
        </w:rPr>
        <w:t xml:space="preserve">Ces spécifications montrent que même si les antennes sont synchronisées en rotation, des niveaux élevés de couplage peuvent se produire. Les figures ci-dessous présentent les couplages d'antenne obtenus pour trois valeurs maximales de décalage de la vitesse de rotation d'antenne entre deux </w:t>
      </w:r>
      <w:r w:rsidRPr="00B92FB2">
        <w:rPr>
          <w:szCs w:val="24"/>
        </w:rPr>
        <w:lastRenderedPageBreak/>
        <w:t>radars: 0,5</w:t>
      </w:r>
      <w:r w:rsidRPr="00B92FB2">
        <w:rPr>
          <w:szCs w:val="24"/>
        </w:rPr>
        <w:sym w:font="Symbol" w:char="F0B0"/>
      </w:r>
      <w:r w:rsidRPr="00B92FB2">
        <w:rPr>
          <w:szCs w:val="24"/>
        </w:rPr>
        <w:t>/s, 0,25</w:t>
      </w:r>
      <w:r w:rsidRPr="00B92FB2">
        <w:rPr>
          <w:szCs w:val="24"/>
        </w:rPr>
        <w:sym w:font="Symbol" w:char="F0B0"/>
      </w:r>
      <w:r w:rsidRPr="00B92FB2">
        <w:rPr>
          <w:szCs w:val="24"/>
        </w:rPr>
        <w:t>/s et 7,46</w:t>
      </w:r>
      <w:r w:rsidRPr="00B92FB2">
        <w:rPr>
          <w:szCs w:val="24"/>
        </w:rPr>
        <w:sym w:font="Symbol" w:char="F0B0"/>
      </w:r>
      <w:r w:rsidRPr="00B92FB2">
        <w:rPr>
          <w:szCs w:val="24"/>
        </w:rPr>
        <w:t>/s. On observe que plus le décalage des vitesses de rotation est faible, plus la fréquence de répétition des niveaux élevés de couplage d'antenne diminue.</w:t>
      </w:r>
    </w:p>
    <w:p w:rsidR="00B92FB2" w:rsidRPr="00B92FB2" w:rsidRDefault="00B92FB2" w:rsidP="00B87F86">
      <w:pPr>
        <w:pStyle w:val="FigureNo"/>
      </w:pPr>
      <w:r w:rsidRPr="00B92FB2">
        <w:t xml:space="preserve">Figure </w:t>
      </w:r>
      <w:r w:rsidRPr="00B92FB2">
        <w:fldChar w:fldCharType="begin"/>
      </w:r>
      <w:r w:rsidRPr="00B92FB2">
        <w:instrText xml:space="preserve"> SEQ Figure \* ARABIC </w:instrText>
      </w:r>
      <w:r w:rsidRPr="00B92FB2">
        <w:fldChar w:fldCharType="separate"/>
      </w:r>
      <w:r w:rsidR="00D21982">
        <w:rPr>
          <w:noProof/>
        </w:rPr>
        <w:t>1</w:t>
      </w:r>
      <w:r w:rsidRPr="00B92FB2">
        <w:fldChar w:fldCharType="end"/>
      </w:r>
    </w:p>
    <w:p w:rsidR="00B92FB2" w:rsidRPr="00B92FB2" w:rsidRDefault="00B92FB2" w:rsidP="00B87F86">
      <w:pPr>
        <w:pStyle w:val="Figuretitle"/>
      </w:pPr>
      <w:r w:rsidRPr="00B92FB2">
        <w:t>Couplage d'antenne pour une différence des vitesses de rotation égale à 0,50</w:t>
      </w:r>
      <w:r w:rsidRPr="00B92FB2">
        <w:sym w:font="Symbol" w:char="F0B0"/>
      </w:r>
      <w:r w:rsidRPr="00B92FB2">
        <w:t>/s</w:t>
      </w:r>
    </w:p>
    <w:p w:rsidR="00B92FB2" w:rsidRPr="00B92FB2" w:rsidRDefault="00B92FB2" w:rsidP="00B87F86">
      <w:pPr>
        <w:pStyle w:val="Figure"/>
      </w:pPr>
      <w:r w:rsidRPr="00B92FB2">
        <w:object w:dxaOrig="4453" w:dyaOrig="3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35pt;height:219.25pt" o:ole="">
            <v:imagedata r:id="rId13" o:title=""/>
          </v:shape>
          <o:OLEObject Type="Embed" ProgID="CorelDraw.Graphic.16" ShapeID="_x0000_i1025" DrawAspect="Content" ObjectID="_1510726059" r:id="rId14"/>
        </w:object>
      </w:r>
    </w:p>
    <w:p w:rsidR="00B92FB2" w:rsidRPr="00B92FB2" w:rsidRDefault="00B92FB2" w:rsidP="0019712C">
      <w:pPr>
        <w:pStyle w:val="FigureNo"/>
      </w:pPr>
      <w:r w:rsidRPr="00B92FB2">
        <w:t>Figure 2</w:t>
      </w:r>
    </w:p>
    <w:p w:rsidR="00B92FB2" w:rsidRPr="00B92FB2" w:rsidRDefault="00B92FB2" w:rsidP="0019712C">
      <w:pPr>
        <w:pStyle w:val="Figuretitle"/>
      </w:pPr>
      <w:r w:rsidRPr="00B92FB2">
        <w:t>Couplage d'antenne pour une différence des vitesses de rotation égale à 0,50</w:t>
      </w:r>
      <w:r w:rsidRPr="00B92FB2">
        <w:sym w:font="Symbol" w:char="F0B0"/>
      </w:r>
      <w:r w:rsidRPr="00B92FB2">
        <w:t>/s (vue détaillée)</w:t>
      </w:r>
    </w:p>
    <w:p w:rsidR="00B92FB2" w:rsidRPr="00B92FB2" w:rsidRDefault="00B92FB2" w:rsidP="0019712C">
      <w:pPr>
        <w:pStyle w:val="Figure"/>
      </w:pPr>
      <w:r w:rsidRPr="00B92FB2">
        <w:object w:dxaOrig="4403" w:dyaOrig="3666">
          <v:shape id="_x0000_i1026" type="#_x0000_t75" style="width:261.35pt;height:219.25pt" o:ole="">
            <v:imagedata r:id="rId15" o:title=""/>
          </v:shape>
          <o:OLEObject Type="Embed" ProgID="CorelDraw.Graphic.16" ShapeID="_x0000_i1026" DrawAspect="Content" ObjectID="_1510726060" r:id="rId16"/>
        </w:object>
      </w:r>
    </w:p>
    <w:p w:rsidR="00B92FB2" w:rsidRPr="00B92FB2" w:rsidRDefault="00B92FB2" w:rsidP="0067479D">
      <w:pPr>
        <w:pStyle w:val="FigureNo"/>
      </w:pPr>
      <w:r w:rsidRPr="00B92FB2">
        <w:lastRenderedPageBreak/>
        <w:t>Figure 3</w:t>
      </w:r>
    </w:p>
    <w:p w:rsidR="00B92FB2" w:rsidRPr="00B92FB2" w:rsidRDefault="00B92FB2" w:rsidP="0067479D">
      <w:pPr>
        <w:pStyle w:val="Figuretitle"/>
      </w:pPr>
      <w:r w:rsidRPr="00B92FB2">
        <w:t>Couplage d'antenne pour une différence des vitesses de rotation égale à 0,25</w:t>
      </w:r>
      <w:r w:rsidRPr="00B92FB2">
        <w:sym w:font="Symbol" w:char="F0B0"/>
      </w:r>
      <w:r w:rsidRPr="00B92FB2">
        <w:t>/s</w:t>
      </w:r>
    </w:p>
    <w:p w:rsidR="00B92FB2" w:rsidRPr="00B92FB2" w:rsidRDefault="00B92FB2" w:rsidP="0067479D">
      <w:pPr>
        <w:pStyle w:val="Figure"/>
      </w:pPr>
      <w:r w:rsidRPr="00B92FB2">
        <w:object w:dxaOrig="4453" w:dyaOrig="3644">
          <v:shape id="_x0000_i1027" type="#_x0000_t75" style="width:268.35pt;height:217.85pt" o:ole="">
            <v:imagedata r:id="rId17" o:title=""/>
          </v:shape>
          <o:OLEObject Type="Embed" ProgID="CorelDraw.Graphic.16" ShapeID="_x0000_i1027" DrawAspect="Content" ObjectID="_1510726061" r:id="rId18"/>
        </w:object>
      </w:r>
    </w:p>
    <w:p w:rsidR="00B92FB2" w:rsidRPr="00B92FB2" w:rsidRDefault="00B92FB2" w:rsidP="00331FDD">
      <w:pPr>
        <w:pStyle w:val="FigureNo"/>
      </w:pPr>
      <w:r w:rsidRPr="00B92FB2">
        <w:t>Figure 4</w:t>
      </w:r>
    </w:p>
    <w:p w:rsidR="00B92FB2" w:rsidRPr="00B92FB2" w:rsidRDefault="00B92FB2" w:rsidP="00331FDD">
      <w:pPr>
        <w:pStyle w:val="Figuretitle"/>
      </w:pPr>
      <w:r w:rsidRPr="00B92FB2">
        <w:t>Couplage d'antenne pour une différence des vitesses de rotation égale à 0,25</w:t>
      </w:r>
      <w:r w:rsidRPr="00B92FB2">
        <w:sym w:font="Symbol" w:char="F0B0"/>
      </w:r>
      <w:r w:rsidRPr="00B92FB2">
        <w:t>/s (vue détaillée)</w:t>
      </w:r>
    </w:p>
    <w:p w:rsidR="00B92FB2" w:rsidRPr="00B92FB2" w:rsidRDefault="00B92FB2" w:rsidP="00331FDD">
      <w:pPr>
        <w:pStyle w:val="Figure"/>
      </w:pPr>
      <w:r w:rsidRPr="00B92FB2">
        <w:object w:dxaOrig="4489" w:dyaOrig="3718">
          <v:shape id="_x0000_i1028" type="#_x0000_t75" style="width:273.95pt;height:223pt" o:ole="">
            <v:imagedata r:id="rId19" o:title=""/>
          </v:shape>
          <o:OLEObject Type="Embed" ProgID="CorelDraw.Graphic.16" ShapeID="_x0000_i1028" DrawAspect="Content" ObjectID="_1510726062" r:id="rId20"/>
        </w:object>
      </w:r>
    </w:p>
    <w:p w:rsidR="00B92FB2" w:rsidRPr="00B92FB2" w:rsidRDefault="00B92FB2" w:rsidP="00940102">
      <w:pPr>
        <w:pStyle w:val="FigureNo"/>
      </w:pPr>
      <w:r w:rsidRPr="00B92FB2">
        <w:lastRenderedPageBreak/>
        <w:t>Figure 5</w:t>
      </w:r>
    </w:p>
    <w:p w:rsidR="00B92FB2" w:rsidRPr="00B92FB2" w:rsidRDefault="00B92FB2" w:rsidP="00940102">
      <w:pPr>
        <w:pStyle w:val="Figuretitle"/>
      </w:pPr>
      <w:r w:rsidRPr="00B92FB2">
        <w:t>Couplage d'antenne pour une différence des vitesses de rotation égale à 7,46</w:t>
      </w:r>
      <w:r w:rsidRPr="00B92FB2">
        <w:sym w:font="Symbol" w:char="F0B0"/>
      </w:r>
      <w:r w:rsidRPr="00B92FB2">
        <w:t>/s</w:t>
      </w:r>
    </w:p>
    <w:p w:rsidR="00B92FB2" w:rsidRPr="00B92FB2" w:rsidRDefault="00B92FB2" w:rsidP="00940102">
      <w:pPr>
        <w:pStyle w:val="Figure"/>
      </w:pPr>
      <w:r w:rsidRPr="00B92FB2">
        <w:object w:dxaOrig="4453" w:dyaOrig="3718">
          <v:shape id="_x0000_i1029" type="#_x0000_t75" style="width:266.5pt;height:223pt" o:ole="">
            <v:imagedata r:id="rId21" o:title=""/>
          </v:shape>
          <o:OLEObject Type="Embed" ProgID="CorelDraw.Graphic.16" ShapeID="_x0000_i1029" DrawAspect="Content" ObjectID="_1510726063" r:id="rId22"/>
        </w:object>
      </w:r>
    </w:p>
    <w:p w:rsidR="00B92FB2" w:rsidRPr="00B92FB2" w:rsidRDefault="00B92FB2" w:rsidP="00940102">
      <w:pPr>
        <w:pStyle w:val="FigureNo"/>
      </w:pPr>
      <w:r w:rsidRPr="00B92FB2">
        <w:t>Figure 6</w:t>
      </w:r>
    </w:p>
    <w:p w:rsidR="00B92FB2" w:rsidRPr="00B92FB2" w:rsidRDefault="00B92FB2" w:rsidP="00940102">
      <w:pPr>
        <w:pStyle w:val="Figuretitle"/>
      </w:pPr>
      <w:r w:rsidRPr="00B92FB2">
        <w:t>Couplage d'antenne pour une différence des vitesses de rotation égale à 7,46</w:t>
      </w:r>
      <w:r w:rsidRPr="00B92FB2">
        <w:sym w:font="Symbol" w:char="F0B0"/>
      </w:r>
      <w:r w:rsidRPr="00B92FB2">
        <w:t>/s (vue détaillée)</w:t>
      </w:r>
    </w:p>
    <w:p w:rsidR="00B92FB2" w:rsidRPr="00B92FB2" w:rsidRDefault="00B92FB2" w:rsidP="00940102">
      <w:pPr>
        <w:pStyle w:val="Figure"/>
      </w:pPr>
      <w:r w:rsidRPr="00B92FB2">
        <w:object w:dxaOrig="4453" w:dyaOrig="3718">
          <v:shape id="_x0000_i1030" type="#_x0000_t75" style="width:266.5pt;height:223pt" o:ole="">
            <v:imagedata r:id="rId23" o:title=""/>
          </v:shape>
          <o:OLEObject Type="Embed" ProgID="CorelDraw.Graphic.16" ShapeID="_x0000_i1030" DrawAspect="Content" ObjectID="_1510726064" r:id="rId24"/>
        </w:object>
      </w:r>
    </w:p>
    <w:p w:rsidR="00B92FB2" w:rsidRPr="00B92FB2" w:rsidRDefault="00B92FB2" w:rsidP="00733BBD">
      <w:pPr>
        <w:pStyle w:val="FigureNo"/>
      </w:pPr>
      <w:r w:rsidRPr="00B92FB2">
        <w:lastRenderedPageBreak/>
        <w:t>Figure 7</w:t>
      </w:r>
    </w:p>
    <w:p w:rsidR="00B92FB2" w:rsidRPr="00B92FB2" w:rsidRDefault="00B92FB2" w:rsidP="00733BBD">
      <w:pPr>
        <w:pStyle w:val="Figuretitle"/>
      </w:pPr>
      <w:r w:rsidRPr="00B92FB2">
        <w:t>Couplage d'antenne pour une différence des vitesses de rotation égale à 7,46</w:t>
      </w:r>
      <w:r w:rsidRPr="00B92FB2">
        <w:sym w:font="Symbol" w:char="F0B0"/>
      </w:r>
      <w:r w:rsidRPr="00B92FB2">
        <w:t>/s avec radars multiples</w:t>
      </w:r>
    </w:p>
    <w:p w:rsidR="00B92FB2" w:rsidRPr="00B92FB2" w:rsidRDefault="00B92FB2" w:rsidP="00733BBD">
      <w:pPr>
        <w:pStyle w:val="Figure"/>
      </w:pPr>
      <w:r w:rsidRPr="00B92FB2">
        <w:object w:dxaOrig="4453" w:dyaOrig="3718">
          <v:shape id="_x0000_i1031" type="#_x0000_t75" style="width:270.7pt;height:221.6pt" o:ole="">
            <v:imagedata r:id="rId25" o:title=""/>
          </v:shape>
          <o:OLEObject Type="Embed" ProgID="CorelDraw.Graphic.16" ShapeID="_x0000_i1031" DrawAspect="Content" ObjectID="_1510726065" r:id="rId26"/>
        </w:object>
      </w:r>
    </w:p>
    <w:p w:rsidR="00B92FB2" w:rsidRPr="00B92FB2" w:rsidRDefault="00B92FB2" w:rsidP="00E63E09">
      <w:pPr>
        <w:pStyle w:val="FigureNo"/>
      </w:pPr>
      <w:r w:rsidRPr="00B92FB2">
        <w:t>Figure 8</w:t>
      </w:r>
    </w:p>
    <w:p w:rsidR="00B92FB2" w:rsidRPr="00B92FB2" w:rsidRDefault="00B92FB2" w:rsidP="00E63E09">
      <w:pPr>
        <w:pStyle w:val="Figuretitle"/>
      </w:pPr>
      <w:r w:rsidRPr="00B92FB2">
        <w:t>Couplage d'antenne pour une différence des vitesses de rotation égale à 7,46</w:t>
      </w:r>
      <w:r w:rsidRPr="00B92FB2">
        <w:sym w:font="Symbol" w:char="F0B0"/>
      </w:r>
      <w:r w:rsidRPr="00B92FB2">
        <w:t xml:space="preserve">/s avec radars multiples </w:t>
      </w:r>
      <w:r w:rsidRPr="00B92FB2">
        <w:br/>
        <w:t>(vue détaillée)</w:t>
      </w:r>
    </w:p>
    <w:p w:rsidR="00B92FB2" w:rsidRPr="00B92FB2" w:rsidRDefault="00B92FB2" w:rsidP="00E63E09">
      <w:pPr>
        <w:pStyle w:val="Figure"/>
      </w:pPr>
      <w:r w:rsidRPr="00B92FB2">
        <w:object w:dxaOrig="4453" w:dyaOrig="3718">
          <v:shape id="_x0000_i1032" type="#_x0000_t75" style="width:270.7pt;height:221.6pt" o:ole="">
            <v:imagedata r:id="rId27" o:title=""/>
          </v:shape>
          <o:OLEObject Type="Embed" ProgID="CorelDraw.Graphic.16" ShapeID="_x0000_i1032" DrawAspect="Content" ObjectID="_1510726066" r:id="rId28"/>
        </w:object>
      </w:r>
    </w:p>
    <w:p w:rsidR="00B92FB2" w:rsidRPr="00B92FB2" w:rsidRDefault="00B92FB2" w:rsidP="007700E4">
      <w:pPr>
        <w:pStyle w:val="Normalaftertitle"/>
      </w:pPr>
      <w:bookmarkStart w:id="4" w:name="tw4winFrom"/>
      <w:bookmarkEnd w:id="4"/>
      <w:r w:rsidRPr="00B92FB2">
        <w:t xml:space="preserve">Comme on peut le voir dans les Fig. 1 à 8, des gains liés à des niveaux élevés de couplage d'antenne peuvent être présents pendant une longue période, en fonction du décalage des vitesses de rotation d'antenne. La Figure 10 montre la fonction de distribution cumulative (FDC) du couplage d'antenne pour une interaction de type radar C vers radar C (diagramme de rayonnement d'antenne indiqué à la Fig. 11). La fonction FDC a été calculée à partir de 5 millions d'échantillons aléatoires de positions de pointage en azimut de deux antennes radar (et de plusieurs radars C causant des brouillages à un autre radar C, voir la Fig. 9), en évaluant le gain total vu par l'antenne brouillée. Par hypothèse, les vitesses de rotation sont différentes. Les radars sont positionnés pour que l'on puisse considérer que les antennes produisent des diagrammes de champ lointain. A titre d'exemple, des niveaux de couplage de +30 dB entre les deux radars sont dépassés pendant 0,05% du temps. Les courbes ci-dessus montrent toutefois que le niveau de 30 dB est quasiment toujours dépassé. Pour </w:t>
      </w:r>
      <w:r w:rsidRPr="00236ABB">
        <w:lastRenderedPageBreak/>
        <w:t>obtenir des valeurs de couplage d'antenne réalistes, il est donc nécessaire de choisir un pourcentage de temps très inférieur à 0,05%. Lors des études de partage et de compatibilité, il est recommandé de choisir le gain de couplage d'antenne de telle manière qu'il ne soit pas dépassé pendant plus longtemps qu'une durée très faible. La valeur exacte retenue pour cette durée «très faible» sera déterminée au cas par cas en fonction du caractère critique et de l'importance de la fonction radar. On notera en outre les remarques suivantes:</w:t>
      </w:r>
    </w:p>
    <w:p w:rsidR="00B92FB2" w:rsidRPr="00B92FB2" w:rsidRDefault="00B92FB2" w:rsidP="00C106A2">
      <w:pPr>
        <w:pStyle w:val="Headingb"/>
      </w:pPr>
      <w:r w:rsidRPr="00B92FB2">
        <w:t>Effet multi-radars</w:t>
      </w:r>
    </w:p>
    <w:p w:rsidR="00B92FB2" w:rsidRPr="00B92FB2" w:rsidRDefault="00B92FB2" w:rsidP="00B92FB2">
      <w:r w:rsidRPr="00B92FB2">
        <w:t>Il convient aussi de noter que pour desservir de vastes zones, un réseau de radars peut être nécessaire. Par exemple, dans le cas d'une couverture complète, donc sans «zone de silence», on peut considérer qu'un radar brouillé est entouré de six autres radars (voir la Fig. 9).</w:t>
      </w:r>
    </w:p>
    <w:p w:rsidR="00B92FB2" w:rsidRPr="00B92FB2" w:rsidRDefault="00B92FB2" w:rsidP="00C106A2">
      <w:pPr>
        <w:pStyle w:val="FigureNo"/>
      </w:pPr>
      <w:bookmarkStart w:id="5" w:name="tw4winUpto"/>
      <w:bookmarkEnd w:id="5"/>
      <w:r w:rsidRPr="00B92FB2">
        <w:t>Figure 9</w:t>
      </w:r>
    </w:p>
    <w:p w:rsidR="00B92FB2" w:rsidRPr="00B92FB2" w:rsidRDefault="00B92FB2" w:rsidP="00C106A2">
      <w:pPr>
        <w:pStyle w:val="Figure"/>
      </w:pPr>
      <w:r w:rsidRPr="00B92FB2">
        <w:object w:dxaOrig="2253" w:dyaOrig="2354">
          <v:shape id="_x0000_i1033" type="#_x0000_t75" style="width:135.1pt;height:141.2pt" o:ole="">
            <v:imagedata r:id="rId29" o:title=""/>
          </v:shape>
          <o:OLEObject Type="Embed" ProgID="CorelDraw.Graphic.16" ShapeID="_x0000_i1033" DrawAspect="Content" ObjectID="_1510726067" r:id="rId30"/>
        </w:object>
      </w:r>
    </w:p>
    <w:p w:rsidR="00B92FB2" w:rsidRPr="00B92FB2" w:rsidRDefault="00B92FB2" w:rsidP="00C106A2">
      <w:pPr>
        <w:pStyle w:val="Normalaftertitle"/>
      </w:pPr>
      <w:r w:rsidRPr="00B92FB2">
        <w:t>Dans une telle configuration, les brouillages se produisent à peu près «six fois plus souvent». Les sept radars ayant des positions angulaires et des positions de rotation différentes, les événements de brouillages se caractérisent par une distribution échelonnée dans le temps.</w:t>
      </w:r>
    </w:p>
    <w:p w:rsidR="00B92FB2" w:rsidRPr="00B92FB2" w:rsidRDefault="00B92FB2" w:rsidP="00C106A2">
      <w:r w:rsidRPr="00B92FB2">
        <w:t>Par exemple, pour une différence de vitesse de rotation des antennes égale à 0,1°/s, dans l'hypothèse d'une récurrence uniforme, on peut estimer que les événements de couplage maximal se produisent toutes les (360° ÷ 0,1°/s) ÷ 6 = 600 s. Mais dans une autre configuration extrême, les événements de couplage maximal entre le radar brouillé et les six autres radars pourraient se produire au cours d'une même période de rotation de l'antenne du radar brouillé. Autrement dit, pour une période de rotation d'antenne courante de 12 s, le radar brouillé subirait des brouillages toutes les 2 secondes. La Figure 10 montre la FDC du couplage d'antenne correspondant à deux cas distincts: le premier correspond à un couplage entre deux radars (courbe noire), le second (courbe rouge) à une configuration mettant en oeuvre six radars causant des brouillages à un autre radar placé au centre, comme illustré à la Fig. 9.</w:t>
      </w:r>
    </w:p>
    <w:p w:rsidR="00B92FB2" w:rsidRPr="00B92FB2" w:rsidRDefault="00B92FB2" w:rsidP="00A551BE">
      <w:pPr>
        <w:pStyle w:val="FigureNo"/>
      </w:pPr>
      <w:r w:rsidRPr="00B92FB2">
        <w:lastRenderedPageBreak/>
        <w:t>Figure 10</w:t>
      </w:r>
    </w:p>
    <w:p w:rsidR="00B92FB2" w:rsidRPr="00B92FB2" w:rsidRDefault="00B92FB2" w:rsidP="00A551BE">
      <w:pPr>
        <w:pStyle w:val="Figuretitle"/>
      </w:pPr>
      <w:r w:rsidRPr="00B92FB2">
        <w:t>FDC du couplage d'antenne pour des radars C</w:t>
      </w:r>
      <w:r w:rsidRPr="00B92FB2">
        <w:br/>
        <w:t>(calculée à partir de diagrammes de rayonnement d'antenne mesurés)</w:t>
      </w:r>
    </w:p>
    <w:p w:rsidR="00B92FB2" w:rsidRPr="00B92FB2" w:rsidRDefault="00B92FB2" w:rsidP="00A551BE">
      <w:pPr>
        <w:pStyle w:val="Figure"/>
      </w:pPr>
      <w:r w:rsidRPr="00B92FB2">
        <w:object w:dxaOrig="6509" w:dyaOrig="3391">
          <v:shape id="_x0000_i1034" type="#_x0000_t75" style="width:392.25pt;height:203.85pt" o:ole="">
            <v:imagedata r:id="rId31" o:title=""/>
          </v:shape>
          <o:OLEObject Type="Embed" ProgID="CorelDraw.Graphic.16" ShapeID="_x0000_i1034" DrawAspect="Content" ObjectID="_1510726068" r:id="rId32"/>
        </w:object>
      </w:r>
    </w:p>
    <w:p w:rsidR="00B92FB2" w:rsidRPr="00B92FB2" w:rsidRDefault="00B92FB2" w:rsidP="00A9013A">
      <w:pPr>
        <w:pStyle w:val="Normalaftertitle"/>
      </w:pPr>
      <w:r w:rsidRPr="00B92FB2">
        <w:t>Les diagrammes de rayonnement d'antenne utilisés pour l'analyse sont présentés à la Fig. 11.</w:t>
      </w:r>
    </w:p>
    <w:p w:rsidR="00B92FB2" w:rsidRPr="00B92FB2" w:rsidRDefault="00B92FB2" w:rsidP="00A9013A">
      <w:pPr>
        <w:pStyle w:val="FigureNo"/>
      </w:pPr>
      <w:r w:rsidRPr="00B92FB2">
        <w:t>Figure 11</w:t>
      </w:r>
    </w:p>
    <w:p w:rsidR="00B92FB2" w:rsidRPr="00B92FB2" w:rsidRDefault="00B92FB2" w:rsidP="00A9013A">
      <w:pPr>
        <w:pStyle w:val="Figuretitle"/>
      </w:pPr>
      <w:r w:rsidRPr="00B92FB2">
        <w:t>Diagramme de rayonnement du radar C (Rec. UIT-R M.1464) mesuré (Fig. 11)</w:t>
      </w:r>
    </w:p>
    <w:p w:rsidR="00B92FB2" w:rsidRPr="00B92FB2" w:rsidRDefault="00B92FB2" w:rsidP="00A9013A">
      <w:pPr>
        <w:pStyle w:val="Figure"/>
      </w:pPr>
      <w:r w:rsidRPr="00B92FB2">
        <w:object w:dxaOrig="5630" w:dyaOrig="1925">
          <v:shape id="_x0000_i1035" type="#_x0000_t75" style="width:333.35pt;height:115.5pt;mso-position-vertical:absolute" o:ole="">
            <v:imagedata r:id="rId33" o:title=""/>
          </v:shape>
          <o:OLEObject Type="Embed" ProgID="CorelDraw.Graphic.16" ShapeID="_x0000_i1035" DrawAspect="Content" ObjectID="_1510726069" r:id="rId34"/>
        </w:object>
      </w:r>
    </w:p>
    <w:p w:rsidR="00B92FB2" w:rsidRPr="00B92FB2" w:rsidRDefault="00B92FB2" w:rsidP="008C1AA3">
      <w:pPr>
        <w:pStyle w:val="Normalaftertitle"/>
      </w:pPr>
      <w:r w:rsidRPr="00B92FB2">
        <w:t>La Figure 12 montre les diagrammes de rayonnement mesurés de radars équivalents à des radars C.</w:t>
      </w:r>
    </w:p>
    <w:p w:rsidR="00B92FB2" w:rsidRPr="00B92FB2" w:rsidRDefault="00B92FB2" w:rsidP="00E876AD">
      <w:pPr>
        <w:pStyle w:val="FigureNo"/>
      </w:pPr>
      <w:r w:rsidRPr="00B92FB2">
        <w:lastRenderedPageBreak/>
        <w:t>Figure 12</w:t>
      </w:r>
    </w:p>
    <w:p w:rsidR="00B92FB2" w:rsidRPr="00B92FB2" w:rsidRDefault="00B92FB2" w:rsidP="00E876AD">
      <w:pPr>
        <w:pStyle w:val="Figuretitle"/>
      </w:pPr>
      <w:r w:rsidRPr="00B92FB2">
        <w:t>Mesures du diagramme de rayonnement d'antenne d'un radar C</w:t>
      </w:r>
    </w:p>
    <w:p w:rsidR="00B92FB2" w:rsidRPr="00B92FB2" w:rsidRDefault="00B92FB2" w:rsidP="00E876AD">
      <w:pPr>
        <w:pStyle w:val="Figure"/>
      </w:pPr>
      <w:r w:rsidRPr="00B92FB2">
        <w:object w:dxaOrig="4356" w:dyaOrig="3082">
          <v:shape id="_x0000_i1036" type="#_x0000_t75" style="width:317pt;height:223pt" o:ole="">
            <v:imagedata r:id="rId35" o:title=""/>
          </v:shape>
          <o:OLEObject Type="Embed" ProgID="CorelDraw.Graphic.16" ShapeID="_x0000_i1036" DrawAspect="Content" ObjectID="_1510726070" r:id="rId36"/>
        </w:object>
      </w:r>
    </w:p>
    <w:p w:rsidR="00B92FB2" w:rsidRPr="00B92FB2" w:rsidRDefault="00B92FB2" w:rsidP="00E876AD">
      <w:pPr>
        <w:pStyle w:val="Headingb"/>
      </w:pPr>
      <w:r w:rsidRPr="00B92FB2">
        <w:t>Conclusions</w:t>
      </w:r>
    </w:p>
    <w:p w:rsidR="00B92FB2" w:rsidRPr="00B92FB2" w:rsidRDefault="00B92FB2" w:rsidP="00E876AD">
      <w:r w:rsidRPr="00B92FB2">
        <w:t>Il a été démontré que des valeurs élevées de couplage d'antenne de radar à radar peuvent se répéter de façon systématique sur une longue durée. Il convient de prendre en considération l'effet de ce couplage en utilisant la valeur pertinente obtenue par le calcul de la FDC de couplage d'antenne et en tenant compte du caractère critique de la fonction radar.</w:t>
      </w:r>
    </w:p>
    <w:p w:rsidR="00B92FB2" w:rsidRPr="00B92FB2" w:rsidRDefault="00B92FB2" w:rsidP="00E876AD">
      <w:pPr>
        <w:pStyle w:val="Headingb"/>
      </w:pPr>
      <w:r w:rsidRPr="00B92FB2">
        <w:t>Références</w:t>
      </w:r>
    </w:p>
    <w:p w:rsidR="00B92FB2" w:rsidRPr="00B92FB2" w:rsidRDefault="00B92FB2" w:rsidP="00E876AD">
      <w:pPr>
        <w:pStyle w:val="Reftext"/>
        <w:rPr>
          <w:lang w:val="en-GB"/>
        </w:rPr>
      </w:pPr>
      <w:r w:rsidRPr="00B92FB2">
        <w:t>[1]</w:t>
      </w:r>
      <w:r w:rsidRPr="00B92FB2">
        <w:tab/>
        <w:t xml:space="preserve">S. Yun et M. Rais, ATDI Contract No. </w:t>
      </w:r>
      <w:r w:rsidRPr="00B92FB2">
        <w:rPr>
          <w:lang w:val="en-GB"/>
        </w:rPr>
        <w:t>N68836-10-P-1705 «Rivira Wind Farm Effect on Kingsville Naval Air Station Radar».</w:t>
      </w:r>
    </w:p>
    <w:p w:rsidR="00B92FB2" w:rsidRPr="00B92FB2" w:rsidRDefault="00B92FB2" w:rsidP="00E876AD">
      <w:pPr>
        <w:pStyle w:val="Reftext"/>
        <w:rPr>
          <w:lang w:val="en-GB"/>
        </w:rPr>
      </w:pPr>
      <w:r w:rsidRPr="00B92FB2">
        <w:rPr>
          <w:lang w:val="en-GB"/>
        </w:rPr>
        <w:t>[2]</w:t>
      </w:r>
      <w:r w:rsidRPr="00B92FB2">
        <w:rPr>
          <w:lang w:val="en-GB"/>
        </w:rPr>
        <w:tab/>
        <w:t>faaco.faa.gov/attachments/TDWR_Antenna_Requirements.doc.</w:t>
      </w:r>
    </w:p>
    <w:p w:rsidR="00B92FB2" w:rsidRPr="00B92FB2" w:rsidRDefault="00B92FB2" w:rsidP="00E876AD">
      <w:pPr>
        <w:pStyle w:val="Reftext"/>
        <w:rPr>
          <w:lang w:val="en-GB"/>
        </w:rPr>
      </w:pPr>
      <w:r w:rsidRPr="00B92FB2">
        <w:rPr>
          <w:lang w:val="en-GB"/>
        </w:rPr>
        <w:t>[3]</w:t>
      </w:r>
      <w:r w:rsidRPr="00B92FB2">
        <w:rPr>
          <w:lang w:val="en-GB"/>
        </w:rPr>
        <w:tab/>
        <w:t>Thereza M. Macnamara BSc, MSc (Londres), «Introduction to Antenna Placement and Installation», A John Wiley and Sons, Ltd., Publication, 2010.</w:t>
      </w:r>
    </w:p>
    <w:p w:rsidR="00B92FB2" w:rsidRPr="00B92FB2" w:rsidRDefault="00B92FB2" w:rsidP="00B92FB2">
      <w:pPr>
        <w:ind w:left="1134" w:hanging="1134"/>
        <w:rPr>
          <w:lang w:val="en-GB"/>
        </w:rPr>
      </w:pPr>
    </w:p>
    <w:p w:rsidR="00B92FB2" w:rsidRPr="00B92FB2" w:rsidRDefault="00B92FB2" w:rsidP="00B92FB2">
      <w:pPr>
        <w:rPr>
          <w:lang w:val="en-GB"/>
        </w:rPr>
      </w:pPr>
    </w:p>
    <w:p w:rsidR="00B92FB2" w:rsidRPr="00B92FB2" w:rsidRDefault="00B92FB2" w:rsidP="00FC11C9">
      <w:pPr>
        <w:pStyle w:val="Line"/>
      </w:pPr>
    </w:p>
    <w:p w:rsidR="00B92FB2" w:rsidRPr="00432F10" w:rsidRDefault="00B92FB2" w:rsidP="00B92FB2">
      <w:pPr>
        <w:rPr>
          <w:lang w:val="en-US"/>
        </w:rPr>
      </w:pPr>
    </w:p>
    <w:sectPr w:rsidR="00B92FB2" w:rsidRPr="00432F1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C37C23" w:rsidP="00C668C8">
    <w:pPr>
      <w:pStyle w:val="Header"/>
      <w:ind w:right="360" w:firstLine="360"/>
    </w:pPr>
    <w:r>
      <w:rPr>
        <w:noProof/>
        <w:lang w:val="en-US" w:eastAsia="zh-CN"/>
      </w:rPr>
      <w:drawing>
        <wp:anchor distT="0" distB="0" distL="114300" distR="114300" simplePos="0" relativeHeight="251658752" behindDoc="0" locked="0" layoutInCell="1" allowOverlap="1" wp14:anchorId="36542113" wp14:editId="5485AD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AB2DA1">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21982">
      <w:rPr>
        <w:rStyle w:val="PageNumber"/>
        <w:b/>
        <w:bCs/>
        <w:noProof/>
      </w:rPr>
      <w:t>8</w:t>
    </w:r>
    <w:r>
      <w:rPr>
        <w:rStyle w:val="PageNumber"/>
        <w:b/>
        <w:bCs/>
      </w:rPr>
      <w:fldChar w:fldCharType="end"/>
    </w:r>
    <w:r w:rsidRPr="00837CB5">
      <w:tab/>
    </w:r>
    <w:r w:rsidR="00D21982">
      <w:fldChar w:fldCharType="begin"/>
    </w:r>
    <w:r w:rsidR="00D21982">
      <w:instrText xml:space="preserve"> DOCPROPERTY "Header" \* MERGEFORMAT </w:instrText>
    </w:r>
    <w:r w:rsidR="00D21982">
      <w:fldChar w:fldCharType="separate"/>
    </w:r>
    <w:r w:rsidR="00D21982" w:rsidRPr="00D21982">
      <w:rPr>
        <w:b/>
        <w:bCs/>
      </w:rPr>
      <w:t xml:space="preserve">Rec. </w:t>
    </w:r>
    <w:r w:rsidR="00D2198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21982">
      <w:rPr>
        <w:b/>
        <w:bCs/>
        <w:noProof/>
      </w:rPr>
      <w:t>UIT-R  M.2069-0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rsidP="00A163D3">
    <w:pPr>
      <w:pStyle w:val="Header"/>
    </w:pPr>
    <w:r>
      <w:tab/>
    </w:r>
    <w:r w:rsidR="00D21982">
      <w:fldChar w:fldCharType="begin"/>
    </w:r>
    <w:r w:rsidR="00D21982">
      <w:instrText xml:space="preserve"> DOCPROPERTY "Header" \* MERGEFORMAT </w:instrText>
    </w:r>
    <w:r w:rsidR="00D21982">
      <w:fldChar w:fldCharType="separate"/>
    </w:r>
    <w:r w:rsidR="00D21982" w:rsidRPr="00D21982">
      <w:rPr>
        <w:b/>
        <w:bCs/>
      </w:rPr>
      <w:t xml:space="preserve">Rec. </w:t>
    </w:r>
    <w:r w:rsidR="00D21982">
      <w:rPr>
        <w:b/>
        <w:bCs/>
      </w:rPr>
      <w:fldChar w:fldCharType="end"/>
    </w:r>
    <w:r>
      <w:rPr>
        <w:b/>
        <w:bCs/>
      </w:rPr>
      <w:t xml:space="preserve"> </w:t>
    </w:r>
    <w:r>
      <w:rPr>
        <w:b/>
        <w:bCs/>
      </w:rPr>
      <w:fldChar w:fldCharType="begin"/>
    </w:r>
    <w:r>
      <w:rPr>
        <w:b/>
        <w:bCs/>
      </w:rPr>
      <w:instrText>styleref href</w:instrText>
    </w:r>
    <w:r>
      <w:rPr>
        <w:b/>
        <w:bCs/>
      </w:rPr>
      <w:fldChar w:fldCharType="separate"/>
    </w:r>
    <w:r w:rsidR="00D21982">
      <w:rPr>
        <w:b/>
        <w:bCs/>
        <w:noProof/>
      </w:rPr>
      <w:t>UIT-R  M.2069-0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1982">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71101"/>
    <w:rsid w:val="00072484"/>
    <w:rsid w:val="00076BD8"/>
    <w:rsid w:val="00096612"/>
    <w:rsid w:val="000A0A78"/>
    <w:rsid w:val="000A2781"/>
    <w:rsid w:val="000B7683"/>
    <w:rsid w:val="00102934"/>
    <w:rsid w:val="00123FD5"/>
    <w:rsid w:val="00125B6D"/>
    <w:rsid w:val="00126AF2"/>
    <w:rsid w:val="00147110"/>
    <w:rsid w:val="00155A9E"/>
    <w:rsid w:val="001671C8"/>
    <w:rsid w:val="0019712C"/>
    <w:rsid w:val="001A1B7C"/>
    <w:rsid w:val="00202D10"/>
    <w:rsid w:val="002058CE"/>
    <w:rsid w:val="002165F1"/>
    <w:rsid w:val="00220070"/>
    <w:rsid w:val="00227626"/>
    <w:rsid w:val="00236ABB"/>
    <w:rsid w:val="0024513D"/>
    <w:rsid w:val="00260112"/>
    <w:rsid w:val="00261CA3"/>
    <w:rsid w:val="00276D21"/>
    <w:rsid w:val="00296D7F"/>
    <w:rsid w:val="002B3CF6"/>
    <w:rsid w:val="002C768A"/>
    <w:rsid w:val="002C79EB"/>
    <w:rsid w:val="002D76C4"/>
    <w:rsid w:val="00331FDD"/>
    <w:rsid w:val="00363367"/>
    <w:rsid w:val="00397AD0"/>
    <w:rsid w:val="003E0582"/>
    <w:rsid w:val="00420DFD"/>
    <w:rsid w:val="0042288B"/>
    <w:rsid w:val="00422AE4"/>
    <w:rsid w:val="00432F10"/>
    <w:rsid w:val="00470E28"/>
    <w:rsid w:val="004934C5"/>
    <w:rsid w:val="004A4D65"/>
    <w:rsid w:val="004B6994"/>
    <w:rsid w:val="00505840"/>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32FF8"/>
    <w:rsid w:val="00647E80"/>
    <w:rsid w:val="00654D8A"/>
    <w:rsid w:val="0067479D"/>
    <w:rsid w:val="00680D2B"/>
    <w:rsid w:val="006812C4"/>
    <w:rsid w:val="00681B32"/>
    <w:rsid w:val="006C7827"/>
    <w:rsid w:val="006E2037"/>
    <w:rsid w:val="006F154D"/>
    <w:rsid w:val="00712870"/>
    <w:rsid w:val="00731BD8"/>
    <w:rsid w:val="00733BBD"/>
    <w:rsid w:val="00743D85"/>
    <w:rsid w:val="00753CF4"/>
    <w:rsid w:val="007565CC"/>
    <w:rsid w:val="00756B4D"/>
    <w:rsid w:val="00761103"/>
    <w:rsid w:val="00763B9A"/>
    <w:rsid w:val="007700E4"/>
    <w:rsid w:val="00776E56"/>
    <w:rsid w:val="007A308E"/>
    <w:rsid w:val="007A6AA8"/>
    <w:rsid w:val="008310C9"/>
    <w:rsid w:val="00837CB5"/>
    <w:rsid w:val="00872472"/>
    <w:rsid w:val="0087472D"/>
    <w:rsid w:val="008C1AA3"/>
    <w:rsid w:val="008C6B82"/>
    <w:rsid w:val="008C7848"/>
    <w:rsid w:val="008F5522"/>
    <w:rsid w:val="009078FD"/>
    <w:rsid w:val="00917AF2"/>
    <w:rsid w:val="0092418A"/>
    <w:rsid w:val="00934ED7"/>
    <w:rsid w:val="00940102"/>
    <w:rsid w:val="009454F8"/>
    <w:rsid w:val="009543C3"/>
    <w:rsid w:val="00966E1B"/>
    <w:rsid w:val="00987C75"/>
    <w:rsid w:val="009A4480"/>
    <w:rsid w:val="009B5551"/>
    <w:rsid w:val="009B5ED0"/>
    <w:rsid w:val="009C5AA6"/>
    <w:rsid w:val="009D6AAF"/>
    <w:rsid w:val="009F2D2C"/>
    <w:rsid w:val="00A163D3"/>
    <w:rsid w:val="00A443C2"/>
    <w:rsid w:val="00A52DB0"/>
    <w:rsid w:val="00A551BE"/>
    <w:rsid w:val="00A6617B"/>
    <w:rsid w:val="00A71FE5"/>
    <w:rsid w:val="00A9013A"/>
    <w:rsid w:val="00AA3AD8"/>
    <w:rsid w:val="00AB0DC8"/>
    <w:rsid w:val="00AB2DA1"/>
    <w:rsid w:val="00AB52D1"/>
    <w:rsid w:val="00AD267B"/>
    <w:rsid w:val="00AF0B96"/>
    <w:rsid w:val="00B033C8"/>
    <w:rsid w:val="00B33425"/>
    <w:rsid w:val="00B44E24"/>
    <w:rsid w:val="00B54ECC"/>
    <w:rsid w:val="00B714F3"/>
    <w:rsid w:val="00B87F86"/>
    <w:rsid w:val="00B92FB2"/>
    <w:rsid w:val="00BB3A70"/>
    <w:rsid w:val="00BC0651"/>
    <w:rsid w:val="00BC5D77"/>
    <w:rsid w:val="00BF487A"/>
    <w:rsid w:val="00C016EC"/>
    <w:rsid w:val="00C106A2"/>
    <w:rsid w:val="00C362C3"/>
    <w:rsid w:val="00C37C23"/>
    <w:rsid w:val="00C46BD9"/>
    <w:rsid w:val="00C55258"/>
    <w:rsid w:val="00C647EF"/>
    <w:rsid w:val="00C668C8"/>
    <w:rsid w:val="00C73560"/>
    <w:rsid w:val="00C854EA"/>
    <w:rsid w:val="00C95B6F"/>
    <w:rsid w:val="00CB0F14"/>
    <w:rsid w:val="00CD659B"/>
    <w:rsid w:val="00CD7DC8"/>
    <w:rsid w:val="00D017C0"/>
    <w:rsid w:val="00D21982"/>
    <w:rsid w:val="00D31EB8"/>
    <w:rsid w:val="00D50337"/>
    <w:rsid w:val="00D70C4E"/>
    <w:rsid w:val="00D80017"/>
    <w:rsid w:val="00DB2AF0"/>
    <w:rsid w:val="00DF4176"/>
    <w:rsid w:val="00E02402"/>
    <w:rsid w:val="00E17240"/>
    <w:rsid w:val="00E338C7"/>
    <w:rsid w:val="00E44C45"/>
    <w:rsid w:val="00E44CBB"/>
    <w:rsid w:val="00E63E09"/>
    <w:rsid w:val="00E876AD"/>
    <w:rsid w:val="00EA6E8E"/>
    <w:rsid w:val="00EE57AA"/>
    <w:rsid w:val="00F14B34"/>
    <w:rsid w:val="00F30C9B"/>
    <w:rsid w:val="00F316C4"/>
    <w:rsid w:val="00F336CC"/>
    <w:rsid w:val="00F354B1"/>
    <w:rsid w:val="00F54FBD"/>
    <w:rsid w:val="00FB0E4E"/>
    <w:rsid w:val="00FC11C9"/>
    <w:rsid w:val="00FD1E73"/>
    <w:rsid w:val="00FD232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170</TotalTime>
  <Pages>1</Pages>
  <Words>2085</Words>
  <Characters>12037</Characters>
  <Application>Microsoft Office Word</Application>
  <DocSecurity>0</DocSecurity>
  <Lines>708</Lines>
  <Paragraphs>266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13856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48</cp:revision>
  <cp:lastPrinted>2015-12-04T08:07:00Z</cp:lastPrinted>
  <dcterms:created xsi:type="dcterms:W3CDTF">2015-12-03T10:02:00Z</dcterms:created>
  <dcterms:modified xsi:type="dcterms:W3CDTF">2015-12-04T08:08:00Z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