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59C" w:rsidRDefault="000F059C" w:rsidP="000F059C"/>
    <w:p w:rsidR="000F059C" w:rsidRDefault="000F059C" w:rsidP="000F059C"/>
    <w:p w:rsidR="000F059C" w:rsidRDefault="000F059C" w:rsidP="000F059C"/>
    <w:p w:rsidR="000F059C" w:rsidRDefault="000F059C" w:rsidP="000F059C"/>
    <w:p w:rsidR="000F059C" w:rsidRDefault="000F059C" w:rsidP="000F059C"/>
    <w:p w:rsidR="000F059C" w:rsidRDefault="000F059C" w:rsidP="000F059C"/>
    <w:p w:rsidR="000F059C" w:rsidRDefault="000F059C" w:rsidP="000F059C"/>
    <w:p w:rsidR="000F059C" w:rsidRDefault="000F059C" w:rsidP="000F059C"/>
    <w:p w:rsidR="000F059C" w:rsidRDefault="000F059C" w:rsidP="000F059C"/>
    <w:p w:rsidR="000F059C" w:rsidRDefault="000F059C" w:rsidP="000F059C"/>
    <w:p w:rsidR="000F059C" w:rsidRDefault="000F059C" w:rsidP="000F059C"/>
    <w:p w:rsidR="000F059C" w:rsidRDefault="000F059C" w:rsidP="000F059C"/>
    <w:tbl>
      <w:tblPr>
        <w:tblW w:w="10089" w:type="dxa"/>
        <w:tblLook w:val="01E0" w:firstRow="1" w:lastRow="1" w:firstColumn="1" w:lastColumn="1" w:noHBand="0" w:noVBand="0"/>
      </w:tblPr>
      <w:tblGrid>
        <w:gridCol w:w="10089"/>
      </w:tblGrid>
      <w:tr w:rsidR="000F059C" w:rsidRPr="004F65E4" w:rsidTr="009908A1">
        <w:tc>
          <w:tcPr>
            <w:tcW w:w="10089" w:type="dxa"/>
          </w:tcPr>
          <w:p w:rsidR="000F059C" w:rsidRPr="001511A6" w:rsidRDefault="000F059C" w:rsidP="009908A1">
            <w:pPr>
              <w:spacing w:before="380" w:line="280" w:lineRule="exact"/>
              <w:jc w:val="right"/>
              <w:rPr>
                <w:rFonts w:ascii="Tahoma" w:hAnsi="Tahoma" w:cs="Tahoma"/>
                <w:b/>
                <w:bCs/>
                <w:iCs/>
                <w:color w:val="243285"/>
                <w:sz w:val="32"/>
                <w:szCs w:val="32"/>
                <w:lang w:val="en-US"/>
              </w:rPr>
            </w:pPr>
          </w:p>
          <w:p w:rsidR="000F059C" w:rsidRPr="004F65E4" w:rsidRDefault="000F059C" w:rsidP="009908A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2068-0</w:t>
            </w:r>
          </w:p>
          <w:p w:rsidR="000F059C" w:rsidRPr="004F65E4" w:rsidRDefault="000F059C" w:rsidP="00966C9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66C95">
              <w:rPr>
                <w:rFonts w:ascii="Tahoma" w:hAnsi="Tahoma" w:cs="Tahoma"/>
                <w:b/>
                <w:bCs/>
                <w:iCs/>
                <w:color w:val="243285"/>
                <w:szCs w:val="24"/>
              </w:rPr>
              <w:t>0</w:t>
            </w:r>
            <w:r>
              <w:rPr>
                <w:rFonts w:ascii="Tahoma" w:hAnsi="Tahoma" w:cs="Tahoma"/>
                <w:b/>
                <w:bCs/>
                <w:iCs/>
                <w:color w:val="243285"/>
                <w:szCs w:val="24"/>
              </w:rPr>
              <w:t>2</w:t>
            </w:r>
            <w:r w:rsidRPr="004F65E4">
              <w:rPr>
                <w:rFonts w:ascii="Tahoma" w:hAnsi="Tahoma" w:cs="Tahoma"/>
                <w:b/>
                <w:bCs/>
                <w:iCs/>
                <w:color w:val="243285"/>
                <w:szCs w:val="24"/>
              </w:rPr>
              <w:t>/</w:t>
            </w:r>
            <w:r>
              <w:rPr>
                <w:rFonts w:ascii="Tahoma" w:hAnsi="Tahoma" w:cs="Tahoma"/>
                <w:b/>
                <w:bCs/>
                <w:iCs/>
                <w:color w:val="243285"/>
                <w:szCs w:val="24"/>
              </w:rPr>
              <w:t>201</w:t>
            </w:r>
            <w:r w:rsidR="00966C95">
              <w:rPr>
                <w:rFonts w:ascii="Tahoma" w:hAnsi="Tahoma" w:cs="Tahoma"/>
                <w:b/>
                <w:bCs/>
                <w:iCs/>
                <w:color w:val="243285"/>
                <w:szCs w:val="24"/>
              </w:rPr>
              <w:t>5</w:t>
            </w:r>
            <w:r w:rsidRPr="004F65E4">
              <w:rPr>
                <w:rFonts w:ascii="Tahoma" w:hAnsi="Tahoma" w:cs="Tahoma"/>
                <w:b/>
                <w:bCs/>
                <w:iCs/>
                <w:color w:val="243285"/>
                <w:szCs w:val="24"/>
              </w:rPr>
              <w:t>)</w:t>
            </w:r>
          </w:p>
        </w:tc>
      </w:tr>
      <w:tr w:rsidR="000F059C" w:rsidRPr="00966C95" w:rsidTr="009908A1">
        <w:tc>
          <w:tcPr>
            <w:tcW w:w="10089" w:type="dxa"/>
          </w:tcPr>
          <w:p w:rsidR="000F059C" w:rsidRPr="00802B4E" w:rsidRDefault="000F059C" w:rsidP="009908A1">
            <w:pPr>
              <w:spacing w:before="80" w:line="500" w:lineRule="exact"/>
              <w:jc w:val="right"/>
              <w:rPr>
                <w:rFonts w:ascii="Tahoma" w:hAnsi="Tahoma" w:cs="Tahoma"/>
                <w:b/>
                <w:bCs/>
                <w:iCs/>
                <w:color w:val="243285"/>
                <w:sz w:val="44"/>
                <w:szCs w:val="44"/>
                <w:lang w:val="en-US"/>
              </w:rPr>
            </w:pPr>
          </w:p>
          <w:p w:rsidR="000F059C" w:rsidRPr="00052F66" w:rsidRDefault="00802B4E" w:rsidP="00802B4E">
            <w:pPr>
              <w:spacing w:before="80" w:line="500" w:lineRule="exact"/>
              <w:jc w:val="right"/>
              <w:rPr>
                <w:rFonts w:ascii="Tahoma" w:hAnsi="Tahoma" w:cs="Tahoma"/>
                <w:b/>
                <w:bCs/>
                <w:iCs/>
                <w:color w:val="243285"/>
                <w:sz w:val="44"/>
                <w:szCs w:val="44"/>
                <w:lang w:val="en-US"/>
              </w:rPr>
            </w:pPr>
            <w:r w:rsidRPr="00802B4E">
              <w:rPr>
                <w:rFonts w:ascii="Tahoma" w:hAnsi="Tahoma" w:cs="Tahoma"/>
                <w:b/>
                <w:bCs/>
                <w:iCs/>
                <w:color w:val="243285"/>
                <w:sz w:val="44"/>
                <w:szCs w:val="44"/>
                <w:lang w:val="en-GB"/>
              </w:rPr>
              <w:t>Characteristics of and protection criteria for systems operating in the mobile service in the frequency range 14.5-15.35 GHz</w:t>
            </w:r>
          </w:p>
        </w:tc>
      </w:tr>
      <w:tr w:rsidR="000F059C" w:rsidTr="009908A1">
        <w:tc>
          <w:tcPr>
            <w:tcW w:w="10089" w:type="dxa"/>
          </w:tcPr>
          <w:p w:rsidR="000F059C" w:rsidRPr="00052F66" w:rsidRDefault="000F059C" w:rsidP="009908A1">
            <w:pPr>
              <w:spacing w:before="80" w:line="280" w:lineRule="exact"/>
              <w:ind w:right="640"/>
              <w:rPr>
                <w:rFonts w:ascii="Tahoma" w:hAnsi="Tahoma" w:cs="Tahoma"/>
                <w:b/>
                <w:bCs/>
                <w:iCs/>
                <w:color w:val="243285"/>
                <w:sz w:val="32"/>
                <w:szCs w:val="32"/>
                <w:lang w:val="en-US"/>
              </w:rPr>
            </w:pPr>
          </w:p>
          <w:p w:rsidR="000F059C" w:rsidRPr="00052F66" w:rsidRDefault="000F059C" w:rsidP="009908A1">
            <w:pPr>
              <w:spacing w:before="80" w:after="180" w:line="360" w:lineRule="exact"/>
              <w:ind w:right="720"/>
              <w:rPr>
                <w:rFonts w:ascii="Tahoma" w:hAnsi="Tahoma" w:cs="Tahoma"/>
                <w:b/>
                <w:bCs/>
                <w:iCs/>
                <w:color w:val="243285"/>
                <w:sz w:val="36"/>
                <w:szCs w:val="36"/>
                <w:lang w:val="en-US"/>
              </w:rPr>
            </w:pPr>
          </w:p>
          <w:p w:rsidR="000F059C" w:rsidRPr="001511A6" w:rsidRDefault="000F059C" w:rsidP="009908A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0F059C" w:rsidRDefault="000F059C" w:rsidP="009908A1">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0F059C" w:rsidRPr="0041667C" w:rsidRDefault="000F059C" w:rsidP="009908A1">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0F059C" w:rsidRDefault="000F059C" w:rsidP="000F059C">
      <w:pPr>
        <w:spacing w:before="80"/>
        <w:rPr>
          <w:i/>
          <w:sz w:val="22"/>
          <w:lang w:val="en-US"/>
        </w:rPr>
      </w:pPr>
    </w:p>
    <w:p w:rsidR="000F059C" w:rsidRDefault="000F059C" w:rsidP="000F059C">
      <w:pPr>
        <w:spacing w:before="80"/>
        <w:rPr>
          <w:i/>
          <w:sz w:val="22"/>
          <w:lang w:val="en-US"/>
        </w:rPr>
      </w:pPr>
    </w:p>
    <w:p w:rsidR="000F059C" w:rsidRDefault="000F059C" w:rsidP="000F059C">
      <w:pPr>
        <w:spacing w:before="80"/>
        <w:rPr>
          <w:i/>
          <w:sz w:val="22"/>
          <w:lang w:val="en-US"/>
        </w:rPr>
      </w:pPr>
    </w:p>
    <w:p w:rsidR="000F059C" w:rsidRDefault="000F059C" w:rsidP="000F059C">
      <w:pPr>
        <w:spacing w:before="80"/>
        <w:rPr>
          <w:i/>
          <w:sz w:val="22"/>
          <w:lang w:val="en-US"/>
        </w:rPr>
      </w:pPr>
    </w:p>
    <w:p w:rsidR="000F059C" w:rsidRDefault="000F059C" w:rsidP="000F059C">
      <w:pPr>
        <w:spacing w:before="80"/>
        <w:rPr>
          <w:i/>
          <w:sz w:val="22"/>
          <w:lang w:val="en-US"/>
        </w:rPr>
      </w:pPr>
    </w:p>
    <w:p w:rsidR="000F059C" w:rsidRDefault="000F059C" w:rsidP="000F059C">
      <w:pPr>
        <w:spacing w:before="80"/>
        <w:rPr>
          <w:i/>
          <w:sz w:val="22"/>
          <w:lang w:val="en-US"/>
        </w:rPr>
      </w:pPr>
    </w:p>
    <w:p w:rsidR="000F059C" w:rsidRDefault="000F059C" w:rsidP="000F059C">
      <w:pPr>
        <w:pStyle w:val="Equation"/>
        <w:tabs>
          <w:tab w:val="clear" w:pos="4820"/>
          <w:tab w:val="clear" w:pos="9639"/>
          <w:tab w:val="left" w:pos="1191"/>
          <w:tab w:val="left" w:pos="1588"/>
          <w:tab w:val="left" w:pos="1985"/>
        </w:tabs>
        <w:rPr>
          <w:rFonts w:ascii="Palatino Linotype" w:hAnsi="Palatino Linotype"/>
          <w:lang w:val="en-US"/>
        </w:rPr>
        <w:sectPr w:rsidR="000F059C">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0F059C" w:rsidRPr="00586EF8" w:rsidRDefault="000F059C" w:rsidP="000F0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bookmarkStart w:id="1" w:name="_GoBack"/>
      <w:bookmarkEnd w:id="1"/>
    </w:p>
    <w:p w:rsidR="000F059C" w:rsidRDefault="000F059C" w:rsidP="000F059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F059C" w:rsidRDefault="000F059C" w:rsidP="000F059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F059C" w:rsidRPr="00B714F3" w:rsidRDefault="000F059C" w:rsidP="000F059C">
      <w:pPr>
        <w:pStyle w:val="Heading1"/>
        <w:spacing w:before="680"/>
        <w:jc w:val="center"/>
        <w:rPr>
          <w:szCs w:val="24"/>
          <w:lang w:val="en-US"/>
        </w:rPr>
      </w:pPr>
      <w:r w:rsidRPr="00B714F3">
        <w:rPr>
          <w:szCs w:val="24"/>
          <w:lang w:val="en-US"/>
        </w:rPr>
        <w:t>Policy on Intellectual Property Right (IPR)</w:t>
      </w:r>
    </w:p>
    <w:p w:rsidR="000F059C" w:rsidRPr="00B714F3" w:rsidRDefault="000F059C" w:rsidP="000F059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F059C" w:rsidRDefault="000F059C" w:rsidP="000F059C">
      <w:pPr>
        <w:jc w:val="center"/>
        <w:rPr>
          <w:sz w:val="22"/>
          <w:lang w:val="en-US"/>
        </w:rPr>
      </w:pPr>
    </w:p>
    <w:p w:rsidR="000F059C" w:rsidRDefault="000F059C" w:rsidP="000F059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059C" w:rsidRPr="00966C95" w:rsidTr="009908A1">
        <w:tc>
          <w:tcPr>
            <w:tcW w:w="9360" w:type="dxa"/>
            <w:gridSpan w:val="2"/>
          </w:tcPr>
          <w:p w:rsidR="000F059C" w:rsidRPr="00036EE3" w:rsidRDefault="000F059C" w:rsidP="009908A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F059C" w:rsidRPr="00036EE3" w:rsidRDefault="000F059C" w:rsidP="009908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0F059C" w:rsidRPr="00036EE3" w:rsidTr="009908A1">
        <w:tc>
          <w:tcPr>
            <w:tcW w:w="1140" w:type="dxa"/>
          </w:tcPr>
          <w:p w:rsidR="000F059C" w:rsidRPr="00036EE3" w:rsidRDefault="000F059C" w:rsidP="009908A1">
            <w:pPr>
              <w:spacing w:before="200" w:after="100"/>
              <w:ind w:left="57"/>
              <w:rPr>
                <w:b/>
                <w:bCs/>
                <w:sz w:val="20"/>
                <w:lang w:val="en-US"/>
              </w:rPr>
            </w:pPr>
            <w:r w:rsidRPr="00036EE3">
              <w:rPr>
                <w:b/>
                <w:bCs/>
                <w:sz w:val="20"/>
                <w:lang w:val="en-US"/>
              </w:rPr>
              <w:t>Series</w:t>
            </w:r>
          </w:p>
        </w:tc>
        <w:tc>
          <w:tcPr>
            <w:tcW w:w="8220" w:type="dxa"/>
          </w:tcPr>
          <w:p w:rsidR="000F059C" w:rsidRPr="00036EE3" w:rsidRDefault="000F059C" w:rsidP="009908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F059C" w:rsidRPr="00036EE3" w:rsidTr="009908A1">
        <w:tc>
          <w:tcPr>
            <w:tcW w:w="1140" w:type="dxa"/>
          </w:tcPr>
          <w:p w:rsidR="000F059C" w:rsidRPr="00036EE3" w:rsidRDefault="000F059C" w:rsidP="009908A1">
            <w:pPr>
              <w:spacing w:before="30" w:after="30"/>
              <w:ind w:left="57"/>
              <w:jc w:val="left"/>
              <w:rPr>
                <w:b/>
                <w:bCs/>
                <w:sz w:val="20"/>
                <w:lang w:val="en-US"/>
              </w:rPr>
            </w:pPr>
            <w:r w:rsidRPr="00036EE3">
              <w:rPr>
                <w:b/>
                <w:bCs/>
                <w:sz w:val="20"/>
                <w:lang w:val="en-US"/>
              </w:rPr>
              <w:t>BO</w:t>
            </w:r>
          </w:p>
        </w:tc>
        <w:tc>
          <w:tcPr>
            <w:tcW w:w="8220" w:type="dxa"/>
          </w:tcPr>
          <w:p w:rsidR="000F059C" w:rsidRPr="00036EE3" w:rsidRDefault="000F059C" w:rsidP="009908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F059C" w:rsidRPr="00966C95" w:rsidTr="009908A1">
        <w:tc>
          <w:tcPr>
            <w:tcW w:w="1140" w:type="dxa"/>
            <w:tcBorders>
              <w:bottom w:val="nil"/>
            </w:tcBorders>
          </w:tcPr>
          <w:p w:rsidR="000F059C" w:rsidRPr="00036EE3" w:rsidRDefault="000F059C" w:rsidP="009908A1">
            <w:pPr>
              <w:spacing w:before="30" w:after="30"/>
              <w:ind w:left="57"/>
              <w:jc w:val="left"/>
              <w:rPr>
                <w:b/>
                <w:bCs/>
                <w:sz w:val="20"/>
                <w:lang w:val="en-US"/>
              </w:rPr>
            </w:pPr>
            <w:r w:rsidRPr="00036EE3">
              <w:rPr>
                <w:b/>
                <w:bCs/>
                <w:sz w:val="20"/>
                <w:lang w:val="en-US"/>
              </w:rPr>
              <w:t>BR</w:t>
            </w:r>
          </w:p>
        </w:tc>
        <w:tc>
          <w:tcPr>
            <w:tcW w:w="8220" w:type="dxa"/>
            <w:tcBorders>
              <w:bottom w:val="nil"/>
            </w:tcBorders>
          </w:tcPr>
          <w:p w:rsidR="000F059C" w:rsidRPr="00036EE3" w:rsidRDefault="000F059C" w:rsidP="009908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F059C" w:rsidRPr="00036EE3" w:rsidTr="009908A1">
        <w:tc>
          <w:tcPr>
            <w:tcW w:w="1140" w:type="dxa"/>
            <w:tcBorders>
              <w:top w:val="nil"/>
              <w:bottom w:val="nil"/>
            </w:tcBorders>
            <w:shd w:val="clear" w:color="auto" w:fill="auto"/>
          </w:tcPr>
          <w:p w:rsidR="000F059C" w:rsidRPr="007D224F" w:rsidRDefault="000F059C" w:rsidP="009908A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F059C" w:rsidRPr="007D224F" w:rsidRDefault="000F059C" w:rsidP="009908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F059C" w:rsidRPr="00ED2695" w:rsidTr="009908A1">
        <w:tc>
          <w:tcPr>
            <w:tcW w:w="1140" w:type="dxa"/>
            <w:tcBorders>
              <w:top w:val="nil"/>
              <w:bottom w:val="nil"/>
            </w:tcBorders>
            <w:shd w:val="clear" w:color="auto" w:fill="auto"/>
          </w:tcPr>
          <w:p w:rsidR="000F059C" w:rsidRPr="00ED2695" w:rsidRDefault="000F059C" w:rsidP="009908A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F059C" w:rsidRPr="00ED2695" w:rsidRDefault="000F059C" w:rsidP="009908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F059C" w:rsidRPr="007D224F" w:rsidTr="009908A1">
        <w:tc>
          <w:tcPr>
            <w:tcW w:w="1140" w:type="dxa"/>
            <w:tcBorders>
              <w:top w:val="nil"/>
              <w:bottom w:val="nil"/>
            </w:tcBorders>
            <w:shd w:val="clear" w:color="auto" w:fill="auto"/>
          </w:tcPr>
          <w:p w:rsidR="000F059C" w:rsidRPr="0041667C" w:rsidRDefault="000F059C" w:rsidP="009908A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F059C" w:rsidRPr="0041667C" w:rsidRDefault="000F059C" w:rsidP="009908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F059C" w:rsidRPr="0041667C" w:rsidTr="009908A1">
        <w:tc>
          <w:tcPr>
            <w:tcW w:w="1140" w:type="dxa"/>
            <w:tcBorders>
              <w:top w:val="nil"/>
              <w:bottom w:val="nil"/>
            </w:tcBorders>
            <w:shd w:val="clear" w:color="auto" w:fill="F3F3F3"/>
          </w:tcPr>
          <w:p w:rsidR="000F059C" w:rsidRPr="0041667C" w:rsidRDefault="000F059C" w:rsidP="009908A1">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0F059C" w:rsidRPr="0041667C" w:rsidRDefault="000F059C" w:rsidP="009908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0F059C" w:rsidRPr="00036EE3" w:rsidTr="009908A1">
        <w:tc>
          <w:tcPr>
            <w:tcW w:w="1140" w:type="dxa"/>
            <w:tcBorders>
              <w:top w:val="nil"/>
            </w:tcBorders>
          </w:tcPr>
          <w:p w:rsidR="000F059C" w:rsidRPr="00036EE3" w:rsidRDefault="000F059C" w:rsidP="009908A1">
            <w:pPr>
              <w:spacing w:before="30" w:after="30"/>
              <w:ind w:left="57"/>
              <w:jc w:val="left"/>
              <w:rPr>
                <w:b/>
                <w:bCs/>
                <w:sz w:val="20"/>
                <w:lang w:val="fr-CH"/>
              </w:rPr>
            </w:pPr>
            <w:r w:rsidRPr="00036EE3">
              <w:rPr>
                <w:b/>
                <w:bCs/>
                <w:sz w:val="20"/>
                <w:lang w:val="fr-CH"/>
              </w:rPr>
              <w:t>P</w:t>
            </w:r>
          </w:p>
        </w:tc>
        <w:tc>
          <w:tcPr>
            <w:tcW w:w="8220" w:type="dxa"/>
            <w:tcBorders>
              <w:top w:val="nil"/>
            </w:tcBorders>
          </w:tcPr>
          <w:p w:rsidR="000F059C" w:rsidRPr="00036EE3" w:rsidRDefault="000F059C" w:rsidP="009908A1">
            <w:pPr>
              <w:spacing w:before="30" w:after="30"/>
              <w:jc w:val="left"/>
              <w:rPr>
                <w:sz w:val="20"/>
                <w:lang w:val="fr-CH"/>
              </w:rPr>
            </w:pPr>
            <w:r w:rsidRPr="00036EE3">
              <w:rPr>
                <w:sz w:val="20"/>
                <w:lang w:val="fr-CH"/>
              </w:rPr>
              <w:t>Radiowave propagation</w:t>
            </w:r>
          </w:p>
        </w:tc>
      </w:tr>
      <w:tr w:rsidR="000F059C" w:rsidRPr="00036EE3" w:rsidTr="009908A1">
        <w:tc>
          <w:tcPr>
            <w:tcW w:w="1140" w:type="dxa"/>
          </w:tcPr>
          <w:p w:rsidR="000F059C" w:rsidRPr="00036EE3" w:rsidRDefault="000F059C" w:rsidP="009908A1">
            <w:pPr>
              <w:spacing w:before="30" w:after="30"/>
              <w:ind w:left="57"/>
              <w:jc w:val="left"/>
              <w:rPr>
                <w:b/>
                <w:bCs/>
                <w:sz w:val="20"/>
                <w:lang w:val="en-US"/>
              </w:rPr>
            </w:pPr>
            <w:r w:rsidRPr="00036EE3">
              <w:rPr>
                <w:b/>
                <w:bCs/>
                <w:sz w:val="20"/>
                <w:lang w:val="en-US"/>
              </w:rPr>
              <w:t>RA</w:t>
            </w:r>
          </w:p>
        </w:tc>
        <w:tc>
          <w:tcPr>
            <w:tcW w:w="8220" w:type="dxa"/>
          </w:tcPr>
          <w:p w:rsidR="000F059C" w:rsidRPr="00036EE3" w:rsidRDefault="000F059C" w:rsidP="009908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F059C" w:rsidRPr="00036EE3" w:rsidTr="009908A1">
        <w:tc>
          <w:tcPr>
            <w:tcW w:w="1140" w:type="dxa"/>
          </w:tcPr>
          <w:p w:rsidR="000F059C" w:rsidRPr="00036EE3" w:rsidRDefault="000F059C" w:rsidP="009908A1">
            <w:pPr>
              <w:spacing w:before="30" w:after="30"/>
              <w:ind w:left="57"/>
              <w:jc w:val="left"/>
              <w:rPr>
                <w:b/>
                <w:bCs/>
                <w:sz w:val="20"/>
                <w:lang w:val="en-US"/>
              </w:rPr>
            </w:pPr>
            <w:r w:rsidRPr="00036EE3">
              <w:rPr>
                <w:b/>
                <w:bCs/>
                <w:sz w:val="20"/>
                <w:lang w:val="en-US"/>
              </w:rPr>
              <w:t>RS</w:t>
            </w:r>
          </w:p>
        </w:tc>
        <w:tc>
          <w:tcPr>
            <w:tcW w:w="8220" w:type="dxa"/>
          </w:tcPr>
          <w:p w:rsidR="000F059C" w:rsidRPr="00036EE3" w:rsidRDefault="000F059C" w:rsidP="009908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F059C" w:rsidRPr="00036EE3" w:rsidTr="009908A1">
        <w:tc>
          <w:tcPr>
            <w:tcW w:w="1140" w:type="dxa"/>
          </w:tcPr>
          <w:p w:rsidR="000F059C" w:rsidRPr="00036EE3" w:rsidRDefault="000F059C" w:rsidP="009908A1">
            <w:pPr>
              <w:spacing w:before="30" w:after="30"/>
              <w:ind w:left="57"/>
              <w:jc w:val="left"/>
              <w:rPr>
                <w:b/>
                <w:bCs/>
                <w:sz w:val="20"/>
                <w:lang w:val="en-US"/>
              </w:rPr>
            </w:pPr>
            <w:r w:rsidRPr="00036EE3">
              <w:rPr>
                <w:b/>
                <w:bCs/>
                <w:sz w:val="20"/>
                <w:lang w:val="en-US"/>
              </w:rPr>
              <w:t>S</w:t>
            </w:r>
          </w:p>
        </w:tc>
        <w:tc>
          <w:tcPr>
            <w:tcW w:w="8220" w:type="dxa"/>
          </w:tcPr>
          <w:p w:rsidR="000F059C" w:rsidRPr="00036EE3" w:rsidRDefault="000F059C" w:rsidP="009908A1">
            <w:pPr>
              <w:spacing w:before="30" w:after="30"/>
              <w:jc w:val="left"/>
              <w:rPr>
                <w:sz w:val="20"/>
                <w:lang w:val="en-US"/>
              </w:rPr>
            </w:pPr>
            <w:r w:rsidRPr="00036EE3">
              <w:rPr>
                <w:sz w:val="20"/>
                <w:lang w:val="en-US"/>
              </w:rPr>
              <w:t>Fixed-satellite service</w:t>
            </w:r>
          </w:p>
        </w:tc>
      </w:tr>
      <w:tr w:rsidR="000F059C" w:rsidRPr="00036EE3" w:rsidTr="009908A1">
        <w:tc>
          <w:tcPr>
            <w:tcW w:w="1140" w:type="dxa"/>
          </w:tcPr>
          <w:p w:rsidR="000F059C" w:rsidRPr="00036EE3" w:rsidRDefault="000F059C" w:rsidP="009908A1">
            <w:pPr>
              <w:spacing w:before="30" w:after="30"/>
              <w:ind w:left="57"/>
              <w:jc w:val="left"/>
              <w:rPr>
                <w:b/>
                <w:bCs/>
                <w:sz w:val="20"/>
                <w:lang w:val="en-US"/>
              </w:rPr>
            </w:pPr>
            <w:r w:rsidRPr="00036EE3">
              <w:rPr>
                <w:b/>
                <w:bCs/>
                <w:sz w:val="20"/>
                <w:lang w:val="en-US"/>
              </w:rPr>
              <w:t>SA</w:t>
            </w:r>
          </w:p>
        </w:tc>
        <w:tc>
          <w:tcPr>
            <w:tcW w:w="8220" w:type="dxa"/>
          </w:tcPr>
          <w:p w:rsidR="000F059C" w:rsidRPr="00036EE3" w:rsidRDefault="000F059C" w:rsidP="009908A1">
            <w:pPr>
              <w:spacing w:before="30" w:after="30"/>
              <w:jc w:val="left"/>
              <w:rPr>
                <w:sz w:val="20"/>
                <w:lang w:val="en-US"/>
              </w:rPr>
            </w:pPr>
            <w:r w:rsidRPr="00036EE3">
              <w:rPr>
                <w:sz w:val="20"/>
                <w:lang w:val="en-US"/>
              </w:rPr>
              <w:t>Space applications and meteorology</w:t>
            </w:r>
          </w:p>
        </w:tc>
      </w:tr>
      <w:tr w:rsidR="000F059C" w:rsidRPr="00966C95" w:rsidTr="009908A1">
        <w:tc>
          <w:tcPr>
            <w:tcW w:w="1140" w:type="dxa"/>
            <w:tcBorders>
              <w:bottom w:val="nil"/>
            </w:tcBorders>
          </w:tcPr>
          <w:p w:rsidR="000F059C" w:rsidRPr="00036EE3" w:rsidRDefault="000F059C" w:rsidP="009908A1">
            <w:pPr>
              <w:spacing w:before="30" w:after="30"/>
              <w:ind w:left="57"/>
              <w:jc w:val="left"/>
              <w:rPr>
                <w:b/>
                <w:bCs/>
                <w:sz w:val="20"/>
                <w:lang w:val="en-US"/>
              </w:rPr>
            </w:pPr>
            <w:r w:rsidRPr="00036EE3">
              <w:rPr>
                <w:b/>
                <w:bCs/>
                <w:sz w:val="20"/>
                <w:lang w:val="en-US"/>
              </w:rPr>
              <w:t>SF</w:t>
            </w:r>
          </w:p>
        </w:tc>
        <w:tc>
          <w:tcPr>
            <w:tcW w:w="8220" w:type="dxa"/>
            <w:tcBorders>
              <w:bottom w:val="nil"/>
            </w:tcBorders>
          </w:tcPr>
          <w:p w:rsidR="000F059C" w:rsidRPr="00036EE3" w:rsidRDefault="000F059C" w:rsidP="009908A1">
            <w:pPr>
              <w:spacing w:before="30" w:after="30"/>
              <w:jc w:val="left"/>
              <w:rPr>
                <w:sz w:val="20"/>
                <w:lang w:val="en-US"/>
              </w:rPr>
            </w:pPr>
            <w:r w:rsidRPr="00036EE3">
              <w:rPr>
                <w:sz w:val="20"/>
                <w:lang w:val="en-US"/>
              </w:rPr>
              <w:t>Frequency sharing and coordination between fixed-satellite and fixed service systems</w:t>
            </w:r>
          </w:p>
        </w:tc>
      </w:tr>
      <w:tr w:rsidR="000F059C" w:rsidRPr="00036EE3" w:rsidTr="009908A1">
        <w:tc>
          <w:tcPr>
            <w:tcW w:w="1140" w:type="dxa"/>
            <w:tcBorders>
              <w:top w:val="nil"/>
              <w:bottom w:val="nil"/>
            </w:tcBorders>
            <w:shd w:val="clear" w:color="auto" w:fill="auto"/>
          </w:tcPr>
          <w:p w:rsidR="000F059C" w:rsidRPr="000A4386" w:rsidRDefault="000F059C" w:rsidP="009908A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F059C" w:rsidRPr="000A4386" w:rsidRDefault="000F059C" w:rsidP="009908A1">
            <w:pPr>
              <w:spacing w:before="30" w:after="30"/>
              <w:jc w:val="left"/>
              <w:rPr>
                <w:sz w:val="20"/>
                <w:lang w:val="en-US"/>
              </w:rPr>
            </w:pPr>
            <w:r w:rsidRPr="000A4386">
              <w:rPr>
                <w:sz w:val="20"/>
                <w:lang w:val="en-US"/>
              </w:rPr>
              <w:t>Spectrum management</w:t>
            </w:r>
          </w:p>
        </w:tc>
      </w:tr>
      <w:tr w:rsidR="000F059C" w:rsidRPr="00036EE3" w:rsidTr="009908A1">
        <w:tc>
          <w:tcPr>
            <w:tcW w:w="1140" w:type="dxa"/>
            <w:tcBorders>
              <w:top w:val="nil"/>
            </w:tcBorders>
          </w:tcPr>
          <w:p w:rsidR="000F059C" w:rsidRPr="00036EE3" w:rsidRDefault="000F059C" w:rsidP="009908A1">
            <w:pPr>
              <w:spacing w:before="30" w:after="30"/>
              <w:ind w:left="57"/>
              <w:jc w:val="left"/>
              <w:rPr>
                <w:b/>
                <w:bCs/>
                <w:sz w:val="20"/>
                <w:lang w:val="en-US"/>
              </w:rPr>
            </w:pPr>
            <w:r w:rsidRPr="00036EE3">
              <w:rPr>
                <w:b/>
                <w:bCs/>
                <w:sz w:val="20"/>
                <w:lang w:val="en-US"/>
              </w:rPr>
              <w:t>SNG</w:t>
            </w:r>
          </w:p>
        </w:tc>
        <w:tc>
          <w:tcPr>
            <w:tcW w:w="8220" w:type="dxa"/>
            <w:tcBorders>
              <w:top w:val="nil"/>
            </w:tcBorders>
          </w:tcPr>
          <w:p w:rsidR="000F059C" w:rsidRPr="00036EE3" w:rsidRDefault="000F059C" w:rsidP="009908A1">
            <w:pPr>
              <w:spacing w:before="30" w:after="30"/>
              <w:jc w:val="left"/>
              <w:rPr>
                <w:sz w:val="20"/>
                <w:lang w:val="en-US"/>
              </w:rPr>
            </w:pPr>
            <w:r w:rsidRPr="00036EE3">
              <w:rPr>
                <w:sz w:val="20"/>
                <w:lang w:val="en-US"/>
              </w:rPr>
              <w:t>Satellite news gathering</w:t>
            </w:r>
          </w:p>
        </w:tc>
      </w:tr>
      <w:tr w:rsidR="000F059C" w:rsidRPr="00966C95" w:rsidTr="009908A1">
        <w:tc>
          <w:tcPr>
            <w:tcW w:w="1140" w:type="dxa"/>
          </w:tcPr>
          <w:p w:rsidR="000F059C" w:rsidRPr="00036EE3" w:rsidRDefault="000F059C" w:rsidP="009908A1">
            <w:pPr>
              <w:spacing w:before="30" w:after="30"/>
              <w:ind w:left="57"/>
              <w:jc w:val="left"/>
              <w:rPr>
                <w:b/>
                <w:bCs/>
                <w:sz w:val="20"/>
                <w:lang w:val="en-US"/>
              </w:rPr>
            </w:pPr>
            <w:r w:rsidRPr="00036EE3">
              <w:rPr>
                <w:b/>
                <w:bCs/>
                <w:sz w:val="20"/>
                <w:lang w:val="en-US"/>
              </w:rPr>
              <w:t>TF</w:t>
            </w:r>
          </w:p>
        </w:tc>
        <w:tc>
          <w:tcPr>
            <w:tcW w:w="8220" w:type="dxa"/>
          </w:tcPr>
          <w:p w:rsidR="000F059C" w:rsidRPr="00036EE3" w:rsidRDefault="000F059C" w:rsidP="009908A1">
            <w:pPr>
              <w:spacing w:before="30" w:after="30"/>
              <w:jc w:val="left"/>
              <w:rPr>
                <w:sz w:val="20"/>
                <w:lang w:val="en-US"/>
              </w:rPr>
            </w:pPr>
            <w:r w:rsidRPr="00036EE3">
              <w:rPr>
                <w:sz w:val="20"/>
                <w:lang w:val="en-US"/>
              </w:rPr>
              <w:t>Time signals and frequency standards emissions</w:t>
            </w:r>
          </w:p>
        </w:tc>
      </w:tr>
      <w:tr w:rsidR="000F059C" w:rsidRPr="00036EE3" w:rsidTr="009908A1">
        <w:tc>
          <w:tcPr>
            <w:tcW w:w="1140" w:type="dxa"/>
          </w:tcPr>
          <w:p w:rsidR="000F059C" w:rsidRPr="00036EE3" w:rsidRDefault="000F059C" w:rsidP="009908A1">
            <w:pPr>
              <w:spacing w:before="30" w:after="30"/>
              <w:ind w:left="57"/>
              <w:jc w:val="left"/>
              <w:rPr>
                <w:b/>
                <w:bCs/>
                <w:sz w:val="20"/>
                <w:lang w:val="en-US"/>
              </w:rPr>
            </w:pPr>
            <w:r w:rsidRPr="00036EE3">
              <w:rPr>
                <w:b/>
                <w:bCs/>
                <w:sz w:val="20"/>
                <w:lang w:val="en-US"/>
              </w:rPr>
              <w:t>V</w:t>
            </w:r>
          </w:p>
        </w:tc>
        <w:tc>
          <w:tcPr>
            <w:tcW w:w="8220" w:type="dxa"/>
          </w:tcPr>
          <w:p w:rsidR="000F059C" w:rsidRPr="00036EE3" w:rsidRDefault="000F059C" w:rsidP="009908A1">
            <w:pPr>
              <w:spacing w:before="30" w:after="180"/>
              <w:jc w:val="left"/>
              <w:rPr>
                <w:sz w:val="20"/>
                <w:lang w:val="en-US"/>
              </w:rPr>
            </w:pPr>
            <w:r w:rsidRPr="00036EE3">
              <w:rPr>
                <w:sz w:val="20"/>
                <w:lang w:val="en-US"/>
              </w:rPr>
              <w:t>Vocabulary and related subjects</w:t>
            </w:r>
          </w:p>
        </w:tc>
      </w:tr>
    </w:tbl>
    <w:p w:rsidR="000F059C" w:rsidRPr="00036EE3" w:rsidRDefault="000F059C" w:rsidP="000F059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F059C" w:rsidTr="009908A1">
        <w:tc>
          <w:tcPr>
            <w:tcW w:w="720" w:type="dxa"/>
          </w:tcPr>
          <w:p w:rsidR="000F059C" w:rsidRDefault="000F059C" w:rsidP="009908A1">
            <w:pPr>
              <w:jc w:val="center"/>
              <w:rPr>
                <w:sz w:val="22"/>
                <w:lang w:val="en-US"/>
              </w:rPr>
            </w:pPr>
          </w:p>
        </w:tc>
      </w:tr>
    </w:tbl>
    <w:p w:rsidR="000F059C" w:rsidRPr="00036EE3" w:rsidRDefault="000F059C" w:rsidP="000F059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F059C" w:rsidRPr="00966C95" w:rsidTr="009908A1">
        <w:tc>
          <w:tcPr>
            <w:tcW w:w="9360" w:type="dxa"/>
          </w:tcPr>
          <w:p w:rsidR="000F059C" w:rsidRPr="002F5199" w:rsidRDefault="000F059C" w:rsidP="009908A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F059C" w:rsidRDefault="000F059C" w:rsidP="000F059C">
      <w:pPr>
        <w:spacing w:before="0"/>
        <w:jc w:val="center"/>
        <w:rPr>
          <w:sz w:val="22"/>
          <w:lang w:val="en-US"/>
        </w:rPr>
      </w:pPr>
    </w:p>
    <w:p w:rsidR="000F059C" w:rsidRDefault="000F059C" w:rsidP="000F059C">
      <w:pPr>
        <w:spacing w:before="0"/>
        <w:jc w:val="center"/>
        <w:rPr>
          <w:sz w:val="22"/>
          <w:lang w:val="en-US"/>
        </w:rPr>
      </w:pPr>
    </w:p>
    <w:p w:rsidR="000F059C" w:rsidRPr="002F5199" w:rsidRDefault="000F059C" w:rsidP="000F059C">
      <w:pPr>
        <w:spacing w:before="0"/>
        <w:jc w:val="right"/>
        <w:rPr>
          <w:i/>
          <w:iCs/>
          <w:sz w:val="20"/>
          <w:lang w:val="en-US"/>
        </w:rPr>
      </w:pPr>
      <w:r w:rsidRPr="002F5199">
        <w:rPr>
          <w:i/>
          <w:iCs/>
          <w:sz w:val="20"/>
          <w:lang w:val="en-US"/>
        </w:rPr>
        <w:t>Electronic Publication</w:t>
      </w:r>
    </w:p>
    <w:p w:rsidR="000F059C" w:rsidRPr="002F5199" w:rsidRDefault="000F059C" w:rsidP="000F059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605C8C">
        <w:rPr>
          <w:sz w:val="20"/>
          <w:lang w:val="en-US"/>
        </w:rPr>
        <w:t>15</w:t>
      </w:r>
    </w:p>
    <w:p w:rsidR="000F059C" w:rsidRDefault="000F059C" w:rsidP="000F059C">
      <w:pPr>
        <w:jc w:val="center"/>
        <w:rPr>
          <w:sz w:val="22"/>
          <w:lang w:val="en-US"/>
        </w:rPr>
      </w:pPr>
    </w:p>
    <w:p w:rsidR="000F059C" w:rsidRPr="00470E28" w:rsidRDefault="000F059C" w:rsidP="00605C8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605C8C">
        <w:rPr>
          <w:sz w:val="20"/>
          <w:lang w:val="en-US"/>
        </w:rPr>
        <w:t>5</w:t>
      </w:r>
    </w:p>
    <w:p w:rsidR="000F059C" w:rsidRPr="00470E28" w:rsidRDefault="000F059C" w:rsidP="000F059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F059C" w:rsidRDefault="000F059C" w:rsidP="000F059C">
      <w:pPr>
        <w:spacing w:before="160"/>
        <w:rPr>
          <w:i/>
          <w:sz w:val="20"/>
          <w:lang w:val="en-US"/>
        </w:rPr>
        <w:sectPr w:rsidR="000F059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6617B" w:rsidRPr="00802B4E" w:rsidRDefault="000F059C" w:rsidP="000F059C">
      <w:pPr>
        <w:pStyle w:val="RecNo"/>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2068-0</w:t>
      </w:r>
    </w:p>
    <w:p w:rsidR="000F059C" w:rsidRDefault="00802B4E" w:rsidP="00802B4E">
      <w:pPr>
        <w:pStyle w:val="Rectitle"/>
        <w:rPr>
          <w:lang w:val="en-US" w:eastAsia="zh-CN"/>
        </w:rPr>
      </w:pPr>
      <w:r w:rsidRPr="00802B4E">
        <w:rPr>
          <w:lang w:val="en-US" w:eastAsia="zh-CN"/>
        </w:rPr>
        <w:t xml:space="preserve">Characteristics of and protection criteria for systems operating in </w:t>
      </w:r>
      <w:r w:rsidRPr="00802B4E">
        <w:rPr>
          <w:lang w:val="en-US" w:eastAsia="zh-CN"/>
        </w:rPr>
        <w:br/>
        <w:t>the mobile service in the frequency range 14.5-15.35 GHz</w:t>
      </w:r>
    </w:p>
    <w:p w:rsidR="00507ED6" w:rsidRDefault="00507ED6" w:rsidP="00507ED6">
      <w:pPr>
        <w:pStyle w:val="Recref"/>
        <w:rPr>
          <w:lang w:val="en-US" w:eastAsia="zh-CN"/>
        </w:rPr>
      </w:pPr>
    </w:p>
    <w:p w:rsidR="00507ED6" w:rsidRPr="00507ED6" w:rsidRDefault="00507ED6" w:rsidP="00507ED6">
      <w:pPr>
        <w:pStyle w:val="Recdate"/>
        <w:rPr>
          <w:lang w:val="en-US" w:eastAsia="zh-CN"/>
        </w:rPr>
      </w:pPr>
      <w:r>
        <w:rPr>
          <w:lang w:val="en-US" w:eastAsia="zh-CN"/>
        </w:rPr>
        <w:t>(2014)</w:t>
      </w:r>
    </w:p>
    <w:p w:rsidR="00802B4E" w:rsidRPr="00B45C4F" w:rsidRDefault="00802B4E" w:rsidP="00802B4E">
      <w:pPr>
        <w:pStyle w:val="Headingb"/>
        <w:rPr>
          <w:sz w:val="22"/>
          <w:szCs w:val="22"/>
          <w:lang w:val="en-GB"/>
        </w:rPr>
      </w:pPr>
      <w:r w:rsidRPr="00B45C4F">
        <w:rPr>
          <w:sz w:val="22"/>
          <w:szCs w:val="22"/>
          <w:lang w:val="en-GB"/>
        </w:rPr>
        <w:t>Scope</w:t>
      </w:r>
    </w:p>
    <w:p w:rsidR="00802B4E" w:rsidRPr="00802B4E" w:rsidRDefault="00802B4E" w:rsidP="00802B4E">
      <w:pPr>
        <w:rPr>
          <w:sz w:val="22"/>
          <w:szCs w:val="22"/>
          <w:lang w:val="en-US"/>
        </w:rPr>
      </w:pPr>
      <w:r w:rsidRPr="00802B4E">
        <w:rPr>
          <w:sz w:val="22"/>
          <w:szCs w:val="22"/>
          <w:lang w:val="en-US"/>
        </w:rPr>
        <w:t>This Recommendation specifies the characteristics of and protection criteria for systems operating in the mobile service in the frequency range 14.5-15.35 GHz. These technical and operational characteristics should be used in analyzing compatibility between systems operating in the mobile service with systems in other services.</w:t>
      </w:r>
    </w:p>
    <w:p w:rsidR="00802B4E" w:rsidRPr="00B073AF" w:rsidRDefault="00802B4E" w:rsidP="00802B4E">
      <w:pPr>
        <w:pStyle w:val="Headingb"/>
        <w:rPr>
          <w:lang w:val="en-GB"/>
        </w:rPr>
      </w:pPr>
      <w:r w:rsidRPr="00B073AF">
        <w:rPr>
          <w:lang w:val="en-GB"/>
        </w:rPr>
        <w:t>Keywords</w:t>
      </w:r>
    </w:p>
    <w:p w:rsidR="00802B4E" w:rsidRPr="00802B4E" w:rsidRDefault="00802B4E" w:rsidP="00802B4E">
      <w:pPr>
        <w:rPr>
          <w:szCs w:val="24"/>
          <w:lang w:val="en-US"/>
        </w:rPr>
      </w:pPr>
      <w:r w:rsidRPr="00802B4E">
        <w:rPr>
          <w:szCs w:val="24"/>
          <w:lang w:val="en-US"/>
        </w:rPr>
        <w:t>Mobile service, technical characteristics, protection criteria.</w:t>
      </w:r>
    </w:p>
    <w:p w:rsidR="00802B4E" w:rsidRPr="00B073AF" w:rsidRDefault="00802B4E" w:rsidP="00802B4E">
      <w:pPr>
        <w:pStyle w:val="Headingb"/>
        <w:rPr>
          <w:lang w:val="en-GB"/>
        </w:rPr>
      </w:pPr>
      <w:r w:rsidRPr="00B073AF">
        <w:rPr>
          <w:lang w:val="en-GB"/>
        </w:rPr>
        <w:t>Abbreviations/Glossary</w:t>
      </w:r>
    </w:p>
    <w:tbl>
      <w:tblPr>
        <w:tblW w:w="0" w:type="auto"/>
        <w:tblInd w:w="-142" w:type="dxa"/>
        <w:tblLook w:val="04A0" w:firstRow="1" w:lastRow="0" w:firstColumn="1" w:lastColumn="0" w:noHBand="0" w:noVBand="1"/>
      </w:tblPr>
      <w:tblGrid>
        <w:gridCol w:w="1384"/>
        <w:gridCol w:w="5256"/>
      </w:tblGrid>
      <w:tr w:rsidR="00802B4E" w:rsidRPr="00B073AF" w:rsidTr="009908A1">
        <w:tc>
          <w:tcPr>
            <w:tcW w:w="1384" w:type="dxa"/>
          </w:tcPr>
          <w:p w:rsidR="00802B4E" w:rsidRPr="00B073AF" w:rsidRDefault="00802B4E" w:rsidP="00C75DAC">
            <w:pPr>
              <w:ind w:left="142"/>
              <w:rPr>
                <w:szCs w:val="24"/>
              </w:rPr>
            </w:pPr>
            <w:r w:rsidRPr="00B073AF">
              <w:rPr>
                <w:szCs w:val="24"/>
              </w:rPr>
              <w:t>BPSK</w:t>
            </w:r>
          </w:p>
        </w:tc>
        <w:tc>
          <w:tcPr>
            <w:tcW w:w="5256" w:type="dxa"/>
          </w:tcPr>
          <w:p w:rsidR="00802B4E" w:rsidRPr="00B073AF" w:rsidRDefault="00802B4E" w:rsidP="00C75DAC">
            <w:pPr>
              <w:ind w:left="142"/>
              <w:rPr>
                <w:szCs w:val="24"/>
              </w:rPr>
            </w:pPr>
            <w:r w:rsidRPr="00B073AF">
              <w:rPr>
                <w:szCs w:val="24"/>
              </w:rPr>
              <w:t xml:space="preserve">Binary </w:t>
            </w:r>
            <w:r w:rsidR="00507ED6">
              <w:rPr>
                <w:szCs w:val="24"/>
              </w:rPr>
              <w:t>p</w:t>
            </w:r>
            <w:r w:rsidRPr="00B073AF">
              <w:rPr>
                <w:szCs w:val="24"/>
              </w:rPr>
              <w:t xml:space="preserve">hase </w:t>
            </w:r>
            <w:r w:rsidR="00507ED6">
              <w:rPr>
                <w:szCs w:val="24"/>
              </w:rPr>
              <w:t>s</w:t>
            </w:r>
            <w:r w:rsidRPr="00B073AF">
              <w:rPr>
                <w:szCs w:val="24"/>
              </w:rPr>
              <w:t xml:space="preserve">hift </w:t>
            </w:r>
            <w:r w:rsidR="00507ED6">
              <w:rPr>
                <w:szCs w:val="24"/>
              </w:rPr>
              <w:t>k</w:t>
            </w:r>
            <w:r w:rsidRPr="00B073AF">
              <w:rPr>
                <w:szCs w:val="24"/>
              </w:rPr>
              <w:t>eying</w:t>
            </w:r>
          </w:p>
        </w:tc>
      </w:tr>
      <w:tr w:rsidR="00802B4E" w:rsidRPr="00B073AF" w:rsidTr="009908A1">
        <w:tc>
          <w:tcPr>
            <w:tcW w:w="1384" w:type="dxa"/>
          </w:tcPr>
          <w:p w:rsidR="00802B4E" w:rsidRPr="00B073AF" w:rsidRDefault="00802B4E" w:rsidP="00C75DAC">
            <w:pPr>
              <w:ind w:left="142"/>
              <w:rPr>
                <w:szCs w:val="24"/>
              </w:rPr>
            </w:pPr>
            <w:r w:rsidRPr="00B073AF">
              <w:rPr>
                <w:szCs w:val="24"/>
              </w:rPr>
              <w:t>FET</w:t>
            </w:r>
          </w:p>
        </w:tc>
        <w:tc>
          <w:tcPr>
            <w:tcW w:w="5256" w:type="dxa"/>
          </w:tcPr>
          <w:p w:rsidR="00802B4E" w:rsidRPr="00B073AF" w:rsidRDefault="00802B4E" w:rsidP="00C75DAC">
            <w:pPr>
              <w:ind w:left="142"/>
              <w:rPr>
                <w:szCs w:val="24"/>
              </w:rPr>
            </w:pPr>
            <w:r w:rsidRPr="00B073AF">
              <w:rPr>
                <w:szCs w:val="24"/>
              </w:rPr>
              <w:t xml:space="preserve">Field </w:t>
            </w:r>
            <w:r w:rsidR="00507ED6">
              <w:rPr>
                <w:szCs w:val="24"/>
              </w:rPr>
              <w:t>e</w:t>
            </w:r>
            <w:r w:rsidRPr="00B073AF">
              <w:rPr>
                <w:szCs w:val="24"/>
              </w:rPr>
              <w:t xml:space="preserve">ffect </w:t>
            </w:r>
            <w:r w:rsidR="00507ED6">
              <w:rPr>
                <w:szCs w:val="24"/>
              </w:rPr>
              <w:t>t</w:t>
            </w:r>
            <w:r w:rsidRPr="00B073AF">
              <w:rPr>
                <w:szCs w:val="24"/>
              </w:rPr>
              <w:t>ransistor</w:t>
            </w:r>
          </w:p>
        </w:tc>
      </w:tr>
      <w:tr w:rsidR="00802B4E" w:rsidRPr="00B073AF" w:rsidTr="009908A1">
        <w:tc>
          <w:tcPr>
            <w:tcW w:w="1384" w:type="dxa"/>
          </w:tcPr>
          <w:p w:rsidR="00802B4E" w:rsidRPr="00B073AF" w:rsidRDefault="00802B4E" w:rsidP="00C75DAC">
            <w:pPr>
              <w:ind w:left="142"/>
              <w:rPr>
                <w:szCs w:val="24"/>
              </w:rPr>
            </w:pPr>
            <w:r w:rsidRPr="00B073AF">
              <w:rPr>
                <w:szCs w:val="24"/>
              </w:rPr>
              <w:t>FSK</w:t>
            </w:r>
          </w:p>
        </w:tc>
        <w:tc>
          <w:tcPr>
            <w:tcW w:w="5256" w:type="dxa"/>
          </w:tcPr>
          <w:p w:rsidR="00802B4E" w:rsidRPr="00B073AF" w:rsidRDefault="00802B4E" w:rsidP="00C75DAC">
            <w:pPr>
              <w:ind w:left="142"/>
              <w:rPr>
                <w:szCs w:val="24"/>
              </w:rPr>
            </w:pPr>
            <w:r w:rsidRPr="00B073AF">
              <w:rPr>
                <w:szCs w:val="24"/>
              </w:rPr>
              <w:t xml:space="preserve">Frequency </w:t>
            </w:r>
            <w:r w:rsidR="00507ED6">
              <w:rPr>
                <w:szCs w:val="24"/>
              </w:rPr>
              <w:t>s</w:t>
            </w:r>
            <w:r w:rsidRPr="00B073AF">
              <w:rPr>
                <w:szCs w:val="24"/>
              </w:rPr>
              <w:t xml:space="preserve">hift </w:t>
            </w:r>
            <w:r w:rsidR="00507ED6">
              <w:rPr>
                <w:szCs w:val="24"/>
              </w:rPr>
              <w:t>k</w:t>
            </w:r>
            <w:r w:rsidRPr="00B073AF">
              <w:rPr>
                <w:szCs w:val="24"/>
              </w:rPr>
              <w:t>eying</w:t>
            </w:r>
          </w:p>
        </w:tc>
      </w:tr>
      <w:tr w:rsidR="00802B4E" w:rsidRPr="00B073AF" w:rsidTr="009908A1">
        <w:tc>
          <w:tcPr>
            <w:tcW w:w="1384" w:type="dxa"/>
          </w:tcPr>
          <w:p w:rsidR="00802B4E" w:rsidRPr="00B073AF" w:rsidRDefault="00802B4E" w:rsidP="00C75DAC">
            <w:pPr>
              <w:ind w:left="142"/>
              <w:rPr>
                <w:szCs w:val="24"/>
              </w:rPr>
            </w:pPr>
            <w:r w:rsidRPr="00B073AF">
              <w:rPr>
                <w:szCs w:val="24"/>
              </w:rPr>
              <w:t>QPSK</w:t>
            </w:r>
          </w:p>
        </w:tc>
        <w:tc>
          <w:tcPr>
            <w:tcW w:w="5256" w:type="dxa"/>
          </w:tcPr>
          <w:p w:rsidR="00802B4E" w:rsidRPr="00B073AF" w:rsidRDefault="00802B4E" w:rsidP="00C75DAC">
            <w:pPr>
              <w:ind w:left="142"/>
              <w:rPr>
                <w:szCs w:val="24"/>
              </w:rPr>
            </w:pPr>
            <w:r w:rsidRPr="00B073AF">
              <w:rPr>
                <w:szCs w:val="24"/>
              </w:rPr>
              <w:t xml:space="preserve">Quadrature </w:t>
            </w:r>
            <w:r w:rsidR="00507ED6">
              <w:rPr>
                <w:szCs w:val="24"/>
              </w:rPr>
              <w:t>p</w:t>
            </w:r>
            <w:r w:rsidRPr="00B073AF">
              <w:rPr>
                <w:szCs w:val="24"/>
              </w:rPr>
              <w:t xml:space="preserve">hase </w:t>
            </w:r>
            <w:r w:rsidR="00507ED6">
              <w:rPr>
                <w:szCs w:val="24"/>
              </w:rPr>
              <w:t>s</w:t>
            </w:r>
            <w:r w:rsidRPr="00B073AF">
              <w:rPr>
                <w:szCs w:val="24"/>
              </w:rPr>
              <w:t xml:space="preserve">hift </w:t>
            </w:r>
            <w:r w:rsidR="00507ED6">
              <w:rPr>
                <w:szCs w:val="24"/>
              </w:rPr>
              <w:t>k</w:t>
            </w:r>
            <w:r w:rsidRPr="00B073AF">
              <w:rPr>
                <w:szCs w:val="24"/>
              </w:rPr>
              <w:t>eying</w:t>
            </w:r>
          </w:p>
        </w:tc>
      </w:tr>
      <w:tr w:rsidR="00802B4E" w:rsidRPr="00B073AF" w:rsidTr="009908A1">
        <w:tc>
          <w:tcPr>
            <w:tcW w:w="1384" w:type="dxa"/>
          </w:tcPr>
          <w:p w:rsidR="00802B4E" w:rsidRPr="00B073AF" w:rsidRDefault="00802B4E" w:rsidP="00C75DAC">
            <w:pPr>
              <w:ind w:left="142"/>
              <w:rPr>
                <w:szCs w:val="24"/>
              </w:rPr>
            </w:pPr>
            <w:r w:rsidRPr="00B073AF">
              <w:rPr>
                <w:szCs w:val="24"/>
              </w:rPr>
              <w:t>RF</w:t>
            </w:r>
          </w:p>
        </w:tc>
        <w:tc>
          <w:tcPr>
            <w:tcW w:w="5256" w:type="dxa"/>
          </w:tcPr>
          <w:p w:rsidR="00802B4E" w:rsidRPr="00B073AF" w:rsidRDefault="00802B4E" w:rsidP="00C75DAC">
            <w:pPr>
              <w:ind w:left="142"/>
              <w:rPr>
                <w:szCs w:val="24"/>
              </w:rPr>
            </w:pPr>
            <w:r w:rsidRPr="00B073AF">
              <w:rPr>
                <w:szCs w:val="24"/>
              </w:rPr>
              <w:t xml:space="preserve">Radio </w:t>
            </w:r>
            <w:r w:rsidR="00507ED6">
              <w:rPr>
                <w:szCs w:val="24"/>
              </w:rPr>
              <w:t>f</w:t>
            </w:r>
            <w:r w:rsidRPr="00B073AF">
              <w:rPr>
                <w:szCs w:val="24"/>
              </w:rPr>
              <w:t>requency</w:t>
            </w:r>
          </w:p>
        </w:tc>
      </w:tr>
    </w:tbl>
    <w:p w:rsidR="00802B4E" w:rsidRDefault="00802B4E" w:rsidP="00DA047C"/>
    <w:p w:rsidR="00802B4E" w:rsidRPr="00B073AF" w:rsidRDefault="00802B4E" w:rsidP="00DA047C">
      <w:r w:rsidRPr="00B073AF">
        <w:rPr>
          <w:szCs w:val="24"/>
        </w:rPr>
        <w:t>The ITU Radiocommunication Assembly,</w:t>
      </w:r>
    </w:p>
    <w:p w:rsidR="00802B4E" w:rsidRPr="00B073AF" w:rsidRDefault="00802B4E" w:rsidP="00802B4E">
      <w:pPr>
        <w:pStyle w:val="Call"/>
        <w:rPr>
          <w:szCs w:val="24"/>
        </w:rPr>
      </w:pPr>
      <w:r w:rsidRPr="00B073AF">
        <w:rPr>
          <w:szCs w:val="24"/>
        </w:rPr>
        <w:t>considering</w:t>
      </w:r>
    </w:p>
    <w:p w:rsidR="00802B4E" w:rsidRPr="00802B4E" w:rsidRDefault="00802B4E" w:rsidP="00802B4E">
      <w:pPr>
        <w:rPr>
          <w:iCs/>
          <w:szCs w:val="24"/>
          <w:lang w:val="en-US"/>
        </w:rPr>
      </w:pPr>
      <w:r w:rsidRPr="00802B4E">
        <w:rPr>
          <w:i/>
          <w:iCs/>
          <w:szCs w:val="24"/>
          <w:lang w:val="en-US"/>
        </w:rPr>
        <w:t>a)</w:t>
      </w:r>
      <w:r w:rsidRPr="00802B4E">
        <w:rPr>
          <w:iCs/>
          <w:szCs w:val="24"/>
          <w:lang w:val="en-US"/>
        </w:rPr>
        <w:tab/>
        <w:t>that mobile systems in the 14.5-15.35 GHz frequency range are used for a variety of purposes including land mobile ground-to-ground data links used to convey voice, data, and/or video;</w:t>
      </w:r>
    </w:p>
    <w:p w:rsidR="00802B4E" w:rsidRPr="00802B4E" w:rsidRDefault="00802B4E" w:rsidP="00802B4E">
      <w:pPr>
        <w:rPr>
          <w:szCs w:val="24"/>
          <w:lang w:val="en-US"/>
        </w:rPr>
      </w:pPr>
      <w:r w:rsidRPr="00802B4E">
        <w:rPr>
          <w:i/>
          <w:iCs/>
          <w:szCs w:val="24"/>
          <w:lang w:val="en-US"/>
        </w:rPr>
        <w:t>b)</w:t>
      </w:r>
      <w:r w:rsidRPr="00802B4E">
        <w:rPr>
          <w:szCs w:val="24"/>
          <w:lang w:val="en-US"/>
        </w:rPr>
        <w:tab/>
        <w:t>that antenna, signal propagation, and large bandwidth characteristics of mobile systems to achieve their functions and requirements are optimum in certain frequency bands;</w:t>
      </w:r>
    </w:p>
    <w:p w:rsidR="00802B4E" w:rsidRPr="00802B4E" w:rsidRDefault="00802B4E" w:rsidP="00802B4E">
      <w:pPr>
        <w:rPr>
          <w:szCs w:val="24"/>
          <w:lang w:val="en-US"/>
        </w:rPr>
      </w:pPr>
      <w:r w:rsidRPr="00802B4E">
        <w:rPr>
          <w:i/>
          <w:iCs/>
          <w:szCs w:val="24"/>
          <w:lang w:val="en-US"/>
        </w:rPr>
        <w:t>c)</w:t>
      </w:r>
      <w:r w:rsidRPr="00802B4E">
        <w:rPr>
          <w:szCs w:val="24"/>
          <w:lang w:val="en-US"/>
        </w:rPr>
        <w:tab/>
        <w:t>that the technical characteristics of systems operating in the mobile service in this frequency range are determined by the purpose of the system and vary widely;</w:t>
      </w:r>
    </w:p>
    <w:p w:rsidR="00802B4E" w:rsidRPr="00802B4E" w:rsidRDefault="00802B4E" w:rsidP="00802B4E">
      <w:pPr>
        <w:rPr>
          <w:szCs w:val="24"/>
          <w:lang w:val="en-US"/>
        </w:rPr>
      </w:pPr>
      <w:r w:rsidRPr="00802B4E">
        <w:rPr>
          <w:i/>
          <w:iCs/>
          <w:szCs w:val="24"/>
          <w:lang w:val="en-US"/>
        </w:rPr>
        <w:t>d)</w:t>
      </w:r>
      <w:r w:rsidRPr="00802B4E">
        <w:rPr>
          <w:szCs w:val="24"/>
          <w:lang w:val="en-US"/>
        </w:rPr>
        <w:tab/>
        <w:t>that representative technical and operational characteristics of systems operating in frequency bands allocated to the mobile service are required to determine the feasibility of introducing new types of systems as well as conducting sharing studies;</w:t>
      </w:r>
    </w:p>
    <w:p w:rsidR="00802B4E" w:rsidRPr="00802B4E" w:rsidRDefault="00802B4E" w:rsidP="00802B4E">
      <w:pPr>
        <w:rPr>
          <w:szCs w:val="24"/>
          <w:lang w:val="en-US"/>
        </w:rPr>
      </w:pPr>
      <w:r w:rsidRPr="00802B4E">
        <w:rPr>
          <w:i/>
          <w:iCs/>
          <w:szCs w:val="24"/>
          <w:lang w:val="en-US"/>
        </w:rPr>
        <w:t>e)</w:t>
      </w:r>
      <w:r w:rsidRPr="00802B4E">
        <w:rPr>
          <w:szCs w:val="24"/>
          <w:lang w:val="en-US"/>
        </w:rPr>
        <w:tab/>
        <w:t>that procedures and methodologies are needed to analyse compatibility between systems operating in the mobile service and systems in other services;</w:t>
      </w:r>
    </w:p>
    <w:p w:rsidR="00802B4E" w:rsidRPr="00802B4E" w:rsidRDefault="00802B4E" w:rsidP="00802B4E">
      <w:pPr>
        <w:rPr>
          <w:szCs w:val="24"/>
          <w:lang w:val="en-US"/>
        </w:rPr>
      </w:pPr>
      <w:r w:rsidRPr="00802B4E">
        <w:rPr>
          <w:i/>
          <w:iCs/>
          <w:szCs w:val="24"/>
          <w:lang w:val="en-US"/>
        </w:rPr>
        <w:t>f)</w:t>
      </w:r>
      <w:r w:rsidRPr="00802B4E">
        <w:rPr>
          <w:szCs w:val="24"/>
          <w:lang w:val="en-US"/>
        </w:rPr>
        <w:tab/>
        <w:t>that administrations conducting ITU-R sharing or compatibility studies addressing new allocation proposals in any part of the frequency band 14.5-15.35 GHz should take into account operations of incumbent services in the band, including mobile service,</w:t>
      </w:r>
    </w:p>
    <w:p w:rsidR="00802B4E" w:rsidRPr="00802B4E" w:rsidRDefault="00802B4E" w:rsidP="00802B4E">
      <w:pPr>
        <w:pStyle w:val="Call"/>
        <w:rPr>
          <w:lang w:val="en-US"/>
        </w:rPr>
      </w:pPr>
      <w:r w:rsidRPr="00802B4E">
        <w:rPr>
          <w:lang w:val="en-US"/>
        </w:rPr>
        <w:lastRenderedPageBreak/>
        <w:t>recognizing</w:t>
      </w:r>
    </w:p>
    <w:p w:rsidR="00802B4E" w:rsidRPr="00802B4E" w:rsidRDefault="00802B4E" w:rsidP="00802B4E">
      <w:pPr>
        <w:rPr>
          <w:lang w:val="en-US"/>
        </w:rPr>
      </w:pPr>
      <w:r w:rsidRPr="00802B4E">
        <w:rPr>
          <w:lang w:val="en-US"/>
        </w:rPr>
        <w:t>that the authorization and operation of these systems should comply with applicable national spectrum policies and the ITU Radio Regulations,</w:t>
      </w:r>
    </w:p>
    <w:p w:rsidR="00802B4E" w:rsidRPr="00802B4E" w:rsidRDefault="00802B4E" w:rsidP="00802B4E">
      <w:pPr>
        <w:pStyle w:val="Call"/>
        <w:rPr>
          <w:szCs w:val="24"/>
          <w:lang w:val="en-US"/>
        </w:rPr>
      </w:pPr>
      <w:r w:rsidRPr="00802B4E">
        <w:rPr>
          <w:szCs w:val="24"/>
          <w:lang w:val="en-US"/>
        </w:rPr>
        <w:t>noting</w:t>
      </w:r>
    </w:p>
    <w:p w:rsidR="00802B4E" w:rsidRPr="00802B4E" w:rsidRDefault="00802B4E" w:rsidP="00802B4E">
      <w:pPr>
        <w:rPr>
          <w:szCs w:val="24"/>
          <w:lang w:val="en-US" w:eastAsia="ja-JP"/>
        </w:rPr>
      </w:pPr>
      <w:r w:rsidRPr="00802B4E">
        <w:rPr>
          <w:i/>
          <w:iCs/>
          <w:szCs w:val="24"/>
          <w:lang w:val="en-US"/>
        </w:rPr>
        <w:t>a</w:t>
      </w:r>
      <w:r w:rsidRPr="00802B4E">
        <w:rPr>
          <w:i/>
          <w:iCs/>
          <w:szCs w:val="24"/>
          <w:lang w:val="en-US" w:eastAsia="ja-JP"/>
        </w:rPr>
        <w:t>)</w:t>
      </w:r>
      <w:r w:rsidRPr="00802B4E">
        <w:rPr>
          <w:szCs w:val="24"/>
          <w:lang w:val="en-US" w:eastAsia="ja-JP"/>
        </w:rPr>
        <w:tab/>
        <w:t>that the frequency range 14.5-15.35 GHz is allocated worldwide on a primary basis to the mobile service and the fixed service;</w:t>
      </w:r>
    </w:p>
    <w:p w:rsidR="00802B4E" w:rsidRPr="00802B4E" w:rsidRDefault="00802B4E" w:rsidP="00802B4E">
      <w:pPr>
        <w:rPr>
          <w:szCs w:val="24"/>
          <w:lang w:val="en-US" w:eastAsia="ja-JP"/>
        </w:rPr>
      </w:pPr>
      <w:r w:rsidRPr="00802B4E">
        <w:rPr>
          <w:i/>
          <w:iCs/>
          <w:szCs w:val="24"/>
          <w:lang w:val="en-US" w:eastAsia="ja-JP"/>
        </w:rPr>
        <w:t>b)</w:t>
      </w:r>
      <w:r w:rsidRPr="00802B4E">
        <w:rPr>
          <w:szCs w:val="24"/>
          <w:lang w:val="en-US" w:eastAsia="ja-JP"/>
        </w:rPr>
        <w:tab/>
        <w:t xml:space="preserve">that the frequency band 14.5-14.8 GHz is allocated worldwide on a primary basis to the fixed-satellite service (Earth-to-space) limited by RR No. </w:t>
      </w:r>
      <w:r w:rsidRPr="00802B4E">
        <w:rPr>
          <w:b/>
          <w:bCs/>
          <w:szCs w:val="24"/>
          <w:lang w:val="en-US" w:eastAsia="ja-JP"/>
        </w:rPr>
        <w:t>5.510</w:t>
      </w:r>
      <w:r w:rsidRPr="00802B4E">
        <w:rPr>
          <w:szCs w:val="24"/>
          <w:lang w:val="en-US" w:eastAsia="ja-JP"/>
        </w:rPr>
        <w:t xml:space="preserve"> to feeder links for the broadcasting satellite service for countries outside Europe;</w:t>
      </w:r>
    </w:p>
    <w:p w:rsidR="00802B4E" w:rsidRPr="00802B4E" w:rsidRDefault="00802B4E" w:rsidP="00802B4E">
      <w:pPr>
        <w:rPr>
          <w:szCs w:val="24"/>
          <w:lang w:val="en-US" w:eastAsia="ja-JP"/>
        </w:rPr>
      </w:pPr>
      <w:r w:rsidRPr="00802B4E">
        <w:rPr>
          <w:i/>
          <w:iCs/>
          <w:szCs w:val="24"/>
          <w:lang w:val="en-US" w:eastAsia="ja-JP"/>
        </w:rPr>
        <w:t>c)</w:t>
      </w:r>
      <w:r w:rsidRPr="00802B4E">
        <w:rPr>
          <w:szCs w:val="24"/>
          <w:lang w:val="en-US" w:eastAsia="ja-JP"/>
        </w:rPr>
        <w:tab/>
        <w:t>that the frequency range 14.5-15.35 GHz is allocated worldwide on a secondary basis to the space research service,</w:t>
      </w:r>
    </w:p>
    <w:p w:rsidR="00802B4E" w:rsidRPr="00802B4E" w:rsidRDefault="00802B4E" w:rsidP="00802B4E">
      <w:pPr>
        <w:pStyle w:val="Call"/>
        <w:rPr>
          <w:szCs w:val="24"/>
          <w:lang w:val="en-US"/>
        </w:rPr>
      </w:pPr>
      <w:r w:rsidRPr="00802B4E">
        <w:rPr>
          <w:szCs w:val="24"/>
          <w:lang w:val="en-US"/>
        </w:rPr>
        <w:t>recommends</w:t>
      </w:r>
    </w:p>
    <w:p w:rsidR="00802B4E" w:rsidRPr="00802B4E" w:rsidRDefault="00802B4E" w:rsidP="00802B4E">
      <w:pPr>
        <w:rPr>
          <w:szCs w:val="24"/>
          <w:lang w:val="en-US"/>
        </w:rPr>
      </w:pPr>
      <w:r w:rsidRPr="00C45554">
        <w:rPr>
          <w:b/>
          <w:bCs/>
          <w:szCs w:val="24"/>
          <w:lang w:val="en-US"/>
        </w:rPr>
        <w:t>1</w:t>
      </w:r>
      <w:r w:rsidRPr="00802B4E">
        <w:rPr>
          <w:szCs w:val="24"/>
          <w:lang w:val="en-US"/>
        </w:rPr>
        <w:tab/>
      </w:r>
      <w:bookmarkStart w:id="4" w:name="OLE_LINK1"/>
      <w:bookmarkStart w:id="5" w:name="OLE_LINK2"/>
      <w:r w:rsidRPr="00802B4E">
        <w:rPr>
          <w:szCs w:val="24"/>
          <w:lang w:val="en-US"/>
        </w:rPr>
        <w:t>that the technical and operational characteristics of the systems operating in the mobile service described in Annex 1 should be considered representative of those operating in the frequency band 14.5-15.35 GHz</w:t>
      </w:r>
      <w:bookmarkEnd w:id="4"/>
      <w:bookmarkEnd w:id="5"/>
      <w:r w:rsidRPr="00802B4E">
        <w:rPr>
          <w:szCs w:val="24"/>
          <w:lang w:val="en-US"/>
        </w:rPr>
        <w:t>;</w:t>
      </w:r>
    </w:p>
    <w:p w:rsidR="00802B4E" w:rsidRPr="00802B4E" w:rsidRDefault="00802B4E" w:rsidP="00802B4E">
      <w:pPr>
        <w:rPr>
          <w:szCs w:val="24"/>
          <w:lang w:val="en-US"/>
        </w:rPr>
      </w:pPr>
      <w:r w:rsidRPr="00C45554">
        <w:rPr>
          <w:b/>
          <w:szCs w:val="24"/>
          <w:lang w:val="en-US"/>
        </w:rPr>
        <w:t>2</w:t>
      </w:r>
      <w:r w:rsidRPr="00802B4E">
        <w:rPr>
          <w:b/>
          <w:szCs w:val="24"/>
          <w:lang w:val="en-US"/>
        </w:rPr>
        <w:tab/>
      </w:r>
      <w:r w:rsidRPr="00802B4E">
        <w:rPr>
          <w:szCs w:val="24"/>
          <w:lang w:val="en-US"/>
        </w:rPr>
        <w:t>that the technical and operational characteristics of the systems operating in the mobile service as described in Annex 1 should be used for sharing and compatibility studies involving the mobile service and other services in the frequency band 14.5-15.35 GHz;</w:t>
      </w:r>
    </w:p>
    <w:p w:rsidR="00802B4E" w:rsidRPr="00802B4E" w:rsidRDefault="00802B4E" w:rsidP="00802B4E">
      <w:pPr>
        <w:rPr>
          <w:szCs w:val="24"/>
          <w:lang w:val="en-US"/>
        </w:rPr>
      </w:pPr>
      <w:r w:rsidRPr="00C45554">
        <w:rPr>
          <w:b/>
          <w:szCs w:val="24"/>
          <w:lang w:val="en-US"/>
        </w:rPr>
        <w:t>3</w:t>
      </w:r>
      <w:r w:rsidRPr="00802B4E">
        <w:rPr>
          <w:b/>
          <w:szCs w:val="24"/>
          <w:lang w:val="en-US"/>
        </w:rPr>
        <w:tab/>
      </w:r>
      <w:r w:rsidRPr="00802B4E">
        <w:rPr>
          <w:szCs w:val="24"/>
          <w:lang w:val="en-US"/>
        </w:rPr>
        <w:t xml:space="preserve">that the criterion of interfering signal power to mobile system receiver noise power level, </w:t>
      </w:r>
      <w:r w:rsidRPr="00802B4E">
        <w:rPr>
          <w:i/>
          <w:iCs/>
          <w:szCs w:val="24"/>
          <w:lang w:val="en-US"/>
        </w:rPr>
        <w:t>I</w:t>
      </w:r>
      <w:r w:rsidRPr="00802B4E">
        <w:rPr>
          <w:szCs w:val="24"/>
          <w:lang w:val="en-US"/>
        </w:rPr>
        <w:t>/</w:t>
      </w:r>
      <w:r w:rsidRPr="00802B4E">
        <w:rPr>
          <w:i/>
          <w:iCs/>
          <w:szCs w:val="24"/>
          <w:lang w:val="en-US"/>
        </w:rPr>
        <w:t>N</w:t>
      </w:r>
      <w:r w:rsidRPr="00802B4E">
        <w:rPr>
          <w:szCs w:val="24"/>
          <w:lang w:val="en-US"/>
        </w:rPr>
        <w:t>, of –6 dB</w:t>
      </w:r>
      <w:r w:rsidRPr="00802B4E">
        <w:rPr>
          <w:b/>
          <w:szCs w:val="24"/>
          <w:lang w:val="en-US"/>
        </w:rPr>
        <w:t xml:space="preserve"> </w:t>
      </w:r>
      <w:r w:rsidRPr="00802B4E">
        <w:rPr>
          <w:szCs w:val="24"/>
          <w:lang w:val="en-US"/>
        </w:rPr>
        <w:t>should be used as the required protection level for the mobile systems in the frequency range 14.5-15.35 GHz, and that this protection level is for aggregate interference if multiple interferers are present.</w:t>
      </w:r>
    </w:p>
    <w:p w:rsidR="00802B4E" w:rsidRPr="00802B4E" w:rsidRDefault="00802B4E" w:rsidP="00802B4E">
      <w:pPr>
        <w:rPr>
          <w:lang w:val="en-US"/>
        </w:rPr>
      </w:pPr>
    </w:p>
    <w:p w:rsidR="00802B4E" w:rsidRPr="00802B4E" w:rsidRDefault="00802B4E" w:rsidP="00372C37">
      <w:pPr>
        <w:rPr>
          <w:lang w:val="en-US"/>
        </w:rPr>
      </w:pPr>
    </w:p>
    <w:p w:rsidR="00802B4E" w:rsidRPr="00507ED6" w:rsidRDefault="00802B4E" w:rsidP="00C45554">
      <w:pPr>
        <w:pStyle w:val="AnnexNoTitle"/>
        <w:rPr>
          <w:lang w:val="en-US"/>
        </w:rPr>
      </w:pPr>
      <w:r w:rsidRPr="00507ED6">
        <w:rPr>
          <w:lang w:val="en-US"/>
        </w:rPr>
        <w:t>A</w:t>
      </w:r>
      <w:r w:rsidR="00C45554">
        <w:rPr>
          <w:lang w:val="en-US"/>
        </w:rPr>
        <w:t>nnex</w:t>
      </w:r>
      <w:r w:rsidRPr="00507ED6">
        <w:rPr>
          <w:lang w:val="en-US"/>
        </w:rPr>
        <w:t xml:space="preserve"> 1</w:t>
      </w:r>
    </w:p>
    <w:p w:rsidR="00802B4E" w:rsidRPr="00507ED6" w:rsidRDefault="00802B4E" w:rsidP="00DA047C">
      <w:pPr>
        <w:pStyle w:val="AnnexNoTitle"/>
        <w:rPr>
          <w:lang w:val="en-US"/>
        </w:rPr>
      </w:pPr>
      <w:r w:rsidRPr="00507ED6">
        <w:rPr>
          <w:lang w:val="en-US"/>
        </w:rPr>
        <w:t xml:space="preserve">Technical and operational characteristics of systems operating </w:t>
      </w:r>
      <w:r w:rsidRPr="00507ED6">
        <w:rPr>
          <w:lang w:val="en-US"/>
        </w:rPr>
        <w:br/>
        <w:t>in the mobile service in the frequency range 14.5-15.35 GHz</w:t>
      </w:r>
    </w:p>
    <w:p w:rsidR="00802B4E" w:rsidRPr="00802B4E" w:rsidRDefault="00802B4E" w:rsidP="00802B4E">
      <w:pPr>
        <w:pStyle w:val="Heading1"/>
        <w:rPr>
          <w:lang w:val="en-US"/>
        </w:rPr>
      </w:pPr>
      <w:r w:rsidRPr="00802B4E">
        <w:rPr>
          <w:lang w:val="en-US"/>
        </w:rPr>
        <w:t>1</w:t>
      </w:r>
      <w:r w:rsidRPr="00802B4E">
        <w:rPr>
          <w:lang w:val="en-US"/>
        </w:rPr>
        <w:tab/>
        <w:t>Introduction</w:t>
      </w:r>
    </w:p>
    <w:p w:rsidR="00802B4E" w:rsidRPr="00802B4E" w:rsidRDefault="00802B4E" w:rsidP="00802B4E">
      <w:pPr>
        <w:rPr>
          <w:szCs w:val="24"/>
          <w:lang w:val="en-US"/>
        </w:rPr>
      </w:pPr>
      <w:r w:rsidRPr="00802B4E">
        <w:rPr>
          <w:szCs w:val="24"/>
          <w:lang w:val="en-US"/>
        </w:rPr>
        <w:t>In the frequency range 14.5-15.35 GHz mobile systems support a variety of useful functions including reliable transmission of large amounts of data for land mobile to land mobile voice, data, and video wideband links.</w:t>
      </w:r>
    </w:p>
    <w:p w:rsidR="00802B4E" w:rsidRPr="00802B4E" w:rsidRDefault="00802B4E" w:rsidP="00802B4E">
      <w:pPr>
        <w:pStyle w:val="Heading1"/>
        <w:rPr>
          <w:lang w:val="en-US"/>
        </w:rPr>
      </w:pPr>
      <w:r w:rsidRPr="00802B4E">
        <w:rPr>
          <w:lang w:val="en-US"/>
        </w:rPr>
        <w:t>2</w:t>
      </w:r>
      <w:r w:rsidRPr="00802B4E">
        <w:rPr>
          <w:lang w:val="en-US"/>
        </w:rPr>
        <w:tab/>
        <w:t>Technical characteristics of mobile systems in the frequency band 14.5</w:t>
      </w:r>
      <w:r w:rsidRPr="00802B4E">
        <w:rPr>
          <w:lang w:val="en-US"/>
        </w:rPr>
        <w:noBreakHyphen/>
        <w:t>15.35 GHz</w:t>
      </w:r>
    </w:p>
    <w:p w:rsidR="00802B4E" w:rsidRPr="00802B4E" w:rsidRDefault="00802B4E" w:rsidP="00802B4E">
      <w:pPr>
        <w:rPr>
          <w:szCs w:val="24"/>
          <w:lang w:val="en-US"/>
        </w:rPr>
      </w:pPr>
      <w:r w:rsidRPr="00802B4E">
        <w:rPr>
          <w:szCs w:val="24"/>
          <w:lang w:val="en-US"/>
        </w:rPr>
        <w:t>The technical parameters of representative mobile systems operating in the frequency range 14.5</w:t>
      </w:r>
      <w:r w:rsidRPr="00802B4E">
        <w:rPr>
          <w:szCs w:val="24"/>
          <w:lang w:val="en-US"/>
        </w:rPr>
        <w:noBreakHyphen/>
        <w:t xml:space="preserve">15.35 GHz are presented in Table 1. </w:t>
      </w:r>
    </w:p>
    <w:p w:rsidR="00802B4E" w:rsidRPr="00802B4E" w:rsidRDefault="00802B4E" w:rsidP="00802B4E">
      <w:pPr>
        <w:rPr>
          <w:szCs w:val="24"/>
          <w:lang w:val="en-US"/>
        </w:rPr>
      </w:pPr>
    </w:p>
    <w:p w:rsidR="00802B4E" w:rsidRPr="00802B4E" w:rsidRDefault="00802B4E" w:rsidP="00802B4E">
      <w:pPr>
        <w:rPr>
          <w:lang w:val="en-US"/>
        </w:rPr>
        <w:sectPr w:rsidR="00802B4E" w:rsidRPr="00802B4E" w:rsidSect="00DA047C">
          <w:headerReference w:type="default" r:id="rId14"/>
          <w:footerReference w:type="default" r:id="rId15"/>
          <w:footerReference w:type="first" r:id="rId16"/>
          <w:pgSz w:w="11907" w:h="16834"/>
          <w:pgMar w:top="1418" w:right="1134" w:bottom="1418" w:left="1134" w:header="720" w:footer="720" w:gutter="0"/>
          <w:paperSrc w:first="15" w:other="15"/>
          <w:pgNumType w:start="1"/>
          <w:cols w:space="720"/>
          <w:titlePg/>
        </w:sectPr>
      </w:pPr>
    </w:p>
    <w:p w:rsidR="00802B4E" w:rsidRPr="00802B4E" w:rsidRDefault="00802B4E" w:rsidP="00802B4E">
      <w:pPr>
        <w:pStyle w:val="TableNo"/>
        <w:spacing w:before="240"/>
        <w:rPr>
          <w:lang w:val="en-US"/>
        </w:rPr>
      </w:pPr>
      <w:r w:rsidRPr="00802B4E">
        <w:rPr>
          <w:lang w:val="en-US"/>
        </w:rPr>
        <w:lastRenderedPageBreak/>
        <w:t>TABLE 1</w:t>
      </w:r>
    </w:p>
    <w:p w:rsidR="00802B4E" w:rsidRPr="00802B4E" w:rsidRDefault="00802B4E" w:rsidP="00802B4E">
      <w:pPr>
        <w:pStyle w:val="Tabletitle"/>
        <w:rPr>
          <w:lang w:val="en-US"/>
        </w:rPr>
      </w:pPr>
      <w:r w:rsidRPr="00802B4E">
        <w:rPr>
          <w:lang w:val="en-US"/>
        </w:rPr>
        <w:t>Mobile system characteristics in the band 14.5-15.35 GHz</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2083"/>
        <w:gridCol w:w="1805"/>
        <w:gridCol w:w="1806"/>
        <w:gridCol w:w="1806"/>
        <w:gridCol w:w="1806"/>
        <w:gridCol w:w="1943"/>
        <w:gridCol w:w="996"/>
      </w:tblGrid>
      <w:tr w:rsidR="00802B4E" w:rsidRPr="00B073AF" w:rsidTr="00544D56">
        <w:trPr>
          <w:cantSplit/>
          <w:trHeight w:val="20"/>
          <w:jc w:val="center"/>
        </w:trPr>
        <w:tc>
          <w:tcPr>
            <w:tcW w:w="2497" w:type="dxa"/>
            <w:vAlign w:val="center"/>
          </w:tcPr>
          <w:p w:rsidR="00802B4E" w:rsidRPr="00B073AF" w:rsidRDefault="00802B4E" w:rsidP="009908A1">
            <w:pPr>
              <w:pStyle w:val="Tablehead"/>
            </w:pPr>
            <w:r w:rsidRPr="00B073AF">
              <w:t>Characteristics</w:t>
            </w:r>
          </w:p>
        </w:tc>
        <w:tc>
          <w:tcPr>
            <w:tcW w:w="2083" w:type="dxa"/>
            <w:vAlign w:val="center"/>
          </w:tcPr>
          <w:p w:rsidR="00802B4E" w:rsidRPr="00B073AF" w:rsidRDefault="00802B4E" w:rsidP="009908A1">
            <w:pPr>
              <w:pStyle w:val="Tablehead"/>
            </w:pPr>
            <w:r w:rsidRPr="00B073AF">
              <w:t xml:space="preserve">System 1 </w:t>
            </w:r>
          </w:p>
        </w:tc>
        <w:tc>
          <w:tcPr>
            <w:tcW w:w="1805" w:type="dxa"/>
            <w:vAlign w:val="center"/>
          </w:tcPr>
          <w:p w:rsidR="00802B4E" w:rsidRPr="00B073AF" w:rsidRDefault="00802B4E" w:rsidP="009908A1">
            <w:pPr>
              <w:pStyle w:val="Tablehead"/>
            </w:pPr>
            <w:r w:rsidRPr="00B073AF">
              <w:t>System 2</w:t>
            </w:r>
          </w:p>
        </w:tc>
        <w:tc>
          <w:tcPr>
            <w:tcW w:w="1806" w:type="dxa"/>
            <w:vAlign w:val="center"/>
          </w:tcPr>
          <w:p w:rsidR="00802B4E" w:rsidRPr="00B073AF" w:rsidRDefault="00802B4E" w:rsidP="009908A1">
            <w:pPr>
              <w:pStyle w:val="Tablehead"/>
            </w:pPr>
            <w:r w:rsidRPr="00B073AF">
              <w:t>System 3</w:t>
            </w:r>
          </w:p>
        </w:tc>
        <w:tc>
          <w:tcPr>
            <w:tcW w:w="1806" w:type="dxa"/>
            <w:vAlign w:val="center"/>
          </w:tcPr>
          <w:p w:rsidR="00802B4E" w:rsidRPr="00B073AF" w:rsidRDefault="00802B4E" w:rsidP="009908A1">
            <w:pPr>
              <w:pStyle w:val="Tablehead"/>
            </w:pPr>
            <w:r w:rsidRPr="00B073AF">
              <w:t>System 4</w:t>
            </w:r>
          </w:p>
        </w:tc>
        <w:tc>
          <w:tcPr>
            <w:tcW w:w="1806" w:type="dxa"/>
            <w:vAlign w:val="center"/>
          </w:tcPr>
          <w:p w:rsidR="00802B4E" w:rsidRPr="00B073AF" w:rsidRDefault="00802B4E" w:rsidP="009908A1">
            <w:pPr>
              <w:pStyle w:val="Tablehead"/>
            </w:pPr>
            <w:r w:rsidRPr="00B073AF">
              <w:t>System 5</w:t>
            </w:r>
          </w:p>
        </w:tc>
        <w:tc>
          <w:tcPr>
            <w:tcW w:w="1943" w:type="dxa"/>
          </w:tcPr>
          <w:p w:rsidR="00802B4E" w:rsidRPr="00B073AF" w:rsidRDefault="00802B4E" w:rsidP="009908A1">
            <w:pPr>
              <w:pStyle w:val="Tablehead"/>
            </w:pPr>
            <w:r w:rsidRPr="00B073AF">
              <w:t>System 6</w:t>
            </w:r>
          </w:p>
        </w:tc>
        <w:tc>
          <w:tcPr>
            <w:tcW w:w="996" w:type="dxa"/>
            <w:vAlign w:val="center"/>
          </w:tcPr>
          <w:p w:rsidR="00802B4E" w:rsidRPr="00B073AF" w:rsidRDefault="00802B4E" w:rsidP="009908A1">
            <w:pPr>
              <w:pStyle w:val="Tablehead"/>
            </w:pPr>
            <w:r w:rsidRPr="00B073AF">
              <w:t>Units</w:t>
            </w: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Frequency range</w:t>
            </w:r>
          </w:p>
        </w:tc>
        <w:tc>
          <w:tcPr>
            <w:tcW w:w="2083" w:type="dxa"/>
            <w:vAlign w:val="center"/>
          </w:tcPr>
          <w:p w:rsidR="00802B4E" w:rsidRPr="00B073AF" w:rsidRDefault="00802B4E" w:rsidP="009908A1">
            <w:pPr>
              <w:pStyle w:val="Tabletext"/>
              <w:jc w:val="center"/>
            </w:pPr>
            <w:r w:rsidRPr="00B073AF">
              <w:t>14.5-15.35</w:t>
            </w:r>
          </w:p>
        </w:tc>
        <w:tc>
          <w:tcPr>
            <w:tcW w:w="1805" w:type="dxa"/>
            <w:vAlign w:val="center"/>
          </w:tcPr>
          <w:p w:rsidR="00802B4E" w:rsidRPr="00B073AF" w:rsidRDefault="00802B4E" w:rsidP="009908A1">
            <w:pPr>
              <w:pStyle w:val="Tabletext"/>
              <w:jc w:val="center"/>
            </w:pPr>
            <w:r w:rsidRPr="00B073AF">
              <w:t>14.5-15.35</w:t>
            </w:r>
          </w:p>
        </w:tc>
        <w:tc>
          <w:tcPr>
            <w:tcW w:w="1806" w:type="dxa"/>
            <w:vAlign w:val="center"/>
          </w:tcPr>
          <w:p w:rsidR="00802B4E" w:rsidRPr="00B073AF" w:rsidRDefault="00802B4E" w:rsidP="009908A1">
            <w:pPr>
              <w:pStyle w:val="Tabletext"/>
              <w:jc w:val="center"/>
            </w:pPr>
            <w:r w:rsidRPr="00B073AF">
              <w:t>14.5-15.35</w:t>
            </w:r>
          </w:p>
        </w:tc>
        <w:tc>
          <w:tcPr>
            <w:tcW w:w="1806" w:type="dxa"/>
            <w:vAlign w:val="center"/>
          </w:tcPr>
          <w:p w:rsidR="00802B4E" w:rsidRPr="00B073AF" w:rsidRDefault="00802B4E" w:rsidP="009908A1">
            <w:pPr>
              <w:pStyle w:val="Tabletext"/>
              <w:jc w:val="center"/>
            </w:pPr>
            <w:r w:rsidRPr="00B073AF">
              <w:t>14.5-15.0</w:t>
            </w:r>
          </w:p>
        </w:tc>
        <w:tc>
          <w:tcPr>
            <w:tcW w:w="1806" w:type="dxa"/>
            <w:vAlign w:val="center"/>
          </w:tcPr>
          <w:p w:rsidR="00802B4E" w:rsidRPr="00B073AF" w:rsidRDefault="00802B4E" w:rsidP="009908A1">
            <w:pPr>
              <w:pStyle w:val="Tabletext"/>
              <w:jc w:val="center"/>
            </w:pPr>
            <w:r w:rsidRPr="00B073AF">
              <w:t>14.5-15.30</w:t>
            </w:r>
          </w:p>
        </w:tc>
        <w:tc>
          <w:tcPr>
            <w:tcW w:w="1943" w:type="dxa"/>
            <w:vAlign w:val="center"/>
          </w:tcPr>
          <w:p w:rsidR="00802B4E" w:rsidRPr="00B073AF" w:rsidRDefault="00802B4E" w:rsidP="009908A1">
            <w:pPr>
              <w:pStyle w:val="Tabletext"/>
              <w:jc w:val="center"/>
            </w:pPr>
            <w:r w:rsidRPr="00B073AF">
              <w:t>14.6-15.35</w:t>
            </w:r>
          </w:p>
        </w:tc>
        <w:tc>
          <w:tcPr>
            <w:tcW w:w="996" w:type="dxa"/>
            <w:vAlign w:val="center"/>
          </w:tcPr>
          <w:p w:rsidR="00802B4E" w:rsidRPr="00B073AF" w:rsidRDefault="00802B4E" w:rsidP="009908A1">
            <w:pPr>
              <w:pStyle w:val="Tabletext"/>
              <w:jc w:val="center"/>
            </w:pPr>
            <w:r w:rsidRPr="00B073AF">
              <w:t>GHz</w:t>
            </w: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Platform type</w:t>
            </w:r>
          </w:p>
        </w:tc>
        <w:tc>
          <w:tcPr>
            <w:tcW w:w="2083" w:type="dxa"/>
            <w:vAlign w:val="center"/>
          </w:tcPr>
          <w:p w:rsidR="00802B4E" w:rsidRPr="00B073AF" w:rsidRDefault="00802B4E" w:rsidP="009908A1">
            <w:pPr>
              <w:pStyle w:val="Tabletext"/>
              <w:jc w:val="center"/>
            </w:pPr>
            <w:r w:rsidRPr="00B073AF">
              <w:t>Land-mobile vehicle</w:t>
            </w:r>
          </w:p>
        </w:tc>
        <w:tc>
          <w:tcPr>
            <w:tcW w:w="1805" w:type="dxa"/>
            <w:vAlign w:val="center"/>
          </w:tcPr>
          <w:p w:rsidR="00802B4E" w:rsidRPr="00B073AF" w:rsidRDefault="00802B4E" w:rsidP="009908A1">
            <w:pPr>
              <w:pStyle w:val="Tabletext"/>
              <w:jc w:val="center"/>
            </w:pPr>
            <w:r w:rsidRPr="00B073AF">
              <w:t>Handheld</w:t>
            </w:r>
          </w:p>
        </w:tc>
        <w:tc>
          <w:tcPr>
            <w:tcW w:w="1806" w:type="dxa"/>
            <w:vAlign w:val="center"/>
          </w:tcPr>
          <w:p w:rsidR="00802B4E" w:rsidRPr="00B073AF" w:rsidRDefault="00802B4E" w:rsidP="009908A1">
            <w:pPr>
              <w:pStyle w:val="Tabletext"/>
              <w:jc w:val="center"/>
            </w:pPr>
            <w:r w:rsidRPr="00B073AF">
              <w:t>Land-mobile vehicle</w:t>
            </w:r>
          </w:p>
        </w:tc>
        <w:tc>
          <w:tcPr>
            <w:tcW w:w="1806" w:type="dxa"/>
            <w:vAlign w:val="center"/>
          </w:tcPr>
          <w:p w:rsidR="00802B4E" w:rsidRPr="00B073AF" w:rsidRDefault="00802B4E" w:rsidP="009908A1">
            <w:pPr>
              <w:pStyle w:val="Tabletext"/>
              <w:jc w:val="center"/>
            </w:pPr>
            <w:r w:rsidRPr="00B073AF">
              <w:t>Land-mobile vehicle</w:t>
            </w:r>
          </w:p>
        </w:tc>
        <w:tc>
          <w:tcPr>
            <w:tcW w:w="1806" w:type="dxa"/>
            <w:vAlign w:val="center"/>
          </w:tcPr>
          <w:p w:rsidR="00802B4E" w:rsidRPr="00B073AF" w:rsidRDefault="00802B4E" w:rsidP="009908A1">
            <w:pPr>
              <w:pStyle w:val="Tabletext"/>
              <w:jc w:val="center"/>
            </w:pPr>
            <w:r w:rsidRPr="00B073AF">
              <w:t>Land</w:t>
            </w:r>
            <w:r>
              <w:t>-</w:t>
            </w:r>
            <w:r w:rsidRPr="00B073AF">
              <w:t>mobile vehicle</w:t>
            </w:r>
          </w:p>
        </w:tc>
        <w:tc>
          <w:tcPr>
            <w:tcW w:w="1943" w:type="dxa"/>
          </w:tcPr>
          <w:p w:rsidR="00802B4E" w:rsidRPr="00B073AF" w:rsidRDefault="00802B4E" w:rsidP="009908A1">
            <w:pPr>
              <w:pStyle w:val="Tabletext"/>
              <w:jc w:val="center"/>
            </w:pPr>
            <w:r w:rsidRPr="00B073AF">
              <w:t>Land</w:t>
            </w:r>
            <w:r>
              <w:t>-</w:t>
            </w:r>
            <w:r w:rsidRPr="00B073AF">
              <w:t>mobile vehicle</w:t>
            </w:r>
          </w:p>
        </w:tc>
        <w:tc>
          <w:tcPr>
            <w:tcW w:w="996" w:type="dxa"/>
            <w:vAlign w:val="center"/>
          </w:tcPr>
          <w:p w:rsidR="00802B4E" w:rsidRPr="00B073AF" w:rsidRDefault="00802B4E" w:rsidP="009908A1">
            <w:pPr>
              <w:pStyle w:val="Tabletext"/>
              <w:jc w:val="cente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Modulation</w:t>
            </w:r>
          </w:p>
        </w:tc>
        <w:tc>
          <w:tcPr>
            <w:tcW w:w="2083" w:type="dxa"/>
            <w:vAlign w:val="center"/>
          </w:tcPr>
          <w:p w:rsidR="00802B4E" w:rsidRPr="00B073AF" w:rsidRDefault="00802B4E" w:rsidP="009908A1">
            <w:pPr>
              <w:pStyle w:val="Tabletext"/>
              <w:jc w:val="center"/>
            </w:pPr>
            <w:r w:rsidRPr="00B073AF">
              <w:t>8-QAM, QPSK</w:t>
            </w:r>
          </w:p>
        </w:tc>
        <w:tc>
          <w:tcPr>
            <w:tcW w:w="1805" w:type="dxa"/>
            <w:vAlign w:val="center"/>
          </w:tcPr>
          <w:p w:rsidR="00802B4E" w:rsidRPr="00B073AF" w:rsidRDefault="00802B4E" w:rsidP="009908A1">
            <w:pPr>
              <w:pStyle w:val="Tabletext"/>
              <w:jc w:val="center"/>
            </w:pPr>
            <w:r w:rsidRPr="00B073AF">
              <w:t>BPSK</w:t>
            </w:r>
          </w:p>
        </w:tc>
        <w:tc>
          <w:tcPr>
            <w:tcW w:w="1806" w:type="dxa"/>
            <w:vAlign w:val="center"/>
          </w:tcPr>
          <w:p w:rsidR="00802B4E" w:rsidRPr="00B073AF" w:rsidRDefault="00802B4E" w:rsidP="009908A1">
            <w:pPr>
              <w:pStyle w:val="Tabletext"/>
              <w:jc w:val="center"/>
            </w:pPr>
            <w:r w:rsidRPr="00B073AF">
              <w:t>FSK</w:t>
            </w:r>
          </w:p>
        </w:tc>
        <w:tc>
          <w:tcPr>
            <w:tcW w:w="1806" w:type="dxa"/>
            <w:vAlign w:val="center"/>
          </w:tcPr>
          <w:p w:rsidR="00802B4E" w:rsidRPr="00B073AF" w:rsidRDefault="00802B4E" w:rsidP="009908A1">
            <w:pPr>
              <w:pStyle w:val="Tabletext"/>
              <w:jc w:val="center"/>
            </w:pPr>
            <w:r w:rsidRPr="00B073AF">
              <w:t>FSK</w:t>
            </w:r>
          </w:p>
        </w:tc>
        <w:tc>
          <w:tcPr>
            <w:tcW w:w="1806" w:type="dxa"/>
            <w:vAlign w:val="center"/>
          </w:tcPr>
          <w:p w:rsidR="00802B4E" w:rsidRPr="00B073AF" w:rsidRDefault="00802B4E" w:rsidP="009908A1">
            <w:pPr>
              <w:pStyle w:val="Tabletext"/>
              <w:jc w:val="center"/>
            </w:pPr>
            <w:r w:rsidRPr="00B073AF">
              <w:t>BPSK/OQPSK</w:t>
            </w:r>
          </w:p>
        </w:tc>
        <w:tc>
          <w:tcPr>
            <w:tcW w:w="1943" w:type="dxa"/>
            <w:vAlign w:val="center"/>
          </w:tcPr>
          <w:p w:rsidR="00802B4E" w:rsidRPr="00B073AF" w:rsidRDefault="00802B4E" w:rsidP="009908A1">
            <w:pPr>
              <w:pStyle w:val="Tabletext"/>
              <w:jc w:val="center"/>
            </w:pPr>
            <w:r w:rsidRPr="00B073AF">
              <w:t>BPSK/QPSK/QAM</w:t>
            </w:r>
          </w:p>
        </w:tc>
        <w:tc>
          <w:tcPr>
            <w:tcW w:w="996" w:type="dxa"/>
            <w:vAlign w:val="center"/>
          </w:tcPr>
          <w:p w:rsidR="00802B4E" w:rsidRPr="00B073AF" w:rsidRDefault="00802B4E" w:rsidP="009908A1">
            <w:pPr>
              <w:pStyle w:val="Tabletext"/>
              <w:jc w:val="cente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Emission designator</w:t>
            </w:r>
          </w:p>
        </w:tc>
        <w:tc>
          <w:tcPr>
            <w:tcW w:w="2083" w:type="dxa"/>
            <w:vAlign w:val="center"/>
          </w:tcPr>
          <w:p w:rsidR="00802B4E" w:rsidRPr="00B073AF" w:rsidRDefault="00802B4E" w:rsidP="009908A1">
            <w:pPr>
              <w:pStyle w:val="Tabletext"/>
              <w:jc w:val="center"/>
            </w:pPr>
            <w:r w:rsidRPr="00B073AF">
              <w:t>50M0G1D</w:t>
            </w:r>
          </w:p>
        </w:tc>
        <w:tc>
          <w:tcPr>
            <w:tcW w:w="1805" w:type="dxa"/>
            <w:vAlign w:val="center"/>
          </w:tcPr>
          <w:p w:rsidR="00802B4E" w:rsidRPr="00B073AF" w:rsidRDefault="00802B4E" w:rsidP="009908A1">
            <w:pPr>
              <w:pStyle w:val="Tabletext"/>
              <w:jc w:val="center"/>
            </w:pPr>
            <w:r w:rsidRPr="00B073AF">
              <w:t>18M5F9W</w:t>
            </w:r>
          </w:p>
        </w:tc>
        <w:tc>
          <w:tcPr>
            <w:tcW w:w="1806" w:type="dxa"/>
            <w:vAlign w:val="center"/>
          </w:tcPr>
          <w:p w:rsidR="00802B4E" w:rsidRPr="00B073AF" w:rsidRDefault="00802B4E" w:rsidP="009908A1">
            <w:pPr>
              <w:pStyle w:val="Tabletext"/>
              <w:jc w:val="center"/>
            </w:pPr>
            <w:r w:rsidRPr="00B073AF">
              <w:t>4M60F9W</w:t>
            </w:r>
          </w:p>
        </w:tc>
        <w:tc>
          <w:tcPr>
            <w:tcW w:w="1806" w:type="dxa"/>
            <w:vAlign w:val="center"/>
          </w:tcPr>
          <w:p w:rsidR="00802B4E" w:rsidRPr="00B073AF" w:rsidRDefault="00802B4E" w:rsidP="009908A1">
            <w:pPr>
              <w:pStyle w:val="Tabletext"/>
              <w:jc w:val="center"/>
            </w:pPr>
            <w:r w:rsidRPr="00B073AF">
              <w:t>20M0G7W</w:t>
            </w:r>
          </w:p>
        </w:tc>
        <w:tc>
          <w:tcPr>
            <w:tcW w:w="1806" w:type="dxa"/>
            <w:vAlign w:val="center"/>
          </w:tcPr>
          <w:p w:rsidR="00802B4E" w:rsidRPr="00B073AF" w:rsidRDefault="00802B4E" w:rsidP="009908A1">
            <w:pPr>
              <w:pStyle w:val="Tabletext"/>
              <w:jc w:val="center"/>
            </w:pPr>
            <w:r w:rsidRPr="00B073AF">
              <w:t>2M46G1D</w:t>
            </w:r>
          </w:p>
        </w:tc>
        <w:tc>
          <w:tcPr>
            <w:tcW w:w="1943" w:type="dxa"/>
            <w:vAlign w:val="center"/>
          </w:tcPr>
          <w:p w:rsidR="00802B4E" w:rsidRPr="00B073AF" w:rsidRDefault="00802B4E" w:rsidP="009908A1">
            <w:pPr>
              <w:pStyle w:val="Tabletext"/>
              <w:jc w:val="center"/>
            </w:pPr>
            <w:r w:rsidRPr="00B073AF">
              <w:t>40M0G7W</w:t>
            </w:r>
          </w:p>
        </w:tc>
        <w:tc>
          <w:tcPr>
            <w:tcW w:w="996" w:type="dxa"/>
            <w:vAlign w:val="center"/>
          </w:tcPr>
          <w:p w:rsidR="00802B4E" w:rsidRPr="00B073AF" w:rsidRDefault="00802B4E" w:rsidP="009908A1">
            <w:pPr>
              <w:pStyle w:val="Tabletext"/>
              <w:jc w:val="cente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Transmitter output power*</w:t>
            </w:r>
          </w:p>
        </w:tc>
        <w:tc>
          <w:tcPr>
            <w:tcW w:w="2083" w:type="dxa"/>
            <w:vAlign w:val="center"/>
          </w:tcPr>
          <w:p w:rsidR="00802B4E" w:rsidRPr="00B073AF" w:rsidRDefault="00802B4E" w:rsidP="009908A1">
            <w:pPr>
              <w:pStyle w:val="Tabletext"/>
              <w:jc w:val="center"/>
            </w:pPr>
            <w:r w:rsidRPr="00B073AF">
              <w:t>15 (peak)</w:t>
            </w:r>
          </w:p>
        </w:tc>
        <w:tc>
          <w:tcPr>
            <w:tcW w:w="1805" w:type="dxa"/>
            <w:vAlign w:val="center"/>
          </w:tcPr>
          <w:p w:rsidR="00802B4E" w:rsidRPr="00B073AF" w:rsidRDefault="00802B4E" w:rsidP="009908A1">
            <w:pPr>
              <w:pStyle w:val="Tabletext"/>
              <w:jc w:val="center"/>
            </w:pPr>
            <w:r w:rsidRPr="00B073AF">
              <w:t>5 (peak)</w:t>
            </w:r>
          </w:p>
        </w:tc>
        <w:tc>
          <w:tcPr>
            <w:tcW w:w="1806" w:type="dxa"/>
            <w:vAlign w:val="center"/>
          </w:tcPr>
          <w:p w:rsidR="00802B4E" w:rsidRPr="00B073AF" w:rsidRDefault="00802B4E" w:rsidP="009908A1">
            <w:pPr>
              <w:pStyle w:val="Tabletext"/>
              <w:jc w:val="center"/>
            </w:pPr>
            <w:r w:rsidRPr="00B073AF">
              <w:t>25 (peak)</w:t>
            </w:r>
          </w:p>
        </w:tc>
        <w:tc>
          <w:tcPr>
            <w:tcW w:w="1806" w:type="dxa"/>
            <w:vAlign w:val="center"/>
          </w:tcPr>
          <w:p w:rsidR="00802B4E" w:rsidRPr="00B073AF" w:rsidRDefault="00802B4E" w:rsidP="009908A1">
            <w:pPr>
              <w:pStyle w:val="Tabletext"/>
              <w:jc w:val="center"/>
            </w:pPr>
            <w:r w:rsidRPr="00B073AF">
              <w:t>18 (peak)</w:t>
            </w:r>
          </w:p>
        </w:tc>
        <w:tc>
          <w:tcPr>
            <w:tcW w:w="1806" w:type="dxa"/>
            <w:vAlign w:val="center"/>
          </w:tcPr>
          <w:p w:rsidR="00802B4E" w:rsidRPr="00B073AF" w:rsidRDefault="00802B4E" w:rsidP="009908A1">
            <w:pPr>
              <w:pStyle w:val="Tabletext"/>
              <w:jc w:val="center"/>
            </w:pPr>
            <w:r w:rsidRPr="00B073AF">
              <w:t>40</w:t>
            </w:r>
            <w:r w:rsidR="00B364E9">
              <w:t xml:space="preserve"> </w:t>
            </w:r>
            <w:r w:rsidRPr="00B073AF">
              <w:t>(mean)</w:t>
            </w:r>
          </w:p>
        </w:tc>
        <w:tc>
          <w:tcPr>
            <w:tcW w:w="1943" w:type="dxa"/>
            <w:vAlign w:val="center"/>
          </w:tcPr>
          <w:p w:rsidR="00802B4E" w:rsidRPr="00B073AF" w:rsidRDefault="00802B4E" w:rsidP="009908A1">
            <w:pPr>
              <w:pStyle w:val="Tabletext"/>
              <w:jc w:val="center"/>
            </w:pPr>
            <w:r w:rsidRPr="00B073AF">
              <w:t>0.5</w:t>
            </w:r>
            <w:r w:rsidR="00B364E9">
              <w:t xml:space="preserve"> </w:t>
            </w:r>
            <w:r w:rsidRPr="00B073AF">
              <w:t>(mean)</w:t>
            </w:r>
          </w:p>
        </w:tc>
        <w:tc>
          <w:tcPr>
            <w:tcW w:w="996" w:type="dxa"/>
            <w:vAlign w:val="center"/>
          </w:tcPr>
          <w:p w:rsidR="00802B4E" w:rsidRPr="00B073AF" w:rsidRDefault="00802B4E" w:rsidP="009908A1">
            <w:pPr>
              <w:pStyle w:val="Tabletext"/>
              <w:jc w:val="center"/>
            </w:pPr>
            <w:r w:rsidRPr="00B073AF">
              <w:t>W</w:t>
            </w: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Maximum data</w:t>
            </w:r>
            <w:r>
              <w:t xml:space="preserve"> </w:t>
            </w:r>
            <w:r w:rsidRPr="00B073AF">
              <w:t>rate</w:t>
            </w:r>
          </w:p>
        </w:tc>
        <w:tc>
          <w:tcPr>
            <w:tcW w:w="2083" w:type="dxa"/>
            <w:vAlign w:val="center"/>
          </w:tcPr>
          <w:p w:rsidR="00802B4E" w:rsidRPr="00B073AF" w:rsidRDefault="00802B4E" w:rsidP="009908A1">
            <w:pPr>
              <w:pStyle w:val="Tabletext"/>
              <w:jc w:val="center"/>
            </w:pPr>
            <w:r w:rsidRPr="00B073AF">
              <w:t>140</w:t>
            </w:r>
          </w:p>
        </w:tc>
        <w:tc>
          <w:tcPr>
            <w:tcW w:w="1805" w:type="dxa"/>
            <w:vAlign w:val="center"/>
          </w:tcPr>
          <w:p w:rsidR="00802B4E" w:rsidRPr="00B073AF" w:rsidRDefault="00802B4E" w:rsidP="009908A1">
            <w:pPr>
              <w:pStyle w:val="Tabletext"/>
              <w:jc w:val="center"/>
            </w:pPr>
            <w:r w:rsidRPr="00B073AF">
              <w:t>10</w:t>
            </w:r>
          </w:p>
        </w:tc>
        <w:tc>
          <w:tcPr>
            <w:tcW w:w="1806" w:type="dxa"/>
            <w:vAlign w:val="center"/>
          </w:tcPr>
          <w:p w:rsidR="00802B4E" w:rsidRPr="00B073AF" w:rsidRDefault="00802B4E" w:rsidP="009908A1">
            <w:pPr>
              <w:pStyle w:val="Tabletext"/>
              <w:jc w:val="center"/>
            </w:pPr>
            <w:r w:rsidRPr="00B073AF">
              <w:t>5</w:t>
            </w:r>
          </w:p>
        </w:tc>
        <w:tc>
          <w:tcPr>
            <w:tcW w:w="1806" w:type="dxa"/>
            <w:vAlign w:val="center"/>
          </w:tcPr>
          <w:p w:rsidR="00802B4E" w:rsidRPr="00B073AF" w:rsidRDefault="00802B4E" w:rsidP="009908A1">
            <w:pPr>
              <w:pStyle w:val="Tabletext"/>
              <w:jc w:val="center"/>
            </w:pPr>
            <w:r w:rsidRPr="00B073AF">
              <w:t>19</w:t>
            </w:r>
          </w:p>
        </w:tc>
        <w:tc>
          <w:tcPr>
            <w:tcW w:w="1806" w:type="dxa"/>
            <w:vAlign w:val="center"/>
          </w:tcPr>
          <w:p w:rsidR="00802B4E" w:rsidRPr="00B073AF" w:rsidRDefault="00802B4E" w:rsidP="009908A1">
            <w:pPr>
              <w:pStyle w:val="Tabletext"/>
              <w:jc w:val="center"/>
            </w:pPr>
            <w:r w:rsidRPr="00B073AF">
              <w:t>1.024/3.072</w:t>
            </w:r>
          </w:p>
        </w:tc>
        <w:tc>
          <w:tcPr>
            <w:tcW w:w="1943" w:type="dxa"/>
          </w:tcPr>
          <w:p w:rsidR="00802B4E" w:rsidRPr="00B073AF" w:rsidRDefault="00802B4E" w:rsidP="009908A1">
            <w:pPr>
              <w:pStyle w:val="Tabletext"/>
              <w:jc w:val="center"/>
            </w:pPr>
            <w:r w:rsidRPr="00B073AF">
              <w:t>108</w:t>
            </w:r>
          </w:p>
        </w:tc>
        <w:tc>
          <w:tcPr>
            <w:tcW w:w="996" w:type="dxa"/>
            <w:vAlign w:val="center"/>
          </w:tcPr>
          <w:p w:rsidR="00802B4E" w:rsidRPr="00B073AF" w:rsidRDefault="00802B4E" w:rsidP="009908A1">
            <w:pPr>
              <w:pStyle w:val="Tabletext"/>
              <w:jc w:val="center"/>
            </w:pPr>
            <w:r w:rsidRPr="00B073AF">
              <w:t>Mbit/s</w:t>
            </w:r>
          </w:p>
        </w:tc>
      </w:tr>
      <w:tr w:rsidR="00802B4E" w:rsidRPr="00966C95" w:rsidTr="00544D56">
        <w:trPr>
          <w:cantSplit/>
          <w:trHeight w:val="20"/>
          <w:jc w:val="center"/>
        </w:trPr>
        <w:tc>
          <w:tcPr>
            <w:tcW w:w="2497" w:type="dxa"/>
            <w:vAlign w:val="center"/>
          </w:tcPr>
          <w:p w:rsidR="00802B4E" w:rsidRPr="00B073AF" w:rsidRDefault="00802B4E" w:rsidP="009908A1">
            <w:pPr>
              <w:pStyle w:val="Tabletext"/>
              <w:jc w:val="center"/>
            </w:pPr>
            <w:r w:rsidRPr="00B073AF">
              <w:t>Output device</w:t>
            </w:r>
          </w:p>
        </w:tc>
        <w:tc>
          <w:tcPr>
            <w:tcW w:w="2083" w:type="dxa"/>
            <w:vAlign w:val="center"/>
          </w:tcPr>
          <w:p w:rsidR="00802B4E" w:rsidRPr="00B073AF" w:rsidRDefault="00802B4E" w:rsidP="009908A1">
            <w:pPr>
              <w:pStyle w:val="Tabletext"/>
              <w:jc w:val="center"/>
            </w:pPr>
            <w:r w:rsidRPr="00B073AF">
              <w:t>Solid State</w:t>
            </w:r>
          </w:p>
        </w:tc>
        <w:tc>
          <w:tcPr>
            <w:tcW w:w="1805" w:type="dxa"/>
            <w:vAlign w:val="center"/>
          </w:tcPr>
          <w:p w:rsidR="00802B4E" w:rsidRPr="00B073AF" w:rsidRDefault="00802B4E" w:rsidP="009908A1">
            <w:pPr>
              <w:pStyle w:val="Tabletext"/>
              <w:jc w:val="center"/>
            </w:pPr>
            <w:r w:rsidRPr="00B073AF">
              <w:t>FET</w:t>
            </w:r>
          </w:p>
        </w:tc>
        <w:tc>
          <w:tcPr>
            <w:tcW w:w="1806" w:type="dxa"/>
            <w:vAlign w:val="center"/>
          </w:tcPr>
          <w:p w:rsidR="00802B4E" w:rsidRPr="00B073AF" w:rsidRDefault="00802B4E" w:rsidP="009908A1">
            <w:pPr>
              <w:pStyle w:val="Tabletext"/>
              <w:jc w:val="center"/>
            </w:pPr>
            <w:r w:rsidRPr="00B073AF">
              <w:t>FET</w:t>
            </w:r>
          </w:p>
        </w:tc>
        <w:tc>
          <w:tcPr>
            <w:tcW w:w="1806" w:type="dxa"/>
            <w:vAlign w:val="center"/>
          </w:tcPr>
          <w:p w:rsidR="00802B4E" w:rsidRPr="00B073AF" w:rsidRDefault="00802B4E" w:rsidP="009908A1">
            <w:pPr>
              <w:pStyle w:val="Tabletext"/>
              <w:jc w:val="center"/>
            </w:pPr>
            <w:r w:rsidRPr="00B073AF">
              <w:t>FET</w:t>
            </w:r>
          </w:p>
        </w:tc>
        <w:tc>
          <w:tcPr>
            <w:tcW w:w="1806" w:type="dxa"/>
            <w:vAlign w:val="center"/>
          </w:tcPr>
          <w:p w:rsidR="00802B4E" w:rsidRPr="00B073AF" w:rsidRDefault="00802B4E" w:rsidP="009908A1">
            <w:pPr>
              <w:pStyle w:val="Tabletext"/>
              <w:jc w:val="center"/>
            </w:pPr>
            <w:r w:rsidRPr="00B073AF">
              <w:t>FET</w:t>
            </w:r>
          </w:p>
        </w:tc>
        <w:tc>
          <w:tcPr>
            <w:tcW w:w="1943" w:type="dxa"/>
            <w:vAlign w:val="center"/>
          </w:tcPr>
          <w:p w:rsidR="00802B4E" w:rsidRPr="00802B4E" w:rsidRDefault="00802B4E" w:rsidP="009908A1">
            <w:pPr>
              <w:pStyle w:val="Tabletext"/>
              <w:jc w:val="center"/>
              <w:rPr>
                <w:lang w:val="en-US"/>
              </w:rPr>
            </w:pPr>
            <w:r w:rsidRPr="00802B4E">
              <w:rPr>
                <w:lang w:val="en-US"/>
              </w:rPr>
              <w:t>Gallium Arsenide Field Effect Transistor</w:t>
            </w:r>
          </w:p>
        </w:tc>
        <w:tc>
          <w:tcPr>
            <w:tcW w:w="996" w:type="dxa"/>
            <w:vAlign w:val="center"/>
          </w:tcPr>
          <w:p w:rsidR="00802B4E" w:rsidRPr="00802B4E" w:rsidRDefault="00802B4E" w:rsidP="009908A1">
            <w:pPr>
              <w:pStyle w:val="Tabletext"/>
              <w:jc w:val="center"/>
              <w:rPr>
                <w:lang w:val="en-US"/>
              </w:rP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pattern type</w:t>
            </w:r>
          </w:p>
        </w:tc>
        <w:tc>
          <w:tcPr>
            <w:tcW w:w="2083" w:type="dxa"/>
            <w:vAlign w:val="center"/>
          </w:tcPr>
          <w:p w:rsidR="00802B4E" w:rsidRPr="00B073AF" w:rsidRDefault="00802B4E" w:rsidP="009908A1">
            <w:pPr>
              <w:pStyle w:val="Tabletext"/>
              <w:jc w:val="center"/>
            </w:pPr>
            <w:r w:rsidRPr="00B073AF">
              <w:t>Directional</w:t>
            </w:r>
          </w:p>
        </w:tc>
        <w:tc>
          <w:tcPr>
            <w:tcW w:w="1805" w:type="dxa"/>
            <w:vAlign w:val="center"/>
          </w:tcPr>
          <w:p w:rsidR="00802B4E" w:rsidRPr="00B073AF" w:rsidRDefault="00802B4E" w:rsidP="009908A1">
            <w:pPr>
              <w:pStyle w:val="Tabletext"/>
              <w:jc w:val="center"/>
            </w:pPr>
            <w:r w:rsidRPr="00B073AF">
              <w:t>Hemispherical</w:t>
            </w:r>
          </w:p>
        </w:tc>
        <w:tc>
          <w:tcPr>
            <w:tcW w:w="1806" w:type="dxa"/>
            <w:vAlign w:val="center"/>
          </w:tcPr>
          <w:p w:rsidR="00802B4E" w:rsidRPr="00B073AF" w:rsidRDefault="00802B4E" w:rsidP="009908A1">
            <w:pPr>
              <w:pStyle w:val="Tabletext"/>
              <w:jc w:val="center"/>
            </w:pPr>
            <w:r w:rsidRPr="00B073AF">
              <w:t>Directional</w:t>
            </w:r>
          </w:p>
        </w:tc>
        <w:tc>
          <w:tcPr>
            <w:tcW w:w="1806" w:type="dxa"/>
            <w:vAlign w:val="center"/>
          </w:tcPr>
          <w:p w:rsidR="00802B4E" w:rsidRPr="00B073AF" w:rsidRDefault="00802B4E" w:rsidP="009908A1">
            <w:pPr>
              <w:pStyle w:val="Tabletext"/>
              <w:jc w:val="center"/>
            </w:pPr>
            <w:r w:rsidRPr="00B073AF">
              <w:t>Directional</w:t>
            </w:r>
          </w:p>
        </w:tc>
        <w:tc>
          <w:tcPr>
            <w:tcW w:w="1806" w:type="dxa"/>
            <w:vAlign w:val="center"/>
          </w:tcPr>
          <w:p w:rsidR="00802B4E" w:rsidRPr="00B073AF" w:rsidRDefault="00802B4E" w:rsidP="009908A1">
            <w:pPr>
              <w:pStyle w:val="Tabletext"/>
              <w:jc w:val="center"/>
            </w:pPr>
            <w:r w:rsidRPr="00B073AF">
              <w:t>Directional</w:t>
            </w:r>
          </w:p>
        </w:tc>
        <w:tc>
          <w:tcPr>
            <w:tcW w:w="1943" w:type="dxa"/>
            <w:vAlign w:val="center"/>
          </w:tcPr>
          <w:p w:rsidR="00802B4E" w:rsidRPr="00B073AF" w:rsidRDefault="00802B4E" w:rsidP="009908A1">
            <w:pPr>
              <w:pStyle w:val="Tabletext"/>
              <w:jc w:val="center"/>
            </w:pPr>
            <w:r w:rsidRPr="00B073AF">
              <w:t>Directional</w:t>
            </w:r>
          </w:p>
        </w:tc>
        <w:tc>
          <w:tcPr>
            <w:tcW w:w="996" w:type="dxa"/>
            <w:vAlign w:val="center"/>
          </w:tcPr>
          <w:p w:rsidR="00802B4E" w:rsidRPr="00B073AF" w:rsidRDefault="00802B4E" w:rsidP="009908A1">
            <w:pPr>
              <w:pStyle w:val="Tabletext"/>
              <w:jc w:val="cente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type</w:t>
            </w:r>
          </w:p>
        </w:tc>
        <w:tc>
          <w:tcPr>
            <w:tcW w:w="2083" w:type="dxa"/>
            <w:vAlign w:val="center"/>
          </w:tcPr>
          <w:p w:rsidR="00802B4E" w:rsidRPr="00B073AF" w:rsidRDefault="00802B4E" w:rsidP="009908A1">
            <w:pPr>
              <w:pStyle w:val="Tabletext"/>
              <w:jc w:val="center"/>
            </w:pPr>
            <w:r w:rsidRPr="00B073AF">
              <w:t>Electronically scanned circular array</w:t>
            </w:r>
          </w:p>
        </w:tc>
        <w:tc>
          <w:tcPr>
            <w:tcW w:w="1805" w:type="dxa"/>
            <w:vAlign w:val="center"/>
          </w:tcPr>
          <w:p w:rsidR="00802B4E" w:rsidRPr="00B073AF" w:rsidRDefault="00802B4E" w:rsidP="00B364E9">
            <w:pPr>
              <w:pStyle w:val="Tabletext"/>
              <w:jc w:val="center"/>
            </w:pPr>
            <w:r w:rsidRPr="00B073AF">
              <w:t xml:space="preserve">Stacked </w:t>
            </w:r>
            <w:r w:rsidR="00B364E9">
              <w:t>m</w:t>
            </w:r>
            <w:r w:rsidRPr="00B073AF">
              <w:t xml:space="preserve">icrostrip </w:t>
            </w:r>
            <w:r w:rsidR="00B364E9">
              <w:t>p</w:t>
            </w:r>
            <w:r w:rsidRPr="00B073AF">
              <w:t>atch</w:t>
            </w:r>
          </w:p>
        </w:tc>
        <w:tc>
          <w:tcPr>
            <w:tcW w:w="1806" w:type="dxa"/>
            <w:vAlign w:val="center"/>
          </w:tcPr>
          <w:p w:rsidR="00802B4E" w:rsidRPr="00B073AF" w:rsidRDefault="00802B4E" w:rsidP="00B364E9">
            <w:pPr>
              <w:pStyle w:val="Tabletext"/>
              <w:jc w:val="center"/>
            </w:pPr>
            <w:r w:rsidRPr="00B073AF">
              <w:t xml:space="preserve">Stacked </w:t>
            </w:r>
            <w:r w:rsidR="00B364E9">
              <w:t>m</w:t>
            </w:r>
            <w:r w:rsidRPr="00B073AF">
              <w:t>icrostrip</w:t>
            </w:r>
            <w:r w:rsidR="00B364E9">
              <w:t xml:space="preserve"> p</w:t>
            </w:r>
            <w:r w:rsidRPr="00B073AF">
              <w:t>atch</w:t>
            </w:r>
          </w:p>
        </w:tc>
        <w:tc>
          <w:tcPr>
            <w:tcW w:w="1806" w:type="dxa"/>
            <w:vAlign w:val="center"/>
          </w:tcPr>
          <w:p w:rsidR="00802B4E" w:rsidRPr="00B073AF" w:rsidRDefault="00802B4E" w:rsidP="00B364E9">
            <w:pPr>
              <w:pStyle w:val="Tabletext"/>
              <w:jc w:val="center"/>
            </w:pPr>
            <w:r w:rsidRPr="00B073AF">
              <w:t xml:space="preserve">Stacked </w:t>
            </w:r>
            <w:r w:rsidR="00B364E9">
              <w:t>m</w:t>
            </w:r>
            <w:r w:rsidRPr="00B073AF">
              <w:t xml:space="preserve">icrostrip </w:t>
            </w:r>
            <w:r w:rsidR="00B364E9">
              <w:t>p</w:t>
            </w:r>
            <w:r w:rsidRPr="00B073AF">
              <w:t>atch</w:t>
            </w:r>
          </w:p>
        </w:tc>
        <w:tc>
          <w:tcPr>
            <w:tcW w:w="1806" w:type="dxa"/>
            <w:vAlign w:val="center"/>
          </w:tcPr>
          <w:p w:rsidR="00802B4E" w:rsidRPr="00B073AF" w:rsidRDefault="00802B4E" w:rsidP="00B364E9">
            <w:pPr>
              <w:pStyle w:val="Tabletext"/>
              <w:jc w:val="center"/>
            </w:pPr>
            <w:r w:rsidRPr="00B073AF">
              <w:t xml:space="preserve">Stacked </w:t>
            </w:r>
            <w:r w:rsidR="00B364E9">
              <w:t>microstrip p</w:t>
            </w:r>
            <w:r w:rsidRPr="00B073AF">
              <w:t>atch</w:t>
            </w:r>
          </w:p>
        </w:tc>
        <w:tc>
          <w:tcPr>
            <w:tcW w:w="1943" w:type="dxa"/>
            <w:vAlign w:val="center"/>
          </w:tcPr>
          <w:p w:rsidR="00802B4E" w:rsidRPr="00B073AF" w:rsidRDefault="00802B4E" w:rsidP="009908A1">
            <w:pPr>
              <w:pStyle w:val="Tabletext"/>
              <w:jc w:val="center"/>
            </w:pPr>
            <w:r w:rsidRPr="00B073AF">
              <w:t>Phased-array</w:t>
            </w:r>
          </w:p>
        </w:tc>
        <w:tc>
          <w:tcPr>
            <w:tcW w:w="996" w:type="dxa"/>
            <w:vAlign w:val="center"/>
          </w:tcPr>
          <w:p w:rsidR="00802B4E" w:rsidRPr="00B073AF" w:rsidRDefault="00802B4E" w:rsidP="009908A1">
            <w:pPr>
              <w:pStyle w:val="Tabletext"/>
              <w:jc w:val="cente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polarization</w:t>
            </w:r>
          </w:p>
        </w:tc>
        <w:tc>
          <w:tcPr>
            <w:tcW w:w="2083" w:type="dxa"/>
            <w:vAlign w:val="center"/>
          </w:tcPr>
          <w:p w:rsidR="00802B4E" w:rsidRPr="00B073AF" w:rsidRDefault="00802B4E" w:rsidP="00E23DE4">
            <w:pPr>
              <w:pStyle w:val="Tabletext"/>
              <w:jc w:val="center"/>
            </w:pPr>
            <w:r w:rsidRPr="00B073AF">
              <w:t xml:space="preserve">Right-hand </w:t>
            </w:r>
            <w:r w:rsidR="00E23DE4">
              <w:t>c</w:t>
            </w:r>
            <w:r w:rsidRPr="00B073AF">
              <w:t>ircular</w:t>
            </w:r>
          </w:p>
        </w:tc>
        <w:tc>
          <w:tcPr>
            <w:tcW w:w="1805" w:type="dxa"/>
            <w:vAlign w:val="center"/>
          </w:tcPr>
          <w:p w:rsidR="00802B4E" w:rsidRPr="00B073AF" w:rsidRDefault="00802B4E" w:rsidP="009908A1">
            <w:pPr>
              <w:pStyle w:val="Tabletext"/>
              <w:jc w:val="center"/>
            </w:pPr>
            <w:r w:rsidRPr="00B073AF">
              <w:t>Linear</w:t>
            </w:r>
          </w:p>
        </w:tc>
        <w:tc>
          <w:tcPr>
            <w:tcW w:w="1806" w:type="dxa"/>
            <w:vAlign w:val="center"/>
          </w:tcPr>
          <w:p w:rsidR="00802B4E" w:rsidRPr="00B073AF" w:rsidRDefault="00802B4E" w:rsidP="009908A1">
            <w:pPr>
              <w:pStyle w:val="Tabletext"/>
              <w:jc w:val="center"/>
            </w:pPr>
            <w:r w:rsidRPr="00B073AF">
              <w:t>Linear</w:t>
            </w:r>
          </w:p>
        </w:tc>
        <w:tc>
          <w:tcPr>
            <w:tcW w:w="1806" w:type="dxa"/>
            <w:vAlign w:val="center"/>
          </w:tcPr>
          <w:p w:rsidR="00802B4E" w:rsidRPr="00B073AF" w:rsidRDefault="00802B4E" w:rsidP="009908A1">
            <w:pPr>
              <w:pStyle w:val="Tabletext"/>
              <w:jc w:val="center"/>
            </w:pPr>
            <w:r w:rsidRPr="00B073AF">
              <w:t>Linear</w:t>
            </w:r>
          </w:p>
        </w:tc>
        <w:tc>
          <w:tcPr>
            <w:tcW w:w="1806" w:type="dxa"/>
            <w:vAlign w:val="center"/>
          </w:tcPr>
          <w:p w:rsidR="00802B4E" w:rsidRPr="00B073AF" w:rsidRDefault="00802B4E" w:rsidP="005E6383">
            <w:pPr>
              <w:pStyle w:val="Tabletext"/>
              <w:jc w:val="center"/>
            </w:pPr>
            <w:r w:rsidRPr="00B073AF">
              <w:t xml:space="preserve">Horizontal and </w:t>
            </w:r>
            <w:r w:rsidR="005E6383">
              <w:t>v</w:t>
            </w:r>
            <w:r w:rsidRPr="00B073AF">
              <w:t>ertical</w:t>
            </w:r>
          </w:p>
        </w:tc>
        <w:tc>
          <w:tcPr>
            <w:tcW w:w="1943" w:type="dxa"/>
            <w:vAlign w:val="center"/>
          </w:tcPr>
          <w:p w:rsidR="00802B4E" w:rsidRPr="00B073AF" w:rsidRDefault="00802B4E" w:rsidP="00B364E9">
            <w:pPr>
              <w:pStyle w:val="Tabletext"/>
              <w:jc w:val="center"/>
            </w:pPr>
            <w:r w:rsidRPr="00B073AF">
              <w:t xml:space="preserve">Left </w:t>
            </w:r>
            <w:r w:rsidR="00B364E9">
              <w:t>h</w:t>
            </w:r>
            <w:r w:rsidRPr="00B073AF">
              <w:t xml:space="preserve">and </w:t>
            </w:r>
            <w:r w:rsidR="00B364E9">
              <w:t>c</w:t>
            </w:r>
            <w:r w:rsidRPr="00B073AF">
              <w:t>ircular</w:t>
            </w:r>
          </w:p>
        </w:tc>
        <w:tc>
          <w:tcPr>
            <w:tcW w:w="996" w:type="dxa"/>
            <w:vAlign w:val="center"/>
          </w:tcPr>
          <w:p w:rsidR="00802B4E" w:rsidRPr="00B073AF" w:rsidRDefault="00802B4E" w:rsidP="009908A1">
            <w:pPr>
              <w:pStyle w:val="Tabletext"/>
              <w:jc w:val="cente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gain</w:t>
            </w:r>
          </w:p>
        </w:tc>
        <w:tc>
          <w:tcPr>
            <w:tcW w:w="2083" w:type="dxa"/>
            <w:vAlign w:val="center"/>
          </w:tcPr>
          <w:p w:rsidR="00802B4E" w:rsidRPr="00B073AF" w:rsidRDefault="00802B4E" w:rsidP="009908A1">
            <w:pPr>
              <w:pStyle w:val="Tabletext"/>
              <w:jc w:val="center"/>
            </w:pPr>
            <w:r w:rsidRPr="00B073AF">
              <w:t>18</w:t>
            </w:r>
          </w:p>
        </w:tc>
        <w:tc>
          <w:tcPr>
            <w:tcW w:w="1805" w:type="dxa"/>
            <w:vAlign w:val="center"/>
          </w:tcPr>
          <w:p w:rsidR="00802B4E" w:rsidRPr="00B073AF" w:rsidRDefault="00802B4E" w:rsidP="009908A1">
            <w:pPr>
              <w:pStyle w:val="Tabletext"/>
              <w:jc w:val="center"/>
            </w:pPr>
            <w:r w:rsidRPr="00B073AF">
              <w:t>4</w:t>
            </w:r>
          </w:p>
        </w:tc>
        <w:tc>
          <w:tcPr>
            <w:tcW w:w="1806" w:type="dxa"/>
            <w:vAlign w:val="center"/>
          </w:tcPr>
          <w:p w:rsidR="00802B4E" w:rsidRPr="00B073AF" w:rsidRDefault="00802B4E" w:rsidP="009908A1">
            <w:pPr>
              <w:pStyle w:val="Tabletext"/>
              <w:jc w:val="center"/>
            </w:pPr>
            <w:r w:rsidRPr="00B073AF">
              <w:t>23</w:t>
            </w:r>
          </w:p>
        </w:tc>
        <w:tc>
          <w:tcPr>
            <w:tcW w:w="1806" w:type="dxa"/>
            <w:vAlign w:val="center"/>
          </w:tcPr>
          <w:p w:rsidR="00802B4E" w:rsidRPr="00B073AF" w:rsidRDefault="00802B4E" w:rsidP="009908A1">
            <w:pPr>
              <w:pStyle w:val="Tabletext"/>
              <w:jc w:val="center"/>
            </w:pPr>
            <w:r w:rsidRPr="00B073AF">
              <w:t>25</w:t>
            </w:r>
          </w:p>
        </w:tc>
        <w:tc>
          <w:tcPr>
            <w:tcW w:w="1806" w:type="dxa"/>
            <w:vAlign w:val="center"/>
          </w:tcPr>
          <w:p w:rsidR="00802B4E" w:rsidRPr="00B073AF" w:rsidRDefault="00802B4E" w:rsidP="009908A1">
            <w:pPr>
              <w:pStyle w:val="Tabletext"/>
              <w:jc w:val="center"/>
            </w:pPr>
            <w:r w:rsidRPr="00B073AF">
              <w:t>24</w:t>
            </w:r>
          </w:p>
        </w:tc>
        <w:tc>
          <w:tcPr>
            <w:tcW w:w="1943" w:type="dxa"/>
            <w:vAlign w:val="center"/>
          </w:tcPr>
          <w:p w:rsidR="00802B4E" w:rsidRPr="00B073AF" w:rsidRDefault="00802B4E" w:rsidP="009908A1">
            <w:pPr>
              <w:pStyle w:val="Tabletext"/>
              <w:jc w:val="center"/>
            </w:pPr>
            <w:r w:rsidRPr="00B073AF">
              <w:t>28</w:t>
            </w:r>
          </w:p>
        </w:tc>
        <w:tc>
          <w:tcPr>
            <w:tcW w:w="996" w:type="dxa"/>
            <w:vAlign w:val="center"/>
          </w:tcPr>
          <w:p w:rsidR="00802B4E" w:rsidRPr="00B073AF" w:rsidRDefault="00802B4E" w:rsidP="009908A1">
            <w:pPr>
              <w:pStyle w:val="Tabletext"/>
              <w:jc w:val="center"/>
            </w:pPr>
            <w:r w:rsidRPr="00B073AF">
              <w:t>dBi</w:t>
            </w: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pattern model</w:t>
            </w:r>
          </w:p>
        </w:tc>
        <w:tc>
          <w:tcPr>
            <w:tcW w:w="2083" w:type="dxa"/>
            <w:vAlign w:val="center"/>
          </w:tcPr>
          <w:p w:rsidR="00802B4E" w:rsidRPr="00B073AF" w:rsidRDefault="00802B4E" w:rsidP="00E23DE4">
            <w:pPr>
              <w:pStyle w:val="Tabletext"/>
              <w:jc w:val="center"/>
            </w:pPr>
            <w:r w:rsidRPr="00B073AF">
              <w:t>ITU-R F.1336</w:t>
            </w:r>
            <w:r w:rsidRPr="00B073AF">
              <w:br/>
              <w:t>(</w:t>
            </w:r>
            <w:r w:rsidR="00C20366" w:rsidRPr="00C20366">
              <w:rPr>
                <w:i/>
                <w:iCs/>
              </w:rPr>
              <w:t>k</w:t>
            </w:r>
            <w:r w:rsidRPr="00B073AF">
              <w:t xml:space="preserve"> = 0)</w:t>
            </w:r>
          </w:p>
        </w:tc>
        <w:tc>
          <w:tcPr>
            <w:tcW w:w="1805" w:type="dxa"/>
            <w:vAlign w:val="center"/>
          </w:tcPr>
          <w:p w:rsidR="00802B4E" w:rsidRPr="00B073AF" w:rsidRDefault="00802B4E" w:rsidP="00E23DE4">
            <w:pPr>
              <w:pStyle w:val="Tabletext"/>
              <w:jc w:val="center"/>
            </w:pPr>
            <w:r w:rsidRPr="00B073AF">
              <w:t>Omni</w:t>
            </w:r>
            <w:r w:rsidRPr="00B073AF">
              <w:br/>
            </w:r>
            <w:r w:rsidR="00E23DE4">
              <w:t>d</w:t>
            </w:r>
            <w:r w:rsidRPr="00B073AF">
              <w:t>irectional</w:t>
            </w:r>
          </w:p>
        </w:tc>
        <w:tc>
          <w:tcPr>
            <w:tcW w:w="1806" w:type="dxa"/>
            <w:vAlign w:val="center"/>
          </w:tcPr>
          <w:p w:rsidR="00802B4E" w:rsidRPr="00B073AF" w:rsidRDefault="00802B4E" w:rsidP="00E23DE4">
            <w:pPr>
              <w:pStyle w:val="Tabletext"/>
              <w:jc w:val="center"/>
            </w:pPr>
            <w:r w:rsidRPr="00B073AF">
              <w:t>ITU-R F.1336</w:t>
            </w:r>
            <w:r w:rsidRPr="00B073AF">
              <w:br/>
              <w:t>(</w:t>
            </w:r>
            <w:r w:rsidR="00C20366" w:rsidRPr="00C20366">
              <w:rPr>
                <w:i/>
                <w:iCs/>
              </w:rPr>
              <w:t>k</w:t>
            </w:r>
            <w:r w:rsidR="00E23DE4">
              <w:t xml:space="preserve"> </w:t>
            </w:r>
            <w:r w:rsidRPr="00B073AF">
              <w:t>= 0)</w:t>
            </w:r>
          </w:p>
        </w:tc>
        <w:tc>
          <w:tcPr>
            <w:tcW w:w="1806" w:type="dxa"/>
            <w:vAlign w:val="center"/>
          </w:tcPr>
          <w:p w:rsidR="00802B4E" w:rsidRPr="00B073AF" w:rsidRDefault="00802B4E" w:rsidP="00E23DE4">
            <w:pPr>
              <w:pStyle w:val="Tabletext"/>
              <w:jc w:val="center"/>
            </w:pPr>
            <w:r w:rsidRPr="00B073AF">
              <w:t>ITU-R F.1336</w:t>
            </w:r>
            <w:r w:rsidRPr="00B073AF">
              <w:br/>
              <w:t>(</w:t>
            </w:r>
            <w:r w:rsidR="00C20366" w:rsidRPr="00C20366">
              <w:rPr>
                <w:i/>
                <w:iCs/>
              </w:rPr>
              <w:t>k</w:t>
            </w:r>
            <w:r w:rsidRPr="00B073AF">
              <w:t xml:space="preserve"> = 0)</w:t>
            </w:r>
          </w:p>
        </w:tc>
        <w:tc>
          <w:tcPr>
            <w:tcW w:w="1806" w:type="dxa"/>
            <w:vAlign w:val="center"/>
          </w:tcPr>
          <w:p w:rsidR="00802B4E" w:rsidRPr="00B073AF" w:rsidRDefault="00802B4E" w:rsidP="00E23DE4">
            <w:pPr>
              <w:pStyle w:val="Tabletext"/>
              <w:jc w:val="center"/>
            </w:pPr>
            <w:r w:rsidRPr="00B073AF">
              <w:t>ITU-R F.1336</w:t>
            </w:r>
            <w:r w:rsidRPr="00B073AF">
              <w:br/>
              <w:t>(</w:t>
            </w:r>
            <w:r w:rsidR="00C20366" w:rsidRPr="00C20366">
              <w:rPr>
                <w:i/>
                <w:iCs/>
              </w:rPr>
              <w:t>k</w:t>
            </w:r>
            <w:r w:rsidRPr="00B073AF">
              <w:t xml:space="preserve"> = 0)</w:t>
            </w:r>
          </w:p>
        </w:tc>
        <w:tc>
          <w:tcPr>
            <w:tcW w:w="1943" w:type="dxa"/>
            <w:vAlign w:val="center"/>
          </w:tcPr>
          <w:p w:rsidR="00802B4E" w:rsidRPr="00B073AF" w:rsidRDefault="00802B4E" w:rsidP="00E23DE4">
            <w:pPr>
              <w:pStyle w:val="Tabletext"/>
              <w:jc w:val="center"/>
            </w:pPr>
            <w:r w:rsidRPr="00B073AF">
              <w:t>ITU-R F.1336</w:t>
            </w:r>
            <w:r w:rsidRPr="00B073AF">
              <w:br/>
              <w:t>(</w:t>
            </w:r>
            <w:r w:rsidR="00C20366" w:rsidRPr="00C20366">
              <w:rPr>
                <w:i/>
                <w:iCs/>
              </w:rPr>
              <w:t>k</w:t>
            </w:r>
            <w:r w:rsidRPr="00B073AF">
              <w:t xml:space="preserve"> = 0)</w:t>
            </w:r>
          </w:p>
        </w:tc>
        <w:tc>
          <w:tcPr>
            <w:tcW w:w="996" w:type="dxa"/>
            <w:vAlign w:val="center"/>
          </w:tcPr>
          <w:p w:rsidR="00802B4E" w:rsidRPr="00B073AF" w:rsidRDefault="00802B4E" w:rsidP="009908A1">
            <w:pPr>
              <w:pStyle w:val="Tabletext"/>
              <w:jc w:val="center"/>
            </w:pP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horizontal beamwidth</w:t>
            </w:r>
          </w:p>
        </w:tc>
        <w:tc>
          <w:tcPr>
            <w:tcW w:w="2083" w:type="dxa"/>
            <w:vAlign w:val="center"/>
          </w:tcPr>
          <w:p w:rsidR="00802B4E" w:rsidRPr="00B073AF" w:rsidRDefault="00802B4E" w:rsidP="009908A1">
            <w:pPr>
              <w:pStyle w:val="Tabletext"/>
              <w:jc w:val="center"/>
            </w:pPr>
            <w:r w:rsidRPr="00B073AF">
              <w:t>10</w:t>
            </w:r>
          </w:p>
        </w:tc>
        <w:tc>
          <w:tcPr>
            <w:tcW w:w="1805" w:type="dxa"/>
            <w:vAlign w:val="center"/>
          </w:tcPr>
          <w:p w:rsidR="00802B4E" w:rsidRPr="00B073AF" w:rsidRDefault="00802B4E" w:rsidP="009908A1">
            <w:pPr>
              <w:pStyle w:val="Tabletext"/>
              <w:jc w:val="center"/>
              <w:rPr>
                <w:color w:val="000000"/>
              </w:rPr>
            </w:pPr>
            <w:r w:rsidRPr="00B073AF">
              <w:rPr>
                <w:color w:val="000000"/>
              </w:rPr>
              <w:t>360</w:t>
            </w:r>
          </w:p>
        </w:tc>
        <w:tc>
          <w:tcPr>
            <w:tcW w:w="1806" w:type="dxa"/>
            <w:vAlign w:val="center"/>
          </w:tcPr>
          <w:p w:rsidR="00802B4E" w:rsidRPr="00B073AF" w:rsidRDefault="00802B4E" w:rsidP="009908A1">
            <w:pPr>
              <w:pStyle w:val="Tabletext"/>
              <w:jc w:val="center"/>
            </w:pPr>
            <w:r w:rsidRPr="00B073AF">
              <w:t>3</w:t>
            </w:r>
          </w:p>
        </w:tc>
        <w:tc>
          <w:tcPr>
            <w:tcW w:w="1806" w:type="dxa"/>
            <w:vAlign w:val="center"/>
          </w:tcPr>
          <w:p w:rsidR="00802B4E" w:rsidRPr="00B073AF" w:rsidRDefault="00802B4E" w:rsidP="009908A1">
            <w:pPr>
              <w:pStyle w:val="Tabletext"/>
              <w:jc w:val="center"/>
            </w:pPr>
            <w:r w:rsidRPr="00B073AF">
              <w:t>2.1</w:t>
            </w:r>
          </w:p>
        </w:tc>
        <w:tc>
          <w:tcPr>
            <w:tcW w:w="1806" w:type="dxa"/>
            <w:vAlign w:val="center"/>
          </w:tcPr>
          <w:p w:rsidR="00802B4E" w:rsidRPr="00B073AF" w:rsidRDefault="00802B4E" w:rsidP="009908A1">
            <w:pPr>
              <w:pStyle w:val="Tabletext"/>
              <w:jc w:val="center"/>
            </w:pPr>
            <w:r w:rsidRPr="00B073AF">
              <w:t>2.2</w:t>
            </w:r>
          </w:p>
        </w:tc>
        <w:tc>
          <w:tcPr>
            <w:tcW w:w="1943" w:type="dxa"/>
            <w:vAlign w:val="center"/>
          </w:tcPr>
          <w:p w:rsidR="00802B4E" w:rsidRPr="00B073AF" w:rsidRDefault="00802B4E" w:rsidP="009908A1">
            <w:pPr>
              <w:pStyle w:val="Tabletext"/>
              <w:jc w:val="center"/>
            </w:pPr>
            <w:r w:rsidRPr="00B073AF">
              <w:t>1.9</w:t>
            </w:r>
          </w:p>
        </w:tc>
        <w:tc>
          <w:tcPr>
            <w:tcW w:w="996" w:type="dxa"/>
            <w:vAlign w:val="center"/>
          </w:tcPr>
          <w:p w:rsidR="00802B4E" w:rsidRPr="00B073AF" w:rsidRDefault="00802B4E" w:rsidP="009908A1">
            <w:pPr>
              <w:pStyle w:val="Tabletext"/>
              <w:jc w:val="center"/>
            </w:pPr>
            <w:r w:rsidRPr="00B073AF">
              <w:t>Degrees</w:t>
            </w: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vertical beamwidth</w:t>
            </w:r>
          </w:p>
        </w:tc>
        <w:tc>
          <w:tcPr>
            <w:tcW w:w="2083" w:type="dxa"/>
            <w:vAlign w:val="center"/>
          </w:tcPr>
          <w:p w:rsidR="00802B4E" w:rsidRPr="00B073AF" w:rsidRDefault="00802B4E" w:rsidP="009908A1">
            <w:pPr>
              <w:pStyle w:val="Tabletext"/>
              <w:jc w:val="center"/>
            </w:pPr>
            <w:r w:rsidRPr="00B073AF">
              <w:t>15</w:t>
            </w:r>
          </w:p>
        </w:tc>
        <w:tc>
          <w:tcPr>
            <w:tcW w:w="1805" w:type="dxa"/>
            <w:vAlign w:val="center"/>
          </w:tcPr>
          <w:p w:rsidR="00802B4E" w:rsidRPr="00B073AF" w:rsidRDefault="00802B4E" w:rsidP="009908A1">
            <w:pPr>
              <w:pStyle w:val="Tabletext"/>
              <w:jc w:val="center"/>
            </w:pPr>
            <w:r w:rsidRPr="00B073AF">
              <w:t>40</w:t>
            </w:r>
          </w:p>
        </w:tc>
        <w:tc>
          <w:tcPr>
            <w:tcW w:w="1806" w:type="dxa"/>
            <w:vAlign w:val="center"/>
          </w:tcPr>
          <w:p w:rsidR="00802B4E" w:rsidRPr="00B073AF" w:rsidRDefault="00802B4E" w:rsidP="009908A1">
            <w:pPr>
              <w:pStyle w:val="Tabletext"/>
              <w:jc w:val="center"/>
            </w:pPr>
            <w:r w:rsidRPr="00B073AF">
              <w:t>3</w:t>
            </w:r>
          </w:p>
        </w:tc>
        <w:tc>
          <w:tcPr>
            <w:tcW w:w="1806" w:type="dxa"/>
            <w:vAlign w:val="center"/>
          </w:tcPr>
          <w:p w:rsidR="00802B4E" w:rsidRPr="00B073AF" w:rsidRDefault="00802B4E" w:rsidP="009908A1">
            <w:pPr>
              <w:pStyle w:val="Tabletext"/>
              <w:jc w:val="center"/>
            </w:pPr>
            <w:r w:rsidRPr="00B073AF">
              <w:t>2.1</w:t>
            </w:r>
          </w:p>
        </w:tc>
        <w:tc>
          <w:tcPr>
            <w:tcW w:w="1806" w:type="dxa"/>
            <w:vAlign w:val="center"/>
          </w:tcPr>
          <w:p w:rsidR="00802B4E" w:rsidRPr="00B073AF" w:rsidRDefault="00802B4E" w:rsidP="009908A1">
            <w:pPr>
              <w:pStyle w:val="Tabletext"/>
              <w:jc w:val="center"/>
            </w:pPr>
            <w:r w:rsidRPr="00B073AF">
              <w:t>2.2</w:t>
            </w:r>
          </w:p>
        </w:tc>
        <w:tc>
          <w:tcPr>
            <w:tcW w:w="1943" w:type="dxa"/>
            <w:vAlign w:val="center"/>
          </w:tcPr>
          <w:p w:rsidR="00802B4E" w:rsidRPr="00B073AF" w:rsidRDefault="00802B4E" w:rsidP="009908A1">
            <w:pPr>
              <w:pStyle w:val="Tabletext"/>
              <w:jc w:val="center"/>
            </w:pPr>
            <w:r w:rsidRPr="00B073AF">
              <w:t>1.9</w:t>
            </w:r>
          </w:p>
        </w:tc>
        <w:tc>
          <w:tcPr>
            <w:tcW w:w="996" w:type="dxa"/>
            <w:vAlign w:val="center"/>
          </w:tcPr>
          <w:p w:rsidR="00802B4E" w:rsidRPr="00B073AF" w:rsidRDefault="00802B4E" w:rsidP="009908A1">
            <w:pPr>
              <w:pStyle w:val="Tabletext"/>
              <w:jc w:val="center"/>
            </w:pPr>
            <w:r w:rsidRPr="00B073AF">
              <w:t>Degrees</w:t>
            </w:r>
          </w:p>
        </w:tc>
      </w:tr>
      <w:tr w:rsidR="00802B4E" w:rsidRPr="00B073AF" w:rsidTr="00544D56">
        <w:trPr>
          <w:cantSplit/>
          <w:trHeight w:val="20"/>
          <w:jc w:val="center"/>
        </w:trPr>
        <w:tc>
          <w:tcPr>
            <w:tcW w:w="2497" w:type="dxa"/>
            <w:vAlign w:val="center"/>
          </w:tcPr>
          <w:p w:rsidR="00802B4E" w:rsidRPr="00B073AF" w:rsidRDefault="00802B4E" w:rsidP="009908A1">
            <w:pPr>
              <w:pStyle w:val="Tabletext"/>
              <w:jc w:val="center"/>
            </w:pPr>
            <w:r w:rsidRPr="00B073AF">
              <w:t>Antenna height</w:t>
            </w:r>
          </w:p>
        </w:tc>
        <w:tc>
          <w:tcPr>
            <w:tcW w:w="2083" w:type="dxa"/>
            <w:vAlign w:val="center"/>
          </w:tcPr>
          <w:p w:rsidR="00802B4E" w:rsidRPr="00B073AF" w:rsidRDefault="00802B4E" w:rsidP="009908A1">
            <w:pPr>
              <w:pStyle w:val="Tabletext"/>
              <w:jc w:val="center"/>
            </w:pPr>
            <w:r w:rsidRPr="00B073AF">
              <w:t>4</w:t>
            </w:r>
            <w:r>
              <w:t>-</w:t>
            </w:r>
            <w:r w:rsidRPr="00B073AF">
              <w:t>18</w:t>
            </w:r>
          </w:p>
        </w:tc>
        <w:tc>
          <w:tcPr>
            <w:tcW w:w="1805" w:type="dxa"/>
            <w:vAlign w:val="center"/>
          </w:tcPr>
          <w:p w:rsidR="00802B4E" w:rsidRPr="00B073AF" w:rsidRDefault="00802B4E" w:rsidP="009908A1">
            <w:pPr>
              <w:pStyle w:val="Tabletext"/>
              <w:jc w:val="center"/>
            </w:pPr>
            <w:r w:rsidRPr="00B073AF">
              <w:t>2</w:t>
            </w:r>
          </w:p>
        </w:tc>
        <w:tc>
          <w:tcPr>
            <w:tcW w:w="1806" w:type="dxa"/>
            <w:vAlign w:val="center"/>
          </w:tcPr>
          <w:p w:rsidR="00802B4E" w:rsidRPr="00B073AF" w:rsidRDefault="00802B4E" w:rsidP="009908A1">
            <w:pPr>
              <w:pStyle w:val="Tabletext"/>
              <w:jc w:val="center"/>
            </w:pPr>
            <w:r>
              <w:t>4-</w:t>
            </w:r>
            <w:r w:rsidRPr="00B073AF">
              <w:t>14</w:t>
            </w:r>
          </w:p>
        </w:tc>
        <w:tc>
          <w:tcPr>
            <w:tcW w:w="1806" w:type="dxa"/>
            <w:vAlign w:val="center"/>
          </w:tcPr>
          <w:p w:rsidR="00802B4E" w:rsidRPr="00B073AF" w:rsidRDefault="00802B4E" w:rsidP="009908A1">
            <w:pPr>
              <w:pStyle w:val="Tabletext"/>
              <w:jc w:val="center"/>
            </w:pPr>
            <w:r>
              <w:t>4-</w:t>
            </w:r>
            <w:r w:rsidRPr="00B073AF">
              <w:t>13</w:t>
            </w:r>
          </w:p>
        </w:tc>
        <w:tc>
          <w:tcPr>
            <w:tcW w:w="1806" w:type="dxa"/>
            <w:vAlign w:val="center"/>
          </w:tcPr>
          <w:p w:rsidR="00802B4E" w:rsidRPr="00B073AF" w:rsidRDefault="00802B4E" w:rsidP="009908A1">
            <w:pPr>
              <w:pStyle w:val="Tabletext"/>
              <w:jc w:val="center"/>
            </w:pPr>
            <w:r>
              <w:t>4-</w:t>
            </w:r>
            <w:r w:rsidRPr="00B073AF">
              <w:t>15</w:t>
            </w:r>
          </w:p>
        </w:tc>
        <w:tc>
          <w:tcPr>
            <w:tcW w:w="1943" w:type="dxa"/>
            <w:vAlign w:val="center"/>
          </w:tcPr>
          <w:p w:rsidR="00802B4E" w:rsidRPr="00B073AF" w:rsidRDefault="00802B4E" w:rsidP="009908A1">
            <w:pPr>
              <w:pStyle w:val="Tabletext"/>
              <w:jc w:val="center"/>
            </w:pPr>
            <w:r>
              <w:t>4-</w:t>
            </w:r>
            <w:r w:rsidRPr="00B073AF">
              <w:t>17</w:t>
            </w:r>
          </w:p>
        </w:tc>
        <w:tc>
          <w:tcPr>
            <w:tcW w:w="996" w:type="dxa"/>
            <w:vAlign w:val="center"/>
          </w:tcPr>
          <w:p w:rsidR="00802B4E" w:rsidRPr="00B073AF" w:rsidRDefault="00802B4E" w:rsidP="009908A1">
            <w:pPr>
              <w:pStyle w:val="Tabletext"/>
              <w:jc w:val="center"/>
            </w:pPr>
            <w:r w:rsidRPr="00B073AF">
              <w:t>m</w:t>
            </w:r>
          </w:p>
        </w:tc>
      </w:tr>
    </w:tbl>
    <w:p w:rsidR="00604015" w:rsidRPr="00802B4E" w:rsidRDefault="00604015" w:rsidP="008C1A50">
      <w:pPr>
        <w:pStyle w:val="TableNo"/>
        <w:spacing w:before="240"/>
        <w:rPr>
          <w:lang w:val="en-US"/>
        </w:rPr>
      </w:pPr>
      <w:r w:rsidRPr="00802B4E">
        <w:rPr>
          <w:lang w:val="en-US"/>
        </w:rPr>
        <w:lastRenderedPageBreak/>
        <w:t>TABLE 1</w:t>
      </w:r>
      <w:r>
        <w:rPr>
          <w:lang w:val="en-US"/>
        </w:rPr>
        <w:t xml:space="preserve"> (</w:t>
      </w:r>
      <w:r w:rsidR="008C1A50">
        <w:rPr>
          <w:i/>
          <w:iCs/>
          <w:lang w:val="en-US"/>
        </w:rPr>
        <w:t>e</w:t>
      </w:r>
      <w:r w:rsidRPr="00604015">
        <w:rPr>
          <w:i/>
          <w:iCs/>
          <w:lang w:val="en-US"/>
        </w:rPr>
        <w:t>nd</w:t>
      </w:r>
      <w:r>
        <w:rPr>
          <w:lang w:val="en-US"/>
        </w:rPr>
        <w:t>)</w:t>
      </w:r>
      <w:r w:rsidR="002C65AB" w:rsidRPr="002C65AB">
        <w:rPr>
          <w:noProof/>
          <w:lang w:val="en-US" w:eastAsia="zh-CN"/>
        </w:rPr>
        <w:t xml:space="preserve"> </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2083"/>
        <w:gridCol w:w="1805"/>
        <w:gridCol w:w="1806"/>
        <w:gridCol w:w="1806"/>
        <w:gridCol w:w="1806"/>
        <w:gridCol w:w="1943"/>
        <w:gridCol w:w="996"/>
      </w:tblGrid>
      <w:tr w:rsidR="00604015" w:rsidRPr="00B073AF" w:rsidTr="00AC360D">
        <w:trPr>
          <w:cantSplit/>
          <w:trHeight w:val="20"/>
          <w:jc w:val="center"/>
        </w:trPr>
        <w:tc>
          <w:tcPr>
            <w:tcW w:w="2497" w:type="dxa"/>
            <w:vAlign w:val="center"/>
          </w:tcPr>
          <w:p w:rsidR="00604015" w:rsidRPr="00B073AF" w:rsidRDefault="00604015" w:rsidP="00032F23">
            <w:pPr>
              <w:pStyle w:val="Tablehead"/>
            </w:pPr>
            <w:r w:rsidRPr="00B073AF">
              <w:t>Characteristics</w:t>
            </w:r>
          </w:p>
        </w:tc>
        <w:tc>
          <w:tcPr>
            <w:tcW w:w="2083" w:type="dxa"/>
            <w:vAlign w:val="center"/>
          </w:tcPr>
          <w:p w:rsidR="00604015" w:rsidRPr="00B073AF" w:rsidRDefault="00604015" w:rsidP="00032F23">
            <w:pPr>
              <w:pStyle w:val="Tablehead"/>
            </w:pPr>
            <w:r w:rsidRPr="00B073AF">
              <w:t xml:space="preserve">System 1 </w:t>
            </w:r>
          </w:p>
        </w:tc>
        <w:tc>
          <w:tcPr>
            <w:tcW w:w="1805" w:type="dxa"/>
            <w:vAlign w:val="center"/>
          </w:tcPr>
          <w:p w:rsidR="00604015" w:rsidRPr="00B073AF" w:rsidRDefault="00604015" w:rsidP="00032F23">
            <w:pPr>
              <w:pStyle w:val="Tablehead"/>
            </w:pPr>
            <w:r w:rsidRPr="00B073AF">
              <w:t>System 2</w:t>
            </w:r>
          </w:p>
        </w:tc>
        <w:tc>
          <w:tcPr>
            <w:tcW w:w="1806" w:type="dxa"/>
            <w:vAlign w:val="center"/>
          </w:tcPr>
          <w:p w:rsidR="00604015" w:rsidRPr="00B073AF" w:rsidRDefault="00604015" w:rsidP="00032F23">
            <w:pPr>
              <w:pStyle w:val="Tablehead"/>
            </w:pPr>
            <w:r w:rsidRPr="00B073AF">
              <w:t>System 3</w:t>
            </w:r>
          </w:p>
        </w:tc>
        <w:tc>
          <w:tcPr>
            <w:tcW w:w="1806" w:type="dxa"/>
            <w:vAlign w:val="center"/>
          </w:tcPr>
          <w:p w:rsidR="00604015" w:rsidRPr="00B073AF" w:rsidRDefault="00604015" w:rsidP="00032F23">
            <w:pPr>
              <w:pStyle w:val="Tablehead"/>
            </w:pPr>
            <w:r w:rsidRPr="00B073AF">
              <w:t>System 4</w:t>
            </w:r>
          </w:p>
        </w:tc>
        <w:tc>
          <w:tcPr>
            <w:tcW w:w="1806" w:type="dxa"/>
            <w:vAlign w:val="center"/>
          </w:tcPr>
          <w:p w:rsidR="00604015" w:rsidRPr="00B073AF" w:rsidRDefault="00604015" w:rsidP="00032F23">
            <w:pPr>
              <w:pStyle w:val="Tablehead"/>
            </w:pPr>
            <w:r w:rsidRPr="00B073AF">
              <w:t>System 5</w:t>
            </w:r>
          </w:p>
        </w:tc>
        <w:tc>
          <w:tcPr>
            <w:tcW w:w="1943" w:type="dxa"/>
          </w:tcPr>
          <w:p w:rsidR="00604015" w:rsidRPr="00B073AF" w:rsidRDefault="00604015" w:rsidP="00032F23">
            <w:pPr>
              <w:pStyle w:val="Tablehead"/>
            </w:pPr>
            <w:r w:rsidRPr="00B073AF">
              <w:t>System 6</w:t>
            </w:r>
          </w:p>
        </w:tc>
        <w:tc>
          <w:tcPr>
            <w:tcW w:w="996" w:type="dxa"/>
            <w:vAlign w:val="center"/>
          </w:tcPr>
          <w:p w:rsidR="00604015" w:rsidRPr="00B073AF" w:rsidRDefault="00604015" w:rsidP="00032F23">
            <w:pPr>
              <w:pStyle w:val="Tablehead"/>
            </w:pPr>
            <w:r w:rsidRPr="00B073AF">
              <w:t>Units</w:t>
            </w:r>
          </w:p>
        </w:tc>
      </w:tr>
      <w:tr w:rsidR="00AC360D" w:rsidRPr="00B073AF" w:rsidTr="00AC360D">
        <w:trPr>
          <w:cantSplit/>
          <w:trHeight w:val="20"/>
          <w:jc w:val="center"/>
        </w:trPr>
        <w:tc>
          <w:tcPr>
            <w:tcW w:w="2497" w:type="dxa"/>
            <w:vAlign w:val="center"/>
          </w:tcPr>
          <w:p w:rsidR="00AC360D" w:rsidRPr="00B073AF" w:rsidRDefault="00AC360D" w:rsidP="00032F23">
            <w:pPr>
              <w:pStyle w:val="Tabletext"/>
              <w:jc w:val="center"/>
            </w:pPr>
            <w:r w:rsidRPr="00B073AF">
              <w:t>Receiver IF –3 dB bandwidth</w:t>
            </w:r>
          </w:p>
        </w:tc>
        <w:tc>
          <w:tcPr>
            <w:tcW w:w="2083" w:type="dxa"/>
            <w:vAlign w:val="center"/>
          </w:tcPr>
          <w:p w:rsidR="00AC360D" w:rsidRPr="00B073AF" w:rsidRDefault="00AC360D" w:rsidP="00032F23">
            <w:pPr>
              <w:pStyle w:val="Tabletext"/>
              <w:jc w:val="center"/>
            </w:pPr>
            <w:r w:rsidRPr="00B073AF">
              <w:t>55</w:t>
            </w:r>
          </w:p>
        </w:tc>
        <w:tc>
          <w:tcPr>
            <w:tcW w:w="1805" w:type="dxa"/>
            <w:vAlign w:val="center"/>
          </w:tcPr>
          <w:p w:rsidR="00AC360D" w:rsidRPr="00B073AF" w:rsidRDefault="00AC360D" w:rsidP="00032F23">
            <w:pPr>
              <w:pStyle w:val="Tabletext"/>
              <w:jc w:val="center"/>
            </w:pPr>
            <w:r w:rsidRPr="00B073AF">
              <w:t>21</w:t>
            </w:r>
          </w:p>
        </w:tc>
        <w:tc>
          <w:tcPr>
            <w:tcW w:w="1806" w:type="dxa"/>
            <w:vAlign w:val="center"/>
          </w:tcPr>
          <w:p w:rsidR="00AC360D" w:rsidRPr="00B073AF" w:rsidRDefault="00AC360D" w:rsidP="00032F23">
            <w:pPr>
              <w:pStyle w:val="Tabletext"/>
              <w:jc w:val="center"/>
            </w:pPr>
            <w:r w:rsidRPr="00B073AF">
              <w:t>4</w:t>
            </w:r>
          </w:p>
        </w:tc>
        <w:tc>
          <w:tcPr>
            <w:tcW w:w="1806" w:type="dxa"/>
            <w:vAlign w:val="center"/>
          </w:tcPr>
          <w:p w:rsidR="00AC360D" w:rsidRPr="00B073AF" w:rsidRDefault="00AC360D" w:rsidP="00032F23">
            <w:pPr>
              <w:pStyle w:val="Tabletext"/>
              <w:jc w:val="center"/>
            </w:pPr>
            <w:r w:rsidRPr="00B073AF">
              <w:t>23</w:t>
            </w:r>
          </w:p>
        </w:tc>
        <w:tc>
          <w:tcPr>
            <w:tcW w:w="1806" w:type="dxa"/>
            <w:vAlign w:val="center"/>
          </w:tcPr>
          <w:p w:rsidR="00AC360D" w:rsidRPr="00B073AF" w:rsidRDefault="00AC360D" w:rsidP="00032F23">
            <w:pPr>
              <w:pStyle w:val="Tabletext"/>
              <w:jc w:val="center"/>
            </w:pPr>
            <w:r w:rsidRPr="00B073AF">
              <w:t>3</w:t>
            </w:r>
          </w:p>
        </w:tc>
        <w:tc>
          <w:tcPr>
            <w:tcW w:w="1943" w:type="dxa"/>
            <w:vAlign w:val="center"/>
          </w:tcPr>
          <w:p w:rsidR="00AC360D" w:rsidRPr="00B073AF" w:rsidRDefault="00AC360D" w:rsidP="00032F23">
            <w:pPr>
              <w:pStyle w:val="Tabletext"/>
              <w:jc w:val="center"/>
            </w:pPr>
            <w:r w:rsidRPr="00B073AF">
              <w:t>35</w:t>
            </w:r>
          </w:p>
        </w:tc>
        <w:tc>
          <w:tcPr>
            <w:tcW w:w="996" w:type="dxa"/>
            <w:vAlign w:val="center"/>
          </w:tcPr>
          <w:p w:rsidR="00AC360D" w:rsidRPr="00B073AF" w:rsidRDefault="00AC360D" w:rsidP="00032F23">
            <w:pPr>
              <w:pStyle w:val="Tabletext"/>
              <w:jc w:val="center"/>
            </w:pPr>
            <w:r w:rsidRPr="00B073AF">
              <w:t>MHz</w:t>
            </w:r>
          </w:p>
        </w:tc>
      </w:tr>
      <w:tr w:rsidR="00802B4E" w:rsidRPr="00B073AF" w:rsidTr="00AC360D">
        <w:trPr>
          <w:cantSplit/>
          <w:trHeight w:val="20"/>
          <w:jc w:val="center"/>
        </w:trPr>
        <w:tc>
          <w:tcPr>
            <w:tcW w:w="2497" w:type="dxa"/>
            <w:vAlign w:val="center"/>
          </w:tcPr>
          <w:p w:rsidR="00802B4E" w:rsidRPr="00604015" w:rsidRDefault="00802B4E" w:rsidP="009908A1">
            <w:pPr>
              <w:pStyle w:val="Tabletext"/>
              <w:jc w:val="center"/>
              <w:rPr>
                <w:lang w:val="en-US"/>
              </w:rPr>
            </w:pPr>
            <w:r w:rsidRPr="00604015">
              <w:rPr>
                <w:lang w:val="en-US"/>
              </w:rPr>
              <w:t>Receiver noise figure</w:t>
            </w:r>
          </w:p>
        </w:tc>
        <w:tc>
          <w:tcPr>
            <w:tcW w:w="2083" w:type="dxa"/>
            <w:vAlign w:val="center"/>
          </w:tcPr>
          <w:p w:rsidR="00802B4E" w:rsidRPr="00B073AF" w:rsidRDefault="00802B4E" w:rsidP="009908A1">
            <w:pPr>
              <w:pStyle w:val="Tabletext"/>
              <w:jc w:val="center"/>
            </w:pPr>
            <w:r w:rsidRPr="00B073AF">
              <w:t>4</w:t>
            </w:r>
          </w:p>
        </w:tc>
        <w:tc>
          <w:tcPr>
            <w:tcW w:w="1805" w:type="dxa"/>
            <w:vAlign w:val="center"/>
          </w:tcPr>
          <w:p w:rsidR="00802B4E" w:rsidRPr="00B073AF" w:rsidRDefault="00802B4E" w:rsidP="009908A1">
            <w:pPr>
              <w:pStyle w:val="Tabletext"/>
              <w:jc w:val="center"/>
            </w:pPr>
            <w:r w:rsidRPr="00B073AF">
              <w:t>3</w:t>
            </w:r>
          </w:p>
        </w:tc>
        <w:tc>
          <w:tcPr>
            <w:tcW w:w="1806" w:type="dxa"/>
            <w:vAlign w:val="center"/>
          </w:tcPr>
          <w:p w:rsidR="00802B4E" w:rsidRPr="00B073AF" w:rsidRDefault="00802B4E" w:rsidP="009908A1">
            <w:pPr>
              <w:pStyle w:val="Tabletext"/>
              <w:jc w:val="center"/>
              <w:rPr>
                <w:color w:val="000000"/>
              </w:rPr>
            </w:pPr>
            <w:r w:rsidRPr="00B073AF">
              <w:rPr>
                <w:color w:val="000000"/>
              </w:rPr>
              <w:t>3</w:t>
            </w:r>
          </w:p>
        </w:tc>
        <w:tc>
          <w:tcPr>
            <w:tcW w:w="1806" w:type="dxa"/>
            <w:vAlign w:val="center"/>
          </w:tcPr>
          <w:p w:rsidR="00802B4E" w:rsidRPr="00B073AF" w:rsidRDefault="00802B4E" w:rsidP="009908A1">
            <w:pPr>
              <w:pStyle w:val="Tabletext"/>
              <w:jc w:val="center"/>
              <w:rPr>
                <w:color w:val="000000"/>
              </w:rPr>
            </w:pPr>
            <w:r w:rsidRPr="00B073AF">
              <w:rPr>
                <w:color w:val="000000"/>
              </w:rPr>
              <w:t>4</w:t>
            </w:r>
          </w:p>
        </w:tc>
        <w:tc>
          <w:tcPr>
            <w:tcW w:w="1806" w:type="dxa"/>
            <w:vAlign w:val="center"/>
          </w:tcPr>
          <w:p w:rsidR="00802B4E" w:rsidRPr="00B073AF" w:rsidRDefault="00802B4E" w:rsidP="009908A1">
            <w:pPr>
              <w:pStyle w:val="Tabletext"/>
              <w:jc w:val="center"/>
            </w:pPr>
            <w:r w:rsidRPr="00B073AF">
              <w:t>4</w:t>
            </w:r>
          </w:p>
        </w:tc>
        <w:tc>
          <w:tcPr>
            <w:tcW w:w="1943" w:type="dxa"/>
            <w:vAlign w:val="center"/>
          </w:tcPr>
          <w:p w:rsidR="00802B4E" w:rsidRPr="00B073AF" w:rsidRDefault="00802B4E" w:rsidP="009908A1">
            <w:pPr>
              <w:pStyle w:val="Tabletext"/>
              <w:jc w:val="center"/>
            </w:pPr>
            <w:r w:rsidRPr="00B073AF">
              <w:t>5</w:t>
            </w:r>
          </w:p>
        </w:tc>
        <w:tc>
          <w:tcPr>
            <w:tcW w:w="996" w:type="dxa"/>
            <w:vAlign w:val="center"/>
          </w:tcPr>
          <w:p w:rsidR="00802B4E" w:rsidRPr="00B073AF" w:rsidRDefault="00802B4E" w:rsidP="009908A1">
            <w:pPr>
              <w:pStyle w:val="Tabletext"/>
              <w:jc w:val="center"/>
            </w:pPr>
            <w:r w:rsidRPr="00B073AF">
              <w:t>dB</w:t>
            </w:r>
          </w:p>
        </w:tc>
      </w:tr>
      <w:tr w:rsidR="00802B4E" w:rsidRPr="00B073AF" w:rsidTr="00AC360D">
        <w:trPr>
          <w:cantSplit/>
          <w:trHeight w:val="20"/>
          <w:jc w:val="center"/>
        </w:trPr>
        <w:tc>
          <w:tcPr>
            <w:tcW w:w="2497" w:type="dxa"/>
            <w:vAlign w:val="center"/>
          </w:tcPr>
          <w:p w:rsidR="00802B4E" w:rsidRPr="00B073AF" w:rsidRDefault="00802B4E" w:rsidP="009908A1">
            <w:pPr>
              <w:pStyle w:val="Tabletext"/>
              <w:jc w:val="center"/>
            </w:pPr>
            <w:r w:rsidRPr="00B073AF">
              <w:t>Minimum sensitivity</w:t>
            </w:r>
          </w:p>
        </w:tc>
        <w:tc>
          <w:tcPr>
            <w:tcW w:w="2083" w:type="dxa"/>
            <w:vAlign w:val="center"/>
          </w:tcPr>
          <w:p w:rsidR="00802B4E" w:rsidRPr="00B073AF" w:rsidRDefault="00802B4E" w:rsidP="009908A1">
            <w:pPr>
              <w:pStyle w:val="Tabletext"/>
              <w:jc w:val="center"/>
            </w:pPr>
            <w:r w:rsidRPr="00B073AF">
              <w:t>–93</w:t>
            </w:r>
          </w:p>
        </w:tc>
        <w:tc>
          <w:tcPr>
            <w:tcW w:w="1805" w:type="dxa"/>
            <w:vAlign w:val="center"/>
          </w:tcPr>
          <w:p w:rsidR="00802B4E" w:rsidRPr="00B073AF" w:rsidRDefault="00802B4E" w:rsidP="009908A1">
            <w:pPr>
              <w:pStyle w:val="Tabletext"/>
              <w:jc w:val="center"/>
            </w:pPr>
            <w:r w:rsidRPr="00B073AF">
              <w:t>–98</w:t>
            </w:r>
          </w:p>
        </w:tc>
        <w:tc>
          <w:tcPr>
            <w:tcW w:w="1806" w:type="dxa"/>
            <w:vAlign w:val="center"/>
          </w:tcPr>
          <w:p w:rsidR="00802B4E" w:rsidRPr="00B073AF" w:rsidRDefault="00802B4E" w:rsidP="009908A1">
            <w:pPr>
              <w:pStyle w:val="Tabletext"/>
              <w:jc w:val="center"/>
            </w:pPr>
            <w:r w:rsidRPr="00B073AF">
              <w:t>–105</w:t>
            </w:r>
          </w:p>
        </w:tc>
        <w:tc>
          <w:tcPr>
            <w:tcW w:w="1806" w:type="dxa"/>
            <w:vAlign w:val="center"/>
          </w:tcPr>
          <w:p w:rsidR="00802B4E" w:rsidRPr="00B073AF" w:rsidRDefault="00802B4E" w:rsidP="009908A1">
            <w:pPr>
              <w:pStyle w:val="Tabletext"/>
              <w:jc w:val="center"/>
            </w:pPr>
            <w:r w:rsidRPr="00B073AF">
              <w:t>–97</w:t>
            </w:r>
          </w:p>
        </w:tc>
        <w:tc>
          <w:tcPr>
            <w:tcW w:w="1806" w:type="dxa"/>
            <w:vAlign w:val="center"/>
          </w:tcPr>
          <w:p w:rsidR="00802B4E" w:rsidRPr="00B073AF" w:rsidRDefault="00802B4E" w:rsidP="009908A1">
            <w:pPr>
              <w:pStyle w:val="Tabletext"/>
              <w:jc w:val="center"/>
            </w:pPr>
            <w:r w:rsidRPr="00B073AF">
              <w:t>–106</w:t>
            </w:r>
          </w:p>
        </w:tc>
        <w:tc>
          <w:tcPr>
            <w:tcW w:w="1943" w:type="dxa"/>
            <w:vAlign w:val="center"/>
          </w:tcPr>
          <w:p w:rsidR="00802B4E" w:rsidRPr="00B073AF" w:rsidRDefault="00802B4E" w:rsidP="009908A1">
            <w:pPr>
              <w:pStyle w:val="Tabletext"/>
              <w:jc w:val="center"/>
            </w:pPr>
            <w:r w:rsidRPr="00B073AF">
              <w:t>–94</w:t>
            </w:r>
          </w:p>
        </w:tc>
        <w:tc>
          <w:tcPr>
            <w:tcW w:w="996" w:type="dxa"/>
            <w:vAlign w:val="center"/>
          </w:tcPr>
          <w:p w:rsidR="00802B4E" w:rsidRPr="00B073AF" w:rsidRDefault="00802B4E" w:rsidP="009908A1">
            <w:pPr>
              <w:pStyle w:val="Tabletext"/>
              <w:jc w:val="center"/>
            </w:pPr>
            <w:r w:rsidRPr="00B073AF">
              <w:t>dBm</w:t>
            </w:r>
          </w:p>
        </w:tc>
      </w:tr>
      <w:tr w:rsidR="00802B4E" w:rsidRPr="00B073AF" w:rsidTr="00AC360D">
        <w:trPr>
          <w:cantSplit/>
          <w:trHeight w:val="20"/>
          <w:jc w:val="center"/>
        </w:trPr>
        <w:tc>
          <w:tcPr>
            <w:tcW w:w="2497" w:type="dxa"/>
            <w:tcBorders>
              <w:bottom w:val="single" w:sz="4" w:space="0" w:color="auto"/>
            </w:tcBorders>
            <w:vAlign w:val="center"/>
          </w:tcPr>
          <w:p w:rsidR="00802B4E" w:rsidRPr="006503AF" w:rsidRDefault="00802B4E" w:rsidP="009908A1">
            <w:pPr>
              <w:pStyle w:val="Tabletext"/>
              <w:jc w:val="center"/>
              <w:rPr>
                <w:lang w:val="de-DE"/>
              </w:rPr>
            </w:pPr>
            <w:r w:rsidRPr="006503AF">
              <w:rPr>
                <w:lang w:val="de-DE"/>
              </w:rPr>
              <w:t>Transmitter RF emission</w:t>
            </w:r>
            <w:r w:rsidRPr="006503AF">
              <w:rPr>
                <w:lang w:val="de-DE"/>
              </w:rPr>
              <w:br/>
              <w:t>bandwidth: –3 dB/–20 dB</w:t>
            </w:r>
          </w:p>
        </w:tc>
        <w:tc>
          <w:tcPr>
            <w:tcW w:w="2083" w:type="dxa"/>
            <w:tcBorders>
              <w:bottom w:val="single" w:sz="4" w:space="0" w:color="auto"/>
            </w:tcBorders>
            <w:vAlign w:val="center"/>
          </w:tcPr>
          <w:p w:rsidR="00802B4E" w:rsidRPr="00B073AF" w:rsidRDefault="00802B4E" w:rsidP="009908A1">
            <w:pPr>
              <w:pStyle w:val="Tabletext"/>
              <w:jc w:val="center"/>
            </w:pPr>
            <w:r w:rsidRPr="00B073AF">
              <w:t>30/55</w:t>
            </w:r>
          </w:p>
        </w:tc>
        <w:tc>
          <w:tcPr>
            <w:tcW w:w="1805" w:type="dxa"/>
            <w:tcBorders>
              <w:bottom w:val="single" w:sz="4" w:space="0" w:color="auto"/>
            </w:tcBorders>
            <w:vAlign w:val="center"/>
          </w:tcPr>
          <w:p w:rsidR="00802B4E" w:rsidRPr="00B073AF" w:rsidRDefault="00802B4E" w:rsidP="009908A1">
            <w:pPr>
              <w:pStyle w:val="Tabletext"/>
              <w:jc w:val="center"/>
            </w:pPr>
            <w:r w:rsidRPr="00B073AF">
              <w:t>10/20</w:t>
            </w:r>
          </w:p>
        </w:tc>
        <w:tc>
          <w:tcPr>
            <w:tcW w:w="1806" w:type="dxa"/>
            <w:tcBorders>
              <w:bottom w:val="single" w:sz="4" w:space="0" w:color="auto"/>
            </w:tcBorders>
            <w:vAlign w:val="center"/>
          </w:tcPr>
          <w:p w:rsidR="00802B4E" w:rsidRPr="00B073AF" w:rsidRDefault="00802B4E" w:rsidP="009908A1">
            <w:pPr>
              <w:pStyle w:val="Tabletext"/>
              <w:jc w:val="center"/>
            </w:pPr>
            <w:r w:rsidRPr="00B073AF">
              <w:t>3/6</w:t>
            </w:r>
          </w:p>
        </w:tc>
        <w:tc>
          <w:tcPr>
            <w:tcW w:w="1806" w:type="dxa"/>
            <w:tcBorders>
              <w:bottom w:val="single" w:sz="4" w:space="0" w:color="auto"/>
            </w:tcBorders>
            <w:vAlign w:val="center"/>
          </w:tcPr>
          <w:p w:rsidR="00802B4E" w:rsidRPr="00B073AF" w:rsidRDefault="00802B4E" w:rsidP="009908A1">
            <w:pPr>
              <w:pStyle w:val="Tabletext"/>
              <w:jc w:val="center"/>
            </w:pPr>
            <w:r w:rsidRPr="00B073AF">
              <w:t>12/22</w:t>
            </w:r>
          </w:p>
        </w:tc>
        <w:tc>
          <w:tcPr>
            <w:tcW w:w="1806" w:type="dxa"/>
            <w:tcBorders>
              <w:bottom w:val="single" w:sz="4" w:space="0" w:color="auto"/>
            </w:tcBorders>
            <w:vAlign w:val="center"/>
          </w:tcPr>
          <w:p w:rsidR="00802B4E" w:rsidRPr="00B073AF" w:rsidRDefault="00802B4E" w:rsidP="009908A1">
            <w:pPr>
              <w:pStyle w:val="Tabletext"/>
              <w:jc w:val="center"/>
            </w:pPr>
            <w:r w:rsidRPr="00B073AF">
              <w:t>1.5/2.4</w:t>
            </w:r>
          </w:p>
        </w:tc>
        <w:tc>
          <w:tcPr>
            <w:tcW w:w="1943" w:type="dxa"/>
            <w:tcBorders>
              <w:bottom w:val="single" w:sz="4" w:space="0" w:color="auto"/>
            </w:tcBorders>
            <w:vAlign w:val="center"/>
          </w:tcPr>
          <w:p w:rsidR="00802B4E" w:rsidRPr="00B073AF" w:rsidRDefault="00802B4E" w:rsidP="009908A1">
            <w:pPr>
              <w:pStyle w:val="Tabletext"/>
              <w:jc w:val="center"/>
            </w:pPr>
            <w:r w:rsidRPr="00B073AF">
              <w:t>20/38</w:t>
            </w:r>
          </w:p>
        </w:tc>
        <w:tc>
          <w:tcPr>
            <w:tcW w:w="996" w:type="dxa"/>
            <w:tcBorders>
              <w:bottom w:val="single" w:sz="4" w:space="0" w:color="auto"/>
            </w:tcBorders>
            <w:vAlign w:val="center"/>
          </w:tcPr>
          <w:p w:rsidR="00802B4E" w:rsidRPr="00B073AF" w:rsidRDefault="00802B4E" w:rsidP="009908A1">
            <w:pPr>
              <w:pStyle w:val="Tabletext"/>
              <w:jc w:val="center"/>
            </w:pPr>
            <w:r w:rsidRPr="00B073AF">
              <w:t>MHz</w:t>
            </w:r>
          </w:p>
        </w:tc>
      </w:tr>
      <w:tr w:rsidR="00802B4E" w:rsidRPr="00966C95" w:rsidTr="00AC360D">
        <w:trPr>
          <w:cantSplit/>
          <w:trHeight w:val="20"/>
          <w:jc w:val="center"/>
        </w:trPr>
        <w:tc>
          <w:tcPr>
            <w:tcW w:w="13746" w:type="dxa"/>
            <w:gridSpan w:val="7"/>
            <w:tcBorders>
              <w:left w:val="nil"/>
              <w:bottom w:val="nil"/>
              <w:right w:val="nil"/>
            </w:tcBorders>
            <w:vAlign w:val="center"/>
          </w:tcPr>
          <w:p w:rsidR="00802B4E" w:rsidRPr="00802B4E" w:rsidRDefault="00802B4E" w:rsidP="009908A1">
            <w:pPr>
              <w:pStyle w:val="Tablelegend"/>
              <w:rPr>
                <w:lang w:val="en-US"/>
              </w:rPr>
            </w:pPr>
            <w:r w:rsidRPr="00802B4E">
              <w:rPr>
                <w:lang w:val="en-US"/>
              </w:rPr>
              <w:t xml:space="preserve">* NOTE − The maximum power level at the input to the antenna is limited to 10 dBW in the 14.5-14.8 GHz frequency range by RR Article </w:t>
            </w:r>
            <w:r w:rsidRPr="00802B4E">
              <w:rPr>
                <w:b/>
                <w:bCs/>
                <w:lang w:val="en-US"/>
              </w:rPr>
              <w:t>21.5</w:t>
            </w:r>
            <w:r w:rsidRPr="00802B4E">
              <w:rPr>
                <w:lang w:val="en-US"/>
              </w:rPr>
              <w:t>.</w:t>
            </w:r>
          </w:p>
        </w:tc>
        <w:tc>
          <w:tcPr>
            <w:tcW w:w="996" w:type="dxa"/>
            <w:tcBorders>
              <w:left w:val="nil"/>
              <w:bottom w:val="nil"/>
              <w:right w:val="nil"/>
            </w:tcBorders>
            <w:vAlign w:val="center"/>
          </w:tcPr>
          <w:p w:rsidR="00802B4E" w:rsidRPr="00802B4E" w:rsidRDefault="00802B4E" w:rsidP="009908A1">
            <w:pPr>
              <w:spacing w:before="40" w:after="40"/>
              <w:jc w:val="center"/>
              <w:rPr>
                <w:sz w:val="20"/>
                <w:lang w:val="en-US"/>
              </w:rPr>
            </w:pPr>
          </w:p>
        </w:tc>
      </w:tr>
    </w:tbl>
    <w:p w:rsidR="00802B4E" w:rsidRPr="00802B4E" w:rsidRDefault="00802B4E" w:rsidP="00802B4E">
      <w:pPr>
        <w:spacing w:before="0"/>
        <w:rPr>
          <w:sz w:val="10"/>
          <w:szCs w:val="10"/>
          <w:lang w:val="en-US"/>
        </w:rPr>
        <w:sectPr w:rsidR="00802B4E" w:rsidRPr="00802B4E">
          <w:headerReference w:type="even" r:id="rId17"/>
          <w:headerReference w:type="default" r:id="rId18"/>
          <w:footerReference w:type="default" r:id="rId19"/>
          <w:footerReference w:type="first" r:id="rId20"/>
          <w:pgSz w:w="16834" w:h="11913" w:orient="landscape" w:code="9"/>
          <w:pgMar w:top="1089" w:right="1089" w:bottom="851" w:left="1089" w:header="482" w:footer="482" w:gutter="0"/>
          <w:cols w:space="720"/>
          <w:docGrid w:linePitch="326"/>
        </w:sectPr>
      </w:pPr>
    </w:p>
    <w:p w:rsidR="00802B4E" w:rsidRPr="00802B4E" w:rsidRDefault="00802B4E" w:rsidP="00802B4E">
      <w:pPr>
        <w:pStyle w:val="Heading1"/>
        <w:ind w:right="-284"/>
        <w:rPr>
          <w:rFonts w:asciiTheme="majorBidi" w:hAnsiTheme="majorBidi" w:cstheme="majorBidi"/>
          <w:szCs w:val="28"/>
          <w:lang w:val="en-US"/>
        </w:rPr>
      </w:pPr>
      <w:r w:rsidRPr="00802B4E">
        <w:rPr>
          <w:rFonts w:asciiTheme="majorBidi" w:hAnsiTheme="majorBidi" w:cstheme="majorBidi"/>
          <w:szCs w:val="28"/>
          <w:lang w:val="en-US"/>
        </w:rPr>
        <w:lastRenderedPageBreak/>
        <w:t>3</w:t>
      </w:r>
      <w:r w:rsidRPr="00802B4E">
        <w:rPr>
          <w:rFonts w:asciiTheme="majorBidi" w:hAnsiTheme="majorBidi" w:cstheme="majorBidi"/>
          <w:szCs w:val="28"/>
          <w:lang w:val="en-US"/>
        </w:rPr>
        <w:tab/>
        <w:t>Characteristics of mobile systems in the frequency range 14.5-15.35 GHz</w:t>
      </w:r>
    </w:p>
    <w:p w:rsidR="00802B4E" w:rsidRPr="00802B4E" w:rsidRDefault="00802B4E" w:rsidP="00802B4E">
      <w:pPr>
        <w:pStyle w:val="Heading2"/>
        <w:rPr>
          <w:szCs w:val="24"/>
          <w:lang w:val="en-US"/>
        </w:rPr>
      </w:pPr>
      <w:r w:rsidRPr="00802B4E">
        <w:rPr>
          <w:lang w:val="en-US"/>
        </w:rPr>
        <w:t>3.1</w:t>
      </w:r>
      <w:r w:rsidRPr="00802B4E">
        <w:rPr>
          <w:lang w:val="en-US"/>
        </w:rPr>
        <w:tab/>
      </w:r>
      <w:r w:rsidRPr="00802B4E">
        <w:rPr>
          <w:szCs w:val="24"/>
          <w:lang w:val="en-US"/>
        </w:rPr>
        <w:t>Introduction</w:t>
      </w:r>
    </w:p>
    <w:p w:rsidR="00802B4E" w:rsidRPr="00802B4E" w:rsidRDefault="00802B4E" w:rsidP="00802B4E">
      <w:pPr>
        <w:rPr>
          <w:szCs w:val="24"/>
          <w:lang w:val="en-US"/>
        </w:rPr>
      </w:pPr>
      <w:r w:rsidRPr="00802B4E">
        <w:rPr>
          <w:szCs w:val="24"/>
          <w:lang w:val="en-US"/>
        </w:rPr>
        <w:t>Technology advancements in signal processing, complex modulations, antenna design, and solid</w:t>
      </w:r>
      <w:r w:rsidRPr="00802B4E">
        <w:rPr>
          <w:szCs w:val="24"/>
          <w:lang w:val="en-US"/>
        </w:rPr>
        <w:noBreakHyphen/>
        <w:t>state components are enabling the design and manufacture of communication systems in the 14.5-15.35 GHz frequency range that are intended to be used as hand-held devices, e.g. Table 1, System 2, or on ground</w:t>
      </w:r>
      <w:r w:rsidRPr="00802B4E">
        <w:rPr>
          <w:szCs w:val="24"/>
          <w:lang w:val="en-US"/>
        </w:rPr>
        <w:noBreakHyphen/>
        <w:t>based mobile vehicles, e.g. Table 1, System 1 and System 3 – System 6, that can inter-operate with other similar ground-based vehicles while one or both of the vehicles are in motion or stationary. The hand-held devices can communicate with each other or with the vehicular systems. Some Administrations use this band for mobile ground data links that convey voice, data, and/or video, for example, in situations where there is a need to establish and maintain wideband communication among mobile vehicles and personnel providing relief and public safety to an area subjected to a catastrophic natural disaster. Platforms equipped with these data links can be deployed anywhere within a country whose Administration has authorized their use.</w:t>
      </w:r>
    </w:p>
    <w:p w:rsidR="00802B4E" w:rsidRPr="00802B4E" w:rsidRDefault="00802B4E" w:rsidP="00802B4E">
      <w:pPr>
        <w:rPr>
          <w:szCs w:val="24"/>
          <w:lang w:val="en-US"/>
        </w:rPr>
      </w:pPr>
      <w:r w:rsidRPr="00802B4E">
        <w:rPr>
          <w:szCs w:val="24"/>
          <w:lang w:val="en-US"/>
        </w:rPr>
        <w:t>The wide available bandwidth and relative ease of propagation when obstacle-free conditions exist in this frequency range allow mobile systems with data rates up to many 10’s of Mbit/s.</w:t>
      </w:r>
    </w:p>
    <w:p w:rsidR="00802B4E" w:rsidRPr="00802B4E" w:rsidRDefault="00802B4E" w:rsidP="00802B4E">
      <w:pPr>
        <w:rPr>
          <w:szCs w:val="24"/>
          <w:lang w:val="en-US"/>
        </w:rPr>
      </w:pPr>
      <w:r w:rsidRPr="00802B4E">
        <w:rPr>
          <w:szCs w:val="24"/>
          <w:lang w:val="en-US"/>
        </w:rPr>
        <w:t>Largely because of these mission requirements, the mobile systems using or planned to use the band 14.5-15.35 GHz tend to possess the following general characteristics:</w:t>
      </w:r>
    </w:p>
    <w:p w:rsidR="00802B4E" w:rsidRPr="00802B4E" w:rsidRDefault="00802B4E" w:rsidP="00802B4E">
      <w:pPr>
        <w:pStyle w:val="enumlev1"/>
        <w:rPr>
          <w:szCs w:val="24"/>
          <w:lang w:val="en-US"/>
        </w:rPr>
      </w:pPr>
      <w:r w:rsidRPr="00802B4E">
        <w:rPr>
          <w:szCs w:val="24"/>
          <w:lang w:val="en-US"/>
        </w:rPr>
        <w:t>–</w:t>
      </w:r>
      <w:r w:rsidRPr="00802B4E">
        <w:rPr>
          <w:szCs w:val="24"/>
          <w:lang w:val="en-US"/>
        </w:rPr>
        <w:tab/>
        <w:t>they typically use solid-state power-amplifier transmitters that are usually able to tune through the frequency band and use digital modulations;</w:t>
      </w:r>
    </w:p>
    <w:p w:rsidR="00802B4E" w:rsidRPr="00802B4E" w:rsidRDefault="00802B4E" w:rsidP="00802B4E">
      <w:pPr>
        <w:pStyle w:val="enumlev1"/>
        <w:rPr>
          <w:szCs w:val="24"/>
          <w:lang w:val="en-US"/>
        </w:rPr>
      </w:pPr>
      <w:r w:rsidRPr="00802B4E">
        <w:rPr>
          <w:szCs w:val="24"/>
          <w:lang w:val="en-US"/>
        </w:rPr>
        <w:t>–</w:t>
      </w:r>
      <w:r w:rsidRPr="00802B4E">
        <w:rPr>
          <w:szCs w:val="24"/>
          <w:lang w:val="en-US"/>
        </w:rPr>
        <w:tab/>
        <w:t>an increasing number of these systems have antenna main beams that are steerable in both azimuth and elevation using electronic beam steering techniques.</w:t>
      </w:r>
    </w:p>
    <w:p w:rsidR="00802B4E" w:rsidRPr="00802B4E" w:rsidRDefault="00802B4E" w:rsidP="00802B4E">
      <w:pPr>
        <w:rPr>
          <w:lang w:val="en-US"/>
        </w:rPr>
      </w:pPr>
      <w:r w:rsidRPr="00802B4E">
        <w:rPr>
          <w:lang w:val="en-US"/>
        </w:rPr>
        <w:t>Table 1 summarizes technical characteristics of representative mobile systems deployed or planned to be deployed in the whole or portions of the band 14.5-15.35 GHz. This information is sufficient for general calculations to assess the compatibility between these mobile systems and other systems. Some or all of the mobile systems whose characteristics are presented in Table 1 possess the properties above, although they do not illustrate the full repertoire of attributes that might appear in future systems.</w:t>
      </w:r>
      <w:bookmarkStart w:id="6" w:name="_Toc110841064"/>
      <w:bookmarkStart w:id="7" w:name="_Toc117320826"/>
    </w:p>
    <w:p w:rsidR="00802B4E" w:rsidRPr="00802B4E" w:rsidRDefault="00802B4E" w:rsidP="00802B4E">
      <w:pPr>
        <w:pStyle w:val="Heading2"/>
        <w:rPr>
          <w:i/>
          <w:iCs/>
          <w:lang w:val="en-US"/>
        </w:rPr>
      </w:pPr>
      <w:r w:rsidRPr="00802B4E">
        <w:rPr>
          <w:rFonts w:asciiTheme="majorBidi" w:hAnsiTheme="majorBidi" w:cstheme="majorBidi"/>
          <w:szCs w:val="22"/>
          <w:lang w:val="en-US"/>
        </w:rPr>
        <w:t>3.2</w:t>
      </w:r>
      <w:r w:rsidRPr="00802B4E">
        <w:rPr>
          <w:rFonts w:asciiTheme="majorBidi" w:hAnsiTheme="majorBidi" w:cstheme="majorBidi"/>
          <w:szCs w:val="22"/>
          <w:lang w:val="en-US"/>
        </w:rPr>
        <w:tab/>
      </w:r>
      <w:r w:rsidRPr="00802B4E">
        <w:rPr>
          <w:lang w:val="en-US"/>
        </w:rPr>
        <w:t>Transmitters</w:t>
      </w:r>
      <w:bookmarkEnd w:id="6"/>
      <w:bookmarkEnd w:id="7"/>
    </w:p>
    <w:p w:rsidR="00802B4E" w:rsidRPr="00802B4E" w:rsidRDefault="00802B4E" w:rsidP="00802B4E">
      <w:pPr>
        <w:rPr>
          <w:szCs w:val="24"/>
          <w:lang w:val="en-US"/>
        </w:rPr>
      </w:pPr>
      <w:r w:rsidRPr="00802B4E">
        <w:rPr>
          <w:szCs w:val="24"/>
          <w:lang w:val="en-US"/>
        </w:rPr>
        <w:t>The mobile systems operating or planned to operate in the 14.5-15.35 GHz band typically use digital modulations. A given transmitter may be capable of radiating more than one waveform and solid-state power amplifier output devices are typically used in the transmitters. The trend towards use of solid-state transmitters in new mobile systems will continue for the foreseeable future due to the wide bandwidth, low level of generated spurious emissions, low power consumption, and reliability of these devices.</w:t>
      </w:r>
    </w:p>
    <w:p w:rsidR="00802B4E" w:rsidRPr="00802B4E" w:rsidRDefault="00802B4E" w:rsidP="00802B4E">
      <w:pPr>
        <w:rPr>
          <w:b/>
          <w:szCs w:val="24"/>
          <w:lang w:val="en-US"/>
        </w:rPr>
      </w:pPr>
      <w:r w:rsidRPr="00802B4E">
        <w:rPr>
          <w:szCs w:val="24"/>
          <w:lang w:val="en-US"/>
        </w:rPr>
        <w:t>Typical transmitter RF emission (3 dB) bandwidths of mobile systems operating or planned to operate in the band 14.5-15.35 GHz range from about 4 MHz to 50 MHz. Current transmitter peak output powers range from 5 W (</w:t>
      </w:r>
      <w:r w:rsidRPr="00802B4E">
        <w:rPr>
          <w:color w:val="000000"/>
          <w:szCs w:val="24"/>
          <w:lang w:val="en-US"/>
        </w:rPr>
        <w:t>37 dBm</w:t>
      </w:r>
      <w:r w:rsidRPr="00802B4E">
        <w:rPr>
          <w:szCs w:val="24"/>
          <w:lang w:val="en-US"/>
        </w:rPr>
        <w:t>) to 25 W (44 dBm).</w:t>
      </w:r>
      <w:bookmarkStart w:id="8" w:name="_Toc110841065"/>
      <w:bookmarkStart w:id="9" w:name="_Toc117320827"/>
      <w:r w:rsidRPr="00802B4E">
        <w:rPr>
          <w:szCs w:val="24"/>
          <w:lang w:val="en-US"/>
        </w:rPr>
        <w:t xml:space="preserve"> Advances in solid state modules will enable systems in the near future to generate peak power outputs of 70 W – 130 W in this frequency range. However, the maximum power level at the input to the antenna is limited to 10 dBW in the 14.5-14.8 GHz frequency range by RR No. </w:t>
      </w:r>
      <w:r w:rsidRPr="00802B4E">
        <w:rPr>
          <w:b/>
          <w:bCs/>
          <w:szCs w:val="24"/>
          <w:lang w:val="en-US"/>
        </w:rPr>
        <w:t>21.5</w:t>
      </w:r>
      <w:r w:rsidRPr="00802B4E">
        <w:rPr>
          <w:szCs w:val="24"/>
          <w:lang w:val="en-US"/>
        </w:rPr>
        <w:t>.</w:t>
      </w:r>
    </w:p>
    <w:p w:rsidR="00802B4E" w:rsidRPr="00802B4E" w:rsidRDefault="00802B4E" w:rsidP="00802B4E">
      <w:pPr>
        <w:overflowPunct/>
        <w:autoSpaceDE/>
        <w:autoSpaceDN/>
        <w:adjustRightInd/>
        <w:spacing w:before="0"/>
        <w:textAlignment w:val="auto"/>
        <w:rPr>
          <w:rFonts w:asciiTheme="majorBidi" w:hAnsiTheme="majorBidi" w:cstheme="majorBidi"/>
          <w:b/>
          <w:lang w:val="en-US"/>
        </w:rPr>
      </w:pPr>
      <w:r w:rsidRPr="00802B4E">
        <w:rPr>
          <w:rFonts w:asciiTheme="majorBidi" w:hAnsiTheme="majorBidi" w:cstheme="majorBidi"/>
          <w:lang w:val="en-US"/>
        </w:rPr>
        <w:br w:type="page"/>
      </w:r>
    </w:p>
    <w:p w:rsidR="00802B4E" w:rsidRPr="00802B4E" w:rsidRDefault="00802B4E" w:rsidP="00802B4E">
      <w:pPr>
        <w:pStyle w:val="Heading2"/>
        <w:rPr>
          <w:i/>
          <w:iCs/>
          <w:lang w:val="en-US"/>
        </w:rPr>
      </w:pPr>
      <w:r w:rsidRPr="00802B4E">
        <w:rPr>
          <w:rFonts w:asciiTheme="majorBidi" w:hAnsiTheme="majorBidi" w:cstheme="majorBidi"/>
          <w:lang w:val="en-US"/>
        </w:rPr>
        <w:lastRenderedPageBreak/>
        <w:t>3.3</w:t>
      </w:r>
      <w:r w:rsidRPr="00802B4E">
        <w:rPr>
          <w:rFonts w:asciiTheme="majorBidi" w:hAnsiTheme="majorBidi" w:cstheme="majorBidi"/>
          <w:lang w:val="en-US"/>
        </w:rPr>
        <w:tab/>
      </w:r>
      <w:r w:rsidRPr="00802B4E">
        <w:rPr>
          <w:lang w:val="en-US"/>
        </w:rPr>
        <w:t>Receivers</w:t>
      </w:r>
      <w:bookmarkEnd w:id="8"/>
      <w:bookmarkEnd w:id="9"/>
    </w:p>
    <w:p w:rsidR="00802B4E" w:rsidRPr="00802B4E" w:rsidRDefault="00802B4E" w:rsidP="00802B4E">
      <w:pPr>
        <w:rPr>
          <w:lang w:val="en-US"/>
        </w:rPr>
      </w:pPr>
      <w:r w:rsidRPr="00802B4E">
        <w:rPr>
          <w:lang w:val="en-US"/>
        </w:rPr>
        <w:t>The newer-generation mobile systems in the 14.5-15.35 GHz use digital modulations to enhance system performance.</w:t>
      </w:r>
    </w:p>
    <w:p w:rsidR="00802B4E" w:rsidRPr="00802B4E" w:rsidRDefault="00802B4E" w:rsidP="00802B4E">
      <w:pPr>
        <w:rPr>
          <w:lang w:val="en-US"/>
        </w:rPr>
      </w:pPr>
      <w:r w:rsidRPr="00802B4E">
        <w:rPr>
          <w:lang w:val="en-US"/>
        </w:rPr>
        <w:t>The signal processing in the newer generation of mobile systems use digital phase, frequency, or amplitude modulation techniques.</w:t>
      </w:r>
    </w:p>
    <w:p w:rsidR="00802B4E" w:rsidRPr="00802B4E" w:rsidRDefault="00802B4E" w:rsidP="00802B4E">
      <w:pPr>
        <w:pStyle w:val="Heading2"/>
        <w:rPr>
          <w:i/>
          <w:iCs/>
          <w:szCs w:val="24"/>
          <w:lang w:val="en-US"/>
        </w:rPr>
      </w:pPr>
      <w:bookmarkStart w:id="10" w:name="_Toc110841066"/>
      <w:bookmarkStart w:id="11" w:name="_Toc117320828"/>
      <w:r w:rsidRPr="00802B4E">
        <w:rPr>
          <w:szCs w:val="24"/>
          <w:lang w:val="en-US"/>
        </w:rPr>
        <w:t>3.4</w:t>
      </w:r>
      <w:r w:rsidRPr="00802B4E">
        <w:rPr>
          <w:szCs w:val="24"/>
          <w:lang w:val="en-US"/>
        </w:rPr>
        <w:tab/>
        <w:t>Antennas</w:t>
      </w:r>
      <w:bookmarkEnd w:id="10"/>
      <w:bookmarkEnd w:id="11"/>
    </w:p>
    <w:p w:rsidR="00802B4E" w:rsidRPr="00802B4E" w:rsidRDefault="00802B4E" w:rsidP="00802B4E">
      <w:pPr>
        <w:rPr>
          <w:szCs w:val="24"/>
          <w:lang w:val="en-US"/>
        </w:rPr>
      </w:pPr>
      <w:r w:rsidRPr="00802B4E">
        <w:rPr>
          <w:szCs w:val="24"/>
          <w:lang w:val="en-US"/>
        </w:rPr>
        <w:t>A variety of different types of antennas are used by systems in the 14.5-15.35 GHz band. Antennas in this band are generally of a variety of sizes and thus are of interest for applications where mobility and lightweight are important. The directional antenna pattern for mobile systems must be able cover 360</w:t>
      </w:r>
      <w:bookmarkStart w:id="12" w:name="OLE_LINK3"/>
      <w:bookmarkStart w:id="13" w:name="OLE_LINK4"/>
      <w:r w:rsidRPr="00B073AF">
        <w:rPr>
          <w:szCs w:val="24"/>
        </w:rPr>
        <w:sym w:font="Symbol" w:char="F0B0"/>
      </w:r>
      <w:bookmarkEnd w:id="12"/>
      <w:bookmarkEnd w:id="13"/>
      <w:r w:rsidRPr="00802B4E">
        <w:rPr>
          <w:szCs w:val="24"/>
          <w:lang w:val="en-US"/>
        </w:rPr>
        <w:t xml:space="preserve"> in the horizontal plane either electronically or mechanically. Sectored horn or circular phased arrays may be used to obtain 360 degree horizontal coverage. Flat-plate electronically steered antennas may require several facets or sub-antennas to achieve 360</w:t>
      </w:r>
      <w:r w:rsidRPr="00B073AF">
        <w:rPr>
          <w:szCs w:val="24"/>
        </w:rPr>
        <w:sym w:font="Symbol" w:char="F0B0"/>
      </w:r>
      <w:r w:rsidRPr="00802B4E">
        <w:rPr>
          <w:szCs w:val="24"/>
          <w:lang w:val="en-US"/>
        </w:rPr>
        <w:t xml:space="preserve"> horizontal coverage. Both horizontal and vertical polarizations are used. No current ITU-R Recommendation adequately addresses the antenna pattern for mobile systems in the 14.5</w:t>
      </w:r>
      <w:r w:rsidRPr="00802B4E">
        <w:rPr>
          <w:szCs w:val="24"/>
          <w:lang w:val="en-US"/>
        </w:rPr>
        <w:noBreakHyphen/>
        <w:t>15.35 GHz frequency range. However, as an interim measure, the analytical procedures contained in Recommendation ITU-R F.1336, with a suggested “k-factor” of 0, can be used to model the directional antenna pattern for the vehicular antennas for use in compatibility studies and sharing analyses.</w:t>
      </w:r>
    </w:p>
    <w:p w:rsidR="00802B4E" w:rsidRPr="00802B4E" w:rsidRDefault="00802B4E" w:rsidP="00802B4E">
      <w:pPr>
        <w:rPr>
          <w:szCs w:val="24"/>
          <w:lang w:val="en-US"/>
        </w:rPr>
      </w:pPr>
      <w:r w:rsidRPr="00802B4E">
        <w:rPr>
          <w:szCs w:val="24"/>
          <w:lang w:val="en-US"/>
        </w:rPr>
        <w:t>Typical antenna heights for ground-based mobile vehicle systems range from 4 m to 15 m above ground level. The 4 m height is typical for operations when the antenna is configured in a stowed or retracted position while the vehicle is in motion. The 13-18 m height is typical when the vehicle is halted and an antenna mast can be extended.</w:t>
      </w:r>
    </w:p>
    <w:p w:rsidR="00802B4E" w:rsidRPr="00802B4E" w:rsidRDefault="00802B4E" w:rsidP="00E37AAE">
      <w:pPr>
        <w:rPr>
          <w:szCs w:val="24"/>
          <w:lang w:val="en-US"/>
        </w:rPr>
      </w:pPr>
      <w:r w:rsidRPr="00802B4E">
        <w:rPr>
          <w:szCs w:val="24"/>
          <w:lang w:val="en-US"/>
        </w:rPr>
        <w:t>Operations while the antenna is in the stowed position while the vehicle is on the move may limit the signal strength of the desired signal due to its propagation along non-line of sight paths with various obstructions. In this frequency range selection of antenna locations on elevated terrain is desirable to mitigate the effects of, e.g. foliage and buildings, etc., on electromagnetic propagation to maximize communication distances when the vehicle is operating when halted.</w:t>
      </w:r>
    </w:p>
    <w:p w:rsidR="00802B4E" w:rsidRPr="00802B4E" w:rsidRDefault="00802B4E" w:rsidP="00802B4E">
      <w:pPr>
        <w:pStyle w:val="Heading1"/>
        <w:rPr>
          <w:lang w:val="en-US"/>
        </w:rPr>
      </w:pPr>
      <w:r w:rsidRPr="00802B4E">
        <w:rPr>
          <w:lang w:val="en-US"/>
        </w:rPr>
        <w:t>4</w:t>
      </w:r>
      <w:r w:rsidRPr="00802B4E">
        <w:rPr>
          <w:lang w:val="en-US"/>
        </w:rPr>
        <w:tab/>
        <w:t>Protection criteria</w:t>
      </w:r>
    </w:p>
    <w:p w:rsidR="00802B4E" w:rsidRPr="00802B4E" w:rsidRDefault="00802B4E" w:rsidP="009C7BDC">
      <w:pPr>
        <w:rPr>
          <w:rFonts w:eastAsia="Calibri"/>
          <w:lang w:val="en-US"/>
        </w:rPr>
      </w:pPr>
      <w:bookmarkStart w:id="14" w:name="OLE_LINK5"/>
      <w:bookmarkStart w:id="15" w:name="OLE_LINK6"/>
      <w:r w:rsidRPr="00802B4E">
        <w:rPr>
          <w:lang w:val="en-US"/>
        </w:rPr>
        <w:t xml:space="preserve">Under noise-limited conditions, a protection criteria of </w:t>
      </w:r>
      <w:r w:rsidRPr="00802B4E">
        <w:rPr>
          <w:i/>
          <w:iCs/>
          <w:lang w:val="en-US"/>
        </w:rPr>
        <w:t>I/N</w:t>
      </w:r>
      <w:r w:rsidRPr="00802B4E">
        <w:rPr>
          <w:lang w:val="en-US"/>
        </w:rPr>
        <w:t xml:space="preserve"> = –6 dB limits the increase in the noise level in the receiver to about 1 dB and corresponds to an (</w:t>
      </w:r>
      <w:r w:rsidRPr="00802B4E">
        <w:rPr>
          <w:i/>
          <w:iCs/>
          <w:lang w:val="en-US"/>
        </w:rPr>
        <w:t>I</w:t>
      </w:r>
      <w:r w:rsidRPr="00802B4E">
        <w:rPr>
          <w:lang w:val="en-US"/>
        </w:rPr>
        <w:t> + </w:t>
      </w:r>
      <w:r w:rsidRPr="00802B4E">
        <w:rPr>
          <w:i/>
          <w:iCs/>
          <w:lang w:val="en-US"/>
        </w:rPr>
        <w:t>N</w:t>
      </w:r>
      <w:r w:rsidRPr="00802B4E">
        <w:rPr>
          <w:lang w:val="en-US"/>
        </w:rPr>
        <w:t>)/</w:t>
      </w:r>
      <w:r w:rsidRPr="00802B4E">
        <w:rPr>
          <w:i/>
          <w:iCs/>
          <w:lang w:val="en-US"/>
        </w:rPr>
        <w:t>N</w:t>
      </w:r>
      <w:r w:rsidRPr="00802B4E">
        <w:rPr>
          <w:lang w:val="en-US"/>
        </w:rPr>
        <w:t xml:space="preserve"> ratio of 1.26. The 1 dB increase in the noise lev</w:t>
      </w:r>
      <w:r w:rsidR="00E37AAE">
        <w:rPr>
          <w:lang w:val="en-US"/>
        </w:rPr>
        <w:t>el could be manifested as, e.g.</w:t>
      </w:r>
      <w:r w:rsidRPr="00802B4E">
        <w:rPr>
          <w:lang w:val="en-US"/>
        </w:rPr>
        <w:t xml:space="preserve"> a decrease in the available fade margin, a decrease in the effective coverage area where </w:t>
      </w:r>
      <w:r w:rsidR="009C7BDC">
        <w:rPr>
          <w:lang w:val="en-US"/>
        </w:rPr>
        <w:t xml:space="preserve">a maximum given bit error rate </w:t>
      </w:r>
      <w:r w:rsidRPr="00802B4E">
        <w:rPr>
          <w:lang w:val="en-US"/>
        </w:rPr>
        <w:t xml:space="preserve">must be maintained, or receiver desensitization, which would constitute significant degradation for digital receivers that must operate with very low bit error rates. The 1 dB increase represents the aggregate effect of multiple interferers, when present; the received level of interference from an individual interferer depends on the interferer geometry and other factors, and needs to be assessed in the course of analysis of a given scenario. </w:t>
      </w:r>
      <w:r w:rsidRPr="00802B4E">
        <w:rPr>
          <w:rFonts w:eastAsia="Calibri"/>
          <w:lang w:val="en-US"/>
        </w:rPr>
        <w:t xml:space="preserve">The specified tolerable </w:t>
      </w:r>
      <w:r w:rsidRPr="00802B4E">
        <w:rPr>
          <w:rFonts w:eastAsia="Calibri"/>
          <w:i/>
          <w:iCs/>
          <w:lang w:val="en-US"/>
        </w:rPr>
        <w:t>I/N</w:t>
      </w:r>
      <w:r w:rsidRPr="00802B4E">
        <w:rPr>
          <w:rFonts w:eastAsia="Calibri"/>
          <w:lang w:val="en-US"/>
        </w:rPr>
        <w:t xml:space="preserve"> ratio is referenced to the mobile receiver input and requires taking in to account all sources of interference. If a single interference source is present, protection of the mobile systems requires that this criterion is not exceeded due to the interference from the single source. If multiple interference sources are present, protection of the mobile systems requires that this criterion is not exceeded due to the aggregate interference from the multiple sources.</w:t>
      </w:r>
      <w:bookmarkEnd w:id="14"/>
      <w:bookmarkEnd w:id="15"/>
    </w:p>
    <w:p w:rsidR="00802B4E" w:rsidRPr="00802B4E" w:rsidRDefault="00802B4E" w:rsidP="00802B4E">
      <w:pPr>
        <w:pStyle w:val="Line"/>
      </w:pPr>
    </w:p>
    <w:sectPr w:rsidR="00802B4E" w:rsidRPr="00802B4E">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59C" w:rsidRDefault="000F059C">
      <w:r>
        <w:separator/>
      </w:r>
    </w:p>
  </w:endnote>
  <w:endnote w:type="continuationSeparator" w:id="0">
    <w:p w:rsidR="000F059C" w:rsidRDefault="000F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4E" w:rsidRPr="00DA047C" w:rsidRDefault="00802B4E" w:rsidP="00DA04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4E" w:rsidRPr="00DA047C" w:rsidRDefault="00802B4E" w:rsidP="00DA04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4E" w:rsidRPr="00DA047C" w:rsidRDefault="00802B4E" w:rsidP="00DA04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4E" w:rsidRDefault="00802B4E">
    <w:pPr>
      <w:pStyle w:val="Footer"/>
      <w:rPr>
        <w:lang w:val="en-US"/>
      </w:rPr>
    </w:pPr>
    <w:r>
      <w:fldChar w:fldCharType="begin"/>
    </w:r>
    <w:r w:rsidRPr="00802B4E">
      <w:rPr>
        <w:lang w:val="en-US"/>
      </w:rPr>
      <w:instrText xml:space="preserve"> FILENAME  \p  \* MERGEFORMAT </w:instrText>
    </w:r>
    <w:r>
      <w:fldChar w:fldCharType="separate"/>
    </w:r>
    <w:r w:rsidR="00A362CA">
      <w:rPr>
        <w:lang w:val="en-US"/>
      </w:rPr>
      <w:t>P:\QPUB\BR\REC\M\2068-0\M2068-0E.docx</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59C" w:rsidRDefault="000F059C">
      <w:r>
        <w:separator/>
      </w:r>
    </w:p>
  </w:footnote>
  <w:footnote w:type="continuationSeparator" w:id="0">
    <w:p w:rsidR="000F059C" w:rsidRDefault="000F0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59C" w:rsidRDefault="000F059C">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A362CA" w:rsidRPr="00A362C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62CA">
      <w:rPr>
        <w:b/>
        <w:bCs/>
        <w:noProof/>
      </w:rPr>
      <w:t>ITU-R  M.2068-0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62CA">
      <w:rPr>
        <w:rStyle w:val="PageNumber"/>
        <w:b/>
        <w:bCs/>
        <w:noProof/>
      </w:rPr>
      <w:t>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59C" w:rsidRDefault="00EE6DED" w:rsidP="00B033C8">
    <w:pPr>
      <w:ind w:right="360" w:firstLine="360"/>
    </w:pPr>
    <w:r>
      <w:rPr>
        <w:noProof/>
        <w:lang w:val="en-US" w:eastAsia="zh-CN"/>
      </w:rPr>
      <w:drawing>
        <wp:anchor distT="0" distB="0" distL="114300" distR="114300" simplePos="0" relativeHeight="251660800" behindDoc="0" locked="0" layoutInCell="1" allowOverlap="1" wp14:anchorId="4300BD2D" wp14:editId="0E663C1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0F059C">
      <w:rPr>
        <w:noProof/>
        <w:lang w:val="en-US" w:eastAsia="zh-CN"/>
      </w:rPr>
      <w:drawing>
        <wp:anchor distT="0" distB="0" distL="114300" distR="114300" simplePos="0" relativeHeight="251658752" behindDoc="1" locked="0" layoutInCell="1" allowOverlap="1" wp14:anchorId="77B8D0D8" wp14:editId="0830F97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59C" w:rsidRPr="00FC42AF" w:rsidRDefault="000F059C"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A362CA" w:rsidRPr="00A362C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362CA">
      <w:rPr>
        <w:b/>
        <w:bCs/>
        <w:noProof/>
      </w:rPr>
      <w:t>ITU-R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362C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59C" w:rsidRPr="00FC42AF" w:rsidRDefault="000F059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362CA">
      <w:rPr>
        <w:rStyle w:val="PageNumber"/>
        <w:b/>
        <w:bCs/>
        <w:noProof/>
      </w:rPr>
      <w:t>ii</w:t>
    </w:r>
    <w:r>
      <w:rPr>
        <w:rStyle w:val="PageNumber"/>
        <w:b/>
        <w:bCs/>
      </w:rPr>
      <w:fldChar w:fldCharType="end"/>
    </w:r>
    <w:r w:rsidRPr="00FC42AF">
      <w:tab/>
    </w:r>
    <w:fldSimple w:instr=" DOCPROPERTY &quot;Header&quot; \* MERGEFORMAT ">
      <w:r w:rsidR="00A362CA" w:rsidRPr="00A362C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362CA">
      <w:rPr>
        <w:b/>
        <w:bCs/>
        <w:noProof/>
      </w:rPr>
      <w:t>ITU-R  M.2068-0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59C" w:rsidRDefault="000F059C">
    <w:r>
      <w:tab/>
    </w:r>
    <w:fldSimple w:instr=" DOCPROPERTY &quot;Header&quot; \* MERGEFORMAT ">
      <w:r w:rsidR="00A362CA" w:rsidRPr="00A362C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62CA">
      <w:rPr>
        <w:b/>
        <w:bCs/>
        <w:noProof/>
      </w:rPr>
      <w:t>ITU-R  M.2068-0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5AB" w:rsidRPr="00FC42AF" w:rsidRDefault="002C65AB" w:rsidP="002C65AB">
    <w:pPr>
      <w:tabs>
        <w:tab w:val="clear" w:pos="794"/>
        <w:tab w:val="clear" w:pos="1191"/>
        <w:tab w:val="clear" w:pos="1588"/>
        <w:tab w:val="clear" w:pos="1985"/>
        <w:tab w:val="center" w:pos="4848"/>
        <w:tab w:val="center" w:pos="9696"/>
      </w:tabs>
      <w:jc w:val="left"/>
    </w:pPr>
    <w:r w:rsidRPr="00FC42AF">
      <w:tab/>
    </w:r>
    <w:r w:rsidR="00A362CA">
      <w:fldChar w:fldCharType="begin"/>
    </w:r>
    <w:r w:rsidR="00A362CA">
      <w:instrText xml:space="preserve"> DOCPROPERTY "Header" \* MER</w:instrText>
    </w:r>
    <w:r w:rsidR="00A362CA">
      <w:instrText xml:space="preserve">GEFORMAT </w:instrText>
    </w:r>
    <w:r w:rsidR="00A362CA">
      <w:fldChar w:fldCharType="separate"/>
    </w:r>
    <w:r w:rsidR="00A362CA" w:rsidRPr="00A362CA">
      <w:rPr>
        <w:b/>
        <w:bCs/>
      </w:rPr>
      <w:t xml:space="preserve">Rec. </w:t>
    </w:r>
    <w:r w:rsidR="00A362C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362CA">
      <w:rPr>
        <w:b/>
        <w:bCs/>
        <w:noProof/>
      </w:rPr>
      <w:t>ITU-R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2C37">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47C" w:rsidRPr="00FC42AF" w:rsidRDefault="00372C37" w:rsidP="00372C37">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362CA">
      <w:rPr>
        <w:rStyle w:val="PageNumber"/>
        <w:b/>
        <w:bCs/>
        <w:noProof/>
      </w:rPr>
      <w:t>4</w:t>
    </w:r>
    <w:r>
      <w:rPr>
        <w:rStyle w:val="PageNumber"/>
        <w:b/>
        <w:bCs/>
      </w:rPr>
      <w:fldChar w:fldCharType="end"/>
    </w:r>
    <w:r w:rsidRPr="00FC42AF">
      <w:tab/>
    </w:r>
    <w:r w:rsidR="00A362CA">
      <w:fldChar w:fldCharType="begin"/>
    </w:r>
    <w:r w:rsidR="00A362CA">
      <w:instrText xml:space="preserve"> DOCPROPERTY "Header" \* MERGEFORMAT </w:instrText>
    </w:r>
    <w:r w:rsidR="00A362CA">
      <w:fldChar w:fldCharType="separate"/>
    </w:r>
    <w:r w:rsidR="00A362CA" w:rsidRPr="00A362CA">
      <w:rPr>
        <w:b/>
        <w:bCs/>
      </w:rPr>
      <w:t xml:space="preserve">Rec. </w:t>
    </w:r>
    <w:r w:rsidR="00A362C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362CA">
      <w:rPr>
        <w:b/>
        <w:bCs/>
        <w:noProof/>
      </w:rPr>
      <w:t>ITU-R  M.2068-0</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4E" w:rsidRPr="00DA047C" w:rsidRDefault="00372C37" w:rsidP="00372C37">
    <w:pPr>
      <w:pStyle w:val="Header"/>
      <w:tabs>
        <w:tab w:val="clear" w:pos="4848"/>
        <w:tab w:val="clear" w:pos="9696"/>
        <w:tab w:val="center" w:pos="7088"/>
        <w:tab w:val="right" w:pos="14459"/>
      </w:tabs>
      <w:jc w:val="left"/>
      <w:rPr>
        <w:rStyle w:val="PageNumber"/>
      </w:rPr>
    </w:pPr>
    <w:r w:rsidRPr="00FC42AF">
      <w:tab/>
    </w:r>
    <w:r w:rsidR="00A362CA">
      <w:fldChar w:fldCharType="begin"/>
    </w:r>
    <w:r w:rsidR="00A362CA">
      <w:instrText xml:space="preserve"> DOCPROPERTY "Header" \* MERGEFORMAT </w:instrText>
    </w:r>
    <w:r w:rsidR="00A362CA">
      <w:fldChar w:fldCharType="separate"/>
    </w:r>
    <w:r w:rsidR="00A362CA" w:rsidRPr="00A362CA">
      <w:rPr>
        <w:b/>
        <w:bCs/>
      </w:rPr>
      <w:t xml:space="preserve">Rec. </w:t>
    </w:r>
    <w:r w:rsidR="00A362C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362CA">
      <w:rPr>
        <w:b/>
        <w:bCs/>
        <w:noProof/>
      </w:rPr>
      <w:t>ITU-R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362CA">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62CA">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362CA" w:rsidRPr="00A362C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62CA">
      <w:rPr>
        <w:b/>
        <w:bCs/>
        <w:noProof/>
      </w:rPr>
      <w:t>ITU-R  M.2068-0</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59C"/>
    <w:rsid w:val="000A625B"/>
    <w:rsid w:val="000F059C"/>
    <w:rsid w:val="001F7403"/>
    <w:rsid w:val="00217EBF"/>
    <w:rsid w:val="00242AEE"/>
    <w:rsid w:val="002C65AB"/>
    <w:rsid w:val="002D76C4"/>
    <w:rsid w:val="002F5E63"/>
    <w:rsid w:val="00372C37"/>
    <w:rsid w:val="00487C69"/>
    <w:rsid w:val="005010CE"/>
    <w:rsid w:val="00507ED6"/>
    <w:rsid w:val="00511E1F"/>
    <w:rsid w:val="005222CF"/>
    <w:rsid w:val="0052529D"/>
    <w:rsid w:val="00544D56"/>
    <w:rsid w:val="005943DC"/>
    <w:rsid w:val="005E6383"/>
    <w:rsid w:val="00604015"/>
    <w:rsid w:val="00605C8C"/>
    <w:rsid w:val="00607D68"/>
    <w:rsid w:val="006514EC"/>
    <w:rsid w:val="00692B6A"/>
    <w:rsid w:val="006C2BE0"/>
    <w:rsid w:val="007468DA"/>
    <w:rsid w:val="00802B4E"/>
    <w:rsid w:val="00807F82"/>
    <w:rsid w:val="008C1A50"/>
    <w:rsid w:val="008F0993"/>
    <w:rsid w:val="00966C95"/>
    <w:rsid w:val="009C133E"/>
    <w:rsid w:val="009C7BDC"/>
    <w:rsid w:val="009E00A8"/>
    <w:rsid w:val="00A256E8"/>
    <w:rsid w:val="00A362CA"/>
    <w:rsid w:val="00A6617B"/>
    <w:rsid w:val="00AB0DC8"/>
    <w:rsid w:val="00AB43BB"/>
    <w:rsid w:val="00AC360D"/>
    <w:rsid w:val="00B364E9"/>
    <w:rsid w:val="00B44E24"/>
    <w:rsid w:val="00C20366"/>
    <w:rsid w:val="00C45554"/>
    <w:rsid w:val="00C75DAC"/>
    <w:rsid w:val="00DA047C"/>
    <w:rsid w:val="00DA5A32"/>
    <w:rsid w:val="00DF4176"/>
    <w:rsid w:val="00E1511D"/>
    <w:rsid w:val="00E23DE4"/>
    <w:rsid w:val="00E37AAE"/>
    <w:rsid w:val="00EE6D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5:docId w15:val="{0C8E6454-FC57-4548-8BEB-EA40B6C86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5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uiPriority w:val="99"/>
    <w:locked/>
    <w:rsid w:val="000F059C"/>
    <w:rPr>
      <w:b/>
      <w:sz w:val="22"/>
      <w:lang w:val="fr-FR" w:eastAsia="en-US"/>
    </w:rPr>
  </w:style>
  <w:style w:type="character" w:customStyle="1" w:styleId="TabletextChar">
    <w:name w:val="Table_text Char"/>
    <w:basedOn w:val="DefaultParagraphFont"/>
    <w:link w:val="Tabletext"/>
    <w:locked/>
    <w:rsid w:val="000F059C"/>
    <w:rPr>
      <w:sz w:val="22"/>
      <w:lang w:val="fr-FR" w:eastAsia="en-US"/>
    </w:rPr>
  </w:style>
  <w:style w:type="character" w:styleId="Hyperlink">
    <w:name w:val="Hyperlink"/>
    <w:basedOn w:val="DefaultParagraphFont"/>
    <w:rsid w:val="000F059C"/>
    <w:rPr>
      <w:color w:val="0000FF"/>
      <w:u w:val="single"/>
    </w:rPr>
  </w:style>
  <w:style w:type="character" w:customStyle="1" w:styleId="FooterChar">
    <w:name w:val="Footer Char"/>
    <w:basedOn w:val="DefaultParagraphFont"/>
    <w:link w:val="Footer"/>
    <w:rsid w:val="00802B4E"/>
    <w:rPr>
      <w:noProof/>
      <w:sz w:val="18"/>
      <w:lang w:val="fr-FR" w:eastAsia="en-US"/>
    </w:rPr>
  </w:style>
  <w:style w:type="character" w:customStyle="1" w:styleId="HeaderChar">
    <w:name w:val="Header Char"/>
    <w:basedOn w:val="DefaultParagraphFont"/>
    <w:link w:val="Header"/>
    <w:uiPriority w:val="99"/>
    <w:rsid w:val="00802B4E"/>
    <w:rPr>
      <w:sz w:val="24"/>
      <w:lang w:val="fr-FR" w:eastAsia="en-US"/>
    </w:rPr>
  </w:style>
  <w:style w:type="character" w:customStyle="1" w:styleId="HeadingbChar">
    <w:name w:val="Heading_b Char"/>
    <w:link w:val="Headingb"/>
    <w:uiPriority w:val="99"/>
    <w:locked/>
    <w:rsid w:val="00802B4E"/>
    <w:rPr>
      <w:b/>
      <w:sz w:val="24"/>
      <w:lang w:val="fr-FR" w:eastAsia="en-US"/>
    </w:rPr>
  </w:style>
  <w:style w:type="character" w:customStyle="1" w:styleId="CallChar">
    <w:name w:val="Call Char"/>
    <w:link w:val="Call"/>
    <w:uiPriority w:val="99"/>
    <w:locked/>
    <w:rsid w:val="00802B4E"/>
    <w:rPr>
      <w:i/>
      <w:sz w:val="24"/>
      <w:lang w:val="fr-FR" w:eastAsia="en-US"/>
    </w:rPr>
  </w:style>
  <w:style w:type="paragraph" w:styleId="BalloonText">
    <w:name w:val="Balloon Text"/>
    <w:basedOn w:val="Normal"/>
    <w:link w:val="BalloonTextChar"/>
    <w:semiHidden/>
    <w:unhideWhenUsed/>
    <w:rsid w:val="006514E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514EC"/>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F0DE1-344E-4571-8528-94D614781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TotalTime>
  <Pages>8</Pages>
  <Words>2206</Words>
  <Characters>12930</Characters>
  <Application>Microsoft Office Word</Application>
  <DocSecurity>0</DocSecurity>
  <Lines>538</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40</cp:revision>
  <cp:lastPrinted>2015-09-18T13:52:00Z</cp:lastPrinted>
  <dcterms:created xsi:type="dcterms:W3CDTF">2014-12-15T10:21:00Z</dcterms:created>
  <dcterms:modified xsi:type="dcterms:W3CDTF">2015-09-18T13:53:00Z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