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A391A"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3A391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</w:t>
            </w:r>
            <w:r w:rsidR="003A391A"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7-0</w:t>
            </w:r>
          </w:p>
          <w:p w:rsidR="00FE79FE" w:rsidRPr="00225DDD" w:rsidRDefault="00FE79FE" w:rsidP="004D14D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A391A" w:rsidRPr="00BC16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3A391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="003A391A" w:rsidRPr="00BC16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/2015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270E7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3A391A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характеристики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критерии защиты систем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беспроводной бортовой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внутренней связи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270E7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D270E7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D270E7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D270E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D270E7" w:rsidRPr="00D270E7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6E56A2" w:rsidRPr="00D270E7" w:rsidRDefault="00B62AB1" w:rsidP="00D270E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D270E7" w:rsidRPr="00D270E7">
        <w:rPr>
          <w:sz w:val="20"/>
          <w:lang w:val="ru-RU"/>
        </w:rPr>
        <w:t>6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1B0414" w:rsidRPr="00BC16D8">
        <w:rPr>
          <w:rStyle w:val="href"/>
          <w:rFonts w:eastAsia="MS Mincho"/>
          <w:szCs w:val="28"/>
          <w:lang w:val="ru-RU"/>
        </w:rPr>
        <w:t>20</w:t>
      </w:r>
      <w:r w:rsidR="001B0414">
        <w:rPr>
          <w:rStyle w:val="href"/>
          <w:rFonts w:eastAsia="MS Mincho"/>
          <w:szCs w:val="28"/>
          <w:lang w:val="ru-RU"/>
        </w:rPr>
        <w:t>6</w:t>
      </w:r>
      <w:r w:rsidR="001B0414" w:rsidRPr="00BC16D8">
        <w:rPr>
          <w:rStyle w:val="href"/>
          <w:rFonts w:eastAsia="MS Mincho"/>
          <w:szCs w:val="28"/>
          <w:lang w:val="ru-RU"/>
        </w:rPr>
        <w:t>7-0</w:t>
      </w:r>
    </w:p>
    <w:p w:rsidR="001B0414" w:rsidRPr="00BC16D8" w:rsidRDefault="001B0414" w:rsidP="001B0414">
      <w:pPr>
        <w:pStyle w:val="Rectitle"/>
        <w:rPr>
          <w:lang w:val="ru-RU"/>
        </w:rPr>
      </w:pPr>
      <w:r w:rsidRPr="00286B25">
        <w:rPr>
          <w:lang w:val="ru-RU"/>
        </w:rPr>
        <w:t xml:space="preserve">Технические характеристики и критерии защиты систем </w:t>
      </w:r>
      <w:r>
        <w:rPr>
          <w:lang w:val="ru-RU"/>
        </w:rPr>
        <w:br/>
      </w:r>
      <w:r w:rsidRPr="00286B25">
        <w:rPr>
          <w:lang w:val="ru-RU"/>
        </w:rPr>
        <w:t>беспроводной бортовой внутренней связи</w:t>
      </w:r>
    </w:p>
    <w:p w:rsidR="001B0414" w:rsidRPr="00BC16D8" w:rsidRDefault="001B0414" w:rsidP="001B0414">
      <w:pPr>
        <w:pStyle w:val="Questiondate"/>
        <w:rPr>
          <w:lang w:val="ru-RU"/>
        </w:rPr>
      </w:pPr>
      <w:r w:rsidRPr="00BC16D8">
        <w:rPr>
          <w:lang w:val="ru-RU"/>
        </w:rPr>
        <w:t xml:space="preserve"> (201</w:t>
      </w:r>
      <w:r>
        <w:rPr>
          <w:lang w:val="ru-RU"/>
        </w:rPr>
        <w:t>4</w:t>
      </w:r>
      <w:r w:rsidRPr="00BC16D8">
        <w:rPr>
          <w:lang w:val="ru-RU"/>
        </w:rPr>
        <w:t>)</w:t>
      </w:r>
    </w:p>
    <w:p w:rsidR="001B0414" w:rsidRPr="00BC16D8" w:rsidRDefault="001B0414" w:rsidP="001B0414">
      <w:pPr>
        <w:pStyle w:val="HeadingSum"/>
        <w:rPr>
          <w:rFonts w:eastAsia="SimSun"/>
          <w:lang w:val="ru-RU"/>
        </w:rPr>
      </w:pPr>
      <w:r w:rsidRPr="00BC16D8">
        <w:rPr>
          <w:rFonts w:eastAsia="SimSun"/>
          <w:lang w:val="ru-RU"/>
        </w:rPr>
        <w:t>Сфера применения</w:t>
      </w:r>
    </w:p>
    <w:p w:rsidR="001B0414" w:rsidRPr="00BC16D8" w:rsidRDefault="001B0414" w:rsidP="001B0414">
      <w:pPr>
        <w:pStyle w:val="Summary"/>
        <w:rPr>
          <w:lang w:val="ru-RU"/>
        </w:rPr>
      </w:pPr>
      <w:r w:rsidRPr="00286B25">
        <w:rPr>
          <w:lang w:val="ru-RU"/>
        </w:rPr>
        <w:t>В данной Рекомендации приводятся технические и эксплуатационные характеристики, а также критерии защиты систем беспроводной бортовой внутренней связи (WAIC). Эти характеристики предназначены для использования при оценке совместимости систем WAIC с другими службами.</w:t>
      </w:r>
    </w:p>
    <w:p w:rsidR="001B0414" w:rsidRPr="00BC16D8" w:rsidRDefault="001B0414" w:rsidP="001B0414">
      <w:pPr>
        <w:pStyle w:val="Headingb"/>
        <w:rPr>
          <w:lang w:val="ru-RU"/>
        </w:rPr>
      </w:pPr>
      <w:r w:rsidRPr="00BC16D8">
        <w:rPr>
          <w:lang w:val="ru-RU"/>
        </w:rPr>
        <w:t>Ключевые слова</w:t>
      </w:r>
    </w:p>
    <w:p w:rsidR="001B0414" w:rsidRDefault="001B0414" w:rsidP="001B0414">
      <w:pPr>
        <w:rPr>
          <w:szCs w:val="24"/>
          <w:lang w:val="ru-RU"/>
        </w:rPr>
      </w:pPr>
      <w:r w:rsidRPr="00286B25">
        <w:rPr>
          <w:szCs w:val="24"/>
          <w:lang w:val="ru-RU"/>
        </w:rPr>
        <w:t>Воздушный, бортовое электронное оборудование, воздушное судно, критерии защиты</w:t>
      </w:r>
      <w:r>
        <w:rPr>
          <w:szCs w:val="24"/>
          <w:lang w:val="ru-RU"/>
        </w:rPr>
        <w:t>.</w:t>
      </w:r>
    </w:p>
    <w:p w:rsidR="001B0414" w:rsidRDefault="001B0414" w:rsidP="001B0414">
      <w:pPr>
        <w:pStyle w:val="Headingb"/>
        <w:rPr>
          <w:lang w:val="ru-RU"/>
        </w:rPr>
      </w:pPr>
      <w:r w:rsidRPr="00286B25"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636"/>
      </w:tblGrid>
      <w:tr w:rsidR="001B0414" w:rsidRPr="00814A3E" w:rsidTr="007F24A7">
        <w:tc>
          <w:tcPr>
            <w:tcW w:w="993" w:type="dxa"/>
          </w:tcPr>
          <w:p w:rsidR="001B0414" w:rsidRDefault="001B0414" w:rsidP="007F24A7">
            <w:pPr>
              <w:rPr>
                <w:szCs w:val="24"/>
                <w:lang w:val="ru-RU"/>
              </w:rPr>
            </w:pPr>
            <w:proofErr w:type="spellStart"/>
            <w:r w:rsidRPr="00286B25">
              <w:rPr>
                <w:szCs w:val="24"/>
                <w:lang w:val="ru-RU"/>
              </w:rPr>
              <w:t>SARPs</w:t>
            </w:r>
            <w:proofErr w:type="spellEnd"/>
          </w:p>
        </w:tc>
        <w:tc>
          <w:tcPr>
            <w:tcW w:w="8636" w:type="dxa"/>
          </w:tcPr>
          <w:p w:rsidR="001B0414" w:rsidRPr="00286B25" w:rsidRDefault="001B0414" w:rsidP="007F24A7">
            <w:pPr>
              <w:rPr>
                <w:szCs w:val="24"/>
                <w:lang w:val="en-US"/>
              </w:rPr>
            </w:pPr>
            <w:r w:rsidRPr="00286B25">
              <w:rPr>
                <w:szCs w:val="24"/>
                <w:lang w:val="en-US"/>
              </w:rPr>
              <w:t xml:space="preserve">(Standards and recommended practices): </w:t>
            </w:r>
            <w:r w:rsidRPr="00286B25">
              <w:rPr>
                <w:szCs w:val="24"/>
                <w:lang w:val="ru-RU"/>
              </w:rPr>
              <w:t>Стандарты</w:t>
            </w:r>
            <w:r w:rsidRPr="00286B25">
              <w:rPr>
                <w:szCs w:val="24"/>
                <w:lang w:val="en-US"/>
              </w:rPr>
              <w:t xml:space="preserve"> </w:t>
            </w:r>
            <w:r w:rsidRPr="00286B25">
              <w:rPr>
                <w:szCs w:val="24"/>
                <w:lang w:val="ru-RU"/>
              </w:rPr>
              <w:t>и</w:t>
            </w:r>
            <w:r w:rsidRPr="00286B25">
              <w:rPr>
                <w:szCs w:val="24"/>
                <w:lang w:val="en-US"/>
              </w:rPr>
              <w:t xml:space="preserve"> </w:t>
            </w:r>
            <w:r w:rsidRPr="00286B25">
              <w:rPr>
                <w:szCs w:val="24"/>
                <w:lang w:val="ru-RU"/>
              </w:rPr>
              <w:t>рекомендуемая</w:t>
            </w:r>
            <w:r w:rsidRPr="00286B25">
              <w:rPr>
                <w:szCs w:val="24"/>
                <w:lang w:val="en-US"/>
              </w:rPr>
              <w:t xml:space="preserve"> </w:t>
            </w:r>
            <w:r w:rsidRPr="00286B25">
              <w:rPr>
                <w:szCs w:val="24"/>
                <w:lang w:val="ru-RU"/>
              </w:rPr>
              <w:t>практика</w:t>
            </w:r>
            <w:r w:rsidRPr="00814A3E">
              <w:rPr>
                <w:szCs w:val="24"/>
                <w:lang w:val="en-US"/>
              </w:rPr>
              <w:t>.</w:t>
            </w:r>
          </w:p>
        </w:tc>
      </w:tr>
      <w:tr w:rsidR="001B0414" w:rsidRPr="00814A3E" w:rsidTr="007F24A7">
        <w:tc>
          <w:tcPr>
            <w:tcW w:w="993" w:type="dxa"/>
          </w:tcPr>
          <w:p w:rsidR="001B0414" w:rsidRPr="00286B25" w:rsidRDefault="001B0414" w:rsidP="007F24A7">
            <w:pPr>
              <w:rPr>
                <w:szCs w:val="24"/>
                <w:lang w:val="en-US"/>
              </w:rPr>
            </w:pPr>
            <w:r w:rsidRPr="00286B25">
              <w:rPr>
                <w:szCs w:val="24"/>
                <w:lang w:val="en-US"/>
              </w:rPr>
              <w:t>WAIC</w:t>
            </w:r>
          </w:p>
        </w:tc>
        <w:tc>
          <w:tcPr>
            <w:tcW w:w="8636" w:type="dxa"/>
          </w:tcPr>
          <w:p w:rsidR="001B0414" w:rsidRPr="00286B25" w:rsidRDefault="001B0414" w:rsidP="007F24A7">
            <w:pPr>
              <w:rPr>
                <w:szCs w:val="24"/>
                <w:lang w:val="ru-RU"/>
              </w:rPr>
            </w:pPr>
            <w:r w:rsidRPr="00286B25">
              <w:rPr>
                <w:szCs w:val="24"/>
                <w:lang w:val="ru-RU"/>
              </w:rPr>
              <w:t>(</w:t>
            </w:r>
            <w:r w:rsidRPr="00286B25">
              <w:rPr>
                <w:szCs w:val="24"/>
                <w:lang w:val="en-US"/>
              </w:rPr>
              <w:t>Wireless</w:t>
            </w:r>
            <w:r w:rsidRPr="00286B25">
              <w:rPr>
                <w:szCs w:val="24"/>
                <w:lang w:val="ru-RU"/>
              </w:rPr>
              <w:t xml:space="preserve"> </w:t>
            </w:r>
            <w:r w:rsidRPr="00286B25">
              <w:rPr>
                <w:szCs w:val="24"/>
                <w:lang w:val="en-US"/>
              </w:rPr>
              <w:t>avionics</w:t>
            </w:r>
            <w:r w:rsidRPr="00286B25">
              <w:rPr>
                <w:szCs w:val="24"/>
                <w:lang w:val="ru-RU"/>
              </w:rPr>
              <w:t xml:space="preserve"> </w:t>
            </w:r>
            <w:r w:rsidRPr="00286B25">
              <w:rPr>
                <w:szCs w:val="24"/>
                <w:lang w:val="en-US"/>
              </w:rPr>
              <w:t>intra</w:t>
            </w:r>
            <w:r w:rsidRPr="00286B25">
              <w:rPr>
                <w:szCs w:val="24"/>
                <w:lang w:val="ru-RU"/>
              </w:rPr>
              <w:t>-</w:t>
            </w:r>
            <w:r w:rsidRPr="00286B25">
              <w:rPr>
                <w:szCs w:val="24"/>
                <w:lang w:val="en-US"/>
              </w:rPr>
              <w:t>communication</w:t>
            </w:r>
            <w:r w:rsidRPr="00286B25">
              <w:rPr>
                <w:szCs w:val="24"/>
                <w:lang w:val="ru-RU"/>
              </w:rPr>
              <w:t>): Беспроводная бортовая внутренняя связь – радиосвязь между двумя или несколькими бортовыми станциями, расположенными на</w:t>
            </w:r>
            <w:r>
              <w:rPr>
                <w:szCs w:val="24"/>
                <w:lang w:val="ru-RU"/>
              </w:rPr>
              <w:t> </w:t>
            </w:r>
            <w:r w:rsidRPr="00286B25">
              <w:rPr>
                <w:szCs w:val="24"/>
                <w:lang w:val="ru-RU"/>
              </w:rPr>
              <w:t>одном воздушном судне, которые обеспечивают безопасность полетов этого воздушного судна.</w:t>
            </w:r>
          </w:p>
        </w:tc>
      </w:tr>
    </w:tbl>
    <w:p w:rsidR="001B0414" w:rsidRPr="00286B25" w:rsidRDefault="001B0414" w:rsidP="001B0414">
      <w:pPr>
        <w:rPr>
          <w:szCs w:val="24"/>
          <w:lang w:val="ru-RU"/>
        </w:rPr>
      </w:pPr>
    </w:p>
    <w:p w:rsidR="001B0414" w:rsidRPr="00286B25" w:rsidRDefault="001B0414" w:rsidP="001B0414">
      <w:pPr>
        <w:pStyle w:val="Headingb"/>
        <w:rPr>
          <w:lang w:val="ru-RU"/>
        </w:rPr>
      </w:pPr>
      <w:r w:rsidRPr="00286B25">
        <w:rPr>
          <w:lang w:val="ru-RU"/>
        </w:rPr>
        <w:t xml:space="preserve">Соответствующие Рекомендации/Отчеты МСЭ </w:t>
      </w:r>
    </w:p>
    <w:p w:rsidR="001B0414" w:rsidRPr="00BC16D8" w:rsidRDefault="001B0414" w:rsidP="001B0414">
      <w:pPr>
        <w:rPr>
          <w:szCs w:val="24"/>
          <w:lang w:val="ru-RU"/>
        </w:rPr>
      </w:pPr>
      <w:r w:rsidRPr="00286B25">
        <w:rPr>
          <w:szCs w:val="24"/>
          <w:lang w:val="ru-RU"/>
        </w:rPr>
        <w:t>Отчет МСЭ-R M.2283</w:t>
      </w:r>
      <w:r>
        <w:rPr>
          <w:szCs w:val="24"/>
          <w:lang w:val="ru-RU"/>
        </w:rPr>
        <w:t>.</w:t>
      </w:r>
    </w:p>
    <w:p w:rsidR="001B0414" w:rsidRPr="00BC16D8" w:rsidRDefault="001B0414" w:rsidP="001B0414">
      <w:pPr>
        <w:pStyle w:val="Normalaftertitle"/>
        <w:rPr>
          <w:lang w:val="ru-RU"/>
        </w:rPr>
      </w:pPr>
      <w:r w:rsidRPr="00BC16D8">
        <w:rPr>
          <w:lang w:val="ru-RU"/>
        </w:rPr>
        <w:t>Ассамблея радиосвязи МСЭ,</w:t>
      </w:r>
    </w:p>
    <w:p w:rsidR="001B0414" w:rsidRPr="00BC16D8" w:rsidRDefault="001B0414" w:rsidP="001B0414">
      <w:pPr>
        <w:pStyle w:val="Call"/>
        <w:rPr>
          <w:lang w:val="ru-RU"/>
        </w:rPr>
      </w:pPr>
      <w:r w:rsidRPr="00BC16D8">
        <w:rPr>
          <w:lang w:val="ru-RU"/>
        </w:rPr>
        <w:t>учитывая</w:t>
      </w:r>
      <w:r w:rsidRPr="00BC16D8">
        <w:rPr>
          <w:i w:val="0"/>
          <w:iCs/>
          <w:lang w:val="ru-RU"/>
        </w:rPr>
        <w:t>,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a)</w:t>
      </w:r>
      <w:r w:rsidRPr="00286B25">
        <w:rPr>
          <w:lang w:val="ru-RU"/>
        </w:rPr>
        <w:tab/>
        <w:t>что в настоящее время проектируются коммерческие воздушные суда будущего поколения, которые должны стать более рентабельными, безопасными и надежными, а также не оказывающими отрицательного воздействия на окружающую среду;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b)</w:t>
      </w:r>
      <w:r w:rsidRPr="00286B25">
        <w:rPr>
          <w:lang w:val="ru-RU"/>
        </w:rPr>
        <w:tab/>
        <w:t>что системы беспроводной бортовой внутренней связи (WAIC) обеспечивают радиосвязь между двумя или несколькими точками, встроенными в воздушное судно или помещенными на нем;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c)</w:t>
      </w:r>
      <w:r w:rsidRPr="00286B25">
        <w:rPr>
          <w:lang w:val="ru-RU"/>
        </w:rPr>
        <w:tab/>
        <w:t>что системы WAIC не обеспечивают радиосвязь между воздушным судном и землей, другим воздушным судном или спутником;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d)</w:t>
      </w:r>
      <w:r w:rsidRPr="00286B25">
        <w:rPr>
          <w:lang w:val="ru-RU"/>
        </w:rPr>
        <w:tab/>
        <w:t>что системы WAIC должны функционировать таким образом, чтобы обеспечивать безопасность полетов воздушного судна;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e)</w:t>
      </w:r>
      <w:r w:rsidRPr="00286B25">
        <w:rPr>
          <w:lang w:val="ru-RU"/>
        </w:rPr>
        <w:tab/>
        <w:t>что системы WAIC работают в течение всех этапов полета, в том числе на земле;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f)</w:t>
      </w:r>
      <w:r w:rsidRPr="00286B25">
        <w:rPr>
          <w:lang w:val="ru-RU"/>
        </w:rPr>
        <w:tab/>
        <w:t>что воздушное судно, оборудованное системами WAIC, эксплуатируется на глобальной основе и пересекает национальные границы;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g)</w:t>
      </w:r>
      <w:r w:rsidRPr="00286B25">
        <w:rPr>
          <w:lang w:val="ru-RU"/>
        </w:rPr>
        <w:tab/>
        <w:t>что сигналы WAIC будут ослабляться фюзеляжем воздушного судна,</w:t>
      </w:r>
    </w:p>
    <w:p w:rsidR="001B0414" w:rsidRPr="00286B25" w:rsidRDefault="001B0414" w:rsidP="001B0414">
      <w:pPr>
        <w:pStyle w:val="Call"/>
        <w:rPr>
          <w:lang w:val="ru-RU"/>
        </w:rPr>
      </w:pPr>
      <w:r w:rsidRPr="00286B25">
        <w:rPr>
          <w:lang w:val="ru-RU"/>
        </w:rPr>
        <w:t>признавая</w:t>
      </w:r>
      <w:r w:rsidRPr="00B64295">
        <w:rPr>
          <w:i w:val="0"/>
          <w:iCs/>
          <w:lang w:val="ru-RU"/>
        </w:rPr>
        <w:t>,</w:t>
      </w:r>
    </w:p>
    <w:p w:rsidR="001B0414" w:rsidRPr="00286B25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a)</w:t>
      </w:r>
      <w:r w:rsidRPr="00286B25">
        <w:rPr>
          <w:lang w:val="ru-RU"/>
        </w:rPr>
        <w:tab/>
        <w:t>что Международная организация гражданской авиации разрабатывает стандарты и</w:t>
      </w:r>
      <w:r>
        <w:rPr>
          <w:lang w:val="ru-RU"/>
        </w:rPr>
        <w:t> </w:t>
      </w:r>
      <w:r w:rsidRPr="00286B25">
        <w:rPr>
          <w:lang w:val="ru-RU"/>
        </w:rPr>
        <w:t>рекомендуемую практику для гражданской авиации;</w:t>
      </w:r>
    </w:p>
    <w:p w:rsidR="001B0414" w:rsidRPr="00BC16D8" w:rsidRDefault="001B0414" w:rsidP="001B0414">
      <w:pPr>
        <w:rPr>
          <w:lang w:val="ru-RU"/>
        </w:rPr>
      </w:pPr>
      <w:r w:rsidRPr="00D85923">
        <w:rPr>
          <w:i/>
          <w:iCs/>
          <w:lang w:val="ru-RU"/>
        </w:rPr>
        <w:t>b)</w:t>
      </w:r>
      <w:r w:rsidRPr="00286B25">
        <w:rPr>
          <w:lang w:val="ru-RU"/>
        </w:rPr>
        <w:tab/>
        <w:t>что в Приложении 10 к Конвенции о международной гражданской авиации содержатся стандарты и рекомендуемая практика для систем воздушной радионавигации и радиосвязи, используемых в международной гражданской авиации,</w:t>
      </w:r>
    </w:p>
    <w:p w:rsidR="001B0414" w:rsidRPr="00B64295" w:rsidRDefault="001B0414" w:rsidP="001B0414">
      <w:pPr>
        <w:pStyle w:val="Call"/>
        <w:rPr>
          <w:i w:val="0"/>
          <w:iCs/>
          <w:lang w:val="ru-RU"/>
        </w:rPr>
      </w:pPr>
      <w:r w:rsidRPr="00BC16D8">
        <w:rPr>
          <w:lang w:val="ru-RU"/>
        </w:rPr>
        <w:lastRenderedPageBreak/>
        <w:t>отмечая</w:t>
      </w:r>
      <w:r>
        <w:rPr>
          <w:i w:val="0"/>
          <w:iCs/>
          <w:lang w:val="ru-RU"/>
        </w:rPr>
        <w:t>,</w:t>
      </w:r>
    </w:p>
    <w:p w:rsidR="001B0414" w:rsidRPr="00286B25" w:rsidRDefault="001B0414" w:rsidP="001B0414">
      <w:pPr>
        <w:rPr>
          <w:szCs w:val="24"/>
          <w:lang w:val="ru-RU"/>
        </w:rPr>
      </w:pPr>
      <w:r w:rsidRPr="00286B25">
        <w:rPr>
          <w:lang w:val="ru-RU"/>
        </w:rPr>
        <w:t xml:space="preserve">что </w:t>
      </w:r>
      <w:r w:rsidRPr="00286B25">
        <w:t>WAIC</w:t>
      </w:r>
      <w:r w:rsidRPr="00286B25">
        <w:rPr>
          <w:lang w:val="ru-RU"/>
        </w:rPr>
        <w:t xml:space="preserve"> определяется как радиосвязь между двумя или несколькими бортовыми станциями, расположенными на одном воздушном судне, которые обеспечивают безопасность полетов этого воздушного судна,</w:t>
      </w:r>
    </w:p>
    <w:p w:rsidR="001B0414" w:rsidRPr="00BC16D8" w:rsidRDefault="001B0414" w:rsidP="001B0414">
      <w:pPr>
        <w:pStyle w:val="Call"/>
        <w:rPr>
          <w:i w:val="0"/>
          <w:iCs/>
          <w:szCs w:val="24"/>
          <w:lang w:val="ru-RU"/>
        </w:rPr>
      </w:pPr>
      <w:r w:rsidRPr="00BC16D8">
        <w:rPr>
          <w:szCs w:val="24"/>
          <w:lang w:val="ru-RU"/>
        </w:rPr>
        <w:t>рекомендует</w:t>
      </w:r>
      <w:r w:rsidRPr="00BC16D8">
        <w:rPr>
          <w:i w:val="0"/>
          <w:iCs/>
          <w:szCs w:val="24"/>
          <w:lang w:val="ru-RU"/>
        </w:rPr>
        <w:t>,</w:t>
      </w:r>
    </w:p>
    <w:p w:rsidR="001B0414" w:rsidRPr="00286B25" w:rsidRDefault="001B0414" w:rsidP="001B0414">
      <w:pPr>
        <w:rPr>
          <w:lang w:val="ru-RU"/>
        </w:rPr>
      </w:pPr>
      <w:r w:rsidRPr="00286B25">
        <w:rPr>
          <w:lang w:val="ru-RU"/>
        </w:rPr>
        <w:t xml:space="preserve">чтобы в исследованиях совместного использования частот и совместимости применялись технические и эксплуатационные характеристики, а также критерии защиты систем </w:t>
      </w:r>
      <w:r w:rsidRPr="00286B25">
        <w:t>WAIC</w:t>
      </w:r>
      <w:r w:rsidRPr="00286B25">
        <w:rPr>
          <w:lang w:val="ru-RU"/>
        </w:rPr>
        <w:t>, указанные в</w:t>
      </w:r>
      <w:r>
        <w:rPr>
          <w:lang w:val="ru-RU"/>
        </w:rPr>
        <w:t> </w:t>
      </w:r>
      <w:r w:rsidRPr="00286B25">
        <w:rPr>
          <w:lang w:val="ru-RU"/>
        </w:rPr>
        <w:t>Приложении.</w:t>
      </w:r>
    </w:p>
    <w:p w:rsidR="001B0414" w:rsidRPr="00814A3E" w:rsidRDefault="001B0414" w:rsidP="001B0414">
      <w:pPr>
        <w:rPr>
          <w:lang w:val="ru-RU"/>
        </w:rPr>
      </w:pPr>
    </w:p>
    <w:p w:rsidR="001B0414" w:rsidRPr="00814A3E" w:rsidRDefault="001B0414" w:rsidP="001B0414">
      <w:pPr>
        <w:rPr>
          <w:lang w:val="ru-RU"/>
        </w:rPr>
      </w:pPr>
    </w:p>
    <w:p w:rsidR="001B0414" w:rsidRPr="00814A3E" w:rsidRDefault="001B0414" w:rsidP="001B0414">
      <w:pPr>
        <w:rPr>
          <w:lang w:val="ru-RU"/>
        </w:rPr>
      </w:pPr>
    </w:p>
    <w:p w:rsidR="001B0414" w:rsidRPr="00BC16D8" w:rsidRDefault="001B0414" w:rsidP="00C11412">
      <w:pPr>
        <w:pStyle w:val="AnnexNoTitle"/>
        <w:rPr>
          <w:lang w:val="ru-RU"/>
        </w:rPr>
      </w:pPr>
      <w:r w:rsidRPr="00BC16D8">
        <w:rPr>
          <w:lang w:val="ru-RU"/>
        </w:rPr>
        <w:t xml:space="preserve">Приложение </w:t>
      </w:r>
      <w:r w:rsidRPr="00BC16D8">
        <w:rPr>
          <w:lang w:val="ru-RU"/>
        </w:rPr>
        <w:br/>
      </w:r>
      <w:r w:rsidRPr="00BC16D8">
        <w:rPr>
          <w:lang w:val="ru-RU"/>
        </w:rPr>
        <w:br/>
      </w:r>
      <w:r w:rsidRPr="00D85923">
        <w:rPr>
          <w:lang w:val="ru-RU"/>
        </w:rPr>
        <w:t>Технические характе</w:t>
      </w:r>
      <w:bookmarkStart w:id="3" w:name="_GoBack"/>
      <w:bookmarkEnd w:id="3"/>
      <w:r w:rsidRPr="00D85923">
        <w:rPr>
          <w:lang w:val="ru-RU"/>
        </w:rPr>
        <w:t>ристики и критерии защиты</w:t>
      </w:r>
      <w:r>
        <w:rPr>
          <w:lang w:val="ru-RU"/>
        </w:rPr>
        <w:br/>
      </w:r>
      <w:r w:rsidRPr="00D85923">
        <w:rPr>
          <w:lang w:val="ru-RU"/>
        </w:rPr>
        <w:t>систем беспроводной бортовой внутренней связи</w:t>
      </w:r>
    </w:p>
    <w:p w:rsidR="001B0414" w:rsidRPr="00D85923" w:rsidRDefault="001B0414" w:rsidP="001B0414">
      <w:pPr>
        <w:pStyle w:val="Heading1"/>
        <w:rPr>
          <w:lang w:val="ru-RU"/>
        </w:rPr>
      </w:pPr>
      <w:r w:rsidRPr="00D85923">
        <w:rPr>
          <w:lang w:val="ru-RU"/>
        </w:rPr>
        <w:t>1</w:t>
      </w:r>
      <w:r w:rsidRPr="00D85923">
        <w:rPr>
          <w:lang w:val="ru-RU"/>
        </w:rPr>
        <w:tab/>
        <w:t>Системы беспроводной бортовой внутренней связи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Системы беспроводной бортовой внутренней связи (WAIC) предоставляют разработчикам и</w:t>
      </w:r>
      <w:r>
        <w:rPr>
          <w:lang w:val="ru-RU"/>
        </w:rPr>
        <w:t> </w:t>
      </w:r>
      <w:proofErr w:type="spellStart"/>
      <w:r w:rsidRPr="00D85923">
        <w:rPr>
          <w:lang w:val="ru-RU"/>
        </w:rPr>
        <w:t>эксплуатантам</w:t>
      </w:r>
      <w:proofErr w:type="spellEnd"/>
      <w:r w:rsidRPr="00D85923">
        <w:rPr>
          <w:lang w:val="ru-RU"/>
        </w:rPr>
        <w:t xml:space="preserve"> воздушных судов возможность повысить безопасность полетов и эксплуатационную эффективность и при этом уменьшить затраты, а также увеличить рентабельность и надежность. 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Системы WAIC используют радиосвязь между двумя или более станциями на борту одного воздушного судна, составляя бортовые сети, обеспечивающие безопасность полетов этого воздушного судна. Передачи систем WAIC могут и не ограничиваться внутренней частью конструкции воздушного судна, и они не обеспечивают связь между воздушным судном и землей, другим воздушным судном или спутником.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Системы WAIC обеспечивают передачу данных и голоса, ограниченную безопасной, надежной и</w:t>
      </w:r>
      <w:r>
        <w:rPr>
          <w:lang w:val="ru-RU"/>
        </w:rPr>
        <w:t> </w:t>
      </w:r>
      <w:r w:rsidRPr="00D85923">
        <w:rPr>
          <w:lang w:val="ru-RU"/>
        </w:rPr>
        <w:t>эффективной эксплуатацией воздушного судна. Применения видеонаблюдения, связанные с</w:t>
      </w:r>
      <w:r>
        <w:rPr>
          <w:lang w:val="ru-RU"/>
        </w:rPr>
        <w:t> </w:t>
      </w:r>
      <w:r w:rsidRPr="00D85923">
        <w:rPr>
          <w:lang w:val="ru-RU"/>
        </w:rPr>
        <w:t>безопасностью, могут также включать системы связи, используемые экипажем для безопасного полета воздушного судна. Они не предназначены для обеспечения связи с пользовательскими устройствами, взятыми пассажирами на борт воздушного судна, или для бортовых развлекательных применений, а считаются относящимися исключительно к сети воздушного судна.</w:t>
      </w:r>
    </w:p>
    <w:p w:rsidR="001B0414" w:rsidRPr="00D85923" w:rsidRDefault="001B0414" w:rsidP="001B0414">
      <w:pPr>
        <w:pStyle w:val="Heading1"/>
        <w:rPr>
          <w:lang w:val="ru-RU"/>
        </w:rPr>
      </w:pPr>
      <w:r w:rsidRPr="00D85923">
        <w:rPr>
          <w:lang w:val="ru-RU"/>
        </w:rPr>
        <w:t>2</w:t>
      </w:r>
      <w:r w:rsidRPr="00D85923">
        <w:rPr>
          <w:lang w:val="ru-RU"/>
        </w:rPr>
        <w:tab/>
        <w:t>Классификация систем беспроводной бортовой внутренней связи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При обсуждении требований к системам WAIC и их показателей качества целесообразно классифицировать эти системы по двум характеристикам: скорости передачи данных (высоко- и</w:t>
      </w:r>
      <w:r>
        <w:rPr>
          <w:lang w:val="ru-RU"/>
        </w:rPr>
        <w:t> </w:t>
      </w:r>
      <w:r w:rsidRPr="00D85923">
        <w:rPr>
          <w:lang w:val="ru-RU"/>
        </w:rPr>
        <w:t>низкоскоростные) и месту установки передающих антенн систем WAIC (на внутренней или внешней поверхности фюзеляжа).</w:t>
      </w:r>
    </w:p>
    <w:p w:rsidR="001B0414" w:rsidRPr="00D85923" w:rsidRDefault="001B0414" w:rsidP="001B0414">
      <w:pPr>
        <w:pStyle w:val="FigureNo"/>
        <w:rPr>
          <w:lang w:val="ru-RU"/>
        </w:rPr>
      </w:pPr>
      <w:r w:rsidRPr="00D85923">
        <w:rPr>
          <w:lang w:val="ru-RU"/>
        </w:rPr>
        <w:lastRenderedPageBreak/>
        <w:t>РИСУНОК 1</w:t>
      </w:r>
    </w:p>
    <w:p w:rsidR="001B0414" w:rsidRDefault="001B0414" w:rsidP="001B0414">
      <w:pPr>
        <w:pStyle w:val="Figuretitle"/>
        <w:rPr>
          <w:lang w:val="ru-RU"/>
        </w:rPr>
      </w:pPr>
      <w:r w:rsidRPr="00D85923">
        <w:rPr>
          <w:lang w:val="ru-RU"/>
        </w:rPr>
        <w:t>Классификация систем беспроводной бортовой внутренней связи</w:t>
      </w:r>
    </w:p>
    <w:p w:rsidR="001B0414" w:rsidRDefault="001B0414" w:rsidP="001B0414">
      <w:pPr>
        <w:pStyle w:val="Figure"/>
        <w:rPr>
          <w:lang w:val="ru-RU"/>
        </w:rPr>
      </w:pPr>
      <w:r>
        <w:rPr>
          <w:lang w:val="ru-RU"/>
        </w:rPr>
        <w:object w:dxaOrig="3894" w:dyaOrig="3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8pt;height:198.45pt" o:ole="">
            <v:imagedata r:id="rId14" o:title=""/>
          </v:shape>
          <o:OLEObject Type="Embed" ProgID="CorelDraw.Graphic.16" ShapeID="_x0000_i1025" DrawAspect="Content" ObjectID="_1523256947" r:id="rId15"/>
        </w:object>
      </w:r>
    </w:p>
    <w:p w:rsidR="001B0414" w:rsidRPr="00D85923" w:rsidRDefault="001B0414" w:rsidP="001B0414">
      <w:pPr>
        <w:pStyle w:val="Heading2"/>
        <w:rPr>
          <w:lang w:val="ru-RU"/>
        </w:rPr>
      </w:pPr>
      <w:r w:rsidRPr="00D85923">
        <w:rPr>
          <w:lang w:val="ru-RU"/>
        </w:rPr>
        <w:t>2.1</w:t>
      </w:r>
      <w:r w:rsidRPr="00D85923">
        <w:rPr>
          <w:lang w:val="ru-RU"/>
        </w:rPr>
        <w:tab/>
        <w:t>Описание процедуры классификации</w:t>
      </w:r>
    </w:p>
    <w:p w:rsidR="001B0414" w:rsidRPr="00D85923" w:rsidRDefault="001B0414" w:rsidP="001B0414">
      <w:pPr>
        <w:pStyle w:val="Heading3"/>
        <w:rPr>
          <w:lang w:val="ru-RU"/>
        </w:rPr>
      </w:pPr>
      <w:r w:rsidRPr="00D85923">
        <w:rPr>
          <w:lang w:val="ru-RU"/>
        </w:rPr>
        <w:t>2.1.1</w:t>
      </w:r>
      <w:r w:rsidRPr="00D85923">
        <w:rPr>
          <w:lang w:val="ru-RU"/>
        </w:rPr>
        <w:tab/>
        <w:t xml:space="preserve">Классификация систем по скорости передачи данных 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Применения WAIC можно разделить на две широкие категории, соответствующие требованиям к</w:t>
      </w:r>
      <w:r>
        <w:rPr>
          <w:lang w:val="ru-RU"/>
        </w:rPr>
        <w:t> </w:t>
      </w:r>
      <w:r w:rsidRPr="00D85923">
        <w:rPr>
          <w:lang w:val="ru-RU"/>
        </w:rPr>
        <w:t>скорости передачи данных применений. Для этого используются следующие определения: низкоскоростные (L) применения имеют скорости передачи данных ниже 10 кбит/с, а</w:t>
      </w:r>
      <w:r>
        <w:rPr>
          <w:lang w:val="ru-RU"/>
        </w:rPr>
        <w:t> </w:t>
      </w:r>
      <w:r w:rsidRPr="00D85923">
        <w:rPr>
          <w:lang w:val="ru-RU"/>
        </w:rPr>
        <w:t>высокоскоростные (H) применения имеют скорости передачи данных выше 10 кбит/с. Эти категории обозначаются символами "L" и "H", соответственно. Низко- и высокоскоростные системы WAIC имеют различные технические характеристики (см п. 3).</w:t>
      </w:r>
    </w:p>
    <w:p w:rsidR="001B0414" w:rsidRPr="00D85923" w:rsidRDefault="001B0414" w:rsidP="001B0414">
      <w:pPr>
        <w:pStyle w:val="Heading3"/>
        <w:rPr>
          <w:lang w:val="ru-RU"/>
        </w:rPr>
      </w:pPr>
      <w:r w:rsidRPr="00D85923">
        <w:rPr>
          <w:lang w:val="ru-RU"/>
        </w:rPr>
        <w:t>2.1.2</w:t>
      </w:r>
      <w:r w:rsidRPr="00D85923">
        <w:rPr>
          <w:lang w:val="ru-RU"/>
        </w:rPr>
        <w:tab/>
        <w:t xml:space="preserve">Классификация систем по местоположению 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Место установки передатчика WAIC влияет на величину РЧ-энергии, излучаемой в направлении от</w:t>
      </w:r>
      <w:r>
        <w:rPr>
          <w:lang w:val="ru-RU"/>
        </w:rPr>
        <w:t> </w:t>
      </w:r>
      <w:r w:rsidRPr="00D85923">
        <w:rPr>
          <w:lang w:val="ru-RU"/>
        </w:rPr>
        <w:t>воздушного судна. Поэтому системы WAIC, которые закрыты конструкцией летательного аппарата, например фюзеляжем или крылом, классифицируются как внутренние (I), а применения, которые не</w:t>
      </w:r>
      <w:r>
        <w:rPr>
          <w:lang w:val="ru-RU"/>
        </w:rPr>
        <w:t> </w:t>
      </w:r>
      <w:r w:rsidRPr="00D85923">
        <w:rPr>
          <w:lang w:val="ru-RU"/>
        </w:rPr>
        <w:t>закрыты, классифицируются как внешние (O).</w:t>
      </w:r>
    </w:p>
    <w:p w:rsidR="001B0414" w:rsidRPr="00D85923" w:rsidRDefault="001B0414" w:rsidP="001B0414">
      <w:pPr>
        <w:pStyle w:val="Heading3"/>
        <w:rPr>
          <w:lang w:val="ru-RU"/>
        </w:rPr>
      </w:pPr>
      <w:r w:rsidRPr="00D85923">
        <w:rPr>
          <w:lang w:val="ru-RU"/>
        </w:rPr>
        <w:t>2.1.3</w:t>
      </w:r>
      <w:r w:rsidRPr="00D85923">
        <w:rPr>
          <w:lang w:val="ru-RU"/>
        </w:rPr>
        <w:tab/>
        <w:t>Категории систем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Применения WAIC можно описать с помощью параметров XY в соответствии с ранее приведенными определениями. Параметр X соответствует скорости передачи данных (H, L), а параметр Y соответствует местоположению (I, O). Например, типовой категорией является категория LI, которая соответствует применению с низкой скоростью передачи данных, расположенному на внутренней части конструкции воздушного судна.</w:t>
      </w:r>
    </w:p>
    <w:p w:rsidR="001B0414" w:rsidRPr="00D85923" w:rsidRDefault="001B0414" w:rsidP="001B0414">
      <w:pPr>
        <w:pStyle w:val="Heading1"/>
        <w:rPr>
          <w:lang w:val="ru-RU"/>
        </w:rPr>
      </w:pPr>
      <w:r w:rsidRPr="00D85923">
        <w:rPr>
          <w:lang w:val="ru-RU"/>
        </w:rPr>
        <w:t>3</w:t>
      </w:r>
      <w:r w:rsidRPr="00D85923">
        <w:rPr>
          <w:lang w:val="ru-RU"/>
        </w:rPr>
        <w:tab/>
        <w:t>Характеристики систем беспроводной бортовой внутренней связи</w:t>
      </w:r>
    </w:p>
    <w:p w:rsidR="001B0414" w:rsidRPr="00D85923" w:rsidRDefault="001B0414" w:rsidP="001B0414">
      <w:pPr>
        <w:rPr>
          <w:lang w:val="ru-RU"/>
        </w:rPr>
      </w:pPr>
      <w:r w:rsidRPr="00D85923">
        <w:rPr>
          <w:lang w:val="ru-RU"/>
        </w:rPr>
        <w:t>В таблице 1 обобщаются типовые технические характеристики систем WAIC. Как правило, предусматриваются два типа систем, которые адаптированы к требованиям в отношении (a)</w:t>
      </w:r>
      <w:r>
        <w:rPr>
          <w:lang w:val="ru-RU"/>
        </w:rPr>
        <w:t> </w:t>
      </w:r>
      <w:r w:rsidRPr="00D85923">
        <w:rPr>
          <w:lang w:val="ru-RU"/>
        </w:rPr>
        <w:t>низкоскоростных применений WAIC c нередко ограниченным энергопотреблением, таких как автономные датчики, и (b) высокоскоростных применений с меньшими ограничениями по</w:t>
      </w:r>
      <w:r>
        <w:rPr>
          <w:lang w:val="ru-RU"/>
        </w:rPr>
        <w:t> </w:t>
      </w:r>
      <w:r w:rsidRPr="00D85923">
        <w:rPr>
          <w:lang w:val="ru-RU"/>
        </w:rPr>
        <w:t>энергопотреблению. Эти типы систем называются, соответственно, низкоскоростными (L) и</w:t>
      </w:r>
      <w:r>
        <w:rPr>
          <w:lang w:val="ru-RU"/>
        </w:rPr>
        <w:t> </w:t>
      </w:r>
      <w:r w:rsidRPr="00D85923">
        <w:rPr>
          <w:lang w:val="ru-RU"/>
        </w:rPr>
        <w:t>высокоскоростными (H) системами.</w:t>
      </w:r>
    </w:p>
    <w:p w:rsidR="001B0414" w:rsidRPr="00D85923" w:rsidRDefault="001B0414" w:rsidP="001B0414">
      <w:pPr>
        <w:pStyle w:val="TableNoBR"/>
        <w:rPr>
          <w:lang w:val="ru-RU"/>
        </w:rPr>
      </w:pPr>
      <w:r w:rsidRPr="00D85923">
        <w:rPr>
          <w:lang w:val="ru-RU"/>
        </w:rPr>
        <w:lastRenderedPageBreak/>
        <w:t>Таблица 1</w:t>
      </w:r>
    </w:p>
    <w:p w:rsidR="001B0414" w:rsidRDefault="001B0414" w:rsidP="001B0414">
      <w:pPr>
        <w:pStyle w:val="Tabletitle"/>
        <w:rPr>
          <w:lang w:val="ru-RU"/>
        </w:rPr>
      </w:pPr>
      <w:r w:rsidRPr="00D85923">
        <w:rPr>
          <w:lang w:val="ru-RU"/>
        </w:rPr>
        <w:t>Технические характеристики низко- и высокоскоростных систем</w:t>
      </w:r>
      <w:r>
        <w:rPr>
          <w:lang w:val="ru-RU"/>
        </w:rPr>
        <w:br/>
      </w:r>
      <w:r w:rsidRPr="00D85923">
        <w:rPr>
          <w:lang w:val="ru-RU"/>
        </w:rPr>
        <w:t>беспроводной бортовой внутренней связи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843"/>
        <w:gridCol w:w="1984"/>
        <w:gridCol w:w="1129"/>
      </w:tblGrid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head"/>
              <w:rPr>
                <w:lang w:val="ru-RU"/>
              </w:rPr>
            </w:pP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head"/>
              <w:rPr>
                <w:lang w:val="ru-RU"/>
              </w:rPr>
            </w:pPr>
            <w:r w:rsidRPr="00BE14BE">
              <w:rPr>
                <w:lang w:val="ru-RU"/>
              </w:rPr>
              <w:t>Низкоскоростная система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head"/>
              <w:rPr>
                <w:lang w:val="ru-RU"/>
              </w:rPr>
            </w:pPr>
            <w:r w:rsidRPr="00BE14BE">
              <w:rPr>
                <w:lang w:val="ru-RU"/>
              </w:rPr>
              <w:t>Высокоскоростная система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head"/>
              <w:rPr>
                <w:lang w:val="ru-RU"/>
              </w:rPr>
            </w:pPr>
            <w:r w:rsidRPr="00BE14BE">
              <w:rPr>
                <w:lang w:val="ru-RU"/>
              </w:rPr>
              <w:t>Ед. изм.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b/>
                <w:bCs/>
                <w:lang w:val="ru-RU"/>
              </w:rPr>
            </w:pPr>
            <w:r w:rsidRPr="00BE14BE">
              <w:rPr>
                <w:b/>
                <w:bCs/>
                <w:lang w:val="ru-RU"/>
              </w:rPr>
              <w:t>Передатчик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Количество и местоположение одновременно активных передатчиков на канал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 xml:space="preserve">Усиление передающей антенны 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E14BE">
              <w:rPr>
                <w:lang w:val="ru-RU"/>
              </w:rPr>
              <w:t>дБи</w:t>
            </w:r>
            <w:proofErr w:type="spellEnd"/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Максимальная мощность передачи</w:t>
            </w:r>
            <w:r w:rsidRPr="00BE14BE">
              <w:rPr>
                <w:vertAlign w:val="superscript"/>
                <w:lang w:val="ru-RU"/>
              </w:rPr>
              <w:t>2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50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мВт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Ширина полосы по уровню излучения 3 дБ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2,6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16,6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МГц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Ширина полосы по уровню излучения 20 дБ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6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22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МГц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Ширина полосы по уровню излучения 40 дБ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12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60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МГц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b/>
                <w:bCs/>
                <w:lang w:val="ru-RU"/>
              </w:rPr>
            </w:pPr>
            <w:r w:rsidRPr="00BE14BE">
              <w:rPr>
                <w:b/>
                <w:bCs/>
                <w:lang w:val="ru-RU"/>
              </w:rPr>
              <w:t>Приемник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Усиление приемной антенны</w:t>
            </w:r>
            <w:r w:rsidRPr="00BE14BE">
              <w:rPr>
                <w:vertAlign w:val="superscript"/>
                <w:lang w:val="ru-RU"/>
              </w:rPr>
              <w:t>1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E14BE">
              <w:rPr>
                <w:lang w:val="ru-RU"/>
              </w:rPr>
              <w:t>дБи</w:t>
            </w:r>
            <w:proofErr w:type="spellEnd"/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Полоса пропускания приемника по ПЧ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2,6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20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МГц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Коэффициент шума приемника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дБ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Требуемое отношение сигнал/шум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9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14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дБ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Чувствительность приемника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–91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–77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E14BE">
              <w:rPr>
                <w:lang w:val="ru-RU"/>
              </w:rPr>
              <w:t>дБм</w:t>
            </w:r>
            <w:proofErr w:type="spellEnd"/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Критерий защиты (</w:t>
            </w:r>
            <w:r w:rsidRPr="001527DF">
              <w:rPr>
                <w:i/>
                <w:iCs/>
                <w:lang w:val="ru-RU"/>
              </w:rPr>
              <w:t>I/S</w:t>
            </w:r>
            <w:r w:rsidRPr="00BE14BE">
              <w:rPr>
                <w:lang w:val="ru-RU"/>
              </w:rPr>
              <w:t>)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–9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–14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дБ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Минимальное подавление внеполосных помех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–10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–10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дБ</w:t>
            </w:r>
          </w:p>
        </w:tc>
      </w:tr>
      <w:tr w:rsidR="001B0414" w:rsidRPr="00BE14BE" w:rsidTr="007F24A7">
        <w:tc>
          <w:tcPr>
            <w:tcW w:w="4673" w:type="dxa"/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Уровень защиты входного каскада от перегрузки</w:t>
            </w:r>
            <w:r w:rsidRPr="00BE14BE">
              <w:rPr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–30</w:t>
            </w:r>
          </w:p>
        </w:tc>
        <w:tc>
          <w:tcPr>
            <w:tcW w:w="1984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–30</w:t>
            </w:r>
          </w:p>
        </w:tc>
        <w:tc>
          <w:tcPr>
            <w:tcW w:w="1129" w:type="dxa"/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E14BE">
              <w:rPr>
                <w:lang w:val="ru-RU"/>
              </w:rPr>
              <w:t>дБм</w:t>
            </w:r>
            <w:proofErr w:type="spellEnd"/>
          </w:p>
        </w:tc>
      </w:tr>
      <w:tr w:rsidR="001B0414" w:rsidRPr="00BE14BE" w:rsidTr="007F24A7">
        <w:tc>
          <w:tcPr>
            <w:tcW w:w="4673" w:type="dxa"/>
            <w:tcBorders>
              <w:bottom w:val="single" w:sz="4" w:space="0" w:color="auto"/>
            </w:tcBorders>
          </w:tcPr>
          <w:p w:rsidR="001B0414" w:rsidRPr="00BE14BE" w:rsidRDefault="001B0414" w:rsidP="007F24A7">
            <w:pPr>
              <w:pStyle w:val="Tabletext"/>
              <w:rPr>
                <w:lang w:val="ru-RU"/>
              </w:rPr>
            </w:pPr>
            <w:r w:rsidRPr="00BE14BE">
              <w:rPr>
                <w:lang w:val="ru-RU"/>
              </w:rPr>
              <w:t>Максимальное расстояние между передатчиком и приемником внешней системы WAIC</w:t>
            </w:r>
            <w:r w:rsidRPr="00BE14BE">
              <w:rPr>
                <w:vertAlign w:val="superscript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15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1B0414" w:rsidRPr="00BE14BE" w:rsidRDefault="001B0414" w:rsidP="007F24A7">
            <w:pPr>
              <w:pStyle w:val="Tabletext"/>
              <w:jc w:val="center"/>
              <w:rPr>
                <w:lang w:val="ru-RU"/>
              </w:rPr>
            </w:pPr>
            <w:r w:rsidRPr="00BE14BE">
              <w:rPr>
                <w:lang w:val="ru-RU"/>
              </w:rPr>
              <w:t>метр</w:t>
            </w:r>
          </w:p>
        </w:tc>
      </w:tr>
      <w:tr w:rsidR="001B0414" w:rsidRPr="00814A3E" w:rsidTr="007F24A7">
        <w:tc>
          <w:tcPr>
            <w:tcW w:w="9629" w:type="dxa"/>
            <w:gridSpan w:val="4"/>
            <w:tcBorders>
              <w:left w:val="nil"/>
              <w:bottom w:val="nil"/>
              <w:right w:val="nil"/>
            </w:tcBorders>
          </w:tcPr>
          <w:p w:rsidR="001B0414" w:rsidRPr="00BE14BE" w:rsidRDefault="001B0414" w:rsidP="007F24A7">
            <w:pPr>
              <w:pStyle w:val="Tablelegend"/>
              <w:rPr>
                <w:lang w:val="ru-RU"/>
              </w:rPr>
            </w:pPr>
            <w:r w:rsidRPr="00BE14BE">
              <w:rPr>
                <w:vertAlign w:val="superscript"/>
                <w:lang w:val="ru-RU"/>
              </w:rPr>
              <w:t>1</w:t>
            </w:r>
            <w:r w:rsidRPr="00BE14BE">
              <w:rPr>
                <w:lang w:val="ru-RU"/>
              </w:rPr>
              <w:tab/>
              <w:t xml:space="preserve">Могут применяться направленные антенны, у которых в главном лепестке усиление превышает 0 </w:t>
            </w:r>
            <w:proofErr w:type="spellStart"/>
            <w:r w:rsidRPr="00BE14BE">
              <w:rPr>
                <w:lang w:val="ru-RU"/>
              </w:rPr>
              <w:t>дБи</w:t>
            </w:r>
            <w:proofErr w:type="spellEnd"/>
            <w:r w:rsidRPr="00BE14BE">
              <w:rPr>
                <w:lang w:val="ru-RU"/>
              </w:rPr>
              <w:t>, и</w:t>
            </w:r>
            <w:r>
              <w:rPr>
                <w:lang w:val="ru-RU"/>
              </w:rPr>
              <w:t> </w:t>
            </w:r>
            <w:r w:rsidRPr="00BE14BE">
              <w:rPr>
                <w:lang w:val="ru-RU"/>
              </w:rPr>
              <w:t>соответственно за его пределами наблюдаются отрицательные значения усиления. В этих случаях главные лепестки антенн направлены к центру воздушного судна, что позволит уменьшить его общее излучение.</w:t>
            </w:r>
          </w:p>
          <w:p w:rsidR="001B0414" w:rsidRPr="00BE14BE" w:rsidRDefault="001B0414" w:rsidP="007F24A7">
            <w:pPr>
              <w:pStyle w:val="Tablelegend"/>
              <w:rPr>
                <w:lang w:val="ru-RU"/>
              </w:rPr>
            </w:pPr>
            <w:r w:rsidRPr="00BE14BE">
              <w:rPr>
                <w:vertAlign w:val="superscript"/>
                <w:lang w:val="ru-RU"/>
              </w:rPr>
              <w:t>2</w:t>
            </w:r>
            <w:r w:rsidRPr="00BE14BE">
              <w:rPr>
                <w:lang w:val="ru-RU"/>
              </w:rPr>
              <w:tab/>
              <w:t>Данные значения представляют собой верхние технические пределы. Как правило, можно добиться более низких значений за счет уменьшения размера соты и увеличения количества сот, необходимых для надлежащего покрытия воздушного судна.</w:t>
            </w:r>
          </w:p>
          <w:p w:rsidR="001B0414" w:rsidRPr="00BE14BE" w:rsidRDefault="001B0414" w:rsidP="007F24A7">
            <w:pPr>
              <w:pStyle w:val="Tablelegend"/>
              <w:rPr>
                <w:lang w:val="ru-RU"/>
              </w:rPr>
            </w:pPr>
            <w:r w:rsidRPr="00BE14BE">
              <w:rPr>
                <w:vertAlign w:val="superscript"/>
                <w:lang w:val="ru-RU"/>
              </w:rPr>
              <w:t>3</w:t>
            </w:r>
            <w:r w:rsidRPr="00BE14BE">
              <w:rPr>
                <w:lang w:val="ru-RU"/>
              </w:rPr>
              <w:tab/>
              <w:t xml:space="preserve">Мощность падающей помехи должна быть меньше –30 </w:t>
            </w:r>
            <w:proofErr w:type="spellStart"/>
            <w:r w:rsidRPr="00BE14BE">
              <w:rPr>
                <w:lang w:val="ru-RU"/>
              </w:rPr>
              <w:t>дБм</w:t>
            </w:r>
            <w:proofErr w:type="spellEnd"/>
            <w:r w:rsidRPr="00BE14BE">
              <w:rPr>
                <w:lang w:val="ru-RU"/>
              </w:rPr>
              <w:t xml:space="preserve"> во всем диапазоне распределенных частот, чтобы обеспечить достаточную линейность работы.</w:t>
            </w:r>
          </w:p>
        </w:tc>
      </w:tr>
    </w:tbl>
    <w:p w:rsidR="001B0414" w:rsidRPr="00814A3E" w:rsidRDefault="001B0414" w:rsidP="001B0414">
      <w:pPr>
        <w:pStyle w:val="Reasons"/>
        <w:rPr>
          <w:lang w:val="ru-RU"/>
        </w:rPr>
      </w:pPr>
    </w:p>
    <w:p w:rsidR="003804DC" w:rsidRPr="003804DC" w:rsidRDefault="003804DC" w:rsidP="003804DC">
      <w:pPr>
        <w:pStyle w:val="Rectitle"/>
        <w:rPr>
          <w:lang w:val="ru-RU"/>
        </w:rPr>
      </w:pPr>
    </w:p>
    <w:p w:rsidR="004D14DC" w:rsidRPr="00273494" w:rsidRDefault="004D14DC" w:rsidP="004D14DC">
      <w:pPr>
        <w:overflowPunct/>
        <w:autoSpaceDE/>
        <w:autoSpaceDN/>
        <w:adjustRightInd/>
        <w:spacing w:before="720"/>
        <w:jc w:val="center"/>
        <w:textAlignment w:val="auto"/>
        <w:rPr>
          <w:lang w:val="en-US"/>
        </w:rPr>
      </w:pPr>
      <w:r>
        <w:t>______________</w:t>
      </w:r>
    </w:p>
    <w:p w:rsidR="00934ED7" w:rsidRPr="00131900" w:rsidRDefault="00934ED7" w:rsidP="006E56A2">
      <w:pPr>
        <w:rPr>
          <w:lang w:val="ru-RU"/>
        </w:rPr>
      </w:pPr>
    </w:p>
    <w:sectPr w:rsidR="00934ED7" w:rsidRPr="00131900" w:rsidSect="00C906E6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E5F0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5F0A">
      <w:rPr>
        <w:b/>
        <w:bCs/>
        <w:noProof/>
        <w:szCs w:val="22"/>
        <w:lang w:val="en-US"/>
      </w:rPr>
      <w:t>МСЭ-R  M.2067-0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E5F0A">
      <w:rPr>
        <w:b/>
        <w:bCs/>
        <w:noProof/>
      </w:rPr>
      <w:t>МСЭ-R  M.2067-0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5F0A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5F0A">
      <w:rPr>
        <w:b/>
        <w:bCs/>
        <w:noProof/>
        <w:szCs w:val="22"/>
        <w:lang w:val="en-US"/>
      </w:rPr>
      <w:t>МСЭ-R  M.2067-0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E5F0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5F0A"/>
    <w:rsid w:val="000E6A6E"/>
    <w:rsid w:val="000F1C55"/>
    <w:rsid w:val="00102934"/>
    <w:rsid w:val="00131900"/>
    <w:rsid w:val="00147110"/>
    <w:rsid w:val="001511A6"/>
    <w:rsid w:val="00197B47"/>
    <w:rsid w:val="001A5DF7"/>
    <w:rsid w:val="001B0414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A391A"/>
    <w:rsid w:val="003C38BA"/>
    <w:rsid w:val="00420DFD"/>
    <w:rsid w:val="00437A76"/>
    <w:rsid w:val="00470E28"/>
    <w:rsid w:val="00475345"/>
    <w:rsid w:val="004934C5"/>
    <w:rsid w:val="004D14DC"/>
    <w:rsid w:val="004F1F5C"/>
    <w:rsid w:val="00532E5A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16FC0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446FE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11412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paragraph" w:customStyle="1" w:styleId="Reasons">
    <w:name w:val="Reasons"/>
    <w:basedOn w:val="Normal"/>
    <w:qFormat/>
    <w:rsid w:val="001B041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rsid w:val="001B0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BR">
    <w:name w:val="Table_No_BR"/>
    <w:basedOn w:val="Normal"/>
    <w:next w:val="Normal"/>
    <w:rsid w:val="001B0414"/>
    <w:pPr>
      <w:keepNext/>
      <w:spacing w:before="560" w:after="120"/>
      <w:jc w:val="center"/>
      <w:textAlignment w:val="auto"/>
    </w:pPr>
    <w:rPr>
      <w:rFonts w:eastAsia="SimSun"/>
      <w:cap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422E9-049E-4CA8-B0E7-1725BE45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6</Pages>
  <Words>1237</Words>
  <Characters>9365</Characters>
  <Application>Microsoft Office Word</Application>
  <DocSecurity>0</DocSecurity>
  <Lines>346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10533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9</cp:revision>
  <cp:lastPrinted>2016-04-27T08:07:00Z</cp:lastPrinted>
  <dcterms:created xsi:type="dcterms:W3CDTF">2016-04-27T07:51:00Z</dcterms:created>
  <dcterms:modified xsi:type="dcterms:W3CDTF">2016-04-27T08:08:00Z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