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136" w:rsidRDefault="004C4136" w:rsidP="004C4136"/>
    <w:p w:rsidR="004C4136" w:rsidRDefault="004C4136" w:rsidP="004C4136"/>
    <w:p w:rsidR="004C4136" w:rsidRDefault="004C4136" w:rsidP="004C4136"/>
    <w:p w:rsidR="004C4136" w:rsidRDefault="004C4136" w:rsidP="004C4136"/>
    <w:p w:rsidR="004C4136" w:rsidRDefault="004C4136" w:rsidP="004C4136"/>
    <w:p w:rsidR="004C4136" w:rsidRDefault="004C4136" w:rsidP="004C4136"/>
    <w:p w:rsidR="004C4136" w:rsidRDefault="004C4136" w:rsidP="004C4136"/>
    <w:p w:rsidR="004C4136" w:rsidRDefault="004C4136" w:rsidP="004C4136"/>
    <w:p w:rsidR="004C4136" w:rsidRDefault="004C4136" w:rsidP="004C4136"/>
    <w:p w:rsidR="004C4136" w:rsidRDefault="004C4136" w:rsidP="004C4136"/>
    <w:p w:rsidR="004C4136" w:rsidRDefault="004C4136" w:rsidP="004C4136"/>
    <w:p w:rsidR="004C4136" w:rsidRDefault="004C4136" w:rsidP="004C4136"/>
    <w:tbl>
      <w:tblPr>
        <w:tblW w:w="10089" w:type="dxa"/>
        <w:tblLook w:val="01E0" w:firstRow="1" w:lastRow="1" w:firstColumn="1" w:lastColumn="1" w:noHBand="0" w:noVBand="0"/>
      </w:tblPr>
      <w:tblGrid>
        <w:gridCol w:w="10089"/>
      </w:tblGrid>
      <w:tr w:rsidR="004C4136" w:rsidRPr="004F65E4" w:rsidTr="00E95338">
        <w:tc>
          <w:tcPr>
            <w:tcW w:w="10089" w:type="dxa"/>
          </w:tcPr>
          <w:p w:rsidR="004C4136" w:rsidRPr="001511A6" w:rsidRDefault="004C4136" w:rsidP="00E95338">
            <w:pPr>
              <w:spacing w:before="380" w:line="280" w:lineRule="exact"/>
              <w:jc w:val="right"/>
              <w:rPr>
                <w:rFonts w:ascii="Tahoma" w:hAnsi="Tahoma" w:cs="Tahoma"/>
                <w:b/>
                <w:bCs/>
                <w:iCs/>
                <w:color w:val="243285"/>
                <w:sz w:val="32"/>
                <w:szCs w:val="32"/>
                <w:lang w:val="en-US"/>
              </w:rPr>
            </w:pPr>
          </w:p>
          <w:p w:rsidR="004C4136" w:rsidRPr="004F65E4" w:rsidRDefault="004C4136" w:rsidP="00E95338">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2067</w:t>
            </w:r>
            <w:r w:rsidR="00E26E1B">
              <w:rPr>
                <w:rFonts w:ascii="Tahoma" w:hAnsi="Tahoma" w:cs="Tahoma"/>
                <w:b/>
                <w:bCs/>
                <w:iCs/>
                <w:color w:val="243285"/>
                <w:sz w:val="36"/>
                <w:szCs w:val="36"/>
              </w:rPr>
              <w:t>-0</w:t>
            </w:r>
          </w:p>
          <w:p w:rsidR="004C4136" w:rsidRPr="004F65E4" w:rsidRDefault="004C4136" w:rsidP="00487DDF">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487DDF">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w:t>
            </w:r>
            <w:r w:rsidR="00487DDF">
              <w:rPr>
                <w:rFonts w:ascii="Tahoma" w:hAnsi="Tahoma" w:cs="Tahoma"/>
                <w:b/>
                <w:bCs/>
                <w:iCs/>
                <w:color w:val="243285"/>
                <w:szCs w:val="24"/>
              </w:rPr>
              <w:t>5</w:t>
            </w:r>
            <w:bookmarkStart w:id="0" w:name="_GoBack"/>
            <w:bookmarkEnd w:id="0"/>
            <w:r w:rsidRPr="004F65E4">
              <w:rPr>
                <w:rFonts w:ascii="Tahoma" w:hAnsi="Tahoma" w:cs="Tahoma"/>
                <w:b/>
                <w:bCs/>
                <w:iCs/>
                <w:color w:val="243285"/>
                <w:szCs w:val="24"/>
              </w:rPr>
              <w:t>)</w:t>
            </w:r>
          </w:p>
        </w:tc>
      </w:tr>
      <w:tr w:rsidR="004C4136" w:rsidRPr="00487DDF" w:rsidTr="00E95338">
        <w:tc>
          <w:tcPr>
            <w:tcW w:w="10089" w:type="dxa"/>
          </w:tcPr>
          <w:p w:rsidR="004C4136" w:rsidRPr="003E1DED" w:rsidRDefault="004C4136" w:rsidP="00E95338">
            <w:pPr>
              <w:spacing w:before="80" w:line="500" w:lineRule="exact"/>
              <w:jc w:val="right"/>
              <w:rPr>
                <w:rFonts w:ascii="Tahoma" w:hAnsi="Tahoma" w:cs="Tahoma"/>
                <w:b/>
                <w:bCs/>
                <w:iCs/>
                <w:color w:val="243285"/>
                <w:sz w:val="44"/>
                <w:szCs w:val="44"/>
                <w:lang w:val="en-US"/>
              </w:rPr>
            </w:pPr>
          </w:p>
          <w:p w:rsidR="004C4136" w:rsidRPr="00052F66" w:rsidRDefault="009C51A0" w:rsidP="009C51A0">
            <w:pPr>
              <w:spacing w:before="80" w:line="500" w:lineRule="exact"/>
              <w:jc w:val="right"/>
              <w:rPr>
                <w:rFonts w:ascii="Tahoma" w:hAnsi="Tahoma" w:cs="Tahoma"/>
                <w:b/>
                <w:bCs/>
                <w:iCs/>
                <w:color w:val="243285"/>
                <w:sz w:val="44"/>
                <w:szCs w:val="44"/>
                <w:lang w:val="en-US"/>
              </w:rPr>
            </w:pPr>
            <w:r w:rsidRPr="009C51A0">
              <w:rPr>
                <w:rFonts w:ascii="Tahoma" w:hAnsi="Tahoma" w:cs="Tahoma"/>
                <w:b/>
                <w:bCs/>
                <w:iCs/>
                <w:color w:val="243285"/>
                <w:sz w:val="44"/>
                <w:szCs w:val="44"/>
                <w:lang w:val="en-GB"/>
              </w:rPr>
              <w:t>Technical characterist</w:t>
            </w:r>
            <w:r>
              <w:rPr>
                <w:rFonts w:ascii="Tahoma" w:hAnsi="Tahoma" w:cs="Tahoma"/>
                <w:b/>
                <w:bCs/>
                <w:iCs/>
                <w:color w:val="243285"/>
                <w:sz w:val="44"/>
                <w:szCs w:val="44"/>
                <w:lang w:val="en-GB"/>
              </w:rPr>
              <w:t xml:space="preserve">ics and protection criteria for </w:t>
            </w:r>
            <w:r w:rsidRPr="009C51A0">
              <w:rPr>
                <w:rFonts w:ascii="Tahoma" w:hAnsi="Tahoma" w:cs="Tahoma"/>
                <w:b/>
                <w:bCs/>
                <w:iCs/>
                <w:color w:val="243285"/>
                <w:sz w:val="44"/>
                <w:szCs w:val="44"/>
                <w:lang w:val="en-GB"/>
              </w:rPr>
              <w:t>Wireless Avionics Intra-Communication systems</w:t>
            </w:r>
          </w:p>
        </w:tc>
      </w:tr>
      <w:tr w:rsidR="004C4136" w:rsidTr="00E95338">
        <w:tc>
          <w:tcPr>
            <w:tcW w:w="10089" w:type="dxa"/>
          </w:tcPr>
          <w:p w:rsidR="004C4136" w:rsidRPr="00052F66" w:rsidRDefault="004C4136" w:rsidP="00E95338">
            <w:pPr>
              <w:spacing w:before="80" w:line="280" w:lineRule="exact"/>
              <w:ind w:right="640"/>
              <w:rPr>
                <w:rFonts w:ascii="Tahoma" w:hAnsi="Tahoma" w:cs="Tahoma"/>
                <w:b/>
                <w:bCs/>
                <w:iCs/>
                <w:color w:val="243285"/>
                <w:sz w:val="32"/>
                <w:szCs w:val="32"/>
                <w:lang w:val="en-US"/>
              </w:rPr>
            </w:pPr>
          </w:p>
          <w:p w:rsidR="004C4136" w:rsidRPr="00052F66" w:rsidRDefault="004C4136" w:rsidP="00E95338">
            <w:pPr>
              <w:spacing w:before="80" w:after="180" w:line="360" w:lineRule="exact"/>
              <w:ind w:right="720"/>
              <w:rPr>
                <w:rFonts w:ascii="Tahoma" w:hAnsi="Tahoma" w:cs="Tahoma"/>
                <w:b/>
                <w:bCs/>
                <w:iCs/>
                <w:color w:val="243285"/>
                <w:sz w:val="36"/>
                <w:szCs w:val="36"/>
                <w:lang w:val="en-US"/>
              </w:rPr>
            </w:pPr>
          </w:p>
          <w:p w:rsidR="004C4136" w:rsidRPr="001511A6" w:rsidRDefault="004C4136" w:rsidP="00E9533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4C4136" w:rsidRDefault="004C4136" w:rsidP="00E95338">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4C4136" w:rsidRPr="0041667C" w:rsidRDefault="004C4136" w:rsidP="00E95338">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4C4136" w:rsidRDefault="004C4136" w:rsidP="004C4136">
      <w:pPr>
        <w:spacing w:before="80"/>
        <w:rPr>
          <w:i/>
          <w:sz w:val="22"/>
          <w:lang w:val="en-US"/>
        </w:rPr>
      </w:pPr>
    </w:p>
    <w:p w:rsidR="004C4136" w:rsidRDefault="004C4136" w:rsidP="004C4136">
      <w:pPr>
        <w:spacing w:before="80"/>
        <w:rPr>
          <w:i/>
          <w:sz w:val="22"/>
          <w:lang w:val="en-US"/>
        </w:rPr>
      </w:pPr>
    </w:p>
    <w:p w:rsidR="004C4136" w:rsidRDefault="004C4136" w:rsidP="004C4136">
      <w:pPr>
        <w:spacing w:before="80"/>
        <w:rPr>
          <w:i/>
          <w:sz w:val="22"/>
          <w:lang w:val="en-US"/>
        </w:rPr>
      </w:pPr>
    </w:p>
    <w:p w:rsidR="004C4136" w:rsidRDefault="004C4136" w:rsidP="004C4136">
      <w:pPr>
        <w:spacing w:before="80"/>
        <w:rPr>
          <w:i/>
          <w:sz w:val="22"/>
          <w:lang w:val="en-US"/>
        </w:rPr>
      </w:pPr>
    </w:p>
    <w:p w:rsidR="004C4136" w:rsidRDefault="004C4136" w:rsidP="004C4136">
      <w:pPr>
        <w:spacing w:before="80"/>
        <w:rPr>
          <w:i/>
          <w:sz w:val="22"/>
          <w:lang w:val="en-US"/>
        </w:rPr>
      </w:pPr>
    </w:p>
    <w:p w:rsidR="004C4136" w:rsidRDefault="004C4136" w:rsidP="004C4136">
      <w:pPr>
        <w:pStyle w:val="Equation"/>
        <w:tabs>
          <w:tab w:val="clear" w:pos="4820"/>
          <w:tab w:val="clear" w:pos="9639"/>
          <w:tab w:val="left" w:pos="1191"/>
          <w:tab w:val="left" w:pos="1588"/>
          <w:tab w:val="left" w:pos="1985"/>
        </w:tabs>
        <w:rPr>
          <w:rFonts w:ascii="Palatino Linotype" w:hAnsi="Palatino Linotype"/>
          <w:lang w:val="en-US"/>
        </w:rPr>
        <w:sectPr w:rsidR="004C4136">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4C4136" w:rsidRPr="00586EF8" w:rsidRDefault="004C4136" w:rsidP="004C413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4C4136" w:rsidRDefault="004C4136" w:rsidP="004C413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C4136" w:rsidRDefault="004C4136" w:rsidP="004C413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C4136" w:rsidRPr="00B714F3" w:rsidRDefault="004C4136" w:rsidP="004C4136">
      <w:pPr>
        <w:pStyle w:val="Heading1"/>
        <w:spacing w:before="680"/>
        <w:jc w:val="center"/>
        <w:rPr>
          <w:szCs w:val="24"/>
          <w:lang w:val="en-US"/>
        </w:rPr>
      </w:pPr>
      <w:r w:rsidRPr="00B714F3">
        <w:rPr>
          <w:szCs w:val="24"/>
          <w:lang w:val="en-US"/>
        </w:rPr>
        <w:t>Policy on Intellectual Property Right (IPR)</w:t>
      </w:r>
    </w:p>
    <w:p w:rsidR="004C4136" w:rsidRPr="00B714F3" w:rsidRDefault="004C4136" w:rsidP="004C4136">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4C4136" w:rsidRDefault="004C4136" w:rsidP="004C4136">
      <w:pPr>
        <w:jc w:val="center"/>
        <w:rPr>
          <w:sz w:val="22"/>
          <w:lang w:val="en-US"/>
        </w:rPr>
      </w:pPr>
    </w:p>
    <w:p w:rsidR="004C4136" w:rsidRDefault="004C4136" w:rsidP="004C413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C4136" w:rsidRPr="00487DDF" w:rsidTr="00E95338">
        <w:tc>
          <w:tcPr>
            <w:tcW w:w="9360" w:type="dxa"/>
            <w:gridSpan w:val="2"/>
          </w:tcPr>
          <w:p w:rsidR="004C4136" w:rsidRPr="00036EE3" w:rsidRDefault="004C4136" w:rsidP="00E9533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4C4136" w:rsidRPr="00036EE3" w:rsidRDefault="004C4136" w:rsidP="00E953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b w:val="0"/>
                  <w:szCs w:val="18"/>
                  <w:lang w:val="en-US"/>
                </w:rPr>
                <w:t>http://www.itu.int/publ/R-REC/en</w:t>
              </w:r>
            </w:hyperlink>
            <w:r w:rsidRPr="00CE0A43">
              <w:rPr>
                <w:b w:val="0"/>
                <w:sz w:val="18"/>
                <w:szCs w:val="18"/>
                <w:lang w:val="en-US"/>
              </w:rPr>
              <w:t>)</w:t>
            </w:r>
          </w:p>
        </w:tc>
      </w:tr>
      <w:tr w:rsidR="004C4136" w:rsidRPr="00036EE3" w:rsidTr="00E95338">
        <w:tc>
          <w:tcPr>
            <w:tcW w:w="1140" w:type="dxa"/>
          </w:tcPr>
          <w:p w:rsidR="004C4136" w:rsidRPr="00036EE3" w:rsidRDefault="004C4136" w:rsidP="00E95338">
            <w:pPr>
              <w:spacing w:before="200" w:after="100"/>
              <w:ind w:left="57"/>
              <w:rPr>
                <w:b/>
                <w:bCs/>
                <w:sz w:val="20"/>
                <w:lang w:val="en-US"/>
              </w:rPr>
            </w:pPr>
            <w:r w:rsidRPr="00036EE3">
              <w:rPr>
                <w:b/>
                <w:bCs/>
                <w:sz w:val="20"/>
                <w:lang w:val="en-US"/>
              </w:rPr>
              <w:t>Series</w:t>
            </w:r>
          </w:p>
        </w:tc>
        <w:tc>
          <w:tcPr>
            <w:tcW w:w="8220" w:type="dxa"/>
          </w:tcPr>
          <w:p w:rsidR="004C4136" w:rsidRPr="00036EE3" w:rsidRDefault="004C4136" w:rsidP="00E953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C4136" w:rsidRPr="00036EE3" w:rsidTr="00E95338">
        <w:tc>
          <w:tcPr>
            <w:tcW w:w="1140" w:type="dxa"/>
          </w:tcPr>
          <w:p w:rsidR="004C4136" w:rsidRPr="00036EE3" w:rsidRDefault="004C4136" w:rsidP="00E95338">
            <w:pPr>
              <w:spacing w:before="30" w:after="30"/>
              <w:ind w:left="57"/>
              <w:jc w:val="left"/>
              <w:rPr>
                <w:b/>
                <w:bCs/>
                <w:sz w:val="20"/>
                <w:lang w:val="en-US"/>
              </w:rPr>
            </w:pPr>
            <w:r w:rsidRPr="00036EE3">
              <w:rPr>
                <w:b/>
                <w:bCs/>
                <w:sz w:val="20"/>
                <w:lang w:val="en-US"/>
              </w:rPr>
              <w:t>BO</w:t>
            </w:r>
          </w:p>
        </w:tc>
        <w:tc>
          <w:tcPr>
            <w:tcW w:w="8220" w:type="dxa"/>
          </w:tcPr>
          <w:p w:rsidR="004C4136" w:rsidRPr="00036EE3" w:rsidRDefault="004C4136" w:rsidP="00E953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C4136" w:rsidRPr="00487DDF" w:rsidTr="00E95338">
        <w:tc>
          <w:tcPr>
            <w:tcW w:w="1140" w:type="dxa"/>
            <w:tcBorders>
              <w:bottom w:val="nil"/>
            </w:tcBorders>
          </w:tcPr>
          <w:p w:rsidR="004C4136" w:rsidRPr="00036EE3" w:rsidRDefault="004C4136" w:rsidP="00E95338">
            <w:pPr>
              <w:spacing w:before="30" w:after="30"/>
              <w:ind w:left="57"/>
              <w:jc w:val="left"/>
              <w:rPr>
                <w:b/>
                <w:bCs/>
                <w:sz w:val="20"/>
                <w:lang w:val="en-US"/>
              </w:rPr>
            </w:pPr>
            <w:r w:rsidRPr="00036EE3">
              <w:rPr>
                <w:b/>
                <w:bCs/>
                <w:sz w:val="20"/>
                <w:lang w:val="en-US"/>
              </w:rPr>
              <w:t>BR</w:t>
            </w:r>
          </w:p>
        </w:tc>
        <w:tc>
          <w:tcPr>
            <w:tcW w:w="8220" w:type="dxa"/>
            <w:tcBorders>
              <w:bottom w:val="nil"/>
            </w:tcBorders>
          </w:tcPr>
          <w:p w:rsidR="004C4136" w:rsidRPr="00036EE3" w:rsidRDefault="004C4136" w:rsidP="00E953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C4136" w:rsidRPr="00036EE3" w:rsidTr="00E95338">
        <w:tc>
          <w:tcPr>
            <w:tcW w:w="1140" w:type="dxa"/>
            <w:tcBorders>
              <w:top w:val="nil"/>
              <w:bottom w:val="nil"/>
            </w:tcBorders>
            <w:shd w:val="clear" w:color="auto" w:fill="auto"/>
          </w:tcPr>
          <w:p w:rsidR="004C4136" w:rsidRPr="007D224F" w:rsidRDefault="004C4136" w:rsidP="00E95338">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4C4136" w:rsidRPr="007D224F" w:rsidRDefault="004C4136" w:rsidP="00E953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4C4136" w:rsidRPr="00ED2695" w:rsidTr="00E95338">
        <w:tc>
          <w:tcPr>
            <w:tcW w:w="1140" w:type="dxa"/>
            <w:tcBorders>
              <w:top w:val="nil"/>
              <w:bottom w:val="nil"/>
            </w:tcBorders>
            <w:shd w:val="clear" w:color="auto" w:fill="auto"/>
          </w:tcPr>
          <w:p w:rsidR="004C4136" w:rsidRPr="00ED2695" w:rsidRDefault="004C4136" w:rsidP="00E9533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4C4136" w:rsidRPr="00ED2695" w:rsidRDefault="004C4136" w:rsidP="00E953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4C4136" w:rsidRPr="007D224F" w:rsidTr="00E95338">
        <w:tc>
          <w:tcPr>
            <w:tcW w:w="1140" w:type="dxa"/>
            <w:tcBorders>
              <w:top w:val="nil"/>
              <w:bottom w:val="nil"/>
            </w:tcBorders>
            <w:shd w:val="clear" w:color="auto" w:fill="auto"/>
          </w:tcPr>
          <w:p w:rsidR="004C4136" w:rsidRPr="0041667C" w:rsidRDefault="004C4136" w:rsidP="00E95338">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4C4136" w:rsidRPr="0041667C" w:rsidRDefault="004C4136" w:rsidP="00E953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4C4136" w:rsidRPr="0041667C" w:rsidTr="00E95338">
        <w:tc>
          <w:tcPr>
            <w:tcW w:w="1140" w:type="dxa"/>
            <w:tcBorders>
              <w:top w:val="nil"/>
              <w:bottom w:val="nil"/>
            </w:tcBorders>
            <w:shd w:val="clear" w:color="auto" w:fill="F3F3F3"/>
          </w:tcPr>
          <w:p w:rsidR="004C4136" w:rsidRPr="0041667C" w:rsidRDefault="004C4136" w:rsidP="00E95338">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4C4136" w:rsidRPr="0041667C" w:rsidRDefault="004C4136" w:rsidP="00E9533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4C4136" w:rsidRPr="00036EE3" w:rsidTr="00E95338">
        <w:tc>
          <w:tcPr>
            <w:tcW w:w="1140" w:type="dxa"/>
            <w:tcBorders>
              <w:top w:val="nil"/>
            </w:tcBorders>
          </w:tcPr>
          <w:p w:rsidR="004C4136" w:rsidRPr="00036EE3" w:rsidRDefault="004C4136" w:rsidP="00E95338">
            <w:pPr>
              <w:spacing w:before="30" w:after="30"/>
              <w:ind w:left="57"/>
              <w:jc w:val="left"/>
              <w:rPr>
                <w:b/>
                <w:bCs/>
                <w:sz w:val="20"/>
                <w:lang w:val="fr-CH"/>
              </w:rPr>
            </w:pPr>
            <w:r w:rsidRPr="00036EE3">
              <w:rPr>
                <w:b/>
                <w:bCs/>
                <w:sz w:val="20"/>
                <w:lang w:val="fr-CH"/>
              </w:rPr>
              <w:t>P</w:t>
            </w:r>
          </w:p>
        </w:tc>
        <w:tc>
          <w:tcPr>
            <w:tcW w:w="8220" w:type="dxa"/>
            <w:tcBorders>
              <w:top w:val="nil"/>
            </w:tcBorders>
          </w:tcPr>
          <w:p w:rsidR="004C4136" w:rsidRPr="00036EE3" w:rsidRDefault="004C4136" w:rsidP="00E95338">
            <w:pPr>
              <w:spacing w:before="30" w:after="30"/>
              <w:jc w:val="left"/>
              <w:rPr>
                <w:sz w:val="20"/>
                <w:lang w:val="fr-CH"/>
              </w:rPr>
            </w:pPr>
            <w:r w:rsidRPr="00036EE3">
              <w:rPr>
                <w:sz w:val="20"/>
                <w:lang w:val="fr-CH"/>
              </w:rPr>
              <w:t>Radiowave propagation</w:t>
            </w:r>
          </w:p>
        </w:tc>
      </w:tr>
      <w:tr w:rsidR="004C4136" w:rsidRPr="00036EE3" w:rsidTr="00E95338">
        <w:tc>
          <w:tcPr>
            <w:tcW w:w="1140" w:type="dxa"/>
          </w:tcPr>
          <w:p w:rsidR="004C4136" w:rsidRPr="00036EE3" w:rsidRDefault="004C4136" w:rsidP="00E95338">
            <w:pPr>
              <w:spacing w:before="30" w:after="30"/>
              <w:ind w:left="57"/>
              <w:jc w:val="left"/>
              <w:rPr>
                <w:b/>
                <w:bCs/>
                <w:sz w:val="20"/>
                <w:lang w:val="en-US"/>
              </w:rPr>
            </w:pPr>
            <w:r w:rsidRPr="00036EE3">
              <w:rPr>
                <w:b/>
                <w:bCs/>
                <w:sz w:val="20"/>
                <w:lang w:val="en-US"/>
              </w:rPr>
              <w:t>RA</w:t>
            </w:r>
          </w:p>
        </w:tc>
        <w:tc>
          <w:tcPr>
            <w:tcW w:w="8220" w:type="dxa"/>
          </w:tcPr>
          <w:p w:rsidR="004C4136" w:rsidRPr="00036EE3" w:rsidRDefault="004C4136" w:rsidP="00E953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C4136" w:rsidRPr="00036EE3" w:rsidTr="00E95338">
        <w:tc>
          <w:tcPr>
            <w:tcW w:w="1140" w:type="dxa"/>
          </w:tcPr>
          <w:p w:rsidR="004C4136" w:rsidRPr="00036EE3" w:rsidRDefault="004C4136" w:rsidP="00E95338">
            <w:pPr>
              <w:spacing w:before="30" w:after="30"/>
              <w:ind w:left="57"/>
              <w:jc w:val="left"/>
              <w:rPr>
                <w:b/>
                <w:bCs/>
                <w:sz w:val="20"/>
                <w:lang w:val="en-US"/>
              </w:rPr>
            </w:pPr>
            <w:r w:rsidRPr="00036EE3">
              <w:rPr>
                <w:b/>
                <w:bCs/>
                <w:sz w:val="20"/>
                <w:lang w:val="en-US"/>
              </w:rPr>
              <w:t>RS</w:t>
            </w:r>
          </w:p>
        </w:tc>
        <w:tc>
          <w:tcPr>
            <w:tcW w:w="8220" w:type="dxa"/>
          </w:tcPr>
          <w:p w:rsidR="004C4136" w:rsidRPr="00036EE3" w:rsidRDefault="004C4136" w:rsidP="00E9533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C4136" w:rsidRPr="00036EE3" w:rsidTr="00E95338">
        <w:tc>
          <w:tcPr>
            <w:tcW w:w="1140" w:type="dxa"/>
          </w:tcPr>
          <w:p w:rsidR="004C4136" w:rsidRPr="00036EE3" w:rsidRDefault="004C4136" w:rsidP="00E95338">
            <w:pPr>
              <w:spacing w:before="30" w:after="30"/>
              <w:ind w:left="57"/>
              <w:jc w:val="left"/>
              <w:rPr>
                <w:b/>
                <w:bCs/>
                <w:sz w:val="20"/>
                <w:lang w:val="en-US"/>
              </w:rPr>
            </w:pPr>
            <w:r w:rsidRPr="00036EE3">
              <w:rPr>
                <w:b/>
                <w:bCs/>
                <w:sz w:val="20"/>
                <w:lang w:val="en-US"/>
              </w:rPr>
              <w:t>S</w:t>
            </w:r>
          </w:p>
        </w:tc>
        <w:tc>
          <w:tcPr>
            <w:tcW w:w="8220" w:type="dxa"/>
          </w:tcPr>
          <w:p w:rsidR="004C4136" w:rsidRPr="00036EE3" w:rsidRDefault="004C4136" w:rsidP="00E95338">
            <w:pPr>
              <w:spacing w:before="30" w:after="30"/>
              <w:jc w:val="left"/>
              <w:rPr>
                <w:sz w:val="20"/>
                <w:lang w:val="en-US"/>
              </w:rPr>
            </w:pPr>
            <w:r w:rsidRPr="00036EE3">
              <w:rPr>
                <w:sz w:val="20"/>
                <w:lang w:val="en-US"/>
              </w:rPr>
              <w:t>Fixed-satellite service</w:t>
            </w:r>
          </w:p>
        </w:tc>
      </w:tr>
      <w:tr w:rsidR="004C4136" w:rsidRPr="00036EE3" w:rsidTr="00E95338">
        <w:tc>
          <w:tcPr>
            <w:tcW w:w="1140" w:type="dxa"/>
          </w:tcPr>
          <w:p w:rsidR="004C4136" w:rsidRPr="00036EE3" w:rsidRDefault="004C4136" w:rsidP="00E95338">
            <w:pPr>
              <w:spacing w:before="30" w:after="30"/>
              <w:ind w:left="57"/>
              <w:jc w:val="left"/>
              <w:rPr>
                <w:b/>
                <w:bCs/>
                <w:sz w:val="20"/>
                <w:lang w:val="en-US"/>
              </w:rPr>
            </w:pPr>
            <w:r w:rsidRPr="00036EE3">
              <w:rPr>
                <w:b/>
                <w:bCs/>
                <w:sz w:val="20"/>
                <w:lang w:val="en-US"/>
              </w:rPr>
              <w:t>SA</w:t>
            </w:r>
          </w:p>
        </w:tc>
        <w:tc>
          <w:tcPr>
            <w:tcW w:w="8220" w:type="dxa"/>
          </w:tcPr>
          <w:p w:rsidR="004C4136" w:rsidRPr="00036EE3" w:rsidRDefault="004C4136" w:rsidP="00E95338">
            <w:pPr>
              <w:spacing w:before="30" w:after="30"/>
              <w:jc w:val="left"/>
              <w:rPr>
                <w:sz w:val="20"/>
                <w:lang w:val="en-US"/>
              </w:rPr>
            </w:pPr>
            <w:r w:rsidRPr="00036EE3">
              <w:rPr>
                <w:sz w:val="20"/>
                <w:lang w:val="en-US"/>
              </w:rPr>
              <w:t>Space applications and meteorology</w:t>
            </w:r>
          </w:p>
        </w:tc>
      </w:tr>
      <w:tr w:rsidR="004C4136" w:rsidRPr="00487DDF" w:rsidTr="00E95338">
        <w:tc>
          <w:tcPr>
            <w:tcW w:w="1140" w:type="dxa"/>
            <w:tcBorders>
              <w:bottom w:val="nil"/>
            </w:tcBorders>
          </w:tcPr>
          <w:p w:rsidR="004C4136" w:rsidRPr="00036EE3" w:rsidRDefault="004C4136" w:rsidP="00E95338">
            <w:pPr>
              <w:spacing w:before="30" w:after="30"/>
              <w:ind w:left="57"/>
              <w:jc w:val="left"/>
              <w:rPr>
                <w:b/>
                <w:bCs/>
                <w:sz w:val="20"/>
                <w:lang w:val="en-US"/>
              </w:rPr>
            </w:pPr>
            <w:r w:rsidRPr="00036EE3">
              <w:rPr>
                <w:b/>
                <w:bCs/>
                <w:sz w:val="20"/>
                <w:lang w:val="en-US"/>
              </w:rPr>
              <w:t>SF</w:t>
            </w:r>
          </w:p>
        </w:tc>
        <w:tc>
          <w:tcPr>
            <w:tcW w:w="8220" w:type="dxa"/>
            <w:tcBorders>
              <w:bottom w:val="nil"/>
            </w:tcBorders>
          </w:tcPr>
          <w:p w:rsidR="004C4136" w:rsidRPr="00036EE3" w:rsidRDefault="004C4136" w:rsidP="00E95338">
            <w:pPr>
              <w:spacing w:before="30" w:after="30"/>
              <w:jc w:val="left"/>
              <w:rPr>
                <w:sz w:val="20"/>
                <w:lang w:val="en-US"/>
              </w:rPr>
            </w:pPr>
            <w:r w:rsidRPr="00036EE3">
              <w:rPr>
                <w:sz w:val="20"/>
                <w:lang w:val="en-US"/>
              </w:rPr>
              <w:t>Frequency sharing and coordination between fixed-satellite and fixed service systems</w:t>
            </w:r>
          </w:p>
        </w:tc>
      </w:tr>
      <w:tr w:rsidR="004C4136" w:rsidRPr="00036EE3" w:rsidTr="00E95338">
        <w:tc>
          <w:tcPr>
            <w:tcW w:w="1140" w:type="dxa"/>
            <w:tcBorders>
              <w:top w:val="nil"/>
              <w:bottom w:val="nil"/>
            </w:tcBorders>
            <w:shd w:val="clear" w:color="auto" w:fill="auto"/>
          </w:tcPr>
          <w:p w:rsidR="004C4136" w:rsidRPr="000A4386" w:rsidRDefault="004C4136" w:rsidP="00E95338">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4C4136" w:rsidRPr="000A4386" w:rsidRDefault="004C4136" w:rsidP="00E95338">
            <w:pPr>
              <w:spacing w:before="30" w:after="30"/>
              <w:jc w:val="left"/>
              <w:rPr>
                <w:sz w:val="20"/>
                <w:lang w:val="en-US"/>
              </w:rPr>
            </w:pPr>
            <w:r w:rsidRPr="000A4386">
              <w:rPr>
                <w:sz w:val="20"/>
                <w:lang w:val="en-US"/>
              </w:rPr>
              <w:t>Spectrum management</w:t>
            </w:r>
          </w:p>
        </w:tc>
      </w:tr>
      <w:tr w:rsidR="004C4136" w:rsidRPr="00036EE3" w:rsidTr="00E95338">
        <w:tc>
          <w:tcPr>
            <w:tcW w:w="1140" w:type="dxa"/>
            <w:tcBorders>
              <w:top w:val="nil"/>
            </w:tcBorders>
          </w:tcPr>
          <w:p w:rsidR="004C4136" w:rsidRPr="00036EE3" w:rsidRDefault="004C4136" w:rsidP="00E95338">
            <w:pPr>
              <w:spacing w:before="30" w:after="30"/>
              <w:ind w:left="57"/>
              <w:jc w:val="left"/>
              <w:rPr>
                <w:b/>
                <w:bCs/>
                <w:sz w:val="20"/>
                <w:lang w:val="en-US"/>
              </w:rPr>
            </w:pPr>
            <w:r w:rsidRPr="00036EE3">
              <w:rPr>
                <w:b/>
                <w:bCs/>
                <w:sz w:val="20"/>
                <w:lang w:val="en-US"/>
              </w:rPr>
              <w:t>SNG</w:t>
            </w:r>
          </w:p>
        </w:tc>
        <w:tc>
          <w:tcPr>
            <w:tcW w:w="8220" w:type="dxa"/>
            <w:tcBorders>
              <w:top w:val="nil"/>
            </w:tcBorders>
          </w:tcPr>
          <w:p w:rsidR="004C4136" w:rsidRPr="00036EE3" w:rsidRDefault="004C4136" w:rsidP="00E95338">
            <w:pPr>
              <w:spacing w:before="30" w:after="30"/>
              <w:jc w:val="left"/>
              <w:rPr>
                <w:sz w:val="20"/>
                <w:lang w:val="en-US"/>
              </w:rPr>
            </w:pPr>
            <w:r w:rsidRPr="00036EE3">
              <w:rPr>
                <w:sz w:val="20"/>
                <w:lang w:val="en-US"/>
              </w:rPr>
              <w:t>Satellite news gathering</w:t>
            </w:r>
          </w:p>
        </w:tc>
      </w:tr>
      <w:tr w:rsidR="004C4136" w:rsidRPr="00487DDF" w:rsidTr="00E95338">
        <w:tc>
          <w:tcPr>
            <w:tcW w:w="1140" w:type="dxa"/>
          </w:tcPr>
          <w:p w:rsidR="004C4136" w:rsidRPr="00036EE3" w:rsidRDefault="004C4136" w:rsidP="00E95338">
            <w:pPr>
              <w:spacing w:before="30" w:after="30"/>
              <w:ind w:left="57"/>
              <w:jc w:val="left"/>
              <w:rPr>
                <w:b/>
                <w:bCs/>
                <w:sz w:val="20"/>
                <w:lang w:val="en-US"/>
              </w:rPr>
            </w:pPr>
            <w:r w:rsidRPr="00036EE3">
              <w:rPr>
                <w:b/>
                <w:bCs/>
                <w:sz w:val="20"/>
                <w:lang w:val="en-US"/>
              </w:rPr>
              <w:t>TF</w:t>
            </w:r>
          </w:p>
        </w:tc>
        <w:tc>
          <w:tcPr>
            <w:tcW w:w="8220" w:type="dxa"/>
          </w:tcPr>
          <w:p w:rsidR="004C4136" w:rsidRPr="00036EE3" w:rsidRDefault="004C4136" w:rsidP="00E95338">
            <w:pPr>
              <w:spacing w:before="30" w:after="30"/>
              <w:jc w:val="left"/>
              <w:rPr>
                <w:sz w:val="20"/>
                <w:lang w:val="en-US"/>
              </w:rPr>
            </w:pPr>
            <w:r w:rsidRPr="00036EE3">
              <w:rPr>
                <w:sz w:val="20"/>
                <w:lang w:val="en-US"/>
              </w:rPr>
              <w:t>Time signals and frequency standards emissions</w:t>
            </w:r>
          </w:p>
        </w:tc>
      </w:tr>
      <w:tr w:rsidR="004C4136" w:rsidRPr="00036EE3" w:rsidTr="00E95338">
        <w:tc>
          <w:tcPr>
            <w:tcW w:w="1140" w:type="dxa"/>
          </w:tcPr>
          <w:p w:rsidR="004C4136" w:rsidRPr="00036EE3" w:rsidRDefault="004C4136" w:rsidP="00E95338">
            <w:pPr>
              <w:spacing w:before="30" w:after="30"/>
              <w:ind w:left="57"/>
              <w:jc w:val="left"/>
              <w:rPr>
                <w:b/>
                <w:bCs/>
                <w:sz w:val="20"/>
                <w:lang w:val="en-US"/>
              </w:rPr>
            </w:pPr>
            <w:r w:rsidRPr="00036EE3">
              <w:rPr>
                <w:b/>
                <w:bCs/>
                <w:sz w:val="20"/>
                <w:lang w:val="en-US"/>
              </w:rPr>
              <w:t>V</w:t>
            </w:r>
          </w:p>
        </w:tc>
        <w:tc>
          <w:tcPr>
            <w:tcW w:w="8220" w:type="dxa"/>
          </w:tcPr>
          <w:p w:rsidR="004C4136" w:rsidRPr="00036EE3" w:rsidRDefault="004C4136" w:rsidP="00E95338">
            <w:pPr>
              <w:spacing w:before="30" w:after="180"/>
              <w:jc w:val="left"/>
              <w:rPr>
                <w:sz w:val="20"/>
                <w:lang w:val="en-US"/>
              </w:rPr>
            </w:pPr>
            <w:r w:rsidRPr="00036EE3">
              <w:rPr>
                <w:sz w:val="20"/>
                <w:lang w:val="en-US"/>
              </w:rPr>
              <w:t>Vocabulary and related subjects</w:t>
            </w:r>
          </w:p>
        </w:tc>
      </w:tr>
    </w:tbl>
    <w:p w:rsidR="004C4136" w:rsidRPr="00036EE3" w:rsidRDefault="004C4136" w:rsidP="004C413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C4136" w:rsidTr="00E95338">
        <w:tc>
          <w:tcPr>
            <w:tcW w:w="720" w:type="dxa"/>
          </w:tcPr>
          <w:p w:rsidR="004C4136" w:rsidRDefault="004C4136" w:rsidP="00E95338">
            <w:pPr>
              <w:jc w:val="center"/>
              <w:rPr>
                <w:sz w:val="22"/>
                <w:lang w:val="en-US"/>
              </w:rPr>
            </w:pPr>
          </w:p>
        </w:tc>
      </w:tr>
    </w:tbl>
    <w:p w:rsidR="004C4136" w:rsidRPr="00036EE3" w:rsidRDefault="004C4136" w:rsidP="004C413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C4136" w:rsidRPr="00487DDF" w:rsidTr="00E95338">
        <w:tc>
          <w:tcPr>
            <w:tcW w:w="9360" w:type="dxa"/>
          </w:tcPr>
          <w:p w:rsidR="004C4136" w:rsidRPr="002F5199" w:rsidRDefault="004C4136" w:rsidP="00E95338">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4C4136" w:rsidRDefault="004C4136" w:rsidP="004C4136">
      <w:pPr>
        <w:spacing w:before="0"/>
        <w:jc w:val="center"/>
        <w:rPr>
          <w:sz w:val="22"/>
          <w:lang w:val="en-US"/>
        </w:rPr>
      </w:pPr>
    </w:p>
    <w:p w:rsidR="004C4136" w:rsidRDefault="004C4136" w:rsidP="004C4136">
      <w:pPr>
        <w:spacing w:before="0"/>
        <w:jc w:val="center"/>
        <w:rPr>
          <w:sz w:val="22"/>
          <w:lang w:val="en-US"/>
        </w:rPr>
      </w:pPr>
    </w:p>
    <w:p w:rsidR="004C4136" w:rsidRPr="002F5199" w:rsidRDefault="004C4136" w:rsidP="004C4136">
      <w:pPr>
        <w:spacing w:before="0"/>
        <w:jc w:val="right"/>
        <w:rPr>
          <w:i/>
          <w:iCs/>
          <w:sz w:val="20"/>
          <w:lang w:val="en-US"/>
        </w:rPr>
      </w:pPr>
      <w:r w:rsidRPr="002F5199">
        <w:rPr>
          <w:i/>
          <w:iCs/>
          <w:sz w:val="20"/>
          <w:lang w:val="en-US"/>
        </w:rPr>
        <w:t>Electronic Publication</w:t>
      </w:r>
    </w:p>
    <w:p w:rsidR="004C4136" w:rsidRPr="002F5199" w:rsidRDefault="004C4136" w:rsidP="004C4136">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114207">
        <w:rPr>
          <w:sz w:val="20"/>
          <w:lang w:val="en-US"/>
        </w:rPr>
        <w:t>15</w:t>
      </w:r>
    </w:p>
    <w:p w:rsidR="004C4136" w:rsidRDefault="004C4136" w:rsidP="004C4136">
      <w:pPr>
        <w:jc w:val="center"/>
        <w:rPr>
          <w:sz w:val="22"/>
          <w:lang w:val="en-US"/>
        </w:rPr>
      </w:pPr>
    </w:p>
    <w:p w:rsidR="004C4136" w:rsidRPr="00470E28" w:rsidRDefault="004C4136" w:rsidP="004C4136">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114207">
        <w:rPr>
          <w:sz w:val="20"/>
          <w:lang w:val="en-US"/>
        </w:rPr>
        <w:t>15</w:t>
      </w:r>
    </w:p>
    <w:p w:rsidR="004C4136" w:rsidRPr="00470E28" w:rsidRDefault="004C4136" w:rsidP="004C4136">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4C4136" w:rsidRDefault="004C4136" w:rsidP="004C4136">
      <w:pPr>
        <w:spacing w:before="160"/>
        <w:rPr>
          <w:i/>
          <w:sz w:val="20"/>
          <w:lang w:val="en-US"/>
        </w:rPr>
        <w:sectPr w:rsidR="004C4136"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4C4136" w:rsidRPr="00052F66" w:rsidRDefault="004C4136" w:rsidP="004C4136">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9C51A0">
        <w:rPr>
          <w:rStyle w:val="href"/>
          <w:lang w:val="en-US"/>
        </w:rPr>
        <w:t>2067</w:t>
      </w:r>
      <w:r w:rsidR="00E26E1B">
        <w:rPr>
          <w:rStyle w:val="href"/>
          <w:lang w:val="en-US"/>
        </w:rPr>
        <w:t>-0</w:t>
      </w:r>
    </w:p>
    <w:p w:rsidR="00A6617B" w:rsidRDefault="009C51A0" w:rsidP="009C51A0">
      <w:pPr>
        <w:pStyle w:val="Rectitle"/>
        <w:rPr>
          <w:lang w:val="en-US" w:eastAsia="zh-CN"/>
        </w:rPr>
      </w:pPr>
      <w:r w:rsidRPr="009C51A0">
        <w:rPr>
          <w:lang w:val="en-US" w:eastAsia="zh-CN"/>
        </w:rPr>
        <w:t>Technical characteristics and protection criteria for</w:t>
      </w:r>
      <w:r w:rsidRPr="009C51A0">
        <w:rPr>
          <w:lang w:val="en-US" w:eastAsia="zh-CN"/>
        </w:rPr>
        <w:br/>
        <w:t>Wireless Avionics Intra-Communication systems</w:t>
      </w:r>
    </w:p>
    <w:p w:rsidR="00217FC4" w:rsidRPr="00217FC4" w:rsidRDefault="00217FC4" w:rsidP="00217FC4">
      <w:pPr>
        <w:pStyle w:val="Recdate"/>
        <w:rPr>
          <w:lang w:val="en-US" w:eastAsia="zh-CN"/>
        </w:rPr>
      </w:pPr>
      <w:r>
        <w:rPr>
          <w:lang w:val="en-US" w:eastAsia="zh-CN"/>
        </w:rPr>
        <w:t>(2014)</w:t>
      </w:r>
    </w:p>
    <w:p w:rsidR="009C51A0" w:rsidRPr="000A4B64" w:rsidRDefault="009C51A0" w:rsidP="009C51A0">
      <w:pPr>
        <w:pStyle w:val="HeadingSum"/>
        <w:rPr>
          <w:lang w:val="en-US"/>
        </w:rPr>
      </w:pPr>
      <w:r w:rsidRPr="000A4B64">
        <w:rPr>
          <w:lang w:val="en-US"/>
        </w:rPr>
        <w:t>Scope</w:t>
      </w:r>
    </w:p>
    <w:p w:rsidR="009C51A0" w:rsidRPr="000A4B64" w:rsidRDefault="009C51A0" w:rsidP="009C51A0">
      <w:pPr>
        <w:pStyle w:val="Summary"/>
        <w:rPr>
          <w:lang w:val="en-US"/>
        </w:rPr>
      </w:pPr>
      <w:r w:rsidRPr="000A4B64">
        <w:rPr>
          <w:lang w:val="en-US"/>
        </w:rPr>
        <w:t>This Recommendation provides the technical and operational characteristics of, and protection criteria for wireless avionics intra-communication (WAIC) systems. These characteristics are intended for use when assessing the compatibility of WAIC systems with other services.</w:t>
      </w:r>
    </w:p>
    <w:p w:rsidR="009C51A0" w:rsidRPr="007918FE" w:rsidRDefault="009C51A0" w:rsidP="009C51A0">
      <w:pPr>
        <w:pStyle w:val="Headingb"/>
        <w:rPr>
          <w:lang w:val="en-US"/>
        </w:rPr>
      </w:pPr>
      <w:r w:rsidRPr="007918FE">
        <w:rPr>
          <w:lang w:val="en-US"/>
        </w:rPr>
        <w:t>Keywords</w:t>
      </w:r>
    </w:p>
    <w:p w:rsidR="009C51A0" w:rsidRPr="009C51A0" w:rsidRDefault="009C51A0" w:rsidP="009C51A0">
      <w:pPr>
        <w:rPr>
          <w:lang w:val="en-US"/>
        </w:rPr>
      </w:pPr>
      <w:r w:rsidRPr="009C51A0">
        <w:rPr>
          <w:lang w:val="en-US"/>
        </w:rPr>
        <w:t>Aeronautical, avionics, aircraft, protection criteria</w:t>
      </w:r>
    </w:p>
    <w:p w:rsidR="009C51A0" w:rsidRPr="007918FE" w:rsidRDefault="009C51A0" w:rsidP="009C51A0">
      <w:pPr>
        <w:pStyle w:val="Headingb"/>
        <w:rPr>
          <w:lang w:val="en-US"/>
        </w:rPr>
      </w:pPr>
      <w:r w:rsidRPr="007918FE">
        <w:rPr>
          <w:lang w:val="en-US"/>
        </w:rPr>
        <w:t xml:space="preserve">Abbreviations/Glossary </w:t>
      </w:r>
    </w:p>
    <w:p w:rsidR="009C51A0" w:rsidRPr="009C51A0" w:rsidRDefault="009C51A0" w:rsidP="00217FC4">
      <w:pPr>
        <w:tabs>
          <w:tab w:val="clear" w:pos="794"/>
        </w:tabs>
        <w:rPr>
          <w:lang w:val="en-US"/>
        </w:rPr>
      </w:pPr>
      <w:r w:rsidRPr="009C51A0">
        <w:rPr>
          <w:lang w:val="en-US"/>
        </w:rPr>
        <w:t>SARPs:</w:t>
      </w:r>
      <w:r w:rsidRPr="009C51A0">
        <w:rPr>
          <w:lang w:val="en-US"/>
        </w:rPr>
        <w:tab/>
        <w:t>Standards and recommended practices</w:t>
      </w:r>
    </w:p>
    <w:p w:rsidR="009C51A0" w:rsidRPr="009C51A0" w:rsidRDefault="009C51A0" w:rsidP="00217FC4">
      <w:pPr>
        <w:tabs>
          <w:tab w:val="clear" w:pos="794"/>
        </w:tabs>
        <w:ind w:left="1134" w:hanging="1134"/>
        <w:rPr>
          <w:lang w:val="en-US"/>
        </w:rPr>
      </w:pPr>
      <w:r w:rsidRPr="009C51A0">
        <w:rPr>
          <w:lang w:val="en-US"/>
        </w:rPr>
        <w:t>WAIC:</w:t>
      </w:r>
      <w:r w:rsidRPr="009C51A0">
        <w:rPr>
          <w:lang w:val="en-US"/>
        </w:rPr>
        <w:tab/>
        <w:t>Wireless</w:t>
      </w:r>
      <w:r w:rsidR="0068055D">
        <w:rPr>
          <w:lang w:val="en-US"/>
        </w:rPr>
        <w:t xml:space="preserve"> avionics intra-communication; r</w:t>
      </w:r>
      <w:r w:rsidRPr="009C51A0">
        <w:rPr>
          <w:lang w:val="en-US" w:eastAsia="ja-JP"/>
        </w:rPr>
        <w:t xml:space="preserve">adiocommunication between two or more aircraft stations located on a single aircraft; supporting the safe operation of the aircraft. </w:t>
      </w:r>
    </w:p>
    <w:p w:rsidR="009C51A0" w:rsidRPr="009C51A0" w:rsidRDefault="009C51A0" w:rsidP="009C51A0">
      <w:pPr>
        <w:pStyle w:val="Headingb"/>
        <w:rPr>
          <w:lang w:val="en-US"/>
        </w:rPr>
      </w:pPr>
      <w:r w:rsidRPr="009C51A0">
        <w:rPr>
          <w:lang w:val="en-US"/>
        </w:rPr>
        <w:t xml:space="preserve">Related ITU Recommendations, Reports </w:t>
      </w:r>
    </w:p>
    <w:p w:rsidR="009C51A0" w:rsidRPr="009C51A0" w:rsidRDefault="009C51A0" w:rsidP="009C51A0">
      <w:pPr>
        <w:rPr>
          <w:lang w:val="en-US"/>
        </w:rPr>
      </w:pPr>
      <w:r w:rsidRPr="009C51A0">
        <w:rPr>
          <w:lang w:val="en-US"/>
        </w:rPr>
        <w:t>Report ITU-R M.2283</w:t>
      </w:r>
    </w:p>
    <w:p w:rsidR="009C51A0" w:rsidRPr="009C51A0" w:rsidRDefault="009C51A0" w:rsidP="009C51A0">
      <w:pPr>
        <w:pStyle w:val="Normalaftertitle"/>
        <w:rPr>
          <w:lang w:val="en-US"/>
        </w:rPr>
      </w:pPr>
      <w:r w:rsidRPr="009C51A0">
        <w:rPr>
          <w:lang w:val="en-US"/>
        </w:rPr>
        <w:t>The ITU Radiocommunication Assembly,</w:t>
      </w:r>
    </w:p>
    <w:p w:rsidR="009C51A0" w:rsidRPr="009C51A0" w:rsidRDefault="009C51A0" w:rsidP="009C51A0">
      <w:pPr>
        <w:pStyle w:val="Call"/>
        <w:rPr>
          <w:lang w:val="en-US"/>
        </w:rPr>
      </w:pPr>
      <w:r w:rsidRPr="009C51A0">
        <w:rPr>
          <w:lang w:val="en-US"/>
        </w:rPr>
        <w:t>considering</w:t>
      </w:r>
    </w:p>
    <w:p w:rsidR="009C51A0" w:rsidRPr="009C51A0" w:rsidRDefault="009C51A0" w:rsidP="003D5F1F">
      <w:pPr>
        <w:rPr>
          <w:lang w:val="en-US" w:eastAsia="zh-CN"/>
        </w:rPr>
      </w:pPr>
      <w:r w:rsidRPr="009C51A0">
        <w:rPr>
          <w:i/>
          <w:iCs/>
          <w:lang w:val="en-US" w:eastAsia="zh-CN"/>
        </w:rPr>
        <w:t>a)</w:t>
      </w:r>
      <w:r w:rsidRPr="009C51A0">
        <w:rPr>
          <w:i/>
          <w:iCs/>
          <w:lang w:val="en-US" w:eastAsia="zh-CN"/>
        </w:rPr>
        <w:tab/>
      </w:r>
      <w:r w:rsidRPr="009C51A0">
        <w:rPr>
          <w:lang w:val="en-US" w:eastAsia="zh-CN"/>
        </w:rPr>
        <w:t>that the future generation of aircraft is being designed to enhance efficiency, reliability and safety, as well as to be more environmentally friendly;</w:t>
      </w:r>
    </w:p>
    <w:p w:rsidR="009C51A0" w:rsidRPr="009C51A0" w:rsidRDefault="009C51A0" w:rsidP="003D5F1F">
      <w:pPr>
        <w:rPr>
          <w:lang w:val="en-US" w:eastAsia="zh-CN"/>
        </w:rPr>
      </w:pPr>
      <w:r w:rsidRPr="009C51A0">
        <w:rPr>
          <w:i/>
          <w:iCs/>
          <w:lang w:val="en-US" w:eastAsia="zh-CN"/>
        </w:rPr>
        <w:t>b)</w:t>
      </w:r>
      <w:r w:rsidRPr="009C51A0">
        <w:rPr>
          <w:i/>
          <w:iCs/>
          <w:lang w:val="en-US" w:eastAsia="zh-CN"/>
        </w:rPr>
        <w:tab/>
      </w:r>
      <w:r w:rsidRPr="009C51A0">
        <w:rPr>
          <w:lang w:val="en-US" w:eastAsia="zh-CN"/>
        </w:rPr>
        <w:t>that wireless avionics intra-communication (WAIC) systems provide radiocommunication between two or more points integrated into or installed on a single aircraft;</w:t>
      </w:r>
    </w:p>
    <w:p w:rsidR="009C51A0" w:rsidRPr="009C51A0" w:rsidRDefault="009C51A0" w:rsidP="003D5F1F">
      <w:pPr>
        <w:rPr>
          <w:lang w:val="en-US" w:eastAsia="zh-CN"/>
        </w:rPr>
      </w:pPr>
      <w:r w:rsidRPr="009C51A0">
        <w:rPr>
          <w:i/>
          <w:iCs/>
          <w:lang w:val="en-US" w:eastAsia="zh-CN"/>
        </w:rPr>
        <w:t>c)</w:t>
      </w:r>
      <w:r w:rsidRPr="009C51A0">
        <w:rPr>
          <w:i/>
          <w:iCs/>
          <w:lang w:val="en-US" w:eastAsia="zh-CN"/>
        </w:rPr>
        <w:tab/>
      </w:r>
      <w:r w:rsidRPr="009C51A0">
        <w:rPr>
          <w:lang w:val="en-US" w:eastAsia="zh-CN"/>
        </w:rPr>
        <w:t>that WAIC systems do not provide radiocommunication between an aircraft and the ground, another aircraft or a satellite;</w:t>
      </w:r>
    </w:p>
    <w:p w:rsidR="009C51A0" w:rsidRPr="009C51A0" w:rsidRDefault="009C51A0" w:rsidP="003D5F1F">
      <w:pPr>
        <w:rPr>
          <w:lang w:val="en-US" w:eastAsia="zh-CN"/>
        </w:rPr>
      </w:pPr>
      <w:r w:rsidRPr="009C51A0">
        <w:rPr>
          <w:i/>
          <w:iCs/>
          <w:lang w:val="en-US" w:eastAsia="zh-CN"/>
        </w:rPr>
        <w:t>d)</w:t>
      </w:r>
      <w:r w:rsidRPr="009C51A0">
        <w:rPr>
          <w:i/>
          <w:iCs/>
          <w:lang w:val="en-US" w:eastAsia="zh-CN"/>
        </w:rPr>
        <w:tab/>
      </w:r>
      <w:r w:rsidRPr="009C51A0">
        <w:rPr>
          <w:lang w:val="en-US" w:eastAsia="zh-CN"/>
        </w:rPr>
        <w:t>that WAIC systems must operate in a manner to ensure the safe operation of an aircraft;</w:t>
      </w:r>
    </w:p>
    <w:p w:rsidR="009C51A0" w:rsidRPr="009C51A0" w:rsidRDefault="009C51A0" w:rsidP="003D5F1F">
      <w:pPr>
        <w:rPr>
          <w:lang w:val="en-US" w:eastAsia="zh-CN"/>
        </w:rPr>
      </w:pPr>
      <w:r w:rsidRPr="009C51A0">
        <w:rPr>
          <w:i/>
          <w:iCs/>
          <w:lang w:val="en-US" w:eastAsia="zh-CN"/>
        </w:rPr>
        <w:t>e)</w:t>
      </w:r>
      <w:r w:rsidRPr="009C51A0">
        <w:rPr>
          <w:i/>
          <w:iCs/>
          <w:lang w:val="en-US" w:eastAsia="zh-CN"/>
        </w:rPr>
        <w:tab/>
      </w:r>
      <w:r w:rsidRPr="009C51A0">
        <w:rPr>
          <w:lang w:val="en-US" w:eastAsia="zh-CN"/>
        </w:rPr>
        <w:t>that WAIC systems operate during all phases of flight, including on the ground;</w:t>
      </w:r>
    </w:p>
    <w:p w:rsidR="009C51A0" w:rsidRPr="009C51A0" w:rsidRDefault="009C51A0" w:rsidP="003D5F1F">
      <w:pPr>
        <w:rPr>
          <w:lang w:val="en-US" w:eastAsia="zh-CN"/>
        </w:rPr>
      </w:pPr>
      <w:r w:rsidRPr="009C51A0">
        <w:rPr>
          <w:i/>
          <w:iCs/>
          <w:lang w:val="en-US" w:eastAsia="zh-CN"/>
        </w:rPr>
        <w:t>f)</w:t>
      </w:r>
      <w:r w:rsidRPr="009C51A0">
        <w:rPr>
          <w:i/>
          <w:iCs/>
          <w:lang w:val="en-US" w:eastAsia="zh-CN"/>
        </w:rPr>
        <w:tab/>
      </w:r>
      <w:r w:rsidRPr="009C51A0">
        <w:rPr>
          <w:lang w:val="en-US" w:eastAsia="zh-CN"/>
        </w:rPr>
        <w:t>that aircraft equipped with WAIC systems operate worldwide and cross national borders;</w:t>
      </w:r>
    </w:p>
    <w:p w:rsidR="009C51A0" w:rsidRPr="009C51A0" w:rsidRDefault="009C51A0" w:rsidP="003D5F1F">
      <w:pPr>
        <w:rPr>
          <w:i/>
          <w:lang w:val="en-US"/>
        </w:rPr>
      </w:pPr>
      <w:r w:rsidRPr="009C51A0">
        <w:rPr>
          <w:bCs/>
          <w:i/>
          <w:lang w:val="en-US" w:eastAsia="ja-JP"/>
        </w:rPr>
        <w:t>g</w:t>
      </w:r>
      <w:r w:rsidRPr="009C51A0">
        <w:rPr>
          <w:bCs/>
          <w:lang w:val="en-US" w:eastAsia="ja-JP"/>
        </w:rPr>
        <w:t>)</w:t>
      </w:r>
      <w:r w:rsidRPr="009C51A0">
        <w:rPr>
          <w:bCs/>
          <w:lang w:val="en-US" w:eastAsia="ja-JP"/>
        </w:rPr>
        <w:tab/>
        <w:t xml:space="preserve">that WAIC </w:t>
      </w:r>
      <w:r w:rsidRPr="009C51A0">
        <w:rPr>
          <w:lang w:val="en-US"/>
        </w:rPr>
        <w:t xml:space="preserve">signals will be attenuated by the </w:t>
      </w:r>
      <w:r w:rsidRPr="009C51A0">
        <w:rPr>
          <w:bCs/>
          <w:lang w:val="en-US" w:eastAsia="ja-JP"/>
        </w:rPr>
        <w:t xml:space="preserve">aircraft </w:t>
      </w:r>
      <w:r w:rsidR="003D5F1F">
        <w:rPr>
          <w:bCs/>
          <w:lang w:val="en-US" w:eastAsia="ja-JP"/>
        </w:rPr>
        <w:t>fuselage</w:t>
      </w:r>
      <w:r w:rsidRPr="009C51A0">
        <w:rPr>
          <w:bCs/>
          <w:lang w:val="en-US" w:eastAsia="ja-JP"/>
        </w:rPr>
        <w:t>,</w:t>
      </w:r>
    </w:p>
    <w:p w:rsidR="009C51A0" w:rsidRPr="009C51A0" w:rsidRDefault="009C51A0" w:rsidP="009C51A0">
      <w:pPr>
        <w:pStyle w:val="Call"/>
        <w:rPr>
          <w:lang w:val="en-US"/>
        </w:rPr>
      </w:pPr>
      <w:r w:rsidRPr="009C51A0">
        <w:rPr>
          <w:lang w:val="en-US"/>
        </w:rPr>
        <w:t>recognizing</w:t>
      </w:r>
    </w:p>
    <w:p w:rsidR="009C51A0" w:rsidRPr="009C51A0" w:rsidRDefault="009C51A0" w:rsidP="003D5F1F">
      <w:pPr>
        <w:rPr>
          <w:lang w:val="en-US" w:eastAsia="ja-JP"/>
        </w:rPr>
      </w:pPr>
      <w:r w:rsidRPr="009C51A0">
        <w:rPr>
          <w:i/>
          <w:iCs/>
          <w:lang w:val="en-US" w:eastAsia="ja-JP"/>
        </w:rPr>
        <w:t>a)</w:t>
      </w:r>
      <w:r w:rsidRPr="009C51A0">
        <w:rPr>
          <w:lang w:val="en-US" w:eastAsia="ja-JP"/>
        </w:rPr>
        <w:tab/>
        <w:t>that the International Civil Aviation Organization develops standards and recommended practices for civil aviation;</w:t>
      </w:r>
    </w:p>
    <w:p w:rsidR="009C51A0" w:rsidRPr="009C51A0" w:rsidRDefault="009C51A0" w:rsidP="003D5F1F">
      <w:pPr>
        <w:rPr>
          <w:lang w:val="en-US" w:eastAsia="ja-JP"/>
        </w:rPr>
      </w:pPr>
      <w:r w:rsidRPr="009C51A0">
        <w:rPr>
          <w:i/>
          <w:iCs/>
          <w:lang w:val="en-US" w:eastAsia="ja-JP"/>
        </w:rPr>
        <w:t>b)</w:t>
      </w:r>
      <w:r w:rsidRPr="009C51A0">
        <w:rPr>
          <w:lang w:val="en-US" w:eastAsia="ja-JP"/>
        </w:rPr>
        <w:tab/>
        <w:t>that Annex 10 to the Convention on International Civil Aviation contains standards and recommended practices for aeronautical radionavigation and radiocommunication systems used by civil aviation,</w:t>
      </w:r>
    </w:p>
    <w:p w:rsidR="009C51A0" w:rsidRPr="009C51A0" w:rsidRDefault="009C51A0" w:rsidP="009C51A0">
      <w:pPr>
        <w:pStyle w:val="Call"/>
        <w:rPr>
          <w:lang w:val="en-US"/>
        </w:rPr>
      </w:pPr>
      <w:r w:rsidRPr="009C51A0">
        <w:rPr>
          <w:lang w:val="en-US"/>
        </w:rPr>
        <w:t>noting</w:t>
      </w:r>
    </w:p>
    <w:p w:rsidR="009C51A0" w:rsidRPr="009C51A0" w:rsidRDefault="009C51A0" w:rsidP="009C51A0">
      <w:pPr>
        <w:rPr>
          <w:i/>
          <w:lang w:val="en-US"/>
        </w:rPr>
      </w:pPr>
      <w:r w:rsidRPr="009C51A0">
        <w:rPr>
          <w:lang w:val="en-US" w:eastAsia="ja-JP"/>
        </w:rPr>
        <w:t>that WAIC is defined as radiocommunication between two or more aircraft stations located on a single aircraft; supporting the safe operation of the aircraft,</w:t>
      </w:r>
    </w:p>
    <w:p w:rsidR="009C51A0" w:rsidRPr="009C51A0" w:rsidRDefault="009C51A0" w:rsidP="009C51A0">
      <w:pPr>
        <w:pStyle w:val="Call"/>
        <w:rPr>
          <w:lang w:val="en-US"/>
        </w:rPr>
      </w:pPr>
      <w:r w:rsidRPr="009C51A0">
        <w:rPr>
          <w:lang w:val="en-US"/>
        </w:rPr>
        <w:lastRenderedPageBreak/>
        <w:t>recommends</w:t>
      </w:r>
    </w:p>
    <w:p w:rsidR="009C51A0" w:rsidRPr="009C51A0" w:rsidRDefault="009C51A0" w:rsidP="009C51A0">
      <w:pPr>
        <w:rPr>
          <w:lang w:val="en-US"/>
        </w:rPr>
      </w:pPr>
      <w:r w:rsidRPr="009C51A0">
        <w:rPr>
          <w:lang w:val="en-US"/>
        </w:rPr>
        <w:t>that the technical and operational characteristics and protection criteria for WAIC systems as described in the Annex should be used for sharing and compatibility studies.</w:t>
      </w:r>
    </w:p>
    <w:p w:rsidR="009C51A0" w:rsidRDefault="009C51A0" w:rsidP="009C51A0">
      <w:pPr>
        <w:overflowPunct/>
        <w:autoSpaceDE/>
        <w:autoSpaceDN/>
        <w:adjustRightInd/>
        <w:spacing w:before="0"/>
        <w:textAlignment w:val="auto"/>
        <w:rPr>
          <w:bCs/>
          <w:lang w:val="en-US"/>
        </w:rPr>
      </w:pPr>
    </w:p>
    <w:p w:rsidR="003D5F1F" w:rsidRPr="009C51A0" w:rsidRDefault="003D5F1F" w:rsidP="009C51A0">
      <w:pPr>
        <w:overflowPunct/>
        <w:autoSpaceDE/>
        <w:autoSpaceDN/>
        <w:adjustRightInd/>
        <w:spacing w:before="0"/>
        <w:textAlignment w:val="auto"/>
        <w:rPr>
          <w:bCs/>
          <w:lang w:val="en-US"/>
        </w:rPr>
      </w:pPr>
    </w:p>
    <w:p w:rsidR="009C51A0" w:rsidRPr="003D5F1F" w:rsidRDefault="009C51A0" w:rsidP="003D5F1F">
      <w:pPr>
        <w:pStyle w:val="AnnexNoTitle"/>
        <w:rPr>
          <w:lang w:val="en-US"/>
        </w:rPr>
      </w:pPr>
      <w:r w:rsidRPr="003D5F1F">
        <w:rPr>
          <w:lang w:val="en-US"/>
        </w:rPr>
        <w:t>Annex</w:t>
      </w:r>
      <w:r w:rsidR="003D5F1F" w:rsidRPr="003D5F1F">
        <w:rPr>
          <w:lang w:val="en-US"/>
        </w:rPr>
        <w:br/>
      </w:r>
      <w:r w:rsidR="003D5F1F" w:rsidRPr="003D5F1F">
        <w:rPr>
          <w:lang w:val="en-US"/>
        </w:rPr>
        <w:br/>
      </w:r>
      <w:r w:rsidRPr="003D5F1F">
        <w:rPr>
          <w:lang w:val="en-US"/>
        </w:rPr>
        <w:t xml:space="preserve">Technical characteristics and protection criteria for wireless </w:t>
      </w:r>
      <w:r w:rsidRPr="003D5F1F">
        <w:rPr>
          <w:lang w:val="en-US"/>
        </w:rPr>
        <w:br/>
        <w:t>avionics intra-communication systems</w:t>
      </w:r>
    </w:p>
    <w:p w:rsidR="009C51A0" w:rsidRPr="009C51A0" w:rsidRDefault="009C51A0" w:rsidP="009C51A0">
      <w:pPr>
        <w:pStyle w:val="Heading1"/>
        <w:rPr>
          <w:lang w:val="en-US"/>
        </w:rPr>
      </w:pPr>
      <w:r w:rsidRPr="009C51A0">
        <w:rPr>
          <w:lang w:val="en-US"/>
        </w:rPr>
        <w:t>1</w:t>
      </w:r>
      <w:r w:rsidRPr="009C51A0">
        <w:rPr>
          <w:lang w:val="en-US"/>
        </w:rPr>
        <w:tab/>
        <w:t>Wireless avionics intra-communication systems</w:t>
      </w:r>
    </w:p>
    <w:p w:rsidR="009C51A0" w:rsidRPr="009C51A0" w:rsidRDefault="009C51A0" w:rsidP="00F05CF2">
      <w:pPr>
        <w:rPr>
          <w:lang w:val="en-US"/>
        </w:rPr>
      </w:pPr>
      <w:r w:rsidRPr="009C51A0">
        <w:rPr>
          <w:lang w:val="en-US"/>
        </w:rPr>
        <w:t xml:space="preserve">Wireless Avionics Intra-Communication (WAIC) systems offer aircraft designers and operators opportunities to improve flight safety and operational efficiency while reducing costs and enhancing efficiency and reliability. </w:t>
      </w:r>
    </w:p>
    <w:p w:rsidR="009C51A0" w:rsidRPr="009C51A0" w:rsidRDefault="009C51A0" w:rsidP="009C51A0">
      <w:pPr>
        <w:rPr>
          <w:lang w:val="en-US"/>
        </w:rPr>
      </w:pPr>
      <w:r w:rsidRPr="009C51A0">
        <w:rPr>
          <w:lang w:val="en-US"/>
        </w:rPr>
        <w:t>WAIC systems utilize radiocommunication between two or more stations on a single aircraft; consisting of on-board networks supporting the aircraft’s safe operation. WAIC transmissions may not be limited to the interior of the aircraft structure, and will not provide communications between an aircraft and the ground, another aircraft or satellite.</w:t>
      </w:r>
    </w:p>
    <w:p w:rsidR="009C51A0" w:rsidRPr="009C51A0" w:rsidRDefault="009C51A0" w:rsidP="009C51A0">
      <w:pPr>
        <w:rPr>
          <w:lang w:val="en-US"/>
        </w:rPr>
      </w:pPr>
      <w:r w:rsidRPr="009C51A0">
        <w:rPr>
          <w:lang w:val="en-US"/>
        </w:rPr>
        <w:t xml:space="preserve">WAIC systems support data and voice communications limited to the safe, reliable and efficient operation of an aircraft. </w:t>
      </w:r>
      <w:r w:rsidR="00DF1208">
        <w:rPr>
          <w:lang w:val="en-US"/>
        </w:rPr>
        <w:t>Safety-</w:t>
      </w:r>
      <w:r w:rsidRPr="009C51A0">
        <w:rPr>
          <w:lang w:val="en-US"/>
        </w:rPr>
        <w:t>related video surveillance applications may also include communications systems used by the crew for the safe operation of the aircraft. They are not intended to provide communications with consumer devices brought onboard the aircraft by passengers or for in-flight entertainment applications. Rather, they are assumed to be part of the aircraft’s exclusive network.</w:t>
      </w:r>
    </w:p>
    <w:p w:rsidR="009C51A0" w:rsidRPr="009C51A0" w:rsidRDefault="009C51A0" w:rsidP="009C51A0">
      <w:pPr>
        <w:pStyle w:val="Heading1"/>
        <w:rPr>
          <w:lang w:val="en-US"/>
        </w:rPr>
      </w:pPr>
      <w:bookmarkStart w:id="4" w:name="_Toc283735240"/>
      <w:r w:rsidRPr="009C51A0">
        <w:rPr>
          <w:lang w:val="en-US"/>
        </w:rPr>
        <w:t>2</w:t>
      </w:r>
      <w:r w:rsidRPr="009C51A0">
        <w:rPr>
          <w:lang w:val="en-US"/>
        </w:rPr>
        <w:tab/>
      </w:r>
      <w:bookmarkEnd w:id="4"/>
      <w:r w:rsidRPr="009C51A0">
        <w:rPr>
          <w:lang w:val="en-US"/>
        </w:rPr>
        <w:t>Wireless avionics intra-communication systems categorization</w:t>
      </w:r>
    </w:p>
    <w:p w:rsidR="009C51A0" w:rsidRPr="009C51A0" w:rsidRDefault="009C51A0" w:rsidP="00DF1208">
      <w:pPr>
        <w:rPr>
          <w:lang w:val="en-US"/>
        </w:rPr>
      </w:pPr>
      <w:r w:rsidRPr="009C51A0">
        <w:rPr>
          <w:lang w:val="en-US"/>
        </w:rPr>
        <w:t>In discussing the requirements and performance of WAIC systems, it is useful to categoriz</w:t>
      </w:r>
      <w:r w:rsidR="00DF1208">
        <w:rPr>
          <w:lang w:val="en-US"/>
        </w:rPr>
        <w:t>e</w:t>
      </w:r>
      <w:r w:rsidRPr="009C51A0">
        <w:rPr>
          <w:lang w:val="en-US"/>
        </w:rPr>
        <w:t xml:space="preserve"> these systems according to two characteristics: data rate </w:t>
      </w:r>
      <w:r w:rsidR="00DF1208">
        <w:rPr>
          <w:lang w:val="en-US"/>
        </w:rPr>
        <w:t xml:space="preserve">(high and low) and installation </w:t>
      </w:r>
      <w:r w:rsidRPr="009C51A0">
        <w:rPr>
          <w:lang w:val="en-US"/>
        </w:rPr>
        <w:t>location of the WAIC systems’ transmit antennas (inside and outside the fuselage).</w:t>
      </w:r>
    </w:p>
    <w:p w:rsidR="009C51A0" w:rsidRPr="009C51A0" w:rsidRDefault="009C51A0" w:rsidP="009C51A0">
      <w:pPr>
        <w:pStyle w:val="FigureNo"/>
        <w:rPr>
          <w:lang w:val="en-US"/>
        </w:rPr>
      </w:pPr>
      <w:r w:rsidRPr="009C51A0">
        <w:rPr>
          <w:lang w:val="en-US"/>
        </w:rPr>
        <w:lastRenderedPageBreak/>
        <w:t>Figure 1</w:t>
      </w:r>
    </w:p>
    <w:p w:rsidR="009C51A0" w:rsidRDefault="009C51A0" w:rsidP="009C51A0">
      <w:pPr>
        <w:pStyle w:val="Figuretitle"/>
        <w:rPr>
          <w:lang w:val="en-US"/>
        </w:rPr>
      </w:pPr>
      <w:r w:rsidRPr="009C51A0">
        <w:rPr>
          <w:lang w:val="en-US"/>
        </w:rPr>
        <w:t>Wireless avionics intra-communication system categorization</w:t>
      </w:r>
    </w:p>
    <w:p w:rsidR="00166E37" w:rsidRPr="00166E37" w:rsidRDefault="0033521B" w:rsidP="00166E37">
      <w:pPr>
        <w:pStyle w:val="Figure"/>
        <w:rPr>
          <w:lang w:val="en-US"/>
        </w:rPr>
      </w:pPr>
      <w:r>
        <w:rPr>
          <w:lang w:val="en-US"/>
        </w:rPr>
        <w:object w:dxaOrig="3692" w:dyaOrig="3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2pt;height:201.4pt" o:ole="">
            <v:imagedata r:id="rId13" o:title=""/>
          </v:shape>
          <o:OLEObject Type="Embed" ProgID="CorelDraw.Graphic.16" ShapeID="_x0000_i1025" DrawAspect="Content" ObjectID="_1504096840" r:id="rId14"/>
        </w:object>
      </w:r>
    </w:p>
    <w:p w:rsidR="009C51A0" w:rsidRPr="009C51A0" w:rsidRDefault="009C51A0" w:rsidP="009C51A0">
      <w:pPr>
        <w:pStyle w:val="Heading2"/>
        <w:rPr>
          <w:lang w:val="en-US"/>
        </w:rPr>
      </w:pPr>
      <w:bookmarkStart w:id="5" w:name="_Toc283735241"/>
      <w:r w:rsidRPr="009C51A0">
        <w:rPr>
          <w:lang w:val="en-US"/>
        </w:rPr>
        <w:t>2.1</w:t>
      </w:r>
      <w:r w:rsidRPr="009C51A0">
        <w:rPr>
          <w:lang w:val="en-US"/>
        </w:rPr>
        <w:tab/>
        <w:t>Categorization process description</w:t>
      </w:r>
      <w:bookmarkEnd w:id="5"/>
    </w:p>
    <w:p w:rsidR="009C51A0" w:rsidRPr="009C51A0" w:rsidRDefault="009C51A0" w:rsidP="009C51A0">
      <w:pPr>
        <w:pStyle w:val="Heading3"/>
        <w:rPr>
          <w:lang w:val="en-US"/>
        </w:rPr>
      </w:pPr>
      <w:bookmarkStart w:id="6" w:name="_Toc283735242"/>
      <w:r w:rsidRPr="009C51A0">
        <w:rPr>
          <w:lang w:val="en-US"/>
        </w:rPr>
        <w:t>2.1.1</w:t>
      </w:r>
      <w:r w:rsidRPr="009C51A0">
        <w:rPr>
          <w:lang w:val="en-US"/>
        </w:rPr>
        <w:tab/>
        <w:t xml:space="preserve">System data rate </w:t>
      </w:r>
      <w:bookmarkEnd w:id="6"/>
      <w:r w:rsidRPr="009C51A0">
        <w:rPr>
          <w:lang w:val="en-US"/>
        </w:rPr>
        <w:t>categorization</w:t>
      </w:r>
    </w:p>
    <w:p w:rsidR="009C51A0" w:rsidRPr="009C51A0" w:rsidRDefault="009C51A0" w:rsidP="00DF1208">
      <w:pPr>
        <w:rPr>
          <w:lang w:val="en-US"/>
        </w:rPr>
      </w:pPr>
      <w:r w:rsidRPr="009C51A0">
        <w:rPr>
          <w:lang w:val="en-US"/>
        </w:rPr>
        <w:t>WAIC applications can be categorized into two broad categories corresponding to application data rate requirements. The following definitions are used for this purpose: low (L) data rate applications have data rates less than 10 kb</w:t>
      </w:r>
      <w:r w:rsidR="00DF1208">
        <w:rPr>
          <w:lang w:val="en-US"/>
        </w:rPr>
        <w:t>it/</w:t>
      </w:r>
      <w:r w:rsidRPr="009C51A0">
        <w:rPr>
          <w:lang w:val="en-US"/>
        </w:rPr>
        <w:t>s, and high (H) data rate applications have data rates above 10 kb</w:t>
      </w:r>
      <w:r w:rsidR="00DF1208">
        <w:rPr>
          <w:lang w:val="en-US"/>
        </w:rPr>
        <w:t>it/</w:t>
      </w:r>
      <w:r w:rsidRPr="009C51A0">
        <w:rPr>
          <w:lang w:val="en-US"/>
        </w:rPr>
        <w:t>s. These categorizations are signified by “L” and “H”</w:t>
      </w:r>
      <w:r w:rsidR="00DF1208">
        <w:rPr>
          <w:lang w:val="en-US"/>
        </w:rPr>
        <w:t>,</w:t>
      </w:r>
      <w:r w:rsidRPr="009C51A0">
        <w:rPr>
          <w:lang w:val="en-US"/>
        </w:rPr>
        <w:t xml:space="preserve"> respectively. Low and high data rate WAIC systems have different technical characteristics (see </w:t>
      </w:r>
      <w:r w:rsidR="00DF1208">
        <w:rPr>
          <w:lang w:val="en-US"/>
        </w:rPr>
        <w:t>§</w:t>
      </w:r>
      <w:r w:rsidRPr="009C51A0">
        <w:rPr>
          <w:lang w:val="en-US"/>
        </w:rPr>
        <w:t xml:space="preserve"> 3).</w:t>
      </w:r>
    </w:p>
    <w:p w:rsidR="009C51A0" w:rsidRPr="009C51A0" w:rsidRDefault="009C51A0" w:rsidP="009C51A0">
      <w:pPr>
        <w:pStyle w:val="Heading3"/>
        <w:rPr>
          <w:lang w:val="en-US"/>
        </w:rPr>
      </w:pPr>
      <w:bookmarkStart w:id="7" w:name="_Toc283735243"/>
      <w:r w:rsidRPr="009C51A0">
        <w:rPr>
          <w:lang w:val="en-US"/>
        </w:rPr>
        <w:t>2.1.2</w:t>
      </w:r>
      <w:r w:rsidRPr="009C51A0">
        <w:rPr>
          <w:lang w:val="en-US"/>
        </w:rPr>
        <w:tab/>
        <w:t>System location</w:t>
      </w:r>
      <w:bookmarkEnd w:id="7"/>
      <w:r w:rsidRPr="009C51A0">
        <w:rPr>
          <w:lang w:val="en-US"/>
        </w:rPr>
        <w:t xml:space="preserve"> categorization</w:t>
      </w:r>
    </w:p>
    <w:p w:rsidR="009C51A0" w:rsidRPr="009C51A0" w:rsidRDefault="009C51A0" w:rsidP="009C51A0">
      <w:pPr>
        <w:rPr>
          <w:lang w:val="en-US"/>
        </w:rPr>
      </w:pPr>
      <w:r w:rsidRPr="009C51A0">
        <w:rPr>
          <w:lang w:val="en-US"/>
        </w:rPr>
        <w:t>The installation location of a WAIC transmitter has an impact on the amount of RF energy radiated from the aircraft. Therefore, WAIC systems that are enclosed by the airplane structure, such as the fuselage or wing are categorized as inside (I). Those applications that are not enclosed are categorized as outside (O).</w:t>
      </w:r>
    </w:p>
    <w:p w:rsidR="009C51A0" w:rsidRPr="009C51A0" w:rsidRDefault="009C51A0" w:rsidP="00DF1208">
      <w:pPr>
        <w:pStyle w:val="Heading3"/>
        <w:rPr>
          <w:b w:val="0"/>
          <w:lang w:val="en-US"/>
        </w:rPr>
      </w:pPr>
      <w:bookmarkStart w:id="8" w:name="_Toc283735244"/>
      <w:r w:rsidRPr="009C51A0">
        <w:rPr>
          <w:lang w:val="en-US"/>
        </w:rPr>
        <w:t>2.1.3</w:t>
      </w:r>
      <w:r w:rsidRPr="009C51A0">
        <w:rPr>
          <w:lang w:val="en-US"/>
        </w:rPr>
        <w:tab/>
        <w:t xml:space="preserve">System </w:t>
      </w:r>
      <w:r w:rsidR="00DF1208">
        <w:rPr>
          <w:lang w:val="en-US"/>
        </w:rPr>
        <w:t>c</w:t>
      </w:r>
      <w:r w:rsidRPr="009C51A0">
        <w:rPr>
          <w:lang w:val="en-US"/>
        </w:rPr>
        <w:t xml:space="preserve">ategories </w:t>
      </w:r>
      <w:bookmarkEnd w:id="8"/>
    </w:p>
    <w:p w:rsidR="009C51A0" w:rsidRPr="009C51A0" w:rsidRDefault="009C51A0" w:rsidP="009C51A0">
      <w:pPr>
        <w:rPr>
          <w:lang w:val="en-US"/>
        </w:rPr>
      </w:pPr>
      <w:r w:rsidRPr="009C51A0">
        <w:rPr>
          <w:lang w:val="en-US"/>
        </w:rPr>
        <w:t>WAIC applications can be characterized by XY following the previous definitions. The parameter X represents the data rate (H, L), and the parameter Y represents the location (I, O). For example, a typical category is LI, representing an application with low data rate requirements, and located internal to the aircraft structure.</w:t>
      </w:r>
    </w:p>
    <w:p w:rsidR="009C51A0" w:rsidRPr="009C51A0" w:rsidRDefault="009C51A0" w:rsidP="009C51A0">
      <w:pPr>
        <w:pStyle w:val="Heading1"/>
        <w:rPr>
          <w:lang w:val="en-US"/>
        </w:rPr>
      </w:pPr>
      <w:bookmarkStart w:id="9" w:name="_Toc283735250"/>
      <w:r w:rsidRPr="009C51A0">
        <w:rPr>
          <w:lang w:val="en-US"/>
        </w:rPr>
        <w:t>3</w:t>
      </w:r>
      <w:r w:rsidRPr="009C51A0">
        <w:rPr>
          <w:lang w:val="en-US"/>
        </w:rPr>
        <w:tab/>
        <w:t>Wireless avionics intra-communication system characteristics</w:t>
      </w:r>
      <w:bookmarkEnd w:id="9"/>
    </w:p>
    <w:p w:rsidR="009C51A0" w:rsidRPr="009C51A0" w:rsidRDefault="009C51A0" w:rsidP="009C51A0">
      <w:pPr>
        <w:rPr>
          <w:lang w:val="en-US"/>
        </w:rPr>
      </w:pPr>
      <w:r w:rsidRPr="009C51A0">
        <w:rPr>
          <w:lang w:val="en-US"/>
        </w:rPr>
        <w:t>Table 1 summarizes the typical technical characteristics of WAIC systems. In general</w:t>
      </w:r>
      <w:r w:rsidR="00DF1208">
        <w:rPr>
          <w:lang w:val="en-US"/>
        </w:rPr>
        <w:t>,</w:t>
      </w:r>
      <w:r w:rsidRPr="009C51A0">
        <w:rPr>
          <w:lang w:val="en-US"/>
        </w:rPr>
        <w:t xml:space="preserve"> two types of systems are envisaged which are tailored to the requirements of (a) low data rate and often energy limited WAIC applications such as autonomous sensors and (b) high data rate applications with less restrictions regarding energy consumption. These system types are referred to as low data rate (L) and high data rate (H) systems, respectively.</w:t>
      </w:r>
    </w:p>
    <w:p w:rsidR="009C51A0" w:rsidRPr="009C51A0" w:rsidRDefault="009C51A0" w:rsidP="009C51A0">
      <w:pPr>
        <w:pStyle w:val="TableNo"/>
        <w:rPr>
          <w:lang w:val="en-US"/>
        </w:rPr>
      </w:pPr>
      <w:r w:rsidRPr="009C51A0">
        <w:rPr>
          <w:lang w:val="en-US"/>
        </w:rPr>
        <w:lastRenderedPageBreak/>
        <w:t>TABLE 1</w:t>
      </w:r>
    </w:p>
    <w:p w:rsidR="009C51A0" w:rsidRPr="009C51A0" w:rsidRDefault="009C51A0" w:rsidP="009C51A0">
      <w:pPr>
        <w:pStyle w:val="Tabletitle"/>
        <w:rPr>
          <w:lang w:val="en-US"/>
        </w:rPr>
      </w:pPr>
      <w:r w:rsidRPr="009C51A0">
        <w:rPr>
          <w:lang w:val="en-US"/>
        </w:rPr>
        <w:t xml:space="preserve">Technical characteristics for low and high data rate </w:t>
      </w:r>
      <w:r w:rsidR="009605AB">
        <w:rPr>
          <w:lang w:val="en-US"/>
        </w:rPr>
        <w:br/>
      </w:r>
      <w:r w:rsidRPr="009C51A0">
        <w:rPr>
          <w:lang w:val="en-US"/>
        </w:rPr>
        <w:t>wireless avionics intra-communications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3"/>
        <w:gridCol w:w="1902"/>
        <w:gridCol w:w="1893"/>
        <w:gridCol w:w="1421"/>
      </w:tblGrid>
      <w:tr w:rsidR="009C51A0" w:rsidRPr="000E45E3" w:rsidTr="009605AB">
        <w:trPr>
          <w:trHeight w:val="411"/>
          <w:tblHeader/>
          <w:jc w:val="center"/>
        </w:trPr>
        <w:tc>
          <w:tcPr>
            <w:tcW w:w="3557" w:type="dxa"/>
            <w:vAlign w:val="center"/>
          </w:tcPr>
          <w:p w:rsidR="009C51A0" w:rsidRPr="009C51A0" w:rsidRDefault="009C51A0" w:rsidP="00E95338">
            <w:pPr>
              <w:pStyle w:val="Tablehead"/>
              <w:rPr>
                <w:lang w:val="en-US"/>
              </w:rPr>
            </w:pPr>
          </w:p>
        </w:tc>
        <w:tc>
          <w:tcPr>
            <w:tcW w:w="1530" w:type="dxa"/>
            <w:vAlign w:val="center"/>
          </w:tcPr>
          <w:p w:rsidR="009C51A0" w:rsidRPr="000E45E3" w:rsidRDefault="009C51A0" w:rsidP="00E95338">
            <w:pPr>
              <w:pStyle w:val="Tablehead"/>
            </w:pPr>
            <w:r w:rsidRPr="000E45E3">
              <w:t>Low data rate system</w:t>
            </w:r>
          </w:p>
        </w:tc>
        <w:tc>
          <w:tcPr>
            <w:tcW w:w="1523" w:type="dxa"/>
            <w:vAlign w:val="center"/>
          </w:tcPr>
          <w:p w:rsidR="009C51A0" w:rsidRPr="000E45E3" w:rsidRDefault="009C51A0" w:rsidP="00E95338">
            <w:pPr>
              <w:pStyle w:val="Tablehead"/>
            </w:pPr>
            <w:r w:rsidRPr="000E45E3">
              <w:t>High data rate system</w:t>
            </w:r>
          </w:p>
        </w:tc>
        <w:tc>
          <w:tcPr>
            <w:tcW w:w="1143" w:type="dxa"/>
            <w:vAlign w:val="center"/>
          </w:tcPr>
          <w:p w:rsidR="009C51A0" w:rsidRPr="000E45E3" w:rsidRDefault="009C51A0" w:rsidP="00E95338">
            <w:pPr>
              <w:pStyle w:val="Tablehead"/>
            </w:pPr>
            <w:r w:rsidRPr="000E45E3">
              <w:t>Units</w:t>
            </w:r>
          </w:p>
        </w:tc>
      </w:tr>
      <w:tr w:rsidR="009C51A0" w:rsidRPr="000E45E3" w:rsidTr="009605AB">
        <w:trPr>
          <w:trHeight w:val="197"/>
          <w:jc w:val="center"/>
        </w:trPr>
        <w:tc>
          <w:tcPr>
            <w:tcW w:w="3557" w:type="dxa"/>
            <w:vAlign w:val="center"/>
          </w:tcPr>
          <w:p w:rsidR="009C51A0" w:rsidRPr="007F1914" w:rsidRDefault="009C51A0" w:rsidP="00E95338">
            <w:pPr>
              <w:pStyle w:val="Tabletext"/>
              <w:rPr>
                <w:b/>
              </w:rPr>
            </w:pPr>
            <w:r>
              <w:rPr>
                <w:b/>
              </w:rPr>
              <w:t>Transmitter</w:t>
            </w:r>
          </w:p>
        </w:tc>
        <w:tc>
          <w:tcPr>
            <w:tcW w:w="1530" w:type="dxa"/>
            <w:vAlign w:val="center"/>
          </w:tcPr>
          <w:p w:rsidR="009C51A0" w:rsidRPr="000E45E3" w:rsidRDefault="009C51A0" w:rsidP="00E95338">
            <w:pPr>
              <w:pStyle w:val="Tabletext"/>
              <w:jc w:val="center"/>
            </w:pPr>
          </w:p>
        </w:tc>
        <w:tc>
          <w:tcPr>
            <w:tcW w:w="1523" w:type="dxa"/>
            <w:vAlign w:val="center"/>
          </w:tcPr>
          <w:p w:rsidR="009C51A0" w:rsidRPr="000E45E3" w:rsidRDefault="009C51A0" w:rsidP="00E95338">
            <w:pPr>
              <w:pStyle w:val="Tabletext"/>
              <w:jc w:val="center"/>
            </w:pPr>
          </w:p>
        </w:tc>
        <w:tc>
          <w:tcPr>
            <w:tcW w:w="1143" w:type="dxa"/>
            <w:vAlign w:val="center"/>
          </w:tcPr>
          <w:p w:rsidR="009C51A0" w:rsidRPr="000E45E3" w:rsidRDefault="009C51A0" w:rsidP="00E95338">
            <w:pPr>
              <w:pStyle w:val="Tabletext"/>
              <w:jc w:val="center"/>
            </w:pPr>
          </w:p>
        </w:tc>
      </w:tr>
      <w:tr w:rsidR="009C51A0" w:rsidRPr="000E45E3" w:rsidTr="009605AB">
        <w:trPr>
          <w:trHeight w:val="197"/>
          <w:jc w:val="center"/>
        </w:trPr>
        <w:tc>
          <w:tcPr>
            <w:tcW w:w="3557" w:type="dxa"/>
            <w:vAlign w:val="center"/>
          </w:tcPr>
          <w:p w:rsidR="009C51A0" w:rsidRPr="009C51A0" w:rsidRDefault="009C51A0" w:rsidP="00E95338">
            <w:pPr>
              <w:pStyle w:val="Tabletext"/>
              <w:rPr>
                <w:lang w:val="en-US"/>
              </w:rPr>
            </w:pPr>
            <w:r w:rsidRPr="009C51A0">
              <w:rPr>
                <w:lang w:val="en-US"/>
              </w:rPr>
              <w:t>Number and location of simultaneously active transmitters per channel</w:t>
            </w:r>
          </w:p>
        </w:tc>
        <w:tc>
          <w:tcPr>
            <w:tcW w:w="1530" w:type="dxa"/>
            <w:vAlign w:val="center"/>
          </w:tcPr>
          <w:p w:rsidR="009C51A0" w:rsidRPr="000E45E3" w:rsidRDefault="009C51A0" w:rsidP="00E95338">
            <w:pPr>
              <w:pStyle w:val="Tabletext"/>
              <w:jc w:val="center"/>
            </w:pPr>
            <w:r w:rsidRPr="000E45E3">
              <w:t>1</w:t>
            </w:r>
          </w:p>
        </w:tc>
        <w:tc>
          <w:tcPr>
            <w:tcW w:w="1523" w:type="dxa"/>
            <w:vAlign w:val="center"/>
          </w:tcPr>
          <w:p w:rsidR="009C51A0" w:rsidRPr="000E45E3" w:rsidRDefault="009C51A0" w:rsidP="00E95338">
            <w:pPr>
              <w:pStyle w:val="Tabletext"/>
              <w:jc w:val="center"/>
            </w:pPr>
            <w:r w:rsidRPr="000E45E3">
              <w:t>1</w:t>
            </w:r>
          </w:p>
        </w:tc>
        <w:tc>
          <w:tcPr>
            <w:tcW w:w="1143" w:type="dxa"/>
            <w:vAlign w:val="center"/>
          </w:tcPr>
          <w:p w:rsidR="009C51A0" w:rsidRPr="000E45E3" w:rsidRDefault="009C51A0" w:rsidP="00E95338">
            <w:pPr>
              <w:pStyle w:val="Tabletext"/>
              <w:jc w:val="center"/>
            </w:pPr>
            <w:r w:rsidRPr="000E45E3">
              <w:t>–</w:t>
            </w:r>
          </w:p>
        </w:tc>
      </w:tr>
      <w:tr w:rsidR="009C51A0" w:rsidRPr="000E45E3" w:rsidTr="009605AB">
        <w:trPr>
          <w:trHeight w:val="197"/>
          <w:jc w:val="center"/>
        </w:trPr>
        <w:tc>
          <w:tcPr>
            <w:tcW w:w="3557" w:type="dxa"/>
            <w:vAlign w:val="center"/>
          </w:tcPr>
          <w:p w:rsidR="009C51A0" w:rsidRDefault="009C51A0" w:rsidP="00E95338">
            <w:pPr>
              <w:pStyle w:val="Tabletext"/>
            </w:pPr>
            <w:r>
              <w:t>Transmitter a</w:t>
            </w:r>
            <w:r w:rsidRPr="000E45E3">
              <w:t xml:space="preserve">ntenna gain </w:t>
            </w:r>
          </w:p>
        </w:tc>
        <w:tc>
          <w:tcPr>
            <w:tcW w:w="1530" w:type="dxa"/>
            <w:vAlign w:val="center"/>
          </w:tcPr>
          <w:p w:rsidR="009C51A0" w:rsidRPr="000E45E3" w:rsidRDefault="009C51A0" w:rsidP="00E95338">
            <w:pPr>
              <w:pStyle w:val="Tabletext"/>
              <w:jc w:val="center"/>
            </w:pPr>
            <w:r w:rsidRPr="000E45E3">
              <w:t>0</w:t>
            </w:r>
          </w:p>
        </w:tc>
        <w:tc>
          <w:tcPr>
            <w:tcW w:w="1523" w:type="dxa"/>
            <w:vAlign w:val="center"/>
          </w:tcPr>
          <w:p w:rsidR="009C51A0" w:rsidRPr="000E45E3" w:rsidRDefault="009C51A0" w:rsidP="00E95338">
            <w:pPr>
              <w:pStyle w:val="Tabletext"/>
              <w:jc w:val="center"/>
            </w:pPr>
            <w:r w:rsidRPr="000E45E3">
              <w:t>0</w:t>
            </w:r>
          </w:p>
        </w:tc>
        <w:tc>
          <w:tcPr>
            <w:tcW w:w="1143" w:type="dxa"/>
            <w:vAlign w:val="center"/>
          </w:tcPr>
          <w:p w:rsidR="009C51A0" w:rsidRPr="000E45E3" w:rsidRDefault="009C51A0" w:rsidP="00E95338">
            <w:pPr>
              <w:pStyle w:val="Tabletext"/>
              <w:jc w:val="center"/>
            </w:pPr>
            <w:r w:rsidRPr="000E45E3">
              <w:t>dBi</w:t>
            </w:r>
          </w:p>
        </w:tc>
      </w:tr>
      <w:tr w:rsidR="009C51A0" w:rsidRPr="000E45E3" w:rsidTr="009605AB">
        <w:trPr>
          <w:trHeight w:val="197"/>
          <w:jc w:val="center"/>
        </w:trPr>
        <w:tc>
          <w:tcPr>
            <w:tcW w:w="3557" w:type="dxa"/>
            <w:vAlign w:val="center"/>
          </w:tcPr>
          <w:p w:rsidR="009C51A0" w:rsidRPr="000E45E3" w:rsidRDefault="009C51A0" w:rsidP="00E95338">
            <w:pPr>
              <w:pStyle w:val="Tabletext"/>
              <w:rPr>
                <w:rFonts w:eastAsia="Batang" w:cs="Verdana"/>
                <w:szCs w:val="24"/>
              </w:rPr>
            </w:pPr>
            <w:r>
              <w:t>Max. transmission power</w:t>
            </w:r>
            <w:r w:rsidRPr="000E45E3">
              <w:rPr>
                <w:vertAlign w:val="superscript"/>
              </w:rPr>
              <w:t>2</w:t>
            </w:r>
          </w:p>
        </w:tc>
        <w:tc>
          <w:tcPr>
            <w:tcW w:w="1530" w:type="dxa"/>
            <w:vAlign w:val="center"/>
          </w:tcPr>
          <w:p w:rsidR="009C51A0" w:rsidRPr="000E45E3" w:rsidRDefault="009C51A0" w:rsidP="00E95338">
            <w:pPr>
              <w:pStyle w:val="Tabletext"/>
              <w:jc w:val="center"/>
            </w:pPr>
            <w:r w:rsidRPr="000E45E3">
              <w:t>10</w:t>
            </w:r>
          </w:p>
        </w:tc>
        <w:tc>
          <w:tcPr>
            <w:tcW w:w="1523" w:type="dxa"/>
            <w:vAlign w:val="center"/>
          </w:tcPr>
          <w:p w:rsidR="009C51A0" w:rsidRPr="000E45E3" w:rsidRDefault="009C51A0" w:rsidP="00E95338">
            <w:pPr>
              <w:pStyle w:val="Tabletext"/>
              <w:jc w:val="center"/>
            </w:pPr>
            <w:r w:rsidRPr="000E45E3">
              <w:t>50</w:t>
            </w:r>
          </w:p>
        </w:tc>
        <w:tc>
          <w:tcPr>
            <w:tcW w:w="1143" w:type="dxa"/>
            <w:vAlign w:val="center"/>
          </w:tcPr>
          <w:p w:rsidR="009C51A0" w:rsidRPr="000E45E3" w:rsidRDefault="009C51A0" w:rsidP="00E95338">
            <w:pPr>
              <w:pStyle w:val="Tabletext"/>
              <w:jc w:val="center"/>
            </w:pPr>
            <w:r w:rsidRPr="000E45E3">
              <w:t>mW</w:t>
            </w:r>
          </w:p>
        </w:tc>
      </w:tr>
      <w:tr w:rsidR="009C51A0" w:rsidRPr="000E45E3" w:rsidTr="009605AB">
        <w:trPr>
          <w:trHeight w:val="197"/>
          <w:jc w:val="center"/>
        </w:trPr>
        <w:tc>
          <w:tcPr>
            <w:tcW w:w="3557" w:type="dxa"/>
            <w:vAlign w:val="center"/>
          </w:tcPr>
          <w:p w:rsidR="009C51A0" w:rsidRDefault="009C51A0" w:rsidP="00E95338">
            <w:pPr>
              <w:pStyle w:val="Tabletext"/>
              <w:rPr>
                <w:b/>
              </w:rPr>
            </w:pPr>
            <w:r w:rsidRPr="000E45E3">
              <w:t>3</w:t>
            </w:r>
            <w:r>
              <w:t xml:space="preserve"> </w:t>
            </w:r>
            <w:r w:rsidRPr="000E45E3">
              <w:t>dB emission bandwidth</w:t>
            </w:r>
          </w:p>
        </w:tc>
        <w:tc>
          <w:tcPr>
            <w:tcW w:w="1530" w:type="dxa"/>
            <w:vAlign w:val="center"/>
          </w:tcPr>
          <w:p w:rsidR="009C51A0" w:rsidRPr="000E45E3" w:rsidRDefault="009C51A0" w:rsidP="00E95338">
            <w:pPr>
              <w:pStyle w:val="Tabletext"/>
              <w:jc w:val="center"/>
              <w:rPr>
                <w:highlight w:val="yellow"/>
              </w:rPr>
            </w:pPr>
            <w:r w:rsidRPr="000E45E3">
              <w:t>2.6</w:t>
            </w:r>
          </w:p>
        </w:tc>
        <w:tc>
          <w:tcPr>
            <w:tcW w:w="1523" w:type="dxa"/>
            <w:vAlign w:val="center"/>
          </w:tcPr>
          <w:p w:rsidR="009C51A0" w:rsidRPr="000E45E3" w:rsidRDefault="009C51A0" w:rsidP="00E95338">
            <w:pPr>
              <w:pStyle w:val="Tabletext"/>
              <w:jc w:val="center"/>
              <w:rPr>
                <w:highlight w:val="yellow"/>
              </w:rPr>
            </w:pPr>
            <w:r w:rsidRPr="000E45E3">
              <w:t>16.6</w:t>
            </w:r>
          </w:p>
        </w:tc>
        <w:tc>
          <w:tcPr>
            <w:tcW w:w="1143" w:type="dxa"/>
            <w:vAlign w:val="center"/>
          </w:tcPr>
          <w:p w:rsidR="009C51A0" w:rsidRPr="000E45E3" w:rsidRDefault="009C51A0" w:rsidP="00E95338">
            <w:pPr>
              <w:pStyle w:val="Tabletext"/>
              <w:jc w:val="center"/>
            </w:pPr>
            <w:r w:rsidRPr="000E45E3">
              <w:t>MHz</w:t>
            </w:r>
          </w:p>
        </w:tc>
      </w:tr>
      <w:tr w:rsidR="009C51A0" w:rsidRPr="000E45E3" w:rsidTr="009605AB">
        <w:trPr>
          <w:trHeight w:val="197"/>
          <w:jc w:val="center"/>
        </w:trPr>
        <w:tc>
          <w:tcPr>
            <w:tcW w:w="3557" w:type="dxa"/>
            <w:vAlign w:val="center"/>
          </w:tcPr>
          <w:p w:rsidR="009C51A0" w:rsidRPr="00797DEC" w:rsidRDefault="009C51A0" w:rsidP="009605AB">
            <w:pPr>
              <w:pStyle w:val="Tabletext"/>
              <w:jc w:val="left"/>
            </w:pPr>
            <w:r w:rsidRPr="00797DEC">
              <w:t>20 dB emission bandwidth</w:t>
            </w:r>
          </w:p>
        </w:tc>
        <w:tc>
          <w:tcPr>
            <w:tcW w:w="1530" w:type="dxa"/>
            <w:vAlign w:val="center"/>
          </w:tcPr>
          <w:p w:rsidR="009C51A0" w:rsidRPr="00A93A44" w:rsidRDefault="009C51A0" w:rsidP="00E95338">
            <w:pPr>
              <w:pStyle w:val="Tabletext"/>
              <w:keepNext/>
              <w:keepLines/>
              <w:jc w:val="center"/>
              <w:rPr>
                <w:b/>
              </w:rPr>
            </w:pPr>
            <w:r w:rsidRPr="00A93A44">
              <w:t>6</w:t>
            </w:r>
          </w:p>
        </w:tc>
        <w:tc>
          <w:tcPr>
            <w:tcW w:w="1523" w:type="dxa"/>
            <w:vAlign w:val="center"/>
          </w:tcPr>
          <w:p w:rsidR="009C51A0" w:rsidRPr="00A93A44" w:rsidRDefault="009C51A0" w:rsidP="00E95338">
            <w:pPr>
              <w:pStyle w:val="Tabletext"/>
              <w:keepNext/>
              <w:keepLines/>
              <w:jc w:val="center"/>
            </w:pPr>
            <w:r w:rsidRPr="00A93A44">
              <w:t>22</w:t>
            </w:r>
          </w:p>
        </w:tc>
        <w:tc>
          <w:tcPr>
            <w:tcW w:w="1143" w:type="dxa"/>
            <w:vAlign w:val="center"/>
          </w:tcPr>
          <w:p w:rsidR="009C51A0" w:rsidRPr="00A93A44" w:rsidRDefault="009C51A0" w:rsidP="00E95338">
            <w:pPr>
              <w:pStyle w:val="Tabletext"/>
              <w:keepNext/>
              <w:keepLines/>
              <w:jc w:val="center"/>
            </w:pPr>
            <w:r w:rsidRPr="00A93A44">
              <w:t>MHz</w:t>
            </w:r>
          </w:p>
        </w:tc>
      </w:tr>
      <w:tr w:rsidR="009C51A0" w:rsidRPr="000E45E3" w:rsidTr="009605AB">
        <w:trPr>
          <w:trHeight w:val="197"/>
          <w:jc w:val="center"/>
        </w:trPr>
        <w:tc>
          <w:tcPr>
            <w:tcW w:w="3557" w:type="dxa"/>
            <w:vAlign w:val="center"/>
          </w:tcPr>
          <w:p w:rsidR="009C51A0" w:rsidRPr="00797DEC" w:rsidRDefault="009C51A0" w:rsidP="009605AB">
            <w:pPr>
              <w:pStyle w:val="Tabletext"/>
              <w:jc w:val="left"/>
            </w:pPr>
            <w:r w:rsidRPr="00797DEC">
              <w:t>40 dB emission bandwidth</w:t>
            </w:r>
          </w:p>
        </w:tc>
        <w:tc>
          <w:tcPr>
            <w:tcW w:w="1530" w:type="dxa"/>
            <w:vAlign w:val="center"/>
          </w:tcPr>
          <w:p w:rsidR="009C51A0" w:rsidRPr="00A93A44" w:rsidRDefault="009C51A0" w:rsidP="00E95338">
            <w:pPr>
              <w:pStyle w:val="Tabletext"/>
              <w:keepNext/>
              <w:keepLines/>
              <w:jc w:val="center"/>
            </w:pPr>
            <w:r w:rsidRPr="00A93A44">
              <w:t>12</w:t>
            </w:r>
          </w:p>
        </w:tc>
        <w:tc>
          <w:tcPr>
            <w:tcW w:w="1523" w:type="dxa"/>
            <w:vAlign w:val="center"/>
          </w:tcPr>
          <w:p w:rsidR="009C51A0" w:rsidRPr="00A93A44" w:rsidRDefault="009C51A0" w:rsidP="00E95338">
            <w:pPr>
              <w:pStyle w:val="Tabletext"/>
              <w:keepNext/>
              <w:keepLines/>
              <w:jc w:val="center"/>
            </w:pPr>
            <w:r w:rsidRPr="00A93A44">
              <w:t>60</w:t>
            </w:r>
          </w:p>
        </w:tc>
        <w:tc>
          <w:tcPr>
            <w:tcW w:w="1143" w:type="dxa"/>
            <w:vAlign w:val="center"/>
          </w:tcPr>
          <w:p w:rsidR="009C51A0" w:rsidRPr="00A93A44" w:rsidRDefault="009C51A0" w:rsidP="00E95338">
            <w:pPr>
              <w:pStyle w:val="Tabletext"/>
              <w:keepNext/>
              <w:keepLines/>
              <w:jc w:val="center"/>
            </w:pPr>
            <w:r w:rsidRPr="00A93A44">
              <w:t>MHz</w:t>
            </w:r>
          </w:p>
        </w:tc>
      </w:tr>
      <w:tr w:rsidR="009C51A0" w:rsidRPr="000E45E3" w:rsidTr="009605AB">
        <w:trPr>
          <w:trHeight w:val="197"/>
          <w:jc w:val="center"/>
        </w:trPr>
        <w:tc>
          <w:tcPr>
            <w:tcW w:w="3557" w:type="dxa"/>
            <w:vAlign w:val="center"/>
          </w:tcPr>
          <w:p w:rsidR="009C51A0" w:rsidRPr="00A93A44" w:rsidRDefault="009C51A0" w:rsidP="00E95338">
            <w:pPr>
              <w:pStyle w:val="Tabletext"/>
              <w:rPr>
                <w:b/>
              </w:rPr>
            </w:pPr>
            <w:r w:rsidRPr="00A93A44">
              <w:rPr>
                <w:b/>
              </w:rPr>
              <w:t>Receiver</w:t>
            </w:r>
          </w:p>
        </w:tc>
        <w:tc>
          <w:tcPr>
            <w:tcW w:w="1530" w:type="dxa"/>
            <w:vAlign w:val="center"/>
          </w:tcPr>
          <w:p w:rsidR="009C51A0" w:rsidRPr="00A93A44" w:rsidRDefault="009C51A0" w:rsidP="00E95338">
            <w:pPr>
              <w:pStyle w:val="Tabletext"/>
              <w:jc w:val="center"/>
            </w:pPr>
          </w:p>
        </w:tc>
        <w:tc>
          <w:tcPr>
            <w:tcW w:w="1523" w:type="dxa"/>
            <w:vAlign w:val="center"/>
          </w:tcPr>
          <w:p w:rsidR="009C51A0" w:rsidRPr="00A93A44" w:rsidRDefault="009C51A0" w:rsidP="00E95338">
            <w:pPr>
              <w:pStyle w:val="Tabletext"/>
              <w:jc w:val="center"/>
            </w:pPr>
          </w:p>
        </w:tc>
        <w:tc>
          <w:tcPr>
            <w:tcW w:w="1143" w:type="dxa"/>
            <w:vAlign w:val="center"/>
          </w:tcPr>
          <w:p w:rsidR="009C51A0" w:rsidRPr="00A93A44" w:rsidRDefault="009C51A0" w:rsidP="00E95338">
            <w:pPr>
              <w:pStyle w:val="Tabletext"/>
              <w:jc w:val="center"/>
            </w:pPr>
          </w:p>
        </w:tc>
      </w:tr>
      <w:tr w:rsidR="009C51A0" w:rsidRPr="000E45E3" w:rsidTr="009605AB">
        <w:trPr>
          <w:trHeight w:val="197"/>
          <w:jc w:val="center"/>
        </w:trPr>
        <w:tc>
          <w:tcPr>
            <w:tcW w:w="3557" w:type="dxa"/>
            <w:vAlign w:val="center"/>
          </w:tcPr>
          <w:p w:rsidR="009C51A0" w:rsidRPr="00A93A44" w:rsidRDefault="009C51A0" w:rsidP="00E95338">
            <w:pPr>
              <w:pStyle w:val="Tabletext"/>
            </w:pPr>
            <w:r w:rsidRPr="00A93A44">
              <w:t>Receiver antenna gain</w:t>
            </w:r>
            <w:r w:rsidRPr="00A93A44">
              <w:rPr>
                <w:vertAlign w:val="superscript"/>
              </w:rPr>
              <w:t>1</w:t>
            </w:r>
          </w:p>
        </w:tc>
        <w:tc>
          <w:tcPr>
            <w:tcW w:w="1530" w:type="dxa"/>
            <w:vAlign w:val="center"/>
          </w:tcPr>
          <w:p w:rsidR="009C51A0" w:rsidRPr="00A93A44" w:rsidRDefault="009C51A0" w:rsidP="00E95338">
            <w:pPr>
              <w:pStyle w:val="Tabletext"/>
              <w:jc w:val="center"/>
            </w:pPr>
            <w:r w:rsidRPr="00A93A44">
              <w:t>0</w:t>
            </w:r>
          </w:p>
        </w:tc>
        <w:tc>
          <w:tcPr>
            <w:tcW w:w="1523" w:type="dxa"/>
            <w:vAlign w:val="center"/>
          </w:tcPr>
          <w:p w:rsidR="009C51A0" w:rsidRPr="00A93A44" w:rsidRDefault="009C51A0" w:rsidP="00E95338">
            <w:pPr>
              <w:pStyle w:val="Tabletext"/>
              <w:jc w:val="center"/>
            </w:pPr>
            <w:r w:rsidRPr="00A93A44">
              <w:t>0</w:t>
            </w:r>
          </w:p>
        </w:tc>
        <w:tc>
          <w:tcPr>
            <w:tcW w:w="1143" w:type="dxa"/>
            <w:vAlign w:val="center"/>
          </w:tcPr>
          <w:p w:rsidR="009C51A0" w:rsidRPr="00A93A44" w:rsidRDefault="009C51A0" w:rsidP="00E95338">
            <w:pPr>
              <w:pStyle w:val="Tabletext"/>
              <w:jc w:val="center"/>
            </w:pPr>
            <w:r w:rsidRPr="00A93A44">
              <w:t>dBi</w:t>
            </w:r>
          </w:p>
        </w:tc>
      </w:tr>
      <w:tr w:rsidR="009C51A0" w:rsidRPr="000E45E3" w:rsidTr="009605AB">
        <w:trPr>
          <w:trHeight w:val="197"/>
          <w:jc w:val="center"/>
        </w:trPr>
        <w:tc>
          <w:tcPr>
            <w:tcW w:w="3557" w:type="dxa"/>
            <w:vAlign w:val="center"/>
          </w:tcPr>
          <w:p w:rsidR="009C51A0" w:rsidRPr="00A93A44" w:rsidRDefault="009C51A0" w:rsidP="00E95338">
            <w:pPr>
              <w:pStyle w:val="Tabletext"/>
            </w:pPr>
            <w:r w:rsidRPr="00A93A44">
              <w:t>Receiver IF-bandwidth</w:t>
            </w:r>
          </w:p>
        </w:tc>
        <w:tc>
          <w:tcPr>
            <w:tcW w:w="1530" w:type="dxa"/>
            <w:vAlign w:val="center"/>
          </w:tcPr>
          <w:p w:rsidR="009C51A0" w:rsidRPr="00A93A44" w:rsidRDefault="009C51A0" w:rsidP="00E95338">
            <w:pPr>
              <w:pStyle w:val="Tabletext"/>
              <w:jc w:val="center"/>
            </w:pPr>
            <w:r w:rsidRPr="00A93A44">
              <w:t>2.6</w:t>
            </w:r>
          </w:p>
        </w:tc>
        <w:tc>
          <w:tcPr>
            <w:tcW w:w="1523" w:type="dxa"/>
            <w:vAlign w:val="center"/>
          </w:tcPr>
          <w:p w:rsidR="009C51A0" w:rsidRPr="00A93A44" w:rsidRDefault="009C51A0" w:rsidP="00E95338">
            <w:pPr>
              <w:pStyle w:val="Tabletext"/>
              <w:jc w:val="center"/>
            </w:pPr>
            <w:r w:rsidRPr="00A93A44">
              <w:t>20</w:t>
            </w:r>
          </w:p>
        </w:tc>
        <w:tc>
          <w:tcPr>
            <w:tcW w:w="1143" w:type="dxa"/>
            <w:vAlign w:val="center"/>
          </w:tcPr>
          <w:p w:rsidR="009C51A0" w:rsidRPr="00A93A44" w:rsidRDefault="009C51A0" w:rsidP="00E95338">
            <w:pPr>
              <w:pStyle w:val="Tabletext"/>
              <w:jc w:val="center"/>
            </w:pPr>
            <w:r w:rsidRPr="00A93A44">
              <w:t>MHz</w:t>
            </w:r>
          </w:p>
        </w:tc>
      </w:tr>
      <w:tr w:rsidR="009C51A0" w:rsidRPr="000E45E3" w:rsidTr="009605AB">
        <w:trPr>
          <w:trHeight w:val="197"/>
          <w:jc w:val="center"/>
        </w:trPr>
        <w:tc>
          <w:tcPr>
            <w:tcW w:w="3557" w:type="dxa"/>
            <w:vAlign w:val="center"/>
          </w:tcPr>
          <w:p w:rsidR="009C51A0" w:rsidRPr="00A93A44" w:rsidRDefault="009C51A0" w:rsidP="00E95338">
            <w:pPr>
              <w:pStyle w:val="Tabletext"/>
            </w:pPr>
            <w:r w:rsidRPr="00A93A44">
              <w:t>Receiver noise figure</w:t>
            </w:r>
          </w:p>
        </w:tc>
        <w:tc>
          <w:tcPr>
            <w:tcW w:w="1530" w:type="dxa"/>
            <w:vAlign w:val="center"/>
          </w:tcPr>
          <w:p w:rsidR="009C51A0" w:rsidRPr="00A93A44" w:rsidRDefault="009C51A0" w:rsidP="00E95338">
            <w:pPr>
              <w:pStyle w:val="Tabletext"/>
              <w:jc w:val="center"/>
            </w:pPr>
            <w:r w:rsidRPr="00A93A44">
              <w:t>10</w:t>
            </w:r>
          </w:p>
        </w:tc>
        <w:tc>
          <w:tcPr>
            <w:tcW w:w="1523" w:type="dxa"/>
            <w:vAlign w:val="center"/>
          </w:tcPr>
          <w:p w:rsidR="009C51A0" w:rsidRPr="00A93A44" w:rsidRDefault="009C51A0" w:rsidP="00E95338">
            <w:pPr>
              <w:pStyle w:val="Tabletext"/>
              <w:jc w:val="center"/>
            </w:pPr>
            <w:r w:rsidRPr="00A93A44">
              <w:t>10</w:t>
            </w:r>
          </w:p>
        </w:tc>
        <w:tc>
          <w:tcPr>
            <w:tcW w:w="1143" w:type="dxa"/>
            <w:vAlign w:val="center"/>
          </w:tcPr>
          <w:p w:rsidR="009C51A0" w:rsidRPr="00A93A44" w:rsidRDefault="009C51A0" w:rsidP="00E95338">
            <w:pPr>
              <w:pStyle w:val="Tabletext"/>
              <w:jc w:val="center"/>
            </w:pPr>
            <w:r w:rsidRPr="00A93A44">
              <w:t>dB</w:t>
            </w:r>
          </w:p>
        </w:tc>
      </w:tr>
      <w:tr w:rsidR="009C51A0" w:rsidRPr="000E45E3" w:rsidTr="009605AB">
        <w:trPr>
          <w:trHeight w:val="197"/>
          <w:jc w:val="center"/>
        </w:trPr>
        <w:tc>
          <w:tcPr>
            <w:tcW w:w="3557" w:type="dxa"/>
            <w:vAlign w:val="center"/>
          </w:tcPr>
          <w:p w:rsidR="009C51A0" w:rsidRPr="009C51A0" w:rsidRDefault="009C51A0" w:rsidP="00E95338">
            <w:pPr>
              <w:pStyle w:val="Tabletext"/>
              <w:rPr>
                <w:rFonts w:eastAsia="Batang" w:cs="Verdana"/>
                <w:szCs w:val="24"/>
                <w:lang w:val="en-US"/>
              </w:rPr>
            </w:pPr>
            <w:r w:rsidRPr="009C51A0">
              <w:rPr>
                <w:lang w:val="en-US"/>
              </w:rPr>
              <w:t>Required signal-to-noise ratio</w:t>
            </w:r>
          </w:p>
        </w:tc>
        <w:tc>
          <w:tcPr>
            <w:tcW w:w="1530" w:type="dxa"/>
            <w:vAlign w:val="center"/>
          </w:tcPr>
          <w:p w:rsidR="009C51A0" w:rsidRPr="00A93A44" w:rsidRDefault="009C51A0" w:rsidP="00E95338">
            <w:pPr>
              <w:pStyle w:val="Tabletext"/>
              <w:jc w:val="center"/>
            </w:pPr>
            <w:r w:rsidRPr="00A93A44">
              <w:t>9</w:t>
            </w:r>
          </w:p>
        </w:tc>
        <w:tc>
          <w:tcPr>
            <w:tcW w:w="1523" w:type="dxa"/>
            <w:vAlign w:val="center"/>
          </w:tcPr>
          <w:p w:rsidR="009C51A0" w:rsidRPr="00A93A44" w:rsidRDefault="009C51A0" w:rsidP="00E95338">
            <w:pPr>
              <w:pStyle w:val="Tabletext"/>
              <w:jc w:val="center"/>
            </w:pPr>
            <w:r w:rsidRPr="00A93A44">
              <w:t>14</w:t>
            </w:r>
          </w:p>
        </w:tc>
        <w:tc>
          <w:tcPr>
            <w:tcW w:w="1143" w:type="dxa"/>
            <w:vAlign w:val="center"/>
          </w:tcPr>
          <w:p w:rsidR="009C51A0" w:rsidRPr="00A93A44" w:rsidRDefault="009C51A0" w:rsidP="00E95338">
            <w:pPr>
              <w:pStyle w:val="Tabletext"/>
              <w:jc w:val="center"/>
            </w:pPr>
            <w:r w:rsidRPr="00A93A44">
              <w:t>dB</w:t>
            </w:r>
          </w:p>
        </w:tc>
      </w:tr>
      <w:tr w:rsidR="009C51A0" w:rsidRPr="000E45E3" w:rsidTr="009605AB">
        <w:trPr>
          <w:trHeight w:val="197"/>
          <w:jc w:val="center"/>
        </w:trPr>
        <w:tc>
          <w:tcPr>
            <w:tcW w:w="3557" w:type="dxa"/>
            <w:vAlign w:val="center"/>
          </w:tcPr>
          <w:p w:rsidR="009C51A0" w:rsidRPr="00A93A44" w:rsidRDefault="009C51A0" w:rsidP="00E95338">
            <w:pPr>
              <w:pStyle w:val="Tabletext"/>
            </w:pPr>
            <w:r w:rsidRPr="00A93A44">
              <w:t>Receiver sensitivity</w:t>
            </w:r>
          </w:p>
        </w:tc>
        <w:tc>
          <w:tcPr>
            <w:tcW w:w="1530" w:type="dxa"/>
            <w:vAlign w:val="center"/>
          </w:tcPr>
          <w:p w:rsidR="009C51A0" w:rsidRPr="00A93A44" w:rsidRDefault="009C51A0" w:rsidP="00E95338">
            <w:pPr>
              <w:pStyle w:val="Tabletext"/>
              <w:jc w:val="center"/>
            </w:pPr>
            <w:r w:rsidRPr="00A93A44">
              <w:t>–91</w:t>
            </w:r>
          </w:p>
        </w:tc>
        <w:tc>
          <w:tcPr>
            <w:tcW w:w="1523" w:type="dxa"/>
            <w:vAlign w:val="center"/>
          </w:tcPr>
          <w:p w:rsidR="009C51A0" w:rsidRPr="00A93A44" w:rsidRDefault="009C51A0" w:rsidP="00E95338">
            <w:pPr>
              <w:pStyle w:val="Tabletext"/>
              <w:jc w:val="center"/>
            </w:pPr>
            <w:r w:rsidRPr="00A93A44">
              <w:t>–77</w:t>
            </w:r>
          </w:p>
        </w:tc>
        <w:tc>
          <w:tcPr>
            <w:tcW w:w="1143" w:type="dxa"/>
            <w:vAlign w:val="center"/>
          </w:tcPr>
          <w:p w:rsidR="009C51A0" w:rsidRPr="00A93A44" w:rsidRDefault="009C51A0" w:rsidP="00E95338">
            <w:pPr>
              <w:pStyle w:val="Tabletext"/>
              <w:jc w:val="center"/>
            </w:pPr>
            <w:r w:rsidRPr="00A93A44">
              <w:t>dBm</w:t>
            </w:r>
          </w:p>
        </w:tc>
      </w:tr>
      <w:tr w:rsidR="009C51A0" w:rsidRPr="000E45E3" w:rsidTr="009605AB">
        <w:trPr>
          <w:trHeight w:val="197"/>
          <w:jc w:val="center"/>
        </w:trPr>
        <w:tc>
          <w:tcPr>
            <w:tcW w:w="3557" w:type="dxa"/>
            <w:vAlign w:val="center"/>
          </w:tcPr>
          <w:p w:rsidR="009C51A0" w:rsidRPr="000E45E3" w:rsidRDefault="009C51A0" w:rsidP="00E95338">
            <w:pPr>
              <w:pStyle w:val="Tabletext"/>
            </w:pPr>
            <w:r w:rsidRPr="000E45E3">
              <w:t>Protection criterion (</w:t>
            </w:r>
            <w:r w:rsidRPr="000E45E3">
              <w:rPr>
                <w:i/>
              </w:rPr>
              <w:t>I</w:t>
            </w:r>
            <w:r w:rsidRPr="000E45E3">
              <w:t>/</w:t>
            </w:r>
            <w:r w:rsidRPr="000E45E3">
              <w:rPr>
                <w:i/>
              </w:rPr>
              <w:t>S</w:t>
            </w:r>
            <w:r w:rsidRPr="000E45E3">
              <w:rPr>
                <w:iCs/>
              </w:rPr>
              <w:t>)</w:t>
            </w:r>
          </w:p>
        </w:tc>
        <w:tc>
          <w:tcPr>
            <w:tcW w:w="1530" w:type="dxa"/>
            <w:vAlign w:val="center"/>
          </w:tcPr>
          <w:p w:rsidR="009C51A0" w:rsidRPr="000E45E3" w:rsidRDefault="009C51A0" w:rsidP="00E95338">
            <w:pPr>
              <w:pStyle w:val="Tabletext"/>
              <w:jc w:val="center"/>
            </w:pPr>
            <w:r w:rsidRPr="000E45E3">
              <w:t>–9</w:t>
            </w:r>
          </w:p>
        </w:tc>
        <w:tc>
          <w:tcPr>
            <w:tcW w:w="1523" w:type="dxa"/>
            <w:vAlign w:val="center"/>
          </w:tcPr>
          <w:p w:rsidR="009C51A0" w:rsidRPr="000E45E3" w:rsidRDefault="009C51A0" w:rsidP="00E95338">
            <w:pPr>
              <w:pStyle w:val="Tabletext"/>
              <w:jc w:val="center"/>
            </w:pPr>
            <w:r w:rsidRPr="000E45E3">
              <w:t>–14</w:t>
            </w:r>
          </w:p>
        </w:tc>
        <w:tc>
          <w:tcPr>
            <w:tcW w:w="1143" w:type="dxa"/>
            <w:vAlign w:val="center"/>
          </w:tcPr>
          <w:p w:rsidR="009C51A0" w:rsidRPr="000E45E3" w:rsidRDefault="009C51A0" w:rsidP="00E95338">
            <w:pPr>
              <w:pStyle w:val="Tabletext"/>
              <w:jc w:val="center"/>
            </w:pPr>
            <w:r w:rsidRPr="000E45E3">
              <w:t>dB</w:t>
            </w:r>
          </w:p>
        </w:tc>
      </w:tr>
      <w:tr w:rsidR="009C51A0" w:rsidRPr="000E45E3" w:rsidTr="009605AB">
        <w:trPr>
          <w:trHeight w:val="197"/>
          <w:jc w:val="center"/>
        </w:trPr>
        <w:tc>
          <w:tcPr>
            <w:tcW w:w="3557" w:type="dxa"/>
            <w:vAlign w:val="center"/>
          </w:tcPr>
          <w:p w:rsidR="009C51A0" w:rsidRPr="009C51A0" w:rsidRDefault="009605AB" w:rsidP="00E95338">
            <w:pPr>
              <w:pStyle w:val="Tabletext"/>
              <w:rPr>
                <w:lang w:val="en-US"/>
              </w:rPr>
            </w:pPr>
            <w:r>
              <w:rPr>
                <w:lang w:val="en-US"/>
              </w:rPr>
              <w:t>Min. o</w:t>
            </w:r>
            <w:r w:rsidR="009C51A0" w:rsidRPr="009C51A0">
              <w:rPr>
                <w:lang w:val="en-US"/>
              </w:rPr>
              <w:t>ut of band interference rejection</w:t>
            </w:r>
          </w:p>
        </w:tc>
        <w:tc>
          <w:tcPr>
            <w:tcW w:w="1530" w:type="dxa"/>
            <w:vAlign w:val="center"/>
          </w:tcPr>
          <w:p w:rsidR="009C51A0" w:rsidRPr="000E45E3" w:rsidRDefault="009C51A0" w:rsidP="00E95338">
            <w:pPr>
              <w:pStyle w:val="Tabletext"/>
              <w:jc w:val="center"/>
            </w:pPr>
            <w:r>
              <w:t>–10</w:t>
            </w:r>
          </w:p>
        </w:tc>
        <w:tc>
          <w:tcPr>
            <w:tcW w:w="1523" w:type="dxa"/>
            <w:vAlign w:val="center"/>
          </w:tcPr>
          <w:p w:rsidR="009C51A0" w:rsidRPr="000E45E3" w:rsidRDefault="009C51A0" w:rsidP="00E95338">
            <w:pPr>
              <w:pStyle w:val="Tabletext"/>
              <w:jc w:val="center"/>
            </w:pPr>
            <w:r>
              <w:t>–10</w:t>
            </w:r>
          </w:p>
        </w:tc>
        <w:tc>
          <w:tcPr>
            <w:tcW w:w="1143" w:type="dxa"/>
            <w:vAlign w:val="center"/>
          </w:tcPr>
          <w:p w:rsidR="009C51A0" w:rsidRPr="000E45E3" w:rsidRDefault="009C51A0" w:rsidP="00E95338">
            <w:pPr>
              <w:pStyle w:val="Tabletext"/>
              <w:jc w:val="center"/>
            </w:pPr>
            <w:r>
              <w:t>dB</w:t>
            </w:r>
          </w:p>
        </w:tc>
      </w:tr>
      <w:tr w:rsidR="009C51A0" w:rsidRPr="000E45E3" w:rsidTr="009605AB">
        <w:trPr>
          <w:trHeight w:val="197"/>
          <w:jc w:val="center"/>
        </w:trPr>
        <w:tc>
          <w:tcPr>
            <w:tcW w:w="3557" w:type="dxa"/>
            <w:vAlign w:val="center"/>
          </w:tcPr>
          <w:p w:rsidR="009C51A0" w:rsidRPr="009C51A0" w:rsidRDefault="009C51A0" w:rsidP="00E95338">
            <w:pPr>
              <w:pStyle w:val="Tabletext"/>
              <w:rPr>
                <w:lang w:val="en-US"/>
              </w:rPr>
            </w:pPr>
            <w:r w:rsidRPr="009C51A0">
              <w:rPr>
                <w:lang w:val="en-US"/>
              </w:rPr>
              <w:t>Front end overload protection level</w:t>
            </w:r>
            <w:r w:rsidRPr="009C51A0">
              <w:rPr>
                <w:vertAlign w:val="superscript"/>
                <w:lang w:val="en-US"/>
              </w:rPr>
              <w:t>3</w:t>
            </w:r>
          </w:p>
        </w:tc>
        <w:tc>
          <w:tcPr>
            <w:tcW w:w="1530" w:type="dxa"/>
            <w:vAlign w:val="center"/>
          </w:tcPr>
          <w:p w:rsidR="009C51A0" w:rsidRDefault="009C51A0" w:rsidP="00E95338">
            <w:pPr>
              <w:pStyle w:val="Tabletext"/>
              <w:jc w:val="center"/>
            </w:pPr>
            <w:r>
              <w:t>–30</w:t>
            </w:r>
          </w:p>
        </w:tc>
        <w:tc>
          <w:tcPr>
            <w:tcW w:w="1523" w:type="dxa"/>
            <w:vAlign w:val="center"/>
          </w:tcPr>
          <w:p w:rsidR="009C51A0" w:rsidRDefault="009C51A0" w:rsidP="00E95338">
            <w:pPr>
              <w:pStyle w:val="Tabletext"/>
              <w:jc w:val="center"/>
            </w:pPr>
            <w:r>
              <w:t>–30</w:t>
            </w:r>
          </w:p>
        </w:tc>
        <w:tc>
          <w:tcPr>
            <w:tcW w:w="1143" w:type="dxa"/>
            <w:vAlign w:val="center"/>
          </w:tcPr>
          <w:p w:rsidR="009C51A0" w:rsidRDefault="009C51A0" w:rsidP="00E95338">
            <w:pPr>
              <w:pStyle w:val="Tabletext"/>
              <w:jc w:val="center"/>
            </w:pPr>
            <w:r>
              <w:t>dBm</w:t>
            </w:r>
          </w:p>
        </w:tc>
      </w:tr>
      <w:tr w:rsidR="009C51A0" w:rsidRPr="000E45E3" w:rsidTr="009605AB">
        <w:trPr>
          <w:trHeight w:val="197"/>
          <w:jc w:val="center"/>
        </w:trPr>
        <w:tc>
          <w:tcPr>
            <w:tcW w:w="3557" w:type="dxa"/>
            <w:tcBorders>
              <w:bottom w:val="single" w:sz="4" w:space="0" w:color="auto"/>
            </w:tcBorders>
            <w:vAlign w:val="center"/>
          </w:tcPr>
          <w:p w:rsidR="009C51A0" w:rsidRPr="009C51A0" w:rsidRDefault="009C51A0" w:rsidP="00E95338">
            <w:pPr>
              <w:pStyle w:val="Tabletext"/>
              <w:rPr>
                <w:rFonts w:eastAsia="Batang" w:cs="Verdana"/>
                <w:szCs w:val="24"/>
                <w:lang w:val="en-US"/>
              </w:rPr>
            </w:pPr>
            <w:r w:rsidRPr="009C51A0">
              <w:rPr>
                <w:lang w:val="en-US"/>
              </w:rPr>
              <w:t>Maximum distance between outside WAIC transmitter and receiver</w:t>
            </w:r>
            <w:r w:rsidRPr="009C51A0">
              <w:rPr>
                <w:vertAlign w:val="superscript"/>
                <w:lang w:val="en-US"/>
              </w:rPr>
              <w:t>2</w:t>
            </w:r>
          </w:p>
        </w:tc>
        <w:tc>
          <w:tcPr>
            <w:tcW w:w="1530" w:type="dxa"/>
            <w:tcBorders>
              <w:bottom w:val="single" w:sz="4" w:space="0" w:color="auto"/>
            </w:tcBorders>
            <w:vAlign w:val="center"/>
          </w:tcPr>
          <w:p w:rsidR="009C51A0" w:rsidRPr="000E45E3" w:rsidRDefault="009C51A0" w:rsidP="00E95338">
            <w:pPr>
              <w:pStyle w:val="Tabletext"/>
              <w:jc w:val="center"/>
              <w:rPr>
                <w:rFonts w:eastAsia="Batang" w:cs="Verdana"/>
                <w:szCs w:val="24"/>
              </w:rPr>
            </w:pPr>
            <w:r w:rsidRPr="000E45E3">
              <w:t>15</w:t>
            </w:r>
          </w:p>
        </w:tc>
        <w:tc>
          <w:tcPr>
            <w:tcW w:w="1523" w:type="dxa"/>
            <w:tcBorders>
              <w:bottom w:val="single" w:sz="4" w:space="0" w:color="auto"/>
            </w:tcBorders>
            <w:vAlign w:val="center"/>
          </w:tcPr>
          <w:p w:rsidR="009C51A0" w:rsidRPr="000E45E3" w:rsidRDefault="009C51A0" w:rsidP="00E95338">
            <w:pPr>
              <w:pStyle w:val="Tabletext"/>
              <w:jc w:val="center"/>
              <w:rPr>
                <w:rFonts w:eastAsia="Batang" w:cs="Verdana"/>
                <w:szCs w:val="24"/>
              </w:rPr>
            </w:pPr>
            <w:r w:rsidRPr="000E45E3">
              <w:t>15</w:t>
            </w:r>
          </w:p>
        </w:tc>
        <w:tc>
          <w:tcPr>
            <w:tcW w:w="1143" w:type="dxa"/>
            <w:tcBorders>
              <w:bottom w:val="single" w:sz="4" w:space="0" w:color="auto"/>
            </w:tcBorders>
            <w:vAlign w:val="center"/>
          </w:tcPr>
          <w:p w:rsidR="009C51A0" w:rsidRPr="000E45E3" w:rsidRDefault="009C51A0" w:rsidP="00E95338">
            <w:pPr>
              <w:pStyle w:val="Tabletext"/>
              <w:jc w:val="center"/>
            </w:pPr>
            <w:r>
              <w:t>m</w:t>
            </w:r>
            <w:r w:rsidRPr="000E45E3">
              <w:t>etr</w:t>
            </w:r>
            <w:r>
              <w:t>e</w:t>
            </w:r>
          </w:p>
        </w:tc>
      </w:tr>
      <w:tr w:rsidR="009C51A0" w:rsidRPr="00487DDF" w:rsidTr="009605AB">
        <w:trPr>
          <w:trHeight w:val="197"/>
          <w:jc w:val="center"/>
        </w:trPr>
        <w:tc>
          <w:tcPr>
            <w:tcW w:w="7753" w:type="dxa"/>
            <w:gridSpan w:val="4"/>
            <w:tcBorders>
              <w:left w:val="nil"/>
              <w:bottom w:val="nil"/>
              <w:right w:val="nil"/>
            </w:tcBorders>
            <w:vAlign w:val="center"/>
          </w:tcPr>
          <w:p w:rsidR="009C51A0" w:rsidRPr="009C51A0" w:rsidRDefault="009C51A0" w:rsidP="00E95338">
            <w:pPr>
              <w:pStyle w:val="Tablelegend"/>
              <w:rPr>
                <w:lang w:val="en-US"/>
              </w:rPr>
            </w:pPr>
            <w:r w:rsidRPr="009C51A0">
              <w:rPr>
                <w:vertAlign w:val="superscript"/>
                <w:lang w:val="en-US"/>
              </w:rPr>
              <w:t>1</w:t>
            </w:r>
            <w:r w:rsidRPr="009C51A0">
              <w:rPr>
                <w:lang w:val="en-US"/>
              </w:rPr>
              <w:tab/>
              <w:t>Directive antennas with gains larger than 0 dBi in the mainbeam direction and consequential negative gains outside the main beam may be applied. In these cases, the antenna main beams are pointed towards the center of the aircraft. This will enable the reduction of the overall emissions of the aircraft.</w:t>
            </w:r>
          </w:p>
          <w:p w:rsidR="009C51A0" w:rsidRPr="009C51A0" w:rsidRDefault="009C51A0" w:rsidP="00E95338">
            <w:pPr>
              <w:pStyle w:val="Tablelegend"/>
              <w:rPr>
                <w:lang w:val="en-US"/>
              </w:rPr>
            </w:pPr>
            <w:r w:rsidRPr="009C51A0">
              <w:rPr>
                <w:vertAlign w:val="superscript"/>
                <w:lang w:val="en-US"/>
              </w:rPr>
              <w:t>2</w:t>
            </w:r>
            <w:r w:rsidRPr="009C51A0">
              <w:rPr>
                <w:lang w:val="en-US"/>
              </w:rPr>
              <w:tab/>
              <w:t>These values are technical upper limits. Lower values are generally possible at the cost of cell size and increased number of required cells to appropriately cover the aircraft.</w:t>
            </w:r>
          </w:p>
          <w:p w:rsidR="009C51A0" w:rsidRPr="009C51A0" w:rsidRDefault="009C51A0" w:rsidP="00E95338">
            <w:pPr>
              <w:pStyle w:val="Tablelegend"/>
              <w:rPr>
                <w:lang w:val="en-US"/>
              </w:rPr>
            </w:pPr>
            <w:r w:rsidRPr="009C51A0">
              <w:rPr>
                <w:vertAlign w:val="superscript"/>
                <w:lang w:val="en-US"/>
              </w:rPr>
              <w:t>3</w:t>
            </w:r>
            <w:r w:rsidRPr="009C51A0">
              <w:rPr>
                <w:lang w:val="en-US"/>
              </w:rPr>
              <w:tab/>
              <w:t>Incident interference power must be below –30 dBm across the entire allocated frequency range to maintain sufficient linearity of operation</w:t>
            </w:r>
          </w:p>
        </w:tc>
      </w:tr>
    </w:tbl>
    <w:p w:rsidR="009C51A0" w:rsidRPr="009C51A0" w:rsidRDefault="009C51A0" w:rsidP="009C51A0">
      <w:pPr>
        <w:rPr>
          <w:lang w:val="en-US"/>
        </w:rPr>
      </w:pPr>
    </w:p>
    <w:p w:rsidR="004C4136" w:rsidRPr="009C51A0" w:rsidRDefault="004C4136" w:rsidP="009C51A0">
      <w:pPr>
        <w:pStyle w:val="Line"/>
      </w:pPr>
    </w:p>
    <w:sectPr w:rsidR="004C4136" w:rsidRPr="009C51A0" w:rsidSect="00217FC4">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136" w:rsidRDefault="004C4136">
      <w:r>
        <w:separator/>
      </w:r>
    </w:p>
  </w:endnote>
  <w:endnote w:type="continuationSeparator" w:id="0">
    <w:p w:rsidR="004C4136" w:rsidRDefault="004C4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136" w:rsidRDefault="004C4136">
      <w:r>
        <w:separator/>
      </w:r>
    </w:p>
  </w:footnote>
  <w:footnote w:type="continuationSeparator" w:id="0">
    <w:p w:rsidR="004C4136" w:rsidRDefault="004C41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136" w:rsidRDefault="004C4136">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136" w:rsidRDefault="00114207" w:rsidP="00B033C8">
    <w:pPr>
      <w:ind w:right="360" w:firstLine="360"/>
    </w:pPr>
    <w:r>
      <w:rPr>
        <w:noProof/>
        <w:lang w:val="en-US" w:eastAsia="zh-CN"/>
      </w:rPr>
      <w:drawing>
        <wp:anchor distT="0" distB="0" distL="114300" distR="114300" simplePos="0" relativeHeight="251661312" behindDoc="0" locked="0" layoutInCell="1" allowOverlap="1" wp14:anchorId="1D91D450" wp14:editId="7E8AC7CB">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4C4136">
      <w:rPr>
        <w:noProof/>
        <w:lang w:val="en-US" w:eastAsia="zh-CN"/>
      </w:rPr>
      <w:drawing>
        <wp:anchor distT="0" distB="0" distL="114300" distR="114300" simplePos="0" relativeHeight="251659264" behindDoc="1" locked="0" layoutInCell="1" allowOverlap="1" wp14:anchorId="08E89ECB" wp14:editId="5F209A3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136" w:rsidRPr="00FC42AF" w:rsidRDefault="004C4136" w:rsidP="007913D0">
    <w:pPr>
      <w:tabs>
        <w:tab w:val="clear" w:pos="794"/>
        <w:tab w:val="clear" w:pos="1191"/>
        <w:tab w:val="clear" w:pos="1588"/>
        <w:tab w:val="clear" w:pos="1985"/>
        <w:tab w:val="center" w:pos="4848"/>
        <w:tab w:val="center" w:pos="9696"/>
      </w:tabs>
      <w:jc w:val="left"/>
    </w:pPr>
    <w:r w:rsidRPr="00FC42AF">
      <w:tab/>
    </w:r>
    <w:r w:rsidR="00780635">
      <w:fldChar w:fldCharType="begin"/>
    </w:r>
    <w:r w:rsidR="00780635">
      <w:instrText xml:space="preserve"> DOCPROPERTY "Header" \* MERGEFORMAT </w:instrText>
    </w:r>
    <w:r w:rsidR="00780635">
      <w:fldChar w:fldCharType="separate"/>
    </w:r>
    <w:r w:rsidR="00780635" w:rsidRPr="00780635">
      <w:rPr>
        <w:b/>
        <w:bCs/>
      </w:rPr>
      <w:t xml:space="preserve">Rec. </w:t>
    </w:r>
    <w:r w:rsidR="0078063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80635">
      <w:rPr>
        <w:b/>
        <w:bCs/>
        <w:noProof/>
      </w:rPr>
      <w:t>ITU-R  M.2067-0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136" w:rsidRPr="00FC42AF" w:rsidRDefault="004C4136"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80635">
      <w:rPr>
        <w:rStyle w:val="PageNumber"/>
        <w:b/>
        <w:bCs/>
        <w:noProof/>
      </w:rPr>
      <w:t>ii</w:t>
    </w:r>
    <w:r>
      <w:rPr>
        <w:rStyle w:val="PageNumber"/>
        <w:b/>
        <w:bCs/>
      </w:rPr>
      <w:fldChar w:fldCharType="end"/>
    </w:r>
    <w:r w:rsidRPr="00FC42AF">
      <w:tab/>
    </w:r>
    <w:r w:rsidR="00780635">
      <w:fldChar w:fldCharType="begin"/>
    </w:r>
    <w:r w:rsidR="00780635">
      <w:instrText xml:space="preserve"> DOCPROPERTY "Header" \* MERGEFORMAT </w:instrText>
    </w:r>
    <w:r w:rsidR="00780635">
      <w:fldChar w:fldCharType="separate"/>
    </w:r>
    <w:r w:rsidR="00780635" w:rsidRPr="00780635">
      <w:rPr>
        <w:b/>
        <w:bCs/>
      </w:rPr>
      <w:t xml:space="preserve">Rec. </w:t>
    </w:r>
    <w:r w:rsidR="0078063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80635">
      <w:rPr>
        <w:b/>
        <w:bCs/>
        <w:noProof/>
      </w:rPr>
      <w:t>ITU-R  M.2067-0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136" w:rsidRDefault="004C4136">
    <w:r>
      <w:tab/>
    </w:r>
    <w:r w:rsidR="00780635">
      <w:fldChar w:fldCharType="begin"/>
    </w:r>
    <w:r w:rsidR="00780635">
      <w:instrText xml:space="preserve"> DOCPROPERTY "Header" \* MERGEFORMAT </w:instrText>
    </w:r>
    <w:r w:rsidR="00780635">
      <w:fldChar w:fldCharType="separate"/>
    </w:r>
    <w:r w:rsidR="00780635" w:rsidRPr="00780635">
      <w:rPr>
        <w:b/>
        <w:bCs/>
      </w:rPr>
      <w:t xml:space="preserve">Rec. </w:t>
    </w:r>
    <w:r w:rsidR="00780635">
      <w:rPr>
        <w:b/>
        <w:bCs/>
      </w:rPr>
      <w:fldChar w:fldCharType="end"/>
    </w:r>
    <w:r>
      <w:rPr>
        <w:b/>
        <w:bCs/>
      </w:rPr>
      <w:t xml:space="preserve"> </w:t>
    </w:r>
    <w:r>
      <w:rPr>
        <w:b/>
        <w:bCs/>
      </w:rPr>
      <w:fldChar w:fldCharType="begin"/>
    </w:r>
    <w:r>
      <w:rPr>
        <w:b/>
        <w:bCs/>
      </w:rPr>
      <w:instrText>styleref href</w:instrText>
    </w:r>
    <w:r>
      <w:rPr>
        <w:b/>
        <w:bCs/>
      </w:rPr>
      <w:fldChar w:fldCharType="separate"/>
    </w:r>
    <w:r w:rsidR="00780635">
      <w:rPr>
        <w:b/>
        <w:bCs/>
        <w:noProof/>
      </w:rPr>
      <w:t>ITU-R  M.2067-0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80635">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80635" w:rsidRPr="0078063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80635">
      <w:rPr>
        <w:b/>
        <w:bCs/>
        <w:noProof/>
      </w:rPr>
      <w:t>ITU-R  M.2067-0</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780635">
      <w:fldChar w:fldCharType="begin"/>
    </w:r>
    <w:r w:rsidR="00780635">
      <w:instrText xml:space="preserve"> DOCPROPERTY "Header" \* MERGEFORMAT </w:instrText>
    </w:r>
    <w:r w:rsidR="00780635">
      <w:fldChar w:fldCharType="separate"/>
    </w:r>
    <w:r w:rsidR="00780635" w:rsidRPr="00780635">
      <w:rPr>
        <w:b/>
        <w:bCs/>
      </w:rPr>
      <w:t xml:space="preserve">Rec. </w:t>
    </w:r>
    <w:r w:rsidR="00780635">
      <w:rPr>
        <w:b/>
        <w:bCs/>
      </w:rPr>
      <w:fldChar w:fldCharType="end"/>
    </w:r>
    <w:r>
      <w:rPr>
        <w:b/>
        <w:bCs/>
      </w:rPr>
      <w:t xml:space="preserve"> </w:t>
    </w:r>
    <w:r>
      <w:rPr>
        <w:b/>
        <w:bCs/>
      </w:rPr>
      <w:fldChar w:fldCharType="begin"/>
    </w:r>
    <w:r>
      <w:rPr>
        <w:b/>
        <w:bCs/>
      </w:rPr>
      <w:instrText>styleref href</w:instrText>
    </w:r>
    <w:r>
      <w:rPr>
        <w:b/>
        <w:bCs/>
      </w:rPr>
      <w:fldChar w:fldCharType="separate"/>
    </w:r>
    <w:r w:rsidR="00780635">
      <w:rPr>
        <w:b/>
        <w:bCs/>
        <w:noProof/>
      </w:rPr>
      <w:t>ITU-R  M.2067-0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80635">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136"/>
    <w:rsid w:val="00093BA8"/>
    <w:rsid w:val="00114207"/>
    <w:rsid w:val="00166E37"/>
    <w:rsid w:val="00217EBF"/>
    <w:rsid w:val="00217FC4"/>
    <w:rsid w:val="00242AEE"/>
    <w:rsid w:val="002D76C4"/>
    <w:rsid w:val="0033521B"/>
    <w:rsid w:val="003D5F1F"/>
    <w:rsid w:val="003E3E10"/>
    <w:rsid w:val="00425864"/>
    <w:rsid w:val="00487DDF"/>
    <w:rsid w:val="004C4136"/>
    <w:rsid w:val="0052529D"/>
    <w:rsid w:val="00607D68"/>
    <w:rsid w:val="0068055D"/>
    <w:rsid w:val="007468DA"/>
    <w:rsid w:val="00780635"/>
    <w:rsid w:val="009605AB"/>
    <w:rsid w:val="009C51A0"/>
    <w:rsid w:val="009E00A8"/>
    <w:rsid w:val="00A6617B"/>
    <w:rsid w:val="00AB0DC8"/>
    <w:rsid w:val="00B346A3"/>
    <w:rsid w:val="00B44E24"/>
    <w:rsid w:val="00BF4BE2"/>
    <w:rsid w:val="00C869CA"/>
    <w:rsid w:val="00D271C3"/>
    <w:rsid w:val="00D54EB2"/>
    <w:rsid w:val="00DF1208"/>
    <w:rsid w:val="00DF4176"/>
    <w:rsid w:val="00E26E1B"/>
    <w:rsid w:val="00EB0130"/>
    <w:rsid w:val="00F05C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7"/>
    <o:shapelayout v:ext="edit">
      <o:idmap v:ext="edit" data="1"/>
    </o:shapelayout>
  </w:shapeDefaults>
  <w:decimalSymbol w:val="."/>
  <w:listSeparator w:val=";"/>
  <w15:docId w15:val="{2ED7E192-3582-45FF-8AC2-5088696FC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13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locked/>
    <w:rsid w:val="004C4136"/>
    <w:rPr>
      <w:b/>
      <w:sz w:val="22"/>
      <w:lang w:val="fr-FR" w:eastAsia="en-US"/>
    </w:rPr>
  </w:style>
  <w:style w:type="character" w:customStyle="1" w:styleId="TabletextChar">
    <w:name w:val="Table_text Char"/>
    <w:basedOn w:val="DefaultParagraphFont"/>
    <w:link w:val="Tabletext"/>
    <w:locked/>
    <w:rsid w:val="004C4136"/>
    <w:rPr>
      <w:sz w:val="22"/>
      <w:lang w:val="fr-FR" w:eastAsia="en-US"/>
    </w:rPr>
  </w:style>
  <w:style w:type="character" w:styleId="Hyperlink">
    <w:name w:val="Hyperlink"/>
    <w:basedOn w:val="DefaultParagraphFont"/>
    <w:rsid w:val="004C4136"/>
    <w:rPr>
      <w:color w:val="0000FF"/>
      <w:u w:val="single"/>
    </w:rPr>
  </w:style>
  <w:style w:type="character" w:customStyle="1" w:styleId="NormalaftertitleChar">
    <w:name w:val="Normal_after_title Char"/>
    <w:link w:val="Normalaftertitle"/>
    <w:locked/>
    <w:rsid w:val="009C51A0"/>
    <w:rPr>
      <w:sz w:val="24"/>
      <w:lang w:val="fr-FR" w:eastAsia="en-US"/>
    </w:rPr>
  </w:style>
  <w:style w:type="character" w:customStyle="1" w:styleId="CallChar">
    <w:name w:val="Call Char"/>
    <w:basedOn w:val="DefaultParagraphFont"/>
    <w:link w:val="Call"/>
    <w:locked/>
    <w:rsid w:val="009C51A0"/>
    <w:rPr>
      <w:i/>
      <w:sz w:val="24"/>
      <w:lang w:val="fr-FR" w:eastAsia="en-US"/>
    </w:rPr>
  </w:style>
  <w:style w:type="character" w:customStyle="1" w:styleId="Tabletitle0">
    <w:name w:val="Table_title Знак"/>
    <w:link w:val="Tabletitle"/>
    <w:locked/>
    <w:rsid w:val="009C51A0"/>
    <w:rPr>
      <w:b/>
      <w:sz w:val="24"/>
      <w:lang w:val="fr-FR" w:eastAsia="en-US"/>
    </w:rPr>
  </w:style>
  <w:style w:type="character" w:customStyle="1" w:styleId="FiguretitleChar">
    <w:name w:val="Figure_title Char"/>
    <w:basedOn w:val="DefaultParagraphFont"/>
    <w:link w:val="Figuretitle"/>
    <w:locked/>
    <w:rsid w:val="009C51A0"/>
    <w:rPr>
      <w:rFonts w:ascii="Times New Roman Bold" w:hAnsi="Times New Roman Bold"/>
      <w:b/>
      <w:sz w:val="18"/>
      <w:lang w:val="fr-FR" w:eastAsia="en-US"/>
    </w:rPr>
  </w:style>
  <w:style w:type="character" w:customStyle="1" w:styleId="FigureNoChar">
    <w:name w:val="Figure_No Char"/>
    <w:basedOn w:val="DefaultParagraphFont"/>
    <w:link w:val="FigureNo"/>
    <w:locked/>
    <w:rsid w:val="009C51A0"/>
    <w:rPr>
      <w:caps/>
      <w:sz w:val="18"/>
      <w:lang w:val="fr-FR" w:eastAsia="en-US"/>
    </w:rPr>
  </w:style>
  <w:style w:type="character" w:customStyle="1" w:styleId="TableNo0">
    <w:name w:val="Table_No Знак"/>
    <w:link w:val="TableNo"/>
    <w:locked/>
    <w:rsid w:val="009C51A0"/>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7.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yperlink" Target="http://www.itu.int/publ/R-REC/en" TargetMode="External"/><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TotalTime>
  <Pages>6</Pages>
  <Words>1390</Words>
  <Characters>8150</Characters>
  <Application>Microsoft Office Word</Application>
  <DocSecurity>0</DocSecurity>
  <Lines>339</Lines>
  <Paragraphs>63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16</cp:revision>
  <cp:lastPrinted>2015-09-18T13:49:00Z</cp:lastPrinted>
  <dcterms:created xsi:type="dcterms:W3CDTF">2014-11-21T08:45:00Z</dcterms:created>
  <dcterms:modified xsi:type="dcterms:W3CDTF">2015-09-18T13:49:00Z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