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p w:rsidR="00C458D0" w:rsidRPr="006357F0" w:rsidRDefault="00C458D0">
      <w:pPr>
        <w:rPr>
          <w:lang w:val="en-GB"/>
        </w:rPr>
      </w:pPr>
    </w:p>
    <w:tbl>
      <w:tblPr>
        <w:tblW w:w="10089" w:type="dxa"/>
        <w:tblLook w:val="01E0" w:firstRow="1" w:lastRow="1" w:firstColumn="1" w:lastColumn="1" w:noHBand="0" w:noVBand="0"/>
      </w:tblPr>
      <w:tblGrid>
        <w:gridCol w:w="10089"/>
      </w:tblGrid>
      <w:tr w:rsidR="00C458D0" w:rsidRPr="006357F0">
        <w:tc>
          <w:tcPr>
            <w:tcW w:w="10089" w:type="dxa"/>
          </w:tcPr>
          <w:p w:rsidR="00C458D0" w:rsidRPr="006357F0" w:rsidRDefault="00C458D0" w:rsidP="00013002">
            <w:pPr>
              <w:spacing w:before="380" w:line="280" w:lineRule="exact"/>
              <w:jc w:val="right"/>
              <w:rPr>
                <w:rFonts w:ascii="Tahoma" w:hAnsi="Tahoma" w:cs="Tahoma"/>
                <w:b/>
                <w:bCs/>
                <w:iCs/>
                <w:color w:val="243285"/>
                <w:sz w:val="32"/>
                <w:szCs w:val="32"/>
                <w:lang w:val="en-GB"/>
              </w:rPr>
            </w:pPr>
          </w:p>
          <w:p w:rsidR="00C458D0" w:rsidRPr="006357F0" w:rsidRDefault="00C458D0" w:rsidP="003E1DED">
            <w:pPr>
              <w:spacing w:before="380" w:line="280" w:lineRule="exact"/>
              <w:jc w:val="right"/>
              <w:rPr>
                <w:rFonts w:ascii="Tahoma" w:hAnsi="Tahoma" w:cs="Tahoma"/>
                <w:b/>
                <w:bCs/>
                <w:iCs/>
                <w:color w:val="243285"/>
                <w:sz w:val="36"/>
                <w:szCs w:val="36"/>
                <w:lang w:val="en-GB"/>
              </w:rPr>
            </w:pPr>
            <w:r w:rsidRPr="006357F0">
              <w:rPr>
                <w:rFonts w:ascii="Tahoma" w:hAnsi="Tahoma" w:cs="Tahoma"/>
                <w:b/>
                <w:bCs/>
                <w:iCs/>
                <w:color w:val="243285"/>
                <w:sz w:val="36"/>
                <w:szCs w:val="36"/>
                <w:lang w:val="en-GB"/>
              </w:rPr>
              <w:t>Recommendation  ITU-R  M.</w:t>
            </w:r>
            <w:r w:rsidR="00F91B1F" w:rsidRPr="006357F0">
              <w:rPr>
                <w:rFonts w:ascii="Tahoma" w:hAnsi="Tahoma" w:cs="Tahoma"/>
                <w:b/>
                <w:bCs/>
                <w:iCs/>
                <w:color w:val="243285"/>
                <w:sz w:val="36"/>
                <w:szCs w:val="36"/>
                <w:lang w:val="en-GB"/>
              </w:rPr>
              <w:t>2046</w:t>
            </w:r>
          </w:p>
          <w:p w:rsidR="00C458D0" w:rsidRPr="006357F0" w:rsidRDefault="00C458D0" w:rsidP="00F91B1F">
            <w:pPr>
              <w:spacing w:before="80" w:line="280" w:lineRule="exact"/>
              <w:jc w:val="right"/>
              <w:rPr>
                <w:rFonts w:ascii="Tahoma" w:hAnsi="Tahoma" w:cs="Tahoma"/>
                <w:b/>
                <w:bCs/>
                <w:iCs/>
                <w:color w:val="243285"/>
                <w:szCs w:val="24"/>
                <w:lang w:val="en-GB"/>
              </w:rPr>
            </w:pPr>
            <w:r w:rsidRPr="006357F0">
              <w:rPr>
                <w:rFonts w:ascii="Tahoma" w:hAnsi="Tahoma" w:cs="Tahoma"/>
                <w:b/>
                <w:bCs/>
                <w:iCs/>
                <w:color w:val="243285"/>
                <w:szCs w:val="24"/>
                <w:lang w:val="en-GB"/>
              </w:rPr>
              <w:t>(</w:t>
            </w:r>
            <w:r w:rsidR="00F91B1F" w:rsidRPr="006357F0">
              <w:rPr>
                <w:rFonts w:ascii="Tahoma" w:hAnsi="Tahoma" w:cs="Tahoma"/>
                <w:b/>
                <w:bCs/>
                <w:iCs/>
                <w:color w:val="243285"/>
                <w:szCs w:val="24"/>
                <w:lang w:val="en-GB"/>
              </w:rPr>
              <w:t>12</w:t>
            </w:r>
            <w:r w:rsidRPr="006357F0">
              <w:rPr>
                <w:rFonts w:ascii="Tahoma" w:hAnsi="Tahoma" w:cs="Tahoma"/>
                <w:b/>
                <w:bCs/>
                <w:iCs/>
                <w:color w:val="243285"/>
                <w:szCs w:val="24"/>
                <w:lang w:val="en-GB"/>
              </w:rPr>
              <w:t>/</w:t>
            </w:r>
            <w:r w:rsidR="00F91B1F" w:rsidRPr="006357F0">
              <w:rPr>
                <w:rFonts w:ascii="Tahoma" w:hAnsi="Tahoma" w:cs="Tahoma"/>
                <w:b/>
                <w:bCs/>
                <w:iCs/>
                <w:color w:val="243285"/>
                <w:szCs w:val="24"/>
                <w:lang w:val="en-GB"/>
              </w:rPr>
              <w:t>2013</w:t>
            </w:r>
            <w:r w:rsidRPr="006357F0">
              <w:rPr>
                <w:rFonts w:ascii="Tahoma" w:hAnsi="Tahoma" w:cs="Tahoma"/>
                <w:b/>
                <w:bCs/>
                <w:iCs/>
                <w:color w:val="243285"/>
                <w:szCs w:val="24"/>
                <w:lang w:val="en-GB"/>
              </w:rPr>
              <w:t>)</w:t>
            </w:r>
          </w:p>
        </w:tc>
      </w:tr>
      <w:tr w:rsidR="00C458D0" w:rsidRPr="00AB676C">
        <w:tc>
          <w:tcPr>
            <w:tcW w:w="10089" w:type="dxa"/>
          </w:tcPr>
          <w:p w:rsidR="00F91B1F" w:rsidRPr="006357F0" w:rsidRDefault="00F91B1F" w:rsidP="00F91B1F">
            <w:pPr>
              <w:spacing w:before="80" w:line="500" w:lineRule="exact"/>
              <w:jc w:val="right"/>
              <w:rPr>
                <w:rFonts w:ascii="Tahoma" w:hAnsi="Tahoma" w:cs="Tahoma"/>
                <w:b/>
                <w:bCs/>
                <w:color w:val="243285"/>
                <w:sz w:val="44"/>
                <w:szCs w:val="44"/>
                <w:lang w:val="en-GB"/>
              </w:rPr>
            </w:pPr>
          </w:p>
          <w:p w:rsidR="00C458D0" w:rsidRPr="006357F0" w:rsidRDefault="00F91B1F" w:rsidP="00F91B1F">
            <w:pPr>
              <w:spacing w:before="80" w:line="500" w:lineRule="exact"/>
              <w:jc w:val="right"/>
              <w:rPr>
                <w:rFonts w:ascii="Tahoma" w:hAnsi="Tahoma" w:cs="Tahoma"/>
                <w:b/>
                <w:bCs/>
                <w:iCs/>
                <w:color w:val="243285"/>
                <w:sz w:val="44"/>
                <w:szCs w:val="44"/>
                <w:lang w:val="en-GB"/>
              </w:rPr>
            </w:pPr>
            <w:r w:rsidRPr="006357F0">
              <w:rPr>
                <w:rFonts w:ascii="Tahoma" w:hAnsi="Tahoma" w:cs="Tahoma"/>
                <w:b/>
                <w:bCs/>
                <w:color w:val="243285"/>
                <w:sz w:val="44"/>
                <w:szCs w:val="44"/>
                <w:lang w:val="en-GB"/>
              </w:rPr>
              <w:t>Characteristics and protection criteria for non-geostationary mobile-satellite</w:t>
            </w:r>
            <w:r w:rsidRPr="006357F0">
              <w:rPr>
                <w:rFonts w:ascii="Tahoma" w:hAnsi="Tahoma" w:cs="Tahoma"/>
                <w:b/>
                <w:bCs/>
                <w:color w:val="243285"/>
                <w:sz w:val="44"/>
                <w:szCs w:val="44"/>
                <w:lang w:val="en-GB"/>
              </w:rPr>
              <w:br/>
              <w:t xml:space="preserve">service systems operating in the </w:t>
            </w:r>
            <w:r w:rsidRPr="006357F0">
              <w:rPr>
                <w:rFonts w:ascii="Tahoma" w:hAnsi="Tahoma" w:cs="Tahoma"/>
                <w:b/>
                <w:bCs/>
                <w:color w:val="243285"/>
                <w:sz w:val="44"/>
                <w:szCs w:val="44"/>
                <w:lang w:val="en-GB"/>
              </w:rPr>
              <w:br/>
              <w:t>band 399.9-400.05 MHz</w:t>
            </w:r>
          </w:p>
        </w:tc>
      </w:tr>
      <w:tr w:rsidR="00C458D0" w:rsidRPr="006357F0">
        <w:tc>
          <w:tcPr>
            <w:tcW w:w="10089" w:type="dxa"/>
          </w:tcPr>
          <w:p w:rsidR="00C458D0" w:rsidRPr="006357F0" w:rsidRDefault="00C458D0" w:rsidP="00FD15CF">
            <w:pPr>
              <w:spacing w:before="80" w:line="280" w:lineRule="exact"/>
              <w:ind w:right="640"/>
              <w:rPr>
                <w:rFonts w:ascii="Tahoma" w:hAnsi="Tahoma" w:cs="Tahoma"/>
                <w:b/>
                <w:bCs/>
                <w:iCs/>
                <w:color w:val="243285"/>
                <w:sz w:val="32"/>
                <w:szCs w:val="32"/>
                <w:lang w:val="en-GB"/>
              </w:rPr>
            </w:pPr>
          </w:p>
          <w:p w:rsidR="00C458D0" w:rsidRPr="006357F0" w:rsidRDefault="00C458D0" w:rsidP="00FD15CF">
            <w:pPr>
              <w:spacing w:before="80" w:after="180" w:line="360" w:lineRule="exact"/>
              <w:ind w:right="720"/>
              <w:rPr>
                <w:rFonts w:ascii="Tahoma" w:hAnsi="Tahoma" w:cs="Tahoma"/>
                <w:b/>
                <w:bCs/>
                <w:iCs/>
                <w:color w:val="243285"/>
                <w:sz w:val="36"/>
                <w:szCs w:val="36"/>
                <w:lang w:val="en-GB"/>
              </w:rPr>
            </w:pPr>
          </w:p>
          <w:p w:rsidR="00C458D0" w:rsidRPr="006357F0" w:rsidRDefault="00C458D0" w:rsidP="00013002">
            <w:pPr>
              <w:spacing w:before="80" w:after="180" w:line="360" w:lineRule="exact"/>
              <w:jc w:val="right"/>
              <w:rPr>
                <w:rFonts w:ascii="Tahoma" w:hAnsi="Tahoma" w:cs="Tahoma"/>
                <w:b/>
                <w:bCs/>
                <w:iCs/>
                <w:color w:val="243285"/>
                <w:sz w:val="36"/>
                <w:szCs w:val="36"/>
                <w:lang w:val="en-GB"/>
              </w:rPr>
            </w:pPr>
            <w:r w:rsidRPr="006357F0">
              <w:rPr>
                <w:rFonts w:ascii="Tahoma" w:hAnsi="Tahoma" w:cs="Tahoma"/>
                <w:b/>
                <w:bCs/>
                <w:iCs/>
                <w:color w:val="243285"/>
                <w:sz w:val="36"/>
                <w:szCs w:val="36"/>
                <w:lang w:val="en-GB"/>
              </w:rPr>
              <w:t>M Series</w:t>
            </w:r>
          </w:p>
          <w:p w:rsidR="00C458D0" w:rsidRPr="006357F0" w:rsidRDefault="00C458D0" w:rsidP="00FE79FE">
            <w:pPr>
              <w:spacing w:before="80" w:line="360" w:lineRule="exact"/>
              <w:jc w:val="right"/>
              <w:rPr>
                <w:rFonts w:ascii="Tahoma" w:hAnsi="Tahoma" w:cs="Tahoma"/>
                <w:b/>
                <w:bCs/>
                <w:color w:val="243285"/>
                <w:sz w:val="36"/>
                <w:szCs w:val="36"/>
                <w:lang w:val="en-GB"/>
              </w:rPr>
            </w:pPr>
            <w:r w:rsidRPr="006357F0">
              <w:rPr>
                <w:rFonts w:ascii="Tahoma" w:hAnsi="Tahoma" w:cs="Tahoma"/>
                <w:b/>
                <w:bCs/>
                <w:color w:val="243285"/>
                <w:sz w:val="36"/>
                <w:szCs w:val="36"/>
                <w:lang w:val="en-GB"/>
              </w:rPr>
              <w:t>Mobile, radiodetermination, amateur</w:t>
            </w:r>
          </w:p>
          <w:p w:rsidR="00C458D0" w:rsidRPr="006357F0" w:rsidRDefault="00C458D0" w:rsidP="00FE79FE">
            <w:pPr>
              <w:spacing w:before="80" w:line="360" w:lineRule="exact"/>
              <w:jc w:val="right"/>
              <w:rPr>
                <w:rFonts w:ascii="Tahoma" w:hAnsi="Tahoma" w:cs="Tahoma"/>
                <w:b/>
                <w:bCs/>
                <w:iCs/>
                <w:color w:val="243285"/>
                <w:sz w:val="36"/>
                <w:szCs w:val="36"/>
                <w:lang w:val="en-GB"/>
              </w:rPr>
            </w:pPr>
            <w:r w:rsidRPr="006357F0">
              <w:rPr>
                <w:rFonts w:ascii="Tahoma" w:hAnsi="Tahoma" w:cs="Tahoma"/>
                <w:b/>
                <w:bCs/>
                <w:color w:val="243285"/>
                <w:sz w:val="36"/>
                <w:szCs w:val="36"/>
                <w:lang w:val="en-GB"/>
              </w:rPr>
              <w:t>and related satellite services</w:t>
            </w:r>
          </w:p>
        </w:tc>
      </w:tr>
    </w:tbl>
    <w:p w:rsidR="00C458D0" w:rsidRPr="006357F0" w:rsidRDefault="00C458D0" w:rsidP="00CD659B">
      <w:pPr>
        <w:spacing w:before="80"/>
        <w:rPr>
          <w:i/>
          <w:sz w:val="22"/>
          <w:lang w:val="en-GB"/>
        </w:rPr>
      </w:pPr>
    </w:p>
    <w:p w:rsidR="00C458D0" w:rsidRPr="006357F0" w:rsidRDefault="00C458D0" w:rsidP="00CD659B">
      <w:pPr>
        <w:spacing w:before="80"/>
        <w:rPr>
          <w:i/>
          <w:sz w:val="22"/>
          <w:lang w:val="en-GB"/>
        </w:rPr>
      </w:pPr>
    </w:p>
    <w:p w:rsidR="00C458D0" w:rsidRPr="006357F0" w:rsidRDefault="00C458D0" w:rsidP="00CD659B">
      <w:pPr>
        <w:spacing w:before="80"/>
        <w:rPr>
          <w:i/>
          <w:sz w:val="22"/>
          <w:lang w:val="en-GB"/>
        </w:rPr>
      </w:pPr>
    </w:p>
    <w:p w:rsidR="00C458D0" w:rsidRPr="006357F0" w:rsidRDefault="00C458D0" w:rsidP="00CD659B">
      <w:pPr>
        <w:spacing w:before="80"/>
        <w:rPr>
          <w:i/>
          <w:sz w:val="22"/>
          <w:lang w:val="en-GB"/>
        </w:rPr>
      </w:pPr>
    </w:p>
    <w:p w:rsidR="00C458D0" w:rsidRPr="006357F0" w:rsidRDefault="00C458D0" w:rsidP="00CD659B">
      <w:pPr>
        <w:spacing w:before="80"/>
        <w:rPr>
          <w:i/>
          <w:sz w:val="22"/>
          <w:lang w:val="en-GB"/>
        </w:rPr>
      </w:pPr>
    </w:p>
    <w:p w:rsidR="00C458D0" w:rsidRPr="006357F0" w:rsidRDefault="00C458D0" w:rsidP="00CD659B">
      <w:pPr>
        <w:spacing w:before="80"/>
        <w:rPr>
          <w:i/>
          <w:sz w:val="22"/>
          <w:lang w:val="en-GB"/>
        </w:rPr>
      </w:pPr>
    </w:p>
    <w:p w:rsidR="00C458D0" w:rsidRPr="006357F0" w:rsidRDefault="00C458D0" w:rsidP="00CD659B">
      <w:pPr>
        <w:pStyle w:val="Equation"/>
        <w:tabs>
          <w:tab w:val="clear" w:pos="4820"/>
          <w:tab w:val="clear" w:pos="9639"/>
          <w:tab w:val="left" w:pos="1191"/>
          <w:tab w:val="left" w:pos="1588"/>
          <w:tab w:val="left" w:pos="1985"/>
        </w:tabs>
        <w:rPr>
          <w:rFonts w:ascii="Palatino Linotype" w:hAnsi="Palatino Linotype"/>
          <w:lang w:val="en-GB"/>
        </w:rPr>
        <w:sectPr w:rsidR="00C458D0" w:rsidRPr="006357F0" w:rsidSect="00B542E2">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C458D0" w:rsidRPr="006357F0" w:rsidRDefault="00C458D0"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6357F0">
        <w:rPr>
          <w:bCs/>
          <w:sz w:val="24"/>
          <w:szCs w:val="24"/>
          <w:lang w:val="en-GB"/>
        </w:rPr>
        <w:lastRenderedPageBreak/>
        <w:t>Foreword</w:t>
      </w:r>
    </w:p>
    <w:p w:rsidR="00C458D0" w:rsidRPr="006357F0" w:rsidRDefault="00C458D0" w:rsidP="00586EF8">
      <w:pPr>
        <w:spacing w:before="240"/>
        <w:rPr>
          <w:sz w:val="20"/>
          <w:lang w:val="en-GB"/>
        </w:rPr>
      </w:pPr>
      <w:r w:rsidRPr="006357F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458D0" w:rsidRPr="006357F0" w:rsidRDefault="00C458D0" w:rsidP="00586EF8">
      <w:pPr>
        <w:rPr>
          <w:sz w:val="20"/>
          <w:lang w:val="en-GB"/>
        </w:rPr>
      </w:pPr>
      <w:r w:rsidRPr="006357F0">
        <w:rPr>
          <w:sz w:val="20"/>
          <w:lang w:val="en-GB"/>
        </w:rPr>
        <w:t>The regulatory and policy functions of the Radiocommunication Sector are performed by World and Regional Radiocommunication Conferences and Radiocommunication Assemblies supported by Study Groups.</w:t>
      </w:r>
    </w:p>
    <w:p w:rsidR="00C458D0" w:rsidRPr="006357F0" w:rsidRDefault="00C458D0" w:rsidP="002F5199">
      <w:pPr>
        <w:pStyle w:val="Heading1"/>
        <w:spacing w:before="680"/>
        <w:jc w:val="center"/>
        <w:rPr>
          <w:szCs w:val="24"/>
          <w:lang w:val="en-GB"/>
        </w:rPr>
      </w:pPr>
      <w:r w:rsidRPr="006357F0">
        <w:rPr>
          <w:szCs w:val="24"/>
          <w:lang w:val="en-GB"/>
        </w:rPr>
        <w:t>Policy on Intellectual Property Right (IPR)</w:t>
      </w:r>
    </w:p>
    <w:p w:rsidR="00C458D0" w:rsidRPr="006357F0" w:rsidRDefault="00C458D0" w:rsidP="00C44EEB">
      <w:pPr>
        <w:tabs>
          <w:tab w:val="clear" w:pos="794"/>
          <w:tab w:val="clear" w:pos="1191"/>
          <w:tab w:val="clear" w:pos="1588"/>
          <w:tab w:val="clear" w:pos="1985"/>
        </w:tabs>
        <w:spacing w:before="240"/>
        <w:rPr>
          <w:sz w:val="20"/>
          <w:lang w:val="en-GB"/>
        </w:rPr>
      </w:pPr>
      <w:r w:rsidRPr="006357F0">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6357F0">
          <w:rPr>
            <w:rStyle w:val="Hyperlink"/>
            <w:sz w:val="20"/>
            <w:lang w:val="en-GB"/>
          </w:rPr>
          <w:t>http://www.itu.int/ITU-R/go/patents/en</w:t>
        </w:r>
      </w:hyperlink>
      <w:r w:rsidRPr="006357F0">
        <w:rPr>
          <w:sz w:val="20"/>
          <w:lang w:val="en-GB"/>
        </w:rPr>
        <w:t xml:space="preserve"> where the Guidelines for Implementation of the Common Patent Policy for ITU</w:t>
      </w:r>
      <w:r w:rsidRPr="006357F0">
        <w:rPr>
          <w:sz w:val="20"/>
          <w:lang w:val="en-GB"/>
        </w:rPr>
        <w:noBreakHyphen/>
        <w:t>T/ITU</w:t>
      </w:r>
      <w:r w:rsidRPr="006357F0">
        <w:rPr>
          <w:sz w:val="20"/>
          <w:lang w:val="en-GB"/>
        </w:rPr>
        <w:noBreakHyphen/>
        <w:t xml:space="preserve">R/ISO/IEC and the ITU-R patent information database can also be found. </w:t>
      </w:r>
    </w:p>
    <w:p w:rsidR="00C458D0" w:rsidRPr="006357F0" w:rsidRDefault="00C458D0" w:rsidP="00586EF8">
      <w:pPr>
        <w:jc w:val="center"/>
        <w:rPr>
          <w:sz w:val="22"/>
          <w:lang w:val="en-GB"/>
        </w:rPr>
      </w:pPr>
    </w:p>
    <w:p w:rsidR="00C458D0" w:rsidRPr="006357F0" w:rsidRDefault="00C458D0"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458D0" w:rsidRPr="00AB676C">
        <w:tc>
          <w:tcPr>
            <w:tcW w:w="9360" w:type="dxa"/>
            <w:gridSpan w:val="2"/>
          </w:tcPr>
          <w:p w:rsidR="00C458D0" w:rsidRPr="006357F0" w:rsidRDefault="00C458D0"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6357F0">
              <w:rPr>
                <w:sz w:val="22"/>
                <w:szCs w:val="22"/>
                <w:lang w:val="en-GB"/>
              </w:rPr>
              <w:t xml:space="preserve">Series of ITU-R Recommendations </w:t>
            </w:r>
          </w:p>
          <w:p w:rsidR="00C458D0" w:rsidRPr="006357F0" w:rsidRDefault="00C458D0"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6357F0">
              <w:rPr>
                <w:b w:val="0"/>
                <w:sz w:val="18"/>
                <w:szCs w:val="18"/>
                <w:lang w:val="en-GB"/>
              </w:rPr>
              <w:t xml:space="preserve">(Also available online at </w:t>
            </w:r>
            <w:hyperlink r:id="rId11" w:history="1">
              <w:r w:rsidRPr="006357F0">
                <w:rPr>
                  <w:rStyle w:val="Hyperlink"/>
                  <w:b w:val="0"/>
                  <w:sz w:val="18"/>
                  <w:szCs w:val="18"/>
                  <w:lang w:val="en-GB"/>
                </w:rPr>
                <w:t>http://www.itu.int/publ/R-REC/en</w:t>
              </w:r>
            </w:hyperlink>
            <w:r w:rsidRPr="006357F0">
              <w:rPr>
                <w:b w:val="0"/>
                <w:sz w:val="18"/>
                <w:szCs w:val="18"/>
                <w:lang w:val="en-GB"/>
              </w:rPr>
              <w:t>)</w:t>
            </w:r>
          </w:p>
        </w:tc>
      </w:tr>
      <w:tr w:rsidR="00C458D0" w:rsidRPr="006357F0">
        <w:tc>
          <w:tcPr>
            <w:tcW w:w="1140" w:type="dxa"/>
          </w:tcPr>
          <w:p w:rsidR="00C458D0" w:rsidRPr="006357F0" w:rsidRDefault="00C458D0" w:rsidP="000D0677">
            <w:pPr>
              <w:spacing w:before="200" w:after="100"/>
              <w:ind w:left="57"/>
              <w:rPr>
                <w:b/>
                <w:bCs/>
                <w:sz w:val="20"/>
                <w:lang w:val="en-GB"/>
              </w:rPr>
            </w:pPr>
            <w:r w:rsidRPr="006357F0">
              <w:rPr>
                <w:b/>
                <w:bCs/>
                <w:sz w:val="20"/>
                <w:lang w:val="en-GB"/>
              </w:rPr>
              <w:t>Series</w:t>
            </w:r>
          </w:p>
        </w:tc>
        <w:tc>
          <w:tcPr>
            <w:tcW w:w="8220" w:type="dxa"/>
          </w:tcPr>
          <w:p w:rsidR="00C458D0" w:rsidRPr="006357F0" w:rsidRDefault="00C458D0"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6357F0">
              <w:rPr>
                <w:bCs/>
                <w:sz w:val="20"/>
                <w:lang w:val="en-GB"/>
              </w:rPr>
              <w:t>Title</w:t>
            </w:r>
          </w:p>
        </w:tc>
      </w:tr>
      <w:tr w:rsidR="00C458D0" w:rsidRPr="006357F0">
        <w:tc>
          <w:tcPr>
            <w:tcW w:w="1140" w:type="dxa"/>
          </w:tcPr>
          <w:p w:rsidR="00C458D0" w:rsidRPr="006357F0" w:rsidRDefault="00C458D0" w:rsidP="006B1D2B">
            <w:pPr>
              <w:spacing w:before="30" w:after="30"/>
              <w:ind w:left="57"/>
              <w:jc w:val="left"/>
              <w:rPr>
                <w:b/>
                <w:bCs/>
                <w:sz w:val="20"/>
                <w:lang w:val="en-GB"/>
              </w:rPr>
            </w:pPr>
            <w:r w:rsidRPr="006357F0">
              <w:rPr>
                <w:b/>
                <w:bCs/>
                <w:sz w:val="20"/>
                <w:lang w:val="en-GB"/>
              </w:rPr>
              <w:t>BO</w:t>
            </w:r>
          </w:p>
        </w:tc>
        <w:tc>
          <w:tcPr>
            <w:tcW w:w="8220" w:type="dxa"/>
          </w:tcPr>
          <w:p w:rsidR="00C458D0" w:rsidRPr="006357F0" w:rsidRDefault="00C458D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6357F0">
              <w:rPr>
                <w:b w:val="0"/>
                <w:bCs/>
                <w:sz w:val="20"/>
                <w:lang w:val="en-GB"/>
              </w:rPr>
              <w:t>Satellite delivery</w:t>
            </w:r>
          </w:p>
        </w:tc>
      </w:tr>
      <w:tr w:rsidR="00C458D0" w:rsidRPr="00AB676C" w:rsidTr="007D224F">
        <w:tc>
          <w:tcPr>
            <w:tcW w:w="1140" w:type="dxa"/>
            <w:tcBorders>
              <w:bottom w:val="nil"/>
            </w:tcBorders>
          </w:tcPr>
          <w:p w:rsidR="00C458D0" w:rsidRPr="006357F0" w:rsidRDefault="00C458D0" w:rsidP="006B1D2B">
            <w:pPr>
              <w:spacing w:before="30" w:after="30"/>
              <w:ind w:left="57"/>
              <w:jc w:val="left"/>
              <w:rPr>
                <w:b/>
                <w:bCs/>
                <w:sz w:val="20"/>
                <w:lang w:val="en-GB"/>
              </w:rPr>
            </w:pPr>
            <w:r w:rsidRPr="006357F0">
              <w:rPr>
                <w:b/>
                <w:bCs/>
                <w:sz w:val="20"/>
                <w:lang w:val="en-GB"/>
              </w:rPr>
              <w:t>BR</w:t>
            </w:r>
          </w:p>
        </w:tc>
        <w:tc>
          <w:tcPr>
            <w:tcW w:w="8220" w:type="dxa"/>
            <w:tcBorders>
              <w:bottom w:val="nil"/>
            </w:tcBorders>
          </w:tcPr>
          <w:p w:rsidR="00C458D0" w:rsidRPr="006357F0" w:rsidRDefault="00C458D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357F0">
              <w:rPr>
                <w:b w:val="0"/>
                <w:sz w:val="20"/>
                <w:lang w:val="en-GB"/>
              </w:rPr>
              <w:t>Recording for production, archival and play-out; film for television</w:t>
            </w:r>
          </w:p>
        </w:tc>
      </w:tr>
      <w:tr w:rsidR="00C458D0" w:rsidRPr="006357F0" w:rsidTr="007D224F">
        <w:tc>
          <w:tcPr>
            <w:tcW w:w="1140" w:type="dxa"/>
            <w:tcBorders>
              <w:top w:val="nil"/>
              <w:bottom w:val="nil"/>
            </w:tcBorders>
            <w:shd w:val="clear" w:color="auto" w:fill="auto"/>
          </w:tcPr>
          <w:p w:rsidR="00C458D0" w:rsidRPr="006357F0" w:rsidRDefault="00C458D0" w:rsidP="006B1D2B">
            <w:pPr>
              <w:spacing w:before="30" w:after="30"/>
              <w:ind w:left="57"/>
              <w:jc w:val="left"/>
              <w:rPr>
                <w:rFonts w:hAnsi="Times New Roman Bold"/>
                <w:b/>
                <w:bCs/>
                <w:sz w:val="20"/>
                <w:lang w:val="en-GB"/>
              </w:rPr>
            </w:pPr>
            <w:r w:rsidRPr="006357F0">
              <w:rPr>
                <w:rFonts w:hAnsi="Times New Roman Bold"/>
                <w:b/>
                <w:bCs/>
                <w:sz w:val="20"/>
                <w:lang w:val="en-GB"/>
              </w:rPr>
              <w:t>BS</w:t>
            </w:r>
          </w:p>
        </w:tc>
        <w:tc>
          <w:tcPr>
            <w:tcW w:w="8220" w:type="dxa"/>
            <w:tcBorders>
              <w:top w:val="nil"/>
              <w:bottom w:val="nil"/>
            </w:tcBorders>
            <w:shd w:val="clear" w:color="auto" w:fill="auto"/>
          </w:tcPr>
          <w:p w:rsidR="00C458D0" w:rsidRPr="006357F0" w:rsidRDefault="00C458D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6357F0">
              <w:rPr>
                <w:rFonts w:hAnsi="Times New Roman Bold"/>
                <w:b w:val="0"/>
                <w:sz w:val="20"/>
                <w:lang w:val="en-GB"/>
              </w:rPr>
              <w:t>Broadcasting service (sound)</w:t>
            </w:r>
          </w:p>
        </w:tc>
      </w:tr>
      <w:tr w:rsidR="00C458D0" w:rsidRPr="006357F0" w:rsidTr="0041667C">
        <w:tc>
          <w:tcPr>
            <w:tcW w:w="1140" w:type="dxa"/>
            <w:tcBorders>
              <w:top w:val="nil"/>
              <w:bottom w:val="nil"/>
            </w:tcBorders>
            <w:shd w:val="clear" w:color="auto" w:fill="auto"/>
          </w:tcPr>
          <w:p w:rsidR="00C458D0" w:rsidRPr="006357F0" w:rsidRDefault="00C458D0" w:rsidP="006B1D2B">
            <w:pPr>
              <w:spacing w:before="30" w:after="30"/>
              <w:ind w:left="57"/>
              <w:jc w:val="left"/>
              <w:rPr>
                <w:b/>
                <w:bCs/>
                <w:sz w:val="20"/>
                <w:lang w:val="en-GB"/>
              </w:rPr>
            </w:pPr>
            <w:r w:rsidRPr="006357F0">
              <w:rPr>
                <w:b/>
                <w:bCs/>
                <w:sz w:val="20"/>
                <w:lang w:val="en-GB"/>
              </w:rPr>
              <w:t>BT</w:t>
            </w:r>
          </w:p>
        </w:tc>
        <w:tc>
          <w:tcPr>
            <w:tcW w:w="8220" w:type="dxa"/>
            <w:tcBorders>
              <w:top w:val="nil"/>
              <w:bottom w:val="nil"/>
            </w:tcBorders>
            <w:shd w:val="clear" w:color="auto" w:fill="auto"/>
          </w:tcPr>
          <w:p w:rsidR="00C458D0" w:rsidRPr="006357F0" w:rsidRDefault="00C458D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357F0">
              <w:rPr>
                <w:b w:val="0"/>
                <w:sz w:val="20"/>
                <w:lang w:val="en-GB"/>
              </w:rPr>
              <w:t>Broadcasting service (television)</w:t>
            </w:r>
          </w:p>
        </w:tc>
      </w:tr>
      <w:tr w:rsidR="00C458D0" w:rsidRPr="006357F0" w:rsidTr="0041667C">
        <w:tc>
          <w:tcPr>
            <w:tcW w:w="1140" w:type="dxa"/>
            <w:tcBorders>
              <w:top w:val="nil"/>
              <w:bottom w:val="nil"/>
            </w:tcBorders>
            <w:shd w:val="clear" w:color="auto" w:fill="auto"/>
          </w:tcPr>
          <w:p w:rsidR="00C458D0" w:rsidRPr="006357F0" w:rsidRDefault="00C458D0" w:rsidP="006B1D2B">
            <w:pPr>
              <w:spacing w:before="30" w:after="30"/>
              <w:ind w:left="57"/>
              <w:jc w:val="left"/>
              <w:rPr>
                <w:rFonts w:hAnsi="Times New Roman Bold"/>
                <w:b/>
                <w:bCs/>
                <w:sz w:val="20"/>
                <w:lang w:val="en-GB"/>
              </w:rPr>
            </w:pPr>
            <w:r w:rsidRPr="006357F0">
              <w:rPr>
                <w:rFonts w:hAnsi="Times New Roman Bold"/>
                <w:b/>
                <w:bCs/>
                <w:sz w:val="20"/>
                <w:lang w:val="en-GB"/>
              </w:rPr>
              <w:t>F</w:t>
            </w:r>
          </w:p>
        </w:tc>
        <w:tc>
          <w:tcPr>
            <w:tcW w:w="8220" w:type="dxa"/>
            <w:tcBorders>
              <w:top w:val="nil"/>
              <w:bottom w:val="nil"/>
            </w:tcBorders>
            <w:shd w:val="clear" w:color="auto" w:fill="auto"/>
          </w:tcPr>
          <w:p w:rsidR="00C458D0" w:rsidRPr="006357F0" w:rsidRDefault="00C458D0"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6357F0">
              <w:rPr>
                <w:rFonts w:hAnsi="Times New Roman Bold"/>
                <w:sz w:val="20"/>
                <w:lang w:val="en-GB"/>
              </w:rPr>
              <w:t>Fixed service</w:t>
            </w:r>
          </w:p>
        </w:tc>
      </w:tr>
      <w:tr w:rsidR="00C458D0" w:rsidRPr="006357F0" w:rsidTr="0041667C">
        <w:tc>
          <w:tcPr>
            <w:tcW w:w="1140" w:type="dxa"/>
            <w:tcBorders>
              <w:top w:val="nil"/>
              <w:bottom w:val="nil"/>
            </w:tcBorders>
            <w:shd w:val="clear" w:color="auto" w:fill="F3F3F3"/>
          </w:tcPr>
          <w:p w:rsidR="00C458D0" w:rsidRPr="006357F0" w:rsidRDefault="00C458D0" w:rsidP="006B1D2B">
            <w:pPr>
              <w:spacing w:before="30" w:after="30"/>
              <w:ind w:left="57"/>
              <w:jc w:val="left"/>
              <w:rPr>
                <w:rFonts w:ascii="Times New Roman Bold" w:hAnsi="Times New Roman Bold" w:cs="Times New Roman Bold"/>
                <w:bCs/>
                <w:color w:val="000080"/>
                <w:sz w:val="20"/>
                <w:lang w:val="en-GB"/>
              </w:rPr>
            </w:pPr>
            <w:r w:rsidRPr="006357F0">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C458D0" w:rsidRPr="006357F0" w:rsidRDefault="00C458D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6357F0">
              <w:rPr>
                <w:rFonts w:ascii="Times New Roman Bold" w:hAnsi="Times New Roman Bold" w:cs="Times New Roman Bold"/>
                <w:b w:val="0"/>
                <w:bCs/>
                <w:color w:val="000080"/>
                <w:sz w:val="20"/>
                <w:lang w:val="en-GB"/>
              </w:rPr>
              <w:t>Mobile, radiodetermination, amateur and related satellite services</w:t>
            </w:r>
          </w:p>
        </w:tc>
      </w:tr>
      <w:tr w:rsidR="00C458D0" w:rsidRPr="006357F0" w:rsidTr="0041667C">
        <w:tc>
          <w:tcPr>
            <w:tcW w:w="1140" w:type="dxa"/>
            <w:tcBorders>
              <w:top w:val="nil"/>
            </w:tcBorders>
          </w:tcPr>
          <w:p w:rsidR="00C458D0" w:rsidRPr="006357F0" w:rsidRDefault="00C458D0" w:rsidP="006B1D2B">
            <w:pPr>
              <w:spacing w:before="30" w:after="30"/>
              <w:ind w:left="57"/>
              <w:jc w:val="left"/>
              <w:rPr>
                <w:b/>
                <w:bCs/>
                <w:sz w:val="20"/>
                <w:lang w:val="en-GB"/>
              </w:rPr>
            </w:pPr>
            <w:r w:rsidRPr="006357F0">
              <w:rPr>
                <w:b/>
                <w:bCs/>
                <w:sz w:val="20"/>
                <w:lang w:val="en-GB"/>
              </w:rPr>
              <w:t>P</w:t>
            </w:r>
          </w:p>
        </w:tc>
        <w:tc>
          <w:tcPr>
            <w:tcW w:w="8220" w:type="dxa"/>
            <w:tcBorders>
              <w:top w:val="nil"/>
            </w:tcBorders>
          </w:tcPr>
          <w:p w:rsidR="00C458D0" w:rsidRPr="006357F0" w:rsidRDefault="00C458D0" w:rsidP="006B1D2B">
            <w:pPr>
              <w:spacing w:before="30" w:after="30"/>
              <w:jc w:val="left"/>
              <w:rPr>
                <w:sz w:val="20"/>
                <w:lang w:val="en-GB"/>
              </w:rPr>
            </w:pPr>
            <w:r w:rsidRPr="006357F0">
              <w:rPr>
                <w:sz w:val="20"/>
                <w:lang w:val="en-GB"/>
              </w:rPr>
              <w:t>Radiowave propagation</w:t>
            </w:r>
          </w:p>
        </w:tc>
      </w:tr>
      <w:tr w:rsidR="00C458D0" w:rsidRPr="006357F0">
        <w:tc>
          <w:tcPr>
            <w:tcW w:w="1140" w:type="dxa"/>
          </w:tcPr>
          <w:p w:rsidR="00C458D0" w:rsidRPr="006357F0" w:rsidRDefault="00C458D0" w:rsidP="006B1D2B">
            <w:pPr>
              <w:spacing w:before="30" w:after="30"/>
              <w:ind w:left="57"/>
              <w:jc w:val="left"/>
              <w:rPr>
                <w:b/>
                <w:bCs/>
                <w:sz w:val="20"/>
                <w:lang w:val="en-GB"/>
              </w:rPr>
            </w:pPr>
            <w:r w:rsidRPr="006357F0">
              <w:rPr>
                <w:b/>
                <w:bCs/>
                <w:sz w:val="20"/>
                <w:lang w:val="en-GB"/>
              </w:rPr>
              <w:t>RA</w:t>
            </w:r>
          </w:p>
        </w:tc>
        <w:tc>
          <w:tcPr>
            <w:tcW w:w="8220" w:type="dxa"/>
          </w:tcPr>
          <w:p w:rsidR="00C458D0" w:rsidRPr="006357F0" w:rsidRDefault="00C458D0"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357F0">
              <w:rPr>
                <w:sz w:val="20"/>
                <w:lang w:val="en-GB"/>
              </w:rPr>
              <w:t>Radio astronomy</w:t>
            </w:r>
          </w:p>
        </w:tc>
      </w:tr>
      <w:tr w:rsidR="00C458D0" w:rsidRPr="006357F0">
        <w:tc>
          <w:tcPr>
            <w:tcW w:w="1140" w:type="dxa"/>
          </w:tcPr>
          <w:p w:rsidR="00C458D0" w:rsidRPr="006357F0" w:rsidRDefault="00C458D0" w:rsidP="006B1D2B">
            <w:pPr>
              <w:spacing w:before="30" w:after="30"/>
              <w:ind w:left="57"/>
              <w:jc w:val="left"/>
              <w:rPr>
                <w:b/>
                <w:bCs/>
                <w:sz w:val="20"/>
                <w:lang w:val="en-GB"/>
              </w:rPr>
            </w:pPr>
            <w:r w:rsidRPr="006357F0">
              <w:rPr>
                <w:b/>
                <w:bCs/>
                <w:sz w:val="20"/>
                <w:lang w:val="en-GB"/>
              </w:rPr>
              <w:t>RS</w:t>
            </w:r>
          </w:p>
        </w:tc>
        <w:tc>
          <w:tcPr>
            <w:tcW w:w="8220" w:type="dxa"/>
          </w:tcPr>
          <w:p w:rsidR="00C458D0" w:rsidRPr="006357F0" w:rsidRDefault="00C458D0"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357F0">
              <w:rPr>
                <w:sz w:val="20"/>
                <w:lang w:val="en-GB"/>
              </w:rPr>
              <w:t>Remote sensing systems</w:t>
            </w:r>
          </w:p>
        </w:tc>
      </w:tr>
      <w:tr w:rsidR="00C458D0" w:rsidRPr="006357F0">
        <w:tc>
          <w:tcPr>
            <w:tcW w:w="1140" w:type="dxa"/>
          </w:tcPr>
          <w:p w:rsidR="00C458D0" w:rsidRPr="006357F0" w:rsidRDefault="00C458D0" w:rsidP="006B1D2B">
            <w:pPr>
              <w:spacing w:before="30" w:after="30"/>
              <w:ind w:left="57"/>
              <w:jc w:val="left"/>
              <w:rPr>
                <w:b/>
                <w:bCs/>
                <w:sz w:val="20"/>
                <w:lang w:val="en-GB"/>
              </w:rPr>
            </w:pPr>
            <w:r w:rsidRPr="006357F0">
              <w:rPr>
                <w:b/>
                <w:bCs/>
                <w:sz w:val="20"/>
                <w:lang w:val="en-GB"/>
              </w:rPr>
              <w:t>S</w:t>
            </w:r>
          </w:p>
        </w:tc>
        <w:tc>
          <w:tcPr>
            <w:tcW w:w="8220" w:type="dxa"/>
          </w:tcPr>
          <w:p w:rsidR="00C458D0" w:rsidRPr="006357F0" w:rsidRDefault="00C458D0" w:rsidP="006B1D2B">
            <w:pPr>
              <w:spacing w:before="30" w:after="30"/>
              <w:jc w:val="left"/>
              <w:rPr>
                <w:sz w:val="20"/>
                <w:lang w:val="en-GB"/>
              </w:rPr>
            </w:pPr>
            <w:r w:rsidRPr="006357F0">
              <w:rPr>
                <w:sz w:val="20"/>
                <w:lang w:val="en-GB"/>
              </w:rPr>
              <w:t>Fixed-satellite service</w:t>
            </w:r>
          </w:p>
        </w:tc>
      </w:tr>
      <w:tr w:rsidR="00C458D0" w:rsidRPr="006357F0">
        <w:tc>
          <w:tcPr>
            <w:tcW w:w="1140" w:type="dxa"/>
          </w:tcPr>
          <w:p w:rsidR="00C458D0" w:rsidRPr="006357F0" w:rsidRDefault="00C458D0" w:rsidP="006B1D2B">
            <w:pPr>
              <w:spacing w:before="30" w:after="30"/>
              <w:ind w:left="57"/>
              <w:jc w:val="left"/>
              <w:rPr>
                <w:b/>
                <w:bCs/>
                <w:sz w:val="20"/>
                <w:lang w:val="en-GB"/>
              </w:rPr>
            </w:pPr>
            <w:r w:rsidRPr="006357F0">
              <w:rPr>
                <w:b/>
                <w:bCs/>
                <w:sz w:val="20"/>
                <w:lang w:val="en-GB"/>
              </w:rPr>
              <w:t>SA</w:t>
            </w:r>
          </w:p>
        </w:tc>
        <w:tc>
          <w:tcPr>
            <w:tcW w:w="8220" w:type="dxa"/>
          </w:tcPr>
          <w:p w:rsidR="00C458D0" w:rsidRPr="006357F0" w:rsidRDefault="00C458D0" w:rsidP="006B1D2B">
            <w:pPr>
              <w:spacing w:before="30" w:after="30"/>
              <w:jc w:val="left"/>
              <w:rPr>
                <w:sz w:val="20"/>
                <w:lang w:val="en-GB"/>
              </w:rPr>
            </w:pPr>
            <w:r w:rsidRPr="006357F0">
              <w:rPr>
                <w:sz w:val="20"/>
                <w:lang w:val="en-GB"/>
              </w:rPr>
              <w:t>Space applications and meteorology</w:t>
            </w:r>
          </w:p>
        </w:tc>
      </w:tr>
      <w:tr w:rsidR="00C458D0" w:rsidRPr="00AB676C" w:rsidTr="000A4386">
        <w:tc>
          <w:tcPr>
            <w:tcW w:w="1140" w:type="dxa"/>
            <w:tcBorders>
              <w:bottom w:val="nil"/>
            </w:tcBorders>
          </w:tcPr>
          <w:p w:rsidR="00C458D0" w:rsidRPr="006357F0" w:rsidRDefault="00C458D0" w:rsidP="006B1D2B">
            <w:pPr>
              <w:spacing w:before="30" w:after="30"/>
              <w:ind w:left="57"/>
              <w:jc w:val="left"/>
              <w:rPr>
                <w:b/>
                <w:bCs/>
                <w:sz w:val="20"/>
                <w:lang w:val="en-GB"/>
              </w:rPr>
            </w:pPr>
            <w:r w:rsidRPr="006357F0">
              <w:rPr>
                <w:b/>
                <w:bCs/>
                <w:sz w:val="20"/>
                <w:lang w:val="en-GB"/>
              </w:rPr>
              <w:t>SF</w:t>
            </w:r>
          </w:p>
        </w:tc>
        <w:tc>
          <w:tcPr>
            <w:tcW w:w="8220" w:type="dxa"/>
            <w:tcBorders>
              <w:bottom w:val="nil"/>
            </w:tcBorders>
          </w:tcPr>
          <w:p w:rsidR="00C458D0" w:rsidRPr="006357F0" w:rsidRDefault="00C458D0" w:rsidP="006B1D2B">
            <w:pPr>
              <w:spacing w:before="30" w:after="30"/>
              <w:jc w:val="left"/>
              <w:rPr>
                <w:sz w:val="20"/>
                <w:lang w:val="en-GB"/>
              </w:rPr>
            </w:pPr>
            <w:r w:rsidRPr="006357F0">
              <w:rPr>
                <w:sz w:val="20"/>
                <w:lang w:val="en-GB"/>
              </w:rPr>
              <w:t>Frequency sharing and coordination between fixed-satellite and fixed service systems</w:t>
            </w:r>
          </w:p>
        </w:tc>
      </w:tr>
      <w:tr w:rsidR="00C458D0" w:rsidRPr="006357F0" w:rsidTr="000A4386">
        <w:tc>
          <w:tcPr>
            <w:tcW w:w="1140" w:type="dxa"/>
            <w:tcBorders>
              <w:top w:val="nil"/>
              <w:bottom w:val="nil"/>
            </w:tcBorders>
            <w:shd w:val="clear" w:color="auto" w:fill="auto"/>
          </w:tcPr>
          <w:p w:rsidR="00C458D0" w:rsidRPr="006357F0" w:rsidRDefault="00C458D0" w:rsidP="006B1D2B">
            <w:pPr>
              <w:spacing w:before="30" w:after="30"/>
              <w:ind w:left="57"/>
              <w:jc w:val="left"/>
              <w:rPr>
                <w:b/>
                <w:bCs/>
                <w:sz w:val="20"/>
                <w:lang w:val="en-GB"/>
              </w:rPr>
            </w:pPr>
            <w:r w:rsidRPr="006357F0">
              <w:rPr>
                <w:b/>
                <w:bCs/>
                <w:sz w:val="20"/>
                <w:lang w:val="en-GB"/>
              </w:rPr>
              <w:t>SM</w:t>
            </w:r>
          </w:p>
        </w:tc>
        <w:tc>
          <w:tcPr>
            <w:tcW w:w="8220" w:type="dxa"/>
            <w:tcBorders>
              <w:top w:val="nil"/>
              <w:bottom w:val="nil"/>
            </w:tcBorders>
            <w:shd w:val="clear" w:color="auto" w:fill="auto"/>
          </w:tcPr>
          <w:p w:rsidR="00C458D0" w:rsidRPr="006357F0" w:rsidRDefault="00C458D0" w:rsidP="006B1D2B">
            <w:pPr>
              <w:spacing w:before="30" w:after="30"/>
              <w:jc w:val="left"/>
              <w:rPr>
                <w:sz w:val="20"/>
                <w:lang w:val="en-GB"/>
              </w:rPr>
            </w:pPr>
            <w:r w:rsidRPr="006357F0">
              <w:rPr>
                <w:sz w:val="20"/>
                <w:lang w:val="en-GB"/>
              </w:rPr>
              <w:t>Spectrum management</w:t>
            </w:r>
          </w:p>
        </w:tc>
      </w:tr>
      <w:tr w:rsidR="00C458D0" w:rsidRPr="006357F0" w:rsidTr="000A4386">
        <w:tc>
          <w:tcPr>
            <w:tcW w:w="1140" w:type="dxa"/>
            <w:tcBorders>
              <w:top w:val="nil"/>
            </w:tcBorders>
          </w:tcPr>
          <w:p w:rsidR="00C458D0" w:rsidRPr="006357F0" w:rsidRDefault="00C458D0" w:rsidP="006B1D2B">
            <w:pPr>
              <w:spacing w:before="30" w:after="30"/>
              <w:ind w:left="57"/>
              <w:jc w:val="left"/>
              <w:rPr>
                <w:b/>
                <w:bCs/>
                <w:sz w:val="20"/>
                <w:lang w:val="en-GB"/>
              </w:rPr>
            </w:pPr>
            <w:r w:rsidRPr="006357F0">
              <w:rPr>
                <w:b/>
                <w:bCs/>
                <w:sz w:val="20"/>
                <w:lang w:val="en-GB"/>
              </w:rPr>
              <w:t>SNG</w:t>
            </w:r>
          </w:p>
        </w:tc>
        <w:tc>
          <w:tcPr>
            <w:tcW w:w="8220" w:type="dxa"/>
            <w:tcBorders>
              <w:top w:val="nil"/>
            </w:tcBorders>
          </w:tcPr>
          <w:p w:rsidR="00C458D0" w:rsidRPr="006357F0" w:rsidRDefault="00C458D0" w:rsidP="006B1D2B">
            <w:pPr>
              <w:spacing w:before="30" w:after="30"/>
              <w:jc w:val="left"/>
              <w:rPr>
                <w:sz w:val="20"/>
                <w:lang w:val="en-GB"/>
              </w:rPr>
            </w:pPr>
            <w:r w:rsidRPr="006357F0">
              <w:rPr>
                <w:sz w:val="20"/>
                <w:lang w:val="en-GB"/>
              </w:rPr>
              <w:t>Satellite news gathering</w:t>
            </w:r>
          </w:p>
        </w:tc>
      </w:tr>
      <w:tr w:rsidR="00C458D0" w:rsidRPr="00AB676C">
        <w:tc>
          <w:tcPr>
            <w:tcW w:w="1140" w:type="dxa"/>
          </w:tcPr>
          <w:p w:rsidR="00C458D0" w:rsidRPr="006357F0" w:rsidRDefault="00C458D0" w:rsidP="006B1D2B">
            <w:pPr>
              <w:spacing w:before="30" w:after="30"/>
              <w:ind w:left="57"/>
              <w:jc w:val="left"/>
              <w:rPr>
                <w:b/>
                <w:bCs/>
                <w:sz w:val="20"/>
                <w:lang w:val="en-GB"/>
              </w:rPr>
            </w:pPr>
            <w:r w:rsidRPr="006357F0">
              <w:rPr>
                <w:b/>
                <w:bCs/>
                <w:sz w:val="20"/>
                <w:lang w:val="en-GB"/>
              </w:rPr>
              <w:t>TF</w:t>
            </w:r>
          </w:p>
        </w:tc>
        <w:tc>
          <w:tcPr>
            <w:tcW w:w="8220" w:type="dxa"/>
          </w:tcPr>
          <w:p w:rsidR="00C458D0" w:rsidRPr="006357F0" w:rsidRDefault="00C458D0" w:rsidP="006B1D2B">
            <w:pPr>
              <w:spacing w:before="30" w:after="30"/>
              <w:jc w:val="left"/>
              <w:rPr>
                <w:sz w:val="20"/>
                <w:lang w:val="en-GB"/>
              </w:rPr>
            </w:pPr>
            <w:r w:rsidRPr="006357F0">
              <w:rPr>
                <w:sz w:val="20"/>
                <w:lang w:val="en-GB"/>
              </w:rPr>
              <w:t>Time signals and frequency standards emissions</w:t>
            </w:r>
          </w:p>
        </w:tc>
      </w:tr>
      <w:tr w:rsidR="00C458D0" w:rsidRPr="006357F0">
        <w:tc>
          <w:tcPr>
            <w:tcW w:w="1140" w:type="dxa"/>
          </w:tcPr>
          <w:p w:rsidR="00C458D0" w:rsidRPr="006357F0" w:rsidRDefault="00C458D0" w:rsidP="006B1D2B">
            <w:pPr>
              <w:spacing w:before="30" w:after="30"/>
              <w:ind w:left="57"/>
              <w:jc w:val="left"/>
              <w:rPr>
                <w:b/>
                <w:bCs/>
                <w:sz w:val="20"/>
                <w:lang w:val="en-GB"/>
              </w:rPr>
            </w:pPr>
            <w:r w:rsidRPr="006357F0">
              <w:rPr>
                <w:b/>
                <w:bCs/>
                <w:sz w:val="20"/>
                <w:lang w:val="en-GB"/>
              </w:rPr>
              <w:t>V</w:t>
            </w:r>
          </w:p>
        </w:tc>
        <w:tc>
          <w:tcPr>
            <w:tcW w:w="8220" w:type="dxa"/>
          </w:tcPr>
          <w:p w:rsidR="00C458D0" w:rsidRPr="006357F0" w:rsidRDefault="00C458D0" w:rsidP="00906589">
            <w:pPr>
              <w:spacing w:before="30" w:after="180"/>
              <w:jc w:val="left"/>
              <w:rPr>
                <w:sz w:val="20"/>
                <w:lang w:val="en-GB"/>
              </w:rPr>
            </w:pPr>
            <w:r w:rsidRPr="006357F0">
              <w:rPr>
                <w:sz w:val="20"/>
                <w:lang w:val="en-GB"/>
              </w:rPr>
              <w:t>Vocabulary and related subjects</w:t>
            </w:r>
          </w:p>
        </w:tc>
      </w:tr>
    </w:tbl>
    <w:p w:rsidR="00C458D0" w:rsidRPr="006357F0" w:rsidRDefault="00C458D0"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458D0" w:rsidRPr="006357F0">
        <w:tc>
          <w:tcPr>
            <w:tcW w:w="720" w:type="dxa"/>
          </w:tcPr>
          <w:p w:rsidR="00C458D0" w:rsidRPr="006357F0" w:rsidRDefault="00C458D0" w:rsidP="00036EE3">
            <w:pPr>
              <w:jc w:val="center"/>
              <w:rPr>
                <w:sz w:val="22"/>
                <w:lang w:val="en-GB"/>
              </w:rPr>
            </w:pPr>
          </w:p>
        </w:tc>
      </w:tr>
    </w:tbl>
    <w:p w:rsidR="00C458D0" w:rsidRPr="006357F0" w:rsidRDefault="00C458D0"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458D0" w:rsidRPr="00AB676C">
        <w:tc>
          <w:tcPr>
            <w:tcW w:w="9360" w:type="dxa"/>
          </w:tcPr>
          <w:p w:rsidR="00C458D0" w:rsidRPr="006357F0" w:rsidRDefault="00C458D0" w:rsidP="002F5199">
            <w:pPr>
              <w:spacing w:after="120"/>
              <w:jc w:val="center"/>
              <w:rPr>
                <w:sz w:val="20"/>
                <w:lang w:val="en-GB"/>
              </w:rPr>
            </w:pPr>
            <w:r w:rsidRPr="006357F0">
              <w:rPr>
                <w:b/>
                <w:bCs/>
                <w:i/>
                <w:iCs/>
                <w:sz w:val="20"/>
                <w:lang w:val="en-GB"/>
              </w:rPr>
              <w:t>Note</w:t>
            </w:r>
            <w:r w:rsidRPr="006357F0">
              <w:rPr>
                <w:sz w:val="20"/>
                <w:lang w:val="en-GB"/>
              </w:rPr>
              <w:t xml:space="preserve">: </w:t>
            </w:r>
            <w:r w:rsidRPr="006357F0">
              <w:rPr>
                <w:i/>
                <w:iCs/>
                <w:sz w:val="20"/>
                <w:lang w:val="en-GB"/>
              </w:rPr>
              <w:t>This ITU-R Recommendation was approved in English under the procedure detailed in Resolution ITU-R 1.</w:t>
            </w:r>
          </w:p>
        </w:tc>
      </w:tr>
    </w:tbl>
    <w:p w:rsidR="00C458D0" w:rsidRPr="006357F0" w:rsidRDefault="00C458D0" w:rsidP="002F5199">
      <w:pPr>
        <w:spacing w:before="0"/>
        <w:jc w:val="center"/>
        <w:rPr>
          <w:sz w:val="22"/>
          <w:lang w:val="en-GB"/>
        </w:rPr>
      </w:pPr>
    </w:p>
    <w:p w:rsidR="00C458D0" w:rsidRPr="006357F0" w:rsidRDefault="00C458D0" w:rsidP="002F5199">
      <w:pPr>
        <w:spacing w:before="0"/>
        <w:jc w:val="center"/>
        <w:rPr>
          <w:sz w:val="22"/>
          <w:lang w:val="en-GB"/>
        </w:rPr>
      </w:pPr>
    </w:p>
    <w:p w:rsidR="00C458D0" w:rsidRPr="006357F0" w:rsidRDefault="00C458D0" w:rsidP="00906589">
      <w:pPr>
        <w:spacing w:before="0"/>
        <w:jc w:val="right"/>
        <w:rPr>
          <w:i/>
          <w:iCs/>
          <w:sz w:val="20"/>
          <w:lang w:val="en-GB"/>
        </w:rPr>
      </w:pPr>
      <w:r w:rsidRPr="006357F0">
        <w:rPr>
          <w:i/>
          <w:iCs/>
          <w:sz w:val="20"/>
          <w:lang w:val="en-GB"/>
        </w:rPr>
        <w:t>Electronic Publication</w:t>
      </w:r>
    </w:p>
    <w:p w:rsidR="00C458D0" w:rsidRPr="006357F0" w:rsidRDefault="00DA094B" w:rsidP="00505282">
      <w:pPr>
        <w:spacing w:before="0"/>
        <w:jc w:val="right"/>
        <w:rPr>
          <w:sz w:val="20"/>
          <w:lang w:val="en-GB"/>
        </w:rPr>
      </w:pPr>
      <w:r>
        <w:rPr>
          <w:sz w:val="20"/>
          <w:lang w:val="en-GB"/>
        </w:rPr>
        <w:t>Geneva, 2014</w:t>
      </w:r>
    </w:p>
    <w:p w:rsidR="00C458D0" w:rsidRPr="006357F0" w:rsidRDefault="00C458D0" w:rsidP="00906589">
      <w:pPr>
        <w:jc w:val="center"/>
        <w:rPr>
          <w:sz w:val="22"/>
          <w:lang w:val="en-GB"/>
        </w:rPr>
      </w:pPr>
    </w:p>
    <w:p w:rsidR="00C458D0" w:rsidRPr="006357F0" w:rsidRDefault="00C458D0" w:rsidP="00505282">
      <w:pPr>
        <w:jc w:val="center"/>
        <w:rPr>
          <w:sz w:val="20"/>
          <w:lang w:val="en-GB"/>
        </w:rPr>
      </w:pPr>
      <w:r w:rsidRPr="006357F0">
        <w:rPr>
          <w:sz w:val="20"/>
          <w:lang w:val="en-GB"/>
        </w:rPr>
        <w:sym w:font="Symbol" w:char="F0E3"/>
      </w:r>
      <w:r w:rsidRPr="006357F0">
        <w:rPr>
          <w:sz w:val="20"/>
          <w:lang w:val="en-GB"/>
        </w:rPr>
        <w:t xml:space="preserve"> ITU </w:t>
      </w:r>
      <w:bookmarkStart w:id="1" w:name="iiannee"/>
      <w:bookmarkEnd w:id="1"/>
      <w:r w:rsidR="00DA094B">
        <w:rPr>
          <w:sz w:val="20"/>
          <w:lang w:val="en-GB"/>
        </w:rPr>
        <w:t>2014</w:t>
      </w:r>
    </w:p>
    <w:p w:rsidR="00C458D0" w:rsidRPr="006357F0" w:rsidRDefault="00C458D0" w:rsidP="00470E28">
      <w:pPr>
        <w:rPr>
          <w:sz w:val="18"/>
          <w:szCs w:val="18"/>
          <w:lang w:val="en-GB"/>
        </w:rPr>
      </w:pPr>
      <w:r w:rsidRPr="006357F0">
        <w:rPr>
          <w:sz w:val="18"/>
          <w:szCs w:val="18"/>
          <w:lang w:val="en-GB"/>
        </w:rPr>
        <w:t>All rights reserved. No part of this publication may be reproduced, by any means whatsoever, without written permission of ITU.</w:t>
      </w:r>
    </w:p>
    <w:p w:rsidR="00C458D0" w:rsidRPr="006357F0" w:rsidRDefault="00C458D0" w:rsidP="00A971A1">
      <w:pPr>
        <w:spacing w:before="160"/>
        <w:rPr>
          <w:i/>
          <w:sz w:val="20"/>
          <w:lang w:val="en-GB"/>
        </w:rPr>
        <w:sectPr w:rsidR="00C458D0" w:rsidRPr="006357F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458D0" w:rsidRPr="006357F0" w:rsidRDefault="00C458D0" w:rsidP="00977866">
      <w:pPr>
        <w:pStyle w:val="RecNo"/>
        <w:spacing w:before="0"/>
        <w:rPr>
          <w:lang w:val="en-GB"/>
        </w:rPr>
      </w:pPr>
      <w:bookmarkStart w:id="2" w:name="irecnoe"/>
      <w:bookmarkEnd w:id="2"/>
      <w:r w:rsidRPr="006357F0">
        <w:rPr>
          <w:lang w:val="en-GB"/>
        </w:rPr>
        <w:lastRenderedPageBreak/>
        <w:t xml:space="preserve">RECOMMENDATION  </w:t>
      </w:r>
      <w:r w:rsidRPr="006357F0">
        <w:rPr>
          <w:rStyle w:val="href"/>
          <w:lang w:val="en-GB"/>
        </w:rPr>
        <w:t>ITU-R  M.</w:t>
      </w:r>
      <w:r w:rsidR="00F91B1F" w:rsidRPr="006357F0">
        <w:rPr>
          <w:rStyle w:val="href"/>
          <w:lang w:val="en-GB"/>
        </w:rPr>
        <w:t>2046</w:t>
      </w:r>
    </w:p>
    <w:p w:rsidR="00C458D0" w:rsidRPr="006357F0" w:rsidRDefault="00C458D0" w:rsidP="00F91B1F">
      <w:pPr>
        <w:pStyle w:val="Rectitle"/>
        <w:rPr>
          <w:lang w:val="en-GB"/>
        </w:rPr>
      </w:pPr>
      <w:r w:rsidRPr="006357F0">
        <w:rPr>
          <w:lang w:val="en-GB"/>
        </w:rPr>
        <w:t>Characteristics and protection criteria for non-geostationary mobile-satellite</w:t>
      </w:r>
      <w:r w:rsidR="00F91B1F" w:rsidRPr="006357F0">
        <w:rPr>
          <w:lang w:val="en-GB"/>
        </w:rPr>
        <w:br/>
      </w:r>
      <w:r w:rsidRPr="006357F0">
        <w:rPr>
          <w:lang w:val="en-GB"/>
        </w:rPr>
        <w:t>service systems operating in the band 399.9-400.05 MHz</w:t>
      </w:r>
    </w:p>
    <w:p w:rsidR="00891F7B" w:rsidRPr="006357F0" w:rsidRDefault="00891F7B" w:rsidP="00891F7B">
      <w:pPr>
        <w:pStyle w:val="Recdate"/>
        <w:rPr>
          <w:lang w:val="en-GB"/>
        </w:rPr>
      </w:pPr>
      <w:r w:rsidRPr="006357F0">
        <w:rPr>
          <w:lang w:val="en-GB"/>
        </w:rPr>
        <w:t>(2013)</w:t>
      </w:r>
    </w:p>
    <w:p w:rsidR="00C458D0" w:rsidRPr="006357F0" w:rsidRDefault="00C458D0" w:rsidP="00F91B1F">
      <w:pPr>
        <w:pStyle w:val="HeadingSum"/>
        <w:rPr>
          <w:lang w:val="en-GB"/>
        </w:rPr>
      </w:pPr>
      <w:r w:rsidRPr="006357F0">
        <w:rPr>
          <w:lang w:val="en-GB"/>
        </w:rPr>
        <w:t>Scope</w:t>
      </w:r>
    </w:p>
    <w:p w:rsidR="00C458D0" w:rsidRPr="006357F0" w:rsidRDefault="00C458D0" w:rsidP="00F91B1F">
      <w:pPr>
        <w:pStyle w:val="Summary"/>
        <w:rPr>
          <w:lang w:val="en-GB"/>
        </w:rPr>
      </w:pPr>
      <w:r w:rsidRPr="006357F0">
        <w:rPr>
          <w:lang w:val="en-GB"/>
        </w:rPr>
        <w:t xml:space="preserve">This Recommendation provides a description, and the corresponding protection criteria for broadband noise and narrow-band interference, of one mobile-satellite service system that uses the 399.9-400.05 MHz frequency band (Earth-to-space). </w:t>
      </w:r>
    </w:p>
    <w:p w:rsidR="00C458D0" w:rsidRPr="006357F0" w:rsidRDefault="00C458D0" w:rsidP="00F91B1F">
      <w:pPr>
        <w:pStyle w:val="Normalaftertitle"/>
        <w:rPr>
          <w:lang w:val="en-GB"/>
        </w:rPr>
      </w:pPr>
      <w:r w:rsidRPr="006357F0">
        <w:rPr>
          <w:lang w:val="en-GB"/>
        </w:rPr>
        <w:t>The ITU Radiocommunication Assembly,</w:t>
      </w:r>
    </w:p>
    <w:p w:rsidR="00C458D0" w:rsidRPr="006357F0" w:rsidRDefault="00C458D0" w:rsidP="00C458D0">
      <w:pPr>
        <w:pStyle w:val="Call"/>
        <w:rPr>
          <w:lang w:val="en-GB" w:eastAsia="zh-CN"/>
        </w:rPr>
      </w:pPr>
      <w:r w:rsidRPr="006357F0">
        <w:rPr>
          <w:lang w:val="en-GB" w:eastAsia="zh-CN"/>
        </w:rPr>
        <w:t>considering</w:t>
      </w:r>
    </w:p>
    <w:p w:rsidR="00C458D0" w:rsidRPr="006357F0" w:rsidRDefault="00C458D0" w:rsidP="00C458D0">
      <w:pPr>
        <w:rPr>
          <w:lang w:val="en-GB" w:eastAsia="zh-CN"/>
        </w:rPr>
      </w:pPr>
      <w:r w:rsidRPr="006357F0">
        <w:rPr>
          <w:lang w:val="en-GB"/>
        </w:rPr>
        <w:t>a)</w:t>
      </w:r>
      <w:r w:rsidRPr="006357F0">
        <w:rPr>
          <w:lang w:val="en-GB"/>
        </w:rPr>
        <w:tab/>
      </w:r>
      <w:r w:rsidRPr="006357F0">
        <w:rPr>
          <w:lang w:val="en-GB" w:eastAsia="zh-CN"/>
        </w:rPr>
        <w:t>that</w:t>
      </w:r>
      <w:r w:rsidRPr="006357F0">
        <w:rPr>
          <w:color w:val="000000"/>
          <w:lang w:val="en-GB"/>
        </w:rPr>
        <w:t xml:space="preserve"> the 399.9-400.05 MHz frequency band is allocated to the mobile-satellite service (MSS);</w:t>
      </w:r>
    </w:p>
    <w:p w:rsidR="00C458D0" w:rsidRPr="006357F0" w:rsidRDefault="00C458D0" w:rsidP="00C458D0">
      <w:pPr>
        <w:rPr>
          <w:lang w:val="en-GB" w:eastAsia="zh-CN"/>
        </w:rPr>
      </w:pPr>
      <w:r w:rsidRPr="006357F0">
        <w:rPr>
          <w:lang w:val="en-GB"/>
        </w:rPr>
        <w:t>b)</w:t>
      </w:r>
      <w:r w:rsidRPr="006357F0">
        <w:rPr>
          <w:lang w:val="en-GB"/>
        </w:rPr>
        <w:tab/>
        <w:t>that the</w:t>
      </w:r>
      <w:r w:rsidRPr="006357F0">
        <w:rPr>
          <w:color w:val="000000"/>
          <w:lang w:val="en-GB"/>
        </w:rPr>
        <w:t xml:space="preserve"> use of the 399.9-400.05 MHz frequency band by the MSS is limited to non</w:t>
      </w:r>
      <w:r w:rsidRPr="006357F0">
        <w:rPr>
          <w:color w:val="000000"/>
          <w:lang w:val="en-GB"/>
        </w:rPr>
        <w:noBreakHyphen/>
        <w:t>geostationary (non-GSO) satellite systems;</w:t>
      </w:r>
    </w:p>
    <w:p w:rsidR="00C458D0" w:rsidRPr="006357F0" w:rsidRDefault="00C458D0" w:rsidP="00C458D0">
      <w:pPr>
        <w:rPr>
          <w:lang w:val="en-GB" w:eastAsia="zh-CN"/>
        </w:rPr>
      </w:pPr>
      <w:r w:rsidRPr="006357F0">
        <w:rPr>
          <w:lang w:val="en-GB"/>
        </w:rPr>
        <w:t>c)</w:t>
      </w:r>
      <w:r w:rsidRPr="006357F0">
        <w:rPr>
          <w:lang w:val="en-GB"/>
        </w:rPr>
        <w:tab/>
        <w:t>that the 39</w:t>
      </w:r>
      <w:r w:rsidRPr="006357F0">
        <w:rPr>
          <w:color w:val="000000"/>
          <w:lang w:val="en-GB"/>
        </w:rPr>
        <w:t>9.9-400.05 MHz frequency band is also allocated to the radionavigation</w:t>
      </w:r>
      <w:r w:rsidRPr="006357F0">
        <w:rPr>
          <w:color w:val="000000"/>
          <w:lang w:val="en-GB"/>
        </w:rPr>
        <w:noBreakHyphen/>
        <w:t>satellite service</w:t>
      </w:r>
      <w:r w:rsidRPr="006357F0">
        <w:rPr>
          <w:lang w:val="en-GB" w:eastAsia="zh-CN"/>
        </w:rPr>
        <w:t>;</w:t>
      </w:r>
    </w:p>
    <w:p w:rsidR="00C458D0" w:rsidRPr="006357F0" w:rsidRDefault="00C458D0" w:rsidP="00C458D0">
      <w:pPr>
        <w:rPr>
          <w:color w:val="000000"/>
          <w:lang w:val="en-GB"/>
        </w:rPr>
      </w:pPr>
      <w:r w:rsidRPr="006357F0">
        <w:rPr>
          <w:lang w:val="en-GB"/>
        </w:rPr>
        <w:t>d)</w:t>
      </w:r>
      <w:r w:rsidRPr="006357F0">
        <w:rPr>
          <w:lang w:val="en-GB"/>
        </w:rPr>
        <w:tab/>
        <w:t>that the all</w:t>
      </w:r>
      <w:r w:rsidRPr="006357F0">
        <w:rPr>
          <w:color w:val="000000"/>
          <w:lang w:val="en-GB"/>
        </w:rPr>
        <w:t>ocation of the 399.9-400.05 MHz frequency band to the radionavigation-satellite service shall be effective until 1 January 2015;</w:t>
      </w:r>
    </w:p>
    <w:p w:rsidR="00C458D0" w:rsidRPr="006357F0" w:rsidRDefault="00C458D0" w:rsidP="00C458D0">
      <w:pPr>
        <w:rPr>
          <w:color w:val="000000"/>
          <w:lang w:val="en-GB"/>
        </w:rPr>
      </w:pPr>
      <w:r w:rsidRPr="006357F0">
        <w:rPr>
          <w:lang w:val="en-GB"/>
        </w:rPr>
        <w:t>e)</w:t>
      </w:r>
      <w:r w:rsidRPr="006357F0">
        <w:rPr>
          <w:lang w:val="en-GB"/>
        </w:rPr>
        <w:tab/>
        <w:t xml:space="preserve">that future </w:t>
      </w:r>
      <w:r w:rsidRPr="006357F0">
        <w:rPr>
          <w:color w:val="000000"/>
          <w:lang w:val="en-GB"/>
        </w:rPr>
        <w:t>MSS systems may be deployed in this band;</w:t>
      </w:r>
    </w:p>
    <w:p w:rsidR="00C458D0" w:rsidRPr="006357F0" w:rsidRDefault="00C458D0" w:rsidP="00C458D0">
      <w:pPr>
        <w:rPr>
          <w:lang w:val="en-GB" w:eastAsia="zh-CN"/>
        </w:rPr>
      </w:pPr>
      <w:r w:rsidRPr="006357F0">
        <w:rPr>
          <w:lang w:val="en-GB"/>
        </w:rPr>
        <w:t>f)</w:t>
      </w:r>
      <w:r w:rsidRPr="006357F0">
        <w:rPr>
          <w:lang w:val="en-GB"/>
        </w:rPr>
        <w:tab/>
        <w:t>that the cor</w:t>
      </w:r>
      <w:r w:rsidRPr="006357F0">
        <w:rPr>
          <w:color w:val="000000"/>
          <w:lang w:val="en-GB"/>
        </w:rPr>
        <w:t>responding description of these future systems is needed;</w:t>
      </w:r>
    </w:p>
    <w:p w:rsidR="00C458D0" w:rsidRPr="006357F0" w:rsidRDefault="00C458D0" w:rsidP="00C458D0">
      <w:pPr>
        <w:rPr>
          <w:lang w:val="en-GB" w:eastAsia="zh-CN"/>
        </w:rPr>
      </w:pPr>
      <w:r w:rsidRPr="006357F0">
        <w:rPr>
          <w:lang w:val="en-GB"/>
        </w:rPr>
        <w:t>g)</w:t>
      </w:r>
      <w:r w:rsidRPr="006357F0">
        <w:rPr>
          <w:lang w:val="en-GB"/>
        </w:rPr>
        <w:tab/>
        <w:t>that protec</w:t>
      </w:r>
      <w:r w:rsidRPr="006357F0">
        <w:rPr>
          <w:lang w:val="en-GB" w:eastAsia="zh-CN"/>
        </w:rPr>
        <w:t>tion criteria are required to meet the desirable performance objectives in the presence of interference,</w:t>
      </w:r>
    </w:p>
    <w:p w:rsidR="00C458D0" w:rsidRPr="006357F0" w:rsidRDefault="00C458D0" w:rsidP="00C458D0">
      <w:pPr>
        <w:pStyle w:val="Call"/>
        <w:rPr>
          <w:lang w:val="en-GB"/>
        </w:rPr>
      </w:pPr>
      <w:r w:rsidRPr="006357F0">
        <w:rPr>
          <w:lang w:val="en-GB"/>
        </w:rPr>
        <w:t>recommends</w:t>
      </w:r>
    </w:p>
    <w:p w:rsidR="00C458D0" w:rsidRPr="006357F0" w:rsidRDefault="00C458D0" w:rsidP="00C458D0">
      <w:pPr>
        <w:rPr>
          <w:lang w:val="en-GB"/>
        </w:rPr>
      </w:pPr>
      <w:r w:rsidRPr="006357F0">
        <w:rPr>
          <w:b/>
          <w:bCs/>
          <w:lang w:val="en-GB"/>
        </w:rPr>
        <w:t>1</w:t>
      </w:r>
      <w:r w:rsidRPr="006357F0">
        <w:rPr>
          <w:lang w:val="en-GB"/>
        </w:rPr>
        <w:tab/>
        <w:t>that the analysis to determine the effect on non-GSO MSS systems in the 399.9</w:t>
      </w:r>
      <w:r w:rsidRPr="006357F0">
        <w:rPr>
          <w:lang w:val="en-GB"/>
        </w:rPr>
        <w:noBreakHyphen/>
        <w:t xml:space="preserve">400.05 MHz </w:t>
      </w:r>
      <w:r w:rsidRPr="006357F0">
        <w:rPr>
          <w:color w:val="000000"/>
          <w:lang w:val="en-GB"/>
        </w:rPr>
        <w:t>frequency band</w:t>
      </w:r>
      <w:r w:rsidRPr="006357F0">
        <w:rPr>
          <w:lang w:val="en-GB"/>
        </w:rPr>
        <w:t xml:space="preserve"> should be based on the following protection criteria:</w:t>
      </w:r>
    </w:p>
    <w:p w:rsidR="00C458D0" w:rsidRPr="006357F0" w:rsidRDefault="00C458D0" w:rsidP="00891F7B">
      <w:pPr>
        <w:pStyle w:val="enumlev1"/>
        <w:rPr>
          <w:lang w:val="en-GB"/>
        </w:rPr>
      </w:pPr>
      <w:r w:rsidRPr="006357F0">
        <w:rPr>
          <w:lang w:val="en-GB"/>
        </w:rPr>
        <w:t>–</w:t>
      </w:r>
      <w:r w:rsidRPr="006357F0">
        <w:rPr>
          <w:lang w:val="en-GB"/>
        </w:rPr>
        <w:tab/>
      </w:r>
      <w:r w:rsidRPr="006357F0">
        <w:rPr>
          <w:rFonts w:asciiTheme="majorBidi" w:hAnsiTheme="majorBidi" w:cstheme="majorBidi"/>
          <w:lang w:val="en-GB"/>
        </w:rPr>
        <w:t>–</w:t>
      </w:r>
      <w:r w:rsidRPr="006357F0">
        <w:rPr>
          <w:lang w:val="en-GB"/>
        </w:rPr>
        <w:t>197.9 dB(W/(m</w:t>
      </w:r>
      <w:r w:rsidRPr="006357F0">
        <w:rPr>
          <w:vertAlign w:val="superscript"/>
          <w:lang w:val="en-GB"/>
        </w:rPr>
        <w:t>2</w:t>
      </w:r>
      <w:r w:rsidRPr="006357F0">
        <w:rPr>
          <w:lang w:val="en-GB"/>
        </w:rPr>
        <w:t> · Hz)) maximum aggregate</w:t>
      </w:r>
      <w:r w:rsidR="009064FE">
        <w:rPr>
          <w:lang w:val="en-GB"/>
        </w:rPr>
        <w:t xml:space="preserve"> acceptable spectral power flux-</w:t>
      </w:r>
      <w:r w:rsidRPr="006357F0">
        <w:rPr>
          <w:lang w:val="en-GB"/>
        </w:rPr>
        <w:t>density</w:t>
      </w:r>
      <w:r w:rsidR="00891F7B" w:rsidRPr="006357F0">
        <w:rPr>
          <w:lang w:val="en-GB"/>
        </w:rPr>
        <w:t xml:space="preserve"> (spfd</w:t>
      </w:r>
      <w:r w:rsidRPr="006357F0">
        <w:rPr>
          <w:lang w:val="en-GB"/>
        </w:rPr>
        <w:t>) at the antenna of a non-GSO MSS ARGOS4 system for</w:t>
      </w:r>
      <w:r w:rsidR="00891F7B" w:rsidRPr="006357F0">
        <w:rPr>
          <w:lang w:val="en-GB"/>
        </w:rPr>
        <w:t xml:space="preserve"> </w:t>
      </w:r>
      <w:r w:rsidRPr="006357F0">
        <w:rPr>
          <w:lang w:val="en-GB"/>
        </w:rPr>
        <w:t>broadband noise interference (see Annex 1);</w:t>
      </w:r>
    </w:p>
    <w:p w:rsidR="00C458D0" w:rsidRPr="006357F0" w:rsidRDefault="00C458D0" w:rsidP="00891F7B">
      <w:pPr>
        <w:pStyle w:val="enumlev1"/>
        <w:rPr>
          <w:lang w:val="en-GB"/>
        </w:rPr>
      </w:pPr>
      <w:r w:rsidRPr="006357F0">
        <w:rPr>
          <w:lang w:val="en-GB"/>
        </w:rPr>
        <w:t>–</w:t>
      </w:r>
      <w:r w:rsidRPr="006357F0">
        <w:rPr>
          <w:lang w:val="en-GB"/>
        </w:rPr>
        <w:tab/>
        <w:t>–165.4 dB(W/m</w:t>
      </w:r>
      <w:r w:rsidRPr="006357F0">
        <w:rPr>
          <w:vertAlign w:val="superscript"/>
          <w:lang w:val="en-GB"/>
        </w:rPr>
        <w:t>2</w:t>
      </w:r>
      <w:r w:rsidRPr="006357F0">
        <w:rPr>
          <w:lang w:val="en-GB"/>
        </w:rPr>
        <w:t>) maximum pfd within a resolution bandwidth of 19 Hz at the antenna of a non-GSO MSS ARGOS4 system for each narrow-band interference (see Annex 1);</w:t>
      </w:r>
    </w:p>
    <w:p w:rsidR="00C458D0" w:rsidRPr="006357F0" w:rsidRDefault="00C458D0" w:rsidP="00C458D0">
      <w:pPr>
        <w:rPr>
          <w:lang w:val="en-GB"/>
        </w:rPr>
      </w:pPr>
      <w:r w:rsidRPr="006357F0">
        <w:rPr>
          <w:b/>
          <w:lang w:val="en-GB"/>
        </w:rPr>
        <w:t>2</w:t>
      </w:r>
      <w:r w:rsidRPr="006357F0">
        <w:rPr>
          <w:lang w:val="en-GB"/>
        </w:rPr>
        <w:tab/>
        <w:t xml:space="preserve">that the protection criteria defined in </w:t>
      </w:r>
      <w:r w:rsidRPr="006357F0">
        <w:rPr>
          <w:i/>
          <w:iCs/>
          <w:lang w:val="en-GB"/>
        </w:rPr>
        <w:t>recommends</w:t>
      </w:r>
      <w:r w:rsidRPr="006357F0">
        <w:rPr>
          <w:lang w:val="en-GB"/>
        </w:rPr>
        <w:t xml:space="preserve"> 1 should not be exceeded for more than 1% of time in the field of view of the MSS satellite.</w:t>
      </w:r>
    </w:p>
    <w:p w:rsidR="00C458D0" w:rsidRPr="006357F0" w:rsidRDefault="00C458D0" w:rsidP="00C458D0">
      <w:pPr>
        <w:rPr>
          <w:lang w:val="en-GB"/>
        </w:rPr>
      </w:pPr>
    </w:p>
    <w:p w:rsidR="00F91B1F" w:rsidRPr="006357F0" w:rsidRDefault="00F91B1F" w:rsidP="00F91B1F">
      <w:pPr>
        <w:pStyle w:val="AppendixNoTitle"/>
        <w:rPr>
          <w:lang w:val="en-GB"/>
        </w:rPr>
      </w:pPr>
      <w:r w:rsidRPr="006357F0">
        <w:rPr>
          <w:lang w:val="en-GB"/>
        </w:rPr>
        <w:br w:type="page"/>
      </w:r>
    </w:p>
    <w:p w:rsidR="00C458D0" w:rsidRPr="006357F0" w:rsidRDefault="00C458D0" w:rsidP="00B36954">
      <w:pPr>
        <w:pStyle w:val="AnnexNoTitle"/>
        <w:rPr>
          <w:lang w:val="en-GB"/>
        </w:rPr>
      </w:pPr>
      <w:r w:rsidRPr="006357F0">
        <w:rPr>
          <w:lang w:val="en-GB"/>
        </w:rPr>
        <w:lastRenderedPageBreak/>
        <w:t>Annex 1</w:t>
      </w:r>
      <w:r w:rsidR="00F91B1F" w:rsidRPr="006357F0">
        <w:rPr>
          <w:lang w:val="en-GB"/>
        </w:rPr>
        <w:br/>
      </w:r>
      <w:r w:rsidR="00F91B1F" w:rsidRPr="006357F0">
        <w:rPr>
          <w:lang w:val="en-GB"/>
        </w:rPr>
        <w:br/>
      </w:r>
      <w:r w:rsidRPr="006357F0">
        <w:rPr>
          <w:lang w:val="en-GB"/>
        </w:rPr>
        <w:t>ARGOS4 system</w:t>
      </w:r>
    </w:p>
    <w:p w:rsidR="00C458D0" w:rsidRPr="006357F0" w:rsidRDefault="00C458D0" w:rsidP="00C458D0">
      <w:pPr>
        <w:pStyle w:val="Heading1"/>
        <w:rPr>
          <w:lang w:val="en-GB"/>
        </w:rPr>
      </w:pPr>
      <w:r w:rsidRPr="006357F0">
        <w:rPr>
          <w:lang w:val="en-GB"/>
        </w:rPr>
        <w:t>1</w:t>
      </w:r>
      <w:r w:rsidRPr="006357F0">
        <w:rPr>
          <w:lang w:val="en-GB"/>
        </w:rPr>
        <w:tab/>
        <w:t>Description and characteristics of the MSS system ARGOS4</w:t>
      </w:r>
    </w:p>
    <w:p w:rsidR="00C458D0" w:rsidRPr="006357F0" w:rsidRDefault="00C458D0" w:rsidP="008332A9">
      <w:pPr>
        <w:rPr>
          <w:lang w:val="en-GB"/>
        </w:rPr>
      </w:pPr>
      <w:r w:rsidRPr="006357F0">
        <w:rPr>
          <w:lang w:val="en-GB"/>
        </w:rPr>
        <w:t>The ARGOS data collection system (DCS) uses the band 399.9-400.05 MHz for the uplink and transmits split-phase, Manchester-encoded, phase-shift keyed (PSK) signals through satellites in low-Earth orbit. It operates at a 400 bit/s data transmission rate. The data collection platform (DCP) typically uses a</w:t>
      </w:r>
      <w:r w:rsidR="008332A9">
        <w:rPr>
          <w:lang w:val="en-GB"/>
        </w:rPr>
        <w:t xml:space="preserve"> </w:t>
      </w:r>
      <w:r w:rsidRPr="006357F0">
        <w:rPr>
          <w:lang w:val="en-GB"/>
        </w:rPr>
        <w:t xml:space="preserve">low-gain (3 dBi maximum at 40° elevation angle) antenna. </w:t>
      </w:r>
    </w:p>
    <w:p w:rsidR="00C458D0" w:rsidRPr="006357F0" w:rsidRDefault="00C458D0" w:rsidP="00C458D0">
      <w:pPr>
        <w:rPr>
          <w:lang w:val="en-GB"/>
        </w:rPr>
      </w:pPr>
      <w:r w:rsidRPr="006357F0">
        <w:rPr>
          <w:lang w:val="en-GB"/>
        </w:rPr>
        <w:t>The satellite DCS processor demodulates the uplink DCS data, multiplexes the data with other mission telemetry, and transmits the corresponding digital data to the ground in the 1 670</w:t>
      </w:r>
      <w:r w:rsidRPr="006357F0">
        <w:rPr>
          <w:lang w:val="en-GB"/>
        </w:rPr>
        <w:noBreakHyphen/>
        <w:t>1 710 MHz, 7 750-7 850 MHz and 8 025-8 400 MHz bands. Moreover</w:t>
      </w:r>
      <w:r w:rsidR="009064FE">
        <w:rPr>
          <w:lang w:val="en-GB"/>
        </w:rPr>
        <w:t>,</w:t>
      </w:r>
      <w:r w:rsidRPr="006357F0">
        <w:rPr>
          <w:lang w:val="en-GB"/>
        </w:rPr>
        <w:t xml:space="preserve"> one downlink at 465.9875 MHz is implemented in order to send dedicated messages towards the DCPs.</w:t>
      </w:r>
    </w:p>
    <w:p w:rsidR="00C458D0" w:rsidRPr="006357F0" w:rsidRDefault="00C458D0" w:rsidP="00C458D0">
      <w:pPr>
        <w:rPr>
          <w:lang w:val="en-GB"/>
        </w:rPr>
      </w:pPr>
      <w:r w:rsidRPr="006357F0">
        <w:rPr>
          <w:lang w:val="en-GB"/>
        </w:rPr>
        <w:t>Because of the DCS data demodulation in the satellite, downlink performance can be separated from uplink performance when conducting performance analysis.</w:t>
      </w:r>
    </w:p>
    <w:p w:rsidR="00C458D0" w:rsidRPr="006357F0" w:rsidRDefault="00C458D0" w:rsidP="00C458D0">
      <w:pPr>
        <w:rPr>
          <w:lang w:val="en-GB"/>
        </w:rPr>
      </w:pPr>
      <w:r w:rsidRPr="006357F0">
        <w:rPr>
          <w:lang w:val="en-GB"/>
        </w:rPr>
        <w:t>The system Argos supports different kind of users applications with various DCPs using different output power and different types of antennas (whip antenna most of the time); under these conditions, the power received from one DCP will differ from that received from another since it depends on the environment and the type of antenna technology which is actually implemented on the platform.</w:t>
      </w:r>
    </w:p>
    <w:p w:rsidR="00C458D0" w:rsidRPr="006357F0" w:rsidRDefault="00C458D0" w:rsidP="008332A9">
      <w:pPr>
        <w:pStyle w:val="Heading1"/>
        <w:rPr>
          <w:lang w:val="en-GB"/>
        </w:rPr>
      </w:pPr>
      <w:r w:rsidRPr="006357F0">
        <w:rPr>
          <w:lang w:val="en-GB"/>
        </w:rPr>
        <w:t>2</w:t>
      </w:r>
      <w:r w:rsidRPr="006357F0">
        <w:rPr>
          <w:lang w:val="en-GB"/>
        </w:rPr>
        <w:tab/>
        <w:t>Protection criteria for the ARGOS4 non-GSO MSS system in the band 399.9</w:t>
      </w:r>
      <w:r w:rsidR="008332A9">
        <w:rPr>
          <w:lang w:val="en-GB"/>
        </w:rPr>
        <w:noBreakHyphen/>
      </w:r>
      <w:r w:rsidRPr="006357F0">
        <w:rPr>
          <w:lang w:val="en-GB"/>
        </w:rPr>
        <w:t>400.05 MHz against broadband noise interference emissions</w:t>
      </w:r>
    </w:p>
    <w:p w:rsidR="00C458D0" w:rsidRPr="006357F0" w:rsidRDefault="00C458D0" w:rsidP="00C458D0">
      <w:pPr>
        <w:pStyle w:val="Heading2"/>
        <w:rPr>
          <w:lang w:val="en-GB"/>
        </w:rPr>
      </w:pPr>
      <w:r w:rsidRPr="006357F0">
        <w:rPr>
          <w:lang w:val="en-GB"/>
        </w:rPr>
        <w:t>2.1</w:t>
      </w:r>
      <w:r w:rsidRPr="006357F0">
        <w:rPr>
          <w:lang w:val="en-GB"/>
        </w:rPr>
        <w:tab/>
        <w:t>Calculation of the spfd threshold level of interference</w:t>
      </w:r>
    </w:p>
    <w:p w:rsidR="00C458D0" w:rsidRPr="006357F0" w:rsidRDefault="00C458D0" w:rsidP="00C458D0">
      <w:pPr>
        <w:rPr>
          <w:lang w:val="en-GB"/>
        </w:rPr>
      </w:pPr>
      <w:r w:rsidRPr="006357F0">
        <w:rPr>
          <w:lang w:val="en-GB"/>
        </w:rPr>
        <w:t>The addition of broadband noise to the ARGOS4 receiver on board the satellite will have the effect of increasing the system bit-error ratio (BER), and therefore adversely affect its performance requirement. This analysis identifies the maximum acceptable pfd associated with broadband noise in the MSS ARGOS4 uplink channel.</w:t>
      </w:r>
    </w:p>
    <w:p w:rsidR="00C458D0" w:rsidRPr="006357F0" w:rsidRDefault="00C458D0" w:rsidP="00C458D0">
      <w:pPr>
        <w:rPr>
          <w:lang w:val="en-GB"/>
        </w:rPr>
      </w:pPr>
      <w:r w:rsidRPr="006357F0">
        <w:rPr>
          <w:lang w:val="en-GB"/>
        </w:rPr>
        <w:t>The receive antenna gain pattern specification is expressed according to the nadir angle in Table 1:</w:t>
      </w:r>
    </w:p>
    <w:p w:rsidR="00C458D0" w:rsidRPr="006357F0" w:rsidRDefault="00C458D0" w:rsidP="00C458D0">
      <w:pPr>
        <w:pStyle w:val="TableNo"/>
        <w:rPr>
          <w:lang w:val="en-GB"/>
        </w:rPr>
      </w:pPr>
      <w:r w:rsidRPr="006357F0">
        <w:rPr>
          <w:lang w:val="en-GB"/>
        </w:rPr>
        <w:t>TABLE 1</w:t>
      </w:r>
    </w:p>
    <w:p w:rsidR="00C458D0" w:rsidRPr="006357F0" w:rsidRDefault="00C458D0" w:rsidP="00C458D0">
      <w:pPr>
        <w:pStyle w:val="Tabletitle"/>
        <w:rPr>
          <w:lang w:val="en-GB"/>
        </w:rPr>
      </w:pPr>
      <w:r w:rsidRPr="006357F0">
        <w:rPr>
          <w:lang w:val="en-GB"/>
        </w:rPr>
        <w:t>Receive antenna gain pattern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5"/>
        <w:gridCol w:w="816"/>
        <w:gridCol w:w="772"/>
        <w:gridCol w:w="729"/>
        <w:gridCol w:w="772"/>
        <w:gridCol w:w="815"/>
        <w:gridCol w:w="914"/>
        <w:gridCol w:w="887"/>
        <w:gridCol w:w="915"/>
        <w:gridCol w:w="872"/>
        <w:gridCol w:w="872"/>
      </w:tblGrid>
      <w:tr w:rsidR="00C458D0" w:rsidRPr="006357F0" w:rsidTr="00AB676C">
        <w:trPr>
          <w:jc w:val="center"/>
        </w:trPr>
        <w:tc>
          <w:tcPr>
            <w:tcW w:w="1275" w:type="dxa"/>
          </w:tcPr>
          <w:p w:rsidR="00C458D0" w:rsidRPr="00AB676C" w:rsidRDefault="00C458D0" w:rsidP="00F91B1F">
            <w:pPr>
              <w:pStyle w:val="Tabletext"/>
              <w:jc w:val="left"/>
              <w:rPr>
                <w:noProof/>
                <w:sz w:val="18"/>
                <w:szCs w:val="18"/>
                <w:lang w:val="en-GB"/>
              </w:rPr>
            </w:pPr>
            <w:r w:rsidRPr="00AB676C">
              <w:rPr>
                <w:noProof/>
                <w:sz w:val="18"/>
                <w:szCs w:val="18"/>
                <w:lang w:val="en-GB"/>
              </w:rPr>
              <w:t>Nadir satellite angle</w:t>
            </w:r>
          </w:p>
        </w:tc>
        <w:tc>
          <w:tcPr>
            <w:tcW w:w="816"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62</w:t>
            </w:r>
          </w:p>
        </w:tc>
        <w:tc>
          <w:tcPr>
            <w:tcW w:w="772"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59</w:t>
            </w:r>
          </w:p>
        </w:tc>
        <w:tc>
          <w:tcPr>
            <w:tcW w:w="729"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54</w:t>
            </w:r>
          </w:p>
        </w:tc>
        <w:tc>
          <w:tcPr>
            <w:tcW w:w="772"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47</w:t>
            </w:r>
          </w:p>
        </w:tc>
        <w:tc>
          <w:tcPr>
            <w:tcW w:w="815"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39</w:t>
            </w:r>
          </w:p>
        </w:tc>
        <w:tc>
          <w:tcPr>
            <w:tcW w:w="914"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31</w:t>
            </w:r>
          </w:p>
        </w:tc>
        <w:tc>
          <w:tcPr>
            <w:tcW w:w="887"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22</w:t>
            </w:r>
          </w:p>
        </w:tc>
        <w:tc>
          <w:tcPr>
            <w:tcW w:w="915"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13</w:t>
            </w:r>
          </w:p>
        </w:tc>
        <w:tc>
          <w:tcPr>
            <w:tcW w:w="872"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5</w:t>
            </w:r>
          </w:p>
        </w:tc>
        <w:tc>
          <w:tcPr>
            <w:tcW w:w="872" w:type="dxa"/>
            <w:vAlign w:val="center"/>
          </w:tcPr>
          <w:p w:rsidR="00C458D0" w:rsidRPr="00AB676C" w:rsidRDefault="00C458D0" w:rsidP="00D26FED">
            <w:pPr>
              <w:pStyle w:val="Tabletext"/>
              <w:jc w:val="center"/>
              <w:rPr>
                <w:noProof/>
                <w:sz w:val="18"/>
                <w:szCs w:val="18"/>
                <w:lang w:val="en-GB"/>
              </w:rPr>
            </w:pPr>
            <w:r w:rsidRPr="00AB676C">
              <w:rPr>
                <w:noProof/>
                <w:sz w:val="18"/>
                <w:szCs w:val="18"/>
                <w:lang w:val="en-GB"/>
              </w:rPr>
              <w:t>0</w:t>
            </w:r>
          </w:p>
        </w:tc>
      </w:tr>
      <w:tr w:rsidR="00C458D0" w:rsidRPr="006357F0" w:rsidTr="00AB676C">
        <w:trPr>
          <w:jc w:val="center"/>
        </w:trPr>
        <w:tc>
          <w:tcPr>
            <w:tcW w:w="1275" w:type="dxa"/>
          </w:tcPr>
          <w:p w:rsidR="00C458D0" w:rsidRPr="00AB676C" w:rsidRDefault="00C458D0" w:rsidP="00F91B1F">
            <w:pPr>
              <w:pStyle w:val="Tabletext"/>
              <w:jc w:val="left"/>
              <w:rPr>
                <w:noProof/>
                <w:sz w:val="18"/>
                <w:szCs w:val="18"/>
                <w:lang w:val="en-GB"/>
              </w:rPr>
            </w:pPr>
            <w:r w:rsidRPr="00AB676C">
              <w:rPr>
                <w:noProof/>
                <w:sz w:val="18"/>
                <w:szCs w:val="18"/>
                <w:lang w:val="en-GB"/>
              </w:rPr>
              <w:t>Gain in RHCP</w:t>
            </w:r>
          </w:p>
        </w:tc>
        <w:tc>
          <w:tcPr>
            <w:tcW w:w="816" w:type="dxa"/>
          </w:tcPr>
          <w:p w:rsidR="00C458D0" w:rsidRPr="00AB676C" w:rsidRDefault="00EB385C"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r>
            <w:r w:rsidR="00C458D0" w:rsidRPr="00AB676C">
              <w:rPr>
                <w:noProof/>
                <w:sz w:val="18"/>
                <w:szCs w:val="18"/>
                <w:lang w:val="en-GB"/>
              </w:rPr>
              <w:t>3.85</w:t>
            </w:r>
          </w:p>
        </w:tc>
        <w:tc>
          <w:tcPr>
            <w:tcW w:w="772"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3.54</w:t>
            </w:r>
          </w:p>
        </w:tc>
        <w:tc>
          <w:tcPr>
            <w:tcW w:w="729"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2.62</w:t>
            </w:r>
          </w:p>
        </w:tc>
        <w:tc>
          <w:tcPr>
            <w:tcW w:w="772"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1.24</w:t>
            </w:r>
          </w:p>
        </w:tc>
        <w:tc>
          <w:tcPr>
            <w:tcW w:w="815" w:type="dxa"/>
          </w:tcPr>
          <w:p w:rsidR="00C458D0" w:rsidRPr="00AB676C" w:rsidRDefault="00EB385C"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r>
            <w:r w:rsidR="00C458D0" w:rsidRPr="00AB676C">
              <w:rPr>
                <w:noProof/>
                <w:sz w:val="18"/>
                <w:szCs w:val="18"/>
                <w:lang w:val="en-GB"/>
              </w:rPr>
              <w:t>–0.17</w:t>
            </w:r>
          </w:p>
        </w:tc>
        <w:tc>
          <w:tcPr>
            <w:tcW w:w="914"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–1.33</w:t>
            </w:r>
          </w:p>
        </w:tc>
        <w:tc>
          <w:tcPr>
            <w:tcW w:w="887"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–2.24</w:t>
            </w:r>
          </w:p>
        </w:tc>
        <w:tc>
          <w:tcPr>
            <w:tcW w:w="915"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–3.08</w:t>
            </w:r>
          </w:p>
        </w:tc>
        <w:tc>
          <w:tcPr>
            <w:tcW w:w="872"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–3.80</w:t>
            </w:r>
          </w:p>
        </w:tc>
        <w:tc>
          <w:tcPr>
            <w:tcW w:w="872"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–3.96</w:t>
            </w:r>
          </w:p>
        </w:tc>
      </w:tr>
      <w:tr w:rsidR="00C458D0" w:rsidRPr="006357F0" w:rsidTr="00AB676C">
        <w:trPr>
          <w:jc w:val="center"/>
        </w:trPr>
        <w:tc>
          <w:tcPr>
            <w:tcW w:w="1275" w:type="dxa"/>
          </w:tcPr>
          <w:p w:rsidR="00C458D0" w:rsidRPr="00AB676C" w:rsidRDefault="00C458D0" w:rsidP="00F91B1F">
            <w:pPr>
              <w:pStyle w:val="Tabletext"/>
              <w:jc w:val="left"/>
              <w:rPr>
                <w:noProof/>
                <w:sz w:val="18"/>
                <w:szCs w:val="18"/>
                <w:lang w:val="en-GB"/>
              </w:rPr>
            </w:pPr>
            <w:r w:rsidRPr="00AB676C">
              <w:rPr>
                <w:noProof/>
                <w:sz w:val="18"/>
                <w:szCs w:val="18"/>
                <w:lang w:val="en-GB"/>
              </w:rPr>
              <w:t>Gain in LHCP</w:t>
            </w:r>
          </w:p>
        </w:tc>
        <w:tc>
          <w:tcPr>
            <w:tcW w:w="816"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–5.69</w:t>
            </w:r>
          </w:p>
        </w:tc>
        <w:tc>
          <w:tcPr>
            <w:tcW w:w="772"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–6.23</w:t>
            </w:r>
          </w:p>
        </w:tc>
        <w:tc>
          <w:tcPr>
            <w:tcW w:w="729"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–7.52</w:t>
            </w:r>
          </w:p>
        </w:tc>
        <w:tc>
          <w:tcPr>
            <w:tcW w:w="772"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–9.39</w:t>
            </w:r>
          </w:p>
        </w:tc>
        <w:tc>
          <w:tcPr>
            <w:tcW w:w="815"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–11.39</w:t>
            </w:r>
          </w:p>
        </w:tc>
        <w:tc>
          <w:tcPr>
            <w:tcW w:w="914"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–13.12</w:t>
            </w:r>
          </w:p>
        </w:tc>
        <w:tc>
          <w:tcPr>
            <w:tcW w:w="887"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–14.52</w:t>
            </w:r>
          </w:p>
        </w:tc>
        <w:tc>
          <w:tcPr>
            <w:tcW w:w="915" w:type="dxa"/>
          </w:tcPr>
          <w:p w:rsidR="00C458D0" w:rsidRPr="00AB676C" w:rsidRDefault="009064FE"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r>
            <w:r w:rsidR="00C458D0" w:rsidRPr="00AB676C">
              <w:rPr>
                <w:noProof/>
                <w:sz w:val="18"/>
                <w:szCs w:val="18"/>
                <w:lang w:val="en-GB"/>
              </w:rPr>
              <w:t>–15.77</w:t>
            </w:r>
          </w:p>
        </w:tc>
        <w:tc>
          <w:tcPr>
            <w:tcW w:w="872"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–17.17</w:t>
            </w:r>
          </w:p>
        </w:tc>
        <w:tc>
          <w:tcPr>
            <w:tcW w:w="872" w:type="dxa"/>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–18.00</w:t>
            </w:r>
          </w:p>
        </w:tc>
      </w:tr>
      <w:tr w:rsidR="00C458D0" w:rsidRPr="006357F0" w:rsidTr="00AB676C">
        <w:trPr>
          <w:jc w:val="center"/>
        </w:trPr>
        <w:tc>
          <w:tcPr>
            <w:tcW w:w="1275" w:type="dxa"/>
            <w:tcBorders>
              <w:bottom w:val="single" w:sz="6" w:space="0" w:color="000000"/>
            </w:tcBorders>
          </w:tcPr>
          <w:p w:rsidR="00C458D0" w:rsidRPr="00AB676C" w:rsidRDefault="00C458D0" w:rsidP="00AB676C">
            <w:pPr>
              <w:pStyle w:val="Tabletext"/>
              <w:jc w:val="left"/>
              <w:rPr>
                <w:noProof/>
                <w:sz w:val="18"/>
                <w:szCs w:val="18"/>
                <w:lang w:val="en-GB"/>
              </w:rPr>
            </w:pPr>
            <w:r w:rsidRPr="00AB676C">
              <w:rPr>
                <w:noProof/>
                <w:sz w:val="18"/>
                <w:szCs w:val="18"/>
                <w:lang w:val="en-GB"/>
              </w:rPr>
              <w:t>Axial ratio</w:t>
            </w:r>
            <w:r w:rsidR="00AB676C" w:rsidRPr="00AB676C">
              <w:rPr>
                <w:noProof/>
                <w:sz w:val="18"/>
                <w:szCs w:val="18"/>
                <w:lang w:val="en-GB"/>
              </w:rPr>
              <w:t xml:space="preserve"> </w:t>
            </w:r>
            <w:r w:rsidR="00AB676C" w:rsidRPr="00AB676C">
              <w:rPr>
                <w:noProof/>
                <w:sz w:val="18"/>
                <w:szCs w:val="18"/>
              </w:rPr>
              <w:t>(see Note 1)</w:t>
            </w:r>
          </w:p>
        </w:tc>
        <w:tc>
          <w:tcPr>
            <w:tcW w:w="816"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6.02</w:t>
            </w:r>
          </w:p>
        </w:tc>
        <w:tc>
          <w:tcPr>
            <w:tcW w:w="772"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5.85</w:t>
            </w:r>
          </w:p>
        </w:tc>
        <w:tc>
          <w:tcPr>
            <w:tcW w:w="729"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5.59</w:t>
            </w:r>
          </w:p>
        </w:tc>
        <w:tc>
          <w:tcPr>
            <w:tcW w:w="772"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5.26</w:t>
            </w:r>
          </w:p>
        </w:tc>
        <w:tc>
          <w:tcPr>
            <w:tcW w:w="815"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4.90</w:t>
            </w:r>
          </w:p>
        </w:tc>
        <w:tc>
          <w:tcPr>
            <w:tcW w:w="914"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4.57</w:t>
            </w:r>
          </w:p>
        </w:tc>
        <w:tc>
          <w:tcPr>
            <w:tcW w:w="887"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4.31</w:t>
            </w:r>
          </w:p>
        </w:tc>
        <w:tc>
          <w:tcPr>
            <w:tcW w:w="915"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4.11</w:t>
            </w:r>
          </w:p>
        </w:tc>
        <w:tc>
          <w:tcPr>
            <w:tcW w:w="872"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3.78</w:t>
            </w:r>
          </w:p>
        </w:tc>
        <w:tc>
          <w:tcPr>
            <w:tcW w:w="872" w:type="dxa"/>
            <w:tcBorders>
              <w:bottom w:val="single" w:sz="6" w:space="0" w:color="000000"/>
            </w:tcBorders>
          </w:tcPr>
          <w:p w:rsidR="00C458D0" w:rsidRPr="00AB676C" w:rsidRDefault="00C458D0"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3.49</w:t>
            </w:r>
          </w:p>
        </w:tc>
      </w:tr>
      <w:tr w:rsidR="00AB676C" w:rsidRPr="00AB676C" w:rsidTr="00AB676C">
        <w:trPr>
          <w:jc w:val="center"/>
        </w:trPr>
        <w:tc>
          <w:tcPr>
            <w:tcW w:w="9639" w:type="dxa"/>
            <w:gridSpan w:val="11"/>
            <w:tcBorders>
              <w:left w:val="nil"/>
              <w:bottom w:val="nil"/>
              <w:right w:val="nil"/>
            </w:tcBorders>
          </w:tcPr>
          <w:p w:rsidR="00AB676C" w:rsidRPr="00AB676C" w:rsidRDefault="00AB676C" w:rsidP="00EB38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sz w:val="18"/>
                <w:szCs w:val="18"/>
                <w:lang w:val="en-US"/>
              </w:rPr>
              <w:t xml:space="preserve">NOTE 1 – The axial ratio is the ratio </w:t>
            </w:r>
            <w:r w:rsidRPr="00AB676C">
              <w:rPr>
                <w:sz w:val="18"/>
                <w:szCs w:val="18"/>
                <w:lang w:val="en"/>
              </w:rPr>
              <w:t>of the lengths of the major and minor axes of the polarization ellipse</w:t>
            </w:r>
            <w:r w:rsidRPr="00AB676C">
              <w:rPr>
                <w:sz w:val="18"/>
                <w:szCs w:val="18"/>
                <w:lang w:val="en-US"/>
              </w:rPr>
              <w:t>.</w:t>
            </w:r>
          </w:p>
        </w:tc>
      </w:tr>
    </w:tbl>
    <w:p w:rsidR="00F91B1F" w:rsidRPr="006357F0" w:rsidRDefault="00F91B1F" w:rsidP="00F91B1F">
      <w:pPr>
        <w:pStyle w:val="Tablefin"/>
      </w:pPr>
    </w:p>
    <w:p w:rsidR="00C458D0" w:rsidRPr="006357F0" w:rsidRDefault="00C458D0" w:rsidP="00891F7B">
      <w:pPr>
        <w:rPr>
          <w:lang w:val="en-GB"/>
        </w:rPr>
      </w:pPr>
      <w:r w:rsidRPr="006357F0">
        <w:rPr>
          <w:lang w:val="en-GB"/>
        </w:rPr>
        <w:t xml:space="preserve">The ARGOS4 typical figures are: noise figure </w:t>
      </w:r>
      <w:r w:rsidR="00BB4560" w:rsidRPr="006357F0">
        <w:rPr>
          <w:lang w:val="en-GB"/>
        </w:rPr>
        <w:t>=</w:t>
      </w:r>
      <w:r w:rsidR="009064FE">
        <w:rPr>
          <w:lang w:val="en-GB"/>
        </w:rPr>
        <w:t xml:space="preserve"> 3 dB, worst-</w:t>
      </w:r>
      <w:r w:rsidRPr="006357F0">
        <w:rPr>
          <w:lang w:val="en-GB"/>
        </w:rPr>
        <w:t xml:space="preserve">case background noise temperature </w:t>
      </w:r>
      <w:r w:rsidR="00BB4560" w:rsidRPr="006357F0">
        <w:rPr>
          <w:lang w:val="en-GB"/>
        </w:rPr>
        <w:t>=</w:t>
      </w:r>
      <w:r w:rsidRPr="006357F0">
        <w:rPr>
          <w:lang w:val="en-GB"/>
        </w:rPr>
        <w:t xml:space="preserve"> 1</w:t>
      </w:r>
      <w:r w:rsidRPr="006357F0">
        <w:rPr>
          <w:rFonts w:ascii="Tms Rmn" w:hAnsi="Tms Rmn"/>
          <w:sz w:val="12"/>
          <w:lang w:val="en-GB"/>
        </w:rPr>
        <w:t> </w:t>
      </w:r>
      <w:r w:rsidRPr="006357F0">
        <w:rPr>
          <w:lang w:val="en-GB"/>
        </w:rPr>
        <w:t xml:space="preserve">200 K (measured value taking into account the industrial noise in Europe), attenuation between the antenna and the ARGOS4 receiver </w:t>
      </w:r>
      <w:r w:rsidR="00BB4560" w:rsidRPr="006357F0">
        <w:rPr>
          <w:lang w:val="en-GB"/>
        </w:rPr>
        <w:t>=</w:t>
      </w:r>
      <w:r w:rsidRPr="006357F0">
        <w:rPr>
          <w:lang w:val="en-GB"/>
        </w:rPr>
        <w:t xml:space="preserve"> 1.6 dB. Thus, the system noise temperature at the input of </w:t>
      </w:r>
      <w:r w:rsidRPr="006357F0">
        <w:rPr>
          <w:lang w:val="en-GB"/>
        </w:rPr>
        <w:lastRenderedPageBreak/>
        <w:t>the ARGOS4 receiver equals 1</w:t>
      </w:r>
      <w:r w:rsidRPr="006357F0">
        <w:rPr>
          <w:rFonts w:ascii="Tms Rmn" w:hAnsi="Tms Rmn"/>
          <w:sz w:val="12"/>
          <w:lang w:val="en-GB"/>
        </w:rPr>
        <w:t> </w:t>
      </w:r>
      <w:r w:rsidRPr="006357F0">
        <w:rPr>
          <w:lang w:val="en-GB"/>
        </w:rPr>
        <w:t xml:space="preserve">214 K and therefore, the noise spectral density equals </w:t>
      </w:r>
      <w:r w:rsidR="00891F7B" w:rsidRPr="006357F0">
        <w:rPr>
          <w:lang w:val="en-GB"/>
        </w:rPr>
        <w:br/>
      </w:r>
      <w:r w:rsidRPr="006357F0">
        <w:rPr>
          <w:i/>
          <w:iCs/>
          <w:lang w:val="en-GB"/>
        </w:rPr>
        <w:t>N</w:t>
      </w:r>
      <w:r w:rsidRPr="009064FE">
        <w:rPr>
          <w:vertAlign w:val="subscript"/>
          <w:lang w:val="en-US"/>
        </w:rPr>
        <w:t>0</w:t>
      </w:r>
      <w:r w:rsidRPr="006357F0">
        <w:rPr>
          <w:lang w:val="en-GB"/>
        </w:rPr>
        <w:t> </w:t>
      </w:r>
      <w:r w:rsidR="00BB4560" w:rsidRPr="006357F0">
        <w:rPr>
          <w:lang w:val="en-GB"/>
        </w:rPr>
        <w:t>=</w:t>
      </w:r>
      <w:r w:rsidR="00891F7B" w:rsidRPr="006357F0">
        <w:rPr>
          <w:lang w:val="en-GB"/>
        </w:rPr>
        <w:t> </w:t>
      </w:r>
      <w:r w:rsidR="00BB4560" w:rsidRPr="006357F0">
        <w:rPr>
          <w:lang w:val="en-GB"/>
        </w:rPr>
        <w:t>–</w:t>
      </w:r>
      <w:r w:rsidRPr="006357F0">
        <w:rPr>
          <w:lang w:val="en-GB"/>
        </w:rPr>
        <w:t>197.8 dB(W/Hz).</w:t>
      </w:r>
    </w:p>
    <w:p w:rsidR="00C458D0" w:rsidRPr="006357F0" w:rsidRDefault="00C458D0" w:rsidP="00BB4560">
      <w:pPr>
        <w:rPr>
          <w:lang w:val="en-GB"/>
        </w:rPr>
      </w:pPr>
      <w:r w:rsidRPr="006357F0">
        <w:rPr>
          <w:lang w:val="en-GB"/>
        </w:rPr>
        <w:t xml:space="preserve">The worst-case specification states that the ARGOS4 is designed to operate correctly when the received signal has a power </w:t>
      </w:r>
      <w:r w:rsidRPr="006357F0">
        <w:rPr>
          <w:i/>
          <w:iCs/>
          <w:lang w:val="en-GB"/>
        </w:rPr>
        <w:t>C</w:t>
      </w:r>
      <w:r w:rsidRPr="006357F0">
        <w:rPr>
          <w:lang w:val="en-GB"/>
        </w:rPr>
        <w:t> </w:t>
      </w:r>
      <w:r w:rsidR="00BB4560" w:rsidRPr="006357F0">
        <w:rPr>
          <w:lang w:val="en-GB"/>
        </w:rPr>
        <w:t>=</w:t>
      </w:r>
      <w:r w:rsidRPr="006357F0">
        <w:rPr>
          <w:lang w:val="en-GB"/>
        </w:rPr>
        <w:t> </w:t>
      </w:r>
      <w:r w:rsidR="00BB4560" w:rsidRPr="006357F0">
        <w:rPr>
          <w:lang w:val="en-GB"/>
        </w:rPr>
        <w:t>–</w:t>
      </w:r>
      <w:r w:rsidRPr="006357F0">
        <w:rPr>
          <w:lang w:val="en-GB"/>
        </w:rPr>
        <w:t xml:space="preserve">160 dBW (minimum level of the received signal) at the input of the receiver, which provides an effective </w:t>
      </w:r>
      <w:r w:rsidRPr="006357F0">
        <w:rPr>
          <w:i/>
          <w:iCs/>
          <w:lang w:val="en-GB"/>
        </w:rPr>
        <w:t>E</w:t>
      </w:r>
      <w:r w:rsidRPr="006357F0">
        <w:rPr>
          <w:i/>
          <w:iCs/>
          <w:vertAlign w:val="subscript"/>
          <w:lang w:val="en-GB"/>
        </w:rPr>
        <w:t>b</w:t>
      </w:r>
      <w:r w:rsidRPr="006357F0">
        <w:rPr>
          <w:lang w:val="en-GB"/>
        </w:rPr>
        <w:t>/</w:t>
      </w:r>
      <w:r w:rsidRPr="006357F0">
        <w:rPr>
          <w:i/>
          <w:iCs/>
          <w:lang w:val="en-GB"/>
        </w:rPr>
        <w:t>N</w:t>
      </w:r>
      <w:r w:rsidRPr="006357F0">
        <w:rPr>
          <w:vertAlign w:val="subscript"/>
          <w:lang w:val="en-GB"/>
        </w:rPr>
        <w:t>0</w:t>
      </w:r>
      <w:r w:rsidRPr="006357F0">
        <w:rPr>
          <w:lang w:val="en-GB"/>
        </w:rPr>
        <w:t> </w:t>
      </w:r>
      <w:r w:rsidR="00BB4560" w:rsidRPr="006357F0">
        <w:rPr>
          <w:lang w:val="en-GB"/>
        </w:rPr>
        <w:t>=</w:t>
      </w:r>
      <w:r w:rsidRPr="006357F0">
        <w:rPr>
          <w:lang w:val="en-GB"/>
        </w:rPr>
        <w:t> 8.3 dB in the bit detector of the ARGOS if we take into account the beacon waveform and the various losses.</w:t>
      </w:r>
    </w:p>
    <w:p w:rsidR="00C458D0" w:rsidRPr="006357F0" w:rsidRDefault="00C458D0" w:rsidP="00BB4560">
      <w:pPr>
        <w:rPr>
          <w:lang w:val="en-GB"/>
        </w:rPr>
      </w:pPr>
      <w:r w:rsidRPr="006357F0">
        <w:rPr>
          <w:lang w:val="en-GB"/>
        </w:rPr>
        <w:t>Therefore, in order to achieve a BER of 2 </w:t>
      </w:r>
      <w:r w:rsidR="00BB4560" w:rsidRPr="006357F0">
        <w:rPr>
          <w:lang w:val="en-GB"/>
        </w:rPr>
        <w:sym w:font="Symbol" w:char="F0B4"/>
      </w:r>
      <w:r w:rsidRPr="006357F0">
        <w:rPr>
          <w:lang w:val="en-GB"/>
        </w:rPr>
        <w:t> 10</w:t>
      </w:r>
      <w:r w:rsidRPr="006357F0">
        <w:rPr>
          <w:vertAlign w:val="superscript"/>
          <w:lang w:val="en-GB"/>
        </w:rPr>
        <w:t>–4</w:t>
      </w:r>
      <w:r w:rsidRPr="006357F0">
        <w:rPr>
          <w:lang w:val="en-GB"/>
        </w:rPr>
        <w:t xml:space="preserve"> that corresponds to a minimum </w:t>
      </w:r>
      <w:r w:rsidRPr="006357F0">
        <w:rPr>
          <w:i/>
          <w:iCs/>
          <w:lang w:val="en-GB"/>
        </w:rPr>
        <w:t>E</w:t>
      </w:r>
      <w:r w:rsidRPr="006357F0">
        <w:rPr>
          <w:i/>
          <w:iCs/>
          <w:vertAlign w:val="subscript"/>
          <w:lang w:val="en-GB"/>
        </w:rPr>
        <w:t>b</w:t>
      </w:r>
      <w:r w:rsidRPr="006357F0">
        <w:rPr>
          <w:lang w:val="en-GB"/>
        </w:rPr>
        <w:t>/</w:t>
      </w:r>
      <w:r w:rsidRPr="006357F0">
        <w:rPr>
          <w:i/>
          <w:iCs/>
          <w:lang w:val="en-GB"/>
        </w:rPr>
        <w:t>N</w:t>
      </w:r>
      <w:r w:rsidRPr="006357F0">
        <w:rPr>
          <w:vertAlign w:val="subscript"/>
          <w:lang w:val="en-GB"/>
        </w:rPr>
        <w:t>0</w:t>
      </w:r>
      <w:r w:rsidR="00BB4560" w:rsidRPr="006357F0">
        <w:rPr>
          <w:lang w:val="en-GB"/>
        </w:rPr>
        <w:t xml:space="preserve"> </w:t>
      </w:r>
      <w:r w:rsidRPr="006357F0">
        <w:rPr>
          <w:lang w:val="en-GB"/>
        </w:rPr>
        <w:t>of 8 dB, the</w:t>
      </w:r>
      <w:r w:rsidR="00BB4560" w:rsidRPr="006357F0">
        <w:rPr>
          <w:lang w:val="en-GB"/>
        </w:rPr>
        <w:t xml:space="preserve"> </w:t>
      </w:r>
      <w:r w:rsidRPr="006357F0">
        <w:rPr>
          <w:lang w:val="en-GB"/>
        </w:rPr>
        <w:t>maximum acceptable degradation is 0.3 dB.</w:t>
      </w:r>
    </w:p>
    <w:p w:rsidR="00C458D0" w:rsidRPr="006357F0" w:rsidRDefault="00C458D0" w:rsidP="00891F7B">
      <w:pPr>
        <w:rPr>
          <w:lang w:val="en-GB"/>
        </w:rPr>
      </w:pPr>
      <w:r w:rsidRPr="006357F0">
        <w:rPr>
          <w:lang w:val="en-GB"/>
        </w:rPr>
        <w:t xml:space="preserve">Hereunder, the additive noise corresponding to the 0.3 dB degradation for the </w:t>
      </w:r>
      <w:r w:rsidRPr="006357F0">
        <w:rPr>
          <w:i/>
          <w:iCs/>
          <w:lang w:val="en-GB"/>
        </w:rPr>
        <w:t>C</w:t>
      </w:r>
      <w:r w:rsidRPr="006357F0">
        <w:rPr>
          <w:lang w:val="en-GB"/>
        </w:rPr>
        <w:t>/</w:t>
      </w:r>
      <w:r w:rsidRPr="006357F0">
        <w:rPr>
          <w:i/>
          <w:iCs/>
          <w:lang w:val="en-GB"/>
        </w:rPr>
        <w:t>N</w:t>
      </w:r>
      <w:r w:rsidRPr="006357F0">
        <w:rPr>
          <w:vertAlign w:val="subscript"/>
          <w:lang w:val="en-GB"/>
        </w:rPr>
        <w:t>0</w:t>
      </w:r>
      <w:r w:rsidRPr="006357F0">
        <w:rPr>
          <w:lang w:val="en-GB"/>
        </w:rPr>
        <w:t xml:space="preserve"> is calculated. Let </w:t>
      </w:r>
      <w:r w:rsidRPr="006357F0">
        <w:rPr>
          <w:i/>
          <w:iCs/>
          <w:lang w:val="en-GB"/>
        </w:rPr>
        <w:t>I</w:t>
      </w:r>
      <w:r w:rsidRPr="006357F0">
        <w:rPr>
          <w:vertAlign w:val="subscript"/>
          <w:lang w:val="en-GB"/>
        </w:rPr>
        <w:t>0</w:t>
      </w:r>
      <w:r w:rsidRPr="006357F0">
        <w:rPr>
          <w:lang w:val="en-GB"/>
        </w:rPr>
        <w:t xml:space="preserve"> represent the additive noise power density. Therefore, the initial </w:t>
      </w:r>
      <w:r w:rsidRPr="006357F0">
        <w:rPr>
          <w:i/>
          <w:iCs/>
          <w:lang w:val="en-GB"/>
        </w:rPr>
        <w:t>N</w:t>
      </w:r>
      <w:r w:rsidRPr="006357F0">
        <w:rPr>
          <w:vertAlign w:val="subscript"/>
          <w:lang w:val="en-GB"/>
        </w:rPr>
        <w:t>0</w:t>
      </w:r>
      <w:r w:rsidRPr="006357F0">
        <w:rPr>
          <w:lang w:val="en-GB"/>
        </w:rPr>
        <w:t xml:space="preserve"> noise becomes </w:t>
      </w:r>
      <w:r w:rsidRPr="006357F0">
        <w:rPr>
          <w:i/>
          <w:iCs/>
          <w:lang w:val="en-GB"/>
        </w:rPr>
        <w:t>N</w:t>
      </w:r>
      <w:r w:rsidRPr="006357F0">
        <w:rPr>
          <w:vertAlign w:val="subscript"/>
          <w:lang w:val="en-GB"/>
        </w:rPr>
        <w:t>0</w:t>
      </w:r>
      <w:r w:rsidRPr="006357F0">
        <w:rPr>
          <w:lang w:val="en-GB"/>
        </w:rPr>
        <w:t> </w:t>
      </w:r>
      <w:r w:rsidR="00BB4560" w:rsidRPr="006357F0">
        <w:rPr>
          <w:lang w:val="en-GB"/>
        </w:rPr>
        <w:t>+</w:t>
      </w:r>
      <w:r w:rsidRPr="006357F0">
        <w:rPr>
          <w:lang w:val="en-GB"/>
        </w:rPr>
        <w:t> </w:t>
      </w:r>
      <w:r w:rsidRPr="006357F0">
        <w:rPr>
          <w:i/>
          <w:iCs/>
          <w:lang w:val="en-GB"/>
        </w:rPr>
        <w:t>I</w:t>
      </w:r>
      <w:r w:rsidRPr="006357F0">
        <w:rPr>
          <w:vertAlign w:val="subscript"/>
          <w:lang w:val="en-GB"/>
        </w:rPr>
        <w:t>0</w:t>
      </w:r>
      <w:r w:rsidRPr="006357F0">
        <w:rPr>
          <w:lang w:val="en-GB"/>
        </w:rPr>
        <w:t xml:space="preserve">. The signal-to-noise ratio </w:t>
      </w:r>
      <w:r w:rsidRPr="006357F0">
        <w:rPr>
          <w:i/>
          <w:iCs/>
          <w:lang w:val="en-GB"/>
        </w:rPr>
        <w:t>C</w:t>
      </w:r>
      <w:r w:rsidRPr="006357F0">
        <w:rPr>
          <w:lang w:val="en-GB"/>
        </w:rPr>
        <w:t>/</w:t>
      </w:r>
      <w:r w:rsidRPr="006357F0">
        <w:rPr>
          <w:i/>
          <w:iCs/>
          <w:lang w:val="en-GB"/>
        </w:rPr>
        <w:t>N</w:t>
      </w:r>
      <w:r w:rsidRPr="006357F0">
        <w:rPr>
          <w:vertAlign w:val="subscript"/>
          <w:lang w:val="en-GB"/>
        </w:rPr>
        <w:t>0</w:t>
      </w:r>
      <w:r w:rsidRPr="006357F0">
        <w:rPr>
          <w:lang w:val="en-GB"/>
        </w:rPr>
        <w:t xml:space="preserve"> becomes </w:t>
      </w:r>
      <w:r w:rsidRPr="006357F0">
        <w:rPr>
          <w:i/>
          <w:iCs/>
          <w:lang w:val="en-GB"/>
        </w:rPr>
        <w:t>C</w:t>
      </w:r>
      <w:r w:rsidRPr="006357F0">
        <w:rPr>
          <w:lang w:val="en-GB"/>
        </w:rPr>
        <w:t>/(</w:t>
      </w:r>
      <w:r w:rsidRPr="006357F0">
        <w:rPr>
          <w:i/>
          <w:iCs/>
          <w:lang w:val="en-GB"/>
        </w:rPr>
        <w:t>N</w:t>
      </w:r>
      <w:r w:rsidRPr="006357F0">
        <w:rPr>
          <w:vertAlign w:val="subscript"/>
          <w:lang w:val="en-GB"/>
        </w:rPr>
        <w:t>0</w:t>
      </w:r>
      <w:r w:rsidRPr="006357F0">
        <w:rPr>
          <w:lang w:val="en-GB"/>
        </w:rPr>
        <w:t> </w:t>
      </w:r>
      <w:r w:rsidR="00BB4560" w:rsidRPr="006357F0">
        <w:rPr>
          <w:lang w:val="en-GB"/>
        </w:rPr>
        <w:t>+</w:t>
      </w:r>
      <w:r w:rsidRPr="006357F0">
        <w:rPr>
          <w:lang w:val="en-GB"/>
        </w:rPr>
        <w:t> </w:t>
      </w:r>
      <w:r w:rsidRPr="006357F0">
        <w:rPr>
          <w:i/>
          <w:iCs/>
          <w:lang w:val="en-GB"/>
        </w:rPr>
        <w:t>I</w:t>
      </w:r>
      <w:r w:rsidRPr="006357F0">
        <w:rPr>
          <w:vertAlign w:val="subscript"/>
          <w:lang w:val="en-GB"/>
        </w:rPr>
        <w:t>0</w:t>
      </w:r>
      <w:r w:rsidRPr="006357F0">
        <w:rPr>
          <w:lang w:val="en-GB"/>
        </w:rPr>
        <w:t>). The degradation is 0.3 dB</w:t>
      </w:r>
      <w:r w:rsidR="00891F7B" w:rsidRPr="006357F0">
        <w:rPr>
          <w:lang w:val="en-GB"/>
        </w:rPr>
        <w:t> </w:t>
      </w:r>
      <w:r w:rsidR="00BB4560" w:rsidRPr="006357F0">
        <w:rPr>
          <w:lang w:val="en-GB"/>
        </w:rPr>
        <w:t>=</w:t>
      </w:r>
      <w:r w:rsidR="00891F7B" w:rsidRPr="006357F0">
        <w:rPr>
          <w:lang w:val="en-GB"/>
        </w:rPr>
        <w:t> </w:t>
      </w:r>
      <w:r w:rsidRPr="006357F0">
        <w:rPr>
          <w:lang w:val="en-GB"/>
        </w:rPr>
        <w:t>10</w:t>
      </w:r>
      <w:r w:rsidR="002A4F3A">
        <w:rPr>
          <w:lang w:val="en-GB"/>
        </w:rPr>
        <w:t> </w:t>
      </w:r>
      <w:r w:rsidRPr="006357F0">
        <w:rPr>
          <w:lang w:val="en-GB"/>
        </w:rPr>
        <w:t>log ((</w:t>
      </w:r>
      <w:r w:rsidRPr="006357F0">
        <w:rPr>
          <w:i/>
          <w:iCs/>
          <w:lang w:val="en-GB"/>
        </w:rPr>
        <w:t>C</w:t>
      </w:r>
      <w:r w:rsidRPr="006357F0">
        <w:rPr>
          <w:lang w:val="en-GB"/>
        </w:rPr>
        <w:t>/</w:t>
      </w:r>
      <w:r w:rsidRPr="006357F0">
        <w:rPr>
          <w:i/>
          <w:iCs/>
          <w:lang w:val="en-GB"/>
        </w:rPr>
        <w:t>N</w:t>
      </w:r>
      <w:r w:rsidRPr="006357F0">
        <w:rPr>
          <w:vertAlign w:val="subscript"/>
          <w:lang w:val="en-GB"/>
        </w:rPr>
        <w:t>0</w:t>
      </w:r>
      <w:r w:rsidRPr="006357F0">
        <w:rPr>
          <w:lang w:val="en-GB"/>
        </w:rPr>
        <w:t>)/(</w:t>
      </w:r>
      <w:r w:rsidRPr="006357F0">
        <w:rPr>
          <w:i/>
          <w:iCs/>
          <w:lang w:val="en-GB"/>
        </w:rPr>
        <w:t>C</w:t>
      </w:r>
      <w:r w:rsidRPr="006357F0">
        <w:rPr>
          <w:lang w:val="en-GB"/>
        </w:rPr>
        <w:t>/(</w:t>
      </w:r>
      <w:r w:rsidRPr="006357F0">
        <w:rPr>
          <w:i/>
          <w:iCs/>
          <w:lang w:val="en-GB"/>
        </w:rPr>
        <w:t>N</w:t>
      </w:r>
      <w:r w:rsidRPr="006357F0">
        <w:rPr>
          <w:vertAlign w:val="subscript"/>
          <w:lang w:val="en-GB"/>
        </w:rPr>
        <w:t>0</w:t>
      </w:r>
      <w:r w:rsidR="00BB4560" w:rsidRPr="006357F0">
        <w:rPr>
          <w:sz w:val="20"/>
          <w:lang w:val="en-GB"/>
        </w:rPr>
        <w:t xml:space="preserve"> </w:t>
      </w:r>
      <w:r w:rsidR="00BB4560" w:rsidRPr="006357F0">
        <w:rPr>
          <w:lang w:val="en-GB"/>
        </w:rPr>
        <w:t xml:space="preserve">+ </w:t>
      </w:r>
      <w:r w:rsidRPr="006357F0">
        <w:rPr>
          <w:i/>
          <w:iCs/>
          <w:lang w:val="en-GB"/>
        </w:rPr>
        <w:t>I</w:t>
      </w:r>
      <w:r w:rsidRPr="006357F0">
        <w:rPr>
          <w:vertAlign w:val="subscript"/>
          <w:lang w:val="en-GB"/>
        </w:rPr>
        <w:t>0</w:t>
      </w:r>
      <w:r w:rsidRPr="006357F0">
        <w:rPr>
          <w:lang w:val="en-GB"/>
        </w:rPr>
        <w:t xml:space="preserve">))), thus </w:t>
      </w:r>
      <w:r w:rsidRPr="006357F0">
        <w:rPr>
          <w:i/>
          <w:iCs/>
          <w:lang w:val="en-GB"/>
        </w:rPr>
        <w:t>I</w:t>
      </w:r>
      <w:r w:rsidRPr="006357F0">
        <w:rPr>
          <w:vertAlign w:val="subscript"/>
          <w:lang w:val="en-GB"/>
        </w:rPr>
        <w:t>0</w:t>
      </w:r>
      <w:r w:rsidRPr="006357F0">
        <w:rPr>
          <w:rFonts w:ascii="Tms Rmn" w:hAnsi="Tms Rmn"/>
          <w:position w:val="-4"/>
          <w:sz w:val="4"/>
          <w:lang w:val="en-GB"/>
        </w:rPr>
        <w:t> </w:t>
      </w:r>
      <w:r w:rsidRPr="006357F0">
        <w:rPr>
          <w:lang w:val="en-GB"/>
        </w:rPr>
        <w:t>/</w:t>
      </w:r>
      <w:r w:rsidRPr="006357F0">
        <w:rPr>
          <w:i/>
          <w:iCs/>
          <w:lang w:val="en-GB"/>
        </w:rPr>
        <w:t>N</w:t>
      </w:r>
      <w:r w:rsidRPr="006357F0">
        <w:rPr>
          <w:vertAlign w:val="subscript"/>
          <w:lang w:val="en-GB"/>
        </w:rPr>
        <w:t>0</w:t>
      </w:r>
      <w:r w:rsidR="00BB4560" w:rsidRPr="006357F0">
        <w:rPr>
          <w:sz w:val="20"/>
          <w:lang w:val="en-GB"/>
        </w:rPr>
        <w:t xml:space="preserve"> </w:t>
      </w:r>
      <w:r w:rsidR="00BB4560" w:rsidRPr="006357F0">
        <w:rPr>
          <w:lang w:val="en-GB"/>
        </w:rPr>
        <w:t xml:space="preserve">= </w:t>
      </w:r>
      <w:r w:rsidRPr="006357F0">
        <w:rPr>
          <w:lang w:val="en-GB"/>
        </w:rPr>
        <w:t>–11.5</w:t>
      </w:r>
      <w:r w:rsidR="00BB4560" w:rsidRPr="006357F0">
        <w:rPr>
          <w:lang w:val="en-GB"/>
        </w:rPr>
        <w:t xml:space="preserve"> </w:t>
      </w:r>
      <w:r w:rsidRPr="006357F0">
        <w:rPr>
          <w:lang w:val="en-GB"/>
        </w:rPr>
        <w:t xml:space="preserve">dB and </w:t>
      </w:r>
      <w:r w:rsidRPr="006357F0">
        <w:rPr>
          <w:i/>
          <w:iCs/>
          <w:lang w:val="en-GB"/>
        </w:rPr>
        <w:t>I</w:t>
      </w:r>
      <w:r w:rsidRPr="006357F0">
        <w:rPr>
          <w:vertAlign w:val="subscript"/>
          <w:lang w:val="en-GB"/>
        </w:rPr>
        <w:t>0</w:t>
      </w:r>
      <w:r w:rsidRPr="006357F0">
        <w:rPr>
          <w:lang w:val="en-GB"/>
        </w:rPr>
        <w:t> </w:t>
      </w:r>
      <w:r w:rsidR="00BB4560" w:rsidRPr="006357F0">
        <w:rPr>
          <w:lang w:val="en-GB"/>
        </w:rPr>
        <w:t>=</w:t>
      </w:r>
      <w:r w:rsidRPr="006357F0">
        <w:rPr>
          <w:lang w:val="en-GB"/>
        </w:rPr>
        <w:t> </w:t>
      </w:r>
      <w:r w:rsidR="00BB4560" w:rsidRPr="006357F0">
        <w:rPr>
          <w:lang w:val="en-GB"/>
        </w:rPr>
        <w:t>–</w:t>
      </w:r>
      <w:r w:rsidRPr="006357F0">
        <w:rPr>
          <w:lang w:val="en-GB"/>
        </w:rPr>
        <w:t xml:space="preserve">209.3 dB(W/Hz) which corresponds to a temperature of 86 K, and therefore an increase of 7% of the system noise temperature at the input of the receiver. Therefore, the maximum admissible level of noise density is </w:t>
      </w:r>
      <w:r w:rsidRPr="006357F0">
        <w:rPr>
          <w:i/>
          <w:iCs/>
          <w:lang w:val="en-GB"/>
        </w:rPr>
        <w:t>I</w:t>
      </w:r>
      <w:r w:rsidRPr="006357F0">
        <w:rPr>
          <w:vertAlign w:val="subscript"/>
          <w:lang w:val="en-GB"/>
        </w:rPr>
        <w:t>0</w:t>
      </w:r>
      <w:r w:rsidRPr="006357F0">
        <w:rPr>
          <w:lang w:val="en-GB"/>
        </w:rPr>
        <w:t> </w:t>
      </w:r>
      <w:r w:rsidR="00BB4560" w:rsidRPr="006357F0">
        <w:rPr>
          <w:lang w:val="en-GB"/>
        </w:rPr>
        <w:t>=</w:t>
      </w:r>
      <w:r w:rsidRPr="006357F0">
        <w:rPr>
          <w:lang w:val="en-GB"/>
        </w:rPr>
        <w:t> –209.3 dB(W/Hz).</w:t>
      </w:r>
    </w:p>
    <w:p w:rsidR="00C458D0" w:rsidRPr="006357F0" w:rsidRDefault="00C458D0" w:rsidP="00C458D0">
      <w:pPr>
        <w:rPr>
          <w:lang w:val="en-GB"/>
        </w:rPr>
      </w:pPr>
      <w:r w:rsidRPr="006357F0">
        <w:rPr>
          <w:lang w:val="en-GB"/>
        </w:rPr>
        <w:t xml:space="preserve">As indicated before, the noise density, </w:t>
      </w:r>
      <w:r w:rsidRPr="006357F0">
        <w:rPr>
          <w:i/>
          <w:iCs/>
          <w:lang w:val="en-GB"/>
        </w:rPr>
        <w:t>I</w:t>
      </w:r>
      <w:r w:rsidRPr="006357F0">
        <w:rPr>
          <w:vertAlign w:val="subscript"/>
          <w:lang w:val="en-GB"/>
        </w:rPr>
        <w:t>0</w:t>
      </w:r>
      <w:r w:rsidRPr="006357F0">
        <w:rPr>
          <w:lang w:val="en-GB"/>
        </w:rPr>
        <w:t>, takes into account the attenuation and the antenna gain. As the spfd is required, it is necessary to transform this figure in dB(W/(m</w:t>
      </w:r>
      <w:r w:rsidRPr="006357F0">
        <w:rPr>
          <w:vertAlign w:val="superscript"/>
          <w:lang w:val="en-GB"/>
        </w:rPr>
        <w:t>2</w:t>
      </w:r>
      <w:r w:rsidRPr="006357F0">
        <w:rPr>
          <w:lang w:val="en-GB"/>
        </w:rPr>
        <w:t xml:space="preserve"> · Hz)). The equivalent surface area of an antenna having a gain </w:t>
      </w:r>
      <w:r w:rsidRPr="006357F0">
        <w:rPr>
          <w:i/>
          <w:iCs/>
          <w:lang w:val="en-GB"/>
        </w:rPr>
        <w:t>G</w:t>
      </w:r>
      <w:r w:rsidRPr="006357F0">
        <w:rPr>
          <w:lang w:val="en-GB"/>
        </w:rPr>
        <w:t xml:space="preserve"> is:</w:t>
      </w:r>
    </w:p>
    <w:p w:rsidR="00C458D0" w:rsidRPr="006357F0" w:rsidRDefault="00C458D0" w:rsidP="00C458D0">
      <w:pPr>
        <w:pStyle w:val="Equation"/>
        <w:rPr>
          <w:lang w:val="en-GB"/>
        </w:rPr>
      </w:pPr>
      <w:r w:rsidRPr="006357F0">
        <w:rPr>
          <w:lang w:val="en-GB"/>
        </w:rPr>
        <w:tab/>
      </w:r>
      <w:r w:rsidRPr="006357F0">
        <w:rPr>
          <w:lang w:val="en-GB"/>
        </w:rPr>
        <w:tab/>
      </w:r>
      <w:r w:rsidR="00891F7B" w:rsidRPr="006357F0">
        <w:rPr>
          <w:position w:val="-24"/>
          <w:lang w:val="en-GB"/>
        </w:rPr>
        <w:object w:dxaOrig="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42.5pt" o:ole="">
            <v:imagedata r:id="rId14" o:title=""/>
          </v:shape>
          <o:OLEObject Type="Embed" ProgID="Equation.3" ShapeID="_x0000_i1025" DrawAspect="Content" ObjectID="_1451822845" r:id="rId15"/>
        </w:object>
      </w:r>
    </w:p>
    <w:p w:rsidR="00C458D0" w:rsidRPr="006357F0" w:rsidRDefault="00C458D0" w:rsidP="00891F7B">
      <w:pPr>
        <w:rPr>
          <w:lang w:val="en-GB"/>
        </w:rPr>
      </w:pPr>
      <w:r w:rsidRPr="006357F0">
        <w:rPr>
          <w:lang w:val="en-GB"/>
        </w:rPr>
        <w:t>Taking into account the highest satellite nadir angle (62°), the antenna surface equals 0.105 m</w:t>
      </w:r>
      <w:r w:rsidRPr="006357F0">
        <w:rPr>
          <w:vertAlign w:val="superscript"/>
          <w:lang w:val="en-GB"/>
        </w:rPr>
        <w:t>2</w:t>
      </w:r>
      <w:r w:rsidRPr="006357F0">
        <w:rPr>
          <w:lang w:val="en-GB"/>
        </w:rPr>
        <w:t xml:space="preserve"> or</w:t>
      </w:r>
      <w:r w:rsidR="00F91B1F" w:rsidRPr="006357F0">
        <w:rPr>
          <w:lang w:val="en-GB"/>
        </w:rPr>
        <w:t xml:space="preserve"> </w:t>
      </w:r>
      <w:r w:rsidR="00891F7B" w:rsidRPr="006357F0">
        <w:rPr>
          <w:lang w:val="en-GB"/>
        </w:rPr>
        <w:br/>
      </w:r>
      <w:r w:rsidRPr="006357F0">
        <w:rPr>
          <w:lang w:val="en-GB"/>
        </w:rPr>
        <w:t>–9.8</w:t>
      </w:r>
      <w:r w:rsidR="00891F7B" w:rsidRPr="006357F0">
        <w:rPr>
          <w:lang w:val="en-GB"/>
        </w:rPr>
        <w:t> </w:t>
      </w:r>
      <w:r w:rsidRPr="006357F0">
        <w:rPr>
          <w:lang w:val="en-GB"/>
        </w:rPr>
        <w:t>dB m</w:t>
      </w:r>
      <w:r w:rsidRPr="006357F0">
        <w:rPr>
          <w:vertAlign w:val="superscript"/>
          <w:lang w:val="en-GB"/>
        </w:rPr>
        <w:t>2</w:t>
      </w:r>
      <w:r w:rsidRPr="006357F0">
        <w:rPr>
          <w:lang w:val="en-GB"/>
        </w:rPr>
        <w:t>.</w:t>
      </w:r>
      <w:r w:rsidR="00891F7B" w:rsidRPr="006357F0">
        <w:rPr>
          <w:lang w:val="en-GB"/>
        </w:rPr>
        <w:t xml:space="preserve"> </w:t>
      </w:r>
      <w:r w:rsidRPr="006357F0">
        <w:rPr>
          <w:lang w:val="en-GB"/>
        </w:rPr>
        <w:t xml:space="preserve">Then, the corresponding spfd equals </w:t>
      </w:r>
      <w:r w:rsidR="00BB4560" w:rsidRPr="006357F0">
        <w:rPr>
          <w:lang w:val="en-GB"/>
        </w:rPr>
        <w:t>–</w:t>
      </w:r>
      <w:r w:rsidRPr="006357F0">
        <w:rPr>
          <w:lang w:val="en-GB"/>
        </w:rPr>
        <w:t>209.3</w:t>
      </w:r>
      <w:r w:rsidR="00891F7B" w:rsidRPr="006357F0">
        <w:rPr>
          <w:lang w:val="en-GB"/>
        </w:rPr>
        <w:t> </w:t>
      </w:r>
      <w:r w:rsidR="00BB4560" w:rsidRPr="006357F0">
        <w:rPr>
          <w:lang w:val="en-GB"/>
        </w:rPr>
        <w:t>+</w:t>
      </w:r>
      <w:r w:rsidR="00891F7B" w:rsidRPr="006357F0">
        <w:rPr>
          <w:lang w:val="en-GB"/>
        </w:rPr>
        <w:t> </w:t>
      </w:r>
      <w:r w:rsidRPr="006357F0">
        <w:rPr>
          <w:lang w:val="en-GB"/>
        </w:rPr>
        <w:t>1.6 (losses) – 10 log</w:t>
      </w:r>
      <w:r w:rsidRPr="006357F0">
        <w:rPr>
          <w:vertAlign w:val="subscript"/>
          <w:lang w:val="en-GB"/>
        </w:rPr>
        <w:t>10</w:t>
      </w:r>
      <w:r w:rsidR="00891F7B" w:rsidRPr="006357F0">
        <w:rPr>
          <w:lang w:val="en-GB"/>
        </w:rPr>
        <w:t xml:space="preserve"> </w:t>
      </w:r>
      <w:r w:rsidRPr="006357F0">
        <w:rPr>
          <w:i/>
          <w:iCs/>
          <w:lang w:val="en-GB"/>
        </w:rPr>
        <w:t>S</w:t>
      </w:r>
      <w:r w:rsidRPr="006357F0">
        <w:rPr>
          <w:lang w:val="en-GB"/>
        </w:rPr>
        <w:t> </w:t>
      </w:r>
      <w:r w:rsidR="00BB4560" w:rsidRPr="006357F0">
        <w:rPr>
          <w:lang w:val="en-GB"/>
        </w:rPr>
        <w:t xml:space="preserve">= </w:t>
      </w:r>
      <w:r w:rsidR="00891F7B" w:rsidRPr="006357F0">
        <w:rPr>
          <w:lang w:val="en-GB"/>
        </w:rPr>
        <w:br/>
      </w:r>
      <w:r w:rsidRPr="006357F0">
        <w:rPr>
          <w:lang w:val="en-GB"/>
        </w:rPr>
        <w:t>–197.9 dB(W/(m</w:t>
      </w:r>
      <w:r w:rsidRPr="006357F0">
        <w:rPr>
          <w:vertAlign w:val="superscript"/>
          <w:lang w:val="en-GB"/>
        </w:rPr>
        <w:t>2</w:t>
      </w:r>
      <w:r w:rsidRPr="006357F0">
        <w:rPr>
          <w:lang w:val="en-GB"/>
        </w:rPr>
        <w:t xml:space="preserve"> · Hz)). </w:t>
      </w:r>
    </w:p>
    <w:p w:rsidR="00C458D0" w:rsidRPr="006357F0" w:rsidRDefault="00C458D0" w:rsidP="00C458D0">
      <w:pPr>
        <w:rPr>
          <w:lang w:val="en-GB"/>
        </w:rPr>
      </w:pPr>
      <w:r w:rsidRPr="006357F0">
        <w:rPr>
          <w:lang w:val="en-GB"/>
        </w:rPr>
        <w:t xml:space="preserve">The maximum level of broadband noise interference in the band 399.9-400.05 MHz should not exceed </w:t>
      </w:r>
      <w:r w:rsidR="00BB4560" w:rsidRPr="006357F0">
        <w:rPr>
          <w:lang w:val="en-GB"/>
        </w:rPr>
        <w:t>–</w:t>
      </w:r>
      <w:r w:rsidRPr="006357F0">
        <w:rPr>
          <w:lang w:val="en-GB"/>
        </w:rPr>
        <w:t>197.9 dB(W/(m</w:t>
      </w:r>
      <w:r w:rsidRPr="006357F0">
        <w:rPr>
          <w:vertAlign w:val="superscript"/>
          <w:lang w:val="en-GB"/>
        </w:rPr>
        <w:t>2</w:t>
      </w:r>
      <w:r w:rsidRPr="006357F0">
        <w:rPr>
          <w:lang w:val="en-GB"/>
        </w:rPr>
        <w:t> · Hz)) to protect the ARGOS4 system.</w:t>
      </w:r>
    </w:p>
    <w:p w:rsidR="00C458D0" w:rsidRPr="006357F0" w:rsidRDefault="00C458D0" w:rsidP="00C458D0">
      <w:pPr>
        <w:rPr>
          <w:lang w:val="en-GB"/>
        </w:rPr>
      </w:pPr>
      <w:r w:rsidRPr="006357F0">
        <w:rPr>
          <w:lang w:val="en-GB"/>
        </w:rPr>
        <w:t>Usually, the bandwidth of an ARGOS4 transmission equals 1 600 Hz. Therefore, the corresponding pfd limit equals –165.8 dB(W/m</w:t>
      </w:r>
      <w:r w:rsidRPr="006357F0">
        <w:rPr>
          <w:vertAlign w:val="superscript"/>
          <w:lang w:val="en-GB"/>
        </w:rPr>
        <w:t>2</w:t>
      </w:r>
      <w:r w:rsidRPr="006357F0">
        <w:rPr>
          <w:lang w:val="en-GB"/>
        </w:rPr>
        <w:t>).</w:t>
      </w:r>
    </w:p>
    <w:p w:rsidR="00C458D0" w:rsidRPr="006357F0" w:rsidRDefault="00C458D0" w:rsidP="00C458D0">
      <w:pPr>
        <w:pStyle w:val="Heading2"/>
        <w:rPr>
          <w:lang w:val="en-GB"/>
        </w:rPr>
      </w:pPr>
      <w:r w:rsidRPr="006357F0">
        <w:rPr>
          <w:lang w:val="en-GB"/>
        </w:rPr>
        <w:t>2.2</w:t>
      </w:r>
      <w:r w:rsidRPr="006357F0">
        <w:rPr>
          <w:lang w:val="en-GB"/>
        </w:rPr>
        <w:tab/>
        <w:t>Derivation of performance objectives</w:t>
      </w:r>
    </w:p>
    <w:p w:rsidR="00C458D0" w:rsidRPr="006357F0" w:rsidRDefault="00C458D0" w:rsidP="009064FE">
      <w:pPr>
        <w:rPr>
          <w:bCs/>
          <w:lang w:val="en-GB" w:eastAsia="en-GB"/>
        </w:rPr>
      </w:pPr>
      <w:r w:rsidRPr="006357F0">
        <w:rPr>
          <w:lang w:val="en-GB" w:eastAsia="en-GB"/>
        </w:rPr>
        <w:t>Recommendation ITU-R M.1475</w:t>
      </w:r>
      <w:r w:rsidRPr="006357F0">
        <w:rPr>
          <w:b/>
          <w:bCs/>
          <w:lang w:val="en-GB" w:eastAsia="en-GB"/>
        </w:rPr>
        <w:t xml:space="preserve"> </w:t>
      </w:r>
      <w:r w:rsidR="009064FE" w:rsidRPr="009064FE">
        <w:rPr>
          <w:lang w:val="en-GB" w:eastAsia="en-GB"/>
        </w:rPr>
        <w:t>–</w:t>
      </w:r>
      <w:r w:rsidR="009064FE">
        <w:rPr>
          <w:b/>
          <w:bCs/>
          <w:lang w:val="en-GB" w:eastAsia="en-GB"/>
        </w:rPr>
        <w:t xml:space="preserve"> </w:t>
      </w:r>
      <w:r w:rsidRPr="006357F0">
        <w:rPr>
          <w:lang w:val="en-GB"/>
        </w:rPr>
        <w:t>Methodology for derivation of performance objectives of non</w:t>
      </w:r>
      <w:r w:rsidRPr="006357F0">
        <w:rPr>
          <w:lang w:val="en-GB"/>
        </w:rPr>
        <w:noBreakHyphen/>
        <w:t>geostationary mobile-satellite service systems operating in the 1-3 GHz band not using satellite diversity</w:t>
      </w:r>
      <w:r w:rsidR="009064FE">
        <w:rPr>
          <w:lang w:val="en-GB"/>
        </w:rPr>
        <w:t>,</w:t>
      </w:r>
      <w:r w:rsidRPr="006357F0">
        <w:rPr>
          <w:lang w:val="en-GB"/>
        </w:rPr>
        <w:t xml:space="preserve"> provides a methodology for calculating the unavailability time allowances for both service links and feeder links. </w:t>
      </w:r>
    </w:p>
    <w:p w:rsidR="00C458D0" w:rsidRPr="006357F0" w:rsidRDefault="00C458D0" w:rsidP="00891F7B">
      <w:pPr>
        <w:rPr>
          <w:b/>
          <w:lang w:val="en-GB"/>
        </w:rPr>
      </w:pPr>
      <w:r w:rsidRPr="006357F0">
        <w:rPr>
          <w:lang w:val="en-GB"/>
        </w:rPr>
        <w:t>For the service link, it is proposed that the unavailability time allowances should not be greater than 0.9 </w:t>
      </w:r>
      <w:r w:rsidRPr="006357F0">
        <w:rPr>
          <w:i/>
          <w:iCs/>
          <w:lang w:val="en-GB"/>
        </w:rPr>
        <w:t>X</w:t>
      </w:r>
      <w:r w:rsidRPr="006357F0">
        <w:rPr>
          <w:lang w:val="en-GB"/>
        </w:rPr>
        <w:t xml:space="preserve"> (%), with </w:t>
      </w:r>
      <w:r w:rsidRPr="006357F0">
        <w:rPr>
          <w:i/>
          <w:iCs/>
          <w:lang w:val="en-GB"/>
        </w:rPr>
        <w:t>X</w:t>
      </w:r>
      <w:r w:rsidRPr="006357F0">
        <w:rPr>
          <w:lang w:val="en-GB"/>
        </w:rPr>
        <w:t xml:space="preserve"> representing the BER in % (e.g. 0.1%, 1%, 10%, etc.) of a given MSS non-GSO link. Since the proposed pfd limit is based on a BER of 2 </w:t>
      </w:r>
      <w:r w:rsidR="00BB4560" w:rsidRPr="006357F0">
        <w:rPr>
          <w:lang w:val="en-GB"/>
        </w:rPr>
        <w:sym w:font="Symbol" w:char="F0B4"/>
      </w:r>
      <w:r w:rsidRPr="006357F0">
        <w:rPr>
          <w:lang w:val="en-GB"/>
        </w:rPr>
        <w:t> 10</w:t>
      </w:r>
      <w:r w:rsidRPr="006357F0">
        <w:rPr>
          <w:vertAlign w:val="superscript"/>
          <w:lang w:val="en-GB"/>
        </w:rPr>
        <w:t>–4</w:t>
      </w:r>
      <w:r w:rsidRPr="006357F0">
        <w:rPr>
          <w:lang w:val="en-GB"/>
        </w:rPr>
        <w:t>, it implies the unavailability time allowances should not exceed 1.8 </w:t>
      </w:r>
      <w:r w:rsidR="00BB4560" w:rsidRPr="006357F0">
        <w:rPr>
          <w:lang w:val="en-GB"/>
        </w:rPr>
        <w:sym w:font="Symbol" w:char="F0B4"/>
      </w:r>
      <w:r w:rsidRPr="006357F0">
        <w:rPr>
          <w:lang w:val="en-GB"/>
        </w:rPr>
        <w:t> 10</w:t>
      </w:r>
      <w:r w:rsidRPr="006357F0">
        <w:rPr>
          <w:vertAlign w:val="superscript"/>
          <w:lang w:val="en-GB"/>
        </w:rPr>
        <w:t>–2</w:t>
      </w:r>
      <w:r w:rsidRPr="006357F0">
        <w:rPr>
          <w:lang w:val="en-GB"/>
        </w:rPr>
        <w:t xml:space="preserve">%. Therefore, a less stringent 1% unavailability time allowance is indicated in </w:t>
      </w:r>
      <w:r w:rsidRPr="006357F0">
        <w:rPr>
          <w:i/>
          <w:iCs/>
          <w:lang w:val="en-GB"/>
        </w:rPr>
        <w:t>recommends</w:t>
      </w:r>
      <w:r w:rsidRPr="006357F0">
        <w:rPr>
          <w:lang w:val="en-GB"/>
        </w:rPr>
        <w:t xml:space="preserve"> </w:t>
      </w:r>
      <w:r w:rsidRPr="009064FE">
        <w:rPr>
          <w:lang w:val="en-GB"/>
        </w:rPr>
        <w:t>2</w:t>
      </w:r>
      <w:r w:rsidRPr="006357F0">
        <w:rPr>
          <w:lang w:val="en-GB"/>
        </w:rPr>
        <w:t>.</w:t>
      </w:r>
    </w:p>
    <w:p w:rsidR="00C458D0" w:rsidRPr="006357F0" w:rsidRDefault="00C458D0" w:rsidP="004A521C">
      <w:pPr>
        <w:pStyle w:val="Heading1"/>
        <w:rPr>
          <w:lang w:val="en-GB"/>
        </w:rPr>
      </w:pPr>
      <w:r w:rsidRPr="006357F0">
        <w:rPr>
          <w:lang w:val="en-GB"/>
        </w:rPr>
        <w:t>3</w:t>
      </w:r>
      <w:r w:rsidRPr="006357F0">
        <w:rPr>
          <w:lang w:val="en-GB"/>
        </w:rPr>
        <w:tab/>
        <w:t>Protection criteria for non-GSO ARGOS4 system in</w:t>
      </w:r>
      <w:r w:rsidR="004A521C">
        <w:rPr>
          <w:lang w:val="en-GB"/>
        </w:rPr>
        <w:t xml:space="preserve"> </w:t>
      </w:r>
      <w:r w:rsidRPr="006357F0">
        <w:rPr>
          <w:lang w:val="en-GB"/>
        </w:rPr>
        <w:t>the band 399.9</w:t>
      </w:r>
      <w:r w:rsidRPr="006357F0">
        <w:rPr>
          <w:lang w:val="en-GB"/>
        </w:rPr>
        <w:noBreakHyphen/>
        <w:t>400.05 MHz against narrow-band interference emissions</w:t>
      </w:r>
    </w:p>
    <w:p w:rsidR="00C458D0" w:rsidRPr="006357F0" w:rsidRDefault="00C458D0" w:rsidP="00C458D0">
      <w:pPr>
        <w:pStyle w:val="Heading2"/>
        <w:rPr>
          <w:lang w:val="en-GB"/>
        </w:rPr>
      </w:pPr>
      <w:r w:rsidRPr="006357F0">
        <w:rPr>
          <w:lang w:val="en-GB"/>
        </w:rPr>
        <w:t>3.1</w:t>
      </w:r>
      <w:r w:rsidRPr="006357F0">
        <w:rPr>
          <w:lang w:val="en-GB"/>
        </w:rPr>
        <w:tab/>
        <w:t>Protection requirement from narrow-band emissions</w:t>
      </w:r>
    </w:p>
    <w:p w:rsidR="00C458D0" w:rsidRPr="006357F0" w:rsidRDefault="00C458D0" w:rsidP="00C458D0">
      <w:pPr>
        <w:rPr>
          <w:lang w:val="en-GB"/>
        </w:rPr>
      </w:pPr>
      <w:r w:rsidRPr="006357F0">
        <w:rPr>
          <w:lang w:val="en-GB"/>
        </w:rPr>
        <w:t>To better understand the rationale of this specification, it is necessary to briefly recall the behaviour of the receiver.</w:t>
      </w:r>
    </w:p>
    <w:p w:rsidR="00C458D0" w:rsidRPr="006357F0" w:rsidRDefault="00C458D0" w:rsidP="00C458D0">
      <w:pPr>
        <w:rPr>
          <w:lang w:val="en-GB"/>
        </w:rPr>
      </w:pPr>
      <w:r w:rsidRPr="006357F0">
        <w:rPr>
          <w:lang w:val="en-GB"/>
        </w:rPr>
        <w:lastRenderedPageBreak/>
        <w:t>MSS ARGOS4 transmissions begin with 160 ms of unmodulated carrier to allow a phase-locked loop to lock more easily on the carrier. Figure 1 represents the ARGOS4 message format.</w:t>
      </w:r>
    </w:p>
    <w:p w:rsidR="00C458D0" w:rsidRPr="006357F0" w:rsidRDefault="00C458D0" w:rsidP="00C458D0">
      <w:pPr>
        <w:pStyle w:val="FigureNo"/>
        <w:rPr>
          <w:lang w:val="en-GB"/>
        </w:rPr>
      </w:pPr>
      <w:r w:rsidRPr="006357F0">
        <w:rPr>
          <w:lang w:val="en-GB"/>
        </w:rPr>
        <w:t>Figure 1</w:t>
      </w:r>
    </w:p>
    <w:p w:rsidR="00C458D0" w:rsidRDefault="00C458D0" w:rsidP="00F91B1F">
      <w:pPr>
        <w:pStyle w:val="Figuretitle"/>
        <w:rPr>
          <w:lang w:val="en-GB"/>
        </w:rPr>
      </w:pPr>
      <w:r w:rsidRPr="006357F0">
        <w:rPr>
          <w:lang w:val="en-GB"/>
        </w:rPr>
        <w:t>MSS message format</w:t>
      </w:r>
    </w:p>
    <w:p w:rsidR="0006209A" w:rsidRPr="0006209A" w:rsidRDefault="0006209A" w:rsidP="0006209A">
      <w:pPr>
        <w:pStyle w:val="Figure"/>
        <w:rPr>
          <w:lang w:val="en-GB"/>
        </w:rPr>
      </w:pPr>
      <w:r>
        <w:rPr>
          <w:lang w:val="en-GB"/>
        </w:rPr>
        <w:object w:dxaOrig="7282" w:dyaOrig="823">
          <v:shape id="_x0000_i1026" type="#_x0000_t75" style="width:353pt;height:39.5pt" o:ole="">
            <v:imagedata r:id="rId16" o:title=""/>
          </v:shape>
          <o:OLEObject Type="Embed" ProgID="CorelDRAW.Graphic.14" ShapeID="_x0000_i1026" DrawAspect="Content" ObjectID="_1451822846" r:id="rId17"/>
        </w:object>
      </w:r>
    </w:p>
    <w:p w:rsidR="00C458D0" w:rsidRPr="006357F0" w:rsidRDefault="00C458D0" w:rsidP="009064FE">
      <w:pPr>
        <w:rPr>
          <w:lang w:val="en-GB"/>
        </w:rPr>
      </w:pPr>
      <w:r w:rsidRPr="006357F0">
        <w:rPr>
          <w:lang w:val="en-GB"/>
        </w:rPr>
        <w:t>A spectrum analy</w:t>
      </w:r>
      <w:r w:rsidR="009064FE">
        <w:rPr>
          <w:lang w:val="en-GB"/>
        </w:rPr>
        <w:t>s</w:t>
      </w:r>
      <w:r w:rsidRPr="006357F0">
        <w:rPr>
          <w:lang w:val="en-GB"/>
        </w:rPr>
        <w:t xml:space="preserve">er in the receiver continuously monitors the full coverage bandwidth in search of the pure carrier portion of the MSS messages. When the spectrum analyser detects such a line, it considers that it is the beginning of a MSS message. The theory is based on the detection of a pure carrier wave (sine wave) in a white, additive and Gaussian noise environment. The power spectral density of the received signal (pure carrier </w:t>
      </w:r>
      <w:r w:rsidR="00BB4560" w:rsidRPr="006357F0">
        <w:rPr>
          <w:lang w:val="en-GB"/>
        </w:rPr>
        <w:t>+</w:t>
      </w:r>
      <w:r w:rsidRPr="006357F0">
        <w:rPr>
          <w:lang w:val="en-GB"/>
        </w:rPr>
        <w:t xml:space="preserve"> noise) is computed using fast Fourier transform techniques, and each signal above the system threshold is processed as if it were a MSS beacon (see Fig. 2).</w:t>
      </w:r>
    </w:p>
    <w:p w:rsidR="00C458D0" w:rsidRPr="006357F0" w:rsidRDefault="0006209A" w:rsidP="00D26FED">
      <w:pPr>
        <w:pStyle w:val="FigureNo"/>
        <w:rPr>
          <w:lang w:val="en-GB"/>
        </w:rPr>
      </w:pPr>
      <w:r>
        <w:rPr>
          <w:lang w:val="en-GB"/>
        </w:rPr>
        <w:object w:dxaOrig="7142" w:dyaOrig="3470">
          <v:shape id="_x0000_i1027" type="#_x0000_t75" style="width:338pt;height:164.5pt" o:ole="">
            <v:imagedata r:id="rId18" o:title=""/>
          </v:shape>
          <o:OLEObject Type="Embed" ProgID="CorelDRAW.Graphic.14" ShapeID="_x0000_i1027" DrawAspect="Content" ObjectID="_1451822847" r:id="rId19"/>
        </w:object>
      </w:r>
    </w:p>
    <w:p w:rsidR="00C458D0" w:rsidRPr="006357F0" w:rsidRDefault="00C458D0" w:rsidP="00C458D0">
      <w:pPr>
        <w:rPr>
          <w:lang w:val="en-GB"/>
        </w:rPr>
      </w:pPr>
      <w:r w:rsidRPr="006357F0">
        <w:rPr>
          <w:lang w:val="en-GB"/>
        </w:rPr>
        <w:t>The ARGOS4 receiver processors are therefore designed to detect discrete spectral components (unmodulated beacon carrier) and the corresponding resolution bandwidth is 19 Hz. Signals above the threshold level are assigned to an on-board data recovery unit (DRU) for further processing and transmission to the Earth on the mission telemetry channel.</w:t>
      </w:r>
    </w:p>
    <w:p w:rsidR="00C458D0" w:rsidRPr="006357F0" w:rsidRDefault="00C458D0" w:rsidP="00D26FED">
      <w:pPr>
        <w:rPr>
          <w:lang w:val="en-GB"/>
        </w:rPr>
      </w:pPr>
      <w:r w:rsidRPr="006357F0">
        <w:rPr>
          <w:lang w:val="en-GB"/>
        </w:rPr>
        <w:t xml:space="preserve">In order to satisfy ARGOS4 detection probability performances for a wide range of user applications, the ARGOS4 receiver has been designed to detect and process extremely weak signals. Its performance is such that any signal, </w:t>
      </w:r>
      <w:r w:rsidRPr="006357F0">
        <w:rPr>
          <w:i/>
          <w:iCs/>
          <w:lang w:val="en-GB"/>
        </w:rPr>
        <w:t>C</w:t>
      </w:r>
      <w:r w:rsidRPr="006357F0">
        <w:rPr>
          <w:i/>
          <w:iCs/>
          <w:vertAlign w:val="subscript"/>
          <w:lang w:val="en-GB"/>
        </w:rPr>
        <w:t>min</w:t>
      </w:r>
      <w:r w:rsidRPr="006357F0">
        <w:rPr>
          <w:lang w:val="en-GB"/>
        </w:rPr>
        <w:t>, which exceeds the local noise density level by 21 dB(Hz) (</w:t>
      </w:r>
      <w:r w:rsidRPr="006357F0">
        <w:rPr>
          <w:i/>
          <w:iCs/>
          <w:lang w:val="en-GB"/>
        </w:rPr>
        <w:t>C</w:t>
      </w:r>
      <w:r w:rsidRPr="006357F0">
        <w:rPr>
          <w:i/>
          <w:iCs/>
          <w:vertAlign w:val="subscript"/>
          <w:lang w:val="en-GB"/>
        </w:rPr>
        <w:t>min</w:t>
      </w:r>
      <w:r w:rsidRPr="006357F0">
        <w:rPr>
          <w:lang w:val="en-GB"/>
        </w:rPr>
        <w:t>/</w:t>
      </w:r>
      <w:r w:rsidRPr="006357F0">
        <w:rPr>
          <w:i/>
          <w:iCs/>
          <w:lang w:val="en-GB"/>
        </w:rPr>
        <w:t>N</w:t>
      </w:r>
      <w:r w:rsidRPr="006357F0">
        <w:rPr>
          <w:vertAlign w:val="subscript"/>
          <w:lang w:val="en-GB"/>
        </w:rPr>
        <w:t>0</w:t>
      </w:r>
      <w:r w:rsidRPr="006357F0">
        <w:rPr>
          <w:lang w:val="en-GB"/>
        </w:rPr>
        <w:t> </w:t>
      </w:r>
      <w:r w:rsidR="00BB4560" w:rsidRPr="006357F0">
        <w:rPr>
          <w:lang w:val="en-GB"/>
        </w:rPr>
        <w:t>&gt;</w:t>
      </w:r>
      <w:r w:rsidRPr="006357F0">
        <w:rPr>
          <w:lang w:val="en-GB"/>
        </w:rPr>
        <w:t> 21 dB(Hz)) would be assigned to a DRU for additional processing. Consequently, narrow-band interfering signals meeting this criterion would cause a DRU to be assigned to it. The consequence would be that the performance of the ARGOS system, in</w:t>
      </w:r>
      <w:r w:rsidR="00D26FED" w:rsidRPr="006357F0">
        <w:rPr>
          <w:lang w:val="en-GB"/>
        </w:rPr>
        <w:t xml:space="preserve"> </w:t>
      </w:r>
      <w:r w:rsidRPr="006357F0">
        <w:rPr>
          <w:lang w:val="en-GB"/>
        </w:rPr>
        <w:t>terms of capacity (e.g. the number of simultaneous DCS messages that are able to be processed), would be seriously degraded.</w:t>
      </w:r>
    </w:p>
    <w:p w:rsidR="00C458D0" w:rsidRPr="006357F0" w:rsidRDefault="00C458D0" w:rsidP="009064FE">
      <w:pPr>
        <w:rPr>
          <w:lang w:val="en-GB"/>
        </w:rPr>
      </w:pPr>
      <w:r w:rsidRPr="006357F0">
        <w:rPr>
          <w:lang w:val="en-GB"/>
        </w:rPr>
        <w:t xml:space="preserve">The ARGOS typical figures are: noise factor </w:t>
      </w:r>
      <w:r w:rsidR="00BB4560" w:rsidRPr="006357F0">
        <w:rPr>
          <w:lang w:val="en-GB"/>
        </w:rPr>
        <w:t>=</w:t>
      </w:r>
      <w:r w:rsidRPr="006357F0">
        <w:rPr>
          <w:lang w:val="en-GB"/>
        </w:rPr>
        <w:t xml:space="preserve"> 3 dB (ARGOS4 typical figure), worst</w:t>
      </w:r>
      <w:r w:rsidR="009064FE">
        <w:rPr>
          <w:lang w:val="en-GB"/>
        </w:rPr>
        <w:t>-</w:t>
      </w:r>
      <w:r w:rsidRPr="006357F0">
        <w:rPr>
          <w:lang w:val="en-GB"/>
        </w:rPr>
        <w:t xml:space="preserve">case background noise temperature </w:t>
      </w:r>
      <w:r w:rsidR="00BB4560" w:rsidRPr="006357F0">
        <w:rPr>
          <w:lang w:val="en-GB"/>
        </w:rPr>
        <w:t>=</w:t>
      </w:r>
      <w:r w:rsidRPr="006357F0">
        <w:rPr>
          <w:lang w:val="en-GB"/>
        </w:rPr>
        <w:t xml:space="preserve"> 1</w:t>
      </w:r>
      <w:r w:rsidRPr="006357F0">
        <w:rPr>
          <w:rFonts w:ascii="Tms Rmn" w:hAnsi="Tms Rmn"/>
          <w:sz w:val="12"/>
          <w:lang w:val="en-GB"/>
        </w:rPr>
        <w:t> </w:t>
      </w:r>
      <w:r w:rsidRPr="006357F0">
        <w:rPr>
          <w:lang w:val="en-GB"/>
        </w:rPr>
        <w:t xml:space="preserve">200 K, attenuation between the antenna and the receiver </w:t>
      </w:r>
      <w:r w:rsidR="00BB4560" w:rsidRPr="006357F0">
        <w:rPr>
          <w:lang w:val="en-GB"/>
        </w:rPr>
        <w:t>=</w:t>
      </w:r>
      <w:r w:rsidRPr="006357F0">
        <w:rPr>
          <w:lang w:val="en-GB"/>
        </w:rPr>
        <w:t xml:space="preserve"> 1.6 dB. Thus, the system noise temperature at the input of the receiver equals 1</w:t>
      </w:r>
      <w:r w:rsidRPr="006357F0">
        <w:rPr>
          <w:rFonts w:ascii="Tms Rmn" w:hAnsi="Tms Rmn"/>
          <w:sz w:val="12"/>
          <w:lang w:val="en-GB"/>
        </w:rPr>
        <w:t> </w:t>
      </w:r>
      <w:r w:rsidRPr="006357F0">
        <w:rPr>
          <w:lang w:val="en-GB"/>
        </w:rPr>
        <w:t xml:space="preserve">214 K and therefore, the noise spectral density equals </w:t>
      </w:r>
      <w:r w:rsidRPr="006357F0">
        <w:rPr>
          <w:i/>
          <w:iCs/>
          <w:lang w:val="en-GB"/>
        </w:rPr>
        <w:t>N</w:t>
      </w:r>
      <w:r w:rsidRPr="006357F0">
        <w:rPr>
          <w:vertAlign w:val="subscript"/>
          <w:lang w:val="en-GB"/>
        </w:rPr>
        <w:t>0</w:t>
      </w:r>
      <w:r w:rsidRPr="006357F0">
        <w:rPr>
          <w:lang w:val="en-GB"/>
        </w:rPr>
        <w:t> </w:t>
      </w:r>
      <w:r w:rsidR="00BB4560" w:rsidRPr="006357F0">
        <w:rPr>
          <w:lang w:val="en-GB"/>
        </w:rPr>
        <w:t>=</w:t>
      </w:r>
      <w:r w:rsidRPr="006357F0">
        <w:rPr>
          <w:lang w:val="en-GB"/>
        </w:rPr>
        <w:t> </w:t>
      </w:r>
      <w:r w:rsidR="00BB4560" w:rsidRPr="006357F0">
        <w:rPr>
          <w:lang w:val="en-GB"/>
        </w:rPr>
        <w:t>–</w:t>
      </w:r>
      <w:r w:rsidRPr="006357F0">
        <w:rPr>
          <w:lang w:val="en-GB"/>
        </w:rPr>
        <w:t>197.8 dB(W/Hz).</w:t>
      </w:r>
    </w:p>
    <w:p w:rsidR="00C458D0" w:rsidRPr="006357F0" w:rsidRDefault="00C458D0" w:rsidP="00D26FED">
      <w:pPr>
        <w:rPr>
          <w:lang w:val="en-GB"/>
        </w:rPr>
      </w:pPr>
      <w:r w:rsidRPr="006357F0">
        <w:rPr>
          <w:lang w:val="en-GB"/>
        </w:rPr>
        <w:t xml:space="preserve">As </w:t>
      </w:r>
      <w:r w:rsidRPr="006357F0">
        <w:rPr>
          <w:i/>
          <w:iCs/>
          <w:lang w:val="en-GB"/>
        </w:rPr>
        <w:t>C</w:t>
      </w:r>
      <w:r w:rsidRPr="006357F0">
        <w:rPr>
          <w:i/>
          <w:iCs/>
          <w:vertAlign w:val="subscript"/>
          <w:lang w:val="en-GB"/>
        </w:rPr>
        <w:t>min</w:t>
      </w:r>
      <w:r w:rsidRPr="006357F0">
        <w:rPr>
          <w:lang w:val="en-GB"/>
        </w:rPr>
        <w:t>/</w:t>
      </w:r>
      <w:r w:rsidRPr="006357F0">
        <w:rPr>
          <w:i/>
          <w:iCs/>
          <w:lang w:val="en-GB"/>
        </w:rPr>
        <w:t>N</w:t>
      </w:r>
      <w:r w:rsidRPr="006357F0">
        <w:rPr>
          <w:vertAlign w:val="subscript"/>
          <w:lang w:val="en-GB"/>
        </w:rPr>
        <w:t>0</w:t>
      </w:r>
      <w:r w:rsidRPr="006357F0">
        <w:rPr>
          <w:lang w:val="en-GB"/>
        </w:rPr>
        <w:t> </w:t>
      </w:r>
      <w:r w:rsidR="00BB4560" w:rsidRPr="006357F0">
        <w:rPr>
          <w:lang w:val="en-GB"/>
        </w:rPr>
        <w:t>=</w:t>
      </w:r>
      <w:r w:rsidRPr="006357F0">
        <w:rPr>
          <w:lang w:val="en-GB"/>
        </w:rPr>
        <w:t xml:space="preserve"> 21 dB(Hz), </w:t>
      </w:r>
      <w:r w:rsidRPr="006357F0">
        <w:rPr>
          <w:i/>
          <w:iCs/>
          <w:lang w:val="en-GB"/>
        </w:rPr>
        <w:t>C</w:t>
      </w:r>
      <w:r w:rsidRPr="006357F0">
        <w:rPr>
          <w:i/>
          <w:iCs/>
          <w:vertAlign w:val="subscript"/>
          <w:lang w:val="en-GB"/>
        </w:rPr>
        <w:t>min</w:t>
      </w:r>
      <w:r w:rsidRPr="006357F0">
        <w:rPr>
          <w:lang w:val="en-GB"/>
        </w:rPr>
        <w:t> </w:t>
      </w:r>
      <w:r w:rsidR="00BB4560" w:rsidRPr="006357F0">
        <w:rPr>
          <w:lang w:val="en-GB"/>
        </w:rPr>
        <w:t>=</w:t>
      </w:r>
      <w:r w:rsidRPr="006357F0">
        <w:rPr>
          <w:lang w:val="en-GB"/>
        </w:rPr>
        <w:t xml:space="preserve"> –176.8 dBW. Therefore, any narrow-band spurious emission greater than </w:t>
      </w:r>
      <w:r w:rsidR="00BB4560" w:rsidRPr="006357F0">
        <w:rPr>
          <w:lang w:val="en-GB"/>
        </w:rPr>
        <w:t>–</w:t>
      </w:r>
      <w:r w:rsidRPr="006357F0">
        <w:rPr>
          <w:lang w:val="en-GB"/>
        </w:rPr>
        <w:t>176.8 dBW at the input of the ARGOS4 receiver, would result in a degradation of the system capacity.</w:t>
      </w:r>
    </w:p>
    <w:p w:rsidR="00C458D0" w:rsidRPr="006357F0" w:rsidRDefault="00C458D0" w:rsidP="00C458D0">
      <w:pPr>
        <w:rPr>
          <w:lang w:val="en-GB"/>
        </w:rPr>
      </w:pPr>
      <w:r w:rsidRPr="006357F0">
        <w:rPr>
          <w:lang w:val="en-GB"/>
        </w:rPr>
        <w:lastRenderedPageBreak/>
        <w:t>It is then necessary to compute this max</w:t>
      </w:r>
      <w:r w:rsidR="009064FE">
        <w:rPr>
          <w:lang w:val="en-GB"/>
        </w:rPr>
        <w:t>imum admissible level of narrow-</w:t>
      </w:r>
      <w:r w:rsidRPr="006357F0">
        <w:rPr>
          <w:lang w:val="en-GB"/>
        </w:rPr>
        <w:t xml:space="preserve">band interference at the input of the ARGOS4 antenna. </w:t>
      </w:r>
    </w:p>
    <w:p w:rsidR="00C458D0" w:rsidRPr="006357F0" w:rsidRDefault="00C458D0" w:rsidP="00AB676C">
      <w:pPr>
        <w:rPr>
          <w:lang w:val="en-GB"/>
        </w:rPr>
      </w:pPr>
      <w:r w:rsidRPr="006357F0">
        <w:rPr>
          <w:lang w:val="en-GB"/>
        </w:rPr>
        <w:t>The ARGOS4 receive antenna g</w:t>
      </w:r>
      <w:bookmarkStart w:id="3" w:name="_GoBack"/>
      <w:bookmarkEnd w:id="3"/>
      <w:r w:rsidRPr="006357F0">
        <w:rPr>
          <w:lang w:val="en-GB"/>
        </w:rPr>
        <w:t>ain pattern specification is expressed according to the nadir angle in Table </w:t>
      </w:r>
      <w:r w:rsidR="00AB676C">
        <w:rPr>
          <w:lang w:val="en-GB"/>
        </w:rPr>
        <w:t>1 (see § 2.1 above)</w:t>
      </w:r>
      <w:r w:rsidRPr="006357F0">
        <w:rPr>
          <w:lang w:val="en-GB"/>
        </w:rPr>
        <w:t>.</w:t>
      </w:r>
    </w:p>
    <w:p w:rsidR="00C458D0" w:rsidRPr="006357F0" w:rsidRDefault="00C458D0" w:rsidP="00BB4560">
      <w:pPr>
        <w:rPr>
          <w:lang w:val="en-GB"/>
        </w:rPr>
      </w:pPr>
      <w:r w:rsidRPr="006357F0">
        <w:rPr>
          <w:lang w:val="en-GB"/>
        </w:rPr>
        <w:t xml:space="preserve">Therefore, the maximum admissible power within the receiver and before the antenna equals </w:t>
      </w:r>
      <w:r w:rsidRPr="006357F0">
        <w:rPr>
          <w:lang w:val="en-GB"/>
        </w:rPr>
        <w:br/>
        <w:t>–176.8 </w:t>
      </w:r>
      <w:r w:rsidR="00BB4560" w:rsidRPr="006357F0">
        <w:rPr>
          <w:lang w:val="en-GB"/>
        </w:rPr>
        <w:t>+</w:t>
      </w:r>
      <w:r w:rsidRPr="006357F0">
        <w:rPr>
          <w:lang w:val="en-GB"/>
        </w:rPr>
        <w:t xml:space="preserve"> 1.6 (losses) </w:t>
      </w:r>
      <w:r w:rsidR="00BB4560" w:rsidRPr="006357F0">
        <w:rPr>
          <w:lang w:val="en-GB"/>
        </w:rPr>
        <w:t xml:space="preserve">= </w:t>
      </w:r>
      <w:r w:rsidRPr="006357F0">
        <w:rPr>
          <w:lang w:val="en-GB"/>
        </w:rPr>
        <w:t>–175.2 dBW.</w:t>
      </w:r>
      <w:r w:rsidR="00BB4560" w:rsidRPr="006357F0">
        <w:rPr>
          <w:lang w:val="en-GB"/>
        </w:rPr>
        <w:t xml:space="preserve"> </w:t>
      </w:r>
      <w:r w:rsidRPr="006357F0">
        <w:rPr>
          <w:lang w:val="en-GB"/>
        </w:rPr>
        <w:t>As the pfd is required, it is necessary to transform this figure in dB(W/m</w:t>
      </w:r>
      <w:r w:rsidRPr="006357F0">
        <w:rPr>
          <w:vertAlign w:val="superscript"/>
          <w:lang w:val="en-GB"/>
        </w:rPr>
        <w:t>2</w:t>
      </w:r>
      <w:r w:rsidRPr="006357F0">
        <w:rPr>
          <w:lang w:val="en-GB"/>
        </w:rPr>
        <w:t xml:space="preserve">). The highest satellite nadir angle is used to get an antenna gain of 3.85 dBi, which is transformed into an equivalent surface area using the formula: </w:t>
      </w:r>
      <w:r w:rsidR="00D26FED" w:rsidRPr="006357F0">
        <w:rPr>
          <w:position w:val="-24"/>
          <w:lang w:val="en-GB"/>
        </w:rPr>
        <w:object w:dxaOrig="999" w:dyaOrig="680">
          <v:shape id="_x0000_i1028" type="#_x0000_t75" style="width:50pt;height:33.5pt" o:ole="">
            <v:imagedata r:id="rId20" o:title=""/>
          </v:shape>
          <o:OLEObject Type="Embed" ProgID="Equation.3" ShapeID="_x0000_i1028" DrawAspect="Content" ObjectID="_1451822848" r:id="rId21"/>
        </w:object>
      </w:r>
      <w:r w:rsidRPr="006357F0">
        <w:rPr>
          <w:lang w:val="en-GB"/>
        </w:rPr>
        <w:t>. Therefore,</w:t>
      </w:r>
      <w:r w:rsidR="00F91B1F" w:rsidRPr="006357F0">
        <w:rPr>
          <w:lang w:val="en-GB"/>
        </w:rPr>
        <w:t xml:space="preserve"> </w:t>
      </w:r>
      <w:r w:rsidRPr="006357F0">
        <w:rPr>
          <w:lang w:val="en-GB"/>
        </w:rPr>
        <w:t>the</w:t>
      </w:r>
      <w:r w:rsidR="00F91B1F" w:rsidRPr="006357F0">
        <w:rPr>
          <w:lang w:val="en-GB"/>
        </w:rPr>
        <w:t xml:space="preserve"> </w:t>
      </w:r>
      <w:r w:rsidRPr="006357F0">
        <w:rPr>
          <w:lang w:val="en-GB"/>
        </w:rPr>
        <w:t xml:space="preserve">corresponding pfd equals </w:t>
      </w:r>
      <w:r w:rsidR="00BB4560" w:rsidRPr="006357F0">
        <w:rPr>
          <w:lang w:val="en-GB"/>
        </w:rPr>
        <w:t>–</w:t>
      </w:r>
      <w:r w:rsidRPr="006357F0">
        <w:rPr>
          <w:lang w:val="en-GB"/>
        </w:rPr>
        <w:t>175.2 </w:t>
      </w:r>
      <w:r w:rsidR="00BB4560" w:rsidRPr="006357F0">
        <w:rPr>
          <w:lang w:val="en-GB"/>
        </w:rPr>
        <w:t>–</w:t>
      </w:r>
      <w:r w:rsidRPr="006357F0">
        <w:rPr>
          <w:lang w:val="en-GB"/>
        </w:rPr>
        <w:t> 10 log</w:t>
      </w:r>
      <w:r w:rsidRPr="006357F0">
        <w:rPr>
          <w:vertAlign w:val="subscript"/>
          <w:lang w:val="en-GB"/>
        </w:rPr>
        <w:t>10</w:t>
      </w:r>
      <w:r w:rsidR="00D26FED" w:rsidRPr="006357F0">
        <w:rPr>
          <w:lang w:val="en-GB"/>
        </w:rPr>
        <w:t xml:space="preserve"> </w:t>
      </w:r>
      <w:r w:rsidRPr="006357F0">
        <w:rPr>
          <w:i/>
          <w:iCs/>
          <w:lang w:val="en-GB"/>
        </w:rPr>
        <w:t>S</w:t>
      </w:r>
      <w:r w:rsidRPr="006357F0">
        <w:rPr>
          <w:lang w:val="en-GB"/>
        </w:rPr>
        <w:t> </w:t>
      </w:r>
      <w:r w:rsidR="00BB4560" w:rsidRPr="006357F0">
        <w:rPr>
          <w:lang w:val="en-GB"/>
        </w:rPr>
        <w:t>=</w:t>
      </w:r>
      <w:r w:rsidRPr="006357F0">
        <w:rPr>
          <w:lang w:val="en-GB"/>
        </w:rPr>
        <w:t> </w:t>
      </w:r>
      <w:r w:rsidR="00BB4560" w:rsidRPr="006357F0">
        <w:rPr>
          <w:lang w:val="en-GB"/>
        </w:rPr>
        <w:t>–</w:t>
      </w:r>
      <w:r w:rsidRPr="006357F0">
        <w:rPr>
          <w:lang w:val="en-GB"/>
        </w:rPr>
        <w:t>165.4 dB(W/m</w:t>
      </w:r>
      <w:r w:rsidRPr="006357F0">
        <w:rPr>
          <w:vertAlign w:val="superscript"/>
          <w:lang w:val="en-GB"/>
        </w:rPr>
        <w:t>2</w:t>
      </w:r>
      <w:r w:rsidRPr="006357F0">
        <w:rPr>
          <w:lang w:val="en-GB"/>
        </w:rPr>
        <w:t>).</w:t>
      </w:r>
    </w:p>
    <w:p w:rsidR="00C458D0" w:rsidRPr="006357F0" w:rsidRDefault="00C458D0" w:rsidP="00C458D0">
      <w:pPr>
        <w:pStyle w:val="Heading2"/>
        <w:rPr>
          <w:lang w:val="en-GB"/>
        </w:rPr>
      </w:pPr>
      <w:r w:rsidRPr="006357F0">
        <w:rPr>
          <w:lang w:val="en-GB"/>
        </w:rPr>
        <w:t>3.2</w:t>
      </w:r>
      <w:r w:rsidRPr="006357F0">
        <w:rPr>
          <w:lang w:val="en-GB"/>
        </w:rPr>
        <w:tab/>
        <w:t>Conclusion</w:t>
      </w:r>
    </w:p>
    <w:p w:rsidR="00C458D0" w:rsidRPr="006357F0" w:rsidRDefault="00C458D0" w:rsidP="00F91B1F">
      <w:pPr>
        <w:rPr>
          <w:lang w:val="en-GB"/>
        </w:rPr>
      </w:pPr>
      <w:r w:rsidRPr="006357F0">
        <w:rPr>
          <w:lang w:val="en-GB"/>
        </w:rPr>
        <w:t xml:space="preserve">Following the above computations, the conclusions and recommendations regarding the impact of the aggregation of spectral narrow-band interference emissions, should not exceed </w:t>
      </w:r>
      <w:r w:rsidRPr="006357F0">
        <w:rPr>
          <w:lang w:val="en-GB"/>
        </w:rPr>
        <w:br/>
        <w:t>–165.4 dB(W/m</w:t>
      </w:r>
      <w:r w:rsidRPr="006357F0">
        <w:rPr>
          <w:vertAlign w:val="superscript"/>
          <w:lang w:val="en-GB"/>
        </w:rPr>
        <w:t>2</w:t>
      </w:r>
      <w:r w:rsidRPr="006357F0">
        <w:rPr>
          <w:lang w:val="en-GB"/>
        </w:rPr>
        <w:t>) at</w:t>
      </w:r>
      <w:r w:rsidR="00F91B1F" w:rsidRPr="006357F0">
        <w:rPr>
          <w:lang w:val="en-GB"/>
        </w:rPr>
        <w:t xml:space="preserve"> </w:t>
      </w:r>
      <w:r w:rsidRPr="006357F0">
        <w:rPr>
          <w:lang w:val="en-GB"/>
        </w:rPr>
        <w:t>the input of the ARGOS4 antenna for the frequency band 399.9-400.05 MHz, within a resolution bandwidth of 19 Hz.</w:t>
      </w:r>
    </w:p>
    <w:p w:rsidR="00BB4560" w:rsidRDefault="00BB4560" w:rsidP="00F91B1F">
      <w:pPr>
        <w:rPr>
          <w:lang w:val="en-GB"/>
        </w:rPr>
      </w:pPr>
    </w:p>
    <w:p w:rsidR="00177800" w:rsidRPr="006357F0" w:rsidRDefault="00177800" w:rsidP="00F91B1F">
      <w:pPr>
        <w:rPr>
          <w:lang w:val="en-GB"/>
        </w:rPr>
      </w:pPr>
    </w:p>
    <w:p w:rsidR="00C458D0" w:rsidRPr="006357F0" w:rsidRDefault="00C458D0" w:rsidP="00C458D0">
      <w:pPr>
        <w:rPr>
          <w:lang w:val="en-GB" w:eastAsia="zh-CN"/>
        </w:rPr>
      </w:pPr>
    </w:p>
    <w:p w:rsidR="00C458D0" w:rsidRPr="006357F0" w:rsidRDefault="00C458D0" w:rsidP="00F91B1F">
      <w:pPr>
        <w:pStyle w:val="Line"/>
        <w:rPr>
          <w:lang w:eastAsia="zh-CN"/>
        </w:rPr>
      </w:pPr>
    </w:p>
    <w:p w:rsidR="00C458D0" w:rsidRPr="006357F0" w:rsidRDefault="00C458D0" w:rsidP="00C458D0">
      <w:pPr>
        <w:rPr>
          <w:lang w:val="en-GB"/>
        </w:rPr>
      </w:pPr>
    </w:p>
    <w:sectPr w:rsidR="00C458D0" w:rsidRPr="006357F0" w:rsidSect="00177800">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8D0" w:rsidRDefault="00C458D0">
      <w:r>
        <w:separator/>
      </w:r>
    </w:p>
  </w:endnote>
  <w:endnote w:type="continuationSeparator" w:id="0">
    <w:p w:rsidR="00C458D0" w:rsidRDefault="00C4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8D0" w:rsidRDefault="00C458D0">
      <w:r>
        <w:separator/>
      </w:r>
    </w:p>
  </w:footnote>
  <w:footnote w:type="continuationSeparator" w:id="0">
    <w:p w:rsidR="00C458D0" w:rsidRDefault="00C458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8D0" w:rsidRDefault="00C458D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8D0" w:rsidRDefault="00C458D0" w:rsidP="00B033C8">
    <w:pPr>
      <w:ind w:right="360" w:firstLine="360"/>
    </w:pPr>
    <w:r>
      <w:rPr>
        <w:noProof/>
        <w:lang w:val="en-US" w:eastAsia="zh-CN"/>
      </w:rPr>
      <w:drawing>
        <wp:anchor distT="0" distB="0" distL="114300" distR="114300" simplePos="0" relativeHeight="251659264" behindDoc="1" locked="0" layoutInCell="1" allowOverlap="1" wp14:anchorId="486D24C2" wp14:editId="1E27F7D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8D0" w:rsidRPr="00FC42AF" w:rsidRDefault="00C458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9A4EE3" w:rsidRPr="009A4EE3">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A4EE3">
      <w:rPr>
        <w:b/>
        <w:bCs/>
        <w:noProof/>
      </w:rPr>
      <w:t>ITU-R  M.2046</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8D0" w:rsidRPr="00FC42AF" w:rsidRDefault="00C458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B676C">
      <w:rPr>
        <w:rStyle w:val="PageNumber"/>
        <w:b/>
        <w:bCs/>
        <w:noProof/>
      </w:rPr>
      <w:t>ii</w:t>
    </w:r>
    <w:r>
      <w:rPr>
        <w:rStyle w:val="PageNumber"/>
        <w:b/>
        <w:bCs/>
      </w:rPr>
      <w:fldChar w:fldCharType="end"/>
    </w:r>
    <w:r w:rsidRPr="00FC42AF">
      <w:tab/>
    </w:r>
    <w:fldSimple w:instr=" DOCPROPERTY &quot;Header&quot; \* MERGEFORMAT ">
      <w:r w:rsidR="009A4EE3" w:rsidRPr="009A4EE3">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B676C">
      <w:rPr>
        <w:b/>
        <w:bCs/>
        <w:noProof/>
      </w:rPr>
      <w:t>ITU-R  M.2046</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8D0" w:rsidRDefault="00C458D0">
    <w:r>
      <w:tab/>
    </w:r>
    <w:fldSimple w:instr=" DOCPROPERTY &quot;Header&quot; \* MERGEFORMAT ">
      <w:r w:rsidR="009A4EE3" w:rsidRPr="009A4EE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4EE3">
      <w:rPr>
        <w:b/>
        <w:bCs/>
        <w:noProof/>
      </w:rPr>
      <w:t>ITU-R  M.2046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B676C">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A4EE3" w:rsidRPr="009A4EE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B676C">
      <w:rPr>
        <w:b/>
        <w:bCs/>
        <w:noProof/>
      </w:rPr>
      <w:t>ITU-R  M.2046</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AB676C">
      <w:fldChar w:fldCharType="begin"/>
    </w:r>
    <w:r w:rsidR="00AB676C">
      <w:instrText xml:space="preserve"> DOCPROPERTY "Header" \* MERGEFORMAT </w:instrText>
    </w:r>
    <w:r w:rsidR="00AB676C">
      <w:fldChar w:fldCharType="separate"/>
    </w:r>
    <w:r w:rsidR="009A4EE3" w:rsidRPr="009A4EE3">
      <w:rPr>
        <w:b/>
        <w:bCs/>
      </w:rPr>
      <w:t xml:space="preserve">Rec. </w:t>
    </w:r>
    <w:r w:rsidR="00AB676C">
      <w:rPr>
        <w:b/>
        <w:bCs/>
      </w:rPr>
      <w:fldChar w:fldCharType="end"/>
    </w:r>
    <w:r>
      <w:rPr>
        <w:b/>
        <w:bCs/>
      </w:rPr>
      <w:t xml:space="preserve"> </w:t>
    </w:r>
    <w:r>
      <w:rPr>
        <w:b/>
        <w:bCs/>
      </w:rPr>
      <w:fldChar w:fldCharType="begin"/>
    </w:r>
    <w:r>
      <w:rPr>
        <w:b/>
        <w:bCs/>
      </w:rPr>
      <w:instrText>styleref href</w:instrText>
    </w:r>
    <w:r>
      <w:rPr>
        <w:b/>
        <w:bCs/>
      </w:rPr>
      <w:fldChar w:fldCharType="separate"/>
    </w:r>
    <w:r w:rsidR="00AB676C">
      <w:rPr>
        <w:b/>
        <w:bCs/>
        <w:noProof/>
      </w:rPr>
      <w:t>ITU-R  M.2046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676C">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8D0"/>
    <w:rsid w:val="0006209A"/>
    <w:rsid w:val="00177800"/>
    <w:rsid w:val="00217EBF"/>
    <w:rsid w:val="00242AEE"/>
    <w:rsid w:val="002A4F3A"/>
    <w:rsid w:val="002D76C4"/>
    <w:rsid w:val="004A521C"/>
    <w:rsid w:val="0052529D"/>
    <w:rsid w:val="00607D68"/>
    <w:rsid w:val="006357F0"/>
    <w:rsid w:val="007468DA"/>
    <w:rsid w:val="008332A9"/>
    <w:rsid w:val="00891F7B"/>
    <w:rsid w:val="009064FE"/>
    <w:rsid w:val="009A4EE3"/>
    <w:rsid w:val="009E00A8"/>
    <w:rsid w:val="00A42CC7"/>
    <w:rsid w:val="00A6617B"/>
    <w:rsid w:val="00AB0DC8"/>
    <w:rsid w:val="00AB676C"/>
    <w:rsid w:val="00B36954"/>
    <w:rsid w:val="00B44E24"/>
    <w:rsid w:val="00BB4560"/>
    <w:rsid w:val="00C458D0"/>
    <w:rsid w:val="00D26FED"/>
    <w:rsid w:val="00DA094B"/>
    <w:rsid w:val="00DF4176"/>
    <w:rsid w:val="00EB385C"/>
    <w:rsid w:val="00F91B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B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1B1F"/>
    <w:pPr>
      <w:keepNext/>
      <w:keepLines/>
      <w:spacing w:before="480"/>
      <w:ind w:left="794" w:hanging="794"/>
      <w:outlineLvl w:val="0"/>
    </w:pPr>
    <w:rPr>
      <w:b/>
    </w:rPr>
  </w:style>
  <w:style w:type="paragraph" w:styleId="Heading2">
    <w:name w:val="heading 2"/>
    <w:basedOn w:val="Heading1"/>
    <w:next w:val="Normal"/>
    <w:qFormat/>
    <w:rsid w:val="00F91B1F"/>
    <w:pPr>
      <w:spacing w:before="320"/>
      <w:outlineLvl w:val="1"/>
    </w:pPr>
  </w:style>
  <w:style w:type="paragraph" w:styleId="Heading3">
    <w:name w:val="heading 3"/>
    <w:basedOn w:val="Heading1"/>
    <w:next w:val="Normal"/>
    <w:qFormat/>
    <w:rsid w:val="00F91B1F"/>
    <w:pPr>
      <w:spacing w:before="200"/>
      <w:outlineLvl w:val="2"/>
    </w:pPr>
  </w:style>
  <w:style w:type="paragraph" w:styleId="Heading4">
    <w:name w:val="heading 4"/>
    <w:basedOn w:val="Heading3"/>
    <w:next w:val="Normal"/>
    <w:qFormat/>
    <w:rsid w:val="00F91B1F"/>
    <w:pPr>
      <w:tabs>
        <w:tab w:val="clear" w:pos="794"/>
        <w:tab w:val="left" w:pos="992"/>
      </w:tabs>
      <w:ind w:left="992" w:hanging="992"/>
      <w:outlineLvl w:val="3"/>
    </w:pPr>
  </w:style>
  <w:style w:type="paragraph" w:styleId="Heading5">
    <w:name w:val="heading 5"/>
    <w:basedOn w:val="Heading4"/>
    <w:next w:val="Normal"/>
    <w:qFormat/>
    <w:rsid w:val="00F91B1F"/>
    <w:pPr>
      <w:outlineLvl w:val="4"/>
    </w:pPr>
  </w:style>
  <w:style w:type="paragraph" w:styleId="Heading6">
    <w:name w:val="heading 6"/>
    <w:basedOn w:val="Heading4"/>
    <w:next w:val="Normal"/>
    <w:qFormat/>
    <w:rsid w:val="00F91B1F"/>
    <w:pPr>
      <w:tabs>
        <w:tab w:val="clear" w:pos="992"/>
        <w:tab w:val="clear" w:pos="1191"/>
      </w:tabs>
      <w:ind w:left="1588" w:hanging="1588"/>
      <w:outlineLvl w:val="5"/>
    </w:pPr>
  </w:style>
  <w:style w:type="paragraph" w:styleId="Heading7">
    <w:name w:val="heading 7"/>
    <w:basedOn w:val="Heading6"/>
    <w:next w:val="Normal"/>
    <w:qFormat/>
    <w:rsid w:val="00F91B1F"/>
    <w:pPr>
      <w:outlineLvl w:val="6"/>
    </w:pPr>
  </w:style>
  <w:style w:type="paragraph" w:styleId="Heading8">
    <w:name w:val="heading 8"/>
    <w:basedOn w:val="Heading6"/>
    <w:next w:val="Normal"/>
    <w:qFormat/>
    <w:rsid w:val="00F91B1F"/>
    <w:pPr>
      <w:outlineLvl w:val="7"/>
    </w:pPr>
  </w:style>
  <w:style w:type="paragraph" w:styleId="Heading9">
    <w:name w:val="heading 9"/>
    <w:basedOn w:val="Heading6"/>
    <w:next w:val="Normal"/>
    <w:qFormat/>
    <w:rsid w:val="00F91B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1B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91B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1B1F"/>
  </w:style>
  <w:style w:type="paragraph" w:customStyle="1" w:styleId="Headingb">
    <w:name w:val="Heading_b"/>
    <w:basedOn w:val="Heading3"/>
    <w:next w:val="Normal"/>
    <w:rsid w:val="00F91B1F"/>
    <w:pPr>
      <w:spacing w:before="160"/>
      <w:ind w:left="0" w:firstLine="0"/>
      <w:outlineLvl w:val="9"/>
    </w:pPr>
  </w:style>
  <w:style w:type="paragraph" w:customStyle="1" w:styleId="Headingi">
    <w:name w:val="Heading_i"/>
    <w:basedOn w:val="Heading3"/>
    <w:next w:val="Normal"/>
    <w:rsid w:val="00F91B1F"/>
    <w:pPr>
      <w:spacing w:before="160"/>
      <w:ind w:left="0" w:firstLine="0"/>
    </w:pPr>
    <w:rPr>
      <w:b w:val="0"/>
      <w:i/>
    </w:rPr>
  </w:style>
  <w:style w:type="character" w:customStyle="1" w:styleId="href">
    <w:name w:val="href"/>
    <w:basedOn w:val="DefaultParagraphFont"/>
    <w:rsid w:val="00F91B1F"/>
  </w:style>
  <w:style w:type="paragraph" w:customStyle="1" w:styleId="enumlev1">
    <w:name w:val="enumlev1"/>
    <w:basedOn w:val="Normal"/>
    <w:link w:val="enumlev1Char"/>
    <w:rsid w:val="00F91B1F"/>
    <w:pPr>
      <w:spacing w:before="80"/>
      <w:ind w:left="794" w:hanging="794"/>
    </w:pPr>
  </w:style>
  <w:style w:type="paragraph" w:customStyle="1" w:styleId="enumlev2">
    <w:name w:val="enumlev2"/>
    <w:basedOn w:val="enumlev1"/>
    <w:rsid w:val="00F91B1F"/>
    <w:pPr>
      <w:ind w:left="1191" w:hanging="397"/>
    </w:pPr>
  </w:style>
  <w:style w:type="paragraph" w:customStyle="1" w:styleId="enumlev3">
    <w:name w:val="enumlev3"/>
    <w:basedOn w:val="enumlev2"/>
    <w:rsid w:val="00F91B1F"/>
    <w:pPr>
      <w:ind w:left="1588"/>
    </w:pPr>
  </w:style>
  <w:style w:type="paragraph" w:customStyle="1" w:styleId="Normalaftertitle">
    <w:name w:val="Normal_after_title"/>
    <w:basedOn w:val="Normal"/>
    <w:next w:val="Normal"/>
    <w:rsid w:val="00F91B1F"/>
    <w:pPr>
      <w:spacing w:before="320"/>
    </w:pPr>
  </w:style>
  <w:style w:type="paragraph" w:customStyle="1" w:styleId="Note">
    <w:name w:val="Note"/>
    <w:basedOn w:val="Normal"/>
    <w:rsid w:val="00F91B1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1B1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91B1F"/>
    <w:pPr>
      <w:spacing w:before="240"/>
    </w:pPr>
    <w:rPr>
      <w:sz w:val="22"/>
      <w:lang w:val="es-ES_tradnl"/>
    </w:rPr>
  </w:style>
  <w:style w:type="paragraph" w:customStyle="1" w:styleId="Recref">
    <w:name w:val="Rec_ref"/>
    <w:basedOn w:val="Normal"/>
    <w:next w:val="Recdate"/>
    <w:rsid w:val="00F91B1F"/>
    <w:pPr>
      <w:jc w:val="center"/>
    </w:pPr>
  </w:style>
  <w:style w:type="paragraph" w:customStyle="1" w:styleId="Recdate">
    <w:name w:val="Rec_date"/>
    <w:basedOn w:val="Recref"/>
    <w:next w:val="Normalaftertitle"/>
    <w:rsid w:val="00F91B1F"/>
    <w:pPr>
      <w:jc w:val="right"/>
    </w:pPr>
  </w:style>
  <w:style w:type="paragraph" w:customStyle="1" w:styleId="AnnexNoTitle">
    <w:name w:val="Annex_NoTitle"/>
    <w:basedOn w:val="Normal"/>
    <w:next w:val="Normalaftertitle"/>
    <w:rsid w:val="00F91B1F"/>
    <w:pPr>
      <w:keepNext/>
      <w:keepLines/>
      <w:spacing w:before="480" w:after="80"/>
      <w:jc w:val="center"/>
    </w:pPr>
    <w:rPr>
      <w:b/>
      <w:sz w:val="28"/>
    </w:rPr>
  </w:style>
  <w:style w:type="paragraph" w:customStyle="1" w:styleId="AppendixNoTitle">
    <w:name w:val="Appendix_NoTitle"/>
    <w:basedOn w:val="AnnexNoTitle"/>
    <w:next w:val="Normal"/>
    <w:rsid w:val="00F91B1F"/>
  </w:style>
  <w:style w:type="paragraph" w:customStyle="1" w:styleId="Tablefin">
    <w:name w:val="Table_fin"/>
    <w:basedOn w:val="Normal"/>
    <w:next w:val="Normal"/>
    <w:rsid w:val="00F91B1F"/>
    <w:pPr>
      <w:spacing w:before="0"/>
    </w:pPr>
    <w:rPr>
      <w:sz w:val="20"/>
      <w:lang w:val="en-GB"/>
    </w:rPr>
  </w:style>
  <w:style w:type="paragraph" w:customStyle="1" w:styleId="Tablehead">
    <w:name w:val="Table_head"/>
    <w:basedOn w:val="Normal"/>
    <w:next w:val="Normal"/>
    <w:link w:val="TableheadChar"/>
    <w:rsid w:val="00F91B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1B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91B1F"/>
    <w:pPr>
      <w:keepNext/>
      <w:spacing w:before="360" w:after="120"/>
      <w:jc w:val="center"/>
    </w:pPr>
  </w:style>
  <w:style w:type="paragraph" w:customStyle="1" w:styleId="Tabletext">
    <w:name w:val="Table_text"/>
    <w:basedOn w:val="Normal"/>
    <w:link w:val="TabletextChar"/>
    <w:rsid w:val="00F91B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91B1F"/>
    <w:pPr>
      <w:tabs>
        <w:tab w:val="clear" w:pos="1191"/>
        <w:tab w:val="clear" w:pos="1588"/>
        <w:tab w:val="clear" w:pos="1985"/>
        <w:tab w:val="center" w:pos="4820"/>
        <w:tab w:val="right" w:pos="9639"/>
      </w:tabs>
    </w:pPr>
  </w:style>
  <w:style w:type="paragraph" w:customStyle="1" w:styleId="Equationlegend">
    <w:name w:val="Equation_legend"/>
    <w:basedOn w:val="NormalIndent"/>
    <w:rsid w:val="00F91B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1B1F"/>
    <w:pPr>
      <w:ind w:left="794"/>
    </w:pPr>
  </w:style>
  <w:style w:type="paragraph" w:customStyle="1" w:styleId="Figurelegend">
    <w:name w:val="Figure_legend"/>
    <w:basedOn w:val="Normal"/>
    <w:rsid w:val="00F91B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1B1F"/>
    <w:pPr>
      <w:keepNext/>
      <w:keepLines/>
      <w:spacing w:before="480" w:after="80"/>
      <w:jc w:val="center"/>
    </w:pPr>
    <w:rPr>
      <w:caps/>
      <w:sz w:val="18"/>
    </w:rPr>
  </w:style>
  <w:style w:type="paragraph" w:customStyle="1" w:styleId="tocpart">
    <w:name w:val="tocpart"/>
    <w:basedOn w:val="Normal"/>
    <w:rsid w:val="00F91B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1B1F"/>
    <w:pPr>
      <w:keepNext/>
      <w:keepLines/>
      <w:spacing w:before="480"/>
      <w:jc w:val="center"/>
    </w:pPr>
    <w:rPr>
      <w:sz w:val="28"/>
    </w:rPr>
  </w:style>
  <w:style w:type="paragraph" w:customStyle="1" w:styleId="Arttitle">
    <w:name w:val="Art_title"/>
    <w:basedOn w:val="Normal"/>
    <w:next w:val="Normalaftertitle"/>
    <w:rsid w:val="00F91B1F"/>
    <w:pPr>
      <w:keepNext/>
      <w:keepLines/>
      <w:spacing w:before="240"/>
      <w:jc w:val="center"/>
    </w:pPr>
    <w:rPr>
      <w:b/>
      <w:sz w:val="28"/>
    </w:rPr>
  </w:style>
  <w:style w:type="paragraph" w:customStyle="1" w:styleId="Blanc">
    <w:name w:val="Blanc"/>
    <w:basedOn w:val="Normal"/>
    <w:next w:val="Tabletext"/>
    <w:rsid w:val="00F91B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1B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91B1F"/>
    <w:pPr>
      <w:keepNext/>
      <w:keepLines/>
      <w:spacing w:before="160"/>
      <w:ind w:left="794"/>
    </w:pPr>
    <w:rPr>
      <w:i/>
    </w:rPr>
  </w:style>
  <w:style w:type="paragraph" w:customStyle="1" w:styleId="ChapNo">
    <w:name w:val="Chap_No"/>
    <w:basedOn w:val="ArtNo"/>
    <w:next w:val="Chaptitle"/>
    <w:rsid w:val="00F91B1F"/>
    <w:rPr>
      <w:b/>
    </w:rPr>
  </w:style>
  <w:style w:type="paragraph" w:customStyle="1" w:styleId="Chaptitle">
    <w:name w:val="Chap_title"/>
    <w:basedOn w:val="Arttitle"/>
    <w:next w:val="Normalaftertitle"/>
    <w:rsid w:val="00F91B1F"/>
  </w:style>
  <w:style w:type="character" w:styleId="FootnoteReference">
    <w:name w:val="footnote reference"/>
    <w:basedOn w:val="DefaultParagraphFont"/>
    <w:semiHidden/>
    <w:rsid w:val="00F91B1F"/>
    <w:rPr>
      <w:position w:val="6"/>
      <w:sz w:val="18"/>
    </w:rPr>
  </w:style>
  <w:style w:type="paragraph" w:styleId="FootnoteText">
    <w:name w:val="footnote text"/>
    <w:basedOn w:val="Normal"/>
    <w:semiHidden/>
    <w:rsid w:val="00F91B1F"/>
    <w:pPr>
      <w:keepLines/>
      <w:tabs>
        <w:tab w:val="left" w:pos="255"/>
      </w:tabs>
      <w:ind w:left="255" w:hanging="255"/>
    </w:pPr>
    <w:rPr>
      <w:sz w:val="22"/>
    </w:rPr>
  </w:style>
  <w:style w:type="paragraph" w:styleId="Index1">
    <w:name w:val="index 1"/>
    <w:basedOn w:val="Normal"/>
    <w:next w:val="Normal"/>
    <w:semiHidden/>
    <w:rsid w:val="00F91B1F"/>
  </w:style>
  <w:style w:type="paragraph" w:styleId="Index2">
    <w:name w:val="index 2"/>
    <w:basedOn w:val="Normal"/>
    <w:next w:val="Normal"/>
    <w:semiHidden/>
    <w:rsid w:val="00F91B1F"/>
    <w:pPr>
      <w:ind w:left="283"/>
    </w:pPr>
  </w:style>
  <w:style w:type="paragraph" w:styleId="Index3">
    <w:name w:val="index 3"/>
    <w:basedOn w:val="Normal"/>
    <w:next w:val="Normal"/>
    <w:semiHidden/>
    <w:rsid w:val="00F91B1F"/>
    <w:pPr>
      <w:ind w:left="566"/>
    </w:pPr>
  </w:style>
  <w:style w:type="paragraph" w:styleId="IndexHeading">
    <w:name w:val="index heading"/>
    <w:basedOn w:val="Normal"/>
    <w:next w:val="Index1"/>
    <w:semiHidden/>
    <w:rsid w:val="00F91B1F"/>
  </w:style>
  <w:style w:type="paragraph" w:customStyle="1" w:styleId="Line">
    <w:name w:val="Line"/>
    <w:basedOn w:val="Normal"/>
    <w:next w:val="Normal"/>
    <w:rsid w:val="00F91B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1B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1B1F"/>
  </w:style>
  <w:style w:type="paragraph" w:customStyle="1" w:styleId="Partref">
    <w:name w:val="Part_ref"/>
    <w:basedOn w:val="Normal"/>
    <w:next w:val="Normal"/>
    <w:rsid w:val="00F91B1F"/>
    <w:pPr>
      <w:keepNext/>
      <w:keepLines/>
      <w:spacing w:after="280"/>
      <w:jc w:val="center"/>
    </w:pPr>
  </w:style>
  <w:style w:type="paragraph" w:customStyle="1" w:styleId="Parttitle">
    <w:name w:val="Part_title"/>
    <w:basedOn w:val="Normal"/>
    <w:next w:val="Normalaftertitle"/>
    <w:rsid w:val="00F91B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1B1F"/>
  </w:style>
  <w:style w:type="paragraph" w:customStyle="1" w:styleId="QuestionNo">
    <w:name w:val="Question_No"/>
    <w:basedOn w:val="RecNo"/>
    <w:next w:val="Normal"/>
    <w:rsid w:val="00F91B1F"/>
  </w:style>
  <w:style w:type="paragraph" w:customStyle="1" w:styleId="Questionref">
    <w:name w:val="Question_ref"/>
    <w:basedOn w:val="Recref"/>
    <w:next w:val="Questiondate"/>
    <w:rsid w:val="00F91B1F"/>
  </w:style>
  <w:style w:type="paragraph" w:customStyle="1" w:styleId="Questiontitle">
    <w:name w:val="Question_title"/>
    <w:basedOn w:val="Normal"/>
    <w:next w:val="Questionref"/>
    <w:rsid w:val="00F91B1F"/>
  </w:style>
  <w:style w:type="paragraph" w:customStyle="1" w:styleId="Reftext">
    <w:name w:val="Ref_text"/>
    <w:basedOn w:val="Normal"/>
    <w:rsid w:val="00F91B1F"/>
    <w:pPr>
      <w:ind w:left="794" w:hanging="794"/>
    </w:pPr>
    <w:rPr>
      <w:sz w:val="22"/>
    </w:rPr>
  </w:style>
  <w:style w:type="paragraph" w:customStyle="1" w:styleId="Reftitle">
    <w:name w:val="Ref_title"/>
    <w:basedOn w:val="Normal"/>
    <w:next w:val="Reftext"/>
    <w:rsid w:val="00F91B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1B1F"/>
  </w:style>
  <w:style w:type="paragraph" w:customStyle="1" w:styleId="RepNo">
    <w:name w:val="Rep_No"/>
    <w:basedOn w:val="RecNo"/>
    <w:next w:val="Reptitle"/>
    <w:rsid w:val="00F91B1F"/>
  </w:style>
  <w:style w:type="paragraph" w:customStyle="1" w:styleId="Repref">
    <w:name w:val="Rep_ref"/>
    <w:basedOn w:val="Recref"/>
    <w:next w:val="Repdate"/>
    <w:rsid w:val="00F91B1F"/>
  </w:style>
  <w:style w:type="paragraph" w:customStyle="1" w:styleId="Reptitle">
    <w:name w:val="Rep_title"/>
    <w:basedOn w:val="Rectitle"/>
    <w:next w:val="Repref"/>
    <w:rsid w:val="00F91B1F"/>
  </w:style>
  <w:style w:type="paragraph" w:customStyle="1" w:styleId="Resdate">
    <w:name w:val="Res_date"/>
    <w:basedOn w:val="Recdate"/>
    <w:next w:val="Normalaftertitle"/>
    <w:rsid w:val="00F91B1F"/>
  </w:style>
  <w:style w:type="paragraph" w:customStyle="1" w:styleId="ResNo">
    <w:name w:val="Res_No"/>
    <w:basedOn w:val="RecNo"/>
    <w:next w:val="Restitle"/>
    <w:rsid w:val="00F91B1F"/>
  </w:style>
  <w:style w:type="paragraph" w:customStyle="1" w:styleId="Resref">
    <w:name w:val="Res_ref"/>
    <w:basedOn w:val="Recref"/>
    <w:next w:val="Resdate"/>
    <w:rsid w:val="00F91B1F"/>
  </w:style>
  <w:style w:type="paragraph" w:customStyle="1" w:styleId="Restitle">
    <w:name w:val="Res_title"/>
    <w:basedOn w:val="Normal"/>
    <w:next w:val="Resref"/>
    <w:rsid w:val="00F91B1F"/>
    <w:pPr>
      <w:spacing w:before="240"/>
      <w:jc w:val="center"/>
    </w:pPr>
    <w:rPr>
      <w:b/>
      <w:sz w:val="28"/>
    </w:rPr>
  </w:style>
  <w:style w:type="paragraph" w:customStyle="1" w:styleId="SectionNo">
    <w:name w:val="Section_No"/>
    <w:basedOn w:val="Normal"/>
    <w:next w:val="Normal"/>
    <w:rsid w:val="00F91B1F"/>
  </w:style>
  <w:style w:type="paragraph" w:customStyle="1" w:styleId="Sectiontitle">
    <w:name w:val="Section_title"/>
    <w:basedOn w:val="Normal"/>
    <w:next w:val="Normalaftertitle"/>
    <w:rsid w:val="00F91B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1B1F"/>
    <w:pPr>
      <w:tabs>
        <w:tab w:val="clear" w:pos="794"/>
        <w:tab w:val="clear" w:pos="1191"/>
        <w:tab w:val="clear" w:pos="1588"/>
        <w:tab w:val="clear" w:pos="1985"/>
        <w:tab w:val="right" w:pos="9611"/>
      </w:tabs>
    </w:pPr>
    <w:rPr>
      <w:i/>
    </w:rPr>
  </w:style>
  <w:style w:type="paragraph" w:styleId="TOC1">
    <w:name w:val="toc 1"/>
    <w:basedOn w:val="Normal"/>
    <w:semiHidden/>
    <w:rsid w:val="00F91B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1B1F"/>
    <w:pPr>
      <w:tabs>
        <w:tab w:val="clear" w:pos="567"/>
        <w:tab w:val="left" w:pos="1276"/>
      </w:tabs>
      <w:spacing w:before="160"/>
      <w:ind w:left="1276" w:hanging="709"/>
    </w:pPr>
  </w:style>
  <w:style w:type="paragraph" w:styleId="TOC3">
    <w:name w:val="toc 3"/>
    <w:basedOn w:val="TOC2"/>
    <w:semiHidden/>
    <w:rsid w:val="00F91B1F"/>
    <w:pPr>
      <w:tabs>
        <w:tab w:val="clear" w:pos="1276"/>
        <w:tab w:val="left" w:pos="2155"/>
      </w:tabs>
      <w:ind w:left="2155" w:hanging="879"/>
    </w:pPr>
  </w:style>
  <w:style w:type="paragraph" w:styleId="TOC4">
    <w:name w:val="toc 4"/>
    <w:basedOn w:val="TOC3"/>
    <w:semiHidden/>
    <w:rsid w:val="00F91B1F"/>
    <w:pPr>
      <w:tabs>
        <w:tab w:val="left" w:pos="3261"/>
      </w:tabs>
      <w:spacing w:before="80"/>
      <w:ind w:left="3261" w:hanging="993"/>
    </w:pPr>
  </w:style>
  <w:style w:type="paragraph" w:styleId="TOC5">
    <w:name w:val="toc 5"/>
    <w:basedOn w:val="TOC4"/>
    <w:semiHidden/>
    <w:rsid w:val="00F91B1F"/>
  </w:style>
  <w:style w:type="paragraph" w:styleId="TOC6">
    <w:name w:val="toc 6"/>
    <w:basedOn w:val="TOC4"/>
    <w:semiHidden/>
    <w:rsid w:val="00F91B1F"/>
  </w:style>
  <w:style w:type="paragraph" w:styleId="TOC7">
    <w:name w:val="toc 7"/>
    <w:basedOn w:val="TOC4"/>
    <w:semiHidden/>
    <w:rsid w:val="00F91B1F"/>
  </w:style>
  <w:style w:type="paragraph" w:styleId="TOC8">
    <w:name w:val="toc 8"/>
    <w:basedOn w:val="TOC4"/>
    <w:semiHidden/>
    <w:rsid w:val="00F91B1F"/>
  </w:style>
  <w:style w:type="paragraph" w:customStyle="1" w:styleId="Rectitle">
    <w:name w:val="Rec_title"/>
    <w:basedOn w:val="Normal"/>
    <w:next w:val="Recref"/>
    <w:rsid w:val="00F91B1F"/>
    <w:pPr>
      <w:keepNext/>
      <w:keepLines/>
      <w:spacing w:before="240"/>
      <w:jc w:val="center"/>
    </w:pPr>
    <w:rPr>
      <w:b/>
      <w:sz w:val="28"/>
    </w:rPr>
  </w:style>
  <w:style w:type="paragraph" w:customStyle="1" w:styleId="Annexref">
    <w:name w:val="Annex_ref"/>
    <w:basedOn w:val="Normal"/>
    <w:next w:val="Normalaftertitle"/>
    <w:rsid w:val="00F91B1F"/>
    <w:pPr>
      <w:keepNext/>
      <w:keepLines/>
      <w:spacing w:after="280"/>
      <w:jc w:val="center"/>
    </w:pPr>
  </w:style>
  <w:style w:type="paragraph" w:customStyle="1" w:styleId="Appendixref">
    <w:name w:val="Appendix_ref"/>
    <w:basedOn w:val="Annexref"/>
    <w:next w:val="Normalaftertitle"/>
    <w:rsid w:val="00F91B1F"/>
  </w:style>
  <w:style w:type="paragraph" w:customStyle="1" w:styleId="Figuretitle">
    <w:name w:val="Figure_title"/>
    <w:basedOn w:val="Normal"/>
    <w:next w:val="Figure"/>
    <w:rsid w:val="00F91B1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F91B1F"/>
    <w:pPr>
      <w:keepNext/>
      <w:spacing w:before="0" w:after="120"/>
      <w:jc w:val="center"/>
    </w:pPr>
    <w:rPr>
      <w:b/>
    </w:rPr>
  </w:style>
  <w:style w:type="paragraph" w:customStyle="1" w:styleId="Summary">
    <w:name w:val="Summary"/>
    <w:basedOn w:val="Normal"/>
    <w:next w:val="Normalaftertitle"/>
    <w:autoRedefine/>
    <w:rsid w:val="00F91B1F"/>
    <w:pPr>
      <w:spacing w:after="480"/>
    </w:pPr>
    <w:rPr>
      <w:sz w:val="22"/>
      <w:lang w:val="es-ES_tradnl"/>
    </w:rPr>
  </w:style>
  <w:style w:type="paragraph" w:customStyle="1" w:styleId="TableLegendNote">
    <w:name w:val="Table_Legend_Note"/>
    <w:basedOn w:val="Tablelegend"/>
    <w:next w:val="Tablelegend"/>
    <w:rsid w:val="00F91B1F"/>
    <w:pPr>
      <w:ind w:left="-85" w:firstLine="0"/>
    </w:pPr>
    <w:rPr>
      <w:lang w:val="en-US"/>
    </w:rPr>
  </w:style>
  <w:style w:type="paragraph" w:customStyle="1" w:styleId="Figure">
    <w:name w:val="Figure"/>
    <w:basedOn w:val="FigureNo"/>
    <w:next w:val="Normal"/>
    <w:rsid w:val="00F91B1F"/>
    <w:pPr>
      <w:keepNext w:val="0"/>
      <w:spacing w:before="0" w:after="240"/>
    </w:pPr>
  </w:style>
  <w:style w:type="character" w:customStyle="1" w:styleId="TableheadChar">
    <w:name w:val="Table_head Char"/>
    <w:basedOn w:val="DefaultParagraphFont"/>
    <w:link w:val="Tablehead"/>
    <w:locked/>
    <w:rsid w:val="00C458D0"/>
    <w:rPr>
      <w:b/>
      <w:sz w:val="22"/>
      <w:lang w:val="fr-FR" w:eastAsia="en-US"/>
    </w:rPr>
  </w:style>
  <w:style w:type="character" w:customStyle="1" w:styleId="TabletextChar">
    <w:name w:val="Table_text Char"/>
    <w:basedOn w:val="DefaultParagraphFont"/>
    <w:link w:val="Tabletext"/>
    <w:locked/>
    <w:rsid w:val="00C458D0"/>
    <w:rPr>
      <w:sz w:val="22"/>
      <w:lang w:val="fr-FR" w:eastAsia="en-US"/>
    </w:rPr>
  </w:style>
  <w:style w:type="character" w:styleId="Hyperlink">
    <w:name w:val="Hyperlink"/>
    <w:basedOn w:val="DefaultParagraphFont"/>
    <w:rsid w:val="00C458D0"/>
    <w:rPr>
      <w:color w:val="0000FF"/>
      <w:u w:val="single"/>
    </w:rPr>
  </w:style>
  <w:style w:type="character" w:customStyle="1" w:styleId="Tabletitle0">
    <w:name w:val="Table_title Знак"/>
    <w:link w:val="Tabletitle"/>
    <w:locked/>
    <w:rsid w:val="00C458D0"/>
    <w:rPr>
      <w:b/>
      <w:sz w:val="24"/>
      <w:lang w:val="fr-FR" w:eastAsia="en-US"/>
    </w:rPr>
  </w:style>
  <w:style w:type="character" w:customStyle="1" w:styleId="TableNo0">
    <w:name w:val="Table_No Знак"/>
    <w:link w:val="TableNo"/>
    <w:locked/>
    <w:rsid w:val="00C458D0"/>
    <w:rPr>
      <w:sz w:val="24"/>
      <w:lang w:val="fr-FR" w:eastAsia="en-US"/>
    </w:rPr>
  </w:style>
  <w:style w:type="character" w:customStyle="1" w:styleId="EquationChar">
    <w:name w:val="Equation Char"/>
    <w:link w:val="Equation"/>
    <w:locked/>
    <w:rsid w:val="00C458D0"/>
    <w:rPr>
      <w:sz w:val="24"/>
      <w:lang w:val="fr-FR" w:eastAsia="en-US"/>
    </w:rPr>
  </w:style>
  <w:style w:type="character" w:customStyle="1" w:styleId="CallChar">
    <w:name w:val="Call Char"/>
    <w:link w:val="Call"/>
    <w:locked/>
    <w:rsid w:val="00C458D0"/>
    <w:rPr>
      <w:i/>
      <w:sz w:val="24"/>
      <w:lang w:val="fr-FR" w:eastAsia="en-US"/>
    </w:rPr>
  </w:style>
  <w:style w:type="character" w:customStyle="1" w:styleId="enumlev1Char">
    <w:name w:val="enumlev1 Char"/>
    <w:link w:val="enumlev1"/>
    <w:locked/>
    <w:rsid w:val="00C458D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B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1B1F"/>
    <w:pPr>
      <w:keepNext/>
      <w:keepLines/>
      <w:spacing w:before="480"/>
      <w:ind w:left="794" w:hanging="794"/>
      <w:outlineLvl w:val="0"/>
    </w:pPr>
    <w:rPr>
      <w:b/>
    </w:rPr>
  </w:style>
  <w:style w:type="paragraph" w:styleId="Heading2">
    <w:name w:val="heading 2"/>
    <w:basedOn w:val="Heading1"/>
    <w:next w:val="Normal"/>
    <w:qFormat/>
    <w:rsid w:val="00F91B1F"/>
    <w:pPr>
      <w:spacing w:before="320"/>
      <w:outlineLvl w:val="1"/>
    </w:pPr>
  </w:style>
  <w:style w:type="paragraph" w:styleId="Heading3">
    <w:name w:val="heading 3"/>
    <w:basedOn w:val="Heading1"/>
    <w:next w:val="Normal"/>
    <w:qFormat/>
    <w:rsid w:val="00F91B1F"/>
    <w:pPr>
      <w:spacing w:before="200"/>
      <w:outlineLvl w:val="2"/>
    </w:pPr>
  </w:style>
  <w:style w:type="paragraph" w:styleId="Heading4">
    <w:name w:val="heading 4"/>
    <w:basedOn w:val="Heading3"/>
    <w:next w:val="Normal"/>
    <w:qFormat/>
    <w:rsid w:val="00F91B1F"/>
    <w:pPr>
      <w:tabs>
        <w:tab w:val="clear" w:pos="794"/>
        <w:tab w:val="left" w:pos="992"/>
      </w:tabs>
      <w:ind w:left="992" w:hanging="992"/>
      <w:outlineLvl w:val="3"/>
    </w:pPr>
  </w:style>
  <w:style w:type="paragraph" w:styleId="Heading5">
    <w:name w:val="heading 5"/>
    <w:basedOn w:val="Heading4"/>
    <w:next w:val="Normal"/>
    <w:qFormat/>
    <w:rsid w:val="00F91B1F"/>
    <w:pPr>
      <w:outlineLvl w:val="4"/>
    </w:pPr>
  </w:style>
  <w:style w:type="paragraph" w:styleId="Heading6">
    <w:name w:val="heading 6"/>
    <w:basedOn w:val="Heading4"/>
    <w:next w:val="Normal"/>
    <w:qFormat/>
    <w:rsid w:val="00F91B1F"/>
    <w:pPr>
      <w:tabs>
        <w:tab w:val="clear" w:pos="992"/>
        <w:tab w:val="clear" w:pos="1191"/>
      </w:tabs>
      <w:ind w:left="1588" w:hanging="1588"/>
      <w:outlineLvl w:val="5"/>
    </w:pPr>
  </w:style>
  <w:style w:type="paragraph" w:styleId="Heading7">
    <w:name w:val="heading 7"/>
    <w:basedOn w:val="Heading6"/>
    <w:next w:val="Normal"/>
    <w:qFormat/>
    <w:rsid w:val="00F91B1F"/>
    <w:pPr>
      <w:outlineLvl w:val="6"/>
    </w:pPr>
  </w:style>
  <w:style w:type="paragraph" w:styleId="Heading8">
    <w:name w:val="heading 8"/>
    <w:basedOn w:val="Heading6"/>
    <w:next w:val="Normal"/>
    <w:qFormat/>
    <w:rsid w:val="00F91B1F"/>
    <w:pPr>
      <w:outlineLvl w:val="7"/>
    </w:pPr>
  </w:style>
  <w:style w:type="paragraph" w:styleId="Heading9">
    <w:name w:val="heading 9"/>
    <w:basedOn w:val="Heading6"/>
    <w:next w:val="Normal"/>
    <w:qFormat/>
    <w:rsid w:val="00F91B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1B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91B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1B1F"/>
  </w:style>
  <w:style w:type="paragraph" w:customStyle="1" w:styleId="Headingb">
    <w:name w:val="Heading_b"/>
    <w:basedOn w:val="Heading3"/>
    <w:next w:val="Normal"/>
    <w:rsid w:val="00F91B1F"/>
    <w:pPr>
      <w:spacing w:before="160"/>
      <w:ind w:left="0" w:firstLine="0"/>
      <w:outlineLvl w:val="9"/>
    </w:pPr>
  </w:style>
  <w:style w:type="paragraph" w:customStyle="1" w:styleId="Headingi">
    <w:name w:val="Heading_i"/>
    <w:basedOn w:val="Heading3"/>
    <w:next w:val="Normal"/>
    <w:rsid w:val="00F91B1F"/>
    <w:pPr>
      <w:spacing w:before="160"/>
      <w:ind w:left="0" w:firstLine="0"/>
    </w:pPr>
    <w:rPr>
      <w:b w:val="0"/>
      <w:i/>
    </w:rPr>
  </w:style>
  <w:style w:type="character" w:customStyle="1" w:styleId="href">
    <w:name w:val="href"/>
    <w:basedOn w:val="DefaultParagraphFont"/>
    <w:rsid w:val="00F91B1F"/>
  </w:style>
  <w:style w:type="paragraph" w:customStyle="1" w:styleId="enumlev1">
    <w:name w:val="enumlev1"/>
    <w:basedOn w:val="Normal"/>
    <w:link w:val="enumlev1Char"/>
    <w:rsid w:val="00F91B1F"/>
    <w:pPr>
      <w:spacing w:before="80"/>
      <w:ind w:left="794" w:hanging="794"/>
    </w:pPr>
  </w:style>
  <w:style w:type="paragraph" w:customStyle="1" w:styleId="enumlev2">
    <w:name w:val="enumlev2"/>
    <w:basedOn w:val="enumlev1"/>
    <w:rsid w:val="00F91B1F"/>
    <w:pPr>
      <w:ind w:left="1191" w:hanging="397"/>
    </w:pPr>
  </w:style>
  <w:style w:type="paragraph" w:customStyle="1" w:styleId="enumlev3">
    <w:name w:val="enumlev3"/>
    <w:basedOn w:val="enumlev2"/>
    <w:rsid w:val="00F91B1F"/>
    <w:pPr>
      <w:ind w:left="1588"/>
    </w:pPr>
  </w:style>
  <w:style w:type="paragraph" w:customStyle="1" w:styleId="Normalaftertitle">
    <w:name w:val="Normal_after_title"/>
    <w:basedOn w:val="Normal"/>
    <w:next w:val="Normal"/>
    <w:rsid w:val="00F91B1F"/>
    <w:pPr>
      <w:spacing w:before="320"/>
    </w:pPr>
  </w:style>
  <w:style w:type="paragraph" w:customStyle="1" w:styleId="Note">
    <w:name w:val="Note"/>
    <w:basedOn w:val="Normal"/>
    <w:rsid w:val="00F91B1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1B1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91B1F"/>
    <w:pPr>
      <w:spacing w:before="240"/>
    </w:pPr>
    <w:rPr>
      <w:sz w:val="22"/>
      <w:lang w:val="es-ES_tradnl"/>
    </w:rPr>
  </w:style>
  <w:style w:type="paragraph" w:customStyle="1" w:styleId="Recref">
    <w:name w:val="Rec_ref"/>
    <w:basedOn w:val="Normal"/>
    <w:next w:val="Recdate"/>
    <w:rsid w:val="00F91B1F"/>
    <w:pPr>
      <w:jc w:val="center"/>
    </w:pPr>
  </w:style>
  <w:style w:type="paragraph" w:customStyle="1" w:styleId="Recdate">
    <w:name w:val="Rec_date"/>
    <w:basedOn w:val="Recref"/>
    <w:next w:val="Normalaftertitle"/>
    <w:rsid w:val="00F91B1F"/>
    <w:pPr>
      <w:jc w:val="right"/>
    </w:pPr>
  </w:style>
  <w:style w:type="paragraph" w:customStyle="1" w:styleId="AnnexNoTitle">
    <w:name w:val="Annex_NoTitle"/>
    <w:basedOn w:val="Normal"/>
    <w:next w:val="Normalaftertitle"/>
    <w:rsid w:val="00F91B1F"/>
    <w:pPr>
      <w:keepNext/>
      <w:keepLines/>
      <w:spacing w:before="480" w:after="80"/>
      <w:jc w:val="center"/>
    </w:pPr>
    <w:rPr>
      <w:b/>
      <w:sz w:val="28"/>
    </w:rPr>
  </w:style>
  <w:style w:type="paragraph" w:customStyle="1" w:styleId="AppendixNoTitle">
    <w:name w:val="Appendix_NoTitle"/>
    <w:basedOn w:val="AnnexNoTitle"/>
    <w:next w:val="Normal"/>
    <w:rsid w:val="00F91B1F"/>
  </w:style>
  <w:style w:type="paragraph" w:customStyle="1" w:styleId="Tablefin">
    <w:name w:val="Table_fin"/>
    <w:basedOn w:val="Normal"/>
    <w:next w:val="Normal"/>
    <w:rsid w:val="00F91B1F"/>
    <w:pPr>
      <w:spacing w:before="0"/>
    </w:pPr>
    <w:rPr>
      <w:sz w:val="20"/>
      <w:lang w:val="en-GB"/>
    </w:rPr>
  </w:style>
  <w:style w:type="paragraph" w:customStyle="1" w:styleId="Tablehead">
    <w:name w:val="Table_head"/>
    <w:basedOn w:val="Normal"/>
    <w:next w:val="Normal"/>
    <w:link w:val="TableheadChar"/>
    <w:rsid w:val="00F91B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1B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91B1F"/>
    <w:pPr>
      <w:keepNext/>
      <w:spacing w:before="360" w:after="120"/>
      <w:jc w:val="center"/>
    </w:pPr>
  </w:style>
  <w:style w:type="paragraph" w:customStyle="1" w:styleId="Tabletext">
    <w:name w:val="Table_text"/>
    <w:basedOn w:val="Normal"/>
    <w:link w:val="TabletextChar"/>
    <w:rsid w:val="00F91B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91B1F"/>
    <w:pPr>
      <w:tabs>
        <w:tab w:val="clear" w:pos="1191"/>
        <w:tab w:val="clear" w:pos="1588"/>
        <w:tab w:val="clear" w:pos="1985"/>
        <w:tab w:val="center" w:pos="4820"/>
        <w:tab w:val="right" w:pos="9639"/>
      </w:tabs>
    </w:pPr>
  </w:style>
  <w:style w:type="paragraph" w:customStyle="1" w:styleId="Equationlegend">
    <w:name w:val="Equation_legend"/>
    <w:basedOn w:val="NormalIndent"/>
    <w:rsid w:val="00F91B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1B1F"/>
    <w:pPr>
      <w:ind w:left="794"/>
    </w:pPr>
  </w:style>
  <w:style w:type="paragraph" w:customStyle="1" w:styleId="Figurelegend">
    <w:name w:val="Figure_legend"/>
    <w:basedOn w:val="Normal"/>
    <w:rsid w:val="00F91B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1B1F"/>
    <w:pPr>
      <w:keepNext/>
      <w:keepLines/>
      <w:spacing w:before="480" w:after="80"/>
      <w:jc w:val="center"/>
    </w:pPr>
    <w:rPr>
      <w:caps/>
      <w:sz w:val="18"/>
    </w:rPr>
  </w:style>
  <w:style w:type="paragraph" w:customStyle="1" w:styleId="tocpart">
    <w:name w:val="tocpart"/>
    <w:basedOn w:val="Normal"/>
    <w:rsid w:val="00F91B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1B1F"/>
    <w:pPr>
      <w:keepNext/>
      <w:keepLines/>
      <w:spacing w:before="480"/>
      <w:jc w:val="center"/>
    </w:pPr>
    <w:rPr>
      <w:sz w:val="28"/>
    </w:rPr>
  </w:style>
  <w:style w:type="paragraph" w:customStyle="1" w:styleId="Arttitle">
    <w:name w:val="Art_title"/>
    <w:basedOn w:val="Normal"/>
    <w:next w:val="Normalaftertitle"/>
    <w:rsid w:val="00F91B1F"/>
    <w:pPr>
      <w:keepNext/>
      <w:keepLines/>
      <w:spacing w:before="240"/>
      <w:jc w:val="center"/>
    </w:pPr>
    <w:rPr>
      <w:b/>
      <w:sz w:val="28"/>
    </w:rPr>
  </w:style>
  <w:style w:type="paragraph" w:customStyle="1" w:styleId="Blanc">
    <w:name w:val="Blanc"/>
    <w:basedOn w:val="Normal"/>
    <w:next w:val="Tabletext"/>
    <w:rsid w:val="00F91B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1B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91B1F"/>
    <w:pPr>
      <w:keepNext/>
      <w:keepLines/>
      <w:spacing w:before="160"/>
      <w:ind w:left="794"/>
    </w:pPr>
    <w:rPr>
      <w:i/>
    </w:rPr>
  </w:style>
  <w:style w:type="paragraph" w:customStyle="1" w:styleId="ChapNo">
    <w:name w:val="Chap_No"/>
    <w:basedOn w:val="ArtNo"/>
    <w:next w:val="Chaptitle"/>
    <w:rsid w:val="00F91B1F"/>
    <w:rPr>
      <w:b/>
    </w:rPr>
  </w:style>
  <w:style w:type="paragraph" w:customStyle="1" w:styleId="Chaptitle">
    <w:name w:val="Chap_title"/>
    <w:basedOn w:val="Arttitle"/>
    <w:next w:val="Normalaftertitle"/>
    <w:rsid w:val="00F91B1F"/>
  </w:style>
  <w:style w:type="character" w:styleId="FootnoteReference">
    <w:name w:val="footnote reference"/>
    <w:basedOn w:val="DefaultParagraphFont"/>
    <w:semiHidden/>
    <w:rsid w:val="00F91B1F"/>
    <w:rPr>
      <w:position w:val="6"/>
      <w:sz w:val="18"/>
    </w:rPr>
  </w:style>
  <w:style w:type="paragraph" w:styleId="FootnoteText">
    <w:name w:val="footnote text"/>
    <w:basedOn w:val="Normal"/>
    <w:semiHidden/>
    <w:rsid w:val="00F91B1F"/>
    <w:pPr>
      <w:keepLines/>
      <w:tabs>
        <w:tab w:val="left" w:pos="255"/>
      </w:tabs>
      <w:ind w:left="255" w:hanging="255"/>
    </w:pPr>
    <w:rPr>
      <w:sz w:val="22"/>
    </w:rPr>
  </w:style>
  <w:style w:type="paragraph" w:styleId="Index1">
    <w:name w:val="index 1"/>
    <w:basedOn w:val="Normal"/>
    <w:next w:val="Normal"/>
    <w:semiHidden/>
    <w:rsid w:val="00F91B1F"/>
  </w:style>
  <w:style w:type="paragraph" w:styleId="Index2">
    <w:name w:val="index 2"/>
    <w:basedOn w:val="Normal"/>
    <w:next w:val="Normal"/>
    <w:semiHidden/>
    <w:rsid w:val="00F91B1F"/>
    <w:pPr>
      <w:ind w:left="283"/>
    </w:pPr>
  </w:style>
  <w:style w:type="paragraph" w:styleId="Index3">
    <w:name w:val="index 3"/>
    <w:basedOn w:val="Normal"/>
    <w:next w:val="Normal"/>
    <w:semiHidden/>
    <w:rsid w:val="00F91B1F"/>
    <w:pPr>
      <w:ind w:left="566"/>
    </w:pPr>
  </w:style>
  <w:style w:type="paragraph" w:styleId="IndexHeading">
    <w:name w:val="index heading"/>
    <w:basedOn w:val="Normal"/>
    <w:next w:val="Index1"/>
    <w:semiHidden/>
    <w:rsid w:val="00F91B1F"/>
  </w:style>
  <w:style w:type="paragraph" w:customStyle="1" w:styleId="Line">
    <w:name w:val="Line"/>
    <w:basedOn w:val="Normal"/>
    <w:next w:val="Normal"/>
    <w:rsid w:val="00F91B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1B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1B1F"/>
  </w:style>
  <w:style w:type="paragraph" w:customStyle="1" w:styleId="Partref">
    <w:name w:val="Part_ref"/>
    <w:basedOn w:val="Normal"/>
    <w:next w:val="Normal"/>
    <w:rsid w:val="00F91B1F"/>
    <w:pPr>
      <w:keepNext/>
      <w:keepLines/>
      <w:spacing w:after="280"/>
      <w:jc w:val="center"/>
    </w:pPr>
  </w:style>
  <w:style w:type="paragraph" w:customStyle="1" w:styleId="Parttitle">
    <w:name w:val="Part_title"/>
    <w:basedOn w:val="Normal"/>
    <w:next w:val="Normalaftertitle"/>
    <w:rsid w:val="00F91B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1B1F"/>
  </w:style>
  <w:style w:type="paragraph" w:customStyle="1" w:styleId="QuestionNo">
    <w:name w:val="Question_No"/>
    <w:basedOn w:val="RecNo"/>
    <w:next w:val="Normal"/>
    <w:rsid w:val="00F91B1F"/>
  </w:style>
  <w:style w:type="paragraph" w:customStyle="1" w:styleId="Questionref">
    <w:name w:val="Question_ref"/>
    <w:basedOn w:val="Recref"/>
    <w:next w:val="Questiondate"/>
    <w:rsid w:val="00F91B1F"/>
  </w:style>
  <w:style w:type="paragraph" w:customStyle="1" w:styleId="Questiontitle">
    <w:name w:val="Question_title"/>
    <w:basedOn w:val="Normal"/>
    <w:next w:val="Questionref"/>
    <w:rsid w:val="00F91B1F"/>
  </w:style>
  <w:style w:type="paragraph" w:customStyle="1" w:styleId="Reftext">
    <w:name w:val="Ref_text"/>
    <w:basedOn w:val="Normal"/>
    <w:rsid w:val="00F91B1F"/>
    <w:pPr>
      <w:ind w:left="794" w:hanging="794"/>
    </w:pPr>
    <w:rPr>
      <w:sz w:val="22"/>
    </w:rPr>
  </w:style>
  <w:style w:type="paragraph" w:customStyle="1" w:styleId="Reftitle">
    <w:name w:val="Ref_title"/>
    <w:basedOn w:val="Normal"/>
    <w:next w:val="Reftext"/>
    <w:rsid w:val="00F91B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1B1F"/>
  </w:style>
  <w:style w:type="paragraph" w:customStyle="1" w:styleId="RepNo">
    <w:name w:val="Rep_No"/>
    <w:basedOn w:val="RecNo"/>
    <w:next w:val="Reptitle"/>
    <w:rsid w:val="00F91B1F"/>
  </w:style>
  <w:style w:type="paragraph" w:customStyle="1" w:styleId="Repref">
    <w:name w:val="Rep_ref"/>
    <w:basedOn w:val="Recref"/>
    <w:next w:val="Repdate"/>
    <w:rsid w:val="00F91B1F"/>
  </w:style>
  <w:style w:type="paragraph" w:customStyle="1" w:styleId="Reptitle">
    <w:name w:val="Rep_title"/>
    <w:basedOn w:val="Rectitle"/>
    <w:next w:val="Repref"/>
    <w:rsid w:val="00F91B1F"/>
  </w:style>
  <w:style w:type="paragraph" w:customStyle="1" w:styleId="Resdate">
    <w:name w:val="Res_date"/>
    <w:basedOn w:val="Recdate"/>
    <w:next w:val="Normalaftertitle"/>
    <w:rsid w:val="00F91B1F"/>
  </w:style>
  <w:style w:type="paragraph" w:customStyle="1" w:styleId="ResNo">
    <w:name w:val="Res_No"/>
    <w:basedOn w:val="RecNo"/>
    <w:next w:val="Restitle"/>
    <w:rsid w:val="00F91B1F"/>
  </w:style>
  <w:style w:type="paragraph" w:customStyle="1" w:styleId="Resref">
    <w:name w:val="Res_ref"/>
    <w:basedOn w:val="Recref"/>
    <w:next w:val="Resdate"/>
    <w:rsid w:val="00F91B1F"/>
  </w:style>
  <w:style w:type="paragraph" w:customStyle="1" w:styleId="Restitle">
    <w:name w:val="Res_title"/>
    <w:basedOn w:val="Normal"/>
    <w:next w:val="Resref"/>
    <w:rsid w:val="00F91B1F"/>
    <w:pPr>
      <w:spacing w:before="240"/>
      <w:jc w:val="center"/>
    </w:pPr>
    <w:rPr>
      <w:b/>
      <w:sz w:val="28"/>
    </w:rPr>
  </w:style>
  <w:style w:type="paragraph" w:customStyle="1" w:styleId="SectionNo">
    <w:name w:val="Section_No"/>
    <w:basedOn w:val="Normal"/>
    <w:next w:val="Normal"/>
    <w:rsid w:val="00F91B1F"/>
  </w:style>
  <w:style w:type="paragraph" w:customStyle="1" w:styleId="Sectiontitle">
    <w:name w:val="Section_title"/>
    <w:basedOn w:val="Normal"/>
    <w:next w:val="Normalaftertitle"/>
    <w:rsid w:val="00F91B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1B1F"/>
    <w:pPr>
      <w:tabs>
        <w:tab w:val="clear" w:pos="794"/>
        <w:tab w:val="clear" w:pos="1191"/>
        <w:tab w:val="clear" w:pos="1588"/>
        <w:tab w:val="clear" w:pos="1985"/>
        <w:tab w:val="right" w:pos="9611"/>
      </w:tabs>
    </w:pPr>
    <w:rPr>
      <w:i/>
    </w:rPr>
  </w:style>
  <w:style w:type="paragraph" w:styleId="TOC1">
    <w:name w:val="toc 1"/>
    <w:basedOn w:val="Normal"/>
    <w:semiHidden/>
    <w:rsid w:val="00F91B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1B1F"/>
    <w:pPr>
      <w:tabs>
        <w:tab w:val="clear" w:pos="567"/>
        <w:tab w:val="left" w:pos="1276"/>
      </w:tabs>
      <w:spacing w:before="160"/>
      <w:ind w:left="1276" w:hanging="709"/>
    </w:pPr>
  </w:style>
  <w:style w:type="paragraph" w:styleId="TOC3">
    <w:name w:val="toc 3"/>
    <w:basedOn w:val="TOC2"/>
    <w:semiHidden/>
    <w:rsid w:val="00F91B1F"/>
    <w:pPr>
      <w:tabs>
        <w:tab w:val="clear" w:pos="1276"/>
        <w:tab w:val="left" w:pos="2155"/>
      </w:tabs>
      <w:ind w:left="2155" w:hanging="879"/>
    </w:pPr>
  </w:style>
  <w:style w:type="paragraph" w:styleId="TOC4">
    <w:name w:val="toc 4"/>
    <w:basedOn w:val="TOC3"/>
    <w:semiHidden/>
    <w:rsid w:val="00F91B1F"/>
    <w:pPr>
      <w:tabs>
        <w:tab w:val="left" w:pos="3261"/>
      </w:tabs>
      <w:spacing w:before="80"/>
      <w:ind w:left="3261" w:hanging="993"/>
    </w:pPr>
  </w:style>
  <w:style w:type="paragraph" w:styleId="TOC5">
    <w:name w:val="toc 5"/>
    <w:basedOn w:val="TOC4"/>
    <w:semiHidden/>
    <w:rsid w:val="00F91B1F"/>
  </w:style>
  <w:style w:type="paragraph" w:styleId="TOC6">
    <w:name w:val="toc 6"/>
    <w:basedOn w:val="TOC4"/>
    <w:semiHidden/>
    <w:rsid w:val="00F91B1F"/>
  </w:style>
  <w:style w:type="paragraph" w:styleId="TOC7">
    <w:name w:val="toc 7"/>
    <w:basedOn w:val="TOC4"/>
    <w:semiHidden/>
    <w:rsid w:val="00F91B1F"/>
  </w:style>
  <w:style w:type="paragraph" w:styleId="TOC8">
    <w:name w:val="toc 8"/>
    <w:basedOn w:val="TOC4"/>
    <w:semiHidden/>
    <w:rsid w:val="00F91B1F"/>
  </w:style>
  <w:style w:type="paragraph" w:customStyle="1" w:styleId="Rectitle">
    <w:name w:val="Rec_title"/>
    <w:basedOn w:val="Normal"/>
    <w:next w:val="Recref"/>
    <w:rsid w:val="00F91B1F"/>
    <w:pPr>
      <w:keepNext/>
      <w:keepLines/>
      <w:spacing w:before="240"/>
      <w:jc w:val="center"/>
    </w:pPr>
    <w:rPr>
      <w:b/>
      <w:sz w:val="28"/>
    </w:rPr>
  </w:style>
  <w:style w:type="paragraph" w:customStyle="1" w:styleId="Annexref">
    <w:name w:val="Annex_ref"/>
    <w:basedOn w:val="Normal"/>
    <w:next w:val="Normalaftertitle"/>
    <w:rsid w:val="00F91B1F"/>
    <w:pPr>
      <w:keepNext/>
      <w:keepLines/>
      <w:spacing w:after="280"/>
      <w:jc w:val="center"/>
    </w:pPr>
  </w:style>
  <w:style w:type="paragraph" w:customStyle="1" w:styleId="Appendixref">
    <w:name w:val="Appendix_ref"/>
    <w:basedOn w:val="Annexref"/>
    <w:next w:val="Normalaftertitle"/>
    <w:rsid w:val="00F91B1F"/>
  </w:style>
  <w:style w:type="paragraph" w:customStyle="1" w:styleId="Figuretitle">
    <w:name w:val="Figure_title"/>
    <w:basedOn w:val="Normal"/>
    <w:next w:val="Figure"/>
    <w:rsid w:val="00F91B1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F91B1F"/>
    <w:pPr>
      <w:keepNext/>
      <w:spacing w:before="0" w:after="120"/>
      <w:jc w:val="center"/>
    </w:pPr>
    <w:rPr>
      <w:b/>
    </w:rPr>
  </w:style>
  <w:style w:type="paragraph" w:customStyle="1" w:styleId="Summary">
    <w:name w:val="Summary"/>
    <w:basedOn w:val="Normal"/>
    <w:next w:val="Normalaftertitle"/>
    <w:autoRedefine/>
    <w:rsid w:val="00F91B1F"/>
    <w:pPr>
      <w:spacing w:after="480"/>
    </w:pPr>
    <w:rPr>
      <w:sz w:val="22"/>
      <w:lang w:val="es-ES_tradnl"/>
    </w:rPr>
  </w:style>
  <w:style w:type="paragraph" w:customStyle="1" w:styleId="TableLegendNote">
    <w:name w:val="Table_Legend_Note"/>
    <w:basedOn w:val="Tablelegend"/>
    <w:next w:val="Tablelegend"/>
    <w:rsid w:val="00F91B1F"/>
    <w:pPr>
      <w:ind w:left="-85" w:firstLine="0"/>
    </w:pPr>
    <w:rPr>
      <w:lang w:val="en-US"/>
    </w:rPr>
  </w:style>
  <w:style w:type="paragraph" w:customStyle="1" w:styleId="Figure">
    <w:name w:val="Figure"/>
    <w:basedOn w:val="FigureNo"/>
    <w:next w:val="Normal"/>
    <w:rsid w:val="00F91B1F"/>
    <w:pPr>
      <w:keepNext w:val="0"/>
      <w:spacing w:before="0" w:after="240"/>
    </w:pPr>
  </w:style>
  <w:style w:type="character" w:customStyle="1" w:styleId="TableheadChar">
    <w:name w:val="Table_head Char"/>
    <w:basedOn w:val="DefaultParagraphFont"/>
    <w:link w:val="Tablehead"/>
    <w:locked/>
    <w:rsid w:val="00C458D0"/>
    <w:rPr>
      <w:b/>
      <w:sz w:val="22"/>
      <w:lang w:val="fr-FR" w:eastAsia="en-US"/>
    </w:rPr>
  </w:style>
  <w:style w:type="character" w:customStyle="1" w:styleId="TabletextChar">
    <w:name w:val="Table_text Char"/>
    <w:basedOn w:val="DefaultParagraphFont"/>
    <w:link w:val="Tabletext"/>
    <w:locked/>
    <w:rsid w:val="00C458D0"/>
    <w:rPr>
      <w:sz w:val="22"/>
      <w:lang w:val="fr-FR" w:eastAsia="en-US"/>
    </w:rPr>
  </w:style>
  <w:style w:type="character" w:styleId="Hyperlink">
    <w:name w:val="Hyperlink"/>
    <w:basedOn w:val="DefaultParagraphFont"/>
    <w:rsid w:val="00C458D0"/>
    <w:rPr>
      <w:color w:val="0000FF"/>
      <w:u w:val="single"/>
    </w:rPr>
  </w:style>
  <w:style w:type="character" w:customStyle="1" w:styleId="Tabletitle0">
    <w:name w:val="Table_title Знак"/>
    <w:link w:val="Tabletitle"/>
    <w:locked/>
    <w:rsid w:val="00C458D0"/>
    <w:rPr>
      <w:b/>
      <w:sz w:val="24"/>
      <w:lang w:val="fr-FR" w:eastAsia="en-US"/>
    </w:rPr>
  </w:style>
  <w:style w:type="character" w:customStyle="1" w:styleId="TableNo0">
    <w:name w:val="Table_No Знак"/>
    <w:link w:val="TableNo"/>
    <w:locked/>
    <w:rsid w:val="00C458D0"/>
    <w:rPr>
      <w:sz w:val="24"/>
      <w:lang w:val="fr-FR" w:eastAsia="en-US"/>
    </w:rPr>
  </w:style>
  <w:style w:type="character" w:customStyle="1" w:styleId="EquationChar">
    <w:name w:val="Equation Char"/>
    <w:link w:val="Equation"/>
    <w:locked/>
    <w:rsid w:val="00C458D0"/>
    <w:rPr>
      <w:sz w:val="24"/>
      <w:lang w:val="fr-FR" w:eastAsia="en-US"/>
    </w:rPr>
  </w:style>
  <w:style w:type="character" w:customStyle="1" w:styleId="CallChar">
    <w:name w:val="Call Char"/>
    <w:link w:val="Call"/>
    <w:locked/>
    <w:rsid w:val="00C458D0"/>
    <w:rPr>
      <w:i/>
      <w:sz w:val="24"/>
      <w:lang w:val="fr-FR" w:eastAsia="en-US"/>
    </w:rPr>
  </w:style>
  <w:style w:type="character" w:customStyle="1" w:styleId="enumlev1Char">
    <w:name w:val="enumlev1 Char"/>
    <w:link w:val="enumlev1"/>
    <w:locked/>
    <w:rsid w:val="00C458D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3.emf"/><Relationship Id="rId20" Type="http://schemas.openxmlformats.org/officeDocument/2006/relationships/image" Target="media/image5.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wmf"/><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49</TotalTime>
  <Pages>7</Pages>
  <Words>2035</Words>
  <Characters>11419</Characters>
  <Application>Microsoft Office Word</Application>
  <DocSecurity>0</DocSecurity>
  <Lines>496</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17</cp:revision>
  <cp:lastPrinted>2005-02-10T15:54:00Z</cp:lastPrinted>
  <dcterms:created xsi:type="dcterms:W3CDTF">2013-12-09T14:48:00Z</dcterms:created>
  <dcterms:modified xsi:type="dcterms:W3CDTF">2014-01-21T14:12:00Z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