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927" w:rsidRDefault="005C6927" w:rsidP="005C6927"/>
    <w:p w:rsidR="005C6927" w:rsidRDefault="005C6927" w:rsidP="005C6927"/>
    <w:p w:rsidR="005C6927" w:rsidRDefault="005C6927" w:rsidP="005C6927"/>
    <w:p w:rsidR="005C6927" w:rsidRDefault="005C6927" w:rsidP="005C6927"/>
    <w:p w:rsidR="005C6927" w:rsidRDefault="005C6927" w:rsidP="005C6927"/>
    <w:p w:rsidR="005C6927" w:rsidRDefault="005C6927" w:rsidP="005C6927"/>
    <w:p w:rsidR="005C6927" w:rsidRDefault="005C6927" w:rsidP="005C6927"/>
    <w:p w:rsidR="005C6927" w:rsidRDefault="005C6927" w:rsidP="005C6927"/>
    <w:p w:rsidR="005C6927" w:rsidRDefault="005C6927" w:rsidP="005C6927"/>
    <w:tbl>
      <w:tblPr>
        <w:tblW w:w="10089" w:type="dxa"/>
        <w:tblLook w:val="01E0" w:firstRow="1" w:lastRow="1" w:firstColumn="1" w:lastColumn="1" w:noHBand="0" w:noVBand="0"/>
      </w:tblPr>
      <w:tblGrid>
        <w:gridCol w:w="10089"/>
      </w:tblGrid>
      <w:tr w:rsidR="005C6927" w:rsidRPr="00A443C2" w:rsidTr="00493BC9">
        <w:tc>
          <w:tcPr>
            <w:tcW w:w="10089" w:type="dxa"/>
          </w:tcPr>
          <w:p w:rsidR="005C6927" w:rsidRPr="00B033C8" w:rsidRDefault="005C6927" w:rsidP="00493BC9">
            <w:pPr>
              <w:spacing w:before="380" w:line="280" w:lineRule="exact"/>
              <w:jc w:val="right"/>
              <w:rPr>
                <w:rFonts w:ascii="Tahoma" w:hAnsi="Tahoma" w:cs="Tahoma"/>
                <w:b/>
                <w:bCs/>
                <w:iCs/>
                <w:color w:val="243285"/>
                <w:sz w:val="32"/>
                <w:szCs w:val="32"/>
                <w:lang w:val="en-US"/>
              </w:rPr>
            </w:pPr>
          </w:p>
          <w:p w:rsidR="005C6927" w:rsidRPr="00A443C2" w:rsidRDefault="005C6927" w:rsidP="005C6927">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1831-1</w:t>
            </w:r>
          </w:p>
          <w:p w:rsidR="005C6927" w:rsidRPr="00A443C2" w:rsidRDefault="005C6927" w:rsidP="009839D9">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9839D9">
              <w:rPr>
                <w:rFonts w:ascii="Tahoma" w:hAnsi="Tahoma" w:cs="Tahoma"/>
                <w:b/>
                <w:bCs/>
                <w:iCs/>
                <w:color w:val="243285"/>
                <w:szCs w:val="24"/>
              </w:rPr>
              <w:t>9</w:t>
            </w:r>
            <w:r>
              <w:rPr>
                <w:rFonts w:ascii="Tahoma" w:hAnsi="Tahoma" w:cs="Tahoma"/>
                <w:b/>
                <w:bCs/>
                <w:iCs/>
                <w:color w:val="243285"/>
                <w:szCs w:val="24"/>
              </w:rPr>
              <w:t>/</w:t>
            </w:r>
            <w:r w:rsidR="009839D9">
              <w:rPr>
                <w:rFonts w:ascii="Tahoma" w:hAnsi="Tahoma" w:cs="Tahoma"/>
                <w:b/>
                <w:bCs/>
                <w:iCs/>
                <w:color w:val="243285"/>
                <w:szCs w:val="24"/>
              </w:rPr>
              <w:t>2015</w:t>
            </w:r>
            <w:r w:rsidRPr="00A443C2">
              <w:rPr>
                <w:rFonts w:ascii="Tahoma" w:hAnsi="Tahoma" w:cs="Tahoma"/>
                <w:b/>
                <w:bCs/>
                <w:iCs/>
                <w:color w:val="243285"/>
                <w:szCs w:val="24"/>
              </w:rPr>
              <w:t>)</w:t>
            </w:r>
          </w:p>
        </w:tc>
      </w:tr>
      <w:tr w:rsidR="005C6927" w:rsidRPr="00F54FBD" w:rsidTr="00493BC9">
        <w:trPr>
          <w:trHeight w:val="4629"/>
        </w:trPr>
        <w:tc>
          <w:tcPr>
            <w:tcW w:w="10089" w:type="dxa"/>
          </w:tcPr>
          <w:p w:rsidR="005C6927" w:rsidRDefault="005C6927" w:rsidP="00493BC9">
            <w:pPr>
              <w:spacing w:before="80" w:line="500" w:lineRule="exact"/>
              <w:jc w:val="right"/>
              <w:rPr>
                <w:rFonts w:ascii="Tahoma" w:hAnsi="Tahoma" w:cs="Tahoma"/>
                <w:b/>
                <w:bCs/>
                <w:iCs/>
                <w:color w:val="243285"/>
                <w:sz w:val="44"/>
                <w:szCs w:val="44"/>
              </w:rPr>
            </w:pPr>
          </w:p>
          <w:p w:rsidR="005C6927" w:rsidRPr="00C85311" w:rsidRDefault="005C6927" w:rsidP="005C6927">
            <w:pPr>
              <w:spacing w:before="80" w:line="500" w:lineRule="exact"/>
              <w:jc w:val="right"/>
              <w:rPr>
                <w:rFonts w:ascii="Tahoma" w:hAnsi="Tahoma" w:cs="Tahoma"/>
                <w:b/>
                <w:bCs/>
                <w:iCs/>
                <w:color w:val="243285"/>
                <w:sz w:val="44"/>
                <w:szCs w:val="44"/>
              </w:rPr>
            </w:pPr>
            <w:bookmarkStart w:id="0" w:name="dtitle2" w:colFirst="0" w:colLast="0"/>
            <w:r w:rsidRPr="00C85311">
              <w:rPr>
                <w:rFonts w:ascii="Tahoma" w:hAnsi="Tahoma" w:cs="Tahoma"/>
                <w:b/>
                <w:bCs/>
                <w:iCs/>
                <w:color w:val="243285"/>
                <w:sz w:val="44"/>
                <w:szCs w:val="44"/>
              </w:rPr>
              <w:t>Méthode de coordination pour l'évaluation des brouillages entre systèmes du service de radionavigation par satellite</w:t>
            </w:r>
            <w:bookmarkEnd w:id="0"/>
          </w:p>
          <w:p w:rsidR="005C6927" w:rsidRPr="00F54FBD" w:rsidRDefault="005C6927" w:rsidP="00493BC9">
            <w:pPr>
              <w:spacing w:before="80" w:line="500" w:lineRule="exact"/>
              <w:jc w:val="right"/>
              <w:rPr>
                <w:rFonts w:ascii="Tahoma" w:hAnsi="Tahoma" w:cs="Tahoma"/>
                <w:b/>
                <w:bCs/>
                <w:iCs/>
                <w:color w:val="243285"/>
                <w:sz w:val="44"/>
                <w:szCs w:val="44"/>
              </w:rPr>
            </w:pPr>
          </w:p>
        </w:tc>
      </w:tr>
      <w:tr w:rsidR="005C6927" w:rsidRPr="00F54FBD" w:rsidTr="00493BC9">
        <w:tc>
          <w:tcPr>
            <w:tcW w:w="10089" w:type="dxa"/>
          </w:tcPr>
          <w:p w:rsidR="005C6927" w:rsidRPr="00F54FBD" w:rsidRDefault="005C6927" w:rsidP="00493BC9">
            <w:pPr>
              <w:spacing w:before="80" w:line="280" w:lineRule="exact"/>
              <w:ind w:right="640"/>
              <w:rPr>
                <w:rFonts w:ascii="Tahoma" w:hAnsi="Tahoma" w:cs="Tahoma"/>
                <w:b/>
                <w:bCs/>
                <w:iCs/>
                <w:color w:val="243285"/>
                <w:sz w:val="32"/>
                <w:szCs w:val="32"/>
              </w:rPr>
            </w:pPr>
          </w:p>
          <w:p w:rsidR="005C6927" w:rsidRPr="00F54FBD" w:rsidRDefault="005C6927" w:rsidP="00493BC9">
            <w:pPr>
              <w:spacing w:before="80" w:line="280" w:lineRule="exact"/>
              <w:ind w:right="640"/>
              <w:rPr>
                <w:rFonts w:ascii="Tahoma" w:hAnsi="Tahoma" w:cs="Tahoma"/>
                <w:b/>
                <w:bCs/>
                <w:iCs/>
                <w:color w:val="243285"/>
                <w:sz w:val="32"/>
                <w:szCs w:val="32"/>
              </w:rPr>
            </w:pPr>
          </w:p>
          <w:p w:rsidR="005C6927" w:rsidRPr="00F54FBD" w:rsidRDefault="005C6927" w:rsidP="00493BC9">
            <w:pPr>
              <w:spacing w:before="80" w:after="180" w:line="360" w:lineRule="exact"/>
              <w:ind w:right="720"/>
              <w:rPr>
                <w:rFonts w:ascii="Tahoma" w:hAnsi="Tahoma" w:cs="Tahoma"/>
                <w:b/>
                <w:bCs/>
                <w:iCs/>
                <w:color w:val="243285"/>
                <w:sz w:val="36"/>
                <w:szCs w:val="36"/>
              </w:rPr>
            </w:pPr>
          </w:p>
          <w:p w:rsidR="005C6927" w:rsidRPr="00F54FBD" w:rsidRDefault="005C6927" w:rsidP="00493BC9">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5C6927" w:rsidRPr="00F54FBD" w:rsidRDefault="005C6927" w:rsidP="00493BC9">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5C6927" w:rsidRPr="00F54FBD" w:rsidRDefault="005C6927" w:rsidP="005C6927">
      <w:pPr>
        <w:spacing w:before="80"/>
        <w:rPr>
          <w:i/>
          <w:sz w:val="22"/>
        </w:rPr>
      </w:pPr>
    </w:p>
    <w:p w:rsidR="005C6927" w:rsidRPr="00F54FBD" w:rsidRDefault="005C6927" w:rsidP="005C6927">
      <w:pPr>
        <w:spacing w:before="80"/>
        <w:rPr>
          <w:i/>
          <w:sz w:val="22"/>
        </w:rPr>
      </w:pPr>
    </w:p>
    <w:p w:rsidR="005C6927" w:rsidRPr="00F54FBD" w:rsidRDefault="005C6927" w:rsidP="005C6927">
      <w:pPr>
        <w:spacing w:before="80"/>
        <w:rPr>
          <w:i/>
          <w:sz w:val="22"/>
        </w:rPr>
      </w:pPr>
    </w:p>
    <w:p w:rsidR="005C6927" w:rsidRPr="00F54FBD" w:rsidRDefault="005C6927" w:rsidP="005C6927">
      <w:pPr>
        <w:spacing w:before="80"/>
        <w:rPr>
          <w:i/>
          <w:sz w:val="22"/>
        </w:rPr>
      </w:pPr>
    </w:p>
    <w:p w:rsidR="005C6927" w:rsidRPr="00F54FBD" w:rsidRDefault="005C6927" w:rsidP="005C6927">
      <w:pPr>
        <w:pStyle w:val="Equation"/>
        <w:tabs>
          <w:tab w:val="clear" w:pos="4820"/>
          <w:tab w:val="clear" w:pos="9639"/>
          <w:tab w:val="left" w:pos="1191"/>
          <w:tab w:val="left" w:pos="1588"/>
          <w:tab w:val="left" w:pos="1985"/>
        </w:tabs>
        <w:rPr>
          <w:rFonts w:ascii="Palatino Linotype" w:hAnsi="Palatino Linotype"/>
        </w:rPr>
        <w:sectPr w:rsidR="005C6927" w:rsidRPr="00F54FBD">
          <w:headerReference w:type="even" r:id="rId7"/>
          <w:headerReference w:type="default" r:id="rId8"/>
          <w:pgSz w:w="11907" w:h="16840" w:code="9"/>
          <w:pgMar w:top="1089" w:right="1089" w:bottom="284" w:left="1089" w:header="567" w:footer="284" w:gutter="0"/>
          <w:pgNumType w:start="1"/>
          <w:cols w:space="720"/>
        </w:sectPr>
      </w:pPr>
    </w:p>
    <w:p w:rsidR="005C6927" w:rsidRPr="00F54FBD" w:rsidRDefault="005C6927" w:rsidP="005C69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5C6927" w:rsidRPr="00F54FBD" w:rsidRDefault="005C6927" w:rsidP="005C6927">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C6927" w:rsidRPr="00F54FBD" w:rsidRDefault="005C6927" w:rsidP="005C6927">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C6927" w:rsidRPr="00E44CBB" w:rsidRDefault="005C6927" w:rsidP="005C6927">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C6927" w:rsidRPr="00E44CBB" w:rsidRDefault="005C6927" w:rsidP="005C6927">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C6927" w:rsidRPr="00C95B6F" w:rsidRDefault="005C6927" w:rsidP="005C6927">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C6927" w:rsidRPr="009454F8" w:rsidTr="00493BC9">
        <w:tc>
          <w:tcPr>
            <w:tcW w:w="9360" w:type="dxa"/>
            <w:gridSpan w:val="2"/>
          </w:tcPr>
          <w:p w:rsidR="005C6927" w:rsidRPr="009454F8" w:rsidRDefault="005C6927" w:rsidP="00493BC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5C6927" w:rsidRPr="009454F8" w:rsidRDefault="005C6927" w:rsidP="00493B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5C6927" w:rsidRPr="00036EE3" w:rsidTr="00493BC9">
        <w:tc>
          <w:tcPr>
            <w:tcW w:w="1140" w:type="dxa"/>
          </w:tcPr>
          <w:p w:rsidR="005C6927" w:rsidRPr="00614CC6" w:rsidRDefault="005C6927" w:rsidP="00493BC9">
            <w:pPr>
              <w:spacing w:before="90" w:after="100"/>
              <w:ind w:left="57"/>
              <w:rPr>
                <w:b/>
                <w:bCs/>
                <w:sz w:val="20"/>
                <w:lang w:val="en-US"/>
              </w:rPr>
            </w:pPr>
            <w:r w:rsidRPr="00614CC6">
              <w:rPr>
                <w:b/>
                <w:bCs/>
                <w:sz w:val="20"/>
                <w:lang w:val="en-US"/>
              </w:rPr>
              <w:t>Séries</w:t>
            </w:r>
          </w:p>
        </w:tc>
        <w:tc>
          <w:tcPr>
            <w:tcW w:w="8220" w:type="dxa"/>
          </w:tcPr>
          <w:p w:rsidR="005C6927" w:rsidRPr="00614CC6" w:rsidRDefault="005C6927" w:rsidP="00493B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C6927" w:rsidRPr="00036EE3" w:rsidTr="00493BC9">
        <w:tc>
          <w:tcPr>
            <w:tcW w:w="1140" w:type="dxa"/>
          </w:tcPr>
          <w:p w:rsidR="005C6927" w:rsidRPr="00614CC6" w:rsidRDefault="005C6927" w:rsidP="00493BC9">
            <w:pPr>
              <w:spacing w:before="30" w:after="30"/>
              <w:ind w:left="57"/>
              <w:jc w:val="left"/>
              <w:rPr>
                <w:b/>
                <w:bCs/>
                <w:sz w:val="20"/>
                <w:lang w:val="en-US"/>
              </w:rPr>
            </w:pPr>
            <w:r w:rsidRPr="00614CC6">
              <w:rPr>
                <w:b/>
                <w:bCs/>
                <w:sz w:val="20"/>
                <w:lang w:val="en-US"/>
              </w:rPr>
              <w:t>BO</w:t>
            </w:r>
          </w:p>
        </w:tc>
        <w:tc>
          <w:tcPr>
            <w:tcW w:w="8220" w:type="dxa"/>
          </w:tcPr>
          <w:p w:rsidR="005C6927" w:rsidRPr="00614CC6" w:rsidRDefault="005C6927" w:rsidP="00493B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5C6927" w:rsidRPr="009454F8" w:rsidTr="00493BC9">
        <w:tc>
          <w:tcPr>
            <w:tcW w:w="1140" w:type="dxa"/>
          </w:tcPr>
          <w:p w:rsidR="005C6927" w:rsidRPr="00614CC6" w:rsidRDefault="005C6927" w:rsidP="00493BC9">
            <w:pPr>
              <w:spacing w:before="30" w:after="30"/>
              <w:ind w:left="57"/>
              <w:jc w:val="left"/>
              <w:rPr>
                <w:b/>
                <w:bCs/>
                <w:sz w:val="20"/>
                <w:lang w:val="en-US"/>
              </w:rPr>
            </w:pPr>
            <w:r w:rsidRPr="00614CC6">
              <w:rPr>
                <w:b/>
                <w:bCs/>
                <w:sz w:val="20"/>
                <w:lang w:val="en-US"/>
              </w:rPr>
              <w:t>BR</w:t>
            </w:r>
          </w:p>
        </w:tc>
        <w:tc>
          <w:tcPr>
            <w:tcW w:w="8220" w:type="dxa"/>
          </w:tcPr>
          <w:p w:rsidR="005C6927" w:rsidRPr="00614CC6" w:rsidRDefault="005C6927" w:rsidP="00493B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5C6927" w:rsidRPr="00036EE3" w:rsidTr="00493BC9">
        <w:tc>
          <w:tcPr>
            <w:tcW w:w="1140" w:type="dxa"/>
          </w:tcPr>
          <w:p w:rsidR="005C6927" w:rsidRPr="00614CC6" w:rsidRDefault="005C6927" w:rsidP="00493BC9">
            <w:pPr>
              <w:spacing w:before="30" w:after="30"/>
              <w:ind w:left="57"/>
              <w:jc w:val="left"/>
              <w:rPr>
                <w:b/>
                <w:bCs/>
                <w:sz w:val="20"/>
                <w:lang w:val="en-US"/>
              </w:rPr>
            </w:pPr>
            <w:r w:rsidRPr="00614CC6">
              <w:rPr>
                <w:b/>
                <w:bCs/>
                <w:sz w:val="20"/>
                <w:lang w:val="en-US"/>
              </w:rPr>
              <w:t>BS</w:t>
            </w:r>
          </w:p>
        </w:tc>
        <w:tc>
          <w:tcPr>
            <w:tcW w:w="8220" w:type="dxa"/>
          </w:tcPr>
          <w:p w:rsidR="005C6927" w:rsidRPr="00614CC6" w:rsidRDefault="005C6927" w:rsidP="00493B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5C6927" w:rsidRPr="00ED2695" w:rsidTr="00493BC9">
        <w:tc>
          <w:tcPr>
            <w:tcW w:w="1140" w:type="dxa"/>
            <w:shd w:val="clear" w:color="auto" w:fill="auto"/>
          </w:tcPr>
          <w:p w:rsidR="005C6927" w:rsidRPr="00614CC6" w:rsidRDefault="005C6927" w:rsidP="00493BC9">
            <w:pPr>
              <w:spacing w:before="30" w:after="30"/>
              <w:ind w:left="57"/>
              <w:jc w:val="left"/>
              <w:rPr>
                <w:b/>
                <w:bCs/>
                <w:sz w:val="20"/>
                <w:lang w:val="en-US"/>
              </w:rPr>
            </w:pPr>
            <w:r w:rsidRPr="00614CC6">
              <w:rPr>
                <w:b/>
                <w:bCs/>
                <w:sz w:val="20"/>
                <w:lang w:val="en-US"/>
              </w:rPr>
              <w:t>BT</w:t>
            </w:r>
          </w:p>
        </w:tc>
        <w:tc>
          <w:tcPr>
            <w:tcW w:w="8220" w:type="dxa"/>
            <w:shd w:val="clear" w:color="auto" w:fill="auto"/>
          </w:tcPr>
          <w:p w:rsidR="005C6927" w:rsidRPr="00614CC6" w:rsidRDefault="005C6927" w:rsidP="00493B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5C6927" w:rsidRPr="00036EE3" w:rsidTr="00493BC9">
        <w:tc>
          <w:tcPr>
            <w:tcW w:w="1140" w:type="dxa"/>
            <w:shd w:val="clear" w:color="auto" w:fill="auto"/>
          </w:tcPr>
          <w:p w:rsidR="005C6927" w:rsidRPr="00614CC6" w:rsidRDefault="005C6927" w:rsidP="00493BC9">
            <w:pPr>
              <w:spacing w:before="30" w:after="30"/>
              <w:ind w:left="57"/>
              <w:jc w:val="left"/>
              <w:rPr>
                <w:b/>
                <w:bCs/>
                <w:sz w:val="20"/>
                <w:lang w:val="fr-CH"/>
              </w:rPr>
            </w:pPr>
            <w:r w:rsidRPr="00614CC6">
              <w:rPr>
                <w:b/>
                <w:bCs/>
                <w:sz w:val="20"/>
                <w:lang w:val="fr-CH"/>
              </w:rPr>
              <w:t>F</w:t>
            </w:r>
          </w:p>
        </w:tc>
        <w:tc>
          <w:tcPr>
            <w:tcW w:w="8220" w:type="dxa"/>
            <w:shd w:val="clear" w:color="auto" w:fill="auto"/>
          </w:tcPr>
          <w:p w:rsidR="005C6927" w:rsidRPr="00614CC6" w:rsidRDefault="005C6927" w:rsidP="00493BC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5C6927" w:rsidRPr="00592F9F" w:rsidTr="00493BC9">
        <w:tc>
          <w:tcPr>
            <w:tcW w:w="1140" w:type="dxa"/>
            <w:shd w:val="clear" w:color="auto" w:fill="F3F3F3"/>
          </w:tcPr>
          <w:p w:rsidR="005C6927" w:rsidRPr="00592F9F" w:rsidRDefault="005C6927" w:rsidP="00493BC9">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5C6927" w:rsidRPr="00592F9F" w:rsidRDefault="005C6927" w:rsidP="00493B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5C6927" w:rsidRPr="00036EE3" w:rsidTr="00493BC9">
        <w:tc>
          <w:tcPr>
            <w:tcW w:w="1140" w:type="dxa"/>
          </w:tcPr>
          <w:p w:rsidR="005C6927" w:rsidRPr="00614CC6" w:rsidRDefault="005C6927" w:rsidP="00493BC9">
            <w:pPr>
              <w:spacing w:before="30" w:after="30"/>
              <w:ind w:left="57"/>
              <w:jc w:val="left"/>
              <w:rPr>
                <w:b/>
                <w:bCs/>
                <w:sz w:val="20"/>
                <w:lang w:val="fr-CH"/>
              </w:rPr>
            </w:pPr>
            <w:r w:rsidRPr="00614CC6">
              <w:rPr>
                <w:b/>
                <w:bCs/>
                <w:sz w:val="20"/>
                <w:lang w:val="fr-CH"/>
              </w:rPr>
              <w:t>P</w:t>
            </w:r>
          </w:p>
        </w:tc>
        <w:tc>
          <w:tcPr>
            <w:tcW w:w="8220" w:type="dxa"/>
          </w:tcPr>
          <w:p w:rsidR="005C6927" w:rsidRPr="00614CC6" w:rsidRDefault="005C6927" w:rsidP="00493BC9">
            <w:pPr>
              <w:spacing w:before="30" w:after="30"/>
              <w:jc w:val="left"/>
              <w:rPr>
                <w:sz w:val="20"/>
                <w:lang w:val="fr-CH"/>
              </w:rPr>
            </w:pPr>
            <w:r w:rsidRPr="00614CC6">
              <w:rPr>
                <w:sz w:val="20"/>
              </w:rPr>
              <w:t>Propagation des ondes radioélectriques</w:t>
            </w:r>
          </w:p>
        </w:tc>
      </w:tr>
      <w:tr w:rsidR="005C6927" w:rsidRPr="00036EE3" w:rsidTr="00493BC9">
        <w:tc>
          <w:tcPr>
            <w:tcW w:w="1140" w:type="dxa"/>
          </w:tcPr>
          <w:p w:rsidR="005C6927" w:rsidRPr="00614CC6" w:rsidRDefault="005C6927" w:rsidP="00493BC9">
            <w:pPr>
              <w:spacing w:before="30" w:after="30"/>
              <w:ind w:left="57"/>
              <w:jc w:val="left"/>
              <w:rPr>
                <w:b/>
                <w:bCs/>
                <w:sz w:val="20"/>
                <w:lang w:val="en-US"/>
              </w:rPr>
            </w:pPr>
            <w:r w:rsidRPr="00614CC6">
              <w:rPr>
                <w:b/>
                <w:bCs/>
                <w:sz w:val="20"/>
                <w:lang w:val="en-US"/>
              </w:rPr>
              <w:t>RA</w:t>
            </w:r>
          </w:p>
        </w:tc>
        <w:tc>
          <w:tcPr>
            <w:tcW w:w="8220" w:type="dxa"/>
          </w:tcPr>
          <w:p w:rsidR="005C6927" w:rsidRPr="00614CC6" w:rsidRDefault="005C6927" w:rsidP="00493BC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5C6927" w:rsidRPr="00036EE3" w:rsidTr="00493BC9">
        <w:tc>
          <w:tcPr>
            <w:tcW w:w="1140" w:type="dxa"/>
          </w:tcPr>
          <w:p w:rsidR="005C6927" w:rsidRPr="00614CC6" w:rsidRDefault="005C6927" w:rsidP="00493BC9">
            <w:pPr>
              <w:spacing w:before="30" w:after="30"/>
              <w:ind w:left="57"/>
              <w:jc w:val="left"/>
              <w:rPr>
                <w:b/>
                <w:bCs/>
                <w:sz w:val="20"/>
                <w:lang w:val="en-US"/>
              </w:rPr>
            </w:pPr>
            <w:r w:rsidRPr="00614CC6">
              <w:rPr>
                <w:b/>
                <w:bCs/>
                <w:sz w:val="20"/>
                <w:lang w:val="en-US"/>
              </w:rPr>
              <w:t>RS</w:t>
            </w:r>
          </w:p>
        </w:tc>
        <w:tc>
          <w:tcPr>
            <w:tcW w:w="8220" w:type="dxa"/>
          </w:tcPr>
          <w:p w:rsidR="005C6927" w:rsidRPr="00614CC6" w:rsidRDefault="005C6927" w:rsidP="00493BC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5C6927" w:rsidRPr="00036EE3" w:rsidTr="00493BC9">
        <w:tc>
          <w:tcPr>
            <w:tcW w:w="1140" w:type="dxa"/>
          </w:tcPr>
          <w:p w:rsidR="005C6927" w:rsidRPr="00614CC6" w:rsidRDefault="005C6927" w:rsidP="00493BC9">
            <w:pPr>
              <w:spacing w:before="30" w:after="30"/>
              <w:ind w:left="57"/>
              <w:jc w:val="left"/>
              <w:rPr>
                <w:b/>
                <w:bCs/>
                <w:sz w:val="20"/>
                <w:lang w:val="en-US"/>
              </w:rPr>
            </w:pPr>
            <w:r w:rsidRPr="00614CC6">
              <w:rPr>
                <w:b/>
                <w:bCs/>
                <w:sz w:val="20"/>
                <w:lang w:val="en-US"/>
              </w:rPr>
              <w:t>S</w:t>
            </w:r>
          </w:p>
        </w:tc>
        <w:tc>
          <w:tcPr>
            <w:tcW w:w="8220" w:type="dxa"/>
          </w:tcPr>
          <w:p w:rsidR="005C6927" w:rsidRPr="00614CC6" w:rsidRDefault="005C6927" w:rsidP="00493BC9">
            <w:pPr>
              <w:spacing w:before="30" w:after="30"/>
              <w:jc w:val="left"/>
              <w:rPr>
                <w:sz w:val="20"/>
                <w:lang w:val="en-US"/>
              </w:rPr>
            </w:pPr>
            <w:r w:rsidRPr="00614CC6">
              <w:rPr>
                <w:sz w:val="20"/>
              </w:rPr>
              <w:t>Service fixe par satellite</w:t>
            </w:r>
          </w:p>
        </w:tc>
      </w:tr>
      <w:tr w:rsidR="005C6927" w:rsidRPr="00036EE3" w:rsidTr="00493BC9">
        <w:tc>
          <w:tcPr>
            <w:tcW w:w="1140" w:type="dxa"/>
          </w:tcPr>
          <w:p w:rsidR="005C6927" w:rsidRPr="00614CC6" w:rsidRDefault="005C6927" w:rsidP="00493BC9">
            <w:pPr>
              <w:spacing w:before="30" w:after="30"/>
              <w:ind w:left="57"/>
              <w:jc w:val="left"/>
              <w:rPr>
                <w:b/>
                <w:bCs/>
                <w:sz w:val="20"/>
                <w:lang w:val="en-US"/>
              </w:rPr>
            </w:pPr>
            <w:r w:rsidRPr="00614CC6">
              <w:rPr>
                <w:b/>
                <w:bCs/>
                <w:sz w:val="20"/>
                <w:lang w:val="en-US"/>
              </w:rPr>
              <w:t>SA</w:t>
            </w:r>
          </w:p>
        </w:tc>
        <w:tc>
          <w:tcPr>
            <w:tcW w:w="8220" w:type="dxa"/>
          </w:tcPr>
          <w:p w:rsidR="005C6927" w:rsidRPr="00614CC6" w:rsidRDefault="005C6927" w:rsidP="00493BC9">
            <w:pPr>
              <w:spacing w:before="30" w:after="30"/>
              <w:jc w:val="left"/>
              <w:rPr>
                <w:sz w:val="20"/>
                <w:lang w:val="en-US"/>
              </w:rPr>
            </w:pPr>
            <w:r w:rsidRPr="00614CC6">
              <w:rPr>
                <w:sz w:val="20"/>
              </w:rPr>
              <w:t>Applications spatiales et météorologie</w:t>
            </w:r>
          </w:p>
        </w:tc>
      </w:tr>
      <w:tr w:rsidR="005C6927" w:rsidRPr="00614CC6" w:rsidTr="00493BC9">
        <w:tc>
          <w:tcPr>
            <w:tcW w:w="1140" w:type="dxa"/>
          </w:tcPr>
          <w:p w:rsidR="005C6927" w:rsidRPr="00614CC6" w:rsidRDefault="005C6927" w:rsidP="00493BC9">
            <w:pPr>
              <w:spacing w:before="30" w:after="30"/>
              <w:ind w:left="57"/>
              <w:jc w:val="left"/>
              <w:rPr>
                <w:b/>
                <w:bCs/>
                <w:sz w:val="20"/>
                <w:lang w:val="en-US"/>
              </w:rPr>
            </w:pPr>
            <w:r w:rsidRPr="00614CC6">
              <w:rPr>
                <w:b/>
                <w:bCs/>
                <w:sz w:val="20"/>
                <w:lang w:val="en-US"/>
              </w:rPr>
              <w:t>SF</w:t>
            </w:r>
          </w:p>
        </w:tc>
        <w:tc>
          <w:tcPr>
            <w:tcW w:w="8220" w:type="dxa"/>
          </w:tcPr>
          <w:p w:rsidR="005C6927" w:rsidRPr="00614CC6" w:rsidRDefault="005C6927" w:rsidP="00493BC9">
            <w:pPr>
              <w:spacing w:before="30" w:after="30"/>
              <w:jc w:val="left"/>
              <w:rPr>
                <w:sz w:val="20"/>
              </w:rPr>
            </w:pPr>
            <w:r w:rsidRPr="00614CC6">
              <w:rPr>
                <w:sz w:val="20"/>
              </w:rPr>
              <w:t>Partage des fréquences et coordination entre les systèmes du service fixe par satellite et du service fixe</w:t>
            </w:r>
          </w:p>
        </w:tc>
      </w:tr>
      <w:tr w:rsidR="005C6927" w:rsidRPr="00036EE3" w:rsidTr="00493BC9">
        <w:tc>
          <w:tcPr>
            <w:tcW w:w="1140" w:type="dxa"/>
            <w:shd w:val="clear" w:color="auto" w:fill="auto"/>
          </w:tcPr>
          <w:p w:rsidR="005C6927" w:rsidRPr="00592F9F" w:rsidRDefault="005C6927" w:rsidP="00493BC9">
            <w:pPr>
              <w:spacing w:before="30" w:after="30"/>
              <w:ind w:left="57"/>
              <w:jc w:val="left"/>
              <w:rPr>
                <w:b/>
                <w:bCs/>
                <w:sz w:val="20"/>
                <w:lang w:val="en-US"/>
              </w:rPr>
            </w:pPr>
            <w:r w:rsidRPr="00592F9F">
              <w:rPr>
                <w:b/>
                <w:bCs/>
                <w:sz w:val="20"/>
                <w:lang w:val="en-US"/>
              </w:rPr>
              <w:t>SM</w:t>
            </w:r>
          </w:p>
        </w:tc>
        <w:tc>
          <w:tcPr>
            <w:tcW w:w="8220" w:type="dxa"/>
            <w:shd w:val="clear" w:color="auto" w:fill="auto"/>
          </w:tcPr>
          <w:p w:rsidR="005C6927" w:rsidRPr="00592F9F" w:rsidRDefault="005C6927" w:rsidP="00493BC9">
            <w:pPr>
              <w:spacing w:before="30" w:after="30"/>
              <w:jc w:val="left"/>
              <w:rPr>
                <w:sz w:val="20"/>
                <w:lang w:val="en-US"/>
              </w:rPr>
            </w:pPr>
            <w:r w:rsidRPr="00592F9F">
              <w:rPr>
                <w:sz w:val="20"/>
              </w:rPr>
              <w:t>Gestion du spectre</w:t>
            </w:r>
          </w:p>
        </w:tc>
      </w:tr>
      <w:tr w:rsidR="005C6927" w:rsidRPr="00036EE3" w:rsidTr="00493BC9">
        <w:tc>
          <w:tcPr>
            <w:tcW w:w="1140" w:type="dxa"/>
          </w:tcPr>
          <w:p w:rsidR="005C6927" w:rsidRPr="00614CC6" w:rsidRDefault="005C6927" w:rsidP="00493BC9">
            <w:pPr>
              <w:spacing w:before="30" w:after="30"/>
              <w:ind w:left="57"/>
              <w:jc w:val="left"/>
              <w:rPr>
                <w:b/>
                <w:bCs/>
                <w:sz w:val="20"/>
                <w:lang w:val="en-US"/>
              </w:rPr>
            </w:pPr>
            <w:r w:rsidRPr="00614CC6">
              <w:rPr>
                <w:b/>
                <w:bCs/>
                <w:sz w:val="20"/>
                <w:lang w:val="en-US"/>
              </w:rPr>
              <w:t>SNG</w:t>
            </w:r>
          </w:p>
        </w:tc>
        <w:tc>
          <w:tcPr>
            <w:tcW w:w="8220" w:type="dxa"/>
          </w:tcPr>
          <w:p w:rsidR="005C6927" w:rsidRPr="00614CC6" w:rsidRDefault="005C6927" w:rsidP="00493BC9">
            <w:pPr>
              <w:spacing w:before="30" w:after="30"/>
              <w:jc w:val="left"/>
              <w:rPr>
                <w:sz w:val="20"/>
                <w:lang w:val="en-US"/>
              </w:rPr>
            </w:pPr>
            <w:r w:rsidRPr="00614CC6">
              <w:rPr>
                <w:sz w:val="20"/>
              </w:rPr>
              <w:t>Reportage d'actualités par satellite</w:t>
            </w:r>
          </w:p>
        </w:tc>
      </w:tr>
      <w:tr w:rsidR="005C6927" w:rsidRPr="00614CC6" w:rsidTr="00493BC9">
        <w:tc>
          <w:tcPr>
            <w:tcW w:w="1140" w:type="dxa"/>
          </w:tcPr>
          <w:p w:rsidR="005C6927" w:rsidRPr="00614CC6" w:rsidRDefault="005C6927" w:rsidP="00493BC9">
            <w:pPr>
              <w:spacing w:before="30" w:after="30"/>
              <w:ind w:left="57"/>
              <w:jc w:val="left"/>
              <w:rPr>
                <w:b/>
                <w:bCs/>
                <w:sz w:val="20"/>
                <w:lang w:val="en-US"/>
              </w:rPr>
            </w:pPr>
            <w:r w:rsidRPr="00614CC6">
              <w:rPr>
                <w:b/>
                <w:bCs/>
                <w:sz w:val="20"/>
                <w:lang w:val="en-US"/>
              </w:rPr>
              <w:t>TF</w:t>
            </w:r>
          </w:p>
        </w:tc>
        <w:tc>
          <w:tcPr>
            <w:tcW w:w="8220" w:type="dxa"/>
          </w:tcPr>
          <w:p w:rsidR="005C6927" w:rsidRPr="00614CC6" w:rsidRDefault="005C6927" w:rsidP="00493BC9">
            <w:pPr>
              <w:spacing w:before="30" w:after="30"/>
              <w:jc w:val="left"/>
              <w:rPr>
                <w:sz w:val="20"/>
              </w:rPr>
            </w:pPr>
            <w:r w:rsidRPr="00614CC6">
              <w:rPr>
                <w:sz w:val="20"/>
              </w:rPr>
              <w:t>Emissions de fréquences étalon et de signaux horaires</w:t>
            </w:r>
          </w:p>
        </w:tc>
      </w:tr>
      <w:tr w:rsidR="005C6927" w:rsidRPr="00036EE3" w:rsidTr="00493BC9">
        <w:tc>
          <w:tcPr>
            <w:tcW w:w="1140" w:type="dxa"/>
          </w:tcPr>
          <w:p w:rsidR="005C6927" w:rsidRPr="00614CC6" w:rsidRDefault="005C6927" w:rsidP="00493BC9">
            <w:pPr>
              <w:spacing w:before="30" w:after="30"/>
              <w:ind w:left="57"/>
              <w:jc w:val="left"/>
              <w:rPr>
                <w:b/>
                <w:bCs/>
                <w:sz w:val="20"/>
                <w:lang w:val="en-US"/>
              </w:rPr>
            </w:pPr>
            <w:r w:rsidRPr="00614CC6">
              <w:rPr>
                <w:b/>
                <w:bCs/>
                <w:sz w:val="20"/>
                <w:lang w:val="en-US"/>
              </w:rPr>
              <w:t>V</w:t>
            </w:r>
          </w:p>
        </w:tc>
        <w:tc>
          <w:tcPr>
            <w:tcW w:w="8220" w:type="dxa"/>
          </w:tcPr>
          <w:p w:rsidR="005C6927" w:rsidRPr="00614CC6" w:rsidRDefault="005C6927" w:rsidP="00493BC9">
            <w:pPr>
              <w:spacing w:before="30" w:after="140"/>
              <w:jc w:val="left"/>
              <w:rPr>
                <w:sz w:val="20"/>
                <w:lang w:val="en-US"/>
              </w:rPr>
            </w:pPr>
            <w:r w:rsidRPr="00614CC6">
              <w:rPr>
                <w:sz w:val="20"/>
              </w:rPr>
              <w:t>Vocabulaire et sujets associés</w:t>
            </w:r>
          </w:p>
        </w:tc>
      </w:tr>
    </w:tbl>
    <w:p w:rsidR="005C6927" w:rsidRPr="00036EE3" w:rsidRDefault="005C6927" w:rsidP="005C6927">
      <w:pPr>
        <w:spacing w:before="0"/>
        <w:jc w:val="center"/>
        <w:rPr>
          <w:sz w:val="20"/>
          <w:lang w:val="en-US"/>
        </w:rPr>
      </w:pPr>
    </w:p>
    <w:p w:rsidR="005C6927" w:rsidRPr="00036EE3" w:rsidRDefault="005C6927" w:rsidP="005C6927">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C6927" w:rsidRPr="00756B4D" w:rsidTr="00493BC9">
        <w:tc>
          <w:tcPr>
            <w:tcW w:w="9360" w:type="dxa"/>
          </w:tcPr>
          <w:p w:rsidR="005C6927" w:rsidRPr="00756B4D" w:rsidRDefault="005C6927" w:rsidP="00493BC9">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5C6927" w:rsidRPr="00756B4D" w:rsidRDefault="005C6927" w:rsidP="005C6927">
      <w:pPr>
        <w:spacing w:before="0"/>
        <w:jc w:val="center"/>
        <w:rPr>
          <w:sz w:val="22"/>
        </w:rPr>
      </w:pPr>
    </w:p>
    <w:p w:rsidR="005C6927" w:rsidRPr="00614CC6" w:rsidRDefault="005C6927" w:rsidP="005C6927">
      <w:pPr>
        <w:spacing w:before="100"/>
        <w:jc w:val="right"/>
        <w:rPr>
          <w:i/>
          <w:iCs/>
          <w:sz w:val="20"/>
        </w:rPr>
      </w:pPr>
      <w:r w:rsidRPr="00614CC6">
        <w:rPr>
          <w:i/>
          <w:iCs/>
          <w:sz w:val="20"/>
        </w:rPr>
        <w:t>Publication électronique</w:t>
      </w:r>
    </w:p>
    <w:p w:rsidR="005C6927" w:rsidRPr="00614CC6" w:rsidRDefault="005C6927" w:rsidP="005C6927">
      <w:pPr>
        <w:spacing w:before="0"/>
        <w:jc w:val="right"/>
        <w:rPr>
          <w:sz w:val="20"/>
        </w:rPr>
      </w:pPr>
      <w:r w:rsidRPr="00614CC6">
        <w:rPr>
          <w:sz w:val="20"/>
        </w:rPr>
        <w:t>Genève, 20</w:t>
      </w:r>
      <w:r>
        <w:rPr>
          <w:sz w:val="20"/>
        </w:rPr>
        <w:t>16</w:t>
      </w:r>
    </w:p>
    <w:p w:rsidR="005C6927" w:rsidRPr="00614CC6" w:rsidRDefault="005C6927" w:rsidP="005C6927">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16</w:t>
      </w:r>
    </w:p>
    <w:p w:rsidR="005C6927" w:rsidRPr="00614CC6" w:rsidRDefault="005C6927" w:rsidP="005C6927">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C6927" w:rsidRPr="00614CC6" w:rsidRDefault="005C6927" w:rsidP="005C6927">
      <w:pPr>
        <w:spacing w:before="160"/>
        <w:rPr>
          <w:i/>
          <w:sz w:val="20"/>
          <w:highlight w:val="yellow"/>
        </w:rPr>
        <w:sectPr w:rsidR="005C6927"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5C6927" w:rsidRDefault="005C6927" w:rsidP="005C6927">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Pr>
          <w:rStyle w:val="href"/>
        </w:rPr>
        <w:t>1831-1</w:t>
      </w:r>
    </w:p>
    <w:p w:rsidR="005C6927" w:rsidRPr="00E62332" w:rsidRDefault="005C6927" w:rsidP="005C6927">
      <w:pPr>
        <w:pStyle w:val="Rectitle"/>
      </w:pPr>
      <w:r w:rsidRPr="00E62332">
        <w:t xml:space="preserve">Méthode de coordination pour l'évaluation des brouillages entre systèmes </w:t>
      </w:r>
      <w:r w:rsidRPr="00E62332">
        <w:br/>
        <w:t>du service de radionavigation par satellite</w:t>
      </w:r>
    </w:p>
    <w:p w:rsidR="005C6927" w:rsidRPr="00E62332" w:rsidRDefault="005C6927" w:rsidP="005C6927">
      <w:pPr>
        <w:pStyle w:val="Recref"/>
      </w:pPr>
      <w:r w:rsidRPr="00E62332">
        <w:t>(Question UIT</w:t>
      </w:r>
      <w:r w:rsidRPr="00E62332">
        <w:noBreakHyphen/>
        <w:t>R 217-2/4)</w:t>
      </w:r>
    </w:p>
    <w:p w:rsidR="005C6927" w:rsidRPr="00E62332" w:rsidRDefault="005C6927" w:rsidP="005C6927">
      <w:pPr>
        <w:pStyle w:val="Recdate"/>
      </w:pPr>
      <w:r w:rsidRPr="00E62332">
        <w:t>(2007-2015)</w:t>
      </w:r>
    </w:p>
    <w:p w:rsidR="005C6927" w:rsidRPr="00E62332" w:rsidRDefault="005C6927" w:rsidP="005C6927">
      <w:pPr>
        <w:pStyle w:val="HeadingSum"/>
        <w:rPr>
          <w:lang w:val="fr-FR"/>
        </w:rPr>
      </w:pPr>
      <w:r w:rsidRPr="00E62332">
        <w:rPr>
          <w:lang w:val="fr-FR"/>
        </w:rPr>
        <w:t>Domaine de compétence</w:t>
      </w:r>
    </w:p>
    <w:p w:rsidR="005C6927" w:rsidRPr="00106CD9" w:rsidRDefault="005C6927" w:rsidP="00106CD9">
      <w:pPr>
        <w:pStyle w:val="Summary"/>
        <w:rPr>
          <w:lang w:val="fr-CH"/>
        </w:rPr>
      </w:pPr>
      <w:r w:rsidRPr="00C85311">
        <w:rPr>
          <w:lang w:val="fr-CH"/>
        </w:rPr>
        <w:t xml:space="preserve">La présente Recommandation expose une méthode d'estimation des brouillages entre systèmes du service de radionavigation par satellite, méthode à utiliser pour la coordination entre systèmes et réseaux du service de radionavigation par satellite. </w:t>
      </w:r>
      <w:r w:rsidRPr="00106CD9">
        <w:rPr>
          <w:lang w:val="fr-CH"/>
        </w:rPr>
        <w:t>Du fait que la Résolution 610 (CMR-03) s'applique à tous les systèmes et réseaux du service de radionavigation par satellite et que cette Résolution expose un certain nombre de mesures conçues pour faciliter la détermination de la compatibilité entre systèmes du service de radionavigation par satellite, la présente Recommandation s'applique au service de radionavigation par satellite dans les bandes 1</w:t>
      </w:r>
      <w:r w:rsidR="00106CD9" w:rsidRPr="00106CD9">
        <w:rPr>
          <w:lang w:val="fr-CH"/>
        </w:rPr>
        <w:t> </w:t>
      </w:r>
      <w:r w:rsidRPr="00106CD9">
        <w:rPr>
          <w:lang w:val="fr-CH"/>
        </w:rPr>
        <w:t>164-1 215 MHz, 1 215-1 300 MHz, 1 559</w:t>
      </w:r>
      <w:r w:rsidRPr="00106CD9">
        <w:rPr>
          <w:lang w:val="fr-CH"/>
        </w:rPr>
        <w:noBreakHyphen/>
        <w:t>1 610 MHz et 5 010-5 030 MHz.</w:t>
      </w:r>
    </w:p>
    <w:p w:rsidR="005C6927" w:rsidRPr="00E62332" w:rsidRDefault="005C6927" w:rsidP="005C6927">
      <w:pPr>
        <w:pStyle w:val="Headingb"/>
      </w:pPr>
      <w:r w:rsidRPr="00E62332">
        <w:t>Mots-clés</w:t>
      </w:r>
    </w:p>
    <w:p w:rsidR="005C6927" w:rsidRPr="00E62332" w:rsidRDefault="005C6927" w:rsidP="005C6927">
      <w:r w:rsidRPr="00E62332">
        <w:t>SRNS, méthode de coordination, évaluation des brouillages entre systèmes</w:t>
      </w:r>
    </w:p>
    <w:p w:rsidR="005C6927" w:rsidRPr="00E62332" w:rsidRDefault="005C6927" w:rsidP="005C6927">
      <w:pPr>
        <w:pStyle w:val="Headingb"/>
      </w:pPr>
      <w:r w:rsidRPr="00E62332">
        <w:t>Abréviations/glossaire</w:t>
      </w:r>
    </w:p>
    <w:p w:rsidR="005C6927" w:rsidRPr="00E62332" w:rsidRDefault="005C6927" w:rsidP="005C6927">
      <w:r w:rsidRPr="00E62332">
        <w:t>ADC</w:t>
      </w:r>
      <w:r w:rsidRPr="00E62332">
        <w:tab/>
        <w:t>convertisseur analogique-numérique (</w:t>
      </w:r>
      <w:r w:rsidRPr="00E62332">
        <w:rPr>
          <w:i/>
          <w:iCs/>
        </w:rPr>
        <w:t>analogue to digital converter</w:t>
      </w:r>
      <w:r w:rsidRPr="00E62332">
        <w:t>)</w:t>
      </w:r>
    </w:p>
    <w:p w:rsidR="005C6927" w:rsidRPr="00E62332" w:rsidRDefault="005C6927" w:rsidP="005C6927">
      <w:r w:rsidRPr="00E62332">
        <w:t>AGC</w:t>
      </w:r>
      <w:r w:rsidRPr="00E62332">
        <w:tab/>
        <w:t>commande automatique de gain (</w:t>
      </w:r>
      <w:r w:rsidRPr="00E62332">
        <w:rPr>
          <w:i/>
          <w:iCs/>
        </w:rPr>
        <w:t>automatic gain control</w:t>
      </w:r>
      <w:r w:rsidRPr="00E62332">
        <w:t>)</w:t>
      </w:r>
    </w:p>
    <w:p w:rsidR="005C6927" w:rsidRPr="00E62332" w:rsidRDefault="005C6927" w:rsidP="005C6927">
      <w:r w:rsidRPr="00E62332">
        <w:t>PRN</w:t>
      </w:r>
      <w:r w:rsidRPr="00E62332">
        <w:tab/>
        <w:t>bruit pseudo-aléatoire (</w:t>
      </w:r>
      <w:r w:rsidRPr="00E62332">
        <w:rPr>
          <w:i/>
          <w:iCs/>
        </w:rPr>
        <w:t>pseudo-random noise</w:t>
      </w:r>
      <w:r w:rsidRPr="00E62332">
        <w:t>)</w:t>
      </w:r>
    </w:p>
    <w:p w:rsidR="005C6927" w:rsidRPr="00E62332" w:rsidRDefault="005C6927" w:rsidP="005C6927">
      <w:r w:rsidRPr="00E62332">
        <w:t>SSC</w:t>
      </w:r>
      <w:r w:rsidRPr="00E62332">
        <w:tab/>
        <w:t>coefficient de séparation spectrale (</w:t>
      </w:r>
      <w:r w:rsidRPr="00E62332">
        <w:rPr>
          <w:i/>
          <w:iCs/>
        </w:rPr>
        <w:t>spectral separation coefficient</w:t>
      </w:r>
      <w:r w:rsidRPr="00E62332">
        <w:t>)</w:t>
      </w:r>
    </w:p>
    <w:p w:rsidR="005C6927" w:rsidRPr="00E62332" w:rsidRDefault="005C6927" w:rsidP="005C6927">
      <w:pPr>
        <w:pStyle w:val="Headingb"/>
      </w:pPr>
      <w:r w:rsidRPr="00E62332">
        <w:t>Recommandations UIT</w:t>
      </w:r>
      <w:r w:rsidRPr="00E62332">
        <w:noBreakHyphen/>
        <w:t>R et Rapports UIT</w:t>
      </w:r>
      <w:r w:rsidRPr="00E62332">
        <w:noBreakHyphen/>
        <w:t>R connexes</w:t>
      </w:r>
    </w:p>
    <w:p w:rsidR="005C6927" w:rsidRPr="00E62332" w:rsidRDefault="005C6927" w:rsidP="005C6927">
      <w:pPr>
        <w:pStyle w:val="enumlev1"/>
        <w:ind w:left="3600" w:hanging="3600"/>
        <w:rPr>
          <w:rFonts w:eastAsia="SimSun"/>
        </w:rPr>
      </w:pPr>
      <w:r w:rsidRPr="00E62332">
        <w:rPr>
          <w:rFonts w:eastAsia="SimSun"/>
        </w:rPr>
        <w:t>Recommandation UIT-R M.1318-1</w:t>
      </w:r>
      <w:r w:rsidRPr="00E62332">
        <w:rPr>
          <w:rFonts w:eastAsia="SimSun"/>
        </w:rPr>
        <w:tab/>
        <w:t xml:space="preserve">Modèle d'évaluation des brouillages continus causés par des sources radioélectriques autres que celles du service de radionavigation par satellite aux systèmes et réseaux du service de radionavigation par satellite fonctionnant dans les bandes </w:t>
      </w:r>
      <w:bookmarkStart w:id="4" w:name="_GoBack"/>
      <w:bookmarkEnd w:id="4"/>
      <w:r w:rsidRPr="00E62332">
        <w:rPr>
          <w:rFonts w:eastAsia="SimSun"/>
        </w:rPr>
        <w:t>1</w:t>
      </w:r>
      <w:r>
        <w:rPr>
          <w:rFonts w:eastAsia="SimSun"/>
        </w:rPr>
        <w:t> </w:t>
      </w:r>
      <w:r w:rsidRPr="00E62332">
        <w:rPr>
          <w:rFonts w:eastAsia="SimSun"/>
        </w:rPr>
        <w:t>164-1 215 MHz, 1 215-1 300 MHz, 1 559-1 610 MHz et 5</w:t>
      </w:r>
      <w:r>
        <w:rPr>
          <w:rFonts w:eastAsia="SimSun"/>
        </w:rPr>
        <w:t> </w:t>
      </w:r>
      <w:r w:rsidRPr="00E62332">
        <w:rPr>
          <w:rFonts w:eastAsia="SimSun"/>
        </w:rPr>
        <w:t>010-5 030 MHz</w:t>
      </w:r>
    </w:p>
    <w:p w:rsidR="005C6927" w:rsidRPr="00E62332" w:rsidRDefault="005C6927" w:rsidP="005C6927">
      <w:pPr>
        <w:pStyle w:val="enumlev1"/>
        <w:ind w:left="3600" w:hanging="3600"/>
      </w:pPr>
      <w:r w:rsidRPr="00E62332">
        <w:rPr>
          <w:rFonts w:eastAsia="SimSun"/>
        </w:rPr>
        <w:t>Recommandation UIT-R</w:t>
      </w:r>
      <w:r w:rsidRPr="00E62332">
        <w:t xml:space="preserve"> M.1787-2</w:t>
      </w:r>
      <w:r w:rsidRPr="00E62332">
        <w:tab/>
        <w:t>Description des systèmes et réseaux du service de radionavigation par satellite (espace vers Terre et espace</w:t>
      </w:r>
      <w:r w:rsidRPr="00E62332">
        <w:noBreakHyphen/>
        <w:t>espace) et caractéristiques techniques des stations spatiales d'émission fonctionnant dans les bandes 1 164-1 215 MHz, 1 215-1 300 MHz et 1 559-1 610 MHz</w:t>
      </w:r>
    </w:p>
    <w:p w:rsidR="005C6927" w:rsidRPr="00E62332" w:rsidRDefault="005C6927" w:rsidP="005C6927">
      <w:pPr>
        <w:pStyle w:val="enumlev1"/>
        <w:ind w:left="3600" w:hanging="3600"/>
      </w:pPr>
      <w:r w:rsidRPr="00E62332">
        <w:rPr>
          <w:rFonts w:eastAsia="SimSun"/>
        </w:rPr>
        <w:t>Recommandation UIT-R</w:t>
      </w:r>
      <w:r w:rsidRPr="00E62332">
        <w:t xml:space="preserve"> M.1901-1</w:t>
      </w:r>
      <w:r w:rsidRPr="00E62332">
        <w:tab/>
        <w:t>Orientations générales concernant les Recommandations UIT</w:t>
      </w:r>
      <w:r w:rsidRPr="00E62332">
        <w:noBreakHyphen/>
        <w:t>R relatives aux systèmes et réseaux du service de radionavigation par satellite fonctionnant dans les bandes de fréquences 1 164-1 215 MHz, 1 215-1 300 MHz, 1 559-1 610 MHz, 5 000-5 010 MHz et 5 010-5 030 MHz</w:t>
      </w:r>
    </w:p>
    <w:p w:rsidR="005C6927" w:rsidRPr="00E62332" w:rsidRDefault="005C6927" w:rsidP="005C6927">
      <w:pPr>
        <w:pStyle w:val="enumlev1"/>
        <w:ind w:left="3600" w:hanging="3600"/>
      </w:pPr>
      <w:r w:rsidRPr="00E62332">
        <w:rPr>
          <w:rFonts w:eastAsia="SimSun"/>
        </w:rPr>
        <w:t>Recommandation UIT-R</w:t>
      </w:r>
      <w:r w:rsidRPr="00E62332">
        <w:t xml:space="preserve"> M.1902-0</w:t>
      </w:r>
      <w:r w:rsidRPr="00E62332">
        <w:tab/>
        <w:t>Caractéristiques et critères de protection applicables aux stations terriennes de réception du service de radionavigation par satellite (espace vers Terre) fonctionnant dans la bande 1 215-1 300 MHz</w:t>
      </w:r>
    </w:p>
    <w:p w:rsidR="005C6927" w:rsidRPr="00E62332" w:rsidRDefault="005C6927" w:rsidP="005C6927">
      <w:pPr>
        <w:pStyle w:val="enumlev1"/>
        <w:ind w:left="3600" w:hanging="3600"/>
      </w:pPr>
      <w:r w:rsidRPr="00E62332">
        <w:rPr>
          <w:rFonts w:eastAsia="SimSun"/>
        </w:rPr>
        <w:lastRenderedPageBreak/>
        <w:t>Recommandation UIT-R</w:t>
      </w:r>
      <w:r w:rsidRPr="00E62332">
        <w:t xml:space="preserve"> M.1903-0</w:t>
      </w:r>
      <w:r w:rsidRPr="00E62332">
        <w:tab/>
        <w:t>Caractéristiques et critères de protection applicables aux stations terriennes de réception du service de radionavigation par satellite (espace vers Terre) et aux récepteurs du service de radionavigation aéronautique fonctionnant dans la bande 1 559-1 610 MHz</w:t>
      </w:r>
    </w:p>
    <w:p w:rsidR="005C6927" w:rsidRPr="00E62332" w:rsidRDefault="005C6927" w:rsidP="005C6927">
      <w:pPr>
        <w:pStyle w:val="enumlev1"/>
        <w:ind w:left="3600" w:hanging="3600"/>
      </w:pPr>
      <w:r w:rsidRPr="00E62332">
        <w:rPr>
          <w:rFonts w:eastAsia="SimSun"/>
        </w:rPr>
        <w:t>Recommandation UIT-R</w:t>
      </w:r>
      <w:r w:rsidRPr="00E62332">
        <w:t xml:space="preserve"> M.1904-0</w:t>
      </w:r>
      <w:r w:rsidRPr="00E62332">
        <w:tab/>
        <w:t>Caractéristiques, critères de qualité de fonctionnement et critères de protection applicables aux stations de réception du service de radionavigation par satellite (espace-espace) fonctionnant dans les bandes de fréquences 1 164-1 215 MHz, 1 215-1 300 MHz et 1 559-1 610 MHz</w:t>
      </w:r>
    </w:p>
    <w:p w:rsidR="005C6927" w:rsidRPr="00E62332" w:rsidRDefault="005C6927" w:rsidP="005C6927">
      <w:pPr>
        <w:pStyle w:val="enumlev1"/>
        <w:ind w:left="3600" w:hanging="3600"/>
      </w:pPr>
      <w:r w:rsidRPr="00E62332">
        <w:rPr>
          <w:rFonts w:eastAsia="SimSun"/>
        </w:rPr>
        <w:t>Recommandation UIT-R</w:t>
      </w:r>
      <w:r w:rsidRPr="00E62332">
        <w:t xml:space="preserve"> M.1905-0</w:t>
      </w:r>
      <w:r w:rsidRPr="00E62332">
        <w:tab/>
        <w:t>Caractéristiques et critères de protection applicables aux stations terriennes de réception du service de radionavigation par satellite (espace vers Terre) fonctionnant dans la bande 1 164-1 215 MHz</w:t>
      </w:r>
    </w:p>
    <w:p w:rsidR="005C6927" w:rsidRPr="00E62332" w:rsidRDefault="005C6927" w:rsidP="005C6927">
      <w:pPr>
        <w:pStyle w:val="enumlev1"/>
        <w:ind w:left="3600" w:hanging="3600"/>
      </w:pPr>
      <w:r w:rsidRPr="00E62332">
        <w:rPr>
          <w:rFonts w:eastAsia="SimSun"/>
        </w:rPr>
        <w:t>Recommandation UIT-R</w:t>
      </w:r>
      <w:r w:rsidRPr="00E62332">
        <w:t xml:space="preserve"> M.1906-1</w:t>
      </w:r>
      <w:r w:rsidRPr="00E62332">
        <w:tab/>
        <w:t>Caractéristiques et critères de protection des stations spatiales de réception et caractéristiques des stations terriennes d'émission du service de radionavigation par satellite (Terre vers espace) fonctionnant dans la bande 5 000-5 010 MHz</w:t>
      </w:r>
    </w:p>
    <w:p w:rsidR="005C6927" w:rsidRPr="00E62332" w:rsidRDefault="005C6927" w:rsidP="005C6927">
      <w:pPr>
        <w:pStyle w:val="enumlev1"/>
        <w:ind w:left="3600" w:hanging="3600"/>
      </w:pPr>
      <w:r w:rsidRPr="00E62332">
        <w:rPr>
          <w:rFonts w:eastAsia="SimSun"/>
        </w:rPr>
        <w:t>Recommandation UIT-R</w:t>
      </w:r>
      <w:r w:rsidRPr="00E62332">
        <w:t xml:space="preserve"> M.2030-0</w:t>
      </w:r>
      <w:r w:rsidRPr="00E62332">
        <w:tab/>
        <w:t>Méthode d'évaluation du brouillage par impulsions causé par des sources radioélectriques autres que celles du service de radionavigation par satellite aux systèmes et réseaux du service de radionavigation par satellite fonctionnant dans les bandes 1</w:t>
      </w:r>
      <w:r>
        <w:t> </w:t>
      </w:r>
      <w:r w:rsidRPr="00E62332">
        <w:t>164-1 215 MHz, 1 215-1 300 MHz et 1 559-1 610 MHz</w:t>
      </w:r>
    </w:p>
    <w:p w:rsidR="005C6927" w:rsidRPr="00E62332" w:rsidRDefault="005C6927" w:rsidP="005C6927">
      <w:pPr>
        <w:pStyle w:val="enumlev1"/>
        <w:ind w:left="3600" w:hanging="3600"/>
      </w:pPr>
      <w:r w:rsidRPr="00E62332">
        <w:rPr>
          <w:rFonts w:eastAsia="SimSun"/>
        </w:rPr>
        <w:t>Recommandation UIT-R</w:t>
      </w:r>
      <w:r w:rsidRPr="00E62332">
        <w:t xml:space="preserve"> M.2031-1</w:t>
      </w:r>
      <w:r w:rsidRPr="00E62332">
        <w:tab/>
        <w:t>Caractéristiques et critères de protection des stations terriennes de réception et caractéristiques des stations spatiales d'émission du service de radionavigation par satellite (espace vers Terre) fonctionnant dans la bande 5 010-5 030 MHz</w:t>
      </w:r>
    </w:p>
    <w:p w:rsidR="005C6927" w:rsidRPr="00E62332" w:rsidRDefault="005C6927" w:rsidP="005C6927">
      <w:pPr>
        <w:pStyle w:val="Normalaftertitle"/>
      </w:pPr>
      <w:r w:rsidRPr="00E62332">
        <w:t>L'Assemblée des radiocommunications de l'UIT,</w:t>
      </w:r>
    </w:p>
    <w:p w:rsidR="005C6927" w:rsidRPr="00E62332" w:rsidRDefault="005C6927" w:rsidP="005C6927">
      <w:pPr>
        <w:pStyle w:val="Call"/>
      </w:pPr>
      <w:r w:rsidRPr="00E62332">
        <w:t>considérant</w:t>
      </w:r>
    </w:p>
    <w:p w:rsidR="005C6927" w:rsidRPr="00E62332" w:rsidRDefault="005C6927" w:rsidP="005C6927">
      <w:r w:rsidRPr="00E62332">
        <w:rPr>
          <w:i/>
          <w:iCs/>
        </w:rPr>
        <w:t>a)</w:t>
      </w:r>
      <w:r w:rsidRPr="00E62332">
        <w:tab/>
        <w:t>que les systèmes et réseaux du service de radionavigation par satellite (SRNS) permettent de disposer dans le monde entier d'informations précises pour de nombreuses applications de détermination de la position et de l'heure, notamment des applications fondamentales concernant la sécurité de la vie;</w:t>
      </w:r>
    </w:p>
    <w:p w:rsidR="005C6927" w:rsidRPr="00E62332" w:rsidRDefault="005C6927" w:rsidP="005C6927">
      <w:r w:rsidRPr="00E62332">
        <w:rPr>
          <w:i/>
          <w:iCs/>
        </w:rPr>
        <w:t>b)</w:t>
      </w:r>
      <w:r w:rsidRPr="00E62332">
        <w:tab/>
        <w:t>que la CMR-03 a adopté de nouvelles attributions élargies pour le SRNS;</w:t>
      </w:r>
    </w:p>
    <w:p w:rsidR="005C6927" w:rsidRPr="00E62332" w:rsidRDefault="005C6927" w:rsidP="005C6927">
      <w:r w:rsidRPr="00E62332">
        <w:rPr>
          <w:i/>
          <w:iCs/>
        </w:rPr>
        <w:t>c)</w:t>
      </w:r>
      <w:r w:rsidRPr="00E62332">
        <w:tab/>
        <w:t>que toute station terrienne dotée des équipements adéquats peut recevoir, dans le monde entier, les informations de navigation transmises par les systèmes et réseaux du SRNS;</w:t>
      </w:r>
    </w:p>
    <w:p w:rsidR="005C6927" w:rsidRPr="00E62332" w:rsidRDefault="005C6927" w:rsidP="005C6927">
      <w:r w:rsidRPr="00E62332">
        <w:rPr>
          <w:i/>
          <w:iCs/>
        </w:rPr>
        <w:t>d)</w:t>
      </w:r>
      <w:r w:rsidRPr="00E62332">
        <w:tab/>
        <w:t>que plusieurs systèmes et réseaux sont exploités ou en projet dans le SRNS, et qu'un nombre croissant de fiches de notification concernant le SRNS reçues par le Bureau des radiocommunications proposent d'utiliser les nouvelles attributions;</w:t>
      </w:r>
    </w:p>
    <w:p w:rsidR="005C6927" w:rsidRPr="00E62332" w:rsidRDefault="005C6927" w:rsidP="005C6927">
      <w:r w:rsidRPr="00E62332">
        <w:rPr>
          <w:i/>
          <w:iCs/>
        </w:rPr>
        <w:t>e)</w:t>
      </w:r>
      <w:r w:rsidRPr="00E62332">
        <w:tab/>
        <w:t>que, pour les besoins des entretiens de coordination, ont été établies des méthodes qui constituent une base commune pour l'estimation des brouillages entre ces systèmes et réseaux du SRNS,</w:t>
      </w:r>
    </w:p>
    <w:p w:rsidR="005C6927" w:rsidRPr="00E62332" w:rsidRDefault="005C6927" w:rsidP="005C6927">
      <w:pPr>
        <w:keepNext/>
        <w:keepLines/>
        <w:spacing w:before="160"/>
        <w:ind w:left="794"/>
        <w:rPr>
          <w:i/>
        </w:rPr>
      </w:pPr>
      <w:r w:rsidRPr="00E62332">
        <w:rPr>
          <w:i/>
        </w:rPr>
        <w:lastRenderedPageBreak/>
        <w:t>reconnaissant</w:t>
      </w:r>
    </w:p>
    <w:p w:rsidR="005C6927" w:rsidRPr="00E62332" w:rsidRDefault="005C6927" w:rsidP="005C6927">
      <w:pPr>
        <w:keepNext/>
        <w:keepLines/>
      </w:pPr>
      <w:r w:rsidRPr="00E62332">
        <w:rPr>
          <w:i/>
          <w:iCs/>
        </w:rPr>
        <w:t>a)</w:t>
      </w:r>
      <w:r w:rsidRPr="00E62332">
        <w:tab/>
        <w:t>que les bandes 1 164</w:t>
      </w:r>
      <w:r w:rsidRPr="00E62332">
        <w:noBreakHyphen/>
        <w:t>1 215 MHz, 1 215</w:t>
      </w:r>
      <w:r w:rsidRPr="00E62332">
        <w:noBreakHyphen/>
        <w:t>1 300 MHz, 1 559</w:t>
      </w:r>
      <w:r w:rsidRPr="00E62332">
        <w:noBreakHyphen/>
        <w:t>1 610 MHz et 5 010</w:t>
      </w:r>
      <w:r w:rsidRPr="00E62332">
        <w:noBreakHyphen/>
        <w:t>5 030 MHz sont attribuées au SRNS à titre primaire (espace vers Terre, espace vers espace);</w:t>
      </w:r>
    </w:p>
    <w:p w:rsidR="005C6927" w:rsidRPr="00E62332" w:rsidRDefault="005C6927" w:rsidP="005C6927">
      <w:pPr>
        <w:keepNext/>
        <w:keepLines/>
      </w:pPr>
      <w:r w:rsidRPr="00E62332">
        <w:rPr>
          <w:i/>
          <w:iCs/>
        </w:rPr>
        <w:t>b)</w:t>
      </w:r>
      <w:r w:rsidRPr="00E62332">
        <w:tab/>
        <w:t>que les bandes 1 164</w:t>
      </w:r>
      <w:r w:rsidRPr="00E62332">
        <w:noBreakHyphen/>
        <w:t>1 215 MHz, 1 215</w:t>
      </w:r>
      <w:r w:rsidRPr="00E62332">
        <w:noBreakHyphen/>
        <w:t>1 300 MHz, 1 559</w:t>
      </w:r>
      <w:r w:rsidRPr="00E62332">
        <w:noBreakHyphen/>
        <w:t>1 610 MHz et 5 010</w:t>
      </w:r>
      <w:r w:rsidRPr="00E62332">
        <w:noBreakHyphen/>
        <w:t>5 030 MHz sont aussi attribuées à titre primaire à d'autres services;</w:t>
      </w:r>
    </w:p>
    <w:p w:rsidR="005C6927" w:rsidRPr="00E62332" w:rsidRDefault="005C6927" w:rsidP="005C6927">
      <w:r w:rsidRPr="00E62332">
        <w:rPr>
          <w:i/>
          <w:iCs/>
        </w:rPr>
        <w:t>c)</w:t>
      </w:r>
      <w:r w:rsidRPr="00E62332">
        <w:tab/>
        <w:t>que la Recommandation UIT-R M.1901 donne des orientations sur la présente Recommandation et d'autres Recommandations UIT-R relatives aux systèmes et réseaux du SRNS fonctionnant dans les bandes de fréquences 1 164</w:t>
      </w:r>
      <w:r w:rsidRPr="00E62332">
        <w:noBreakHyphen/>
        <w:t>1 215 MHz, 1 215</w:t>
      </w:r>
      <w:r w:rsidRPr="00E62332">
        <w:noBreakHyphen/>
        <w:t>1 300 MHz, 1 559</w:t>
      </w:r>
      <w:r w:rsidRPr="00E62332">
        <w:noBreakHyphen/>
        <w:t>1 610 MHz, 5 000-5 010 MHz et 5 010-5 030 MHz;</w:t>
      </w:r>
    </w:p>
    <w:p w:rsidR="005C6927" w:rsidRPr="00E62332" w:rsidRDefault="005C6927" w:rsidP="006D0F26">
      <w:r w:rsidRPr="00E62332">
        <w:rPr>
          <w:i/>
          <w:iCs/>
        </w:rPr>
        <w:t>d</w:t>
      </w:r>
      <w:r w:rsidRPr="0055399D">
        <w:rPr>
          <w:i/>
          <w:iCs/>
        </w:rPr>
        <w:t>)</w:t>
      </w:r>
      <w:r w:rsidRPr="00E62332">
        <w:tab/>
        <w:t>que les caractéristiques techniques et d'exploitation et les critères de protection des récepteurs des systèmes et réseaux du SRNS (espace vers Terre et espace vers espace) dans les bandes</w:t>
      </w:r>
      <w:r w:rsidR="006D0F26">
        <w:t xml:space="preserve"> </w:t>
      </w:r>
      <w:r w:rsidRPr="00E62332">
        <w:t>1 164</w:t>
      </w:r>
      <w:r w:rsidR="006D0F26">
        <w:noBreakHyphen/>
      </w:r>
      <w:r w:rsidRPr="00E62332">
        <w:t>1 215 MHz, 1 215</w:t>
      </w:r>
      <w:r w:rsidRPr="00E62332">
        <w:noBreakHyphen/>
        <w:t>1 300 MHz, 1 559-1 610 MHz, 5 000</w:t>
      </w:r>
      <w:r w:rsidRPr="00E62332">
        <w:noBreakHyphen/>
        <w:t>5 010 MHz et 5 010</w:t>
      </w:r>
      <w:r w:rsidRPr="00E62332">
        <w:noBreakHyphen/>
        <w:t>5 030 MHz sont indiqués dans les Recommandations UIT</w:t>
      </w:r>
      <w:r w:rsidRPr="00E62332">
        <w:noBreakHyphen/>
        <w:t>R M.1905, UIT</w:t>
      </w:r>
      <w:r w:rsidRPr="00E62332">
        <w:noBreakHyphen/>
        <w:t>R M.1902, UIT</w:t>
      </w:r>
      <w:r w:rsidRPr="00E62332">
        <w:noBreakHyphen/>
        <w:t>R M.1903, UIT</w:t>
      </w:r>
      <w:r w:rsidRPr="00E62332">
        <w:noBreakHyphen/>
        <w:t>R M.1904, UIT</w:t>
      </w:r>
      <w:r w:rsidRPr="00E62332">
        <w:noBreakHyphen/>
        <w:t>R M.1906 et UIT</w:t>
      </w:r>
      <w:r w:rsidRPr="00E62332">
        <w:noBreakHyphen/>
        <w:t>R M.2031;</w:t>
      </w:r>
    </w:p>
    <w:p w:rsidR="005C6927" w:rsidRPr="00E62332" w:rsidRDefault="005C6927" w:rsidP="005C6927">
      <w:r w:rsidRPr="00E62332">
        <w:rPr>
          <w:i/>
          <w:iCs/>
        </w:rPr>
        <w:t>e</w:t>
      </w:r>
      <w:r w:rsidRPr="0055399D">
        <w:rPr>
          <w:i/>
          <w:iCs/>
        </w:rPr>
        <w:t>)</w:t>
      </w:r>
      <w:r w:rsidRPr="00E62332">
        <w:tab/>
        <w:t>que les caractéristiques techniques et d'exploitation des émetteurs des systèmes et réseaux du SRNS (Terre vers espace, espace vers Terre et espace vers espace) dans les bandes 1 164</w:t>
      </w:r>
      <w:r w:rsidRPr="00E62332">
        <w:noBreakHyphen/>
        <w:t>1 215 MHz, 1 215-1 300 MHz, 1 559-1 610 MHz, 5 000</w:t>
      </w:r>
      <w:r w:rsidRPr="00E62332">
        <w:noBreakHyphen/>
        <w:t>5 010 MHz et 5 010</w:t>
      </w:r>
      <w:r w:rsidRPr="00E62332">
        <w:noBreakHyphen/>
        <w:t>5 030 MHz sont indiquées dans les Recommandations UIT</w:t>
      </w:r>
      <w:r w:rsidRPr="00E62332">
        <w:noBreakHyphen/>
        <w:t>R M.1787, UIT</w:t>
      </w:r>
      <w:r w:rsidRPr="00E62332">
        <w:noBreakHyphen/>
        <w:t>R M.1906 et UIT</w:t>
      </w:r>
      <w:r w:rsidRPr="00E62332">
        <w:noBreakHyphen/>
        <w:t>R M.2031;</w:t>
      </w:r>
    </w:p>
    <w:p w:rsidR="005C6927" w:rsidRPr="00E62332" w:rsidRDefault="005C6927" w:rsidP="006D0F26">
      <w:r w:rsidRPr="0055399D">
        <w:rPr>
          <w:i/>
          <w:iCs/>
        </w:rPr>
        <w:t>f)</w:t>
      </w:r>
      <w:r w:rsidRPr="00E62332">
        <w:tab/>
        <w:t>que la Recommandation UIT</w:t>
      </w:r>
      <w:r w:rsidRPr="00E62332">
        <w:noBreakHyphen/>
        <w:t>R M.1318 décrit un modèle d'évaluation des brouillages occasionnés aux systèmes du SRNS dans le domaine fréquentiel des bandes 1 164-1 215 MHz, 1 215</w:t>
      </w:r>
      <w:r w:rsidR="006D0F26">
        <w:noBreakHyphen/>
      </w:r>
      <w:r w:rsidRPr="00E62332">
        <w:t>1 300 MHz, 1 559-1 610 MHz et 5 010</w:t>
      </w:r>
      <w:r w:rsidRPr="00E62332">
        <w:noBreakHyphen/>
        <w:t>5 030 MHz;</w:t>
      </w:r>
    </w:p>
    <w:p w:rsidR="005C6927" w:rsidRPr="00E62332" w:rsidRDefault="005C6927" w:rsidP="006D0F26">
      <w:r w:rsidRPr="00E62332">
        <w:rPr>
          <w:i/>
          <w:iCs/>
          <w:lang w:eastAsia="ja-JP"/>
        </w:rPr>
        <w:t>g</w:t>
      </w:r>
      <w:r w:rsidRPr="0055399D">
        <w:rPr>
          <w:i/>
          <w:iCs/>
        </w:rPr>
        <w:t>)</w:t>
      </w:r>
      <w:r w:rsidRPr="00E62332">
        <w:tab/>
        <w:t>que la Recommandation UIT</w:t>
      </w:r>
      <w:r w:rsidRPr="00E62332">
        <w:noBreakHyphen/>
        <w:t>R M.2030 décrit</w:t>
      </w:r>
      <w:r w:rsidRPr="00E62332">
        <w:rPr>
          <w:rFonts w:ascii="Segoe UI" w:hAnsi="Segoe UI" w:cs="Segoe UI"/>
          <w:color w:val="000000"/>
          <w:sz w:val="20"/>
          <w:shd w:val="clear" w:color="auto" w:fill="FFFFFF"/>
        </w:rPr>
        <w:t xml:space="preserve"> </w:t>
      </w:r>
      <w:r w:rsidRPr="00E62332">
        <w:t>une méthode d'évaluation des brouillages par impulsions que des sources radioélectriques autres que celles du SRNS sont susceptibles de causer aux systèmes et réseaux du SRNS fonctionnant les bandes 1 164-1 215 MHz, 1</w:t>
      </w:r>
      <w:r w:rsidRPr="00E62332">
        <w:rPr>
          <w:rFonts w:ascii="Tms Rmn" w:hAnsi="Tms Rmn"/>
          <w:sz w:val="12"/>
        </w:rPr>
        <w:t> </w:t>
      </w:r>
      <w:r w:rsidRPr="00E62332">
        <w:t>215-1 300 MHz et</w:t>
      </w:r>
      <w:r w:rsidR="006D0F26">
        <w:t> </w:t>
      </w:r>
      <w:r w:rsidRPr="00E62332">
        <w:t>1</w:t>
      </w:r>
      <w:r w:rsidRPr="00E62332">
        <w:rPr>
          <w:rFonts w:ascii="Tms Rmn" w:hAnsi="Tms Rmn"/>
          <w:sz w:val="12"/>
        </w:rPr>
        <w:t> </w:t>
      </w:r>
      <w:r w:rsidRPr="00E62332">
        <w:t>559-1</w:t>
      </w:r>
      <w:r w:rsidRPr="00E62332">
        <w:rPr>
          <w:rFonts w:ascii="Tms Rmn" w:hAnsi="Tms Rmn"/>
          <w:sz w:val="12"/>
        </w:rPr>
        <w:t xml:space="preserve"> </w:t>
      </w:r>
      <w:r w:rsidRPr="00E62332">
        <w:t>610 MHz;</w:t>
      </w:r>
    </w:p>
    <w:p w:rsidR="005C6927" w:rsidRPr="00E62332" w:rsidRDefault="005C6927" w:rsidP="005C6927">
      <w:pPr>
        <w:rPr>
          <w:lang w:eastAsia="ja-JP"/>
        </w:rPr>
      </w:pPr>
      <w:r w:rsidRPr="00E62332">
        <w:rPr>
          <w:i/>
          <w:iCs/>
          <w:lang w:eastAsia="ja-JP"/>
        </w:rPr>
        <w:t>h</w:t>
      </w:r>
      <w:r w:rsidRPr="0055399D">
        <w:rPr>
          <w:i/>
          <w:iCs/>
          <w:lang w:eastAsia="ja-JP"/>
        </w:rPr>
        <w:t>)</w:t>
      </w:r>
      <w:r w:rsidRPr="00E62332">
        <w:rPr>
          <w:lang w:eastAsia="ja-JP"/>
        </w:rPr>
        <w:tab/>
        <w:t>qu'aux termes du numéro 4.10 du Règlement des radiocommunications (RR), les aspects «sécurité» du SRNS «appellent des dispositions spéciales pour les mettre à l'abri des brouillages préjudiciables»;</w:t>
      </w:r>
    </w:p>
    <w:p w:rsidR="005C6927" w:rsidRPr="00E62332" w:rsidRDefault="005C6927" w:rsidP="005C6927">
      <w:r w:rsidRPr="00E62332">
        <w:rPr>
          <w:i/>
          <w:iCs/>
          <w:lang w:eastAsia="ja-JP"/>
        </w:rPr>
        <w:t>i</w:t>
      </w:r>
      <w:r w:rsidRPr="00E62332">
        <w:rPr>
          <w:i/>
          <w:iCs/>
        </w:rPr>
        <w:t>)</w:t>
      </w:r>
      <w:r w:rsidRPr="00E62332">
        <w:tab/>
        <w:t>qu'en vertu du numéro</w:t>
      </w:r>
      <w:r w:rsidRPr="00E62332">
        <w:rPr>
          <w:szCs w:val="24"/>
        </w:rPr>
        <w:t xml:space="preserve"> 5.328B du RR, les systèmes et réseaux du SRNS qu'il est prévu</w:t>
      </w:r>
      <w:r>
        <w:rPr>
          <w:szCs w:val="24"/>
        </w:rPr>
        <w:t xml:space="preserve"> </w:t>
      </w:r>
      <w:r w:rsidRPr="00E62332">
        <w:rPr>
          <w:szCs w:val="24"/>
        </w:rPr>
        <w:t>d'utiliser dans les bandes 1</w:t>
      </w:r>
      <w:r w:rsidRPr="00E62332">
        <w:rPr>
          <w:rFonts w:ascii="Tms Rmn" w:hAnsi="Tms Rmn"/>
          <w:sz w:val="12"/>
          <w:szCs w:val="12"/>
        </w:rPr>
        <w:t> </w:t>
      </w:r>
      <w:r w:rsidRPr="00E62332">
        <w:rPr>
          <w:szCs w:val="24"/>
        </w:rPr>
        <w:t>164-1 215 MHz, 1 215-1</w:t>
      </w:r>
      <w:r w:rsidRPr="00E62332">
        <w:rPr>
          <w:rFonts w:ascii="Tms Rmn" w:hAnsi="Tms Rmn"/>
          <w:sz w:val="12"/>
          <w:szCs w:val="12"/>
        </w:rPr>
        <w:t> </w:t>
      </w:r>
      <w:r w:rsidRPr="00E62332">
        <w:rPr>
          <w:szCs w:val="24"/>
        </w:rPr>
        <w:t>300 MHz, 1</w:t>
      </w:r>
      <w:r w:rsidRPr="00E62332">
        <w:rPr>
          <w:rFonts w:ascii="Tms Rmn" w:hAnsi="Tms Rmn"/>
          <w:sz w:val="12"/>
          <w:szCs w:val="12"/>
        </w:rPr>
        <w:t> </w:t>
      </w:r>
      <w:r w:rsidRPr="00E62332">
        <w:rPr>
          <w:szCs w:val="24"/>
        </w:rPr>
        <w:t>559-1</w:t>
      </w:r>
      <w:r w:rsidRPr="00E62332">
        <w:rPr>
          <w:rFonts w:ascii="Tms Rmn" w:hAnsi="Tms Rmn"/>
          <w:sz w:val="12"/>
          <w:szCs w:val="12"/>
        </w:rPr>
        <w:t> </w:t>
      </w:r>
      <w:r w:rsidRPr="00E62332">
        <w:rPr>
          <w:szCs w:val="24"/>
        </w:rPr>
        <w:t xml:space="preserve">610 MHz </w:t>
      </w:r>
      <w:r w:rsidRPr="00E62332">
        <w:t>et 5 010</w:t>
      </w:r>
      <w:r w:rsidRPr="00E62332">
        <w:noBreakHyphen/>
        <w:t>5 030 MHz</w:t>
      </w:r>
      <w:r w:rsidRPr="00E62332">
        <w:rPr>
          <w:szCs w:val="24"/>
        </w:rPr>
        <w:t xml:space="preserve"> </w:t>
      </w:r>
      <w:r w:rsidRPr="00E62332">
        <w:t>et pour lesquels les renseignements complets de coordination ou de notification, selon le cas, sont reçus par le Bureau des radiocommunications après le 1er janvier 2005 sont soumis à l'application des numéros</w:t>
      </w:r>
      <w:r w:rsidRPr="00E62332">
        <w:rPr>
          <w:szCs w:val="24"/>
        </w:rPr>
        <w:t xml:space="preserve"> 9.12, 9.12A et 9.13</w:t>
      </w:r>
      <w:r w:rsidRPr="00E62332">
        <w:t xml:space="preserve"> du RR, et que des études ayant pour objet de déterminer des méthodes et critères additionnels pour faciliter cette coordination sont en cours de planification;</w:t>
      </w:r>
    </w:p>
    <w:p w:rsidR="005C6927" w:rsidRPr="00E62332" w:rsidRDefault="005C6927" w:rsidP="005C6927">
      <w:r w:rsidRPr="00E62332">
        <w:rPr>
          <w:i/>
          <w:iCs/>
        </w:rPr>
        <w:t>j)</w:t>
      </w:r>
      <w:r w:rsidRPr="00E62332">
        <w:tab/>
        <w:t>qu'en vertu du numéro 9.7 du RR, les stations des réseaux du SRNS qui utilisent l'orbite des satellites géostationnaires doivent faire l'objet d'une coordination avec les autres stations de ce type, et que des études visant à déterminer des méthodes et critères additionnels pour faciliter cette coordination sont en cours de planification,</w:t>
      </w:r>
    </w:p>
    <w:p w:rsidR="005C6927" w:rsidRPr="00E62332" w:rsidRDefault="005C6927" w:rsidP="005C6927">
      <w:pPr>
        <w:pStyle w:val="Call"/>
      </w:pPr>
      <w:r w:rsidRPr="00E62332">
        <w:t>reconnaissant en outre</w:t>
      </w:r>
    </w:p>
    <w:p w:rsidR="005C6927" w:rsidRPr="00E62332" w:rsidRDefault="005C6927" w:rsidP="005C6927">
      <w:r w:rsidRPr="00E62332">
        <w:t xml:space="preserve">que la Résolution 610 (CMR-03) s'applique à tous les systèmes et réseaux du SRNS exploités dans les bandes citées sous le point </w:t>
      </w:r>
      <w:r w:rsidRPr="0055399D">
        <w:rPr>
          <w:i/>
          <w:iCs/>
        </w:rPr>
        <w:t>a)</w:t>
      </w:r>
      <w:r w:rsidRPr="00E62332">
        <w:t xml:space="preserve"> du </w:t>
      </w:r>
      <w:r w:rsidRPr="00E62332">
        <w:rPr>
          <w:i/>
        </w:rPr>
        <w:t>reconnaissant</w:t>
      </w:r>
      <w:r w:rsidRPr="00E62332">
        <w:t>, et que cette Résolution contient des mesures conçues pour faciliter les déterminations de compatibilité entre systèmes du SRNS,</w:t>
      </w:r>
    </w:p>
    <w:p w:rsidR="005C6927" w:rsidRPr="00E62332" w:rsidRDefault="005C6927" w:rsidP="005C6927">
      <w:pPr>
        <w:pStyle w:val="Call"/>
      </w:pPr>
      <w:r w:rsidRPr="00E62332">
        <w:lastRenderedPageBreak/>
        <w:t>recommande</w:t>
      </w:r>
    </w:p>
    <w:p w:rsidR="005C6927" w:rsidRPr="00E62332" w:rsidRDefault="005C6927" w:rsidP="005C6927">
      <w:r w:rsidRPr="00E62332">
        <w:rPr>
          <w:b/>
          <w:bCs/>
        </w:rPr>
        <w:t>1</w:t>
      </w:r>
      <w:r w:rsidRPr="00E62332">
        <w:tab/>
        <w:t xml:space="preserve">d'utiliser la méthode exposée dans l'Annexe 1 pour la coordination entre systèmes du SRNS exploités ou qu'il est proposé d'exploiter dans une ou plusieurs des bandes de fréquences citées sous le point </w:t>
      </w:r>
      <w:r w:rsidRPr="0055399D">
        <w:rPr>
          <w:i/>
          <w:iCs/>
        </w:rPr>
        <w:t>a)</w:t>
      </w:r>
      <w:r w:rsidRPr="00E62332">
        <w:t xml:space="preserve"> du </w:t>
      </w:r>
      <w:r w:rsidRPr="00E62332">
        <w:rPr>
          <w:i/>
        </w:rPr>
        <w:t>reconnaissant</w:t>
      </w:r>
      <w:r w:rsidRPr="00E62332">
        <w:t xml:space="preserve"> (Note 1); </w:t>
      </w:r>
    </w:p>
    <w:p w:rsidR="005C6927" w:rsidRPr="00E62332" w:rsidRDefault="005C6927" w:rsidP="005C6927">
      <w:r w:rsidRPr="00E62332">
        <w:rPr>
          <w:b/>
          <w:bCs/>
        </w:rPr>
        <w:t>2</w:t>
      </w:r>
      <w:r w:rsidRPr="00E62332">
        <w:tab/>
        <w:t>de faire en sorte que les opérateurs de systèmes du SRNS, avant et pendant la coordination, tiennent compte des orientations fournies dans les Annexes 2 et 3.</w:t>
      </w:r>
    </w:p>
    <w:p w:rsidR="005C6927" w:rsidRPr="00E62332" w:rsidRDefault="005C6927" w:rsidP="005C6927">
      <w:r w:rsidRPr="00E62332">
        <w:t>NOTE 1 – La méthode exposée dans l'Annexe 1 peut être difficile à appliquer dans le cas de systèmes SRNS AMRF multisatellites. Dans ce cas, on pourra utiliser l'Annexe 2.</w:t>
      </w:r>
    </w:p>
    <w:p w:rsidR="005C6927" w:rsidRPr="00E62332" w:rsidRDefault="005C6927" w:rsidP="009839D9">
      <w:pPr>
        <w:pStyle w:val="AnnexNoTitle"/>
      </w:pPr>
      <w:r w:rsidRPr="00E62332">
        <w:br w:type="page"/>
      </w:r>
      <w:r w:rsidRPr="00E62332">
        <w:lastRenderedPageBreak/>
        <w:t xml:space="preserve">Annexe 1 </w:t>
      </w:r>
      <w:r w:rsidRPr="00E62332">
        <w:br/>
      </w:r>
      <w:r w:rsidRPr="00E62332">
        <w:br/>
        <w:t>Méthode d'estimation des brouillages entre systèmes et réseaux du SRNS</w:t>
      </w:r>
    </w:p>
    <w:p w:rsidR="005C6927" w:rsidRPr="00E62332" w:rsidRDefault="005C6927" w:rsidP="005C6927">
      <w:pPr>
        <w:spacing w:before="320"/>
        <w:jc w:val="center"/>
        <w:rPr>
          <w:rFonts w:eastAsia="MS Mincho"/>
        </w:rPr>
      </w:pPr>
      <w:r w:rsidRPr="00E62332">
        <w:rPr>
          <w:rFonts w:eastAsia="MS Mincho"/>
        </w:rPr>
        <w:t>TABLE DES MATIÈRES</w:t>
      </w:r>
    </w:p>
    <w:p w:rsidR="005C6927" w:rsidRPr="00E62332" w:rsidRDefault="005C6927" w:rsidP="005C6927">
      <w:pPr>
        <w:pStyle w:val="TOC00"/>
        <w:rPr>
          <w:lang w:val="fr-FR"/>
        </w:rPr>
      </w:pPr>
      <w:r w:rsidRPr="00E62332">
        <w:rPr>
          <w:lang w:val="fr-FR"/>
        </w:rPr>
        <w:t>Page</w:t>
      </w:r>
    </w:p>
    <w:p w:rsidR="005C6927" w:rsidRPr="00E62332" w:rsidRDefault="005C6927" w:rsidP="005C6927">
      <w:pPr>
        <w:pStyle w:val="TOC1"/>
        <w:rPr>
          <w:rFonts w:asciiTheme="minorHAnsi" w:eastAsiaTheme="minorEastAsia" w:hAnsiTheme="minorHAnsi" w:cstheme="minorBidi"/>
          <w:noProof/>
          <w:sz w:val="22"/>
          <w:szCs w:val="22"/>
          <w:lang w:val="fr-FR" w:eastAsia="zh-CN"/>
        </w:rPr>
      </w:pPr>
      <w:r w:rsidRPr="00E62332">
        <w:rPr>
          <w:rFonts w:eastAsia="MS Mincho"/>
          <w:lang w:val="fr-FR"/>
        </w:rPr>
        <w:fldChar w:fldCharType="begin"/>
      </w:r>
      <w:r w:rsidRPr="00E62332">
        <w:rPr>
          <w:rFonts w:eastAsia="MS Mincho"/>
          <w:lang w:val="fr-FR"/>
        </w:rPr>
        <w:instrText xml:space="preserve"> TOC \o "1-2" \h \z \t "Annex_NoTitle;1" </w:instrText>
      </w:r>
      <w:r w:rsidRPr="00E62332">
        <w:rPr>
          <w:rFonts w:eastAsia="MS Mincho"/>
          <w:lang w:val="fr-FR"/>
        </w:rPr>
        <w:fldChar w:fldCharType="separate"/>
      </w:r>
      <w:hyperlink w:anchor="_Toc467049661" w:history="1">
        <w:r w:rsidRPr="00E62332">
          <w:rPr>
            <w:rStyle w:val="Hyperlink"/>
            <w:noProof/>
            <w:lang w:val="fr-FR"/>
          </w:rPr>
          <w:t>1</w:t>
        </w:r>
        <w:r w:rsidRPr="00E62332">
          <w:rPr>
            <w:rFonts w:asciiTheme="minorHAnsi" w:eastAsiaTheme="minorEastAsia" w:hAnsiTheme="minorHAnsi" w:cstheme="minorBidi"/>
            <w:noProof/>
            <w:sz w:val="22"/>
            <w:szCs w:val="22"/>
            <w:lang w:val="fr-FR" w:eastAsia="zh-CN"/>
          </w:rPr>
          <w:tab/>
        </w:r>
        <w:r w:rsidRPr="00E62332">
          <w:rPr>
            <w:rStyle w:val="Hyperlink"/>
            <w:noProof/>
            <w:lang w:val="fr-FR"/>
          </w:rPr>
          <w:t>Introduction</w:t>
        </w:r>
        <w:r w:rsidRPr="00E62332">
          <w:rPr>
            <w:noProof/>
            <w:webHidden/>
            <w:lang w:val="fr-FR"/>
          </w:rPr>
          <w:tab/>
        </w:r>
        <w:r w:rsidRPr="00E62332">
          <w:rPr>
            <w:noProof/>
            <w:webHidden/>
            <w:lang w:val="fr-FR"/>
          </w:rPr>
          <w:tab/>
        </w:r>
        <w:r w:rsidRPr="00E62332">
          <w:rPr>
            <w:noProof/>
            <w:webHidden/>
            <w:lang w:val="fr-FR"/>
          </w:rPr>
          <w:fldChar w:fldCharType="begin"/>
        </w:r>
        <w:r w:rsidRPr="00E62332">
          <w:rPr>
            <w:noProof/>
            <w:webHidden/>
            <w:lang w:val="fr-FR"/>
          </w:rPr>
          <w:instrText xml:space="preserve"> PAGEREF _Toc467049661 \h </w:instrText>
        </w:r>
        <w:r w:rsidRPr="00E62332">
          <w:rPr>
            <w:noProof/>
            <w:webHidden/>
            <w:lang w:val="fr-FR"/>
          </w:rPr>
        </w:r>
        <w:r w:rsidRPr="00E62332">
          <w:rPr>
            <w:noProof/>
            <w:webHidden/>
            <w:lang w:val="fr-FR"/>
          </w:rPr>
          <w:fldChar w:fldCharType="separate"/>
        </w:r>
        <w:r w:rsidR="0044689D">
          <w:rPr>
            <w:noProof/>
            <w:webHidden/>
            <w:lang w:val="fr-FR"/>
          </w:rPr>
          <w:t>6</w:t>
        </w:r>
        <w:r w:rsidRPr="00E62332">
          <w:rPr>
            <w:noProof/>
            <w:webHidden/>
            <w:lang w:val="fr-FR"/>
          </w:rPr>
          <w:fldChar w:fldCharType="end"/>
        </w:r>
      </w:hyperlink>
    </w:p>
    <w:p w:rsidR="005C6927" w:rsidRPr="00E62332" w:rsidRDefault="0044689D" w:rsidP="005C6927">
      <w:pPr>
        <w:pStyle w:val="TOC1"/>
        <w:rPr>
          <w:rFonts w:asciiTheme="minorHAnsi" w:eastAsiaTheme="minorEastAsia" w:hAnsiTheme="minorHAnsi" w:cstheme="minorBidi"/>
          <w:noProof/>
          <w:sz w:val="22"/>
          <w:szCs w:val="22"/>
          <w:lang w:val="fr-FR" w:eastAsia="zh-CN"/>
        </w:rPr>
      </w:pPr>
      <w:hyperlink w:anchor="_Toc467049662" w:history="1">
        <w:r w:rsidR="005C6927" w:rsidRPr="00E62332">
          <w:rPr>
            <w:rStyle w:val="Hyperlink"/>
            <w:noProof/>
            <w:lang w:val="fr-FR"/>
          </w:rPr>
          <w:t>2</w:t>
        </w:r>
        <w:r w:rsidR="005C6927" w:rsidRPr="00E62332">
          <w:rPr>
            <w:rFonts w:asciiTheme="minorHAnsi" w:eastAsiaTheme="minorEastAsia" w:hAnsiTheme="minorHAnsi" w:cstheme="minorBidi"/>
            <w:noProof/>
            <w:sz w:val="22"/>
            <w:szCs w:val="22"/>
            <w:lang w:val="fr-FR" w:eastAsia="zh-CN"/>
          </w:rPr>
          <w:tab/>
        </w:r>
        <w:r w:rsidR="005C6927" w:rsidRPr="00E62332">
          <w:rPr>
            <w:rStyle w:val="Hyperlink"/>
            <w:noProof/>
            <w:lang w:val="fr-FR"/>
          </w:rPr>
          <w:t>Méthode d'analyse des brouillages</w:t>
        </w:r>
        <w:r w:rsidR="005C6927" w:rsidRPr="00E62332">
          <w:rPr>
            <w:noProof/>
            <w:webHidden/>
            <w:lang w:val="fr-FR"/>
          </w:rPr>
          <w:tab/>
        </w:r>
        <w:r w:rsidR="005C6927" w:rsidRPr="00E62332">
          <w:rPr>
            <w:noProof/>
            <w:webHidden/>
            <w:lang w:val="fr-FR"/>
          </w:rPr>
          <w:tab/>
        </w:r>
        <w:r w:rsidR="005C6927" w:rsidRPr="00E62332">
          <w:rPr>
            <w:noProof/>
            <w:webHidden/>
            <w:lang w:val="fr-FR"/>
          </w:rPr>
          <w:fldChar w:fldCharType="begin"/>
        </w:r>
        <w:r w:rsidR="005C6927" w:rsidRPr="00E62332">
          <w:rPr>
            <w:noProof/>
            <w:webHidden/>
            <w:lang w:val="fr-FR"/>
          </w:rPr>
          <w:instrText xml:space="preserve"> PAGEREF _Toc467049662 \h </w:instrText>
        </w:r>
        <w:r w:rsidR="005C6927" w:rsidRPr="00E62332">
          <w:rPr>
            <w:noProof/>
            <w:webHidden/>
            <w:lang w:val="fr-FR"/>
          </w:rPr>
        </w:r>
        <w:r w:rsidR="005C6927" w:rsidRPr="00E62332">
          <w:rPr>
            <w:noProof/>
            <w:webHidden/>
            <w:lang w:val="fr-FR"/>
          </w:rPr>
          <w:fldChar w:fldCharType="separate"/>
        </w:r>
        <w:r>
          <w:rPr>
            <w:noProof/>
            <w:webHidden/>
            <w:lang w:val="fr-FR"/>
          </w:rPr>
          <w:t>6</w:t>
        </w:r>
        <w:r w:rsidR="005C6927" w:rsidRPr="00E62332">
          <w:rPr>
            <w:noProof/>
            <w:webHidden/>
            <w:lang w:val="fr-FR"/>
          </w:rPr>
          <w:fldChar w:fldCharType="end"/>
        </w:r>
      </w:hyperlink>
    </w:p>
    <w:p w:rsidR="005C6927" w:rsidRPr="00E62332" w:rsidRDefault="0044689D" w:rsidP="005C6927">
      <w:pPr>
        <w:pStyle w:val="TOC1"/>
        <w:rPr>
          <w:rFonts w:asciiTheme="minorHAnsi" w:eastAsiaTheme="minorEastAsia" w:hAnsiTheme="minorHAnsi" w:cstheme="minorBidi"/>
          <w:noProof/>
          <w:sz w:val="22"/>
          <w:szCs w:val="22"/>
          <w:lang w:val="fr-FR" w:eastAsia="zh-CN"/>
        </w:rPr>
      </w:pPr>
      <w:hyperlink w:anchor="_Toc467049663" w:history="1">
        <w:r w:rsidR="005C6927" w:rsidRPr="00E62332">
          <w:rPr>
            <w:rStyle w:val="Hyperlink"/>
            <w:noProof/>
            <w:lang w:val="fr-FR"/>
          </w:rPr>
          <w:t>3</w:t>
        </w:r>
        <w:r w:rsidR="005C6927" w:rsidRPr="00E62332">
          <w:rPr>
            <w:rFonts w:asciiTheme="minorHAnsi" w:eastAsiaTheme="minorEastAsia" w:hAnsiTheme="minorHAnsi" w:cstheme="minorBidi"/>
            <w:noProof/>
            <w:sz w:val="22"/>
            <w:szCs w:val="22"/>
            <w:lang w:val="fr-FR" w:eastAsia="zh-CN"/>
          </w:rPr>
          <w:tab/>
        </w:r>
        <w:r w:rsidR="005C6927" w:rsidRPr="00E62332">
          <w:rPr>
            <w:rStyle w:val="Hyperlink"/>
            <w:noProof/>
            <w:lang w:val="fr-FR"/>
          </w:rPr>
          <w:t>Données utilisées dans les calculs</w:t>
        </w:r>
        <w:r w:rsidR="005C6927" w:rsidRPr="00E62332">
          <w:rPr>
            <w:noProof/>
            <w:webHidden/>
            <w:lang w:val="fr-FR"/>
          </w:rPr>
          <w:tab/>
        </w:r>
        <w:r w:rsidR="005C6927" w:rsidRPr="00E62332">
          <w:rPr>
            <w:noProof/>
            <w:webHidden/>
            <w:lang w:val="fr-FR"/>
          </w:rPr>
          <w:tab/>
        </w:r>
        <w:r w:rsidR="005C6927" w:rsidRPr="00E62332">
          <w:rPr>
            <w:noProof/>
            <w:webHidden/>
            <w:lang w:val="fr-FR"/>
          </w:rPr>
          <w:fldChar w:fldCharType="begin"/>
        </w:r>
        <w:r w:rsidR="005C6927" w:rsidRPr="00E62332">
          <w:rPr>
            <w:noProof/>
            <w:webHidden/>
            <w:lang w:val="fr-FR"/>
          </w:rPr>
          <w:instrText xml:space="preserve"> PAGEREF _Toc467049663 \h </w:instrText>
        </w:r>
        <w:r w:rsidR="005C6927" w:rsidRPr="00E62332">
          <w:rPr>
            <w:noProof/>
            <w:webHidden/>
            <w:lang w:val="fr-FR"/>
          </w:rPr>
        </w:r>
        <w:r w:rsidR="005C6927" w:rsidRPr="00E62332">
          <w:rPr>
            <w:noProof/>
            <w:webHidden/>
            <w:lang w:val="fr-FR"/>
          </w:rPr>
          <w:fldChar w:fldCharType="separate"/>
        </w:r>
        <w:r>
          <w:rPr>
            <w:noProof/>
            <w:webHidden/>
            <w:lang w:val="fr-FR"/>
          </w:rPr>
          <w:t>10</w:t>
        </w:r>
        <w:r w:rsidR="005C6927" w:rsidRPr="00E62332">
          <w:rPr>
            <w:noProof/>
            <w:webHidden/>
            <w:lang w:val="fr-FR"/>
          </w:rPr>
          <w:fldChar w:fldCharType="end"/>
        </w:r>
      </w:hyperlink>
    </w:p>
    <w:p w:rsidR="005C6927" w:rsidRPr="00E62332" w:rsidRDefault="0044689D" w:rsidP="005C6927">
      <w:pPr>
        <w:pStyle w:val="TOC2"/>
        <w:rPr>
          <w:rFonts w:asciiTheme="minorHAnsi" w:eastAsiaTheme="minorEastAsia" w:hAnsiTheme="minorHAnsi" w:cstheme="minorBidi"/>
          <w:noProof/>
          <w:sz w:val="22"/>
          <w:szCs w:val="22"/>
          <w:lang w:val="fr-FR" w:eastAsia="zh-CN"/>
        </w:rPr>
      </w:pPr>
      <w:hyperlink w:anchor="_Toc467049664" w:history="1">
        <w:r w:rsidR="005C6927" w:rsidRPr="00E62332">
          <w:rPr>
            <w:rStyle w:val="Hyperlink"/>
            <w:noProof/>
            <w:lang w:val="fr-FR"/>
          </w:rPr>
          <w:t>3.1</w:t>
        </w:r>
        <w:r w:rsidR="005C6927" w:rsidRPr="00E62332">
          <w:rPr>
            <w:rFonts w:asciiTheme="minorHAnsi" w:eastAsiaTheme="minorEastAsia" w:hAnsiTheme="minorHAnsi" w:cstheme="minorBidi"/>
            <w:noProof/>
            <w:sz w:val="22"/>
            <w:szCs w:val="22"/>
            <w:lang w:val="fr-FR" w:eastAsia="zh-CN"/>
          </w:rPr>
          <w:tab/>
        </w:r>
        <w:r w:rsidR="005C6927" w:rsidRPr="00E62332">
          <w:rPr>
            <w:rStyle w:val="Hyperlink"/>
            <w:noProof/>
            <w:lang w:val="fr-FR"/>
          </w:rPr>
          <w:t>Modélisation des constellations et des émetteurs de satellite</w:t>
        </w:r>
        <w:r w:rsidR="005C6927" w:rsidRPr="00E62332">
          <w:rPr>
            <w:noProof/>
            <w:webHidden/>
            <w:lang w:val="fr-FR"/>
          </w:rPr>
          <w:tab/>
        </w:r>
        <w:r w:rsidR="005C6927" w:rsidRPr="00E62332">
          <w:rPr>
            <w:noProof/>
            <w:webHidden/>
            <w:lang w:val="fr-FR"/>
          </w:rPr>
          <w:tab/>
        </w:r>
        <w:r w:rsidR="005C6927" w:rsidRPr="00E62332">
          <w:rPr>
            <w:noProof/>
            <w:webHidden/>
            <w:lang w:val="fr-FR"/>
          </w:rPr>
          <w:fldChar w:fldCharType="begin"/>
        </w:r>
        <w:r w:rsidR="005C6927" w:rsidRPr="00E62332">
          <w:rPr>
            <w:noProof/>
            <w:webHidden/>
            <w:lang w:val="fr-FR"/>
          </w:rPr>
          <w:instrText xml:space="preserve"> PAGEREF _Toc467049664 \h </w:instrText>
        </w:r>
        <w:r w:rsidR="005C6927" w:rsidRPr="00E62332">
          <w:rPr>
            <w:noProof/>
            <w:webHidden/>
            <w:lang w:val="fr-FR"/>
          </w:rPr>
        </w:r>
        <w:r w:rsidR="005C6927" w:rsidRPr="00E62332">
          <w:rPr>
            <w:noProof/>
            <w:webHidden/>
            <w:lang w:val="fr-FR"/>
          </w:rPr>
          <w:fldChar w:fldCharType="separate"/>
        </w:r>
        <w:r>
          <w:rPr>
            <w:noProof/>
            <w:webHidden/>
            <w:lang w:val="fr-FR"/>
          </w:rPr>
          <w:t>10</w:t>
        </w:r>
        <w:r w:rsidR="005C6927" w:rsidRPr="00E62332">
          <w:rPr>
            <w:noProof/>
            <w:webHidden/>
            <w:lang w:val="fr-FR"/>
          </w:rPr>
          <w:fldChar w:fldCharType="end"/>
        </w:r>
      </w:hyperlink>
    </w:p>
    <w:p w:rsidR="005C6927" w:rsidRPr="00E62332" w:rsidRDefault="0044689D" w:rsidP="005C6927">
      <w:pPr>
        <w:pStyle w:val="TOC2"/>
        <w:rPr>
          <w:rFonts w:asciiTheme="minorHAnsi" w:eastAsiaTheme="minorEastAsia" w:hAnsiTheme="minorHAnsi" w:cstheme="minorBidi"/>
          <w:noProof/>
          <w:sz w:val="22"/>
          <w:szCs w:val="22"/>
          <w:lang w:val="fr-FR" w:eastAsia="zh-CN"/>
        </w:rPr>
      </w:pPr>
      <w:hyperlink w:anchor="_Toc467049665" w:history="1">
        <w:r w:rsidR="005C6927" w:rsidRPr="00E62332">
          <w:rPr>
            <w:rStyle w:val="Hyperlink"/>
            <w:noProof/>
            <w:lang w:val="fr-FR"/>
          </w:rPr>
          <w:t>3.2</w:t>
        </w:r>
        <w:r w:rsidR="005C6927" w:rsidRPr="00E62332">
          <w:rPr>
            <w:rFonts w:asciiTheme="minorHAnsi" w:eastAsiaTheme="minorEastAsia" w:hAnsiTheme="minorHAnsi" w:cstheme="minorBidi"/>
            <w:noProof/>
            <w:sz w:val="22"/>
            <w:szCs w:val="22"/>
            <w:lang w:val="fr-FR" w:eastAsia="zh-CN"/>
          </w:rPr>
          <w:tab/>
        </w:r>
        <w:r w:rsidR="005C6927" w:rsidRPr="00E62332">
          <w:rPr>
            <w:rStyle w:val="Hyperlink"/>
            <w:noProof/>
            <w:lang w:val="fr-FR"/>
          </w:rPr>
          <w:t>Modèle de récepteur d'utilisateur</w:t>
        </w:r>
        <w:r w:rsidR="005C6927" w:rsidRPr="00E62332">
          <w:rPr>
            <w:noProof/>
            <w:webHidden/>
            <w:lang w:val="fr-FR"/>
          </w:rPr>
          <w:tab/>
        </w:r>
        <w:r w:rsidR="005C6927" w:rsidRPr="00E62332">
          <w:rPr>
            <w:noProof/>
            <w:webHidden/>
            <w:lang w:val="fr-FR"/>
          </w:rPr>
          <w:tab/>
        </w:r>
        <w:r w:rsidR="005C6927" w:rsidRPr="00E62332">
          <w:rPr>
            <w:noProof/>
            <w:webHidden/>
            <w:lang w:val="fr-FR"/>
          </w:rPr>
          <w:fldChar w:fldCharType="begin"/>
        </w:r>
        <w:r w:rsidR="005C6927" w:rsidRPr="00E62332">
          <w:rPr>
            <w:noProof/>
            <w:webHidden/>
            <w:lang w:val="fr-FR"/>
          </w:rPr>
          <w:instrText xml:space="preserve"> PAGEREF _Toc467049665 \h </w:instrText>
        </w:r>
        <w:r w:rsidR="005C6927" w:rsidRPr="00E62332">
          <w:rPr>
            <w:noProof/>
            <w:webHidden/>
            <w:lang w:val="fr-FR"/>
          </w:rPr>
        </w:r>
        <w:r w:rsidR="005C6927" w:rsidRPr="00E62332">
          <w:rPr>
            <w:noProof/>
            <w:webHidden/>
            <w:lang w:val="fr-FR"/>
          </w:rPr>
          <w:fldChar w:fldCharType="separate"/>
        </w:r>
        <w:r>
          <w:rPr>
            <w:noProof/>
            <w:webHidden/>
            <w:lang w:val="fr-FR"/>
          </w:rPr>
          <w:t>10</w:t>
        </w:r>
        <w:r w:rsidR="005C6927" w:rsidRPr="00E62332">
          <w:rPr>
            <w:noProof/>
            <w:webHidden/>
            <w:lang w:val="fr-FR"/>
          </w:rPr>
          <w:fldChar w:fldCharType="end"/>
        </w:r>
      </w:hyperlink>
    </w:p>
    <w:p w:rsidR="005C6927" w:rsidRPr="00E62332" w:rsidRDefault="0044689D" w:rsidP="005C6927">
      <w:pPr>
        <w:pStyle w:val="TOC2"/>
        <w:rPr>
          <w:rFonts w:asciiTheme="minorHAnsi" w:eastAsiaTheme="minorEastAsia" w:hAnsiTheme="minorHAnsi" w:cstheme="minorBidi"/>
          <w:noProof/>
          <w:sz w:val="22"/>
          <w:szCs w:val="22"/>
          <w:lang w:val="fr-FR" w:eastAsia="zh-CN"/>
        </w:rPr>
      </w:pPr>
      <w:hyperlink w:anchor="_Toc467049666" w:history="1">
        <w:r w:rsidR="005C6927" w:rsidRPr="00E62332">
          <w:rPr>
            <w:rStyle w:val="Hyperlink"/>
            <w:noProof/>
            <w:lang w:val="fr-FR"/>
          </w:rPr>
          <w:t>3.3</w:t>
        </w:r>
        <w:r w:rsidR="005C6927" w:rsidRPr="00E62332">
          <w:rPr>
            <w:rFonts w:asciiTheme="minorHAnsi" w:eastAsiaTheme="minorEastAsia" w:hAnsiTheme="minorHAnsi" w:cstheme="minorBidi"/>
            <w:noProof/>
            <w:sz w:val="22"/>
            <w:szCs w:val="22"/>
            <w:lang w:val="fr-FR" w:eastAsia="zh-CN"/>
          </w:rPr>
          <w:tab/>
        </w:r>
        <w:r w:rsidR="005C6927" w:rsidRPr="00E62332">
          <w:rPr>
            <w:rStyle w:val="Hyperlink"/>
            <w:noProof/>
            <w:lang w:val="fr-FR"/>
          </w:rPr>
          <w:t>Modèle de brouillage et de bruit</w:t>
        </w:r>
        <w:r w:rsidR="005C6927" w:rsidRPr="00E62332">
          <w:rPr>
            <w:noProof/>
            <w:webHidden/>
            <w:lang w:val="fr-FR"/>
          </w:rPr>
          <w:tab/>
        </w:r>
        <w:r w:rsidR="005C6927" w:rsidRPr="00E62332">
          <w:rPr>
            <w:noProof/>
            <w:webHidden/>
            <w:lang w:val="fr-FR"/>
          </w:rPr>
          <w:tab/>
        </w:r>
        <w:r w:rsidR="005C6927" w:rsidRPr="00E62332">
          <w:rPr>
            <w:noProof/>
            <w:webHidden/>
            <w:lang w:val="fr-FR"/>
          </w:rPr>
          <w:fldChar w:fldCharType="begin"/>
        </w:r>
        <w:r w:rsidR="005C6927" w:rsidRPr="00E62332">
          <w:rPr>
            <w:noProof/>
            <w:webHidden/>
            <w:lang w:val="fr-FR"/>
          </w:rPr>
          <w:instrText xml:space="preserve"> PAGEREF _Toc467049666 \h </w:instrText>
        </w:r>
        <w:r w:rsidR="005C6927" w:rsidRPr="00E62332">
          <w:rPr>
            <w:noProof/>
            <w:webHidden/>
            <w:lang w:val="fr-FR"/>
          </w:rPr>
        </w:r>
        <w:r w:rsidR="005C6927" w:rsidRPr="00E62332">
          <w:rPr>
            <w:noProof/>
            <w:webHidden/>
            <w:lang w:val="fr-FR"/>
          </w:rPr>
          <w:fldChar w:fldCharType="separate"/>
        </w:r>
        <w:r>
          <w:rPr>
            <w:noProof/>
            <w:webHidden/>
            <w:lang w:val="fr-FR"/>
          </w:rPr>
          <w:t>11</w:t>
        </w:r>
        <w:r w:rsidR="005C6927" w:rsidRPr="00E62332">
          <w:rPr>
            <w:noProof/>
            <w:webHidden/>
            <w:lang w:val="fr-FR"/>
          </w:rPr>
          <w:fldChar w:fldCharType="end"/>
        </w:r>
      </w:hyperlink>
    </w:p>
    <w:p w:rsidR="005C6927" w:rsidRPr="00E62332" w:rsidRDefault="0044689D" w:rsidP="005C6927">
      <w:pPr>
        <w:pStyle w:val="TOC1"/>
        <w:rPr>
          <w:rFonts w:asciiTheme="minorHAnsi" w:eastAsiaTheme="minorEastAsia" w:hAnsiTheme="minorHAnsi" w:cstheme="minorBidi"/>
          <w:noProof/>
          <w:sz w:val="22"/>
          <w:szCs w:val="22"/>
          <w:lang w:val="fr-FR" w:eastAsia="zh-CN"/>
        </w:rPr>
      </w:pPr>
      <w:hyperlink w:anchor="_Toc467049667" w:history="1">
        <w:r w:rsidR="005C6927" w:rsidRPr="00E62332">
          <w:rPr>
            <w:rStyle w:val="Hyperlink"/>
            <w:noProof/>
            <w:lang w:val="fr-FR"/>
          </w:rPr>
          <w:t>4</w:t>
        </w:r>
        <w:r w:rsidR="005C6927" w:rsidRPr="00E62332">
          <w:rPr>
            <w:rFonts w:asciiTheme="minorHAnsi" w:eastAsiaTheme="minorEastAsia" w:hAnsiTheme="minorHAnsi" w:cstheme="minorBidi"/>
            <w:noProof/>
            <w:sz w:val="22"/>
            <w:szCs w:val="22"/>
            <w:lang w:val="fr-FR" w:eastAsia="zh-CN"/>
          </w:rPr>
          <w:tab/>
        </w:r>
        <w:r w:rsidR="005C6927" w:rsidRPr="00E62332">
          <w:rPr>
            <w:rStyle w:val="Hyperlink"/>
            <w:noProof/>
            <w:lang w:val="fr-FR"/>
          </w:rPr>
          <w:t xml:space="preserve">Calcul de </w:t>
        </w:r>
        <w:r w:rsidR="005C6927" w:rsidRPr="00E62332">
          <w:rPr>
            <w:rStyle w:val="Hyperlink"/>
            <w:i/>
            <w:noProof/>
            <w:lang w:val="fr-FR"/>
          </w:rPr>
          <w:t>G</w:t>
        </w:r>
        <w:r w:rsidR="005C6927" w:rsidRPr="00E62332">
          <w:rPr>
            <w:rStyle w:val="Hyperlink"/>
            <w:i/>
            <w:iCs/>
            <w:noProof/>
            <w:vertAlign w:val="superscript"/>
            <w:lang w:val="fr-FR"/>
          </w:rPr>
          <w:t>agg</w:t>
        </w:r>
        <w:r w:rsidR="005C6927" w:rsidRPr="00E62332">
          <w:rPr>
            <w:rStyle w:val="Hyperlink"/>
            <w:noProof/>
            <w:lang w:val="fr-FR"/>
          </w:rPr>
          <w:t xml:space="preserve"> par simulation</w:t>
        </w:r>
        <w:r w:rsidR="005C6927" w:rsidRPr="00E62332">
          <w:rPr>
            <w:noProof/>
            <w:webHidden/>
            <w:lang w:val="fr-FR"/>
          </w:rPr>
          <w:tab/>
        </w:r>
        <w:r w:rsidR="005C6927" w:rsidRPr="00E62332">
          <w:rPr>
            <w:noProof/>
            <w:webHidden/>
            <w:lang w:val="fr-FR"/>
          </w:rPr>
          <w:tab/>
        </w:r>
        <w:r w:rsidR="005C6927" w:rsidRPr="00E62332">
          <w:rPr>
            <w:noProof/>
            <w:webHidden/>
            <w:lang w:val="fr-FR"/>
          </w:rPr>
          <w:fldChar w:fldCharType="begin"/>
        </w:r>
        <w:r w:rsidR="005C6927" w:rsidRPr="00E62332">
          <w:rPr>
            <w:noProof/>
            <w:webHidden/>
            <w:lang w:val="fr-FR"/>
          </w:rPr>
          <w:instrText xml:space="preserve"> PAGEREF _Toc467049667 \h </w:instrText>
        </w:r>
        <w:r w:rsidR="005C6927" w:rsidRPr="00E62332">
          <w:rPr>
            <w:noProof/>
            <w:webHidden/>
            <w:lang w:val="fr-FR"/>
          </w:rPr>
        </w:r>
        <w:r w:rsidR="005C6927" w:rsidRPr="00E62332">
          <w:rPr>
            <w:noProof/>
            <w:webHidden/>
            <w:lang w:val="fr-FR"/>
          </w:rPr>
          <w:fldChar w:fldCharType="separate"/>
        </w:r>
        <w:r>
          <w:rPr>
            <w:noProof/>
            <w:webHidden/>
            <w:lang w:val="fr-FR"/>
          </w:rPr>
          <w:t>11</w:t>
        </w:r>
        <w:r w:rsidR="005C6927" w:rsidRPr="00E62332">
          <w:rPr>
            <w:noProof/>
            <w:webHidden/>
            <w:lang w:val="fr-FR"/>
          </w:rPr>
          <w:fldChar w:fldCharType="end"/>
        </w:r>
      </w:hyperlink>
    </w:p>
    <w:p w:rsidR="005C6927" w:rsidRPr="00E62332" w:rsidRDefault="0044689D" w:rsidP="005C6927">
      <w:pPr>
        <w:pStyle w:val="TOC1"/>
        <w:rPr>
          <w:rFonts w:asciiTheme="minorHAnsi" w:eastAsiaTheme="minorEastAsia" w:hAnsiTheme="minorHAnsi" w:cstheme="minorBidi"/>
          <w:noProof/>
          <w:sz w:val="22"/>
          <w:szCs w:val="22"/>
          <w:lang w:val="fr-FR" w:eastAsia="zh-CN"/>
        </w:rPr>
      </w:pPr>
      <w:hyperlink w:anchor="_Toc467049668" w:history="1">
        <w:r w:rsidR="005C6927" w:rsidRPr="00E62332">
          <w:rPr>
            <w:rStyle w:val="Hyperlink"/>
            <w:noProof/>
            <w:lang w:val="fr-FR"/>
          </w:rPr>
          <w:t>5</w:t>
        </w:r>
        <w:r w:rsidR="005C6927" w:rsidRPr="00E62332">
          <w:rPr>
            <w:rFonts w:asciiTheme="minorHAnsi" w:eastAsiaTheme="minorEastAsia" w:hAnsiTheme="minorHAnsi" w:cstheme="minorBidi"/>
            <w:noProof/>
            <w:sz w:val="22"/>
            <w:szCs w:val="22"/>
            <w:lang w:val="fr-FR" w:eastAsia="zh-CN"/>
          </w:rPr>
          <w:tab/>
        </w:r>
        <w:r w:rsidR="005C6927" w:rsidRPr="00E62332">
          <w:rPr>
            <w:rStyle w:val="Hyperlink"/>
            <w:noProof/>
            <w:lang w:val="fr-FR"/>
          </w:rPr>
          <w:t>Exemple hypothétique d'application de la méthode</w:t>
        </w:r>
        <w:r w:rsidR="005C6927" w:rsidRPr="00E62332">
          <w:rPr>
            <w:noProof/>
            <w:webHidden/>
            <w:lang w:val="fr-FR"/>
          </w:rPr>
          <w:tab/>
        </w:r>
        <w:r w:rsidR="005C6927" w:rsidRPr="00E62332">
          <w:rPr>
            <w:noProof/>
            <w:webHidden/>
            <w:lang w:val="fr-FR"/>
          </w:rPr>
          <w:tab/>
        </w:r>
        <w:r w:rsidR="005C6927" w:rsidRPr="00E62332">
          <w:rPr>
            <w:noProof/>
            <w:webHidden/>
            <w:lang w:val="fr-FR"/>
          </w:rPr>
          <w:fldChar w:fldCharType="begin"/>
        </w:r>
        <w:r w:rsidR="005C6927" w:rsidRPr="00E62332">
          <w:rPr>
            <w:noProof/>
            <w:webHidden/>
            <w:lang w:val="fr-FR"/>
          </w:rPr>
          <w:instrText xml:space="preserve"> PAGEREF _Toc467049668 \h </w:instrText>
        </w:r>
        <w:r w:rsidR="005C6927" w:rsidRPr="00E62332">
          <w:rPr>
            <w:noProof/>
            <w:webHidden/>
            <w:lang w:val="fr-FR"/>
          </w:rPr>
        </w:r>
        <w:r w:rsidR="005C6927" w:rsidRPr="00E62332">
          <w:rPr>
            <w:noProof/>
            <w:webHidden/>
            <w:lang w:val="fr-FR"/>
          </w:rPr>
          <w:fldChar w:fldCharType="separate"/>
        </w:r>
        <w:r>
          <w:rPr>
            <w:noProof/>
            <w:webHidden/>
            <w:lang w:val="fr-FR"/>
          </w:rPr>
          <w:t>16</w:t>
        </w:r>
        <w:r w:rsidR="005C6927" w:rsidRPr="00E62332">
          <w:rPr>
            <w:noProof/>
            <w:webHidden/>
            <w:lang w:val="fr-FR"/>
          </w:rPr>
          <w:fldChar w:fldCharType="end"/>
        </w:r>
      </w:hyperlink>
    </w:p>
    <w:p w:rsidR="005C6927" w:rsidRPr="00E62332" w:rsidRDefault="0044689D" w:rsidP="005C6927">
      <w:pPr>
        <w:pStyle w:val="TOC2"/>
        <w:rPr>
          <w:rFonts w:asciiTheme="minorHAnsi" w:eastAsiaTheme="minorEastAsia" w:hAnsiTheme="minorHAnsi" w:cstheme="minorBidi"/>
          <w:noProof/>
          <w:sz w:val="22"/>
          <w:szCs w:val="22"/>
          <w:lang w:val="fr-FR" w:eastAsia="zh-CN"/>
        </w:rPr>
      </w:pPr>
      <w:hyperlink w:anchor="_Toc467049669" w:history="1">
        <w:r w:rsidR="005C6927" w:rsidRPr="00E62332">
          <w:rPr>
            <w:rStyle w:val="Hyperlink"/>
            <w:noProof/>
            <w:lang w:val="fr-FR"/>
          </w:rPr>
          <w:t>5.1</w:t>
        </w:r>
        <w:r w:rsidR="005C6927" w:rsidRPr="00E62332">
          <w:rPr>
            <w:rFonts w:asciiTheme="minorHAnsi" w:eastAsiaTheme="minorEastAsia" w:hAnsiTheme="minorHAnsi" w:cstheme="minorBidi"/>
            <w:noProof/>
            <w:sz w:val="22"/>
            <w:szCs w:val="22"/>
            <w:lang w:val="fr-FR" w:eastAsia="zh-CN"/>
          </w:rPr>
          <w:tab/>
        </w:r>
        <w:r w:rsidR="005C6927">
          <w:rPr>
            <w:rStyle w:val="Hyperlink"/>
            <w:noProof/>
            <w:lang w:val="fr-FR"/>
          </w:rPr>
          <w:t>E</w:t>
        </w:r>
        <w:r w:rsidR="005C6927" w:rsidRPr="00E62332">
          <w:rPr>
            <w:rStyle w:val="Hyperlink"/>
            <w:noProof/>
            <w:lang w:val="fr-FR"/>
          </w:rPr>
          <w:t>valuation des niveaux de brouillage</w:t>
        </w:r>
        <w:r w:rsidR="005C6927" w:rsidRPr="00E62332">
          <w:rPr>
            <w:noProof/>
            <w:webHidden/>
            <w:lang w:val="fr-FR"/>
          </w:rPr>
          <w:tab/>
        </w:r>
        <w:r w:rsidR="005C6927" w:rsidRPr="00E62332">
          <w:rPr>
            <w:noProof/>
            <w:webHidden/>
            <w:lang w:val="fr-FR"/>
          </w:rPr>
          <w:tab/>
        </w:r>
        <w:r w:rsidR="005C6927" w:rsidRPr="00E62332">
          <w:rPr>
            <w:noProof/>
            <w:webHidden/>
            <w:lang w:val="fr-FR"/>
          </w:rPr>
          <w:fldChar w:fldCharType="begin"/>
        </w:r>
        <w:r w:rsidR="005C6927" w:rsidRPr="00E62332">
          <w:rPr>
            <w:noProof/>
            <w:webHidden/>
            <w:lang w:val="fr-FR"/>
          </w:rPr>
          <w:instrText xml:space="preserve"> PAGEREF _Toc467049669 \h </w:instrText>
        </w:r>
        <w:r w:rsidR="005C6927" w:rsidRPr="00E62332">
          <w:rPr>
            <w:noProof/>
            <w:webHidden/>
            <w:lang w:val="fr-FR"/>
          </w:rPr>
        </w:r>
        <w:r w:rsidR="005C6927" w:rsidRPr="00E62332">
          <w:rPr>
            <w:noProof/>
            <w:webHidden/>
            <w:lang w:val="fr-FR"/>
          </w:rPr>
          <w:fldChar w:fldCharType="separate"/>
        </w:r>
        <w:r>
          <w:rPr>
            <w:noProof/>
            <w:webHidden/>
            <w:lang w:val="fr-FR"/>
          </w:rPr>
          <w:t>16</w:t>
        </w:r>
        <w:r w:rsidR="005C6927" w:rsidRPr="00E62332">
          <w:rPr>
            <w:noProof/>
            <w:webHidden/>
            <w:lang w:val="fr-FR"/>
          </w:rPr>
          <w:fldChar w:fldCharType="end"/>
        </w:r>
      </w:hyperlink>
    </w:p>
    <w:p w:rsidR="005C6927" w:rsidRPr="00E62332" w:rsidRDefault="0044689D" w:rsidP="005C6927">
      <w:pPr>
        <w:pStyle w:val="TOC2"/>
        <w:rPr>
          <w:rFonts w:asciiTheme="minorHAnsi" w:eastAsiaTheme="minorEastAsia" w:hAnsiTheme="minorHAnsi" w:cstheme="minorBidi"/>
          <w:noProof/>
          <w:sz w:val="22"/>
          <w:szCs w:val="22"/>
          <w:lang w:val="fr-FR" w:eastAsia="zh-CN"/>
        </w:rPr>
      </w:pPr>
      <w:hyperlink w:anchor="_Toc467049670" w:history="1">
        <w:r w:rsidR="005C6927" w:rsidRPr="00E62332">
          <w:rPr>
            <w:rStyle w:val="Hyperlink"/>
            <w:noProof/>
            <w:lang w:val="fr-FR"/>
          </w:rPr>
          <w:t>5.2</w:t>
        </w:r>
        <w:r w:rsidR="005C6927" w:rsidRPr="00E62332">
          <w:rPr>
            <w:rFonts w:asciiTheme="minorHAnsi" w:eastAsiaTheme="minorEastAsia" w:hAnsiTheme="minorHAnsi" w:cstheme="minorBidi"/>
            <w:noProof/>
            <w:sz w:val="22"/>
            <w:szCs w:val="22"/>
            <w:lang w:val="fr-FR" w:eastAsia="zh-CN"/>
          </w:rPr>
          <w:tab/>
        </w:r>
        <w:r w:rsidR="005C6927" w:rsidRPr="00E62332">
          <w:rPr>
            <w:rStyle w:val="Hyperlink"/>
            <w:noProof/>
            <w:lang w:val="fr-FR"/>
          </w:rPr>
          <w:t>Evaluation des rapports porteuse/bruit effectifs et de la dégradation correspondante</w:t>
        </w:r>
        <w:r w:rsidR="005C6927" w:rsidRPr="00E62332">
          <w:rPr>
            <w:noProof/>
            <w:webHidden/>
            <w:lang w:val="fr-FR"/>
          </w:rPr>
          <w:tab/>
        </w:r>
        <w:r w:rsidR="005C6927" w:rsidRPr="00E62332">
          <w:rPr>
            <w:noProof/>
            <w:webHidden/>
            <w:lang w:val="fr-FR"/>
          </w:rPr>
          <w:tab/>
        </w:r>
        <w:r w:rsidR="005C6927" w:rsidRPr="00E62332">
          <w:rPr>
            <w:noProof/>
            <w:webHidden/>
            <w:lang w:val="fr-FR"/>
          </w:rPr>
          <w:fldChar w:fldCharType="begin"/>
        </w:r>
        <w:r w:rsidR="005C6927" w:rsidRPr="00E62332">
          <w:rPr>
            <w:noProof/>
            <w:webHidden/>
            <w:lang w:val="fr-FR"/>
          </w:rPr>
          <w:instrText xml:space="preserve"> PAGEREF _Toc467049670 \h </w:instrText>
        </w:r>
        <w:r w:rsidR="005C6927" w:rsidRPr="00E62332">
          <w:rPr>
            <w:noProof/>
            <w:webHidden/>
            <w:lang w:val="fr-FR"/>
          </w:rPr>
        </w:r>
        <w:r w:rsidR="005C6927" w:rsidRPr="00E62332">
          <w:rPr>
            <w:noProof/>
            <w:webHidden/>
            <w:lang w:val="fr-FR"/>
          </w:rPr>
          <w:fldChar w:fldCharType="separate"/>
        </w:r>
        <w:r>
          <w:rPr>
            <w:noProof/>
            <w:webHidden/>
            <w:lang w:val="fr-FR"/>
          </w:rPr>
          <w:t>18</w:t>
        </w:r>
        <w:r w:rsidR="005C6927" w:rsidRPr="00E62332">
          <w:rPr>
            <w:noProof/>
            <w:webHidden/>
            <w:lang w:val="fr-FR"/>
          </w:rPr>
          <w:fldChar w:fldCharType="end"/>
        </w:r>
      </w:hyperlink>
    </w:p>
    <w:p w:rsidR="005C6927" w:rsidRPr="00E62332" w:rsidRDefault="0044689D" w:rsidP="005C6927">
      <w:pPr>
        <w:pStyle w:val="TOC1"/>
        <w:rPr>
          <w:rFonts w:asciiTheme="minorHAnsi" w:eastAsiaTheme="minorEastAsia" w:hAnsiTheme="minorHAnsi" w:cstheme="minorBidi"/>
          <w:noProof/>
          <w:sz w:val="22"/>
          <w:szCs w:val="22"/>
          <w:lang w:val="fr-FR" w:eastAsia="zh-CN"/>
        </w:rPr>
      </w:pPr>
      <w:hyperlink w:anchor="_Toc467049671" w:history="1">
        <w:r w:rsidR="005C6927" w:rsidRPr="00E62332">
          <w:rPr>
            <w:rStyle w:val="Hyperlink"/>
            <w:noProof/>
            <w:lang w:val="fr-FR"/>
          </w:rPr>
          <w:t>6</w:t>
        </w:r>
        <w:r w:rsidR="005C6927" w:rsidRPr="00E62332">
          <w:rPr>
            <w:rFonts w:asciiTheme="minorHAnsi" w:eastAsiaTheme="minorEastAsia" w:hAnsiTheme="minorHAnsi" w:cstheme="minorBidi"/>
            <w:noProof/>
            <w:sz w:val="22"/>
            <w:szCs w:val="22"/>
            <w:lang w:val="fr-FR" w:eastAsia="zh-CN"/>
          </w:rPr>
          <w:tab/>
        </w:r>
        <w:r w:rsidR="005C6927" w:rsidRPr="00E62332">
          <w:rPr>
            <w:rStyle w:val="Hyperlink"/>
            <w:noProof/>
            <w:lang w:val="fr-FR"/>
          </w:rPr>
          <w:t>Caractéristiques et modélisation du spectre des signaux du SRNS à code court</w:t>
        </w:r>
        <w:r w:rsidR="005C6927" w:rsidRPr="00E62332">
          <w:rPr>
            <w:noProof/>
            <w:webHidden/>
            <w:lang w:val="fr-FR"/>
          </w:rPr>
          <w:tab/>
        </w:r>
        <w:r w:rsidR="005C6927" w:rsidRPr="00E62332">
          <w:rPr>
            <w:noProof/>
            <w:webHidden/>
            <w:lang w:val="fr-FR"/>
          </w:rPr>
          <w:tab/>
        </w:r>
        <w:r w:rsidR="005C6927" w:rsidRPr="00E62332">
          <w:rPr>
            <w:noProof/>
            <w:webHidden/>
            <w:lang w:val="fr-FR"/>
          </w:rPr>
          <w:fldChar w:fldCharType="begin"/>
        </w:r>
        <w:r w:rsidR="005C6927" w:rsidRPr="00E62332">
          <w:rPr>
            <w:noProof/>
            <w:webHidden/>
            <w:lang w:val="fr-FR"/>
          </w:rPr>
          <w:instrText xml:space="preserve"> PAGEREF _Toc467049671 \h </w:instrText>
        </w:r>
        <w:r w:rsidR="005C6927" w:rsidRPr="00E62332">
          <w:rPr>
            <w:noProof/>
            <w:webHidden/>
            <w:lang w:val="fr-FR"/>
          </w:rPr>
        </w:r>
        <w:r w:rsidR="005C6927" w:rsidRPr="00E62332">
          <w:rPr>
            <w:noProof/>
            <w:webHidden/>
            <w:lang w:val="fr-FR"/>
          </w:rPr>
          <w:fldChar w:fldCharType="separate"/>
        </w:r>
        <w:r>
          <w:rPr>
            <w:noProof/>
            <w:webHidden/>
            <w:lang w:val="fr-FR"/>
          </w:rPr>
          <w:t>21</w:t>
        </w:r>
        <w:r w:rsidR="005C6927" w:rsidRPr="00E62332">
          <w:rPr>
            <w:noProof/>
            <w:webHidden/>
            <w:lang w:val="fr-FR"/>
          </w:rPr>
          <w:fldChar w:fldCharType="end"/>
        </w:r>
      </w:hyperlink>
    </w:p>
    <w:p w:rsidR="005C6927" w:rsidRPr="00E62332" w:rsidRDefault="0044689D" w:rsidP="005C6927">
      <w:pPr>
        <w:pStyle w:val="TOC2"/>
        <w:rPr>
          <w:rFonts w:asciiTheme="minorHAnsi" w:eastAsiaTheme="minorEastAsia" w:hAnsiTheme="minorHAnsi" w:cstheme="minorBidi"/>
          <w:noProof/>
          <w:sz w:val="22"/>
          <w:szCs w:val="22"/>
          <w:lang w:val="fr-FR" w:eastAsia="zh-CN"/>
        </w:rPr>
      </w:pPr>
      <w:hyperlink w:anchor="_Toc467049672" w:history="1">
        <w:r w:rsidR="005C6927" w:rsidRPr="00E62332">
          <w:rPr>
            <w:rStyle w:val="Hyperlink"/>
            <w:noProof/>
            <w:lang w:val="fr-FR"/>
          </w:rPr>
          <w:t>6.1</w:t>
        </w:r>
        <w:r w:rsidR="005C6927" w:rsidRPr="00E62332">
          <w:rPr>
            <w:rFonts w:asciiTheme="minorHAnsi" w:eastAsiaTheme="minorEastAsia" w:hAnsiTheme="minorHAnsi" w:cstheme="minorBidi"/>
            <w:noProof/>
            <w:sz w:val="22"/>
            <w:szCs w:val="22"/>
            <w:lang w:val="fr-FR" w:eastAsia="zh-CN"/>
          </w:rPr>
          <w:tab/>
        </w:r>
        <w:r w:rsidR="005C6927" w:rsidRPr="00E62332">
          <w:rPr>
            <w:rStyle w:val="Hyperlink"/>
            <w:noProof/>
            <w:lang w:val="fr-FR"/>
          </w:rPr>
          <w:t>Exemple de spectre d'un code PRN court d'un signal du SRNS</w:t>
        </w:r>
        <w:r w:rsidR="005C6927" w:rsidRPr="00E62332">
          <w:rPr>
            <w:noProof/>
            <w:webHidden/>
            <w:lang w:val="fr-FR"/>
          </w:rPr>
          <w:tab/>
        </w:r>
        <w:r w:rsidR="005C6927" w:rsidRPr="00E62332">
          <w:rPr>
            <w:noProof/>
            <w:webHidden/>
            <w:lang w:val="fr-FR"/>
          </w:rPr>
          <w:tab/>
        </w:r>
        <w:r w:rsidR="005C6927" w:rsidRPr="00E62332">
          <w:rPr>
            <w:noProof/>
            <w:webHidden/>
            <w:lang w:val="fr-FR"/>
          </w:rPr>
          <w:fldChar w:fldCharType="begin"/>
        </w:r>
        <w:r w:rsidR="005C6927" w:rsidRPr="00E62332">
          <w:rPr>
            <w:noProof/>
            <w:webHidden/>
            <w:lang w:val="fr-FR"/>
          </w:rPr>
          <w:instrText xml:space="preserve"> PAGEREF _Toc467049672 \h </w:instrText>
        </w:r>
        <w:r w:rsidR="005C6927" w:rsidRPr="00E62332">
          <w:rPr>
            <w:noProof/>
            <w:webHidden/>
            <w:lang w:val="fr-FR"/>
          </w:rPr>
        </w:r>
        <w:r w:rsidR="005C6927" w:rsidRPr="00E62332">
          <w:rPr>
            <w:noProof/>
            <w:webHidden/>
            <w:lang w:val="fr-FR"/>
          </w:rPr>
          <w:fldChar w:fldCharType="separate"/>
        </w:r>
        <w:r>
          <w:rPr>
            <w:noProof/>
            <w:webHidden/>
            <w:lang w:val="fr-FR"/>
          </w:rPr>
          <w:t>21</w:t>
        </w:r>
        <w:r w:rsidR="005C6927" w:rsidRPr="00E62332">
          <w:rPr>
            <w:noProof/>
            <w:webHidden/>
            <w:lang w:val="fr-FR"/>
          </w:rPr>
          <w:fldChar w:fldCharType="end"/>
        </w:r>
      </w:hyperlink>
    </w:p>
    <w:p w:rsidR="005C6927" w:rsidRPr="00E62332" w:rsidRDefault="0044689D" w:rsidP="005C6927">
      <w:pPr>
        <w:pStyle w:val="TOC2"/>
        <w:rPr>
          <w:rFonts w:asciiTheme="minorHAnsi" w:eastAsiaTheme="minorEastAsia" w:hAnsiTheme="minorHAnsi" w:cstheme="minorBidi"/>
          <w:noProof/>
          <w:sz w:val="22"/>
          <w:szCs w:val="22"/>
          <w:lang w:val="fr-FR" w:eastAsia="zh-CN"/>
        </w:rPr>
      </w:pPr>
      <w:hyperlink w:anchor="_Toc467049673" w:history="1">
        <w:r w:rsidR="005C6927" w:rsidRPr="00E62332">
          <w:rPr>
            <w:rStyle w:val="Hyperlink"/>
            <w:noProof/>
            <w:lang w:val="fr-FR"/>
          </w:rPr>
          <w:t>6.2</w:t>
        </w:r>
        <w:r w:rsidR="005C6927" w:rsidRPr="00E62332">
          <w:rPr>
            <w:rFonts w:asciiTheme="minorHAnsi" w:eastAsiaTheme="minorEastAsia" w:hAnsiTheme="minorHAnsi" w:cstheme="minorBidi"/>
            <w:noProof/>
            <w:sz w:val="22"/>
            <w:szCs w:val="22"/>
            <w:lang w:val="fr-FR" w:eastAsia="zh-CN"/>
          </w:rPr>
          <w:tab/>
        </w:r>
        <w:r w:rsidR="005C6927" w:rsidRPr="00E62332">
          <w:rPr>
            <w:rStyle w:val="Hyperlink"/>
            <w:noProof/>
            <w:lang w:val="fr-FR"/>
          </w:rPr>
          <w:t xml:space="preserve">Aspects généraux de la modélisation dynamique détaillée pour les codes </w:t>
        </w:r>
        <w:r w:rsidR="005C6927" w:rsidRPr="00E62332">
          <w:rPr>
            <w:rStyle w:val="Hyperlink"/>
            <w:noProof/>
            <w:lang w:val="fr-FR"/>
          </w:rPr>
          <w:br/>
          <w:t>PRN courts de signaux du SRNS</w:t>
        </w:r>
        <w:r w:rsidR="005C6927" w:rsidRPr="00E62332">
          <w:rPr>
            <w:noProof/>
            <w:webHidden/>
            <w:lang w:val="fr-FR"/>
          </w:rPr>
          <w:tab/>
        </w:r>
        <w:r w:rsidR="005C6927" w:rsidRPr="00E62332">
          <w:rPr>
            <w:noProof/>
            <w:webHidden/>
            <w:lang w:val="fr-FR"/>
          </w:rPr>
          <w:tab/>
        </w:r>
        <w:r w:rsidR="005C6927" w:rsidRPr="00E62332">
          <w:rPr>
            <w:noProof/>
            <w:webHidden/>
            <w:lang w:val="fr-FR"/>
          </w:rPr>
          <w:fldChar w:fldCharType="begin"/>
        </w:r>
        <w:r w:rsidR="005C6927" w:rsidRPr="00E62332">
          <w:rPr>
            <w:noProof/>
            <w:webHidden/>
            <w:lang w:val="fr-FR"/>
          </w:rPr>
          <w:instrText xml:space="preserve"> PAGEREF _Toc467049673 \h </w:instrText>
        </w:r>
        <w:r w:rsidR="005C6927" w:rsidRPr="00E62332">
          <w:rPr>
            <w:noProof/>
            <w:webHidden/>
            <w:lang w:val="fr-FR"/>
          </w:rPr>
        </w:r>
        <w:r w:rsidR="005C6927" w:rsidRPr="00E62332">
          <w:rPr>
            <w:noProof/>
            <w:webHidden/>
            <w:lang w:val="fr-FR"/>
          </w:rPr>
          <w:fldChar w:fldCharType="separate"/>
        </w:r>
        <w:r>
          <w:rPr>
            <w:noProof/>
            <w:webHidden/>
            <w:lang w:val="fr-FR"/>
          </w:rPr>
          <w:t>22</w:t>
        </w:r>
        <w:r w:rsidR="005C6927" w:rsidRPr="00E62332">
          <w:rPr>
            <w:noProof/>
            <w:webHidden/>
            <w:lang w:val="fr-FR"/>
          </w:rPr>
          <w:fldChar w:fldCharType="end"/>
        </w:r>
      </w:hyperlink>
    </w:p>
    <w:p w:rsidR="005C6927" w:rsidRDefault="0044689D" w:rsidP="005C6927">
      <w:pPr>
        <w:pStyle w:val="TOC1"/>
        <w:rPr>
          <w:noProof/>
          <w:lang w:val="fr-FR"/>
        </w:rPr>
      </w:pPr>
      <w:hyperlink w:anchor="_Toc467049674" w:history="1">
        <w:r w:rsidR="005C6927" w:rsidRPr="00E62332">
          <w:rPr>
            <w:rStyle w:val="Hyperlink"/>
            <w:noProof/>
            <w:lang w:val="fr-FR"/>
          </w:rPr>
          <w:t>7</w:t>
        </w:r>
        <w:r w:rsidR="005C6927" w:rsidRPr="00E62332">
          <w:rPr>
            <w:rFonts w:asciiTheme="minorHAnsi" w:eastAsiaTheme="minorEastAsia" w:hAnsiTheme="minorHAnsi" w:cstheme="minorBidi"/>
            <w:noProof/>
            <w:sz w:val="22"/>
            <w:szCs w:val="22"/>
            <w:lang w:val="fr-FR" w:eastAsia="zh-CN"/>
          </w:rPr>
          <w:tab/>
        </w:r>
        <w:r w:rsidR="005C6927" w:rsidRPr="00E62332">
          <w:rPr>
            <w:rStyle w:val="Hyperlink"/>
            <w:noProof/>
            <w:lang w:val="fr-FR"/>
          </w:rPr>
          <w:t>Conclusion</w:t>
        </w:r>
        <w:r w:rsidR="005C6927" w:rsidRPr="00E62332">
          <w:rPr>
            <w:noProof/>
            <w:webHidden/>
            <w:lang w:val="fr-FR"/>
          </w:rPr>
          <w:tab/>
        </w:r>
        <w:r w:rsidR="005C6927" w:rsidRPr="00E62332">
          <w:rPr>
            <w:noProof/>
            <w:webHidden/>
            <w:lang w:val="fr-FR"/>
          </w:rPr>
          <w:tab/>
        </w:r>
        <w:r w:rsidR="005C6927" w:rsidRPr="00E62332">
          <w:rPr>
            <w:noProof/>
            <w:webHidden/>
            <w:lang w:val="fr-FR"/>
          </w:rPr>
          <w:fldChar w:fldCharType="begin"/>
        </w:r>
        <w:r w:rsidR="005C6927" w:rsidRPr="00E62332">
          <w:rPr>
            <w:noProof/>
            <w:webHidden/>
            <w:lang w:val="fr-FR"/>
          </w:rPr>
          <w:instrText xml:space="preserve"> PAGEREF _Toc467049674 \h </w:instrText>
        </w:r>
        <w:r w:rsidR="005C6927" w:rsidRPr="00E62332">
          <w:rPr>
            <w:noProof/>
            <w:webHidden/>
            <w:lang w:val="fr-FR"/>
          </w:rPr>
        </w:r>
        <w:r w:rsidR="005C6927" w:rsidRPr="00E62332">
          <w:rPr>
            <w:noProof/>
            <w:webHidden/>
            <w:lang w:val="fr-FR"/>
          </w:rPr>
          <w:fldChar w:fldCharType="separate"/>
        </w:r>
        <w:r>
          <w:rPr>
            <w:noProof/>
            <w:webHidden/>
            <w:lang w:val="fr-FR"/>
          </w:rPr>
          <w:t>23</w:t>
        </w:r>
        <w:r w:rsidR="005C6927" w:rsidRPr="00E62332">
          <w:rPr>
            <w:noProof/>
            <w:webHidden/>
            <w:lang w:val="fr-FR"/>
          </w:rPr>
          <w:fldChar w:fldCharType="end"/>
        </w:r>
      </w:hyperlink>
    </w:p>
    <w:p w:rsidR="005C6927" w:rsidRPr="00E62332" w:rsidRDefault="005C6927" w:rsidP="005C6927">
      <w:pPr>
        <w:pStyle w:val="Heading1"/>
        <w:tabs>
          <w:tab w:val="clear" w:pos="794"/>
        </w:tabs>
        <w:ind w:left="0" w:firstLine="0"/>
      </w:pPr>
      <w:r w:rsidRPr="00E62332">
        <w:rPr>
          <w:rFonts w:eastAsia="MS Mincho"/>
        </w:rPr>
        <w:fldChar w:fldCharType="end"/>
      </w:r>
      <w:r w:rsidRPr="00E62332">
        <w:rPr>
          <w:rFonts w:eastAsia="MS Mincho"/>
        </w:rPr>
        <w:br w:type="page"/>
      </w:r>
      <w:bookmarkStart w:id="5" w:name="_Toc467049661"/>
      <w:r w:rsidRPr="00E62332">
        <w:lastRenderedPageBreak/>
        <w:t>1</w:t>
      </w:r>
      <w:r w:rsidRPr="00E62332">
        <w:tab/>
        <w:t>Introduction</w:t>
      </w:r>
      <w:bookmarkEnd w:id="5"/>
    </w:p>
    <w:p w:rsidR="005C6927" w:rsidRPr="00E62332" w:rsidRDefault="005C6927" w:rsidP="005C6927">
      <w:r w:rsidRPr="00E62332">
        <w:t>La méthode dont il est question ici a pour objet d'offrir une technique d'estimation des brouillages entre systèmes et réseaux du SRNS. A ce titre, elle est utile pour la coordination entre systèmes de ce service (pour des raisons de brièveté, le terme «système» sera utilisé en lieu et place de l'expression «système ou réseau» dans le reste du présent document). Cette méthode s'applique à des systèmes du SRNS de type AMRC ou AMRF, ce qui rend possible le partage des bandes du SRNS, et repose sur une constatation: la simple sommation des valeurs de densité de puissance d'émission ne convient pas pour déterminer l'effet qu'un système du SRNS aura sur d'autres systèmes. Contrairement aux systèmes AMRC, qui généralement dans ce service ne présentent qu'une porteuse par bande occupée, les systèmes AMRF du SRNS comportent plusieurs porteuses dans une seule bande occupée. Il pourrait être mal aisé d'appliquer la méthode décrite ci-après à chacune des fréquences porteuses utilisées dans une configuration AMRC à plusieurs satellites.</w:t>
      </w:r>
    </w:p>
    <w:p w:rsidR="005C6927" w:rsidRPr="00E62332" w:rsidRDefault="005C6927" w:rsidP="005C6927">
      <w:pPr>
        <w:pStyle w:val="Heading1"/>
      </w:pPr>
      <w:bookmarkStart w:id="6" w:name="_Toc467049662"/>
      <w:r w:rsidRPr="00E62332">
        <w:t>2</w:t>
      </w:r>
      <w:r w:rsidRPr="00E62332">
        <w:tab/>
        <w:t>Méthode d'analyse des brouillages</w:t>
      </w:r>
      <w:bookmarkEnd w:id="6"/>
    </w:p>
    <w:p w:rsidR="005C6927" w:rsidRPr="00E62332" w:rsidRDefault="005C6927" w:rsidP="005C6927">
      <w:r w:rsidRPr="00E62332">
        <w:t xml:space="preserve">On utilise généralement le rapport de densité effective porteuse/bruit après corrélation, </w:t>
      </w:r>
      <w:r w:rsidRPr="00E62332">
        <w:rPr>
          <w:position w:val="-12"/>
        </w:rPr>
        <w:object w:dxaOrig="6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5pt;height:17.3pt" o:ole="">
            <v:imagedata r:id="rId13" o:title=""/>
          </v:shape>
          <o:OLEObject Type="Embed" ProgID="Equation.3" ShapeID="_x0000_i1025" DrawAspect="Content" ObjectID="_1541423523" r:id="rId14"/>
        </w:object>
      </w:r>
      <w:r w:rsidRPr="00E62332">
        <w:t xml:space="preserve">, pour mesurer l'incidence de brouillage de diverses sources sur la qualité de fonctionnement des récepteurs considérés. Le rapport </w:t>
      </w:r>
      <w:r w:rsidRPr="00E62332">
        <w:rPr>
          <w:position w:val="-12"/>
        </w:rPr>
        <w:object w:dxaOrig="660" w:dyaOrig="360">
          <v:shape id="_x0000_i1026" type="#_x0000_t75" style="width:33.65pt;height:17.3pt" o:ole="">
            <v:imagedata r:id="rId15" o:title=""/>
          </v:shape>
          <o:OLEObject Type="Embed" ProgID="Equation.3" ShapeID="_x0000_i1026" DrawAspect="Content" ObjectID="_1541423524" r:id="rId16"/>
        </w:object>
      </w:r>
      <w:r w:rsidRPr="00E62332">
        <w:t xml:space="preserve"> dépend du récepteur, de l'antenne et du bruit externe provenant de sources autres que celles du SRNS. On utilise pourtant ce ratio dans l'évaluation des brouillages entre systèmes du SRNS. </w:t>
      </w:r>
    </w:p>
    <w:p w:rsidR="005C6927" w:rsidRPr="00E62332" w:rsidRDefault="005C6927" w:rsidP="005C6927">
      <w:r w:rsidRPr="00E62332">
        <w:t>Dans le cas d'un brouillage continu</w:t>
      </w:r>
      <w:r w:rsidRPr="00E62332">
        <w:rPr>
          <w:rStyle w:val="FootnoteReference"/>
        </w:rPr>
        <w:footnoteReference w:id="1"/>
      </w:r>
      <w:r w:rsidRPr="00E62332">
        <w:t xml:space="preserve">, </w:t>
      </w:r>
      <w:r w:rsidRPr="00E62332">
        <w:rPr>
          <w:position w:val="-12"/>
        </w:rPr>
        <w:object w:dxaOrig="660" w:dyaOrig="360">
          <v:shape id="_x0000_i1027" type="#_x0000_t75" style="width:33.65pt;height:17.3pt" o:ole="">
            <v:imagedata r:id="rId17" o:title=""/>
          </v:shape>
          <o:OLEObject Type="Embed" ProgID="Equation.3" ShapeID="_x0000_i1027" DrawAspect="Content" ObjectID="_1541423525" r:id="rId18"/>
        </w:object>
      </w:r>
      <w:r w:rsidRPr="00E62332">
        <w:t xml:space="preserve"> est formulé comme suit:</w:t>
      </w:r>
    </w:p>
    <w:p w:rsidR="005C6927" w:rsidRPr="00E62332" w:rsidRDefault="005C6927" w:rsidP="005C6927"/>
    <w:p w:rsidR="005C6927" w:rsidRPr="00E62332" w:rsidRDefault="005C6927" w:rsidP="005C6927">
      <w:pPr>
        <w:pStyle w:val="Equation"/>
      </w:pPr>
      <w:r w:rsidRPr="00E62332">
        <w:tab/>
      </w:r>
      <w:r w:rsidRPr="00E62332">
        <w:tab/>
      </w:r>
      <w:r w:rsidRPr="00E62332">
        <w:rPr>
          <w:position w:val="-34"/>
        </w:rPr>
        <w:object w:dxaOrig="2780" w:dyaOrig="720">
          <v:shape id="_x0000_i1028" type="#_x0000_t75" style="width:139.3pt;height:31.8pt" o:ole="">
            <v:imagedata r:id="rId19" o:title=""/>
          </v:shape>
          <o:OLEObject Type="Embed" ProgID="Equation.3" ShapeID="_x0000_i1028" DrawAspect="Content" ObjectID="_1541423526" r:id="rId20"/>
        </w:object>
      </w:r>
      <w:r w:rsidRPr="00E62332">
        <w:tab/>
        <w:t>(</w:t>
      </w:r>
      <w:r w:rsidRPr="00E62332">
        <w:rPr>
          <w:noProof/>
        </w:rPr>
        <w:t>1</w:t>
      </w:r>
      <w:r w:rsidRPr="00E62332">
        <w:t>)</w:t>
      </w:r>
    </w:p>
    <w:p w:rsidR="005C6927" w:rsidRPr="00E62332" w:rsidRDefault="005C6927" w:rsidP="005C6927">
      <w:pPr>
        <w:jc w:val="left"/>
      </w:pPr>
      <w:r w:rsidRPr="00E62332">
        <w:rPr>
          <w:bCs/>
        </w:rPr>
        <w:t>où</w:t>
      </w:r>
      <w:r w:rsidRPr="00E62332">
        <w:t>:</w:t>
      </w:r>
    </w:p>
    <w:p w:rsidR="005C6927" w:rsidRPr="00E62332" w:rsidRDefault="005C6927" w:rsidP="005C6927">
      <w:pPr>
        <w:pStyle w:val="Equationlegend"/>
        <w:rPr>
          <w:lang w:val="fr-FR"/>
        </w:rPr>
      </w:pPr>
      <w:r w:rsidRPr="00E62332">
        <w:rPr>
          <w:lang w:val="fr-FR"/>
        </w:rPr>
        <w:tab/>
      </w:r>
      <w:r w:rsidRPr="00E62332">
        <w:rPr>
          <w:i/>
          <w:lang w:val="fr-FR"/>
        </w:rPr>
        <w:t>C</w:t>
      </w:r>
      <w:r w:rsidRPr="00E62332">
        <w:rPr>
          <w:lang w:val="fr-FR"/>
        </w:rPr>
        <w:t>:</w:t>
      </w:r>
      <w:r w:rsidRPr="00E62332">
        <w:rPr>
          <w:lang w:val="fr-FR"/>
        </w:rPr>
        <w:tab/>
        <w:t>puissance (W), après corrélation, du signal utile reçu du satellite de la constellation de référence, y compris affaiblissements de traitement applicables</w:t>
      </w:r>
      <w:r w:rsidRPr="00E62332">
        <w:rPr>
          <w:rStyle w:val="FootnoteReference"/>
          <w:rFonts w:ascii="FHGHDC+TimesNewRoman" w:eastAsia="MS Mincho" w:hAnsi="FHGHDC+TimesNewRoman" w:cs="FHGHDC+TimesNewRoman"/>
          <w:color w:val="000000"/>
          <w:szCs w:val="24"/>
          <w:lang w:val="fr-FR" w:eastAsia="ja-JP"/>
        </w:rPr>
        <w:footnoteReference w:id="2"/>
      </w:r>
    </w:p>
    <w:p w:rsidR="005C6927" w:rsidRPr="00E62332" w:rsidRDefault="005C6927" w:rsidP="005C6927">
      <w:pPr>
        <w:pStyle w:val="Equationlegend"/>
        <w:rPr>
          <w:lang w:val="fr-FR"/>
        </w:rPr>
      </w:pPr>
      <w:r w:rsidRPr="00E62332">
        <w:rPr>
          <w:lang w:val="fr-FR"/>
        </w:rPr>
        <w:tab/>
      </w:r>
      <w:r w:rsidRPr="00E62332">
        <w:rPr>
          <w:i/>
          <w:lang w:val="fr-FR"/>
        </w:rPr>
        <w:t>N</w:t>
      </w:r>
      <w:r w:rsidRPr="00E62332">
        <w:rPr>
          <w:vertAlign w:val="subscript"/>
          <w:lang w:val="fr-FR"/>
        </w:rPr>
        <w:t>0</w:t>
      </w:r>
      <w:r w:rsidRPr="00E62332">
        <w:rPr>
          <w:lang w:val="fr-FR"/>
        </w:rPr>
        <w:t>:</w:t>
      </w:r>
      <w:r w:rsidRPr="00E62332">
        <w:rPr>
          <w:lang w:val="fr-FR"/>
        </w:rPr>
        <w:tab/>
        <w:t>densité spectrale de puissance de bruit thermique (W/Hz) à l'entrée du récepteur, avant corrélation</w:t>
      </w:r>
    </w:p>
    <w:p w:rsidR="005C6927" w:rsidRPr="00E62332" w:rsidRDefault="005C6927" w:rsidP="005C6927">
      <w:pPr>
        <w:pStyle w:val="Equationlegend"/>
        <w:rPr>
          <w:lang w:val="fr-FR"/>
        </w:rPr>
      </w:pPr>
      <w:r w:rsidRPr="00E62332">
        <w:rPr>
          <w:i/>
          <w:lang w:val="fr-FR"/>
        </w:rPr>
        <w:tab/>
      </w:r>
      <w:r w:rsidRPr="00E62332">
        <w:rPr>
          <w:position w:val="-12"/>
          <w:lang w:val="fr-FR"/>
        </w:rPr>
        <w:object w:dxaOrig="340" w:dyaOrig="360">
          <v:shape id="_x0000_i1029" type="#_x0000_t75" style="width:17.3pt;height:17.3pt" o:ole="">
            <v:imagedata r:id="rId21" o:title=""/>
          </v:shape>
          <o:OLEObject Type="Embed" ProgID="Equation.3" ShapeID="_x0000_i1029" DrawAspect="Content" ObjectID="_1541423527" r:id="rId22"/>
        </w:object>
      </w:r>
      <w:r w:rsidRPr="00E62332">
        <w:rPr>
          <w:lang w:val="fr-FR"/>
        </w:rPr>
        <w:t>:</w:t>
      </w:r>
      <w:r w:rsidRPr="00E62332">
        <w:rPr>
          <w:lang w:val="fr-FR"/>
        </w:rPr>
        <w:tab/>
        <w:t>densité spectrale de puissance de bruit thermique (W/Hz) effective à la réception, après corrélation</w:t>
      </w:r>
    </w:p>
    <w:p w:rsidR="005C6927" w:rsidRPr="00E62332" w:rsidRDefault="005C6927" w:rsidP="005C6927">
      <w:pPr>
        <w:pStyle w:val="Equationlegend"/>
        <w:rPr>
          <w:lang w:val="fr-FR"/>
        </w:rPr>
      </w:pPr>
      <w:r w:rsidRPr="00E62332">
        <w:rPr>
          <w:lang w:val="fr-FR"/>
        </w:rPr>
        <w:tab/>
      </w:r>
      <w:r w:rsidRPr="00E62332">
        <w:rPr>
          <w:i/>
          <w:lang w:val="fr-FR"/>
        </w:rPr>
        <w:t>I</w:t>
      </w:r>
      <w:r w:rsidRPr="00E62332">
        <w:rPr>
          <w:i/>
          <w:iCs/>
          <w:vertAlign w:val="subscript"/>
          <w:lang w:val="fr-FR"/>
        </w:rPr>
        <w:t>ref</w:t>
      </w:r>
      <w:r w:rsidRPr="00E62332">
        <w:rPr>
          <w:i/>
          <w:iCs/>
          <w:sz w:val="16"/>
          <w:szCs w:val="16"/>
          <w:vertAlign w:val="subscript"/>
          <w:lang w:val="fr-FR"/>
        </w:rPr>
        <w:t xml:space="preserve"> </w:t>
      </w:r>
      <w:r w:rsidRPr="00E62332">
        <w:rPr>
          <w:lang w:val="fr-FR"/>
        </w:rPr>
        <w:t>:</w:t>
      </w:r>
      <w:r w:rsidRPr="00E62332">
        <w:rPr>
          <w:lang w:val="fr-FR"/>
        </w:rPr>
        <w:tab/>
        <w:t>densité spectrale de puissance de bruit blanc effective (W/Hz), après corrélation, due aux brouillages cumulatifs causés par l'ensemble des signaux reçus, à l'exception du signal utile, émise par tous les satellites visibles de la constellation de référence, y compris affaiblissements de traitement applicables</w:t>
      </w:r>
    </w:p>
    <w:p w:rsidR="005C6927" w:rsidRPr="00E62332" w:rsidRDefault="005C6927" w:rsidP="005C6927">
      <w:pPr>
        <w:pStyle w:val="Equationlegend"/>
        <w:keepNext/>
        <w:keepLines/>
        <w:rPr>
          <w:lang w:val="fr-FR"/>
        </w:rPr>
      </w:pPr>
      <w:r w:rsidRPr="00E62332">
        <w:rPr>
          <w:lang w:val="fr-FR"/>
        </w:rPr>
        <w:lastRenderedPageBreak/>
        <w:tab/>
      </w:r>
      <w:r w:rsidRPr="00E62332">
        <w:rPr>
          <w:i/>
          <w:lang w:val="fr-FR"/>
        </w:rPr>
        <w:t>I</w:t>
      </w:r>
      <w:r w:rsidRPr="00E62332">
        <w:rPr>
          <w:i/>
          <w:iCs/>
          <w:vertAlign w:val="subscript"/>
          <w:lang w:val="fr-FR"/>
        </w:rPr>
        <w:t>int</w:t>
      </w:r>
      <w:r w:rsidRPr="00E62332">
        <w:rPr>
          <w:lang w:val="fr-FR"/>
        </w:rPr>
        <w:t>:</w:t>
      </w:r>
      <w:r w:rsidRPr="00E62332">
        <w:rPr>
          <w:lang w:val="fr-FR"/>
        </w:rPr>
        <w:tab/>
        <w:t>densité spectrale de puissance de bruit blanc effective (W/Hz), après corrélation, due aux brouillages cumulatifs causés par l'ensemble des signaux émis dans la bande de fréquences considérée par l'ensemble des satellites visibles du SRNS, à l'exclusion des satellites de la constellation de référence, y compris affaiblissements de traitement applicables</w:t>
      </w:r>
    </w:p>
    <w:p w:rsidR="005C6927" w:rsidRPr="00E62332" w:rsidRDefault="005C6927" w:rsidP="005C6927">
      <w:pPr>
        <w:pStyle w:val="Equationlegend"/>
        <w:rPr>
          <w:lang w:val="fr-FR"/>
        </w:rPr>
      </w:pPr>
      <w:r w:rsidRPr="00E62332">
        <w:rPr>
          <w:lang w:val="fr-FR"/>
        </w:rPr>
        <w:tab/>
      </w:r>
      <w:r w:rsidRPr="00E62332">
        <w:rPr>
          <w:i/>
          <w:lang w:val="fr-FR"/>
        </w:rPr>
        <w:t>I</w:t>
      </w:r>
      <w:r w:rsidRPr="00E62332">
        <w:rPr>
          <w:i/>
          <w:iCs/>
          <w:vertAlign w:val="subscript"/>
          <w:lang w:val="fr-FR"/>
        </w:rPr>
        <w:t>ext</w:t>
      </w:r>
      <w:r w:rsidRPr="00E62332">
        <w:rPr>
          <w:lang w:val="fr-FR"/>
        </w:rPr>
        <w:t>:</w:t>
      </w:r>
      <w:r w:rsidRPr="00E62332">
        <w:rPr>
          <w:lang w:val="fr-FR"/>
        </w:rPr>
        <w:tab/>
        <w:t>densité spectrale de puissance de bruit blanc effective (W/Hz), après corrélation, due aux brouillages cumulatifs causés par l'ensemble des signaux radioélectriques autres que ceux du SRNS, y compris affaiblissements de traitement applicables</w:t>
      </w:r>
    </w:p>
    <w:p w:rsidR="005C6927" w:rsidRPr="00E62332" w:rsidRDefault="005C6927" w:rsidP="005C6927">
      <w:pPr>
        <w:pStyle w:val="Equationlegend"/>
        <w:rPr>
          <w:rFonts w:eastAsia="MS Mincho"/>
          <w:color w:val="000000"/>
          <w:szCs w:val="24"/>
          <w:lang w:val="fr-FR" w:eastAsia="ja-JP"/>
        </w:rPr>
      </w:pPr>
      <w:r w:rsidRPr="00E62332">
        <w:rPr>
          <w:rFonts w:eastAsia="MS Mincho"/>
          <w:lang w:val="fr-FR" w:eastAsia="ja-JP"/>
        </w:rPr>
        <w:tab/>
      </w:r>
      <w:r w:rsidRPr="00E62332">
        <w:rPr>
          <w:rFonts w:eastAsia="MS Mincho"/>
          <w:lang w:val="fr-FR" w:eastAsia="ja-JP"/>
        </w:rPr>
        <w:sym w:font="Symbol" w:char="F06E"/>
      </w:r>
      <w:r w:rsidRPr="00E62332">
        <w:rPr>
          <w:rFonts w:eastAsia="MS Mincho"/>
          <w:lang w:val="fr-FR" w:eastAsia="ja-JP"/>
        </w:rPr>
        <w:t>:</w:t>
      </w:r>
      <w:r w:rsidRPr="00E62332">
        <w:rPr>
          <w:rFonts w:eastAsia="MS Mincho"/>
          <w:lang w:val="fr-FR" w:eastAsia="ja-JP"/>
        </w:rPr>
        <w:tab/>
        <w:t>facteur de bruit thermique effectif, sans dimension, s'écrivant:</w:t>
      </w:r>
    </w:p>
    <w:p w:rsidR="005C6927" w:rsidRPr="00E62332" w:rsidRDefault="005C6927" w:rsidP="005C6927">
      <w:pPr>
        <w:pStyle w:val="Blanc"/>
        <w:jc w:val="left"/>
        <w:rPr>
          <w:lang w:val="fr-FR"/>
        </w:rPr>
      </w:pPr>
    </w:p>
    <w:p w:rsidR="005C6927" w:rsidRPr="00E62332" w:rsidRDefault="005C6927" w:rsidP="005C6927">
      <w:pPr>
        <w:pStyle w:val="Equation"/>
        <w:jc w:val="left"/>
      </w:pPr>
      <w:r w:rsidRPr="00E62332">
        <w:tab/>
      </w:r>
      <w:r w:rsidRPr="00E62332">
        <w:tab/>
      </w:r>
      <w:r w:rsidRPr="00E62332">
        <w:rPr>
          <w:position w:val="-34"/>
        </w:rPr>
        <w:object w:dxaOrig="2100" w:dyaOrig="820">
          <v:shape id="_x0000_i1030" type="#_x0000_t75" style="width:105.65pt;height:36.95pt" o:ole="">
            <v:imagedata r:id="rId23" o:title=""/>
          </v:shape>
          <o:OLEObject Type="Embed" ProgID="Equation.3" ShapeID="_x0000_i1030" DrawAspect="Content" ObjectID="_1541423528" r:id="rId24"/>
        </w:object>
      </w:r>
    </w:p>
    <w:p w:rsidR="005C6927" w:rsidRPr="00E62332" w:rsidRDefault="005C6927" w:rsidP="005C6927">
      <w:pPr>
        <w:pStyle w:val="Blanc"/>
        <w:jc w:val="left"/>
        <w:rPr>
          <w:lang w:val="fr-FR"/>
        </w:rPr>
      </w:pPr>
    </w:p>
    <w:p w:rsidR="005C6927" w:rsidRPr="00E62332" w:rsidRDefault="005C6927" w:rsidP="005C6927">
      <w:pPr>
        <w:pStyle w:val="Equationlegend"/>
        <w:rPr>
          <w:rFonts w:eastAsia="MS Mincho"/>
          <w:lang w:val="fr-FR" w:eastAsia="ja-JP"/>
        </w:rPr>
      </w:pPr>
      <w:r w:rsidRPr="00E62332">
        <w:rPr>
          <w:rFonts w:eastAsia="MS Mincho"/>
          <w:lang w:val="fr-FR" w:eastAsia="ja-JP"/>
        </w:rPr>
        <w:tab/>
      </w:r>
      <w:r w:rsidRPr="00E62332">
        <w:rPr>
          <w:position w:val="-10"/>
          <w:lang w:val="fr-FR"/>
        </w:rPr>
        <w:object w:dxaOrig="639" w:dyaOrig="360">
          <v:shape id="_x0000_i1031" type="#_x0000_t75" style="width:31.8pt;height:18.25pt" o:ole="" o:allowoverlap="f">
            <v:imagedata r:id="rId25" o:title=""/>
          </v:shape>
          <o:OLEObject Type="Embed" ProgID="Equation.3" ShapeID="_x0000_i1031" DrawAspect="Content" ObjectID="_1541423529" r:id="rId26"/>
        </w:object>
      </w:r>
      <w:r w:rsidRPr="00E62332">
        <w:rPr>
          <w:rFonts w:eastAsia="MS Mincho"/>
          <w:lang w:val="fr-FR" w:eastAsia="ja-JP"/>
        </w:rPr>
        <w:t>:</w:t>
      </w:r>
      <w:r w:rsidRPr="00E62332">
        <w:rPr>
          <w:rFonts w:eastAsia="MS Mincho"/>
          <w:lang w:val="fr-FR" w:eastAsia="ja-JP"/>
        </w:rPr>
        <w:tab/>
        <w:t xml:space="preserve">fonction de transfert équivalent normalisée, à la fréquence </w:t>
      </w:r>
      <w:r w:rsidRPr="00E62332">
        <w:rPr>
          <w:rFonts w:eastAsia="MS Mincho"/>
          <w:i/>
          <w:iCs/>
          <w:lang w:val="fr-FR" w:eastAsia="ja-JP"/>
        </w:rPr>
        <w:t>f</w:t>
      </w:r>
      <w:r w:rsidRPr="00E62332">
        <w:rPr>
          <w:rFonts w:eastAsia="MS Mincho"/>
          <w:lang w:val="fr-FR" w:eastAsia="ja-JP"/>
        </w:rPr>
        <w:t xml:space="preserve"> (Hz), telle que:</w:t>
      </w:r>
    </w:p>
    <w:p w:rsidR="005C6927" w:rsidRPr="00E62332" w:rsidRDefault="005C6927" w:rsidP="005C6927">
      <w:pPr>
        <w:pStyle w:val="Blanc"/>
        <w:jc w:val="left"/>
        <w:rPr>
          <w:lang w:val="fr-FR"/>
        </w:rPr>
      </w:pPr>
    </w:p>
    <w:p w:rsidR="005C6927" w:rsidRPr="00E62332" w:rsidRDefault="005C6927" w:rsidP="005C6927">
      <w:pPr>
        <w:pStyle w:val="Equation"/>
        <w:jc w:val="left"/>
      </w:pPr>
      <w:r w:rsidRPr="00E62332">
        <w:tab/>
      </w:r>
      <w:r w:rsidRPr="00E62332">
        <w:tab/>
      </w:r>
      <w:r w:rsidRPr="00E62332">
        <w:rPr>
          <w:position w:val="-46"/>
        </w:rPr>
        <w:object w:dxaOrig="1900" w:dyaOrig="840">
          <v:shape id="_x0000_i1032" type="#_x0000_t75" style="width:94.9pt;height:36.95pt" o:ole="">
            <v:imagedata r:id="rId27" o:title=""/>
          </v:shape>
          <o:OLEObject Type="Embed" ProgID="Equation.3" ShapeID="_x0000_i1032" DrawAspect="Content" ObjectID="_1541423530" r:id="rId28"/>
        </w:object>
      </w:r>
    </w:p>
    <w:p w:rsidR="005C6927" w:rsidRPr="00E62332" w:rsidRDefault="005C6927" w:rsidP="005C6927">
      <w:pPr>
        <w:pStyle w:val="Blanc"/>
        <w:jc w:val="left"/>
        <w:rPr>
          <w:lang w:val="fr-FR"/>
        </w:rPr>
      </w:pPr>
    </w:p>
    <w:p w:rsidR="005C6927" w:rsidRPr="00E62332" w:rsidRDefault="005C6927" w:rsidP="005C6927">
      <w:pPr>
        <w:pStyle w:val="Equationlegend"/>
        <w:rPr>
          <w:rFonts w:eastAsia="MS Mincho"/>
          <w:lang w:val="fr-FR" w:eastAsia="ja-JP"/>
        </w:rPr>
      </w:pPr>
      <w:r w:rsidRPr="00E62332">
        <w:rPr>
          <w:rFonts w:eastAsia="MS Mincho"/>
          <w:lang w:val="fr-FR" w:eastAsia="ja-JP"/>
        </w:rPr>
        <w:tab/>
      </w:r>
      <w:r w:rsidRPr="00E62332">
        <w:rPr>
          <w:rFonts w:eastAsia="MS Mincho"/>
          <w:i/>
          <w:iCs/>
          <w:lang w:val="fr-FR" w:eastAsia="ja-JP"/>
        </w:rPr>
        <w:t>H</w:t>
      </w:r>
      <w:r w:rsidRPr="00E62332">
        <w:rPr>
          <w:rFonts w:eastAsia="MS Mincho"/>
          <w:lang w:val="fr-FR" w:eastAsia="ja-JP"/>
        </w:rPr>
        <w:t>(</w:t>
      </w:r>
      <w:r w:rsidRPr="00E62332">
        <w:rPr>
          <w:rFonts w:eastAsia="MS Mincho"/>
          <w:i/>
          <w:iCs/>
          <w:lang w:val="fr-FR" w:eastAsia="ja-JP"/>
        </w:rPr>
        <w:t>f</w:t>
      </w:r>
      <w:r w:rsidRPr="00E62332">
        <w:rPr>
          <w:rFonts w:eastAsia="MS Mincho"/>
          <w:lang w:val="fr-FR" w:eastAsia="ja-JP"/>
        </w:rPr>
        <w:t>):</w:t>
      </w:r>
      <w:r w:rsidRPr="00E62332">
        <w:rPr>
          <w:rFonts w:eastAsia="MS Mincho"/>
          <w:lang w:val="fr-FR" w:eastAsia="ja-JP"/>
        </w:rPr>
        <w:tab/>
        <w:t xml:space="preserve">fonction de transfert équivalent du filtre de réception (sans dimension), à la fréquence </w:t>
      </w:r>
      <w:r w:rsidRPr="00E62332">
        <w:rPr>
          <w:rFonts w:eastAsia="MS Mincho"/>
          <w:i/>
          <w:iCs/>
          <w:lang w:val="fr-FR" w:eastAsia="ja-JP"/>
        </w:rPr>
        <w:t>f </w:t>
      </w:r>
      <w:r w:rsidRPr="00E62332">
        <w:rPr>
          <w:rFonts w:eastAsia="MS Mincho"/>
          <w:lang w:val="fr-FR" w:eastAsia="ja-JP"/>
        </w:rPr>
        <w:t>(Hz), représentant la totalité des signaux filtrés à l'étage d'entrée du récepteur, avant corrélation</w:t>
      </w:r>
    </w:p>
    <w:p w:rsidR="005C6927" w:rsidRPr="00E62332" w:rsidRDefault="005C6927" w:rsidP="005C6927">
      <w:pPr>
        <w:pStyle w:val="Equationlegend"/>
        <w:rPr>
          <w:rFonts w:eastAsia="MS Mincho"/>
          <w:lang w:val="fr-FR" w:eastAsia="ja-JP"/>
        </w:rPr>
      </w:pPr>
      <w:r w:rsidRPr="00E62332">
        <w:rPr>
          <w:rFonts w:eastAsia="MS Mincho"/>
          <w:lang w:val="fr-FR" w:eastAsia="ja-JP"/>
        </w:rPr>
        <w:tab/>
      </w:r>
      <w:r w:rsidRPr="00E62332">
        <w:rPr>
          <w:rFonts w:eastAsia="MS Mincho"/>
          <w:i/>
          <w:lang w:val="fr-FR" w:eastAsia="ja-JP"/>
        </w:rPr>
        <w:t>S(f)</w:t>
      </w:r>
      <w:r w:rsidRPr="00E62332">
        <w:rPr>
          <w:rFonts w:eastAsia="MS Mincho"/>
          <w:lang w:val="fr-FR" w:eastAsia="ja-JP"/>
        </w:rPr>
        <w:t>:</w:t>
      </w:r>
      <w:r w:rsidRPr="00E62332">
        <w:rPr>
          <w:rFonts w:eastAsia="MS Mincho"/>
          <w:lang w:val="fr-FR" w:eastAsia="ja-JP"/>
        </w:rPr>
        <w:tab/>
        <w:t xml:space="preserve">densité spectrale de puissance symétrique à deux côtés équivalente idéale (W/Hz), à la fréquence </w:t>
      </w:r>
      <w:r w:rsidRPr="00E62332">
        <w:rPr>
          <w:rFonts w:eastAsia="MS Mincho"/>
          <w:i/>
          <w:iCs/>
          <w:lang w:val="fr-FR" w:eastAsia="ja-JP"/>
        </w:rPr>
        <w:t>f</w:t>
      </w:r>
      <w:r w:rsidRPr="00E62332">
        <w:rPr>
          <w:rFonts w:eastAsia="MS Mincho"/>
          <w:lang w:val="fr-FR" w:eastAsia="ja-JP"/>
        </w:rPr>
        <w:t xml:space="preserve"> (Hz) du signal utile non filtré, avant corrélation, normalisée à la puissance unitaire sur une largeur de bande infinie et calculée sous l'hypothèse de codes d'étalement aléatoires</w:t>
      </w:r>
    </w:p>
    <w:p w:rsidR="005C6927" w:rsidRPr="00E62332" w:rsidRDefault="005C6927" w:rsidP="005C6927">
      <w:pPr>
        <w:pStyle w:val="Equationlegend"/>
        <w:rPr>
          <w:rFonts w:eastAsia="MS Mincho"/>
          <w:lang w:val="fr-FR" w:eastAsia="ja-JP"/>
        </w:rPr>
      </w:pPr>
      <w:r w:rsidRPr="00E62332">
        <w:rPr>
          <w:rFonts w:eastAsia="MS Mincho"/>
          <w:lang w:val="fr-FR" w:eastAsia="ja-JP"/>
        </w:rPr>
        <w:tab/>
      </w:r>
      <w:r w:rsidRPr="00E62332">
        <w:rPr>
          <w:rFonts w:eastAsia="MS Mincho"/>
          <w:lang w:val="fr-FR" w:eastAsia="ja-JP"/>
        </w:rPr>
        <w:sym w:font="Symbol" w:char="F067"/>
      </w:r>
      <w:r w:rsidRPr="00E62332">
        <w:rPr>
          <w:rFonts w:eastAsia="MS Mincho"/>
          <w:lang w:val="fr-FR" w:eastAsia="ja-JP"/>
        </w:rPr>
        <w:t>:</w:t>
      </w:r>
      <w:r w:rsidRPr="00E62332">
        <w:rPr>
          <w:rFonts w:eastAsia="MS Mincho"/>
          <w:lang w:val="fr-FR" w:eastAsia="ja-JP"/>
        </w:rPr>
        <w:tab/>
        <w:t>variable fictive.</w:t>
      </w:r>
    </w:p>
    <w:p w:rsidR="005C6927" w:rsidRPr="00E62332" w:rsidRDefault="005C6927" w:rsidP="005C6927">
      <w:r w:rsidRPr="00E62332">
        <w:t xml:space="preserve">L'expression simplifiée du niveau de bruit thermique effectif du récepteur après corrélation, en l'absence de bruit externe, s'écrit </w:t>
      </w:r>
      <w:r>
        <w:rPr>
          <w:position w:val="-12"/>
        </w:rPr>
        <w:object w:dxaOrig="975" w:dyaOrig="375">
          <v:shape id="_x0000_i1033" type="#_x0000_t75" style="width:49.1pt;height:18.7pt" o:ole="">
            <v:imagedata r:id="rId29" o:title=""/>
          </v:shape>
          <o:OLEObject Type="Embed" ProgID="Equation.3" ShapeID="_x0000_i1033" DrawAspect="Content" ObjectID="_1541423531" r:id="rId30"/>
        </w:object>
      </w:r>
      <w:r w:rsidRPr="00E62332">
        <w:t xml:space="preserve">. Par ailleurs, si </w:t>
      </w:r>
      <w:r w:rsidRPr="0055399D">
        <w:rPr>
          <w:i/>
          <w:iCs/>
        </w:rPr>
        <w:t>H</w:t>
      </w:r>
      <w:r w:rsidRPr="00E62332">
        <w:t xml:space="preserve"> représente un filtre passe-bande idéal de largeur de bande </w:t>
      </w:r>
      <w:r w:rsidRPr="0055399D">
        <w:rPr>
          <w:i/>
          <w:lang w:val="fr-CH"/>
        </w:rPr>
        <w:t>B</w:t>
      </w:r>
      <w:r w:rsidRPr="0055399D">
        <w:rPr>
          <w:i/>
          <w:vertAlign w:val="subscript"/>
          <w:lang w:val="fr-CH"/>
        </w:rPr>
        <w:t>R</w:t>
      </w:r>
      <w:r w:rsidRPr="0055399D">
        <w:rPr>
          <w:lang w:val="fr-CH"/>
        </w:rPr>
        <w:t xml:space="preserve"> </w:t>
      </w:r>
      <w:r w:rsidRPr="00E62332">
        <w:t xml:space="preserve">(et non pas la fonction de transfert de magnitude détaillée du filtre d'étage d'entrée du récepteur), on peut ramener </w:t>
      </w:r>
      <w:r w:rsidRPr="00E62332">
        <w:sym w:font="Symbol" w:char="F06E"/>
      </w:r>
      <w:r w:rsidRPr="00E62332">
        <w:t xml:space="preserve"> à l'équation simplifiée suivante:</w:t>
      </w:r>
    </w:p>
    <w:p w:rsidR="005C6927" w:rsidRPr="00E62332" w:rsidRDefault="005C6927" w:rsidP="005C6927">
      <w:pPr>
        <w:pStyle w:val="Blanc"/>
        <w:jc w:val="left"/>
        <w:rPr>
          <w:lang w:val="fr-FR"/>
        </w:rPr>
      </w:pPr>
    </w:p>
    <w:p w:rsidR="005C6927" w:rsidRPr="00E62332" w:rsidRDefault="005C6927" w:rsidP="005C6927">
      <w:pPr>
        <w:pStyle w:val="Equation"/>
        <w:jc w:val="left"/>
      </w:pPr>
      <w:r w:rsidRPr="00E62332">
        <w:tab/>
      </w:r>
      <w:r w:rsidRPr="00E62332">
        <w:tab/>
      </w:r>
      <w:r w:rsidRPr="00E62332">
        <w:rPr>
          <w:position w:val="-40"/>
        </w:rPr>
        <w:object w:dxaOrig="3220" w:dyaOrig="880">
          <v:shape id="_x0000_i1034" type="#_x0000_t75" style="width:161.3pt;height:38.35pt" o:ole="">
            <v:imagedata r:id="rId31" o:title=""/>
          </v:shape>
          <o:OLEObject Type="Embed" ProgID="Equation.3" ShapeID="_x0000_i1034" DrawAspect="Content" ObjectID="_1541423532" r:id="rId32"/>
        </w:object>
      </w:r>
    </w:p>
    <w:p w:rsidR="005C6927" w:rsidRPr="00E62332" w:rsidRDefault="005C6927" w:rsidP="005C6927">
      <w:pPr>
        <w:pStyle w:val="Blanc"/>
        <w:jc w:val="left"/>
        <w:rPr>
          <w:lang w:val="fr-FR"/>
        </w:rPr>
      </w:pPr>
    </w:p>
    <w:p w:rsidR="005C6927" w:rsidRPr="00E62332" w:rsidRDefault="005C6927" w:rsidP="005C6927">
      <w:r w:rsidRPr="00E62332">
        <w:rPr>
          <w:rFonts w:eastAsia="MS Mincho"/>
          <w:lang w:eastAsia="ja-JP"/>
        </w:rPr>
        <w:t>Il convient de noter</w:t>
      </w:r>
      <w:r w:rsidRPr="00E62332">
        <w:t xml:space="preserve"> aussi que </w:t>
      </w:r>
      <w:r w:rsidRPr="00E62332">
        <w:rPr>
          <w:i/>
        </w:rPr>
        <w:t>I</w:t>
      </w:r>
      <w:r w:rsidRPr="00E62332">
        <w:rPr>
          <w:i/>
          <w:iCs/>
          <w:vertAlign w:val="subscript"/>
        </w:rPr>
        <w:t>int</w:t>
      </w:r>
      <w:r w:rsidRPr="00E62332">
        <w:t xml:space="preserve"> (W/Hz) peut être décomposé si l'on veut considérer le brouillage causé par un système donné du SRNS:</w:t>
      </w:r>
    </w:p>
    <w:p w:rsidR="005C6927" w:rsidRPr="00E62332" w:rsidRDefault="005C6927" w:rsidP="005C6927">
      <w:pPr>
        <w:pStyle w:val="Equation"/>
        <w:jc w:val="left"/>
      </w:pPr>
      <w:r w:rsidRPr="00E62332">
        <w:tab/>
      </w:r>
      <w:r w:rsidRPr="00E62332">
        <w:tab/>
      </w:r>
      <w:r w:rsidRPr="00E62332">
        <w:rPr>
          <w:i/>
          <w:iCs/>
        </w:rPr>
        <w:t>I</w:t>
      </w:r>
      <w:r w:rsidRPr="00E62332">
        <w:rPr>
          <w:i/>
          <w:iCs/>
          <w:vertAlign w:val="subscript"/>
        </w:rPr>
        <w:t>int</w:t>
      </w:r>
      <w:r w:rsidRPr="00E62332">
        <w:t xml:space="preserve">  </w:t>
      </w:r>
      <w:r w:rsidRPr="00E62332">
        <w:sym w:font="Symbol" w:char="F03D"/>
      </w:r>
      <w:r w:rsidRPr="00E62332">
        <w:t xml:space="preserve">  </w:t>
      </w:r>
      <w:r w:rsidRPr="00E62332">
        <w:rPr>
          <w:i/>
          <w:iCs/>
        </w:rPr>
        <w:t>I</w:t>
      </w:r>
      <w:r w:rsidRPr="00E62332">
        <w:rPr>
          <w:i/>
          <w:iCs/>
          <w:vertAlign w:val="subscript"/>
        </w:rPr>
        <w:t>alt</w:t>
      </w:r>
      <w:r w:rsidRPr="00E62332">
        <w:t xml:space="preserve">  </w:t>
      </w:r>
      <w:r w:rsidRPr="00E62332">
        <w:sym w:font="Symbol" w:char="F02B"/>
      </w:r>
      <w:r w:rsidRPr="00E62332">
        <w:t xml:space="preserve">  </w:t>
      </w:r>
      <w:r w:rsidRPr="00E62332">
        <w:rPr>
          <w:i/>
          <w:iCs/>
        </w:rPr>
        <w:t>I</w:t>
      </w:r>
      <w:r w:rsidRPr="00E62332">
        <w:rPr>
          <w:i/>
          <w:iCs/>
          <w:vertAlign w:val="subscript"/>
        </w:rPr>
        <w:t>rem</w:t>
      </w:r>
    </w:p>
    <w:p w:rsidR="005C6927" w:rsidRPr="00E62332" w:rsidRDefault="005C6927" w:rsidP="005C6927">
      <w:pPr>
        <w:jc w:val="left"/>
      </w:pPr>
      <w:r w:rsidRPr="00E62332">
        <w:t>où:</w:t>
      </w:r>
    </w:p>
    <w:p w:rsidR="005C6927" w:rsidRPr="00E62332" w:rsidRDefault="005C6927" w:rsidP="005C6927">
      <w:pPr>
        <w:pStyle w:val="Equationlegend"/>
        <w:rPr>
          <w:lang w:val="fr-FR"/>
        </w:rPr>
      </w:pPr>
      <w:r w:rsidRPr="00E62332">
        <w:rPr>
          <w:lang w:val="fr-FR"/>
        </w:rPr>
        <w:tab/>
      </w:r>
      <w:r w:rsidRPr="00E62332">
        <w:rPr>
          <w:i/>
          <w:lang w:val="fr-FR"/>
        </w:rPr>
        <w:t>I</w:t>
      </w:r>
      <w:r w:rsidRPr="00E62332">
        <w:rPr>
          <w:i/>
          <w:iCs/>
          <w:vertAlign w:val="subscript"/>
          <w:lang w:val="fr-FR"/>
        </w:rPr>
        <w:t>alt</w:t>
      </w:r>
      <w:r w:rsidRPr="00E62332">
        <w:rPr>
          <w:lang w:val="fr-FR"/>
        </w:rPr>
        <w:t>:</w:t>
      </w:r>
      <w:r w:rsidRPr="00E62332">
        <w:rPr>
          <w:vertAlign w:val="subscript"/>
          <w:lang w:val="fr-FR"/>
        </w:rPr>
        <w:tab/>
      </w:r>
      <w:r w:rsidRPr="00E62332">
        <w:rPr>
          <w:lang w:val="fr-FR"/>
        </w:rPr>
        <w:t>densité spectrale de puissance de bruit effective (W/Hz), après corrélation, produite par les brouillages cumulatifs dus à la totalité des signaux émis dans la bande de fréquences considérée par l'ensemble des satellites visibles d'une «autre» constellation donnée</w:t>
      </w:r>
    </w:p>
    <w:p w:rsidR="005C6927" w:rsidRPr="00E62332" w:rsidRDefault="005C6927" w:rsidP="005C6927">
      <w:pPr>
        <w:pStyle w:val="Equationlegend"/>
        <w:keepNext/>
        <w:keepLines/>
        <w:rPr>
          <w:lang w:val="fr-FR"/>
        </w:rPr>
      </w:pPr>
      <w:r w:rsidRPr="00E62332">
        <w:rPr>
          <w:lang w:val="fr-FR"/>
        </w:rPr>
        <w:lastRenderedPageBreak/>
        <w:tab/>
      </w:r>
      <w:r w:rsidRPr="00E62332">
        <w:rPr>
          <w:i/>
          <w:lang w:val="fr-FR"/>
        </w:rPr>
        <w:t>I</w:t>
      </w:r>
      <w:r w:rsidRPr="00E62332">
        <w:rPr>
          <w:i/>
          <w:iCs/>
          <w:vertAlign w:val="subscript"/>
          <w:lang w:val="fr-FR"/>
        </w:rPr>
        <w:t>rem</w:t>
      </w:r>
      <w:r w:rsidRPr="00E62332">
        <w:rPr>
          <w:lang w:val="fr-FR"/>
        </w:rPr>
        <w:t xml:space="preserve">: </w:t>
      </w:r>
      <w:r w:rsidRPr="00E62332">
        <w:rPr>
          <w:lang w:val="fr-FR"/>
        </w:rPr>
        <w:tab/>
        <w:t xml:space="preserve">densité spectrale de puissance de bruit effective (W/Hz), après corrélation, due aux brouillages composites produite par la totalité des signaux émis dans la bande de fréquences considérée par l'ensemble des satellites visibles du SRNS «restants», </w:t>
      </w:r>
      <w:r w:rsidRPr="00E62332">
        <w:rPr>
          <w:lang w:val="fr-FR" w:eastAsia="ja-JP"/>
        </w:rPr>
        <w:t>c'est</w:t>
      </w:r>
      <w:r w:rsidRPr="00E62332">
        <w:rPr>
          <w:lang w:val="fr-FR" w:eastAsia="ja-JP"/>
        </w:rPr>
        <w:noBreakHyphen/>
        <w:t>à</w:t>
      </w:r>
      <w:r w:rsidRPr="00E62332">
        <w:rPr>
          <w:lang w:val="fr-FR" w:eastAsia="ja-JP"/>
        </w:rPr>
        <w:noBreakHyphen/>
        <w:t>dire</w:t>
      </w:r>
      <w:r w:rsidRPr="00E62332">
        <w:rPr>
          <w:lang w:val="fr-FR"/>
        </w:rPr>
        <w:t xml:space="preserve"> des satellites qui ne font partie ni de la constellation de référence ni de l'autre constellation. </w:t>
      </w:r>
    </w:p>
    <w:p w:rsidR="005C6927" w:rsidRPr="00E62332" w:rsidRDefault="005C6927" w:rsidP="005C6927">
      <w:r w:rsidRPr="00E62332">
        <w:t>Pour calculer les valeurs de la densité spectrale de puissance de bruit effective, nous définissons un coefficient β de séparation spectrale (exprimé en multiples de 1</w:t>
      </w:r>
      <w:r w:rsidRPr="00E62332">
        <w:rPr>
          <w:color w:val="000000"/>
          <w:sz w:val="20"/>
        </w:rPr>
        <w:t>/</w:t>
      </w:r>
      <w:r w:rsidRPr="00E62332">
        <w:rPr>
          <w:color w:val="000000"/>
          <w:szCs w:val="24"/>
        </w:rPr>
        <w:t>Hz</w:t>
      </w:r>
      <w:r w:rsidRPr="00E62332">
        <w:rPr>
          <w:color w:val="000000"/>
          <w:sz w:val="20"/>
        </w:rPr>
        <w:t xml:space="preserve">) </w:t>
      </w:r>
      <w:r w:rsidRPr="00E62332">
        <w:t>entre</w:t>
      </w:r>
      <w:r w:rsidRPr="00E62332">
        <w:rPr>
          <w:color w:val="000000"/>
          <w:sz w:val="20"/>
        </w:rPr>
        <w:t xml:space="preserve"> </w:t>
      </w:r>
      <w:r w:rsidRPr="00E62332">
        <w:t xml:space="preserve">un signal brouilleur, en l'occurrence le </w:t>
      </w:r>
      <w:r w:rsidRPr="00E62332">
        <w:rPr>
          <w:i/>
          <w:iCs/>
        </w:rPr>
        <w:t>n</w:t>
      </w:r>
      <w:r w:rsidRPr="00E62332">
        <w:t xml:space="preserve">ième signal du </w:t>
      </w:r>
      <w:r w:rsidRPr="00E62332">
        <w:rPr>
          <w:i/>
          <w:iCs/>
        </w:rPr>
        <w:t>m</w:t>
      </w:r>
      <w:r w:rsidRPr="00E62332">
        <w:t xml:space="preserve">ième satellite, et un signal utile </w:t>
      </w:r>
      <w:r w:rsidRPr="00E62332">
        <w:rPr>
          <w:i/>
        </w:rPr>
        <w:t>x</w:t>
      </w:r>
      <w:r w:rsidRPr="00E62332">
        <w:t>:</w:t>
      </w:r>
    </w:p>
    <w:p w:rsidR="005C6927" w:rsidRPr="0055399D" w:rsidRDefault="005C6927" w:rsidP="005C6927">
      <w:pPr>
        <w:pStyle w:val="Equation"/>
        <w:rPr>
          <w:rFonts w:eastAsia="MS Mincho"/>
          <w:lang w:val="fr-CH"/>
        </w:rPr>
      </w:pPr>
      <w:r w:rsidRPr="006168A6">
        <w:rPr>
          <w:rFonts w:eastAsia="MS Mincho"/>
          <w:lang w:val="fr-CH"/>
        </w:rPr>
        <w:tab/>
      </w:r>
      <w:r w:rsidRPr="006168A6">
        <w:rPr>
          <w:rFonts w:eastAsia="MS Mincho"/>
          <w:lang w:val="fr-CH"/>
        </w:rPr>
        <w:tab/>
      </w:r>
      <w:r>
        <w:rPr>
          <w:position w:val="-32"/>
          <w:lang w:val="ru-RU" w:eastAsia="ru-RU"/>
        </w:rPr>
        <w:object w:dxaOrig="3480" w:dyaOrig="780">
          <v:shape id="_x0000_i1035" type="#_x0000_t75" style="width:173.45pt;height:39.25pt" o:ole="">
            <v:imagedata r:id="rId33" o:title=""/>
          </v:shape>
          <o:OLEObject Type="Embed" ProgID="Equation.3" ShapeID="_x0000_i1035" DrawAspect="Content" ObjectID="_1541423533" r:id="rId34"/>
        </w:object>
      </w:r>
      <w:r w:rsidRPr="0055399D">
        <w:rPr>
          <w:rFonts w:eastAsia="MS Mincho"/>
          <w:lang w:val="fr-CH"/>
        </w:rPr>
        <w:tab/>
        <w:t>(2)</w:t>
      </w:r>
    </w:p>
    <w:p w:rsidR="005C6927" w:rsidRPr="00E62332" w:rsidRDefault="005C6927" w:rsidP="005C6927">
      <w:pPr>
        <w:jc w:val="left"/>
      </w:pPr>
      <w:r w:rsidRPr="00E62332">
        <w:t>où:</w:t>
      </w:r>
    </w:p>
    <w:p w:rsidR="005C6927" w:rsidRPr="00E62332" w:rsidRDefault="005C6927" w:rsidP="005C6927">
      <w:pPr>
        <w:pStyle w:val="Equationlegend"/>
        <w:rPr>
          <w:lang w:val="fr-FR"/>
        </w:rPr>
      </w:pPr>
      <w:r w:rsidRPr="00E62332">
        <w:rPr>
          <w:lang w:val="fr-FR"/>
        </w:rPr>
        <w:tab/>
      </w:r>
      <w:r w:rsidRPr="00E62332">
        <w:rPr>
          <w:position w:val="-10"/>
          <w:lang w:val="fr-FR"/>
        </w:rPr>
        <w:object w:dxaOrig="680" w:dyaOrig="380">
          <v:shape id="_x0000_i1036" type="#_x0000_t75" style="width:34.15pt;height:18.7pt" o:ole="">
            <v:imagedata r:id="rId35" o:title=""/>
          </v:shape>
          <o:OLEObject Type="Embed" ProgID="Equation.3" ShapeID="_x0000_i1036" DrawAspect="Content" ObjectID="_1541423534" r:id="rId36"/>
        </w:object>
      </w:r>
      <w:r w:rsidRPr="00E62332">
        <w:rPr>
          <w:lang w:val="fr-FR"/>
        </w:rPr>
        <w:t>:</w:t>
      </w:r>
      <w:r w:rsidRPr="00E62332">
        <w:rPr>
          <w:lang w:val="fr-FR"/>
        </w:rPr>
        <w:tab/>
        <w:t xml:space="preserve">densité spectrale de puissance symétrique à deux côtés (W/Hz) normalisée (à l'unité sur la largeur de bande d'émission), à la fréquence </w:t>
      </w:r>
      <w:r w:rsidRPr="00E62332">
        <w:rPr>
          <w:i/>
          <w:iCs/>
          <w:lang w:val="fr-FR"/>
        </w:rPr>
        <w:t>f</w:t>
      </w:r>
      <w:r>
        <w:rPr>
          <w:i/>
          <w:iCs/>
          <w:lang w:val="fr-FR"/>
        </w:rPr>
        <w:t xml:space="preserve"> </w:t>
      </w:r>
      <w:r w:rsidRPr="00E62332">
        <w:rPr>
          <w:lang w:val="fr-FR"/>
        </w:rPr>
        <w:t>(Hz), du signal utile:</w:t>
      </w:r>
    </w:p>
    <w:p w:rsidR="005C6927" w:rsidRPr="00E62332" w:rsidRDefault="005C6927" w:rsidP="005C6927">
      <w:pPr>
        <w:pStyle w:val="Equation"/>
        <w:jc w:val="left"/>
      </w:pPr>
      <w:r w:rsidRPr="00E62332">
        <w:tab/>
      </w:r>
      <w:r w:rsidRPr="00E62332">
        <w:tab/>
      </w:r>
      <w:r w:rsidRPr="00E62332">
        <w:rPr>
          <w:position w:val="-70"/>
        </w:rPr>
        <w:object w:dxaOrig="5179" w:dyaOrig="1520">
          <v:shape id="_x0000_i1037" type="#_x0000_t75" style="width:258.55pt;height:67.3pt" o:ole="">
            <v:imagedata r:id="rId37" o:title=""/>
          </v:shape>
          <o:OLEObject Type="Embed" ProgID="Equation.3" ShapeID="_x0000_i1037" DrawAspect="Content" ObjectID="_1541423535" r:id="rId38"/>
        </w:object>
      </w:r>
    </w:p>
    <w:p w:rsidR="005C6927" w:rsidRPr="00E62332" w:rsidRDefault="005C6927" w:rsidP="005C6927">
      <w:pPr>
        <w:pStyle w:val="Equationlegend"/>
        <w:rPr>
          <w:lang w:val="fr-FR"/>
        </w:rPr>
      </w:pPr>
      <w:r w:rsidRPr="00E62332">
        <w:rPr>
          <w:lang w:val="fr-FR"/>
        </w:rPr>
        <w:tab/>
      </w:r>
      <w:r w:rsidRPr="00E62332">
        <w:rPr>
          <w:i/>
          <w:iCs/>
          <w:lang w:val="fr-FR"/>
        </w:rPr>
        <w:t>B</w:t>
      </w:r>
      <w:r w:rsidRPr="00E62332">
        <w:rPr>
          <w:i/>
          <w:iCs/>
          <w:vertAlign w:val="subscript"/>
          <w:lang w:val="fr-FR"/>
        </w:rPr>
        <w:t>TD</w:t>
      </w:r>
      <w:r w:rsidRPr="00E62332">
        <w:rPr>
          <w:lang w:val="fr-FR"/>
        </w:rPr>
        <w:t>:</w:t>
      </w:r>
      <w:r w:rsidRPr="00E62332">
        <w:rPr>
          <w:lang w:val="fr-FR"/>
        </w:rPr>
        <w:tab/>
        <w:t>largeur de bande d'émission (Hz) sur laquelle est définie la puissance du signal utile</w:t>
      </w:r>
    </w:p>
    <w:p w:rsidR="005C6927" w:rsidRPr="00E62332" w:rsidRDefault="005C6927" w:rsidP="005C6927">
      <w:pPr>
        <w:pStyle w:val="Equationlegend"/>
        <w:rPr>
          <w:lang w:val="fr-FR"/>
        </w:rPr>
      </w:pPr>
      <w:r w:rsidRPr="00E62332">
        <w:rPr>
          <w:lang w:val="fr-FR"/>
        </w:rPr>
        <w:tab/>
      </w:r>
      <w:r w:rsidRPr="00E62332">
        <w:rPr>
          <w:i/>
          <w:iCs/>
          <w:lang w:val="fr-FR"/>
        </w:rPr>
        <w:t>S</w:t>
      </w:r>
      <w:r w:rsidRPr="00E62332">
        <w:rPr>
          <w:i/>
          <w:iCs/>
          <w:vertAlign w:val="subscript"/>
          <w:lang w:val="fr-FR"/>
        </w:rPr>
        <w:t>x</w:t>
      </w:r>
      <w:r w:rsidRPr="00E62332">
        <w:rPr>
          <w:lang w:val="fr-FR"/>
        </w:rPr>
        <w:t>(</w:t>
      </w:r>
      <w:r w:rsidRPr="00E62332">
        <w:rPr>
          <w:i/>
          <w:iCs/>
          <w:lang w:val="fr-FR"/>
        </w:rPr>
        <w:t>f</w:t>
      </w:r>
      <w:r w:rsidRPr="00E62332">
        <w:rPr>
          <w:lang w:val="fr-FR"/>
        </w:rPr>
        <w:t>):</w:t>
      </w:r>
      <w:r w:rsidRPr="00E62332">
        <w:rPr>
          <w:lang w:val="fr-FR"/>
        </w:rPr>
        <w:tab/>
        <w:t>densité spectrale de puissance symétrique à deux côtés (W/Hz), à la fréquence</w:t>
      </w:r>
      <w:r w:rsidRPr="00E62332">
        <w:rPr>
          <w:rFonts w:eastAsia="MS Mincho"/>
          <w:lang w:val="fr-FR" w:eastAsia="ja-JP"/>
        </w:rPr>
        <w:t xml:space="preserve"> </w:t>
      </w:r>
      <w:r w:rsidRPr="00E62332">
        <w:rPr>
          <w:rFonts w:eastAsia="MS Mincho"/>
          <w:i/>
          <w:iCs/>
          <w:lang w:val="fr-FR" w:eastAsia="ja-JP"/>
        </w:rPr>
        <w:t>f</w:t>
      </w:r>
      <w:r w:rsidRPr="00E62332">
        <w:rPr>
          <w:rFonts w:eastAsia="MS Mincho"/>
          <w:lang w:val="fr-FR" w:eastAsia="ja-JP"/>
        </w:rPr>
        <w:t xml:space="preserve"> (Hz),</w:t>
      </w:r>
      <w:r w:rsidRPr="00E62332">
        <w:rPr>
          <w:lang w:val="fr-FR"/>
        </w:rPr>
        <w:t xml:space="preserve"> du signal utile non filtré</w:t>
      </w:r>
    </w:p>
    <w:p w:rsidR="005C6927" w:rsidRPr="00E62332" w:rsidRDefault="005C6927" w:rsidP="005C6927">
      <w:pPr>
        <w:pStyle w:val="Equationlegend"/>
        <w:rPr>
          <w:lang w:val="fr-FR"/>
        </w:rPr>
      </w:pPr>
      <w:r w:rsidRPr="00E62332">
        <w:rPr>
          <w:lang w:val="fr-FR"/>
        </w:rPr>
        <w:tab/>
      </w:r>
      <w:r w:rsidRPr="00E62332">
        <w:rPr>
          <w:position w:val="-14"/>
          <w:lang w:val="fr-FR"/>
        </w:rPr>
        <w:object w:dxaOrig="800" w:dyaOrig="400">
          <v:shape id="_x0000_i1038" type="#_x0000_t75" style="width:40.2pt;height:20.55pt" o:ole="">
            <v:imagedata r:id="rId39" o:title=""/>
          </v:shape>
          <o:OLEObject Type="Embed" ProgID="Equation.3" ShapeID="_x0000_i1038" DrawAspect="Content" ObjectID="_1541423536" r:id="rId40"/>
        </w:object>
      </w:r>
      <w:r w:rsidRPr="00E62332">
        <w:rPr>
          <w:lang w:val="fr-FR"/>
        </w:rPr>
        <w:t>:</w:t>
      </w:r>
      <w:r w:rsidRPr="00E62332">
        <w:rPr>
          <w:lang w:val="fr-FR"/>
        </w:rPr>
        <w:tab/>
        <w:t xml:space="preserve">densité spectrale de puissance symétrique à deux côtés (W/Hz) normalisée (à l'unité sur la largeur de bande d'émission), à la fréquence </w:t>
      </w:r>
      <w:r w:rsidRPr="00E62332">
        <w:rPr>
          <w:i/>
          <w:iCs/>
          <w:lang w:val="fr-FR"/>
        </w:rPr>
        <w:t>f</w:t>
      </w:r>
      <w:r w:rsidRPr="00E62332">
        <w:rPr>
          <w:lang w:val="fr-FR"/>
        </w:rPr>
        <w:t xml:space="preserve"> (Hz), du </w:t>
      </w:r>
      <w:r w:rsidRPr="00E62332">
        <w:rPr>
          <w:i/>
          <w:iCs/>
          <w:lang w:val="fr-FR"/>
        </w:rPr>
        <w:t>n</w:t>
      </w:r>
      <w:r w:rsidRPr="00E62332">
        <w:rPr>
          <w:lang w:val="fr-FR"/>
        </w:rPr>
        <w:t xml:space="preserve">ième signal brouilleur provenant du </w:t>
      </w:r>
      <w:r w:rsidRPr="00E62332">
        <w:rPr>
          <w:i/>
          <w:iCs/>
          <w:lang w:val="fr-FR"/>
        </w:rPr>
        <w:t>m</w:t>
      </w:r>
      <w:r w:rsidRPr="00E62332">
        <w:rPr>
          <w:lang w:val="fr-FR"/>
        </w:rPr>
        <w:t>ième satellite d'une constellation:</w:t>
      </w:r>
    </w:p>
    <w:p w:rsidR="005C6927" w:rsidRPr="00E62332" w:rsidRDefault="005C6927" w:rsidP="005C6927">
      <w:pPr>
        <w:pStyle w:val="Equation"/>
        <w:jc w:val="left"/>
      </w:pPr>
      <w:r w:rsidRPr="00E62332">
        <w:tab/>
      </w:r>
      <w:r w:rsidRPr="00E62332">
        <w:tab/>
      </w:r>
      <w:r w:rsidRPr="00E62332">
        <w:rPr>
          <w:position w:val="-66"/>
        </w:rPr>
        <w:object w:dxaOrig="5720" w:dyaOrig="1440">
          <v:shape id="_x0000_i1039" type="#_x0000_t75" style="width:285.2pt;height:63.6pt" o:ole="">
            <v:imagedata r:id="rId41" o:title=""/>
          </v:shape>
          <o:OLEObject Type="Embed" ProgID="Equation.3" ShapeID="_x0000_i1039" DrawAspect="Content" ObjectID="_1541423537" r:id="rId42"/>
        </w:object>
      </w:r>
    </w:p>
    <w:p w:rsidR="005C6927" w:rsidRPr="00E62332" w:rsidRDefault="005C6927" w:rsidP="005C6927">
      <w:pPr>
        <w:pStyle w:val="Equationlegend"/>
        <w:rPr>
          <w:rFonts w:eastAsia="MS Mincho"/>
          <w:lang w:val="fr-FR" w:eastAsia="ja-JP"/>
        </w:rPr>
      </w:pPr>
      <w:r w:rsidRPr="00E62332">
        <w:rPr>
          <w:lang w:val="fr-FR"/>
        </w:rPr>
        <w:tab/>
      </w:r>
      <w:r w:rsidRPr="00E62332">
        <w:rPr>
          <w:position w:val="-14"/>
          <w:lang w:val="fr-FR"/>
        </w:rPr>
        <w:object w:dxaOrig="800" w:dyaOrig="380">
          <v:shape id="_x0000_i1040" type="#_x0000_t75" style="width:40.2pt;height:18.7pt" o:ole="">
            <v:imagedata r:id="rId43" o:title=""/>
          </v:shape>
          <o:OLEObject Type="Embed" ProgID="Equation.3" ShapeID="_x0000_i1040" DrawAspect="Content" ObjectID="_1541423538" r:id="rId44"/>
        </w:object>
      </w:r>
      <w:r w:rsidRPr="00E62332">
        <w:rPr>
          <w:lang w:val="fr-FR"/>
        </w:rPr>
        <w:t>:</w:t>
      </w:r>
      <w:r w:rsidRPr="00E62332">
        <w:rPr>
          <w:lang w:val="fr-FR"/>
        </w:rPr>
        <w:tab/>
        <w:t xml:space="preserve">densité spectrale de puissance symétrique à deux côtés (W/Hz), à la fréquence </w:t>
      </w:r>
      <w:r w:rsidRPr="00E62332">
        <w:rPr>
          <w:i/>
          <w:iCs/>
          <w:lang w:val="fr-FR"/>
        </w:rPr>
        <w:t>f</w:t>
      </w:r>
      <w:r w:rsidRPr="00E62332">
        <w:rPr>
          <w:lang w:val="fr-FR"/>
        </w:rPr>
        <w:t xml:space="preserve"> (Hz), du </w:t>
      </w:r>
      <w:r w:rsidRPr="00E62332">
        <w:rPr>
          <w:i/>
          <w:iCs/>
          <w:lang w:val="fr-FR"/>
        </w:rPr>
        <w:t>n</w:t>
      </w:r>
      <w:r w:rsidRPr="00E62332">
        <w:rPr>
          <w:lang w:val="fr-FR"/>
        </w:rPr>
        <w:t xml:space="preserve">ième signal brouilleur non filtré provenant du </w:t>
      </w:r>
      <w:r w:rsidRPr="00E62332">
        <w:rPr>
          <w:i/>
          <w:iCs/>
          <w:lang w:val="fr-FR"/>
        </w:rPr>
        <w:t>m</w:t>
      </w:r>
      <w:r w:rsidRPr="00E62332">
        <w:rPr>
          <w:lang w:val="fr-FR"/>
        </w:rPr>
        <w:t>ième satellite d'une constellation</w:t>
      </w:r>
    </w:p>
    <w:p w:rsidR="005C6927" w:rsidRPr="00E62332" w:rsidRDefault="005C6927" w:rsidP="005C6927">
      <w:pPr>
        <w:pStyle w:val="Equationlegend"/>
        <w:rPr>
          <w:lang w:val="fr-FR"/>
        </w:rPr>
      </w:pPr>
      <w:r w:rsidRPr="00E62332">
        <w:rPr>
          <w:rFonts w:eastAsia="MS Mincho"/>
          <w:lang w:val="fr-FR" w:eastAsia="ja-JP"/>
        </w:rPr>
        <w:tab/>
      </w:r>
      <w:r w:rsidRPr="00E62332">
        <w:rPr>
          <w:rFonts w:eastAsia="MS Mincho"/>
          <w:i/>
          <w:iCs/>
          <w:lang w:val="fr-FR" w:eastAsia="ja-JP"/>
        </w:rPr>
        <w:t>B</w:t>
      </w:r>
      <w:r w:rsidRPr="00E62332">
        <w:rPr>
          <w:rFonts w:eastAsia="MS Mincho"/>
          <w:i/>
          <w:iCs/>
          <w:vertAlign w:val="subscript"/>
          <w:lang w:val="fr-FR" w:eastAsia="ja-JP"/>
        </w:rPr>
        <w:t>T</w:t>
      </w:r>
      <w:r w:rsidRPr="00E62332">
        <w:rPr>
          <w:lang w:val="fr-FR"/>
        </w:rPr>
        <w:t>:</w:t>
      </w:r>
      <w:r w:rsidRPr="00E62332">
        <w:rPr>
          <w:lang w:val="fr-FR"/>
        </w:rPr>
        <w:tab/>
        <w:t>largeur de bande d'émission (Hz) sur laquelle est définie la puissance du signal brouilleur.</w:t>
      </w:r>
    </w:p>
    <w:p w:rsidR="005C6927" w:rsidRPr="00E62332" w:rsidRDefault="005C6927" w:rsidP="005C6927">
      <w:r w:rsidRPr="00E62332">
        <w:t>L</w:t>
      </w:r>
      <w:r w:rsidRPr="00E62332">
        <w:rPr>
          <w:rStyle w:val="ListBulletChar"/>
        </w:rPr>
        <w:t>'é</w:t>
      </w:r>
      <w:r w:rsidRPr="00E62332">
        <w:t xml:space="preserve">quation (2) repose sur une hypothèse implicite: on peut approximer les signaux du SRNS modulés d'un code de bruit pseudo-aléatoire (PRN), représentés par </w:t>
      </w:r>
      <w:r w:rsidRPr="00E62332">
        <w:rPr>
          <w:i/>
          <w:iCs/>
        </w:rPr>
        <w:t>S</w:t>
      </w:r>
      <w:r w:rsidRPr="00E62332">
        <w:t xml:space="preserve">, comme un spectre continu dans le spectre de brouillage cumulatif. Cette hypothèse n'est pas nécessairement vraie pour certains signaux ayant des codes </w:t>
      </w:r>
      <w:r>
        <w:t>«</w:t>
      </w:r>
      <w:r w:rsidRPr="00E62332">
        <w:t>courts</w:t>
      </w:r>
      <w:r>
        <w:t>»</w:t>
      </w:r>
      <w:r w:rsidRPr="00E62332">
        <w:t>. Le § 6 ci-après fournit des informations plus détaillées sur ce point.</w:t>
      </w:r>
    </w:p>
    <w:p w:rsidR="005C6927" w:rsidRPr="00E62332" w:rsidRDefault="005C6927" w:rsidP="005C6927">
      <w:r w:rsidRPr="00E62332">
        <w:t>Soit:</w:t>
      </w:r>
    </w:p>
    <w:p w:rsidR="005C6927" w:rsidRPr="00E62332" w:rsidRDefault="005C6927" w:rsidP="005C6927">
      <w:pPr>
        <w:pStyle w:val="Equationlegend"/>
        <w:rPr>
          <w:lang w:val="fr-FR"/>
        </w:rPr>
      </w:pPr>
      <w:r w:rsidRPr="00E62332">
        <w:rPr>
          <w:lang w:val="fr-FR"/>
        </w:rPr>
        <w:tab/>
      </w:r>
      <w:r w:rsidRPr="00E62332">
        <w:rPr>
          <w:i/>
          <w:iCs/>
          <w:lang w:val="fr-FR"/>
        </w:rPr>
        <w:t>M</w:t>
      </w:r>
      <w:r w:rsidRPr="00E62332">
        <w:rPr>
          <w:i/>
          <w:iCs/>
          <w:vertAlign w:val="subscript"/>
          <w:lang w:val="fr-FR"/>
        </w:rPr>
        <w:t>ref</w:t>
      </w:r>
      <w:r w:rsidRPr="00E62332">
        <w:rPr>
          <w:i/>
          <w:iCs/>
          <w:sz w:val="16"/>
          <w:szCs w:val="16"/>
          <w:vertAlign w:val="subscript"/>
          <w:lang w:val="fr-FR"/>
        </w:rPr>
        <w:t xml:space="preserve"> </w:t>
      </w:r>
      <w:r w:rsidRPr="00E62332">
        <w:rPr>
          <w:lang w:val="fr-FR"/>
        </w:rPr>
        <w:t>:</w:t>
      </w:r>
      <w:r w:rsidRPr="00E62332">
        <w:rPr>
          <w:lang w:val="fr-FR"/>
        </w:rPr>
        <w:tab/>
        <w:t>nombre de satellites visibles dans la constellation de satellites de référence</w:t>
      </w:r>
    </w:p>
    <w:p w:rsidR="005C6927" w:rsidRPr="00E62332" w:rsidRDefault="005C6927" w:rsidP="005C6927">
      <w:pPr>
        <w:pStyle w:val="Equationlegend"/>
        <w:rPr>
          <w:lang w:val="fr-FR"/>
        </w:rPr>
      </w:pPr>
      <w:r w:rsidRPr="00E62332">
        <w:rPr>
          <w:lang w:val="fr-FR"/>
        </w:rPr>
        <w:tab/>
      </w:r>
      <w:r w:rsidRPr="00E62332">
        <w:rPr>
          <w:i/>
          <w:iCs/>
          <w:lang w:val="fr-FR"/>
        </w:rPr>
        <w:t>N</w:t>
      </w:r>
      <w:r w:rsidRPr="00E62332">
        <w:rPr>
          <w:i/>
          <w:iCs/>
          <w:vertAlign w:val="subscript"/>
          <w:lang w:val="fr-FR"/>
        </w:rPr>
        <w:t>ref,m</w:t>
      </w:r>
      <w:r w:rsidRPr="00E62332">
        <w:rPr>
          <w:i/>
          <w:iCs/>
          <w:sz w:val="16"/>
          <w:szCs w:val="16"/>
          <w:vertAlign w:val="subscript"/>
          <w:lang w:val="fr-FR"/>
        </w:rPr>
        <w:t xml:space="preserve"> </w:t>
      </w:r>
      <w:r w:rsidRPr="00E62332">
        <w:rPr>
          <w:lang w:val="fr-FR"/>
        </w:rPr>
        <w:t>:</w:t>
      </w:r>
      <w:r w:rsidRPr="00E62332">
        <w:rPr>
          <w:vertAlign w:val="subscript"/>
          <w:lang w:val="fr-FR"/>
        </w:rPr>
        <w:tab/>
      </w:r>
      <w:r w:rsidRPr="00E62332">
        <w:rPr>
          <w:lang w:val="fr-FR"/>
        </w:rPr>
        <w:t xml:space="preserve">nombre de signaux brouilleurs (non compris le signal utile émanant du satellite utile) émis par le </w:t>
      </w:r>
      <w:r w:rsidRPr="00E62332">
        <w:rPr>
          <w:i/>
          <w:iCs/>
          <w:lang w:val="fr-FR"/>
        </w:rPr>
        <w:t>m</w:t>
      </w:r>
      <w:r w:rsidRPr="00E62332">
        <w:rPr>
          <w:lang w:val="fr-FR"/>
        </w:rPr>
        <w:t>ième satellite de la constellation de référence</w:t>
      </w:r>
    </w:p>
    <w:p w:rsidR="005C6927" w:rsidRPr="00E62332" w:rsidRDefault="005C6927" w:rsidP="005C6927">
      <w:pPr>
        <w:pStyle w:val="Equationlegend"/>
        <w:rPr>
          <w:lang w:val="fr-FR"/>
        </w:rPr>
      </w:pPr>
      <w:r w:rsidRPr="00E62332">
        <w:rPr>
          <w:lang w:val="fr-FR"/>
        </w:rPr>
        <w:tab/>
      </w:r>
      <w:r w:rsidRPr="00E62332">
        <w:rPr>
          <w:i/>
          <w:iCs/>
          <w:lang w:val="fr-FR"/>
        </w:rPr>
        <w:t>M</w:t>
      </w:r>
      <w:r w:rsidRPr="00E62332">
        <w:rPr>
          <w:i/>
          <w:iCs/>
          <w:vertAlign w:val="subscript"/>
          <w:lang w:val="fr-FR"/>
        </w:rPr>
        <w:t>alt</w:t>
      </w:r>
      <w:r w:rsidRPr="00E62332">
        <w:rPr>
          <w:lang w:val="fr-FR"/>
        </w:rPr>
        <w:t>:</w:t>
      </w:r>
      <w:r w:rsidRPr="00E62332">
        <w:rPr>
          <w:lang w:val="fr-FR"/>
        </w:rPr>
        <w:tab/>
        <w:t>nombre de satellites SRNS visibles dans l'autre constellation de satellites</w:t>
      </w:r>
    </w:p>
    <w:p w:rsidR="005C6927" w:rsidRPr="00E62332" w:rsidRDefault="005C6927" w:rsidP="005C6927">
      <w:pPr>
        <w:pStyle w:val="Equationlegend"/>
        <w:rPr>
          <w:lang w:val="fr-FR"/>
        </w:rPr>
      </w:pPr>
      <w:r w:rsidRPr="00E62332">
        <w:rPr>
          <w:lang w:val="fr-FR"/>
        </w:rPr>
        <w:lastRenderedPageBreak/>
        <w:tab/>
      </w:r>
      <w:r w:rsidRPr="00E62332">
        <w:rPr>
          <w:i/>
          <w:iCs/>
          <w:lang w:val="fr-FR"/>
        </w:rPr>
        <w:t>N</w:t>
      </w:r>
      <w:r w:rsidRPr="00E62332">
        <w:rPr>
          <w:i/>
          <w:iCs/>
          <w:vertAlign w:val="subscript"/>
          <w:lang w:val="fr-FR"/>
        </w:rPr>
        <w:t>alt,m</w:t>
      </w:r>
      <w:r w:rsidRPr="00E62332">
        <w:rPr>
          <w:lang w:val="fr-FR"/>
        </w:rPr>
        <w:t>:</w:t>
      </w:r>
      <w:r w:rsidRPr="00E62332">
        <w:rPr>
          <w:lang w:val="fr-FR"/>
        </w:rPr>
        <w:tab/>
        <w:t xml:space="preserve">nombre de signaux brouilleurs émis par le </w:t>
      </w:r>
      <w:r w:rsidRPr="00E62332">
        <w:rPr>
          <w:i/>
          <w:iCs/>
          <w:lang w:val="fr-FR"/>
        </w:rPr>
        <w:t>m</w:t>
      </w:r>
      <w:r w:rsidRPr="00E62332">
        <w:rPr>
          <w:lang w:val="fr-FR"/>
        </w:rPr>
        <w:t>ième satellite de l'autre constellation de satellites (ce nombre peut être supposé constant pour tous les satellites de l'autre constellation si l'on considère que la puissance d'un signal absent est nulle)</w:t>
      </w:r>
    </w:p>
    <w:p w:rsidR="005C6927" w:rsidRPr="00E62332" w:rsidRDefault="005C6927" w:rsidP="005C6927">
      <w:pPr>
        <w:pStyle w:val="Equationlegend"/>
        <w:rPr>
          <w:lang w:val="fr-FR"/>
        </w:rPr>
      </w:pPr>
      <w:r w:rsidRPr="00E62332">
        <w:rPr>
          <w:lang w:val="fr-FR"/>
        </w:rPr>
        <w:tab/>
      </w:r>
      <w:r w:rsidRPr="00E62332">
        <w:rPr>
          <w:i/>
          <w:iCs/>
          <w:lang w:val="fr-FR"/>
        </w:rPr>
        <w:t>M</w:t>
      </w:r>
      <w:r w:rsidRPr="00E62332">
        <w:rPr>
          <w:i/>
          <w:iCs/>
          <w:vertAlign w:val="subscript"/>
          <w:lang w:val="fr-FR"/>
        </w:rPr>
        <w:t>rem</w:t>
      </w:r>
      <w:r w:rsidRPr="00E62332">
        <w:rPr>
          <w:lang w:val="fr-FR"/>
        </w:rPr>
        <w:t>:</w:t>
      </w:r>
      <w:r w:rsidRPr="00E62332">
        <w:rPr>
          <w:lang w:val="fr-FR"/>
        </w:rPr>
        <w:tab/>
        <w:t>nombre de satellites SRNS visibles qui n'appartiennent ni à la constellation de référence, ni à l'autre constellation de satellites</w:t>
      </w:r>
    </w:p>
    <w:p w:rsidR="005C6927" w:rsidRPr="00E62332" w:rsidRDefault="005C6927" w:rsidP="005C6927">
      <w:pPr>
        <w:pStyle w:val="Equationlegend"/>
        <w:rPr>
          <w:lang w:val="fr-FR"/>
        </w:rPr>
      </w:pPr>
      <w:r w:rsidRPr="00E62332">
        <w:rPr>
          <w:lang w:val="fr-FR"/>
        </w:rPr>
        <w:tab/>
      </w:r>
      <w:r w:rsidRPr="00E62332">
        <w:rPr>
          <w:i/>
          <w:iCs/>
          <w:lang w:val="fr-FR"/>
        </w:rPr>
        <w:t>N</w:t>
      </w:r>
      <w:r w:rsidRPr="00E62332">
        <w:rPr>
          <w:i/>
          <w:iCs/>
          <w:vertAlign w:val="subscript"/>
          <w:lang w:val="fr-FR"/>
        </w:rPr>
        <w:t>rem,m</w:t>
      </w:r>
      <w:r w:rsidRPr="00E62332">
        <w:rPr>
          <w:lang w:val="fr-FR"/>
        </w:rPr>
        <w:t>:</w:t>
      </w:r>
      <w:r w:rsidRPr="00E62332">
        <w:rPr>
          <w:lang w:val="fr-FR"/>
        </w:rPr>
        <w:tab/>
        <w:t xml:space="preserve">nombre de signaux brouilleurs émis par le </w:t>
      </w:r>
      <w:r w:rsidRPr="00E62332">
        <w:rPr>
          <w:i/>
          <w:iCs/>
          <w:lang w:val="fr-FR"/>
        </w:rPr>
        <w:t>m</w:t>
      </w:r>
      <w:r w:rsidRPr="00E62332">
        <w:rPr>
          <w:lang w:val="fr-FR"/>
        </w:rPr>
        <w:t>ième satellite qui n'appartient ni à la constellation de référence, ni à l'autre constellation</w:t>
      </w:r>
    </w:p>
    <w:p w:rsidR="005C6927" w:rsidRPr="00E62332" w:rsidRDefault="005C6927" w:rsidP="005C6927">
      <w:pPr>
        <w:pStyle w:val="Equationlegend"/>
        <w:rPr>
          <w:lang w:val="fr-FR"/>
        </w:rPr>
      </w:pPr>
      <w:r w:rsidRPr="00E62332">
        <w:rPr>
          <w:lang w:val="fr-FR"/>
        </w:rPr>
        <w:tab/>
      </w:r>
      <w:r w:rsidRPr="00E62332">
        <w:rPr>
          <w:position w:val="-14"/>
          <w:lang w:val="fr-FR"/>
        </w:rPr>
        <w:object w:dxaOrig="480" w:dyaOrig="440">
          <v:shape id="_x0000_i1041" type="#_x0000_t75" style="width:23.85pt;height:21.95pt" o:ole="">
            <v:imagedata r:id="rId45" o:title=""/>
          </v:shape>
          <o:OLEObject Type="Embed" ProgID="Equation.3" ShapeID="_x0000_i1041" DrawAspect="Content" ObjectID="_1541423539" r:id="rId46"/>
        </w:object>
      </w:r>
      <w:r w:rsidRPr="00E62332">
        <w:rPr>
          <w:lang w:val="fr-FR"/>
        </w:rPr>
        <w:t>:</w:t>
      </w:r>
      <w:r w:rsidRPr="00E62332">
        <w:rPr>
          <w:lang w:val="fr-FR"/>
        </w:rPr>
        <w:tab/>
        <w:t xml:space="preserve">puissance de brouillage maximale (W) du </w:t>
      </w:r>
      <w:r w:rsidRPr="00E62332">
        <w:rPr>
          <w:i/>
          <w:iCs/>
          <w:lang w:val="fr-FR"/>
        </w:rPr>
        <w:t>n</w:t>
      </w:r>
      <w:r w:rsidRPr="00E62332">
        <w:rPr>
          <w:lang w:val="fr-FR"/>
        </w:rPr>
        <w:t xml:space="preserve">ième signal brouilleur du </w:t>
      </w:r>
      <w:r w:rsidRPr="00E62332">
        <w:rPr>
          <w:i/>
          <w:iCs/>
          <w:lang w:val="fr-FR"/>
        </w:rPr>
        <w:t>m</w:t>
      </w:r>
      <w:r w:rsidRPr="00E62332">
        <w:rPr>
          <w:lang w:val="fr-FR"/>
        </w:rPr>
        <w:t>ième satellite de la constellation de référence</w:t>
      </w:r>
    </w:p>
    <w:p w:rsidR="005C6927" w:rsidRPr="00E62332" w:rsidRDefault="005C6927" w:rsidP="005C6927">
      <w:pPr>
        <w:pStyle w:val="Equationlegend"/>
        <w:rPr>
          <w:lang w:val="fr-FR"/>
        </w:rPr>
      </w:pPr>
      <w:r w:rsidRPr="00E62332">
        <w:rPr>
          <w:lang w:val="fr-FR"/>
        </w:rPr>
        <w:tab/>
      </w:r>
      <w:r w:rsidRPr="00E62332">
        <w:rPr>
          <w:position w:val="-14"/>
          <w:lang w:val="fr-FR"/>
        </w:rPr>
        <w:object w:dxaOrig="440" w:dyaOrig="400">
          <v:shape id="_x0000_i1042" type="#_x0000_t75" style="width:21.95pt;height:20.55pt" o:ole="">
            <v:imagedata r:id="rId47" o:title=""/>
          </v:shape>
          <o:OLEObject Type="Embed" ProgID="Equation.3" ShapeID="_x0000_i1042" DrawAspect="Content" ObjectID="_1541423540" r:id="rId48"/>
        </w:object>
      </w:r>
      <w:r w:rsidRPr="00E62332">
        <w:rPr>
          <w:lang w:val="fr-FR"/>
        </w:rPr>
        <w:t>:</w:t>
      </w:r>
      <w:r w:rsidRPr="00E62332">
        <w:rPr>
          <w:lang w:val="fr-FR"/>
        </w:rPr>
        <w:tab/>
        <w:t xml:space="preserve">affaiblissement de traitement (sans dimension) du </w:t>
      </w:r>
      <w:r w:rsidRPr="00E62332">
        <w:rPr>
          <w:i/>
          <w:lang w:val="fr-FR"/>
        </w:rPr>
        <w:t>n</w:t>
      </w:r>
      <w:r w:rsidRPr="00E62332">
        <w:rPr>
          <w:lang w:val="fr-FR"/>
        </w:rPr>
        <w:t xml:space="preserve">ième signal brouilleur du </w:t>
      </w:r>
      <w:r w:rsidRPr="00E62332">
        <w:rPr>
          <w:i/>
          <w:lang w:val="fr-FR"/>
        </w:rPr>
        <w:t>m</w:t>
      </w:r>
      <w:r w:rsidRPr="00E62332">
        <w:rPr>
          <w:lang w:val="fr-FR"/>
        </w:rPr>
        <w:t>ième satellite de la constellation de référence</w:t>
      </w:r>
    </w:p>
    <w:p w:rsidR="005C6927" w:rsidRPr="00E62332" w:rsidRDefault="005C6927" w:rsidP="005C6927">
      <w:pPr>
        <w:pStyle w:val="Equationlegend"/>
        <w:rPr>
          <w:lang w:val="fr-FR"/>
        </w:rPr>
      </w:pPr>
      <w:r w:rsidRPr="00E62332">
        <w:rPr>
          <w:lang w:val="fr-FR"/>
        </w:rPr>
        <w:tab/>
      </w:r>
      <w:r w:rsidRPr="00E62332">
        <w:rPr>
          <w:position w:val="-14"/>
          <w:lang w:val="fr-FR"/>
        </w:rPr>
        <w:object w:dxaOrig="480" w:dyaOrig="440">
          <v:shape id="_x0000_i1043" type="#_x0000_t75" style="width:23.85pt;height:21.95pt" o:ole="">
            <v:imagedata r:id="rId49" o:title=""/>
          </v:shape>
          <o:OLEObject Type="Embed" ProgID="Equation.3" ShapeID="_x0000_i1043" DrawAspect="Content" ObjectID="_1541423541" r:id="rId50"/>
        </w:object>
      </w:r>
      <w:r w:rsidRPr="00E62332">
        <w:rPr>
          <w:lang w:val="fr-FR"/>
        </w:rPr>
        <w:t>:</w:t>
      </w:r>
      <w:r w:rsidRPr="00E62332">
        <w:rPr>
          <w:lang w:val="fr-FR"/>
        </w:rPr>
        <w:tab/>
        <w:t xml:space="preserve">puissance de brouillage maximale (W) du </w:t>
      </w:r>
      <w:r w:rsidRPr="00E62332">
        <w:rPr>
          <w:i/>
          <w:lang w:val="fr-FR"/>
        </w:rPr>
        <w:t>n</w:t>
      </w:r>
      <w:r w:rsidRPr="00E62332">
        <w:rPr>
          <w:lang w:val="fr-FR"/>
        </w:rPr>
        <w:t xml:space="preserve">ième signal du </w:t>
      </w:r>
      <w:r w:rsidRPr="00E62332">
        <w:rPr>
          <w:i/>
          <w:lang w:val="fr-FR"/>
        </w:rPr>
        <w:t>m</w:t>
      </w:r>
      <w:r w:rsidRPr="00E62332">
        <w:rPr>
          <w:lang w:val="fr-FR"/>
        </w:rPr>
        <w:t>ième satellite de l'autre constellation</w:t>
      </w:r>
    </w:p>
    <w:p w:rsidR="005C6927" w:rsidRPr="00E62332" w:rsidRDefault="005C6927" w:rsidP="005C6927">
      <w:pPr>
        <w:pStyle w:val="Equationlegend"/>
        <w:rPr>
          <w:lang w:val="fr-FR"/>
        </w:rPr>
      </w:pPr>
      <w:r w:rsidRPr="00E62332">
        <w:rPr>
          <w:lang w:val="fr-FR"/>
        </w:rPr>
        <w:tab/>
      </w:r>
      <w:r w:rsidRPr="00E62332">
        <w:rPr>
          <w:position w:val="-14"/>
          <w:lang w:val="fr-FR"/>
        </w:rPr>
        <w:object w:dxaOrig="480" w:dyaOrig="440">
          <v:shape id="_x0000_i1044" type="#_x0000_t75" style="width:23.85pt;height:21.95pt" o:ole="">
            <v:imagedata r:id="rId51" o:title=""/>
          </v:shape>
          <o:OLEObject Type="Embed" ProgID="Equation.3" ShapeID="_x0000_i1044" DrawAspect="Content" ObjectID="_1541423542" r:id="rId52"/>
        </w:object>
      </w:r>
      <w:r w:rsidRPr="00E62332">
        <w:rPr>
          <w:lang w:val="fr-FR"/>
        </w:rPr>
        <w:t>:</w:t>
      </w:r>
      <w:r w:rsidRPr="00E62332">
        <w:rPr>
          <w:lang w:val="fr-FR"/>
        </w:rPr>
        <w:tab/>
        <w:t xml:space="preserve">affaiblissement de traitement (sans dimension) du </w:t>
      </w:r>
      <w:r w:rsidRPr="00E62332">
        <w:rPr>
          <w:i/>
          <w:lang w:val="fr-FR"/>
        </w:rPr>
        <w:t>n</w:t>
      </w:r>
      <w:r w:rsidRPr="00E62332">
        <w:rPr>
          <w:lang w:val="fr-FR"/>
        </w:rPr>
        <w:t xml:space="preserve">ième signal du </w:t>
      </w:r>
      <w:r w:rsidRPr="00E62332">
        <w:rPr>
          <w:i/>
          <w:lang w:val="fr-FR"/>
        </w:rPr>
        <w:t>m</w:t>
      </w:r>
      <w:r w:rsidRPr="00E62332">
        <w:rPr>
          <w:lang w:val="fr-FR"/>
        </w:rPr>
        <w:t>ième satellite de l'autre constellation</w:t>
      </w:r>
    </w:p>
    <w:p w:rsidR="005C6927" w:rsidRPr="00E62332" w:rsidRDefault="005C6927" w:rsidP="005C6927">
      <w:pPr>
        <w:pStyle w:val="Equationlegend"/>
        <w:rPr>
          <w:lang w:val="fr-FR"/>
        </w:rPr>
      </w:pPr>
      <w:r w:rsidRPr="00E62332">
        <w:rPr>
          <w:lang w:val="fr-FR"/>
        </w:rPr>
        <w:tab/>
      </w:r>
      <w:r w:rsidRPr="00E62332">
        <w:rPr>
          <w:position w:val="-14"/>
          <w:lang w:val="fr-FR"/>
        </w:rPr>
        <w:object w:dxaOrig="520" w:dyaOrig="440">
          <v:shape id="_x0000_i1045" type="#_x0000_t75" style="width:27.1pt;height:21.95pt" o:ole="">
            <v:imagedata r:id="rId53" o:title=""/>
          </v:shape>
          <o:OLEObject Type="Embed" ProgID="Equation.3" ShapeID="_x0000_i1045" DrawAspect="Content" ObjectID="_1541423543" r:id="rId54"/>
        </w:object>
      </w:r>
      <w:r w:rsidRPr="00E62332">
        <w:rPr>
          <w:lang w:val="fr-FR"/>
        </w:rPr>
        <w:t>:</w:t>
      </w:r>
      <w:r w:rsidRPr="00E62332">
        <w:rPr>
          <w:lang w:val="fr-FR"/>
        </w:rPr>
        <w:tab/>
        <w:t xml:space="preserve">puissance de brouillage maximale (W) du </w:t>
      </w:r>
      <w:r w:rsidRPr="00E62332">
        <w:rPr>
          <w:i/>
          <w:lang w:val="fr-FR"/>
        </w:rPr>
        <w:t>n</w:t>
      </w:r>
      <w:r w:rsidRPr="00E62332">
        <w:rPr>
          <w:lang w:val="fr-FR"/>
        </w:rPr>
        <w:t xml:space="preserve">ième signal du </w:t>
      </w:r>
      <w:r w:rsidRPr="00E62332">
        <w:rPr>
          <w:i/>
          <w:lang w:val="fr-FR"/>
        </w:rPr>
        <w:t>m</w:t>
      </w:r>
      <w:r w:rsidRPr="00E62332">
        <w:rPr>
          <w:lang w:val="fr-FR"/>
        </w:rPr>
        <w:t>ième satellite des constellations SRNS restantes</w:t>
      </w:r>
    </w:p>
    <w:p w:rsidR="005C6927" w:rsidRPr="00E62332" w:rsidRDefault="005C6927" w:rsidP="005C6927">
      <w:pPr>
        <w:pStyle w:val="Equationlegend"/>
        <w:rPr>
          <w:lang w:val="fr-FR"/>
        </w:rPr>
      </w:pPr>
      <w:r w:rsidRPr="00E62332">
        <w:rPr>
          <w:lang w:val="fr-FR"/>
        </w:rPr>
        <w:tab/>
      </w:r>
      <w:r w:rsidRPr="00E62332">
        <w:rPr>
          <w:position w:val="-14"/>
          <w:lang w:val="fr-FR"/>
        </w:rPr>
        <w:object w:dxaOrig="480" w:dyaOrig="440">
          <v:shape id="_x0000_i1046" type="#_x0000_t75" style="width:23.85pt;height:21.95pt" o:ole="">
            <v:imagedata r:id="rId55" o:title=""/>
          </v:shape>
          <o:OLEObject Type="Embed" ProgID="Equation.3" ShapeID="_x0000_i1046" DrawAspect="Content" ObjectID="_1541423544" r:id="rId56"/>
        </w:object>
      </w:r>
      <w:r w:rsidRPr="00E62332">
        <w:rPr>
          <w:lang w:val="fr-FR"/>
        </w:rPr>
        <w:t>:</w:t>
      </w:r>
      <w:r w:rsidRPr="00E62332">
        <w:rPr>
          <w:lang w:val="fr-FR"/>
        </w:rPr>
        <w:tab/>
        <w:t xml:space="preserve">affaiblissement de traitement (sans dimension) du </w:t>
      </w:r>
      <w:r w:rsidRPr="00E62332">
        <w:rPr>
          <w:i/>
          <w:lang w:val="fr-FR"/>
        </w:rPr>
        <w:t>n</w:t>
      </w:r>
      <w:r w:rsidRPr="00E62332">
        <w:rPr>
          <w:lang w:val="fr-FR"/>
        </w:rPr>
        <w:t xml:space="preserve">ième signal du </w:t>
      </w:r>
      <w:r w:rsidRPr="00E62332">
        <w:rPr>
          <w:i/>
          <w:lang w:val="fr-FR"/>
        </w:rPr>
        <w:t>m</w:t>
      </w:r>
      <w:r w:rsidRPr="00E62332">
        <w:rPr>
          <w:lang w:val="fr-FR"/>
        </w:rPr>
        <w:t>ième satellite des constellations SRNS restantes.</w:t>
      </w:r>
    </w:p>
    <w:p w:rsidR="005C6927" w:rsidRPr="00E62332" w:rsidRDefault="005C6927" w:rsidP="005C6927">
      <w:r w:rsidRPr="00E62332">
        <w:t>Avec ces définitions, on peut établir les équations de calcul de la densité spectrale de puissance de brouillage effective, à la réception, produite par la constellation de référence, l'autre constellation et les constellations restantes:</w:t>
      </w:r>
    </w:p>
    <w:p w:rsidR="005C6927" w:rsidRPr="00E62332" w:rsidRDefault="005C6927" w:rsidP="005C6927">
      <w:pPr>
        <w:pStyle w:val="Blanc"/>
        <w:jc w:val="left"/>
        <w:rPr>
          <w:lang w:val="fr-FR"/>
        </w:rPr>
      </w:pPr>
    </w:p>
    <w:p w:rsidR="005C6927" w:rsidRPr="00E62332" w:rsidRDefault="005C6927" w:rsidP="005C6927">
      <w:pPr>
        <w:pStyle w:val="Equation"/>
      </w:pPr>
      <w:r w:rsidRPr="00E62332">
        <w:tab/>
      </w:r>
      <w:r w:rsidRPr="00E62332">
        <w:tab/>
      </w:r>
      <w:r w:rsidRPr="00E62332">
        <w:rPr>
          <w:position w:val="-32"/>
        </w:rPr>
        <w:object w:dxaOrig="2260" w:dyaOrig="760">
          <v:shape id="_x0000_i1047" type="#_x0000_t75" style="width:112.7pt;height:33.65pt" o:ole="">
            <v:imagedata r:id="rId57" o:title=""/>
          </v:shape>
          <o:OLEObject Type="Embed" ProgID="Equation.3" ShapeID="_x0000_i1047" DrawAspect="Content" ObjectID="_1541423545" r:id="rId58"/>
        </w:object>
      </w:r>
      <w:r w:rsidRPr="00E62332">
        <w:tab/>
        <w:t>(3)</w:t>
      </w:r>
    </w:p>
    <w:p w:rsidR="005C6927" w:rsidRPr="00E62332" w:rsidRDefault="005C6927" w:rsidP="005C6927">
      <w:pPr>
        <w:pStyle w:val="Blanc"/>
        <w:jc w:val="left"/>
        <w:rPr>
          <w:lang w:val="fr-FR"/>
        </w:rPr>
      </w:pPr>
    </w:p>
    <w:p w:rsidR="005C6927" w:rsidRPr="00E62332" w:rsidRDefault="005C6927" w:rsidP="005C6927">
      <w:pPr>
        <w:pStyle w:val="Equation"/>
      </w:pPr>
      <w:r w:rsidRPr="00E62332">
        <w:tab/>
      </w:r>
      <w:r w:rsidRPr="00E62332">
        <w:tab/>
      </w:r>
      <w:r w:rsidRPr="00E62332">
        <w:rPr>
          <w:position w:val="-36"/>
        </w:rPr>
        <w:object w:dxaOrig="2460" w:dyaOrig="840">
          <v:shape id="_x0000_i1048" type="#_x0000_t75" style="width:122.95pt;height:36.95pt" o:ole="">
            <v:imagedata r:id="rId59" o:title=""/>
          </v:shape>
          <o:OLEObject Type="Embed" ProgID="Equation.3" ShapeID="_x0000_i1048" DrawAspect="Content" ObjectID="_1541423546" r:id="rId60"/>
        </w:object>
      </w:r>
      <w:r w:rsidRPr="00E62332">
        <w:tab/>
        <w:t>(</w:t>
      </w:r>
      <w:r w:rsidRPr="00E62332">
        <w:rPr>
          <w:noProof/>
        </w:rPr>
        <w:t>4</w:t>
      </w:r>
      <w:r w:rsidRPr="00E62332">
        <w:t>)</w:t>
      </w:r>
    </w:p>
    <w:p w:rsidR="005C6927" w:rsidRPr="00E62332" w:rsidRDefault="005C6927" w:rsidP="005C6927">
      <w:pPr>
        <w:pStyle w:val="Blanc"/>
        <w:jc w:val="left"/>
        <w:rPr>
          <w:lang w:val="fr-FR"/>
        </w:rPr>
      </w:pPr>
    </w:p>
    <w:p w:rsidR="005C6927" w:rsidRPr="00E62332" w:rsidRDefault="005C6927" w:rsidP="005C6927">
      <w:pPr>
        <w:pStyle w:val="Equation"/>
      </w:pPr>
      <w:r w:rsidRPr="00E62332">
        <w:tab/>
      </w:r>
      <w:r w:rsidRPr="00E62332">
        <w:tab/>
      </w:r>
      <w:r w:rsidRPr="00E62332">
        <w:rPr>
          <w:position w:val="-36"/>
        </w:rPr>
        <w:object w:dxaOrig="2680" w:dyaOrig="840">
          <v:shape id="_x0000_i1049" type="#_x0000_t75" style="width:134.2pt;height:36.95pt" o:ole="">
            <v:imagedata r:id="rId61" o:title=""/>
          </v:shape>
          <o:OLEObject Type="Embed" ProgID="Equation.3" ShapeID="_x0000_i1049" DrawAspect="Content" ObjectID="_1541423547" r:id="rId62"/>
        </w:object>
      </w:r>
      <w:r w:rsidRPr="00E62332">
        <w:tab/>
        <w:t>(</w:t>
      </w:r>
      <w:r w:rsidRPr="00E62332">
        <w:rPr>
          <w:noProof/>
        </w:rPr>
        <w:t>5</w:t>
      </w:r>
      <w:r w:rsidRPr="00E62332">
        <w:t>)</w:t>
      </w:r>
    </w:p>
    <w:p w:rsidR="005C6927" w:rsidRPr="00E62332" w:rsidRDefault="005C6927" w:rsidP="005C6927">
      <w:r w:rsidRPr="00E62332">
        <w:t>A l'aide des équations (</w:t>
      </w:r>
      <w:r w:rsidRPr="00E62332">
        <w:rPr>
          <w:bCs/>
        </w:rPr>
        <w:t>1) à (</w:t>
      </w:r>
      <w:r w:rsidRPr="00E62332">
        <w:t xml:space="preserve">5), on peut calculer le ratio </w:t>
      </w:r>
      <w:r w:rsidRPr="00E62332">
        <w:rPr>
          <w:position w:val="-12"/>
        </w:rPr>
        <w:object w:dxaOrig="660" w:dyaOrig="360">
          <v:shape id="_x0000_i1050" type="#_x0000_t75" style="width:33.65pt;height:17.3pt" o:ole="">
            <v:imagedata r:id="rId17" o:title=""/>
          </v:shape>
          <o:OLEObject Type="Embed" ProgID="Equation.3" ShapeID="_x0000_i1050" DrawAspect="Content" ObjectID="_1541423548" r:id="rId63"/>
        </w:object>
      </w:r>
      <w:r w:rsidRPr="00E62332">
        <w:t xml:space="preserve"> de densité effective porteuse/bruit. On compare alors la valeur obtenue à une valeur seuil de </w:t>
      </w:r>
      <w:r w:rsidRPr="00E62332">
        <w:rPr>
          <w:position w:val="-12"/>
        </w:rPr>
        <w:object w:dxaOrig="660" w:dyaOrig="360">
          <v:shape id="_x0000_i1051" type="#_x0000_t75" style="width:33.65pt;height:17.3pt" o:ole="">
            <v:imagedata r:id="rId17" o:title=""/>
          </v:shape>
          <o:OLEObject Type="Embed" ProgID="Equation.3" ShapeID="_x0000_i1051" DrawAspect="Content" ObjectID="_1541423549" r:id="rId64"/>
        </w:object>
      </w:r>
      <w:r w:rsidRPr="00E62332">
        <w:t xml:space="preserve"> établie en fonction des éléments suivants: mode de réception, acquisition du code, suivi du code, poursuite de la porteuse et démodulation des données, afin de mesurer l'effet des brouillages.</w:t>
      </w:r>
    </w:p>
    <w:p w:rsidR="005C6927" w:rsidRPr="00E62332" w:rsidRDefault="005C6927" w:rsidP="005C6927">
      <w:r w:rsidRPr="00E62332">
        <w:t>On peut utiliser d'autres méthodes fondées sur le rapport porteuse/bruit (</w:t>
      </w:r>
      <w:r w:rsidRPr="00E62332">
        <w:rPr>
          <w:position w:val="-12"/>
        </w:rPr>
        <w:object w:dxaOrig="660" w:dyaOrig="360">
          <v:shape id="_x0000_i1052" type="#_x0000_t75" style="width:33.65pt;height:17.3pt" o:ole="">
            <v:imagedata r:id="rId17" o:title=""/>
          </v:shape>
          <o:OLEObject Type="Embed" ProgID="Equation.3" ShapeID="_x0000_i1052" DrawAspect="Content" ObjectID="_1541423550" r:id="rId65"/>
        </w:object>
      </w:r>
      <w:r w:rsidRPr="00E62332">
        <w:t>) effectif, et notamment la dégradation de ce ratio occasionnée par une seule autre constellation donnée. Le degré d'interopérabilité entre signaux, ou les propriétés spécifiques de corrélation des codes entre systèmes, peuvent également être pris en considération. On trouvera des exemples d'application de ces mesures au § 5.2.</w:t>
      </w:r>
    </w:p>
    <w:p w:rsidR="005C6927" w:rsidRPr="00E62332" w:rsidRDefault="005C6927" w:rsidP="005C6927">
      <w:pPr>
        <w:pStyle w:val="Heading1"/>
      </w:pPr>
      <w:bookmarkStart w:id="7" w:name="_Toc467049663"/>
      <w:r w:rsidRPr="00E62332">
        <w:lastRenderedPageBreak/>
        <w:t>3</w:t>
      </w:r>
      <w:r w:rsidRPr="00E62332">
        <w:tab/>
        <w:t>Données utilisées dans les calculs</w:t>
      </w:r>
      <w:bookmarkEnd w:id="7"/>
    </w:p>
    <w:p w:rsidR="005C6927" w:rsidRPr="00E62332" w:rsidRDefault="005C6927" w:rsidP="005C6927">
      <w:r w:rsidRPr="00E62332">
        <w:t>Les données utilisées dans les calculs sont mesurées, déterminées par voie de simulation ou corrigées pour donner des résultats correspondant à l'expérience. De plus, les calculs de ces valeurs pour chaque satellite et chaque signal sont généralement établis par simulation sur une période de temps et sur un domaine d'intérêt précis, ce qui permet d'obtenir des données d'analyse des valeurs de brouillage entre systèmes.</w:t>
      </w:r>
    </w:p>
    <w:p w:rsidR="005C6927" w:rsidRPr="00E62332" w:rsidRDefault="005C6927" w:rsidP="005C6927">
      <w:r w:rsidRPr="00E62332">
        <w:t>Les sous-sections suivantes fournissent un complément d'information sur l'obtention des données de calcul.</w:t>
      </w:r>
    </w:p>
    <w:p w:rsidR="005C6927" w:rsidRPr="00E62332" w:rsidRDefault="005C6927" w:rsidP="005C6927">
      <w:pPr>
        <w:pStyle w:val="Heading2"/>
        <w:rPr>
          <w:sz w:val="22"/>
        </w:rPr>
      </w:pPr>
      <w:bookmarkStart w:id="8" w:name="_Toc467049664"/>
      <w:r w:rsidRPr="00E62332">
        <w:t>3.1</w:t>
      </w:r>
      <w:r w:rsidRPr="00E62332">
        <w:tab/>
        <w:t>Modélisation des constellations et des émetteurs de satellite</w:t>
      </w:r>
      <w:bookmarkEnd w:id="8"/>
    </w:p>
    <w:p w:rsidR="005C6927" w:rsidRDefault="005C6927" w:rsidP="005C6927">
      <w:r w:rsidRPr="00E62332">
        <w:t xml:space="preserve">On utilise des modèles de simulation dynamique des constellations et de leurs paramètres orbitaux pour déterminer les niveaux de puissance reçus (signal utile, signaux brouilleurs). La Fig. 1 schématise un émetteur de satellite simplifié. </w:t>
      </w:r>
    </w:p>
    <w:p w:rsidR="005C6927" w:rsidRPr="00E62332" w:rsidRDefault="005C6927" w:rsidP="005C6927">
      <w:pPr>
        <w:pStyle w:val="FigureNo"/>
      </w:pPr>
      <w:r w:rsidRPr="00E62332">
        <w:t>Figure 1</w:t>
      </w:r>
    </w:p>
    <w:p w:rsidR="005C6927" w:rsidRPr="00E62332" w:rsidRDefault="005C6927" w:rsidP="005C6927">
      <w:pPr>
        <w:pStyle w:val="Figuretitle"/>
      </w:pPr>
      <w:r w:rsidRPr="00E62332">
        <w:t>Modèle simplifié d'émetteur de satellite</w:t>
      </w:r>
    </w:p>
    <w:p w:rsidR="005C6927" w:rsidRPr="00E62332" w:rsidRDefault="005C6927" w:rsidP="005C6927">
      <w:pPr>
        <w:pStyle w:val="Figure"/>
      </w:pPr>
      <w:r>
        <w:object w:dxaOrig="2777" w:dyaOrig="1516">
          <v:shape id="_x0000_i1053" type="#_x0000_t75" style="width:139.3pt;height:76.2pt" o:ole="">
            <v:imagedata r:id="rId66" o:title=""/>
          </v:shape>
          <o:OLEObject Type="Embed" ProgID="CorelDraw.Graphic.16" ShapeID="_x0000_i1053" DrawAspect="Content" ObjectID="_1541423551" r:id="rId67"/>
        </w:object>
      </w:r>
    </w:p>
    <w:p w:rsidR="005C6927" w:rsidRPr="00E62332" w:rsidRDefault="005C6927" w:rsidP="005C6927">
      <w:pPr>
        <w:pStyle w:val="Heading3"/>
      </w:pPr>
      <w:r w:rsidRPr="00E62332">
        <w:t>3.1.1</w:t>
      </w:r>
      <w:r w:rsidRPr="00E62332">
        <w:tab/>
        <w:t>Niveaux du signal reçu: cas le plus défavorable</w:t>
      </w:r>
    </w:p>
    <w:p w:rsidR="005C6927" w:rsidRPr="00E62332" w:rsidRDefault="005C6927" w:rsidP="005C6927">
      <w:r w:rsidRPr="00E62332">
        <w:t xml:space="preserve">Pour le calcul du brouillage dans le cas le plus défavorable, on considère le signal utile à son niveau de puissance minimal et le signal brouilleur à son niveau de puissance maximal. On considère tous les signaux SRNS de la constellation de référence, à l'exception du signal utile. </w:t>
      </w:r>
    </w:p>
    <w:p w:rsidR="005C6927" w:rsidRPr="00E62332" w:rsidRDefault="005C6927" w:rsidP="005C6927">
      <w:pPr>
        <w:pStyle w:val="Heading3"/>
      </w:pPr>
      <w:r w:rsidRPr="00E62332">
        <w:t>3.1.2</w:t>
      </w:r>
      <w:r w:rsidRPr="00E62332">
        <w:tab/>
        <w:t>Coefficients (</w:t>
      </w:r>
      <w:r w:rsidRPr="00E62332">
        <w:rPr>
          <w:rFonts w:ascii="Symbol" w:hAnsi="Symbol"/>
        </w:rPr>
        <w:t></w:t>
      </w:r>
      <w:r w:rsidRPr="00E62332">
        <w:t>) de séparation spectrale</w:t>
      </w:r>
    </w:p>
    <w:p w:rsidR="005C6927" w:rsidRPr="00E62332" w:rsidRDefault="005C6927" w:rsidP="005C6927">
      <w:r w:rsidRPr="00E62332">
        <w:t xml:space="preserve">Les valeurs du coefficient </w:t>
      </w:r>
      <w:r w:rsidRPr="00E62332">
        <w:rPr>
          <w:rFonts w:ascii="Symbol" w:hAnsi="Symbol"/>
        </w:rPr>
        <w:t></w:t>
      </w:r>
      <w:r w:rsidRPr="00E62332">
        <w:t xml:space="preserve"> sont calculées sur la base d'une hypothèse valable aussi bien pour la largeur de bande d'émission que pour la largeur de bande de réception. Il est à noter que les valeurs calculées au moyen de l'équation (2) peuvent être inférieures aux valeurs observées dans la pratique. On peut le constater, par exemple, avec les codes PRN </w:t>
      </w:r>
      <w:r>
        <w:t>«</w:t>
      </w:r>
      <w:r w:rsidRPr="00E62332">
        <w:t>courts</w:t>
      </w:r>
      <w:r>
        <w:t>»</w:t>
      </w:r>
      <w:r w:rsidRPr="00E62332">
        <w:t xml:space="preserve"> (voir le § 6). En effet, dans ce cas, la structure des raies fréquentielles des codes PRN </w:t>
      </w:r>
      <w:r>
        <w:t>«</w:t>
      </w:r>
      <w:r w:rsidRPr="00E62332">
        <w:t>courts</w:t>
      </w:r>
      <w:r>
        <w:t>»</w:t>
      </w:r>
      <w:r w:rsidRPr="00E62332">
        <w:t xml:space="preserve"> est relativement plus grossière et n'est pas nécessairement représentée avec précision par une fonction continue de densité spectrale de puissance dans l'équation (2). </w:t>
      </w:r>
    </w:p>
    <w:p w:rsidR="005C6927" w:rsidRPr="00E62332" w:rsidRDefault="005C6927" w:rsidP="005C6927">
      <w:pPr>
        <w:pStyle w:val="Heading2"/>
      </w:pPr>
      <w:bookmarkStart w:id="9" w:name="_Toc467049665"/>
      <w:r w:rsidRPr="00E62332">
        <w:t>3.2</w:t>
      </w:r>
      <w:r w:rsidRPr="00E62332">
        <w:tab/>
        <w:t>Modèle de récepteur d'utilisateur</w:t>
      </w:r>
      <w:bookmarkEnd w:id="9"/>
    </w:p>
    <w:p w:rsidR="005C6927" w:rsidRPr="00E62332" w:rsidRDefault="005C6927" w:rsidP="005C6927">
      <w:r w:rsidRPr="00E62332">
        <w:t xml:space="preserve">Le modèle de récepteur d'utilisateur est schématisé à la Fig. 2. L'antenne de réception, dont la sortie est appliquée au filtre d'étage d'entrée du récepteur, reçoit à la fois le signal utile et le signal brouilleur. La boucle de commande automatique de gain (CAG) maintient la tension d'entrée du convertisseur analogique/numérique (CAN) dans les limites de la dynamique de cet équipement. On procède à la corrélation en utilisant le signal reçu et un signal de génération locale accordé au signal émis avant le filtrage à l'émission. Tous les affaiblissements – filtrage, convertisseur analogique/numérique et désaccord de corrélation – sont regroupés en un facteur d'affaiblissement unique. Toutefois, les affaiblissements du signal utile peuvent différer des affaiblissements des signaux brouilleurs. </w:t>
      </w:r>
    </w:p>
    <w:p w:rsidR="005C6927" w:rsidRPr="00E62332" w:rsidRDefault="005C6927" w:rsidP="005C6927">
      <w:pPr>
        <w:pStyle w:val="FigureNo"/>
      </w:pPr>
      <w:r w:rsidRPr="00E62332">
        <w:lastRenderedPageBreak/>
        <w:t>Figure 2</w:t>
      </w:r>
    </w:p>
    <w:p w:rsidR="005C6927" w:rsidRPr="00E62332" w:rsidRDefault="005C6927" w:rsidP="005C6927">
      <w:pPr>
        <w:pStyle w:val="Figuretitle"/>
      </w:pPr>
      <w:r w:rsidRPr="00E62332">
        <w:t>Modèle simplifié de récepteur d'utilisateur</w:t>
      </w:r>
    </w:p>
    <w:p w:rsidR="005C6927" w:rsidRPr="00E62332" w:rsidRDefault="005C6927" w:rsidP="005C6927">
      <w:pPr>
        <w:pStyle w:val="Figure"/>
      </w:pPr>
      <w:r>
        <w:object w:dxaOrig="5756" w:dyaOrig="1415">
          <v:shape id="_x0000_i1054" type="#_x0000_t75" style="width:4in;height:70.15pt" o:ole="">
            <v:imagedata r:id="rId68" o:title=""/>
          </v:shape>
          <o:OLEObject Type="Embed" ProgID="CorelDraw.Graphic.16" ShapeID="_x0000_i1054" DrawAspect="Content" ObjectID="_1541423552" r:id="rId69"/>
        </w:object>
      </w:r>
    </w:p>
    <w:p w:rsidR="005C6927" w:rsidRPr="00E62332" w:rsidRDefault="005C6927" w:rsidP="005C6927">
      <w:pPr>
        <w:pStyle w:val="Heading2"/>
      </w:pPr>
      <w:bookmarkStart w:id="10" w:name="_Toc467049666"/>
      <w:r w:rsidRPr="00E62332">
        <w:t>3.3</w:t>
      </w:r>
      <w:r w:rsidRPr="00E62332">
        <w:tab/>
        <w:t>Modèle de brouillage et de bruit</w:t>
      </w:r>
      <w:bookmarkEnd w:id="10"/>
    </w:p>
    <w:p w:rsidR="005C6927" w:rsidRPr="00E62332" w:rsidRDefault="005C6927" w:rsidP="005C6927">
      <w:r w:rsidRPr="00E62332">
        <w:t xml:space="preserve">Les paramètres du signal de navigation sont exprimés en divers termes: débit de données, débit d'échantillonnage du code PRN et autres caractéristiques du code, types de modulation. On utilise une approximation de spectre continu pour modéliser le spectre combiné des signaux brouilleurs reçus, à l'exception des codes de courte période, pour lesquels on tient compte aussi des caractéristiques des raies fréquentielles du code. </w:t>
      </w:r>
    </w:p>
    <w:p w:rsidR="005C6927" w:rsidRPr="00E62332" w:rsidRDefault="005C6927" w:rsidP="005C6927">
      <w:r w:rsidRPr="00E62332">
        <w:t>On peut également considérer le lieu de l'utilisateur en mesurant la puissance de brouillage en chaque point de la Terre sur une période de 24 heures. Pour un type de signal SRNS brouilleur donné, on calcule le niveau de brouillage composite maximal correspondant à ce type et on compare la valeur obtenue à la puissance de brouillage maximale par satellite d'un seul signal brouilleur de ce type, ce qui donne un facteur de gain cumulatif (</w:t>
      </w:r>
      <w:r w:rsidRPr="00E62332">
        <w:rPr>
          <w:i/>
        </w:rPr>
        <w:t>G</w:t>
      </w:r>
      <w:r w:rsidRPr="00E62332">
        <w:rPr>
          <w:i/>
          <w:iCs/>
          <w:vertAlign w:val="superscript"/>
        </w:rPr>
        <w:t>agg</w:t>
      </w:r>
      <w:r w:rsidRPr="00E62332">
        <w:t xml:space="preserve">). En d'autres termes, </w:t>
      </w:r>
      <w:r w:rsidRPr="00E62332">
        <w:rPr>
          <w:i/>
        </w:rPr>
        <w:t>G</w:t>
      </w:r>
      <w:r w:rsidRPr="00E62332">
        <w:rPr>
          <w:i/>
          <w:iCs/>
          <w:vertAlign w:val="superscript"/>
        </w:rPr>
        <w:t>agg</w:t>
      </w:r>
      <w:r w:rsidRPr="00E62332">
        <w:rPr>
          <w:i/>
          <w:iCs/>
        </w:rPr>
        <w:t>,</w:t>
      </w:r>
      <w:r w:rsidRPr="00E62332">
        <w:rPr>
          <w:vertAlign w:val="superscript"/>
        </w:rPr>
        <w:t xml:space="preserve"> </w:t>
      </w:r>
      <w:r w:rsidRPr="00E62332">
        <w:t>donne la puissance maximale d'un signal unique caractéristique du SRNS; il s'agit de l'augmentation requise pour ramener cette puissance brouilleuse à la puissance de la totalité des signaux brouilleurs de ce type. Ce facteur rend donc compte de tous les autres signaux du même type ainsi que de la variation du gain d'antenne par rapport à tous les satellites qui émettent un signal de ce type.</w:t>
      </w:r>
    </w:p>
    <w:p w:rsidR="005C6927" w:rsidRPr="00E62332" w:rsidRDefault="005C6927" w:rsidP="005C6927">
      <w:r w:rsidRPr="00E62332">
        <w:t xml:space="preserve">Dans la pratique, on peut calculer une valeur de </w:t>
      </w:r>
      <w:r w:rsidRPr="00E62332">
        <w:rPr>
          <w:i/>
        </w:rPr>
        <w:t>G</w:t>
      </w:r>
      <w:r w:rsidRPr="00E62332">
        <w:rPr>
          <w:i/>
          <w:iCs/>
          <w:vertAlign w:val="superscript"/>
        </w:rPr>
        <w:t>agg</w:t>
      </w:r>
      <w:r w:rsidRPr="00E62332">
        <w:t xml:space="preserve"> pour une constellation donnée et un signal unique, comme cela est expliqué au § 4, puis l'appliquer à tous les signaux de cette constellation, ou encore l'utiliser dans les entretiens de coordination. De même, on peut simplifier d'autres valeurs de brouillage. </w:t>
      </w:r>
    </w:p>
    <w:p w:rsidR="005C6927" w:rsidRPr="00E62332" w:rsidRDefault="005C6927" w:rsidP="005C6927">
      <w:r w:rsidRPr="00E62332">
        <w:t xml:space="preserve">Les brouillages émanant de sources large bande externes continues sont typiquement modélisés comme sources de bruit à l'aide d'une valeur de densité spectrale équivalente de puissance de bruit, </w:t>
      </w:r>
      <w:r w:rsidRPr="00E62332">
        <w:rPr>
          <w:i/>
        </w:rPr>
        <w:t>I</w:t>
      </w:r>
      <w:r w:rsidRPr="00E62332">
        <w:rPr>
          <w:i/>
          <w:iCs/>
          <w:vertAlign w:val="subscript"/>
        </w:rPr>
        <w:t>ext</w:t>
      </w:r>
      <w:r w:rsidRPr="00E62332">
        <w:t xml:space="preserve">. Ce terme permet de tenir compte de toutes les sources radioélectriques extérieures au SRNS et peut couvrir les brouillages dans la bande ou hors bande causés par d'autres services radioélectriques. </w:t>
      </w:r>
    </w:p>
    <w:p w:rsidR="005C6927" w:rsidRPr="00E62332" w:rsidRDefault="005C6927" w:rsidP="005C6927">
      <w:r w:rsidRPr="00E62332">
        <w:t>D'autres méthodes doivent être établies pour les brouillages à bande étroite et les brouillages par impulsions.</w:t>
      </w:r>
    </w:p>
    <w:p w:rsidR="005C6927" w:rsidRPr="00E62332" w:rsidRDefault="005C6927" w:rsidP="005C6927">
      <w:pPr>
        <w:pStyle w:val="Heading1"/>
      </w:pPr>
      <w:bookmarkStart w:id="11" w:name="_Ref139870719"/>
      <w:bookmarkStart w:id="12" w:name="_Toc467049667"/>
      <w:r w:rsidRPr="00E62332">
        <w:t>4</w:t>
      </w:r>
      <w:r w:rsidRPr="00E62332">
        <w:tab/>
        <w:t xml:space="preserve">Calcul de </w:t>
      </w:r>
      <w:r w:rsidRPr="00E62332">
        <w:rPr>
          <w:i/>
        </w:rPr>
        <w:t>G</w:t>
      </w:r>
      <w:r w:rsidRPr="00E62332">
        <w:rPr>
          <w:i/>
          <w:iCs/>
          <w:vertAlign w:val="superscript"/>
        </w:rPr>
        <w:t>agg</w:t>
      </w:r>
      <w:bookmarkEnd w:id="11"/>
      <w:r w:rsidRPr="00E62332">
        <w:t xml:space="preserve"> par simulation</w:t>
      </w:r>
      <w:bookmarkEnd w:id="12"/>
    </w:p>
    <w:p w:rsidR="005C6927" w:rsidRPr="00E62332" w:rsidRDefault="005C6927" w:rsidP="005C6927">
      <w:r w:rsidRPr="00E62332">
        <w:t xml:space="preserve">La densité spectrale de la puissance cumulative de brouillage (après corrélation) qu'appliquent tous les satellites d'un système SRNS à un signal utile d'indice, </w:t>
      </w:r>
      <w:r w:rsidRPr="00E62332">
        <w:rPr>
          <w:i/>
          <w:iCs/>
        </w:rPr>
        <w:t>k</w:t>
      </w:r>
      <w:r w:rsidRPr="00E62332">
        <w:t xml:space="preserve">, capté par un récepteur d'indice, </w:t>
      </w:r>
      <w:r w:rsidRPr="00E62332">
        <w:rPr>
          <w:i/>
          <w:iCs/>
        </w:rPr>
        <w:t>i</w:t>
      </w:r>
      <w:r w:rsidRPr="00E62332">
        <w:t xml:space="preserve">, dont le lieu est connu peut être exprimée en divers termes: coefficient de séparation spectrale, puissance d'émission, gain d'antenne d'émission/de réception, affaiblissement sur le trajet, affaiblissement de traitement, comme suit: </w:t>
      </w:r>
    </w:p>
    <w:p w:rsidR="005C6927" w:rsidRPr="006168A6" w:rsidRDefault="005C6927" w:rsidP="005C6927">
      <w:pPr>
        <w:pStyle w:val="Equation"/>
        <w:rPr>
          <w:lang w:val="fr-CH"/>
        </w:rPr>
      </w:pPr>
      <w:r w:rsidRPr="006168A6">
        <w:rPr>
          <w:lang w:val="fr-CH"/>
        </w:rPr>
        <w:tab/>
      </w:r>
      <w:r>
        <w:object w:dxaOrig="7455" w:dyaOrig="750">
          <v:shape id="_x0000_i1055" type="#_x0000_t75" style="width:373.1pt;height:37.85pt" o:ole="">
            <v:imagedata r:id="rId70" o:title=""/>
          </v:shape>
          <o:OLEObject Type="Embed" ProgID="Equation.3" ShapeID="_x0000_i1055" DrawAspect="Content" ObjectID="_1541423553" r:id="rId71"/>
        </w:object>
      </w:r>
      <w:r w:rsidRPr="006168A6">
        <w:rPr>
          <w:lang w:val="fr-CH"/>
        </w:rPr>
        <w:tab/>
        <w:t>(6)</w:t>
      </w:r>
    </w:p>
    <w:p w:rsidR="005C6927" w:rsidRPr="00E62332" w:rsidRDefault="005C6927" w:rsidP="005C6927">
      <w:pPr>
        <w:keepNext/>
        <w:keepLines/>
        <w:jc w:val="left"/>
      </w:pPr>
      <w:r w:rsidRPr="00E62332">
        <w:t>où:</w:t>
      </w:r>
    </w:p>
    <w:p w:rsidR="005C6927" w:rsidRPr="00E62332" w:rsidRDefault="005C6927" w:rsidP="005C6927">
      <w:pPr>
        <w:pStyle w:val="Equationlegend"/>
        <w:keepNext/>
        <w:keepLines/>
        <w:rPr>
          <w:lang w:val="fr-FR"/>
        </w:rPr>
      </w:pPr>
      <w:r w:rsidRPr="00E62332">
        <w:rPr>
          <w:lang w:val="fr-FR"/>
        </w:rPr>
        <w:tab/>
      </w:r>
      <w:r w:rsidRPr="00E62332">
        <w:rPr>
          <w:i/>
          <w:iCs/>
          <w:lang w:val="fr-FR"/>
        </w:rPr>
        <w:t>i</w:t>
      </w:r>
      <w:r w:rsidRPr="00E62332">
        <w:rPr>
          <w:lang w:val="fr-FR"/>
        </w:rPr>
        <w:t>:</w:t>
      </w:r>
      <w:r w:rsidRPr="00E62332">
        <w:rPr>
          <w:lang w:val="fr-FR"/>
        </w:rPr>
        <w:tab/>
        <w:t>indice désignant le récepteur</w:t>
      </w:r>
    </w:p>
    <w:p w:rsidR="005C6927" w:rsidRPr="00E62332" w:rsidRDefault="005C6927" w:rsidP="005C6927">
      <w:pPr>
        <w:pStyle w:val="Equationlegend"/>
        <w:rPr>
          <w:lang w:val="fr-FR"/>
        </w:rPr>
      </w:pPr>
      <w:r w:rsidRPr="00E62332">
        <w:rPr>
          <w:lang w:val="fr-FR"/>
        </w:rPr>
        <w:tab/>
      </w:r>
      <w:r w:rsidRPr="00E62332">
        <w:rPr>
          <w:i/>
          <w:iCs/>
          <w:lang w:val="fr-FR"/>
        </w:rPr>
        <w:t>k</w:t>
      </w:r>
      <w:r w:rsidRPr="00E62332">
        <w:rPr>
          <w:lang w:val="fr-FR"/>
        </w:rPr>
        <w:t>:</w:t>
      </w:r>
      <w:r w:rsidRPr="00E62332">
        <w:rPr>
          <w:lang w:val="fr-FR"/>
        </w:rPr>
        <w:tab/>
        <w:t>indice désignant le type de signal utile</w:t>
      </w:r>
    </w:p>
    <w:p w:rsidR="005C6927" w:rsidRPr="00E62332" w:rsidRDefault="005C6927" w:rsidP="005C6927">
      <w:pPr>
        <w:pStyle w:val="Equationlegend"/>
        <w:rPr>
          <w:lang w:val="fr-FR"/>
        </w:rPr>
      </w:pPr>
      <w:r w:rsidRPr="00E62332">
        <w:rPr>
          <w:i/>
          <w:iCs/>
          <w:lang w:val="fr-FR"/>
        </w:rPr>
        <w:lastRenderedPageBreak/>
        <w:tab/>
        <w:t>t</w:t>
      </w:r>
      <w:r w:rsidRPr="00E62332">
        <w:rPr>
          <w:lang w:val="fr-FR"/>
        </w:rPr>
        <w:t>:</w:t>
      </w:r>
      <w:r w:rsidRPr="00E62332">
        <w:rPr>
          <w:lang w:val="fr-FR"/>
        </w:rPr>
        <w:tab/>
        <w:t>heure pour laquelle la puissance cumulative de brouillage est calculée</w:t>
      </w:r>
    </w:p>
    <w:p w:rsidR="005C6927" w:rsidRPr="00E62332" w:rsidRDefault="005C6927" w:rsidP="005C6927">
      <w:pPr>
        <w:pStyle w:val="Equationlegend"/>
        <w:rPr>
          <w:lang w:val="fr-FR"/>
        </w:rPr>
      </w:pPr>
      <w:r w:rsidRPr="00E62332">
        <w:rPr>
          <w:lang w:val="fr-FR"/>
        </w:rPr>
        <w:tab/>
      </w:r>
      <w:r w:rsidRPr="00E62332">
        <w:rPr>
          <w:position w:val="-12"/>
          <w:lang w:val="fr-FR"/>
        </w:rPr>
        <w:object w:dxaOrig="680" w:dyaOrig="380">
          <v:shape id="_x0000_i1056" type="#_x0000_t75" style="width:34.15pt;height:18.7pt" o:ole="">
            <v:imagedata r:id="rId72" o:title=""/>
          </v:shape>
          <o:OLEObject Type="Embed" ProgID="Equation.3" ShapeID="_x0000_i1056" DrawAspect="Content" ObjectID="_1541423554" r:id="rId73"/>
        </w:object>
      </w:r>
      <w:r w:rsidRPr="00E62332">
        <w:rPr>
          <w:lang w:val="fr-FR"/>
        </w:rPr>
        <w:t>:</w:t>
      </w:r>
      <w:r w:rsidRPr="00E62332">
        <w:rPr>
          <w:lang w:val="fr-FR"/>
        </w:rPr>
        <w:tab/>
        <w:t xml:space="preserve">nombre de satellites du SRNS visibles au lieu du </w:t>
      </w:r>
      <w:r w:rsidRPr="00E62332">
        <w:rPr>
          <w:i/>
          <w:iCs/>
          <w:lang w:val="fr-FR"/>
        </w:rPr>
        <w:t>i</w:t>
      </w:r>
      <w:r w:rsidRPr="00E62332">
        <w:rPr>
          <w:lang w:val="fr-FR"/>
        </w:rPr>
        <w:t xml:space="preserve">ème récepteur à l'heure </w:t>
      </w:r>
      <w:r w:rsidRPr="00E62332">
        <w:rPr>
          <w:i/>
          <w:lang w:val="fr-FR"/>
        </w:rPr>
        <w:t>t</w:t>
      </w:r>
    </w:p>
    <w:p w:rsidR="005C6927" w:rsidRPr="00E62332" w:rsidRDefault="005C6927" w:rsidP="005C6927">
      <w:pPr>
        <w:pStyle w:val="Equationlegend"/>
        <w:rPr>
          <w:lang w:val="fr-FR"/>
        </w:rPr>
      </w:pPr>
      <w:r w:rsidRPr="00E62332">
        <w:rPr>
          <w:lang w:val="fr-FR"/>
        </w:rPr>
        <w:tab/>
      </w:r>
      <w:r w:rsidRPr="00E62332">
        <w:rPr>
          <w:i/>
          <w:iCs/>
          <w:lang w:val="fr-FR"/>
        </w:rPr>
        <w:t>m</w:t>
      </w:r>
      <w:r w:rsidRPr="00E62332">
        <w:rPr>
          <w:lang w:val="fr-FR"/>
        </w:rPr>
        <w:t>:</w:t>
      </w:r>
      <w:r w:rsidRPr="00E62332">
        <w:rPr>
          <w:lang w:val="fr-FR"/>
        </w:rPr>
        <w:tab/>
        <w:t xml:space="preserve">indice de sommation sur les satellites visibles; </w:t>
      </w:r>
      <w:r w:rsidRPr="00E62332">
        <w:rPr>
          <w:i/>
          <w:lang w:val="fr-FR"/>
        </w:rPr>
        <w:t>m</w:t>
      </w:r>
      <w:r w:rsidRPr="00E62332">
        <w:rPr>
          <w:lang w:val="fr-FR"/>
        </w:rPr>
        <w:t xml:space="preserve"> = 0 dans le cas de l'indice du satellite associé au signal utile</w:t>
      </w:r>
    </w:p>
    <w:p w:rsidR="005C6927" w:rsidRPr="00E62332" w:rsidRDefault="005C6927" w:rsidP="005C6927">
      <w:pPr>
        <w:pStyle w:val="Equationlegend"/>
        <w:rPr>
          <w:lang w:val="fr-FR"/>
        </w:rPr>
      </w:pPr>
      <w:r w:rsidRPr="00E62332">
        <w:rPr>
          <w:lang w:val="fr-FR"/>
        </w:rPr>
        <w:tab/>
      </w:r>
      <w:r w:rsidRPr="00E62332">
        <w:rPr>
          <w:position w:val="-14"/>
          <w:lang w:val="fr-FR"/>
        </w:rPr>
        <w:object w:dxaOrig="420" w:dyaOrig="400">
          <v:shape id="_x0000_i1057" type="#_x0000_t75" style="width:21.05pt;height:20.55pt" o:ole="">
            <v:imagedata r:id="rId74" o:title=""/>
          </v:shape>
          <o:OLEObject Type="Embed" ProgID="Equation.3" ShapeID="_x0000_i1057" DrawAspect="Content" ObjectID="_1541423555" r:id="rId75"/>
        </w:object>
      </w:r>
      <w:r w:rsidRPr="00E62332">
        <w:rPr>
          <w:lang w:val="fr-FR"/>
        </w:rPr>
        <w:t>:</w:t>
      </w:r>
      <w:r w:rsidRPr="00E62332">
        <w:rPr>
          <w:lang w:val="fr-FR"/>
        </w:rPr>
        <w:tab/>
        <w:t xml:space="preserve">gain de l'antenne d'émission (sans dimension) (relativement à la valeur isotrope) entre le </w:t>
      </w:r>
      <w:r w:rsidRPr="00E62332">
        <w:rPr>
          <w:i/>
          <w:iCs/>
          <w:lang w:val="fr-FR"/>
        </w:rPr>
        <w:t>m</w:t>
      </w:r>
      <w:r w:rsidRPr="00E62332">
        <w:rPr>
          <w:lang w:val="fr-FR"/>
        </w:rPr>
        <w:t>ième</w:t>
      </w:r>
      <w:r w:rsidRPr="00E62332">
        <w:rPr>
          <w:i/>
          <w:iCs/>
          <w:lang w:val="fr-FR"/>
        </w:rPr>
        <w:t xml:space="preserve"> </w:t>
      </w:r>
      <w:r w:rsidRPr="00E62332">
        <w:rPr>
          <w:lang w:val="fr-FR"/>
        </w:rPr>
        <w:t xml:space="preserve">satellite et le </w:t>
      </w:r>
      <w:r w:rsidRPr="00E62332">
        <w:rPr>
          <w:i/>
          <w:iCs/>
          <w:lang w:val="fr-FR"/>
        </w:rPr>
        <w:t>i</w:t>
      </w:r>
      <w:r w:rsidRPr="00E62332">
        <w:rPr>
          <w:lang w:val="fr-FR"/>
        </w:rPr>
        <w:t>ème lieu de réception</w:t>
      </w:r>
    </w:p>
    <w:p w:rsidR="005C6927" w:rsidRPr="00E62332" w:rsidRDefault="005C6927" w:rsidP="005C6927">
      <w:pPr>
        <w:pStyle w:val="Equationlegend"/>
        <w:rPr>
          <w:lang w:val="fr-FR"/>
        </w:rPr>
      </w:pPr>
      <w:r w:rsidRPr="00E62332">
        <w:rPr>
          <w:lang w:val="fr-FR"/>
        </w:rPr>
        <w:tab/>
      </w:r>
      <w:r w:rsidRPr="00E62332">
        <w:rPr>
          <w:position w:val="-14"/>
          <w:lang w:val="fr-FR"/>
        </w:rPr>
        <w:object w:dxaOrig="420" w:dyaOrig="400">
          <v:shape id="_x0000_i1058" type="#_x0000_t75" style="width:21.05pt;height:20.55pt" o:ole="">
            <v:imagedata r:id="rId76" o:title=""/>
          </v:shape>
          <o:OLEObject Type="Embed" ProgID="Equation.3" ShapeID="_x0000_i1058" DrawAspect="Content" ObjectID="_1541423556" r:id="rId77"/>
        </w:object>
      </w:r>
      <w:r w:rsidRPr="00E62332">
        <w:rPr>
          <w:lang w:val="fr-FR"/>
        </w:rPr>
        <w:t>:</w:t>
      </w:r>
      <w:r w:rsidRPr="00E62332">
        <w:rPr>
          <w:lang w:val="fr-FR"/>
        </w:rPr>
        <w:tab/>
        <w:t xml:space="preserve">gain de l'antenne de réception (sans dimension) (relativement à la valeur isotrope) entre le </w:t>
      </w:r>
      <w:r w:rsidRPr="00E62332">
        <w:rPr>
          <w:i/>
          <w:iCs/>
          <w:lang w:val="fr-FR"/>
        </w:rPr>
        <w:t>i</w:t>
      </w:r>
      <w:r w:rsidRPr="00E62332">
        <w:rPr>
          <w:lang w:val="fr-FR"/>
        </w:rPr>
        <w:t xml:space="preserve">ème lieu de réception et le </w:t>
      </w:r>
      <w:r w:rsidRPr="00E62332">
        <w:rPr>
          <w:i/>
          <w:iCs/>
          <w:lang w:val="fr-FR"/>
        </w:rPr>
        <w:t>m</w:t>
      </w:r>
      <w:r w:rsidRPr="00E62332">
        <w:rPr>
          <w:lang w:val="fr-FR"/>
        </w:rPr>
        <w:t>ième satellite</w:t>
      </w:r>
    </w:p>
    <w:p w:rsidR="005C6927" w:rsidRPr="00E62332" w:rsidRDefault="005C6927" w:rsidP="005C6927">
      <w:pPr>
        <w:pStyle w:val="Equationlegend"/>
        <w:rPr>
          <w:lang w:val="fr-FR"/>
        </w:rPr>
      </w:pPr>
      <w:r w:rsidRPr="00E62332">
        <w:rPr>
          <w:i/>
          <w:lang w:val="fr-FR"/>
        </w:rPr>
        <w:tab/>
      </w:r>
      <w:r w:rsidRPr="00E62332">
        <w:rPr>
          <w:iCs/>
          <w:lang w:val="fr-FR"/>
        </w:rPr>
        <w:sym w:font="Symbol" w:char="F061"/>
      </w:r>
      <w:r w:rsidRPr="00E62332">
        <w:rPr>
          <w:i/>
          <w:vertAlign w:val="subscript"/>
          <w:lang w:val="fr-FR"/>
        </w:rPr>
        <w:t>i,m</w:t>
      </w:r>
      <w:r w:rsidRPr="00E62332">
        <w:rPr>
          <w:lang w:val="fr-FR"/>
        </w:rPr>
        <w:t>:</w:t>
      </w:r>
      <w:r w:rsidRPr="00E62332">
        <w:rPr>
          <w:lang w:val="fr-FR"/>
        </w:rPr>
        <w:tab/>
        <w:t xml:space="preserve">affaiblissement (sans dimension) sur le trajet du </w:t>
      </w:r>
      <w:r w:rsidRPr="00E62332">
        <w:rPr>
          <w:i/>
          <w:iCs/>
          <w:lang w:val="fr-FR"/>
        </w:rPr>
        <w:t>m</w:t>
      </w:r>
      <w:r w:rsidRPr="00E62332">
        <w:rPr>
          <w:lang w:val="fr-FR"/>
        </w:rPr>
        <w:t xml:space="preserve">ième satellite au lieu du </w:t>
      </w:r>
      <w:r w:rsidRPr="00E62332">
        <w:rPr>
          <w:i/>
          <w:iCs/>
          <w:lang w:val="fr-FR"/>
        </w:rPr>
        <w:t>i</w:t>
      </w:r>
      <w:r w:rsidRPr="00E62332">
        <w:rPr>
          <w:lang w:val="fr-FR"/>
        </w:rPr>
        <w:t>ième récepteur</w:t>
      </w:r>
    </w:p>
    <w:p w:rsidR="005C6927" w:rsidRPr="00E62332" w:rsidRDefault="005C6927" w:rsidP="005C6927">
      <w:pPr>
        <w:pStyle w:val="Equationlegend"/>
        <w:rPr>
          <w:lang w:val="fr-FR"/>
        </w:rPr>
      </w:pPr>
      <w:r w:rsidRPr="00E62332">
        <w:rPr>
          <w:lang w:val="fr-FR"/>
        </w:rPr>
        <w:tab/>
      </w:r>
      <w:r w:rsidRPr="00E62332">
        <w:rPr>
          <w:i/>
          <w:iCs/>
          <w:lang w:val="fr-FR"/>
        </w:rPr>
        <w:t>N</w:t>
      </w:r>
      <w:r w:rsidRPr="00E62332">
        <w:rPr>
          <w:i/>
          <w:iCs/>
          <w:vertAlign w:val="subscript"/>
          <w:lang w:val="fr-FR"/>
        </w:rPr>
        <w:t>m</w:t>
      </w:r>
      <w:r w:rsidRPr="00E62332">
        <w:rPr>
          <w:lang w:val="fr-FR"/>
        </w:rPr>
        <w:t>:</w:t>
      </w:r>
      <w:r w:rsidRPr="00E62332">
        <w:rPr>
          <w:lang w:val="fr-FR"/>
        </w:rPr>
        <w:tab/>
        <w:t xml:space="preserve">nombre total de types de signaux sur le </w:t>
      </w:r>
      <w:r w:rsidRPr="00E62332">
        <w:rPr>
          <w:i/>
          <w:iCs/>
          <w:lang w:val="fr-FR"/>
        </w:rPr>
        <w:t>m</w:t>
      </w:r>
      <w:r w:rsidRPr="00E62332">
        <w:rPr>
          <w:lang w:val="fr-FR"/>
        </w:rPr>
        <w:t>ième satellite</w:t>
      </w:r>
    </w:p>
    <w:p w:rsidR="005C6927" w:rsidRPr="00E62332" w:rsidRDefault="005C6927" w:rsidP="005C6927">
      <w:pPr>
        <w:pStyle w:val="Equationlegend"/>
        <w:rPr>
          <w:lang w:val="fr-FR"/>
        </w:rPr>
      </w:pPr>
      <w:r w:rsidRPr="00E62332">
        <w:rPr>
          <w:i/>
          <w:lang w:val="fr-FR"/>
        </w:rPr>
        <w:tab/>
      </w:r>
      <w:r w:rsidRPr="00E62332">
        <w:rPr>
          <w:i/>
          <w:position w:val="-14"/>
          <w:vertAlign w:val="subscript"/>
          <w:lang w:val="fr-FR"/>
        </w:rPr>
        <w:object w:dxaOrig="420" w:dyaOrig="400">
          <v:shape id="_x0000_i1059" type="#_x0000_t75" style="width:21.05pt;height:20.55pt" o:ole="">
            <v:imagedata r:id="rId78" o:title=""/>
          </v:shape>
          <o:OLEObject Type="Embed" ProgID="Equation.DSMT4" ShapeID="_x0000_i1059" DrawAspect="Content" ObjectID="_1541423557" r:id="rId79"/>
        </w:object>
      </w:r>
      <w:r w:rsidRPr="00E62332">
        <w:rPr>
          <w:lang w:val="fr-FR"/>
        </w:rPr>
        <w:t>:</w:t>
      </w:r>
      <w:r w:rsidRPr="00E62332">
        <w:rPr>
          <w:lang w:val="fr-FR"/>
        </w:rPr>
        <w:tab/>
        <w:t xml:space="preserve">coefficient de séparation spectrale (1/Hz) entre le </w:t>
      </w:r>
      <w:r w:rsidRPr="00E62332">
        <w:rPr>
          <w:i/>
          <w:iCs/>
          <w:lang w:val="fr-FR"/>
        </w:rPr>
        <w:t>k</w:t>
      </w:r>
      <w:r w:rsidRPr="00E62332">
        <w:rPr>
          <w:lang w:val="fr-FR"/>
        </w:rPr>
        <w:t xml:space="preserve">ième type de signal et le </w:t>
      </w:r>
      <w:r w:rsidRPr="00E62332">
        <w:rPr>
          <w:i/>
          <w:lang w:val="fr-FR"/>
        </w:rPr>
        <w:t>n</w:t>
      </w:r>
      <w:r w:rsidRPr="00E62332">
        <w:rPr>
          <w:lang w:val="fr-FR"/>
        </w:rPr>
        <w:t xml:space="preserve">ième type de signal du </w:t>
      </w:r>
      <w:r w:rsidRPr="00E62332">
        <w:rPr>
          <w:i/>
          <w:lang w:val="fr-FR"/>
        </w:rPr>
        <w:t>m</w:t>
      </w:r>
      <w:r w:rsidRPr="00E62332">
        <w:rPr>
          <w:lang w:val="fr-FR"/>
        </w:rPr>
        <w:t>ième satellite</w:t>
      </w:r>
    </w:p>
    <w:p w:rsidR="005C6927" w:rsidRPr="00E62332" w:rsidRDefault="005C6927" w:rsidP="005C6927">
      <w:pPr>
        <w:pStyle w:val="Equationlegend"/>
        <w:rPr>
          <w:lang w:val="fr-FR"/>
        </w:rPr>
      </w:pPr>
      <w:r w:rsidRPr="00E62332">
        <w:rPr>
          <w:lang w:val="fr-FR"/>
        </w:rPr>
        <w:tab/>
      </w:r>
      <w:r w:rsidRPr="00E62332">
        <w:rPr>
          <w:i/>
          <w:iCs/>
          <w:lang w:val="fr-FR"/>
        </w:rPr>
        <w:t>P</w:t>
      </w:r>
      <w:r w:rsidRPr="00E62332">
        <w:rPr>
          <w:i/>
          <w:vertAlign w:val="subscript"/>
          <w:lang w:val="fr-FR"/>
        </w:rPr>
        <w:t>m,n</w:t>
      </w:r>
      <w:r w:rsidRPr="00E62332">
        <w:rPr>
          <w:lang w:val="fr-FR"/>
        </w:rPr>
        <w:t>:</w:t>
      </w:r>
      <w:r w:rsidRPr="00E62332">
        <w:rPr>
          <w:lang w:val="fr-FR"/>
        </w:rPr>
        <w:tab/>
        <w:t xml:space="preserve">puissance d'émission (W) du </w:t>
      </w:r>
      <w:r w:rsidRPr="00E62332">
        <w:rPr>
          <w:i/>
          <w:iCs/>
          <w:lang w:val="fr-FR"/>
        </w:rPr>
        <w:t>n</w:t>
      </w:r>
      <w:r w:rsidRPr="00E62332">
        <w:rPr>
          <w:lang w:val="fr-FR"/>
        </w:rPr>
        <w:t xml:space="preserve">ième signal du </w:t>
      </w:r>
      <w:r w:rsidRPr="00E62332">
        <w:rPr>
          <w:i/>
          <w:iCs/>
          <w:lang w:val="fr-FR"/>
        </w:rPr>
        <w:t>m</w:t>
      </w:r>
      <w:r w:rsidRPr="00E62332">
        <w:rPr>
          <w:lang w:val="fr-FR"/>
        </w:rPr>
        <w:t>ième satellite</w:t>
      </w:r>
    </w:p>
    <w:p w:rsidR="005C6927" w:rsidRPr="00E62332" w:rsidRDefault="005C6927" w:rsidP="005C6927">
      <w:pPr>
        <w:pStyle w:val="Equationlegend"/>
        <w:rPr>
          <w:lang w:val="fr-FR"/>
        </w:rPr>
      </w:pPr>
      <w:r w:rsidRPr="00E62332">
        <w:rPr>
          <w:lang w:val="fr-FR"/>
        </w:rPr>
        <w:tab/>
      </w:r>
      <w:r w:rsidRPr="00E62332">
        <w:rPr>
          <w:i/>
          <w:lang w:val="fr-FR"/>
        </w:rPr>
        <w:t>L</w:t>
      </w:r>
      <w:r w:rsidRPr="00E62332">
        <w:rPr>
          <w:i/>
          <w:vertAlign w:val="subscript"/>
          <w:lang w:val="fr-FR"/>
        </w:rPr>
        <w:t>k,n</w:t>
      </w:r>
      <w:r w:rsidRPr="00E62332">
        <w:rPr>
          <w:lang w:val="fr-FR"/>
        </w:rPr>
        <w:t>:</w:t>
      </w:r>
      <w:r w:rsidRPr="00E62332">
        <w:rPr>
          <w:lang w:val="fr-FR"/>
        </w:rPr>
        <w:tab/>
        <w:t xml:space="preserve">affaiblissement de traitement (sans dimension) pour le </w:t>
      </w:r>
      <w:r w:rsidRPr="00E62332">
        <w:rPr>
          <w:i/>
          <w:lang w:val="fr-FR"/>
        </w:rPr>
        <w:t>n</w:t>
      </w:r>
      <w:r w:rsidRPr="00E62332">
        <w:rPr>
          <w:lang w:val="fr-FR"/>
        </w:rPr>
        <w:t xml:space="preserve">ième type de signal (le signal utile étant du </w:t>
      </w:r>
      <w:r w:rsidRPr="00E62332">
        <w:rPr>
          <w:i/>
          <w:lang w:val="fr-FR"/>
        </w:rPr>
        <w:t>k</w:t>
      </w:r>
      <w:r w:rsidRPr="00E62332">
        <w:rPr>
          <w:lang w:val="fr-FR"/>
        </w:rPr>
        <w:t>ième type).</w:t>
      </w:r>
    </w:p>
    <w:p w:rsidR="005C6927" w:rsidRPr="00E62332" w:rsidRDefault="005C6927" w:rsidP="005C6927">
      <w:r w:rsidRPr="00E62332">
        <w:t>Considérons l'équation (6): le premier terme est la somme de toutes les densités spectrales de puissance produites par l'ensemble des satellites visibles et pour tous les signaux, y compris le signal utile reçu du satellite utile, alors que le second terme exprime la densité spectrale de puissance du signal utile émanant du satellite utile.</w:t>
      </w:r>
    </w:p>
    <w:p w:rsidR="005C6927" w:rsidRPr="00E62332" w:rsidRDefault="005C6927" w:rsidP="005C6927">
      <w:r w:rsidRPr="00E62332">
        <w:t xml:space="preserve">Comme l'équation (6) le fait apparaître, la densité spectrale de puissance équivalente entraîne un relèvement du plancher de bruit thermique. </w:t>
      </w:r>
      <w:r w:rsidRPr="00E62332">
        <w:rPr>
          <w:i/>
          <w:iCs/>
        </w:rPr>
        <w:t>I</w:t>
      </w:r>
      <w:r w:rsidRPr="00E62332">
        <w:rPr>
          <w:i/>
          <w:vertAlign w:val="subscript"/>
        </w:rPr>
        <w:t>i,k</w:t>
      </w:r>
      <w:r w:rsidRPr="00E62332">
        <w:t>(</w:t>
      </w:r>
      <w:r w:rsidRPr="00E62332">
        <w:rPr>
          <w:i/>
        </w:rPr>
        <w:t>t</w:t>
      </w:r>
      <w:r w:rsidRPr="00E62332">
        <w:t xml:space="preserve">) est fonction de l'heure, du lieu de l'utilisateur et du coefficient de séparation spectrale. Une méthode simple de détermination de </w:t>
      </w:r>
      <w:r w:rsidRPr="00E62332">
        <w:rPr>
          <w:i/>
          <w:iCs/>
        </w:rPr>
        <w:t>I</w:t>
      </w:r>
      <w:r w:rsidRPr="00E62332">
        <w:rPr>
          <w:i/>
          <w:vertAlign w:val="subscript"/>
        </w:rPr>
        <w:t>i,k</w:t>
      </w:r>
      <w:r w:rsidRPr="00E62332">
        <w:t>(</w:t>
      </w:r>
      <w:r w:rsidRPr="00E62332">
        <w:rPr>
          <w:i/>
        </w:rPr>
        <w:t>t</w:t>
      </w:r>
      <w:r w:rsidRPr="00E62332">
        <w:t xml:space="preserve">) consiste à utiliser un logiciel de simulation de constellations dans chacun des scénarios de brouillage pour déterminer la valeur du brouillage résultant. Mais il est trop peu pratique et trop long de faire ce type de calcul par simulation de constellation chaque fois qu'il est nécessaire de procéder à une analyse de brouillage pour un lieu donné. Il est donc utile de disposer d'un facteur unique susceptible d'être utilisé systématiquement pour les analyses de brouillage, de sorte qu'il ne soit pas nécessaire de recourir chaque fois à une simulation de constellation. On peut définir un tel facteur à l'aide de modèles de simulation et donc s'affranchir de la nécessité de calculer chaque fois </w:t>
      </w:r>
      <w:r w:rsidRPr="00E62332">
        <w:rPr>
          <w:i/>
          <w:iCs/>
        </w:rPr>
        <w:t>I</w:t>
      </w:r>
      <w:r w:rsidRPr="00E62332">
        <w:rPr>
          <w:i/>
          <w:vertAlign w:val="subscript"/>
        </w:rPr>
        <w:t>i,k</w:t>
      </w:r>
      <w:r w:rsidRPr="00E62332">
        <w:t>(</w:t>
      </w:r>
      <w:r w:rsidRPr="00E62332">
        <w:rPr>
          <w:i/>
        </w:rPr>
        <w:t>t</w:t>
      </w:r>
      <w:r w:rsidRPr="00E62332">
        <w:t xml:space="preserve">). Ce facteur, appelé facteur de gain cumulatif, </w:t>
      </w:r>
      <w:r w:rsidRPr="00E62332">
        <w:rPr>
          <w:i/>
          <w:iCs/>
        </w:rPr>
        <w:t>G</w:t>
      </w:r>
      <w:r w:rsidRPr="00E62332">
        <w:rPr>
          <w:i/>
          <w:iCs/>
          <w:vertAlign w:val="superscript"/>
        </w:rPr>
        <w:t>agg</w:t>
      </w:r>
      <w:r w:rsidRPr="00E62332">
        <w:t>, peut être obtenu en prenant pour limite supérieure, dans l'équation (6), la valeur correspondant au cas le plus défavorable. La valeur de brouillage ainsi obtenue est surestimée dans la plupart des situations, mais donne par ailleurs l'assurance que le niveau calculé du seuil de brouillage ne sera pas dépassé.</w:t>
      </w:r>
    </w:p>
    <w:p w:rsidR="005C6927" w:rsidRPr="00E62332" w:rsidRDefault="005C6927" w:rsidP="005C6927">
      <w:r w:rsidRPr="00E62332">
        <w:t xml:space="preserve">Ce facteur </w:t>
      </w:r>
      <w:r w:rsidRPr="00E62332">
        <w:rPr>
          <w:i/>
          <w:iCs/>
        </w:rPr>
        <w:t>G</w:t>
      </w:r>
      <w:r w:rsidRPr="00E62332">
        <w:rPr>
          <w:i/>
          <w:iCs/>
          <w:vertAlign w:val="superscript"/>
        </w:rPr>
        <w:t>agg</w:t>
      </w:r>
      <w:r w:rsidRPr="00E62332">
        <w:t xml:space="preserve">, pour un type de signal donné, peut être calculé comme suit: </w:t>
      </w:r>
    </w:p>
    <w:p w:rsidR="005C6927" w:rsidRPr="00E62332" w:rsidRDefault="005C6927" w:rsidP="005C6927">
      <w:pPr>
        <w:pStyle w:val="enumlev1"/>
      </w:pPr>
      <w:r w:rsidRPr="00E62332">
        <w:t>a)</w:t>
      </w:r>
      <w:r w:rsidRPr="00E62332">
        <w:tab/>
        <w:t xml:space="preserve">Pour chaque position (indice </w:t>
      </w:r>
      <w:r w:rsidRPr="00E62332">
        <w:rPr>
          <w:i/>
          <w:iCs/>
        </w:rPr>
        <w:t>i</w:t>
      </w:r>
      <w:r w:rsidRPr="00E62332">
        <w:t>) dans l'espace (mais le plus souvent sur la surface de la Terre ou au voisinage de la surface de la Terre), on calcule la puissance du brouillage reçu (W) à la iième position de réception:</w:t>
      </w:r>
    </w:p>
    <w:p w:rsidR="005C6927" w:rsidRPr="00E62332" w:rsidRDefault="005C6927" w:rsidP="005C6927">
      <w:pPr>
        <w:pStyle w:val="Equation"/>
      </w:pPr>
      <w:r w:rsidRPr="00E62332">
        <w:tab/>
      </w:r>
      <w:r w:rsidRPr="00E62332">
        <w:tab/>
      </w:r>
      <w:r w:rsidRPr="00E62332">
        <w:rPr>
          <w:position w:val="-32"/>
        </w:rPr>
        <w:object w:dxaOrig="3640" w:dyaOrig="820">
          <v:shape id="_x0000_i1060" type="#_x0000_t75" style="width:181.4pt;height:41.15pt" o:ole="">
            <v:imagedata r:id="rId80" o:title=""/>
          </v:shape>
          <o:OLEObject Type="Embed" ProgID="Equation.3" ShapeID="_x0000_i1060" DrawAspect="Content" ObjectID="_1541423558" r:id="rId81"/>
        </w:object>
      </w:r>
      <w:r w:rsidRPr="00E62332">
        <w:tab/>
        <w:t>(7)</w:t>
      </w:r>
    </w:p>
    <w:p w:rsidR="005C6927" w:rsidRPr="00E62332" w:rsidRDefault="005C6927" w:rsidP="005C6927">
      <w:r w:rsidRPr="00E62332">
        <w:t xml:space="preserve">Il convient de noter que, dans l'équation (7), pour des raisons de simplicité, l'indice désignant le type de signal utile, </w:t>
      </w:r>
      <w:r w:rsidRPr="00E62332">
        <w:rPr>
          <w:i/>
        </w:rPr>
        <w:t>k</w:t>
      </w:r>
      <w:r w:rsidRPr="00E62332">
        <w:t xml:space="preserve">, n'a pas été repris, tandis que les affaiblissements de traitement, </w:t>
      </w:r>
      <w:r w:rsidRPr="00E62332">
        <w:rPr>
          <w:i/>
        </w:rPr>
        <w:t>L</w:t>
      </w:r>
      <w:r w:rsidRPr="00E62332">
        <w:rPr>
          <w:i/>
          <w:vertAlign w:val="subscript"/>
        </w:rPr>
        <w:t>m</w:t>
      </w:r>
      <w:r w:rsidRPr="00E62332">
        <w:t xml:space="preserve">, sont pris en compte dans une autre équation (cf. équation (9)). Lorsque le signal utile et le signal brouilleur sont </w:t>
      </w:r>
      <w:r w:rsidRPr="00E62332">
        <w:lastRenderedPageBreak/>
        <w:t xml:space="preserve">de même type, il faut apporter une modification mineure à l'équation (7) (soustraction de la puissance du signal utile). </w:t>
      </w:r>
    </w:p>
    <w:p w:rsidR="005C6927" w:rsidRPr="00E62332" w:rsidRDefault="005C6927" w:rsidP="005C6927">
      <w:pPr>
        <w:pStyle w:val="enumlev1"/>
      </w:pPr>
      <w:r w:rsidRPr="00E62332">
        <w:rPr>
          <w:bCs/>
        </w:rPr>
        <w:t>b)</w:t>
      </w:r>
      <w:r w:rsidRPr="00E62332">
        <w:rPr>
          <w:bCs/>
        </w:rPr>
        <w:tab/>
        <w:t>N</w:t>
      </w:r>
      <w:r w:rsidRPr="00E62332">
        <w:t xml:space="preserve">ous écrivons alors, pour chaque position de réception, l'équation représentative de </w:t>
      </w:r>
      <w:r w:rsidRPr="00E62332">
        <w:rPr>
          <w:i/>
        </w:rPr>
        <w:t>G</w:t>
      </w:r>
      <w:r w:rsidRPr="00E62332">
        <w:rPr>
          <w:i/>
          <w:iCs/>
          <w:vertAlign w:val="superscript"/>
        </w:rPr>
        <w:t>agg</w:t>
      </w:r>
      <w:r w:rsidRPr="00E62332">
        <w:t xml:space="preserve"> (sans dimension):</w:t>
      </w:r>
    </w:p>
    <w:p w:rsidR="005C6927" w:rsidRPr="00E62332" w:rsidRDefault="005C6927" w:rsidP="005C6927">
      <w:pPr>
        <w:pStyle w:val="Equation"/>
      </w:pPr>
      <w:r w:rsidRPr="00E62332">
        <w:tab/>
      </w:r>
      <w:r w:rsidRPr="00E62332">
        <w:tab/>
      </w:r>
      <w:r w:rsidRPr="0055399D">
        <w:rPr>
          <w:position w:val="-30"/>
        </w:rPr>
        <w:object w:dxaOrig="3780" w:dyaOrig="960">
          <v:shape id="_x0000_i1061" type="#_x0000_t75" style="width:188.4pt;height:41.6pt" o:ole="">
            <v:imagedata r:id="rId82" o:title=""/>
          </v:shape>
          <o:OLEObject Type="Embed" ProgID="Equation.3" ShapeID="_x0000_i1061" DrawAspect="Content" ObjectID="_1541423559" r:id="rId83"/>
        </w:object>
      </w:r>
      <w:r w:rsidRPr="00E62332">
        <w:tab/>
        <w:t>(8)</w:t>
      </w:r>
    </w:p>
    <w:p w:rsidR="005C6927" w:rsidRPr="00E62332" w:rsidRDefault="005C6927" w:rsidP="005C6927">
      <w:r w:rsidRPr="00E62332">
        <w:rPr>
          <w:iCs/>
        </w:rPr>
        <w:t xml:space="preserve">Ici, </w:t>
      </w:r>
      <w:r w:rsidRPr="00E62332">
        <w:rPr>
          <w:position w:val="-12"/>
        </w:rPr>
        <w:object w:dxaOrig="499" w:dyaOrig="420">
          <v:shape id="_x0000_i1062" type="#_x0000_t75" style="width:24.8pt;height:20.55pt" o:ole="">
            <v:imagedata r:id="rId84" o:title=""/>
          </v:shape>
          <o:OLEObject Type="Embed" ProgID="Equation.3" ShapeID="_x0000_i1062" DrawAspect="Content" ObjectID="_1541423560" r:id="rId85"/>
        </w:object>
      </w:r>
      <w:r w:rsidRPr="00E62332">
        <w:t xml:space="preserve">est la puissance maximale (W) du signal brouilleur du type considéré provenant d'un satellite unique quelconque, à la sortie de l'antenne d'un récepteur de référence et avant le filtre RF du récepteur, mesuré sur l'ensemble des lieux de réception indexés. Notons qu'une antenne de réception de référence (pour un système donné) peut être une antenne anisotrope appropriée. Une telle antenne n'est pas toujours accordée en polarisation au type de signal reçu et, dans ce cas, on observe un certain affaiblissement additionnel. Le facteur </w:t>
      </w:r>
      <w:r w:rsidRPr="00E62332">
        <w:rPr>
          <w:i/>
          <w:iCs/>
        </w:rPr>
        <w:t>G</w:t>
      </w:r>
      <w:r w:rsidRPr="00E62332">
        <w:rPr>
          <w:i/>
          <w:iCs/>
          <w:vertAlign w:val="superscript"/>
        </w:rPr>
        <w:t>agg</w:t>
      </w:r>
      <w:r w:rsidRPr="00E62332">
        <w:t xml:space="preserve"> est calculé à partir de l'équation (8) pour tous les types de signaux brouilleurs. </w:t>
      </w:r>
    </w:p>
    <w:p w:rsidR="005C6927" w:rsidRPr="00E62332" w:rsidRDefault="005C6927" w:rsidP="005C6927">
      <w:r w:rsidRPr="00E62332">
        <w:t xml:space="preserve">La valeur résultante de </w:t>
      </w:r>
      <w:r w:rsidRPr="00E62332">
        <w:rPr>
          <w:i/>
          <w:iCs/>
        </w:rPr>
        <w:t>G</w:t>
      </w:r>
      <w:r w:rsidRPr="00E62332">
        <w:rPr>
          <w:i/>
          <w:iCs/>
          <w:vertAlign w:val="superscript"/>
        </w:rPr>
        <w:t>agg</w:t>
      </w:r>
      <w:r w:rsidRPr="00E62332">
        <w:t xml:space="preserve"> est la valeur correspondant au cas le plus défavorable pour toutes les positions de réception utilisées dans le calcul. On utilise alors cette valeur pour représenter la valeur la plus défavorable de </w:t>
      </w:r>
      <w:r w:rsidRPr="00E62332">
        <w:rPr>
          <w:i/>
          <w:iCs/>
        </w:rPr>
        <w:t>G</w:t>
      </w:r>
      <w:r w:rsidRPr="00E62332">
        <w:rPr>
          <w:i/>
          <w:iCs/>
          <w:vertAlign w:val="superscript"/>
        </w:rPr>
        <w:t>agg</w:t>
      </w:r>
      <w:r w:rsidRPr="00E62332">
        <w:t xml:space="preserve"> pour tout lieu de réception utilisé dans l'analyse de brouillage (pour le type de signal utile considéré).</w:t>
      </w:r>
    </w:p>
    <w:p w:rsidR="005C6927" w:rsidRPr="00E62332" w:rsidRDefault="005C6927" w:rsidP="005C6927">
      <w:r w:rsidRPr="00E62332">
        <w:t xml:space="preserve">La densité spectrale de puissance de brouillage produite par tous les signaux SRNS provenant de tous les satellites SRNS en vue, </w:t>
      </w:r>
      <w:r w:rsidRPr="00E62332">
        <w:rPr>
          <w:i/>
          <w:iCs/>
        </w:rPr>
        <w:t>I</w:t>
      </w:r>
      <w:r w:rsidRPr="00E62332">
        <w:rPr>
          <w:i/>
          <w:iCs/>
          <w:vertAlign w:val="subscript"/>
        </w:rPr>
        <w:t>0</w:t>
      </w:r>
      <w:r w:rsidRPr="00E62332">
        <w:t xml:space="preserve"> (W/Hz) peut alors être majorée comme suit:</w:t>
      </w:r>
    </w:p>
    <w:p w:rsidR="005C6927" w:rsidRPr="00E62332" w:rsidRDefault="005C6927" w:rsidP="005C6927">
      <w:pPr>
        <w:pStyle w:val="Equation"/>
      </w:pPr>
      <w:r w:rsidRPr="00E62332">
        <w:tab/>
      </w:r>
      <w:r w:rsidRPr="00E62332">
        <w:tab/>
      </w:r>
      <w:r w:rsidRPr="00E62332">
        <w:rPr>
          <w:position w:val="-30"/>
        </w:rPr>
        <w:object w:dxaOrig="1960" w:dyaOrig="740">
          <v:shape id="_x0000_i1063" type="#_x0000_t75" style="width:97.25pt;height:32.75pt" o:ole="">
            <v:imagedata r:id="rId86" o:title=""/>
          </v:shape>
          <o:OLEObject Type="Embed" ProgID="Equation.3" ShapeID="_x0000_i1063" DrawAspect="Content" ObjectID="_1541423561" r:id="rId87"/>
        </w:object>
      </w:r>
      <w:r w:rsidRPr="00E62332">
        <w:tab/>
        <w:t>(9)</w:t>
      </w:r>
    </w:p>
    <w:p w:rsidR="005C6927" w:rsidRPr="00E62332" w:rsidRDefault="005C6927" w:rsidP="005C6927">
      <w:r w:rsidRPr="00E62332">
        <w:t xml:space="preserve">où </w:t>
      </w:r>
      <w:r w:rsidRPr="00E62332">
        <w:rPr>
          <w:iCs/>
        </w:rPr>
        <w:sym w:font="Symbol" w:char="F062"/>
      </w:r>
      <w:r w:rsidRPr="00E62332">
        <w:rPr>
          <w:i/>
          <w:vertAlign w:val="subscript"/>
        </w:rPr>
        <w:t>n</w:t>
      </w:r>
      <w:r w:rsidRPr="00E62332">
        <w:t xml:space="preserve"> est le coefficient de séparation spectrale entre le signal utile et le </w:t>
      </w:r>
      <w:r w:rsidRPr="00E62332">
        <w:rPr>
          <w:i/>
          <w:iCs/>
        </w:rPr>
        <w:t>n</w:t>
      </w:r>
      <w:r w:rsidRPr="00E62332">
        <w:t xml:space="preserve">ième type de signal et </w:t>
      </w:r>
      <w:r w:rsidRPr="00E62332">
        <w:rPr>
          <w:i/>
        </w:rPr>
        <w:t>L</w:t>
      </w:r>
      <w:r w:rsidRPr="00E62332">
        <w:rPr>
          <w:i/>
          <w:vertAlign w:val="subscript"/>
        </w:rPr>
        <w:t>n</w:t>
      </w:r>
      <w:r w:rsidRPr="00E62332">
        <w:t xml:space="preserve"> l'affaiblissement de traitement entre le signal utile et le </w:t>
      </w:r>
      <w:r w:rsidRPr="00E62332">
        <w:rPr>
          <w:i/>
        </w:rPr>
        <w:t>n</w:t>
      </w:r>
      <w:r w:rsidRPr="00E62332">
        <w:t xml:space="preserve">ième type de signal. Il convient de noter aussi que les facteurs d'affaiblissement sur le trajet, </w:t>
      </w:r>
      <w:r w:rsidRPr="00E62332">
        <w:sym w:font="Symbol" w:char="F061"/>
      </w:r>
      <w:r w:rsidRPr="00E62332">
        <w:rPr>
          <w:i/>
          <w:vertAlign w:val="subscript"/>
        </w:rPr>
        <w:t>i,m</w:t>
      </w:r>
      <w:r w:rsidRPr="00E62332">
        <w:t xml:space="preserve">, sont intégrés dans les facteurs </w:t>
      </w:r>
      <w:r w:rsidRPr="00E62332">
        <w:rPr>
          <w:i/>
          <w:iCs/>
        </w:rPr>
        <w:t>G</w:t>
      </w:r>
      <w:r w:rsidRPr="00E62332">
        <w:rPr>
          <w:i/>
          <w:iCs/>
          <w:vertAlign w:val="superscript"/>
        </w:rPr>
        <w:t>agg</w:t>
      </w:r>
      <w:r w:rsidRPr="00E62332">
        <w:t xml:space="preserve"> et que la puissance maximale du signal reçu </w:t>
      </w:r>
      <w:r w:rsidRPr="00E62332">
        <w:rPr>
          <w:position w:val="-14"/>
        </w:rPr>
        <w:object w:dxaOrig="620" w:dyaOrig="440">
          <v:shape id="_x0000_i1064" type="#_x0000_t75" style="width:31.3pt;height:21.95pt" o:ole="">
            <v:imagedata r:id="rId88" o:title=""/>
          </v:shape>
          <o:OLEObject Type="Embed" ProgID="Equation.3" ShapeID="_x0000_i1064" DrawAspect="Content" ObjectID="_1541423562" r:id="rId89"/>
        </w:object>
      </w:r>
      <w:r w:rsidRPr="00E62332">
        <w:t>, est utilisée en lieu et place de la puissance du signal émis.</w:t>
      </w:r>
    </w:p>
    <w:p w:rsidR="005C6927" w:rsidRPr="00E62332" w:rsidRDefault="005C6927" w:rsidP="005C6927">
      <w:r w:rsidRPr="00E62332">
        <w:t>A titre d'exemple, une simulation a été faite à l'aide du modèle de propagation orbitale de la Recommandation UIT</w:t>
      </w:r>
      <w:r w:rsidRPr="00E62332">
        <w:noBreakHyphen/>
        <w:t xml:space="preserve">R M.1642. La constellation de 27 satellites utilisée présentait les paramètres orbitaux indiqués au Tableau 1. Le niveau de puissance reçue en fonction de l'angle d'élévation est indiqué à la Fig. 3 et le diagramme d'antenne de réception à la Figure. 4. La puissance maximale sur une période de 24 h pour chaque lieu (par pas de 5º en latitude et en longitude) est indiquée à la Figure. 5. Pour une puissance reçue maximale de –153 dBW, le facteur de gain cumulatif, sur l'ensemble des positions de récepteur, est de </w:t>
      </w:r>
      <w:r w:rsidRPr="00E62332">
        <w:fldChar w:fldCharType="begin"/>
      </w:r>
      <w:r w:rsidRPr="00E62332">
        <w:instrText xml:space="preserve"> EQ  –142,0 − (−153) = 11,0 dB. </w:instrText>
      </w:r>
      <w:r w:rsidRPr="00E62332">
        <w:fldChar w:fldCharType="end"/>
      </w:r>
    </w:p>
    <w:p w:rsidR="005C6927" w:rsidRDefault="005C6927" w:rsidP="005C6927">
      <w:pPr>
        <w:tabs>
          <w:tab w:val="clear" w:pos="794"/>
          <w:tab w:val="clear" w:pos="1191"/>
          <w:tab w:val="clear" w:pos="1588"/>
          <w:tab w:val="clear" w:pos="1985"/>
        </w:tabs>
        <w:overflowPunct/>
        <w:autoSpaceDE/>
        <w:autoSpaceDN/>
        <w:adjustRightInd/>
        <w:spacing w:before="0"/>
        <w:jc w:val="left"/>
        <w:textAlignment w:val="auto"/>
      </w:pPr>
      <w:bookmarkStart w:id="13" w:name="_Ref139872728"/>
      <w:r>
        <w:br w:type="page"/>
      </w:r>
    </w:p>
    <w:p w:rsidR="005C6927" w:rsidRPr="00E62332" w:rsidRDefault="005C6927" w:rsidP="005C6927">
      <w:pPr>
        <w:pStyle w:val="TableNo"/>
      </w:pPr>
      <w:r w:rsidRPr="00E62332">
        <w:lastRenderedPageBreak/>
        <w:t xml:space="preserve">TABLEAU </w:t>
      </w:r>
      <w:bookmarkEnd w:id="13"/>
      <w:r w:rsidRPr="00E62332">
        <w:t>1</w:t>
      </w:r>
    </w:p>
    <w:p w:rsidR="005C6927" w:rsidRPr="00E62332" w:rsidRDefault="005C6927" w:rsidP="005C6927">
      <w:pPr>
        <w:pStyle w:val="Tabletitle"/>
      </w:pPr>
      <w:r w:rsidRPr="00E62332">
        <w:t>Exemple de paramètres orbitaux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1354"/>
        <w:gridCol w:w="1502"/>
        <w:gridCol w:w="1379"/>
        <w:gridCol w:w="1256"/>
        <w:gridCol w:w="1718"/>
        <w:gridCol w:w="1116"/>
      </w:tblGrid>
      <w:tr w:rsidR="005C6927" w:rsidRPr="00E62332" w:rsidTr="00493BC9">
        <w:trPr>
          <w:cantSplit/>
          <w:tblHeader/>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head"/>
            </w:pPr>
            <w:r w:rsidRPr="00E62332">
              <w:t>Satellite</w:t>
            </w:r>
            <w:r w:rsidRPr="00E62332">
              <w:br/>
              <w:t>ID</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head"/>
            </w:pPr>
            <w:r w:rsidRPr="00E62332">
              <w:t xml:space="preserve">Rayon de l'orbite </w:t>
            </w:r>
            <w:r w:rsidRPr="00E62332">
              <w:br/>
              <w:t>(km)</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head"/>
            </w:pPr>
            <w:r w:rsidRPr="00E62332">
              <w:t>Excentricité</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head"/>
            </w:pPr>
            <w:r w:rsidRPr="00E62332">
              <w:t>Inclinaison</w:t>
            </w:r>
            <w:r w:rsidRPr="00E62332">
              <w:br/>
              <w:t>(degrés)</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head"/>
            </w:pPr>
            <w:r w:rsidRPr="00E62332">
              <w:t xml:space="preserve">Ascension droite </w:t>
            </w:r>
            <w:r w:rsidRPr="00E62332">
              <w:br/>
              <w:t>(degrés)</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head"/>
            </w:pPr>
            <w:r w:rsidRPr="00E62332">
              <w:t xml:space="preserve">Argument du périgée </w:t>
            </w:r>
            <w:r w:rsidRPr="00E62332">
              <w:br/>
              <w:t>(degrés)</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head"/>
            </w:pPr>
            <w:r w:rsidRPr="00E62332">
              <w:t xml:space="preserve">Anomalie moyenne </w:t>
            </w:r>
            <w:r w:rsidRPr="00E62332">
              <w:br/>
              <w:t>(degrés)</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1</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6,33</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134,62</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3</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234,13</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4</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269,42</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118,21285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30,39</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6</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118,21285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61,53</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7</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118,21285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152,22</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8</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118,21285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176,92</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9</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118,21285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289,68</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10</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178,21285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90,83</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11</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178,21285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197,11</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12</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178,21285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227,99</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13</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178,21285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322,09</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14</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238,21285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0,00</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15</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238,21285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28,67</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16</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238,21285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131,04</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17</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238,21285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228,26</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18</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238,21285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255,7</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19</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298,21285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56,33</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20</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298,21285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165,07</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21</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298,21285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267,07</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22</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298,21285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293,95</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23</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358,21285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68,43</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24</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358,21285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99,32</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25</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358,21285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201,63</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358,21285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320,60</w:t>
            </w:r>
          </w:p>
        </w:tc>
      </w:tr>
      <w:tr w:rsidR="005C6927" w:rsidRPr="00E62332" w:rsidTr="00493BC9">
        <w:trPr>
          <w:cantSplit/>
          <w:jc w:val="center"/>
        </w:trPr>
        <w:tc>
          <w:tcPr>
            <w:tcW w:w="131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27</w:t>
            </w:r>
          </w:p>
        </w:tc>
        <w:tc>
          <w:tcPr>
            <w:tcW w:w="1354"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26559,8</w:t>
            </w:r>
          </w:p>
        </w:tc>
        <w:tc>
          <w:tcPr>
            <w:tcW w:w="1502"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379"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55</w:t>
            </w:r>
          </w:p>
        </w:tc>
        <w:tc>
          <w:tcPr>
            <w:tcW w:w="1256"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358,21285</w:t>
            </w:r>
          </w:p>
        </w:tc>
        <w:tc>
          <w:tcPr>
            <w:tcW w:w="1718" w:type="dxa"/>
            <w:tcBorders>
              <w:top w:val="single" w:sz="4" w:space="0" w:color="auto"/>
              <w:left w:val="single" w:sz="4" w:space="0" w:color="auto"/>
              <w:bottom w:val="single" w:sz="4" w:space="0" w:color="auto"/>
              <w:right w:val="single" w:sz="4" w:space="0" w:color="auto"/>
            </w:tcBorders>
          </w:tcPr>
          <w:p w:rsidR="005C6927" w:rsidRPr="00E62332" w:rsidRDefault="005C6927" w:rsidP="00493BC9">
            <w:pPr>
              <w:pStyle w:val="Tabletext"/>
              <w:jc w:val="center"/>
            </w:pPr>
            <w:r w:rsidRPr="00E62332">
              <w:t>0</w:t>
            </w:r>
          </w:p>
        </w:tc>
        <w:tc>
          <w:tcPr>
            <w:tcW w:w="1116" w:type="dxa"/>
            <w:tcBorders>
              <w:top w:val="single" w:sz="4" w:space="0" w:color="auto"/>
              <w:left w:val="single" w:sz="4" w:space="0" w:color="auto"/>
              <w:bottom w:val="single" w:sz="4" w:space="0" w:color="auto"/>
              <w:right w:val="single" w:sz="4" w:space="0" w:color="auto"/>
            </w:tcBorders>
            <w:tcMar>
              <w:left w:w="68" w:type="dxa"/>
              <w:right w:w="68" w:type="dxa"/>
            </w:tcMar>
          </w:tcPr>
          <w:p w:rsidR="005C6927" w:rsidRPr="00E62332" w:rsidRDefault="005C6927" w:rsidP="00493BC9">
            <w:pPr>
              <w:pStyle w:val="Tabletext"/>
              <w:jc w:val="center"/>
            </w:pPr>
            <w:r w:rsidRPr="00E62332">
              <w:t>349,16</w:t>
            </w:r>
          </w:p>
        </w:tc>
      </w:tr>
    </w:tbl>
    <w:p w:rsidR="005C6927" w:rsidRPr="00E62332" w:rsidRDefault="005C6927" w:rsidP="00164AF7">
      <w:pPr>
        <w:pStyle w:val="Tablefin"/>
      </w:pPr>
    </w:p>
    <w:p w:rsidR="005C6927" w:rsidRPr="00E62332" w:rsidRDefault="005C6927" w:rsidP="005C6927">
      <w:pPr>
        <w:pStyle w:val="FigureNo"/>
      </w:pPr>
      <w:r w:rsidRPr="00E62332">
        <w:lastRenderedPageBreak/>
        <w:t>Figure 3</w:t>
      </w:r>
    </w:p>
    <w:p w:rsidR="005C6927" w:rsidRPr="00E62332" w:rsidRDefault="005C6927" w:rsidP="005C6927">
      <w:pPr>
        <w:pStyle w:val="Figuretitle"/>
      </w:pPr>
      <w:r w:rsidRPr="00E62332">
        <w:t>Exemple de puissance de signal reçue dans un système de Terre en fonction de l'élévation</w:t>
      </w:r>
    </w:p>
    <w:p w:rsidR="005C6927" w:rsidRPr="00E62332" w:rsidRDefault="005C6927" w:rsidP="005C6927">
      <w:pPr>
        <w:pStyle w:val="Figure"/>
      </w:pPr>
      <w:r>
        <w:object w:dxaOrig="5950" w:dyaOrig="3553">
          <v:shape id="_x0000_i1065" type="#_x0000_t75" style="width:296.9pt;height:177.65pt" o:ole="">
            <v:imagedata r:id="rId90" o:title=""/>
          </v:shape>
          <o:OLEObject Type="Embed" ProgID="CorelDraw.Graphic.16" ShapeID="_x0000_i1065" DrawAspect="Content" ObjectID="_1541423563" r:id="rId91"/>
        </w:object>
      </w:r>
    </w:p>
    <w:p w:rsidR="005C6927" w:rsidRPr="00E62332" w:rsidRDefault="005C6927" w:rsidP="005C6927">
      <w:pPr>
        <w:pStyle w:val="FigureNo"/>
      </w:pPr>
      <w:r w:rsidRPr="00E62332">
        <w:t>Figure 4</w:t>
      </w:r>
    </w:p>
    <w:p w:rsidR="005C6927" w:rsidRPr="00E62332" w:rsidRDefault="005C6927" w:rsidP="005C6927">
      <w:pPr>
        <w:pStyle w:val="Figuretitle"/>
      </w:pPr>
      <w:r w:rsidRPr="00E62332">
        <w:t>Exemple de gain d'antenne de réception en fonction de l'angle d'élévation</w:t>
      </w:r>
    </w:p>
    <w:p w:rsidR="005C6927" w:rsidRPr="00E62332" w:rsidRDefault="005C6927" w:rsidP="005C6927">
      <w:pPr>
        <w:pStyle w:val="Figure"/>
      </w:pPr>
      <w:r>
        <w:object w:dxaOrig="5233" w:dyaOrig="4387">
          <v:shape id="_x0000_i1066" type="#_x0000_t75" style="width:261.8pt;height:219.25pt" o:ole="">
            <v:imagedata r:id="rId92" o:title=""/>
          </v:shape>
          <o:OLEObject Type="Embed" ProgID="CorelDraw.Graphic.16" ShapeID="_x0000_i1066" DrawAspect="Content" ObjectID="_1541423564" r:id="rId93"/>
        </w:object>
      </w:r>
    </w:p>
    <w:p w:rsidR="005C6927" w:rsidRPr="00E62332" w:rsidRDefault="005C6927" w:rsidP="005C6927">
      <w:pPr>
        <w:pStyle w:val="FigureNo"/>
      </w:pPr>
      <w:r w:rsidRPr="00E62332">
        <w:lastRenderedPageBreak/>
        <w:t>Figure 5</w:t>
      </w:r>
    </w:p>
    <w:p w:rsidR="005C6927" w:rsidRPr="00E62332" w:rsidRDefault="005C6927" w:rsidP="005C6927">
      <w:pPr>
        <w:pStyle w:val="Figuretitle"/>
      </w:pPr>
      <w:r w:rsidRPr="00E62332">
        <w:t>Exemple de puissance cumulative maximale à la surface de la Terre sur une période de 24 h</w:t>
      </w:r>
    </w:p>
    <w:p w:rsidR="005C6927" w:rsidRPr="00E62332" w:rsidRDefault="005C6927" w:rsidP="005C6927">
      <w:pPr>
        <w:pStyle w:val="Figure"/>
      </w:pPr>
      <w:r>
        <w:object w:dxaOrig="6831" w:dyaOrig="4224">
          <v:shape id="_x0000_i1067" type="#_x0000_t75" style="width:341.75pt;height:211.3pt" o:ole="">
            <v:imagedata r:id="rId94" o:title=""/>
          </v:shape>
          <o:OLEObject Type="Embed" ProgID="CorelDraw.Graphic.16" ShapeID="_x0000_i1067" DrawAspect="Content" ObjectID="_1541423565" r:id="rId95"/>
        </w:object>
      </w:r>
    </w:p>
    <w:p w:rsidR="005C6927" w:rsidRPr="00E62332" w:rsidRDefault="005C6927" w:rsidP="005C6927">
      <w:pPr>
        <w:pStyle w:val="Heading1"/>
      </w:pPr>
      <w:bookmarkStart w:id="14" w:name="_Toc467049668"/>
      <w:r w:rsidRPr="00E62332">
        <w:t>5</w:t>
      </w:r>
      <w:r w:rsidRPr="00E62332">
        <w:tab/>
        <w:t>Exemple hypothétique d'application de la méthode</w:t>
      </w:r>
      <w:bookmarkEnd w:id="14"/>
      <w:r w:rsidRPr="00E62332">
        <w:t xml:space="preserve"> </w:t>
      </w:r>
    </w:p>
    <w:p w:rsidR="005C6927" w:rsidRPr="00E62332" w:rsidRDefault="005C6927" w:rsidP="005C6927">
      <w:pPr>
        <w:pStyle w:val="Heading2"/>
      </w:pPr>
      <w:bookmarkStart w:id="15" w:name="_Toc467049669"/>
      <w:r w:rsidRPr="00E62332">
        <w:t>5.1</w:t>
      </w:r>
      <w:r w:rsidRPr="00E62332">
        <w:tab/>
      </w:r>
      <w:r>
        <w:t>E</w:t>
      </w:r>
      <w:r w:rsidRPr="00E62332">
        <w:t>valuation des niveaux de brouillage</w:t>
      </w:r>
      <w:bookmarkEnd w:id="15"/>
    </w:p>
    <w:p w:rsidR="005C6927" w:rsidRPr="00E62332" w:rsidRDefault="005C6927" w:rsidP="005C6927">
      <w:r w:rsidRPr="00E62332">
        <w:t xml:space="preserve">Un exemple hypothétique est donné dans le Tableau 2 pour illustrer comment on pourrait appliquer la méthode dans une analyse des brouillages causés par un autre système du SRNS. On notera que les valeurs utilisées ne sont données qu'à titre illustratif et devront être coordonnées dans le cadre de discussions. </w:t>
      </w:r>
    </w:p>
    <w:p w:rsidR="005C6927" w:rsidRPr="00E62332" w:rsidRDefault="005C6927" w:rsidP="005C6927">
      <w:pPr>
        <w:pStyle w:val="TableNo"/>
      </w:pPr>
      <w:r w:rsidRPr="00E62332">
        <w:t>TABLEAU 2</w:t>
      </w:r>
    </w:p>
    <w:p w:rsidR="005C6927" w:rsidRPr="00E62332" w:rsidRDefault="005C6927" w:rsidP="005C6927">
      <w:pPr>
        <w:pStyle w:val="Tabletitle"/>
      </w:pPr>
      <w:r w:rsidRPr="00E62332">
        <w:t xml:space="preserve">Exemple hypothétique de l'effet des brouillages entre plusieurs systèmes </w:t>
      </w:r>
      <w:r w:rsidRPr="00E62332">
        <w:br/>
        <w:t>(brouillages causés par un système B aux systèmes combinés A et SBAS)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4"/>
        <w:gridCol w:w="1805"/>
      </w:tblGrid>
      <w:tr w:rsidR="005C6927" w:rsidRPr="00E62332" w:rsidTr="00493BC9">
        <w:trPr>
          <w:jc w:val="center"/>
        </w:trPr>
        <w:tc>
          <w:tcPr>
            <w:tcW w:w="9639" w:type="dxa"/>
            <w:gridSpan w:val="2"/>
          </w:tcPr>
          <w:p w:rsidR="005C6927" w:rsidRPr="00E62332" w:rsidRDefault="005C6927" w:rsidP="00493BC9">
            <w:pPr>
              <w:pStyle w:val="Tablehead"/>
              <w:rPr>
                <w:sz w:val="20"/>
              </w:rPr>
            </w:pPr>
            <w:r w:rsidRPr="00E62332">
              <w:rPr>
                <w:sz w:val="20"/>
              </w:rPr>
              <w:t>Densité spectrale de puissance de bruit équivalente du système de référence:</w:t>
            </w:r>
            <w:r w:rsidRPr="00E62332">
              <w:rPr>
                <w:sz w:val="20"/>
              </w:rPr>
              <w:br/>
            </w:r>
            <w:r w:rsidRPr="00E62332">
              <w:rPr>
                <w:i/>
                <w:sz w:val="20"/>
              </w:rPr>
              <w:t>N</w:t>
            </w:r>
            <w:r w:rsidRPr="00E62332">
              <w:rPr>
                <w:sz w:val="20"/>
                <w:vertAlign w:val="subscript"/>
              </w:rPr>
              <w:t xml:space="preserve">0 </w:t>
            </w:r>
            <w:r w:rsidRPr="00E62332">
              <w:rPr>
                <w:sz w:val="20"/>
              </w:rPr>
              <w:t xml:space="preserve">+ autobrouillage du système de référence, </w:t>
            </w:r>
            <w:r w:rsidRPr="00E62332">
              <w:rPr>
                <w:i/>
                <w:sz w:val="20"/>
              </w:rPr>
              <w:t>I</w:t>
            </w:r>
            <w:r w:rsidRPr="00E62332">
              <w:rPr>
                <w:i/>
                <w:iCs/>
                <w:sz w:val="20"/>
                <w:vertAlign w:val="subscript"/>
              </w:rPr>
              <w:t>ref</w:t>
            </w:r>
            <w:r w:rsidRPr="00E62332">
              <w:rPr>
                <w:sz w:val="20"/>
              </w:rPr>
              <w:t>,</w:t>
            </w:r>
            <w:r w:rsidRPr="00E62332">
              <w:rPr>
                <w:sz w:val="20"/>
              </w:rPr>
              <w:br/>
              <w:t>imputable au bruit thermique et à d'autres signaux de la constellation de référence (système A)</w:t>
            </w:r>
          </w:p>
        </w:tc>
      </w:tr>
      <w:tr w:rsidR="005C6927" w:rsidRPr="00E62332" w:rsidTr="00493BC9">
        <w:trPr>
          <w:jc w:val="center"/>
        </w:trPr>
        <w:tc>
          <w:tcPr>
            <w:tcW w:w="7834" w:type="dxa"/>
          </w:tcPr>
          <w:p w:rsidR="005C6927" w:rsidRPr="00E62332" w:rsidRDefault="005C6927" w:rsidP="00493BC9">
            <w:pPr>
              <w:pStyle w:val="Tabletext"/>
              <w:rPr>
                <w:sz w:val="20"/>
              </w:rPr>
            </w:pPr>
            <w:r w:rsidRPr="00E62332">
              <w:rPr>
                <w:sz w:val="20"/>
              </w:rPr>
              <w:t>Puissance maximale du signal 1 (dBW)</w:t>
            </w:r>
          </w:p>
        </w:tc>
        <w:tc>
          <w:tcPr>
            <w:tcW w:w="1805" w:type="dxa"/>
            <w:vAlign w:val="bottom"/>
          </w:tcPr>
          <w:p w:rsidR="005C6927" w:rsidRPr="00E62332" w:rsidRDefault="005C6927" w:rsidP="00493BC9">
            <w:pPr>
              <w:pStyle w:val="Tabletext"/>
              <w:jc w:val="center"/>
              <w:rPr>
                <w:sz w:val="20"/>
              </w:rPr>
            </w:pPr>
            <w:r w:rsidRPr="00E62332">
              <w:rPr>
                <w:sz w:val="20"/>
              </w:rPr>
              <w:t>–157,50</w:t>
            </w:r>
          </w:p>
        </w:tc>
      </w:tr>
      <w:tr w:rsidR="005C6927" w:rsidRPr="00E62332" w:rsidTr="00493BC9">
        <w:trPr>
          <w:jc w:val="center"/>
        </w:trPr>
        <w:tc>
          <w:tcPr>
            <w:tcW w:w="7834" w:type="dxa"/>
          </w:tcPr>
          <w:p w:rsidR="005C6927" w:rsidRPr="00E62332" w:rsidRDefault="005C6927" w:rsidP="00493BC9">
            <w:pPr>
              <w:pStyle w:val="Tabletext"/>
              <w:rPr>
                <w:sz w:val="20"/>
              </w:rPr>
            </w:pPr>
            <w:r w:rsidRPr="00E62332">
              <w:rPr>
                <w:sz w:val="20"/>
              </w:rPr>
              <w:t>Puissance maximale du signal 2 (dBW)</w:t>
            </w:r>
          </w:p>
        </w:tc>
        <w:tc>
          <w:tcPr>
            <w:tcW w:w="1805" w:type="dxa"/>
            <w:vAlign w:val="bottom"/>
          </w:tcPr>
          <w:p w:rsidR="005C6927" w:rsidRPr="00E62332" w:rsidRDefault="005C6927" w:rsidP="00493BC9">
            <w:pPr>
              <w:pStyle w:val="Tabletext"/>
              <w:jc w:val="center"/>
              <w:rPr>
                <w:sz w:val="20"/>
              </w:rPr>
            </w:pPr>
            <w:r w:rsidRPr="00E62332">
              <w:rPr>
                <w:sz w:val="20"/>
              </w:rPr>
              <w:t>–160,50</w:t>
            </w:r>
          </w:p>
        </w:tc>
      </w:tr>
      <w:tr w:rsidR="005C6927" w:rsidRPr="00E62332" w:rsidTr="00493BC9">
        <w:trPr>
          <w:jc w:val="center"/>
        </w:trPr>
        <w:tc>
          <w:tcPr>
            <w:tcW w:w="7834" w:type="dxa"/>
          </w:tcPr>
          <w:p w:rsidR="005C6927" w:rsidRPr="00E62332" w:rsidRDefault="005C6927" w:rsidP="00493BC9">
            <w:pPr>
              <w:pStyle w:val="Tabletext"/>
              <w:rPr>
                <w:sz w:val="20"/>
              </w:rPr>
            </w:pPr>
            <w:r w:rsidRPr="00E62332">
              <w:rPr>
                <w:sz w:val="20"/>
              </w:rPr>
              <w:t>Puissance maximale du signal 3 (dBW)</w:t>
            </w:r>
          </w:p>
        </w:tc>
        <w:tc>
          <w:tcPr>
            <w:tcW w:w="1805" w:type="dxa"/>
            <w:vAlign w:val="bottom"/>
          </w:tcPr>
          <w:p w:rsidR="005C6927" w:rsidRPr="00E62332" w:rsidRDefault="005C6927" w:rsidP="00493BC9">
            <w:pPr>
              <w:pStyle w:val="Tabletext"/>
              <w:jc w:val="center"/>
              <w:rPr>
                <w:sz w:val="20"/>
              </w:rPr>
            </w:pPr>
            <w:r w:rsidRPr="00E62332">
              <w:rPr>
                <w:sz w:val="20"/>
              </w:rPr>
              <w:t>–157,50</w:t>
            </w:r>
          </w:p>
        </w:tc>
      </w:tr>
      <w:tr w:rsidR="005C6927" w:rsidRPr="00E62332" w:rsidTr="00493BC9">
        <w:trPr>
          <w:jc w:val="center"/>
        </w:trPr>
        <w:tc>
          <w:tcPr>
            <w:tcW w:w="7834" w:type="dxa"/>
          </w:tcPr>
          <w:p w:rsidR="005C6927" w:rsidRPr="00E62332" w:rsidRDefault="005C6927" w:rsidP="00493BC9">
            <w:pPr>
              <w:pStyle w:val="Tabletext"/>
              <w:rPr>
                <w:sz w:val="20"/>
              </w:rPr>
            </w:pPr>
            <w:r w:rsidRPr="00E62332">
              <w:rPr>
                <w:sz w:val="20"/>
              </w:rPr>
              <w:t>Affaiblissement de traitement pour le signal brouilleur (dB)</w:t>
            </w:r>
          </w:p>
        </w:tc>
        <w:tc>
          <w:tcPr>
            <w:tcW w:w="1805" w:type="dxa"/>
            <w:vAlign w:val="bottom"/>
          </w:tcPr>
          <w:p w:rsidR="005C6927" w:rsidRPr="00E62332" w:rsidRDefault="005C6927" w:rsidP="00493BC9">
            <w:pPr>
              <w:pStyle w:val="Tabletext"/>
              <w:jc w:val="center"/>
              <w:rPr>
                <w:sz w:val="20"/>
              </w:rPr>
            </w:pPr>
            <w:r w:rsidRPr="00E62332">
              <w:rPr>
                <w:sz w:val="20"/>
              </w:rPr>
              <w:t>1,00</w:t>
            </w:r>
          </w:p>
        </w:tc>
      </w:tr>
      <w:tr w:rsidR="005C6927" w:rsidRPr="00E62332" w:rsidTr="00493BC9">
        <w:trPr>
          <w:jc w:val="center"/>
        </w:trPr>
        <w:tc>
          <w:tcPr>
            <w:tcW w:w="7834" w:type="dxa"/>
          </w:tcPr>
          <w:p w:rsidR="005C6927" w:rsidRPr="00E62332" w:rsidRDefault="005C6927" w:rsidP="00493BC9">
            <w:pPr>
              <w:pStyle w:val="Tabletext"/>
              <w:rPr>
                <w:sz w:val="20"/>
              </w:rPr>
            </w:pPr>
            <w:r w:rsidRPr="00E62332">
              <w:rPr>
                <w:sz w:val="20"/>
              </w:rPr>
              <w:t xml:space="preserve">Facteur de gain cumulatif, </w:t>
            </w:r>
            <w:r w:rsidRPr="00E62332">
              <w:rPr>
                <w:i/>
                <w:sz w:val="20"/>
              </w:rPr>
              <w:t>G</w:t>
            </w:r>
            <w:r w:rsidRPr="00E62332">
              <w:rPr>
                <w:i/>
                <w:iCs/>
                <w:sz w:val="20"/>
                <w:vertAlign w:val="superscript"/>
              </w:rPr>
              <w:t>agg</w:t>
            </w:r>
            <w:r w:rsidRPr="00E62332">
              <w:rPr>
                <w:sz w:val="20"/>
              </w:rPr>
              <w:t xml:space="preserve"> (dB)</w:t>
            </w:r>
          </w:p>
        </w:tc>
        <w:tc>
          <w:tcPr>
            <w:tcW w:w="1805" w:type="dxa"/>
            <w:vAlign w:val="bottom"/>
          </w:tcPr>
          <w:p w:rsidR="005C6927" w:rsidRPr="00E62332" w:rsidRDefault="005C6927" w:rsidP="00493BC9">
            <w:pPr>
              <w:pStyle w:val="Tabletext"/>
              <w:jc w:val="center"/>
              <w:rPr>
                <w:sz w:val="20"/>
              </w:rPr>
            </w:pPr>
            <w:r w:rsidRPr="00E62332">
              <w:rPr>
                <w:sz w:val="20"/>
              </w:rPr>
              <w:t>12,00</w:t>
            </w:r>
          </w:p>
        </w:tc>
      </w:tr>
      <w:tr w:rsidR="005C6927" w:rsidRPr="00E62332" w:rsidTr="00493BC9">
        <w:trPr>
          <w:jc w:val="center"/>
        </w:trPr>
        <w:tc>
          <w:tcPr>
            <w:tcW w:w="7834" w:type="dxa"/>
          </w:tcPr>
          <w:p w:rsidR="005C6927" w:rsidRPr="00E62332" w:rsidRDefault="005C6927" w:rsidP="00493BC9">
            <w:pPr>
              <w:pStyle w:val="Tabletext"/>
              <w:jc w:val="right"/>
              <w:rPr>
                <w:sz w:val="20"/>
              </w:rPr>
            </w:pPr>
            <w:r w:rsidRPr="00E62332">
              <w:rPr>
                <w:sz w:val="20"/>
              </w:rPr>
              <w:t>Coefficient de séparation spectrale,</w:t>
            </w:r>
            <w:r w:rsidRPr="00E62332">
              <w:rPr>
                <w:bCs/>
                <w:sz w:val="20"/>
              </w:rPr>
              <w:t xml:space="preserve"> </w:t>
            </w:r>
            <w:r w:rsidRPr="00E62332">
              <w:rPr>
                <w:bCs/>
                <w:sz w:val="20"/>
              </w:rPr>
              <w:sym w:font="Symbol" w:char="F062"/>
            </w:r>
            <w:r w:rsidRPr="00E62332">
              <w:rPr>
                <w:bCs/>
                <w:sz w:val="20"/>
              </w:rPr>
              <w:t xml:space="preserve"> </w:t>
            </w:r>
            <w:r w:rsidRPr="00E62332">
              <w:rPr>
                <w:sz w:val="20"/>
              </w:rPr>
              <w:t>(dB/Hz)</w:t>
            </w:r>
          </w:p>
        </w:tc>
        <w:tc>
          <w:tcPr>
            <w:tcW w:w="1805" w:type="dxa"/>
            <w:vAlign w:val="bottom"/>
          </w:tcPr>
          <w:p w:rsidR="005C6927" w:rsidRPr="00E62332" w:rsidRDefault="005C6927" w:rsidP="00493BC9">
            <w:pPr>
              <w:pStyle w:val="Tabletext"/>
              <w:jc w:val="center"/>
              <w:rPr>
                <w:sz w:val="20"/>
              </w:rPr>
            </w:pPr>
          </w:p>
        </w:tc>
      </w:tr>
      <w:tr w:rsidR="005C6927" w:rsidRPr="00E62332" w:rsidTr="00493BC9">
        <w:trPr>
          <w:jc w:val="center"/>
        </w:trPr>
        <w:tc>
          <w:tcPr>
            <w:tcW w:w="7834" w:type="dxa"/>
          </w:tcPr>
          <w:p w:rsidR="005C6927" w:rsidRPr="00E62332" w:rsidRDefault="005C6927" w:rsidP="00493BC9">
            <w:pPr>
              <w:pStyle w:val="Tabletext"/>
              <w:jc w:val="right"/>
              <w:rPr>
                <w:sz w:val="20"/>
              </w:rPr>
            </w:pPr>
            <w:r w:rsidRPr="00E62332">
              <w:rPr>
                <w:i/>
                <w:iCs/>
                <w:sz w:val="20"/>
              </w:rPr>
              <w:t>Entre le signal 1 et le signal 1</w:t>
            </w:r>
            <w:r w:rsidRPr="00E62332">
              <w:rPr>
                <w:sz w:val="20"/>
                <w:vertAlign w:val="superscript"/>
              </w:rPr>
              <w:t>(1)</w:t>
            </w:r>
          </w:p>
        </w:tc>
        <w:tc>
          <w:tcPr>
            <w:tcW w:w="1805" w:type="dxa"/>
            <w:vAlign w:val="bottom"/>
          </w:tcPr>
          <w:p w:rsidR="005C6927" w:rsidRPr="00E62332" w:rsidRDefault="005C6927" w:rsidP="00493BC9">
            <w:pPr>
              <w:pStyle w:val="Tabletext"/>
              <w:jc w:val="center"/>
              <w:rPr>
                <w:i/>
                <w:iCs/>
                <w:sz w:val="20"/>
              </w:rPr>
            </w:pPr>
            <w:r w:rsidRPr="00E62332">
              <w:rPr>
                <w:sz w:val="20"/>
              </w:rPr>
              <w:t>–61,80</w:t>
            </w:r>
          </w:p>
        </w:tc>
      </w:tr>
      <w:tr w:rsidR="005C6927" w:rsidRPr="00E62332" w:rsidTr="00493BC9">
        <w:trPr>
          <w:jc w:val="center"/>
        </w:trPr>
        <w:tc>
          <w:tcPr>
            <w:tcW w:w="7834" w:type="dxa"/>
          </w:tcPr>
          <w:p w:rsidR="005C6927" w:rsidRPr="00E62332" w:rsidRDefault="005C6927" w:rsidP="00493BC9">
            <w:pPr>
              <w:pStyle w:val="Tabletext"/>
              <w:jc w:val="right"/>
              <w:rPr>
                <w:i/>
                <w:iCs/>
                <w:sz w:val="20"/>
              </w:rPr>
            </w:pPr>
            <w:r w:rsidRPr="00E62332">
              <w:rPr>
                <w:i/>
                <w:iCs/>
                <w:sz w:val="20"/>
              </w:rPr>
              <w:t>Entre le signal 2 et le signal 1</w:t>
            </w:r>
          </w:p>
        </w:tc>
        <w:tc>
          <w:tcPr>
            <w:tcW w:w="1805" w:type="dxa"/>
            <w:vAlign w:val="bottom"/>
          </w:tcPr>
          <w:p w:rsidR="005C6927" w:rsidRPr="00E62332" w:rsidRDefault="005C6927" w:rsidP="00493BC9">
            <w:pPr>
              <w:pStyle w:val="Tabletext"/>
              <w:jc w:val="center"/>
              <w:rPr>
                <w:i/>
                <w:iCs/>
                <w:sz w:val="20"/>
              </w:rPr>
            </w:pPr>
            <w:r w:rsidRPr="00E62332">
              <w:rPr>
                <w:sz w:val="20"/>
              </w:rPr>
              <w:t>–70,00</w:t>
            </w:r>
          </w:p>
        </w:tc>
      </w:tr>
      <w:tr w:rsidR="005C6927" w:rsidRPr="00E62332" w:rsidTr="00493BC9">
        <w:trPr>
          <w:jc w:val="center"/>
        </w:trPr>
        <w:tc>
          <w:tcPr>
            <w:tcW w:w="7834" w:type="dxa"/>
          </w:tcPr>
          <w:p w:rsidR="005C6927" w:rsidRPr="00E62332" w:rsidRDefault="005C6927" w:rsidP="00493BC9">
            <w:pPr>
              <w:pStyle w:val="Tabletext"/>
              <w:jc w:val="right"/>
              <w:rPr>
                <w:i/>
                <w:iCs/>
                <w:sz w:val="20"/>
              </w:rPr>
            </w:pPr>
            <w:r w:rsidRPr="00E62332">
              <w:rPr>
                <w:i/>
                <w:iCs/>
                <w:sz w:val="20"/>
              </w:rPr>
              <w:t>Entre le signal 3 et le signal 1</w:t>
            </w:r>
          </w:p>
        </w:tc>
        <w:tc>
          <w:tcPr>
            <w:tcW w:w="1805" w:type="dxa"/>
            <w:vAlign w:val="bottom"/>
          </w:tcPr>
          <w:p w:rsidR="005C6927" w:rsidRPr="00E62332" w:rsidRDefault="005C6927" w:rsidP="00493BC9">
            <w:pPr>
              <w:pStyle w:val="Tabletext"/>
              <w:jc w:val="center"/>
              <w:rPr>
                <w:i/>
                <w:iCs/>
                <w:sz w:val="20"/>
              </w:rPr>
            </w:pPr>
            <w:r w:rsidRPr="00E62332">
              <w:rPr>
                <w:sz w:val="20"/>
              </w:rPr>
              <w:t>–67,90</w:t>
            </w:r>
          </w:p>
        </w:tc>
      </w:tr>
      <w:tr w:rsidR="005C6927" w:rsidRPr="00E62332" w:rsidTr="00493BC9">
        <w:trPr>
          <w:jc w:val="center"/>
        </w:trPr>
        <w:tc>
          <w:tcPr>
            <w:tcW w:w="7834" w:type="dxa"/>
          </w:tcPr>
          <w:p w:rsidR="005C6927" w:rsidRPr="00E62332" w:rsidRDefault="005C6927" w:rsidP="00493BC9">
            <w:pPr>
              <w:pStyle w:val="Tabletext"/>
              <w:rPr>
                <w:sz w:val="20"/>
              </w:rPr>
            </w:pPr>
            <w:r w:rsidRPr="00E62332">
              <w:rPr>
                <w:sz w:val="20"/>
              </w:rPr>
              <w:t xml:space="preserve">Densité de bruit thermique, </w:t>
            </w:r>
            <w:r w:rsidRPr="00E62332">
              <w:rPr>
                <w:i/>
                <w:sz w:val="20"/>
              </w:rPr>
              <w:t>N</w:t>
            </w:r>
            <w:r w:rsidRPr="00E62332">
              <w:rPr>
                <w:sz w:val="20"/>
                <w:vertAlign w:val="subscript"/>
              </w:rPr>
              <w:t>0</w:t>
            </w:r>
            <w:r w:rsidRPr="00E62332">
              <w:rPr>
                <w:sz w:val="20"/>
              </w:rPr>
              <w:t xml:space="preserve"> (dB(W/Hz))</w:t>
            </w:r>
          </w:p>
        </w:tc>
        <w:tc>
          <w:tcPr>
            <w:tcW w:w="1805" w:type="dxa"/>
          </w:tcPr>
          <w:p w:rsidR="005C6927" w:rsidRPr="00E62332" w:rsidRDefault="005C6927" w:rsidP="00493BC9">
            <w:pPr>
              <w:pStyle w:val="Tabletext"/>
              <w:jc w:val="center"/>
              <w:rPr>
                <w:sz w:val="20"/>
              </w:rPr>
            </w:pPr>
            <w:r w:rsidRPr="00E62332">
              <w:rPr>
                <w:sz w:val="20"/>
              </w:rPr>
              <w:t>–201,50</w:t>
            </w:r>
            <w:r w:rsidRPr="00E62332">
              <w:rPr>
                <w:sz w:val="20"/>
                <w:vertAlign w:val="superscript"/>
              </w:rPr>
              <w:t>(2)</w:t>
            </w:r>
          </w:p>
        </w:tc>
      </w:tr>
      <w:tr w:rsidR="005C6927" w:rsidRPr="00E62332" w:rsidTr="00493BC9">
        <w:trPr>
          <w:jc w:val="center"/>
        </w:trPr>
        <w:tc>
          <w:tcPr>
            <w:tcW w:w="7834" w:type="dxa"/>
          </w:tcPr>
          <w:p w:rsidR="005C6927" w:rsidRPr="00E62332" w:rsidRDefault="005C6927" w:rsidP="00493BC9">
            <w:pPr>
              <w:pStyle w:val="Tabletext"/>
              <w:rPr>
                <w:sz w:val="20"/>
              </w:rPr>
            </w:pPr>
            <w:r w:rsidRPr="00E62332">
              <w:rPr>
                <w:i/>
                <w:sz w:val="20"/>
              </w:rPr>
              <w:t>I</w:t>
            </w:r>
            <w:r w:rsidRPr="00E62332">
              <w:rPr>
                <w:i/>
                <w:iCs/>
                <w:sz w:val="20"/>
                <w:vertAlign w:val="subscript"/>
              </w:rPr>
              <w:t>ref</w:t>
            </w:r>
            <w:r w:rsidRPr="00E62332">
              <w:rPr>
                <w:sz w:val="20"/>
              </w:rPr>
              <w:t xml:space="preserve"> (dB(W/Hz))</w:t>
            </w:r>
            <w:r w:rsidRPr="00E62332">
              <w:rPr>
                <w:sz w:val="20"/>
                <w:vertAlign w:val="superscript"/>
              </w:rPr>
              <w:t>(3)</w:t>
            </w:r>
          </w:p>
        </w:tc>
        <w:tc>
          <w:tcPr>
            <w:tcW w:w="1805" w:type="dxa"/>
            <w:vAlign w:val="bottom"/>
          </w:tcPr>
          <w:p w:rsidR="005C6927" w:rsidRPr="00E62332" w:rsidRDefault="005C6927" w:rsidP="00493BC9">
            <w:pPr>
              <w:pStyle w:val="Tabletext"/>
              <w:jc w:val="center"/>
              <w:rPr>
                <w:sz w:val="20"/>
              </w:rPr>
            </w:pPr>
            <w:r w:rsidRPr="00E62332">
              <w:rPr>
                <w:sz w:val="20"/>
              </w:rPr>
              <w:t>–207,09</w:t>
            </w:r>
          </w:p>
        </w:tc>
      </w:tr>
      <w:tr w:rsidR="005C6927" w:rsidRPr="00E62332" w:rsidTr="00493BC9">
        <w:trPr>
          <w:jc w:val="center"/>
        </w:trPr>
        <w:tc>
          <w:tcPr>
            <w:tcW w:w="7834" w:type="dxa"/>
          </w:tcPr>
          <w:p w:rsidR="005C6927" w:rsidRPr="006168A6" w:rsidRDefault="005C6927" w:rsidP="00493BC9">
            <w:pPr>
              <w:pStyle w:val="Tabletext"/>
              <w:rPr>
                <w:sz w:val="20"/>
                <w:lang w:val="de-CH"/>
              </w:rPr>
            </w:pPr>
            <w:r w:rsidRPr="006168A6">
              <w:rPr>
                <w:i/>
                <w:sz w:val="20"/>
                <w:lang w:val="de-CH"/>
              </w:rPr>
              <w:t>N</w:t>
            </w:r>
            <w:r w:rsidRPr="006168A6">
              <w:rPr>
                <w:sz w:val="20"/>
                <w:vertAlign w:val="subscript"/>
                <w:lang w:val="de-CH"/>
              </w:rPr>
              <w:t xml:space="preserve">0 </w:t>
            </w:r>
            <w:r w:rsidRPr="006168A6">
              <w:rPr>
                <w:sz w:val="20"/>
                <w:lang w:val="de-CH"/>
              </w:rPr>
              <w:t xml:space="preserve">+ </w:t>
            </w:r>
            <w:r w:rsidRPr="006168A6">
              <w:rPr>
                <w:i/>
                <w:sz w:val="20"/>
                <w:lang w:val="de-CH"/>
              </w:rPr>
              <w:t>I</w:t>
            </w:r>
            <w:r w:rsidRPr="006168A6">
              <w:rPr>
                <w:i/>
                <w:iCs/>
                <w:sz w:val="20"/>
                <w:vertAlign w:val="subscript"/>
                <w:lang w:val="de-CH"/>
              </w:rPr>
              <w:t>ref</w:t>
            </w:r>
            <w:r w:rsidRPr="006168A6">
              <w:rPr>
                <w:sz w:val="20"/>
                <w:lang w:val="de-CH"/>
              </w:rPr>
              <w:t xml:space="preserve"> (dB(W/Hz))</w:t>
            </w:r>
          </w:p>
        </w:tc>
        <w:tc>
          <w:tcPr>
            <w:tcW w:w="1805" w:type="dxa"/>
            <w:vAlign w:val="bottom"/>
          </w:tcPr>
          <w:p w:rsidR="005C6927" w:rsidRPr="00E62332" w:rsidRDefault="005C6927" w:rsidP="00493BC9">
            <w:pPr>
              <w:pStyle w:val="Tabletext"/>
              <w:jc w:val="center"/>
              <w:rPr>
                <w:sz w:val="20"/>
              </w:rPr>
            </w:pPr>
            <w:r w:rsidRPr="00E62332">
              <w:rPr>
                <w:sz w:val="20"/>
              </w:rPr>
              <w:t>–200,44</w:t>
            </w:r>
          </w:p>
        </w:tc>
      </w:tr>
    </w:tbl>
    <w:p w:rsidR="005C6927" w:rsidRDefault="005C6927" w:rsidP="005C6927">
      <w:pPr>
        <w:pStyle w:val="TableNo"/>
      </w:pPr>
      <w:r w:rsidRPr="00E62332">
        <w:lastRenderedPageBreak/>
        <w:t>TABLEAU 2 (</w:t>
      </w:r>
      <w:r w:rsidRPr="00E62332">
        <w:rPr>
          <w:i/>
          <w:iCs/>
        </w:rPr>
        <w:t>fin</w:t>
      </w:r>
      <w:r w:rsidRPr="00E62332">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4"/>
        <w:gridCol w:w="1805"/>
      </w:tblGrid>
      <w:tr w:rsidR="005C6927" w:rsidRPr="00E62332" w:rsidTr="00493BC9">
        <w:trPr>
          <w:jc w:val="center"/>
        </w:trPr>
        <w:tc>
          <w:tcPr>
            <w:tcW w:w="9639" w:type="dxa"/>
            <w:gridSpan w:val="2"/>
          </w:tcPr>
          <w:p w:rsidR="005C6927" w:rsidRPr="00E62332" w:rsidRDefault="005C6927" w:rsidP="00493BC9">
            <w:pPr>
              <w:pStyle w:val="Tablehead"/>
            </w:pPr>
            <w:r w:rsidRPr="00E62332">
              <w:rPr>
                <w:sz w:val="20"/>
              </w:rPr>
              <w:t>Densité spectrale de puissance de bruit effective entre plusieurs systèmes:</w:t>
            </w:r>
            <w:r w:rsidRPr="00E62332">
              <w:rPr>
                <w:sz w:val="20"/>
              </w:rPr>
              <w:br/>
            </w:r>
            <w:r w:rsidRPr="00E62332">
              <w:rPr>
                <w:i/>
                <w:iCs/>
                <w:sz w:val="20"/>
              </w:rPr>
              <w:t>N</w:t>
            </w:r>
            <w:r w:rsidRPr="00E62332">
              <w:rPr>
                <w:sz w:val="20"/>
                <w:vertAlign w:val="subscript"/>
              </w:rPr>
              <w:t xml:space="preserve">0 </w:t>
            </w:r>
            <w:r w:rsidRPr="00E62332">
              <w:rPr>
                <w:sz w:val="20"/>
              </w:rPr>
              <w:t xml:space="preserve">+ </w:t>
            </w:r>
            <w:r w:rsidRPr="00E62332">
              <w:rPr>
                <w:i/>
                <w:iCs/>
                <w:sz w:val="20"/>
              </w:rPr>
              <w:t>I</w:t>
            </w:r>
            <w:r w:rsidRPr="00E62332">
              <w:rPr>
                <w:i/>
                <w:iCs/>
                <w:sz w:val="20"/>
                <w:vertAlign w:val="subscript"/>
              </w:rPr>
              <w:t>ref</w:t>
            </w:r>
            <w:r w:rsidRPr="00E62332">
              <w:rPr>
                <w:sz w:val="20"/>
                <w:vertAlign w:val="subscript"/>
              </w:rPr>
              <w:t xml:space="preserve"> </w:t>
            </w:r>
            <w:r w:rsidRPr="00E62332">
              <w:rPr>
                <w:sz w:val="20"/>
              </w:rPr>
              <w:t xml:space="preserve">+ brouillage SRNS en dehors du brouillage causé par les systèmes A et B, </w:t>
            </w:r>
            <w:r w:rsidRPr="00E62332">
              <w:rPr>
                <w:i/>
                <w:iCs/>
                <w:sz w:val="20"/>
              </w:rPr>
              <w:t>I</w:t>
            </w:r>
            <w:r w:rsidRPr="00E62332">
              <w:rPr>
                <w:i/>
                <w:iCs/>
                <w:sz w:val="20"/>
                <w:vertAlign w:val="subscript"/>
              </w:rPr>
              <w:t>rem</w:t>
            </w:r>
            <w:r w:rsidRPr="00E62332">
              <w:rPr>
                <w:rFonts w:ascii="Times New Roman Bold" w:hAnsi="Times New Roman Bold" w:cs="Times New Roman Bold"/>
                <w:sz w:val="20"/>
              </w:rPr>
              <w:t>,</w:t>
            </w:r>
            <w:r w:rsidRPr="00E62332">
              <w:rPr>
                <w:sz w:val="20"/>
              </w:rPr>
              <w:br/>
              <w:t xml:space="preserve">imputable au bruit thermique, à d'autres signaux de la constellation de référence (système A), </w:t>
            </w:r>
            <w:r w:rsidRPr="00E62332">
              <w:rPr>
                <w:sz w:val="20"/>
              </w:rPr>
              <w:br/>
              <w:t>et au signal SBAS brouilleur, mais sans signal 0 du système B</w:t>
            </w:r>
          </w:p>
        </w:tc>
      </w:tr>
      <w:tr w:rsidR="005C6927" w:rsidRPr="00E62332" w:rsidTr="00493BC9">
        <w:trPr>
          <w:jc w:val="center"/>
        </w:trPr>
        <w:tc>
          <w:tcPr>
            <w:tcW w:w="7834" w:type="dxa"/>
          </w:tcPr>
          <w:p w:rsidR="005C6927" w:rsidRPr="00E62332" w:rsidRDefault="005C6927" w:rsidP="00493BC9">
            <w:pPr>
              <w:pStyle w:val="Tabletext"/>
              <w:rPr>
                <w:sz w:val="20"/>
              </w:rPr>
            </w:pPr>
            <w:r w:rsidRPr="00E62332">
              <w:rPr>
                <w:sz w:val="20"/>
              </w:rPr>
              <w:t>Puissance maximale du signal SBAS (dBW)</w:t>
            </w:r>
          </w:p>
        </w:tc>
        <w:tc>
          <w:tcPr>
            <w:tcW w:w="1805" w:type="dxa"/>
            <w:vAlign w:val="bottom"/>
          </w:tcPr>
          <w:p w:rsidR="005C6927" w:rsidRPr="00E62332" w:rsidRDefault="005C6927" w:rsidP="00493BC9">
            <w:pPr>
              <w:pStyle w:val="Tabletext"/>
              <w:jc w:val="center"/>
              <w:rPr>
                <w:sz w:val="20"/>
              </w:rPr>
            </w:pPr>
            <w:r w:rsidRPr="00E62332">
              <w:rPr>
                <w:sz w:val="20"/>
              </w:rPr>
              <w:t>–160,50</w:t>
            </w:r>
          </w:p>
        </w:tc>
      </w:tr>
      <w:tr w:rsidR="005C6927" w:rsidRPr="00E62332" w:rsidTr="00493BC9">
        <w:trPr>
          <w:jc w:val="center"/>
        </w:trPr>
        <w:tc>
          <w:tcPr>
            <w:tcW w:w="7834" w:type="dxa"/>
          </w:tcPr>
          <w:p w:rsidR="005C6927" w:rsidRPr="00E62332" w:rsidRDefault="005C6927" w:rsidP="00493BC9">
            <w:pPr>
              <w:pStyle w:val="Tabletext"/>
              <w:rPr>
                <w:sz w:val="20"/>
              </w:rPr>
            </w:pPr>
            <w:r w:rsidRPr="00E62332">
              <w:rPr>
                <w:sz w:val="20"/>
              </w:rPr>
              <w:t xml:space="preserve">Facteur de gain cumulatif du signal SBAS, </w:t>
            </w:r>
            <w:r w:rsidRPr="00E62332">
              <w:rPr>
                <w:i/>
                <w:sz w:val="20"/>
              </w:rPr>
              <w:t>G</w:t>
            </w:r>
            <w:r w:rsidRPr="00E62332">
              <w:rPr>
                <w:i/>
                <w:iCs/>
                <w:sz w:val="20"/>
                <w:vertAlign w:val="superscript"/>
              </w:rPr>
              <w:t>agg</w:t>
            </w:r>
            <w:r w:rsidRPr="00E62332">
              <w:rPr>
                <w:sz w:val="20"/>
              </w:rPr>
              <w:t xml:space="preserve"> (dB)</w:t>
            </w:r>
          </w:p>
        </w:tc>
        <w:tc>
          <w:tcPr>
            <w:tcW w:w="1805" w:type="dxa"/>
            <w:vAlign w:val="bottom"/>
          </w:tcPr>
          <w:p w:rsidR="005C6927" w:rsidRPr="00E62332" w:rsidRDefault="005C6927" w:rsidP="00493BC9">
            <w:pPr>
              <w:pStyle w:val="Tabletext"/>
              <w:jc w:val="center"/>
              <w:rPr>
                <w:sz w:val="20"/>
              </w:rPr>
            </w:pPr>
            <w:r w:rsidRPr="00E62332">
              <w:rPr>
                <w:sz w:val="20"/>
              </w:rPr>
              <w:t>7,70</w:t>
            </w:r>
          </w:p>
        </w:tc>
      </w:tr>
      <w:tr w:rsidR="005C6927" w:rsidRPr="00E62332" w:rsidTr="00493BC9">
        <w:trPr>
          <w:jc w:val="center"/>
        </w:trPr>
        <w:tc>
          <w:tcPr>
            <w:tcW w:w="7834" w:type="dxa"/>
          </w:tcPr>
          <w:p w:rsidR="005C6927" w:rsidRPr="00E62332" w:rsidRDefault="005C6927" w:rsidP="00493BC9">
            <w:pPr>
              <w:pStyle w:val="Tabletext"/>
              <w:jc w:val="right"/>
              <w:rPr>
                <w:sz w:val="20"/>
              </w:rPr>
            </w:pPr>
            <w:r w:rsidRPr="00E62332">
              <w:rPr>
                <w:sz w:val="20"/>
              </w:rPr>
              <w:t>Coefficient de séparation spectrale,</w:t>
            </w:r>
            <w:r w:rsidRPr="00E62332">
              <w:rPr>
                <w:bCs/>
                <w:sz w:val="20"/>
              </w:rPr>
              <w:t xml:space="preserve"> </w:t>
            </w:r>
            <w:r w:rsidRPr="00E62332">
              <w:rPr>
                <w:bCs/>
                <w:sz w:val="20"/>
              </w:rPr>
              <w:sym w:font="Symbol" w:char="F062"/>
            </w:r>
            <w:r w:rsidRPr="00E62332">
              <w:rPr>
                <w:bCs/>
                <w:sz w:val="20"/>
              </w:rPr>
              <w:t xml:space="preserve"> </w:t>
            </w:r>
            <w:r w:rsidRPr="00E62332">
              <w:rPr>
                <w:sz w:val="20"/>
              </w:rPr>
              <w:t>(dB/Hz)</w:t>
            </w:r>
          </w:p>
        </w:tc>
        <w:tc>
          <w:tcPr>
            <w:tcW w:w="1805" w:type="dxa"/>
            <w:vAlign w:val="bottom"/>
          </w:tcPr>
          <w:p w:rsidR="005C6927" w:rsidRPr="00E62332" w:rsidRDefault="005C6927" w:rsidP="00493BC9">
            <w:pPr>
              <w:pStyle w:val="Tabletext"/>
              <w:jc w:val="center"/>
              <w:rPr>
                <w:sz w:val="20"/>
              </w:rPr>
            </w:pPr>
          </w:p>
        </w:tc>
      </w:tr>
      <w:tr w:rsidR="005C6927" w:rsidRPr="00E62332" w:rsidTr="00493BC9">
        <w:trPr>
          <w:jc w:val="center"/>
        </w:trPr>
        <w:tc>
          <w:tcPr>
            <w:tcW w:w="7834" w:type="dxa"/>
          </w:tcPr>
          <w:p w:rsidR="005C6927" w:rsidRPr="00E62332" w:rsidRDefault="005C6927" w:rsidP="00493BC9">
            <w:pPr>
              <w:pStyle w:val="Tabletext"/>
              <w:jc w:val="right"/>
              <w:rPr>
                <w:i/>
                <w:iCs/>
                <w:sz w:val="20"/>
              </w:rPr>
            </w:pPr>
            <w:r w:rsidRPr="00E62332">
              <w:rPr>
                <w:i/>
                <w:iCs/>
                <w:sz w:val="20"/>
              </w:rPr>
              <w:t>Entre le signal SBAS du système A et le signal 1</w:t>
            </w:r>
          </w:p>
        </w:tc>
        <w:tc>
          <w:tcPr>
            <w:tcW w:w="1805" w:type="dxa"/>
            <w:vAlign w:val="bottom"/>
          </w:tcPr>
          <w:p w:rsidR="005C6927" w:rsidRPr="00E62332" w:rsidRDefault="005C6927" w:rsidP="00493BC9">
            <w:pPr>
              <w:pStyle w:val="Tabletext"/>
              <w:jc w:val="center"/>
              <w:rPr>
                <w:i/>
                <w:iCs/>
                <w:sz w:val="20"/>
              </w:rPr>
            </w:pPr>
            <w:r w:rsidRPr="00E62332">
              <w:rPr>
                <w:sz w:val="20"/>
              </w:rPr>
              <w:t>–61,80</w:t>
            </w:r>
          </w:p>
        </w:tc>
      </w:tr>
      <w:tr w:rsidR="005C6927" w:rsidRPr="00E62332" w:rsidTr="00493BC9">
        <w:trPr>
          <w:jc w:val="center"/>
        </w:trPr>
        <w:tc>
          <w:tcPr>
            <w:tcW w:w="7834" w:type="dxa"/>
          </w:tcPr>
          <w:p w:rsidR="005C6927" w:rsidRPr="00E62332" w:rsidRDefault="005C6927" w:rsidP="00493BC9">
            <w:pPr>
              <w:pStyle w:val="Tabletext"/>
              <w:rPr>
                <w:sz w:val="20"/>
              </w:rPr>
            </w:pPr>
            <w:r w:rsidRPr="00E62332">
              <w:rPr>
                <w:sz w:val="20"/>
              </w:rPr>
              <w:t>Affaiblissement de traitement pour les signaux brouilleurs (dB)</w:t>
            </w:r>
          </w:p>
        </w:tc>
        <w:tc>
          <w:tcPr>
            <w:tcW w:w="1805" w:type="dxa"/>
            <w:vAlign w:val="bottom"/>
          </w:tcPr>
          <w:p w:rsidR="005C6927" w:rsidRPr="00E62332" w:rsidRDefault="005C6927" w:rsidP="00493BC9">
            <w:pPr>
              <w:pStyle w:val="Tabletext"/>
              <w:jc w:val="center"/>
              <w:rPr>
                <w:sz w:val="20"/>
              </w:rPr>
            </w:pPr>
            <w:r w:rsidRPr="00E62332">
              <w:rPr>
                <w:sz w:val="20"/>
              </w:rPr>
              <w:t>1,00</w:t>
            </w:r>
          </w:p>
        </w:tc>
      </w:tr>
      <w:tr w:rsidR="005C6927" w:rsidRPr="00E62332" w:rsidTr="00493BC9">
        <w:trPr>
          <w:jc w:val="center"/>
        </w:trPr>
        <w:tc>
          <w:tcPr>
            <w:tcW w:w="7834" w:type="dxa"/>
          </w:tcPr>
          <w:p w:rsidR="005C6927" w:rsidRPr="00E62332" w:rsidRDefault="005C6927" w:rsidP="00493BC9">
            <w:pPr>
              <w:pStyle w:val="Tabletext"/>
              <w:rPr>
                <w:sz w:val="20"/>
              </w:rPr>
            </w:pPr>
            <w:r w:rsidRPr="00E62332">
              <w:rPr>
                <w:i/>
                <w:sz w:val="20"/>
              </w:rPr>
              <w:t>I</w:t>
            </w:r>
            <w:r w:rsidRPr="00E62332">
              <w:rPr>
                <w:i/>
                <w:iCs/>
                <w:sz w:val="20"/>
                <w:vertAlign w:val="subscript"/>
              </w:rPr>
              <w:t>rem</w:t>
            </w:r>
            <w:r w:rsidRPr="00E62332">
              <w:rPr>
                <w:sz w:val="20"/>
              </w:rPr>
              <w:t xml:space="preserve"> (dB(W/Hz))</w:t>
            </w:r>
            <w:r w:rsidRPr="00E62332">
              <w:rPr>
                <w:sz w:val="20"/>
                <w:vertAlign w:val="superscript"/>
              </w:rPr>
              <w:t>(3)</w:t>
            </w:r>
          </w:p>
        </w:tc>
        <w:tc>
          <w:tcPr>
            <w:tcW w:w="1805" w:type="dxa"/>
            <w:vAlign w:val="bottom"/>
          </w:tcPr>
          <w:p w:rsidR="005C6927" w:rsidRPr="00E62332" w:rsidRDefault="005C6927" w:rsidP="00493BC9">
            <w:pPr>
              <w:pStyle w:val="Tabletext"/>
              <w:jc w:val="center"/>
              <w:rPr>
                <w:sz w:val="20"/>
              </w:rPr>
            </w:pPr>
            <w:r w:rsidRPr="00E62332">
              <w:rPr>
                <w:sz w:val="20"/>
              </w:rPr>
              <w:t>–215,60</w:t>
            </w:r>
          </w:p>
        </w:tc>
      </w:tr>
      <w:tr w:rsidR="005C6927" w:rsidRPr="00E62332" w:rsidTr="00493BC9">
        <w:trPr>
          <w:jc w:val="center"/>
        </w:trPr>
        <w:tc>
          <w:tcPr>
            <w:tcW w:w="7834" w:type="dxa"/>
          </w:tcPr>
          <w:p w:rsidR="005C6927" w:rsidRPr="006168A6" w:rsidRDefault="005C6927" w:rsidP="00493BC9">
            <w:pPr>
              <w:pStyle w:val="Tabletext"/>
              <w:rPr>
                <w:sz w:val="20"/>
                <w:lang w:val="de-CH"/>
              </w:rPr>
            </w:pPr>
            <w:r w:rsidRPr="006168A6">
              <w:rPr>
                <w:i/>
                <w:sz w:val="20"/>
                <w:lang w:val="de-CH"/>
              </w:rPr>
              <w:t>N</w:t>
            </w:r>
            <w:r w:rsidRPr="006168A6">
              <w:rPr>
                <w:sz w:val="20"/>
                <w:vertAlign w:val="subscript"/>
                <w:lang w:val="de-CH"/>
              </w:rPr>
              <w:t xml:space="preserve">0 </w:t>
            </w:r>
            <w:r w:rsidRPr="006168A6">
              <w:rPr>
                <w:sz w:val="20"/>
                <w:lang w:val="de-CH"/>
              </w:rPr>
              <w:t xml:space="preserve">+ </w:t>
            </w:r>
            <w:r w:rsidRPr="006168A6">
              <w:rPr>
                <w:i/>
                <w:sz w:val="20"/>
                <w:lang w:val="de-CH"/>
              </w:rPr>
              <w:t>I</w:t>
            </w:r>
            <w:r w:rsidRPr="006168A6">
              <w:rPr>
                <w:i/>
                <w:iCs/>
                <w:sz w:val="20"/>
                <w:vertAlign w:val="subscript"/>
                <w:lang w:val="de-CH"/>
              </w:rPr>
              <w:t>ref</w:t>
            </w:r>
            <w:r w:rsidRPr="006168A6">
              <w:rPr>
                <w:sz w:val="20"/>
                <w:lang w:val="de-CH"/>
              </w:rPr>
              <w:t xml:space="preserve"> + </w:t>
            </w:r>
            <w:r w:rsidRPr="006168A6">
              <w:rPr>
                <w:i/>
                <w:sz w:val="20"/>
                <w:lang w:val="de-CH"/>
              </w:rPr>
              <w:t>I</w:t>
            </w:r>
            <w:r w:rsidRPr="006168A6">
              <w:rPr>
                <w:i/>
                <w:iCs/>
                <w:sz w:val="20"/>
                <w:vertAlign w:val="subscript"/>
                <w:lang w:val="de-CH"/>
              </w:rPr>
              <w:t>rem</w:t>
            </w:r>
            <w:r w:rsidRPr="006168A6">
              <w:rPr>
                <w:sz w:val="20"/>
                <w:lang w:val="de-CH"/>
              </w:rPr>
              <w:t xml:space="preserve"> (dB(W/Hz))</w:t>
            </w:r>
          </w:p>
        </w:tc>
        <w:tc>
          <w:tcPr>
            <w:tcW w:w="1805" w:type="dxa"/>
            <w:vAlign w:val="bottom"/>
          </w:tcPr>
          <w:p w:rsidR="005C6927" w:rsidRPr="00E62332" w:rsidRDefault="005C6927" w:rsidP="00493BC9">
            <w:pPr>
              <w:pStyle w:val="Tabletext"/>
              <w:jc w:val="center"/>
              <w:rPr>
                <w:sz w:val="20"/>
              </w:rPr>
            </w:pPr>
            <w:r w:rsidRPr="00E62332">
              <w:rPr>
                <w:sz w:val="20"/>
              </w:rPr>
              <w:t>–200,31</w:t>
            </w:r>
          </w:p>
        </w:tc>
      </w:tr>
      <w:tr w:rsidR="005C6927" w:rsidRPr="00E62332" w:rsidTr="00493BC9">
        <w:trPr>
          <w:jc w:val="center"/>
        </w:trPr>
        <w:tc>
          <w:tcPr>
            <w:tcW w:w="9639" w:type="dxa"/>
            <w:gridSpan w:val="2"/>
          </w:tcPr>
          <w:p w:rsidR="005C6927" w:rsidRPr="00E62332" w:rsidRDefault="005C6927" w:rsidP="00493BC9">
            <w:pPr>
              <w:pStyle w:val="Tablehead"/>
              <w:rPr>
                <w:sz w:val="20"/>
              </w:rPr>
            </w:pPr>
            <w:r w:rsidRPr="00E62332">
              <w:rPr>
                <w:sz w:val="20"/>
              </w:rPr>
              <w:t>Densité spectrale de puissance de bruit effective totale du système:</w:t>
            </w:r>
            <w:r w:rsidRPr="00E62332">
              <w:rPr>
                <w:sz w:val="20"/>
              </w:rPr>
              <w:br/>
            </w:r>
            <w:r w:rsidRPr="00E62332">
              <w:rPr>
                <w:i/>
                <w:iCs/>
                <w:sz w:val="20"/>
              </w:rPr>
              <w:t>N</w:t>
            </w:r>
            <w:r w:rsidRPr="00E62332">
              <w:rPr>
                <w:sz w:val="20"/>
                <w:vertAlign w:val="subscript"/>
              </w:rPr>
              <w:t>0</w:t>
            </w:r>
            <w:r w:rsidRPr="00E62332">
              <w:rPr>
                <w:sz w:val="20"/>
              </w:rPr>
              <w:t xml:space="preserve"> + </w:t>
            </w:r>
            <w:r w:rsidRPr="00E62332">
              <w:rPr>
                <w:i/>
                <w:iCs/>
                <w:sz w:val="20"/>
              </w:rPr>
              <w:t>I</w:t>
            </w:r>
            <w:r w:rsidRPr="00E62332">
              <w:rPr>
                <w:i/>
                <w:iCs/>
                <w:sz w:val="20"/>
                <w:vertAlign w:val="subscript"/>
              </w:rPr>
              <w:t>ref</w:t>
            </w:r>
            <w:r w:rsidRPr="00E62332">
              <w:rPr>
                <w:sz w:val="20"/>
              </w:rPr>
              <w:t xml:space="preserve"> + </w:t>
            </w:r>
            <w:r w:rsidRPr="00E62332">
              <w:rPr>
                <w:i/>
                <w:iCs/>
                <w:sz w:val="20"/>
              </w:rPr>
              <w:t>I</w:t>
            </w:r>
            <w:r w:rsidRPr="00E62332">
              <w:rPr>
                <w:i/>
                <w:iCs/>
                <w:sz w:val="20"/>
                <w:vertAlign w:val="subscript"/>
              </w:rPr>
              <w:t>rem</w:t>
            </w:r>
            <w:r w:rsidRPr="00E62332">
              <w:rPr>
                <w:sz w:val="20"/>
              </w:rPr>
              <w:t xml:space="preserve"> + brouillage externe non SRNS, </w:t>
            </w:r>
            <w:r w:rsidRPr="00E62332">
              <w:rPr>
                <w:i/>
                <w:iCs/>
                <w:sz w:val="20"/>
              </w:rPr>
              <w:t>I</w:t>
            </w:r>
            <w:r w:rsidRPr="00E62332">
              <w:rPr>
                <w:i/>
                <w:iCs/>
                <w:sz w:val="20"/>
                <w:vertAlign w:val="subscript"/>
              </w:rPr>
              <w:t>ext</w:t>
            </w:r>
            <w:r w:rsidRPr="00E62332">
              <w:rPr>
                <w:sz w:val="20"/>
              </w:rPr>
              <w:t>,</w:t>
            </w:r>
            <w:r w:rsidRPr="00E62332">
              <w:rPr>
                <w:sz w:val="20"/>
              </w:rPr>
              <w:br/>
              <w:t xml:space="preserve">imputable au bruit thermique et à d'autres signaux de la constellation de référence (système A), </w:t>
            </w:r>
            <w:r w:rsidRPr="00E62332">
              <w:rPr>
                <w:sz w:val="20"/>
              </w:rPr>
              <w:br/>
              <w:t>au signal SBAS brouilleur, et au brouillage externe non SRNS mais sans signal 0 du système B</w:t>
            </w:r>
          </w:p>
        </w:tc>
      </w:tr>
      <w:tr w:rsidR="005C6927" w:rsidRPr="00E62332" w:rsidTr="00493BC9">
        <w:trPr>
          <w:jc w:val="center"/>
        </w:trPr>
        <w:tc>
          <w:tcPr>
            <w:tcW w:w="7834" w:type="dxa"/>
          </w:tcPr>
          <w:p w:rsidR="005C6927" w:rsidRPr="00E62332" w:rsidRDefault="005C6927" w:rsidP="00493BC9">
            <w:pPr>
              <w:pStyle w:val="Tabletext"/>
              <w:rPr>
                <w:sz w:val="20"/>
              </w:rPr>
            </w:pPr>
            <w:r w:rsidRPr="00E62332">
              <w:rPr>
                <w:i/>
                <w:sz w:val="20"/>
              </w:rPr>
              <w:t>I</w:t>
            </w:r>
            <w:r w:rsidRPr="00E62332">
              <w:rPr>
                <w:i/>
                <w:iCs/>
                <w:sz w:val="20"/>
                <w:vertAlign w:val="subscript"/>
              </w:rPr>
              <w:t>ext</w:t>
            </w:r>
            <w:r w:rsidRPr="00E62332">
              <w:rPr>
                <w:sz w:val="20"/>
              </w:rPr>
              <w:t xml:space="preserve"> (dB(W/Hz))</w:t>
            </w:r>
          </w:p>
        </w:tc>
        <w:tc>
          <w:tcPr>
            <w:tcW w:w="1805" w:type="dxa"/>
            <w:vAlign w:val="bottom"/>
          </w:tcPr>
          <w:p w:rsidR="005C6927" w:rsidRPr="00E62332" w:rsidRDefault="005C6927" w:rsidP="00493BC9">
            <w:pPr>
              <w:pStyle w:val="Tabletext"/>
              <w:jc w:val="center"/>
              <w:rPr>
                <w:sz w:val="20"/>
              </w:rPr>
            </w:pPr>
            <w:r w:rsidRPr="00E62332">
              <w:rPr>
                <w:sz w:val="20"/>
              </w:rPr>
              <w:t>–206,50</w:t>
            </w:r>
          </w:p>
        </w:tc>
      </w:tr>
      <w:tr w:rsidR="005C6927" w:rsidRPr="00E62332" w:rsidTr="00493BC9">
        <w:trPr>
          <w:jc w:val="center"/>
        </w:trPr>
        <w:tc>
          <w:tcPr>
            <w:tcW w:w="7834" w:type="dxa"/>
          </w:tcPr>
          <w:p w:rsidR="005C6927" w:rsidRPr="0055399D" w:rsidRDefault="005C6927" w:rsidP="00493BC9">
            <w:pPr>
              <w:pStyle w:val="Tabletext"/>
              <w:rPr>
                <w:sz w:val="20"/>
                <w:lang w:val="en-GB"/>
              </w:rPr>
            </w:pPr>
            <w:r w:rsidRPr="0055399D">
              <w:rPr>
                <w:i/>
                <w:sz w:val="20"/>
                <w:lang w:val="en-GB"/>
              </w:rPr>
              <w:t>N</w:t>
            </w:r>
            <w:r w:rsidRPr="0055399D">
              <w:rPr>
                <w:sz w:val="20"/>
                <w:vertAlign w:val="subscript"/>
                <w:lang w:val="en-GB"/>
              </w:rPr>
              <w:t xml:space="preserve">0 </w:t>
            </w:r>
            <w:r w:rsidRPr="0055399D">
              <w:rPr>
                <w:sz w:val="20"/>
                <w:lang w:val="en-GB"/>
              </w:rPr>
              <w:t xml:space="preserve">+ </w:t>
            </w:r>
            <w:r w:rsidRPr="0055399D">
              <w:rPr>
                <w:i/>
                <w:sz w:val="20"/>
                <w:lang w:val="en-GB"/>
              </w:rPr>
              <w:t>I</w:t>
            </w:r>
            <w:r w:rsidRPr="0055399D">
              <w:rPr>
                <w:i/>
                <w:iCs/>
                <w:sz w:val="20"/>
                <w:vertAlign w:val="subscript"/>
                <w:lang w:val="en-GB"/>
              </w:rPr>
              <w:t>ref</w:t>
            </w:r>
            <w:r w:rsidRPr="0055399D">
              <w:rPr>
                <w:sz w:val="20"/>
                <w:lang w:val="en-GB"/>
              </w:rPr>
              <w:t xml:space="preserve"> + </w:t>
            </w:r>
            <w:r w:rsidRPr="0055399D">
              <w:rPr>
                <w:i/>
                <w:sz w:val="20"/>
                <w:lang w:val="en-GB"/>
              </w:rPr>
              <w:t>I</w:t>
            </w:r>
            <w:r w:rsidRPr="0055399D">
              <w:rPr>
                <w:i/>
                <w:iCs/>
                <w:sz w:val="20"/>
                <w:vertAlign w:val="subscript"/>
                <w:lang w:val="en-GB"/>
              </w:rPr>
              <w:t>rem</w:t>
            </w:r>
            <w:r w:rsidRPr="0055399D">
              <w:rPr>
                <w:sz w:val="20"/>
                <w:vertAlign w:val="subscript"/>
                <w:lang w:val="en-GB"/>
              </w:rPr>
              <w:t xml:space="preserve"> </w:t>
            </w:r>
            <w:r w:rsidRPr="0055399D">
              <w:rPr>
                <w:sz w:val="20"/>
                <w:lang w:val="en-GB"/>
              </w:rPr>
              <w:t xml:space="preserve">+ </w:t>
            </w:r>
            <w:r w:rsidRPr="0055399D">
              <w:rPr>
                <w:i/>
                <w:sz w:val="20"/>
                <w:lang w:val="en-GB"/>
              </w:rPr>
              <w:t>I</w:t>
            </w:r>
            <w:r w:rsidRPr="0055399D">
              <w:rPr>
                <w:i/>
                <w:iCs/>
                <w:sz w:val="20"/>
                <w:vertAlign w:val="subscript"/>
                <w:lang w:val="en-GB"/>
              </w:rPr>
              <w:t>ext</w:t>
            </w:r>
            <w:r w:rsidRPr="0055399D">
              <w:rPr>
                <w:sz w:val="20"/>
                <w:lang w:val="en-GB"/>
              </w:rPr>
              <w:t xml:space="preserve"> (dB(W/Hz))</w:t>
            </w:r>
          </w:p>
        </w:tc>
        <w:tc>
          <w:tcPr>
            <w:tcW w:w="1805" w:type="dxa"/>
            <w:vAlign w:val="bottom"/>
          </w:tcPr>
          <w:p w:rsidR="005C6927" w:rsidRPr="00E62332" w:rsidRDefault="005C6927" w:rsidP="00493BC9">
            <w:pPr>
              <w:pStyle w:val="Tabletext"/>
              <w:jc w:val="center"/>
              <w:rPr>
                <w:sz w:val="20"/>
              </w:rPr>
            </w:pPr>
            <w:r w:rsidRPr="00E62332">
              <w:rPr>
                <w:sz w:val="20"/>
              </w:rPr>
              <w:t>–199,37</w:t>
            </w:r>
          </w:p>
        </w:tc>
      </w:tr>
      <w:tr w:rsidR="005C6927" w:rsidRPr="00E62332" w:rsidTr="00493BC9">
        <w:trPr>
          <w:jc w:val="center"/>
        </w:trPr>
        <w:tc>
          <w:tcPr>
            <w:tcW w:w="9639" w:type="dxa"/>
            <w:gridSpan w:val="2"/>
          </w:tcPr>
          <w:p w:rsidR="005C6927" w:rsidRPr="00E62332" w:rsidRDefault="005C6927" w:rsidP="00493BC9">
            <w:pPr>
              <w:pStyle w:val="Tablehead"/>
              <w:rPr>
                <w:sz w:val="20"/>
              </w:rPr>
            </w:pPr>
            <w:r w:rsidRPr="00E62332">
              <w:rPr>
                <w:sz w:val="20"/>
              </w:rPr>
              <w:t>Densité spectrale de puissance de bruit effective totale entre systèmes:</w:t>
            </w:r>
            <w:r w:rsidRPr="00E62332">
              <w:rPr>
                <w:sz w:val="20"/>
              </w:rPr>
              <w:br/>
            </w:r>
            <w:r w:rsidRPr="00E62332">
              <w:rPr>
                <w:i/>
                <w:iCs/>
                <w:sz w:val="20"/>
              </w:rPr>
              <w:t>N</w:t>
            </w:r>
            <w:r w:rsidRPr="00E62332">
              <w:rPr>
                <w:sz w:val="20"/>
                <w:vertAlign w:val="subscript"/>
              </w:rPr>
              <w:t xml:space="preserve">0 </w:t>
            </w:r>
            <w:r w:rsidRPr="00E62332">
              <w:rPr>
                <w:sz w:val="20"/>
              </w:rPr>
              <w:t xml:space="preserve">+ </w:t>
            </w:r>
            <w:r w:rsidRPr="00E62332">
              <w:rPr>
                <w:i/>
                <w:iCs/>
                <w:sz w:val="20"/>
              </w:rPr>
              <w:t>I</w:t>
            </w:r>
            <w:r w:rsidRPr="00E62332">
              <w:rPr>
                <w:i/>
                <w:iCs/>
                <w:sz w:val="20"/>
                <w:vertAlign w:val="subscript"/>
              </w:rPr>
              <w:t>ref</w:t>
            </w:r>
            <w:r w:rsidRPr="00E62332">
              <w:rPr>
                <w:sz w:val="20"/>
              </w:rPr>
              <w:t xml:space="preserve"> + </w:t>
            </w:r>
            <w:r w:rsidRPr="00E62332">
              <w:rPr>
                <w:i/>
                <w:iCs/>
                <w:sz w:val="20"/>
              </w:rPr>
              <w:t>I</w:t>
            </w:r>
            <w:r w:rsidRPr="00E62332">
              <w:rPr>
                <w:i/>
                <w:iCs/>
                <w:sz w:val="20"/>
                <w:vertAlign w:val="subscript"/>
              </w:rPr>
              <w:t>rem</w:t>
            </w:r>
            <w:r w:rsidRPr="00E62332">
              <w:rPr>
                <w:sz w:val="20"/>
              </w:rPr>
              <w:t xml:space="preserve"> + </w:t>
            </w:r>
            <w:r w:rsidRPr="00E62332">
              <w:rPr>
                <w:i/>
                <w:iCs/>
                <w:sz w:val="20"/>
              </w:rPr>
              <w:t>I</w:t>
            </w:r>
            <w:r w:rsidRPr="00E62332">
              <w:rPr>
                <w:i/>
                <w:iCs/>
                <w:sz w:val="20"/>
                <w:vertAlign w:val="subscript"/>
              </w:rPr>
              <w:t>ext</w:t>
            </w:r>
            <w:r w:rsidRPr="00E62332">
              <w:rPr>
                <w:sz w:val="20"/>
              </w:rPr>
              <w:t xml:space="preserve"> + brouillage du système B, </w:t>
            </w:r>
            <w:r w:rsidRPr="00E62332">
              <w:rPr>
                <w:i/>
                <w:iCs/>
                <w:sz w:val="20"/>
              </w:rPr>
              <w:t>I</w:t>
            </w:r>
            <w:r w:rsidRPr="00E62332">
              <w:rPr>
                <w:i/>
                <w:iCs/>
                <w:sz w:val="20"/>
                <w:vertAlign w:val="subscript"/>
              </w:rPr>
              <w:t>alt</w:t>
            </w:r>
            <w:r w:rsidRPr="00E62332">
              <w:rPr>
                <w:sz w:val="20"/>
              </w:rPr>
              <w:t>,</w:t>
            </w:r>
            <w:r w:rsidRPr="00E62332">
              <w:rPr>
                <w:sz w:val="20"/>
              </w:rPr>
              <w:br/>
              <w:t>imputable au bruit thermique et à tous les signaux SRNS brouilleurs et au brouillage externe</w:t>
            </w:r>
          </w:p>
        </w:tc>
      </w:tr>
      <w:tr w:rsidR="005C6927" w:rsidRPr="00E62332" w:rsidTr="00493BC9">
        <w:trPr>
          <w:jc w:val="center"/>
        </w:trPr>
        <w:tc>
          <w:tcPr>
            <w:tcW w:w="7834" w:type="dxa"/>
          </w:tcPr>
          <w:p w:rsidR="005C6927" w:rsidRPr="00E62332" w:rsidRDefault="005C6927" w:rsidP="00493BC9">
            <w:pPr>
              <w:pStyle w:val="Tabletext"/>
              <w:rPr>
                <w:sz w:val="20"/>
              </w:rPr>
            </w:pPr>
            <w:r w:rsidRPr="00E62332">
              <w:rPr>
                <w:sz w:val="20"/>
              </w:rPr>
              <w:t>Puissance maximale du signal 0 (dBW)</w:t>
            </w:r>
          </w:p>
        </w:tc>
        <w:tc>
          <w:tcPr>
            <w:tcW w:w="1805" w:type="dxa"/>
          </w:tcPr>
          <w:p w:rsidR="005C6927" w:rsidRPr="00E62332" w:rsidRDefault="005C6927" w:rsidP="00493BC9">
            <w:pPr>
              <w:pStyle w:val="Tabletext"/>
              <w:jc w:val="center"/>
              <w:rPr>
                <w:sz w:val="20"/>
              </w:rPr>
            </w:pPr>
            <w:r w:rsidRPr="00E62332">
              <w:rPr>
                <w:sz w:val="20"/>
              </w:rPr>
              <w:t>–154,00</w:t>
            </w:r>
          </w:p>
        </w:tc>
      </w:tr>
      <w:tr w:rsidR="005C6927" w:rsidRPr="00E62332" w:rsidTr="00493BC9">
        <w:trPr>
          <w:jc w:val="center"/>
        </w:trPr>
        <w:tc>
          <w:tcPr>
            <w:tcW w:w="7834" w:type="dxa"/>
          </w:tcPr>
          <w:p w:rsidR="005C6927" w:rsidRPr="00E62332" w:rsidRDefault="005C6927" w:rsidP="00493BC9">
            <w:pPr>
              <w:pStyle w:val="Tabletext"/>
              <w:rPr>
                <w:sz w:val="20"/>
              </w:rPr>
            </w:pPr>
            <w:r w:rsidRPr="00E62332">
              <w:rPr>
                <w:sz w:val="20"/>
              </w:rPr>
              <w:t xml:space="preserve">Facteur de gain cumulatif du système B, </w:t>
            </w:r>
            <w:r w:rsidRPr="00E62332">
              <w:rPr>
                <w:i/>
                <w:sz w:val="20"/>
              </w:rPr>
              <w:t>G</w:t>
            </w:r>
            <w:r w:rsidRPr="00E62332">
              <w:rPr>
                <w:i/>
                <w:iCs/>
                <w:sz w:val="20"/>
                <w:vertAlign w:val="superscript"/>
              </w:rPr>
              <w:t>agg</w:t>
            </w:r>
            <w:r w:rsidRPr="00E62332">
              <w:rPr>
                <w:sz w:val="20"/>
              </w:rPr>
              <w:t xml:space="preserve"> (dB)</w:t>
            </w:r>
          </w:p>
        </w:tc>
        <w:tc>
          <w:tcPr>
            <w:tcW w:w="1805" w:type="dxa"/>
          </w:tcPr>
          <w:p w:rsidR="005C6927" w:rsidRPr="00E62332" w:rsidRDefault="005C6927" w:rsidP="00493BC9">
            <w:pPr>
              <w:pStyle w:val="Tabletext"/>
              <w:jc w:val="center"/>
              <w:rPr>
                <w:sz w:val="20"/>
              </w:rPr>
            </w:pPr>
            <w:r w:rsidRPr="00E62332">
              <w:rPr>
                <w:sz w:val="20"/>
              </w:rPr>
              <w:t>12,00</w:t>
            </w:r>
          </w:p>
        </w:tc>
      </w:tr>
      <w:tr w:rsidR="005C6927" w:rsidRPr="00E62332" w:rsidTr="00493BC9">
        <w:trPr>
          <w:jc w:val="center"/>
        </w:trPr>
        <w:tc>
          <w:tcPr>
            <w:tcW w:w="7834" w:type="dxa"/>
          </w:tcPr>
          <w:p w:rsidR="005C6927" w:rsidRPr="00E62332" w:rsidRDefault="005C6927" w:rsidP="00493BC9">
            <w:pPr>
              <w:pStyle w:val="Tabletext"/>
              <w:jc w:val="right"/>
              <w:rPr>
                <w:sz w:val="20"/>
              </w:rPr>
            </w:pPr>
            <w:r w:rsidRPr="00E62332">
              <w:rPr>
                <w:sz w:val="20"/>
              </w:rPr>
              <w:t xml:space="preserve">Coefficient de séparation spectrale, </w:t>
            </w:r>
            <w:r w:rsidRPr="00E62332">
              <w:rPr>
                <w:bCs/>
                <w:sz w:val="20"/>
              </w:rPr>
              <w:sym w:font="Symbol" w:char="F062"/>
            </w:r>
            <w:r w:rsidRPr="00E62332">
              <w:rPr>
                <w:sz w:val="20"/>
              </w:rPr>
              <w:t xml:space="preserve"> (dB/Hz)</w:t>
            </w:r>
          </w:p>
        </w:tc>
        <w:tc>
          <w:tcPr>
            <w:tcW w:w="1805" w:type="dxa"/>
          </w:tcPr>
          <w:p w:rsidR="005C6927" w:rsidRPr="00E62332" w:rsidRDefault="005C6927" w:rsidP="00493BC9">
            <w:pPr>
              <w:pStyle w:val="Tabletext"/>
              <w:jc w:val="center"/>
              <w:rPr>
                <w:sz w:val="20"/>
              </w:rPr>
            </w:pPr>
          </w:p>
        </w:tc>
      </w:tr>
      <w:tr w:rsidR="005C6927" w:rsidRPr="00E62332" w:rsidTr="00493BC9">
        <w:trPr>
          <w:jc w:val="center"/>
        </w:trPr>
        <w:tc>
          <w:tcPr>
            <w:tcW w:w="7834" w:type="dxa"/>
          </w:tcPr>
          <w:p w:rsidR="005C6927" w:rsidRPr="00E62332" w:rsidRDefault="005C6927" w:rsidP="00493BC9">
            <w:pPr>
              <w:pStyle w:val="Tabletext"/>
              <w:jc w:val="right"/>
              <w:rPr>
                <w:i/>
                <w:iCs/>
                <w:sz w:val="20"/>
              </w:rPr>
            </w:pPr>
            <w:r w:rsidRPr="00E62332">
              <w:rPr>
                <w:i/>
                <w:iCs/>
                <w:sz w:val="20"/>
              </w:rPr>
              <w:t>Entre le signal 0 et le signal 1</w:t>
            </w:r>
          </w:p>
        </w:tc>
        <w:tc>
          <w:tcPr>
            <w:tcW w:w="1805" w:type="dxa"/>
          </w:tcPr>
          <w:p w:rsidR="005C6927" w:rsidRPr="00E62332" w:rsidRDefault="005C6927" w:rsidP="00493BC9">
            <w:pPr>
              <w:pStyle w:val="Tabletext"/>
              <w:jc w:val="center"/>
              <w:rPr>
                <w:i/>
                <w:iCs/>
                <w:sz w:val="20"/>
              </w:rPr>
            </w:pPr>
            <w:r w:rsidRPr="00E62332">
              <w:rPr>
                <w:sz w:val="20"/>
              </w:rPr>
              <w:t>–67,80</w:t>
            </w:r>
          </w:p>
        </w:tc>
      </w:tr>
      <w:tr w:rsidR="005C6927" w:rsidRPr="00E62332" w:rsidTr="00493BC9">
        <w:trPr>
          <w:jc w:val="center"/>
        </w:trPr>
        <w:tc>
          <w:tcPr>
            <w:tcW w:w="7834" w:type="dxa"/>
          </w:tcPr>
          <w:p w:rsidR="005C6927" w:rsidRPr="00E62332" w:rsidRDefault="005C6927" w:rsidP="00493BC9">
            <w:pPr>
              <w:pStyle w:val="Tabletext"/>
              <w:rPr>
                <w:sz w:val="20"/>
              </w:rPr>
            </w:pPr>
            <w:r w:rsidRPr="00E62332">
              <w:rPr>
                <w:sz w:val="20"/>
              </w:rPr>
              <w:t>Affaiblissement de traitement pour les signaux brouilleurs (dB)</w:t>
            </w:r>
          </w:p>
        </w:tc>
        <w:tc>
          <w:tcPr>
            <w:tcW w:w="1805" w:type="dxa"/>
          </w:tcPr>
          <w:p w:rsidR="005C6927" w:rsidRPr="00E62332" w:rsidRDefault="005C6927" w:rsidP="00493BC9">
            <w:pPr>
              <w:pStyle w:val="Tabletext"/>
              <w:jc w:val="center"/>
              <w:rPr>
                <w:sz w:val="20"/>
              </w:rPr>
            </w:pPr>
            <w:r w:rsidRPr="00E62332">
              <w:rPr>
                <w:sz w:val="20"/>
              </w:rPr>
              <w:t>1,00</w:t>
            </w:r>
          </w:p>
        </w:tc>
      </w:tr>
      <w:tr w:rsidR="005C6927" w:rsidRPr="00E62332" w:rsidTr="00493BC9">
        <w:trPr>
          <w:jc w:val="center"/>
        </w:trPr>
        <w:tc>
          <w:tcPr>
            <w:tcW w:w="7834" w:type="dxa"/>
          </w:tcPr>
          <w:p w:rsidR="005C6927" w:rsidRPr="00E62332" w:rsidRDefault="005C6927" w:rsidP="00493BC9">
            <w:pPr>
              <w:pStyle w:val="Tabletext"/>
              <w:rPr>
                <w:sz w:val="20"/>
              </w:rPr>
            </w:pPr>
            <w:r w:rsidRPr="00E62332">
              <w:rPr>
                <w:i/>
                <w:sz w:val="20"/>
              </w:rPr>
              <w:t>I</w:t>
            </w:r>
            <w:r w:rsidRPr="00E62332">
              <w:rPr>
                <w:i/>
                <w:iCs/>
                <w:sz w:val="20"/>
                <w:vertAlign w:val="subscript"/>
              </w:rPr>
              <w:t>alt</w:t>
            </w:r>
            <w:r w:rsidRPr="00E62332">
              <w:rPr>
                <w:sz w:val="20"/>
              </w:rPr>
              <w:t xml:space="preserve"> (dB(W/Hz))</w:t>
            </w:r>
            <w:r w:rsidRPr="00E62332">
              <w:rPr>
                <w:sz w:val="20"/>
                <w:vertAlign w:val="superscript"/>
              </w:rPr>
              <w:t>(3)</w:t>
            </w:r>
          </w:p>
        </w:tc>
        <w:tc>
          <w:tcPr>
            <w:tcW w:w="1805" w:type="dxa"/>
          </w:tcPr>
          <w:p w:rsidR="005C6927" w:rsidRPr="00E62332" w:rsidRDefault="005C6927" w:rsidP="00493BC9">
            <w:pPr>
              <w:pStyle w:val="Tabletext"/>
              <w:jc w:val="center"/>
              <w:rPr>
                <w:sz w:val="20"/>
              </w:rPr>
            </w:pPr>
            <w:r w:rsidRPr="00E62332">
              <w:rPr>
                <w:sz w:val="20"/>
              </w:rPr>
              <w:t>–210,80</w:t>
            </w:r>
          </w:p>
        </w:tc>
      </w:tr>
      <w:tr w:rsidR="005C6927" w:rsidRPr="00E62332" w:rsidTr="00493BC9">
        <w:trPr>
          <w:jc w:val="center"/>
        </w:trPr>
        <w:tc>
          <w:tcPr>
            <w:tcW w:w="7834" w:type="dxa"/>
            <w:tcBorders>
              <w:bottom w:val="single" w:sz="4" w:space="0" w:color="auto"/>
            </w:tcBorders>
          </w:tcPr>
          <w:p w:rsidR="005C6927" w:rsidRPr="00C85311" w:rsidRDefault="005C6927" w:rsidP="00493BC9">
            <w:pPr>
              <w:pStyle w:val="Tabletext"/>
              <w:rPr>
                <w:sz w:val="20"/>
              </w:rPr>
            </w:pPr>
            <w:r w:rsidRPr="00C85311">
              <w:rPr>
                <w:i/>
                <w:sz w:val="20"/>
              </w:rPr>
              <w:t>N</w:t>
            </w:r>
            <w:r w:rsidRPr="00C85311">
              <w:rPr>
                <w:sz w:val="20"/>
                <w:vertAlign w:val="subscript"/>
              </w:rPr>
              <w:t xml:space="preserve">0 </w:t>
            </w:r>
            <w:r w:rsidRPr="00C85311">
              <w:rPr>
                <w:sz w:val="20"/>
              </w:rPr>
              <w:t xml:space="preserve">+ </w:t>
            </w:r>
            <w:r w:rsidRPr="00C85311">
              <w:rPr>
                <w:i/>
                <w:sz w:val="20"/>
              </w:rPr>
              <w:t>I</w:t>
            </w:r>
            <w:r w:rsidRPr="00C85311">
              <w:rPr>
                <w:i/>
                <w:iCs/>
                <w:sz w:val="20"/>
                <w:vertAlign w:val="subscript"/>
              </w:rPr>
              <w:t>ref</w:t>
            </w:r>
            <w:r w:rsidRPr="00C85311">
              <w:rPr>
                <w:sz w:val="20"/>
              </w:rPr>
              <w:t xml:space="preserve"> + </w:t>
            </w:r>
            <w:r w:rsidRPr="00C85311">
              <w:rPr>
                <w:i/>
                <w:sz w:val="20"/>
              </w:rPr>
              <w:t>I</w:t>
            </w:r>
            <w:r w:rsidRPr="00C85311">
              <w:rPr>
                <w:i/>
                <w:iCs/>
                <w:sz w:val="20"/>
                <w:vertAlign w:val="subscript"/>
              </w:rPr>
              <w:t>rem</w:t>
            </w:r>
            <w:r w:rsidRPr="00C85311">
              <w:rPr>
                <w:sz w:val="20"/>
              </w:rPr>
              <w:t xml:space="preserve"> + </w:t>
            </w:r>
            <w:r w:rsidRPr="00C85311">
              <w:rPr>
                <w:i/>
                <w:sz w:val="20"/>
              </w:rPr>
              <w:t>I</w:t>
            </w:r>
            <w:r w:rsidRPr="00C85311">
              <w:rPr>
                <w:i/>
                <w:iCs/>
                <w:sz w:val="20"/>
                <w:vertAlign w:val="subscript"/>
              </w:rPr>
              <w:t>ext</w:t>
            </w:r>
            <w:r w:rsidRPr="00C85311">
              <w:rPr>
                <w:sz w:val="20"/>
              </w:rPr>
              <w:t xml:space="preserve"> + </w:t>
            </w:r>
            <w:r w:rsidRPr="00C85311">
              <w:rPr>
                <w:i/>
                <w:sz w:val="20"/>
              </w:rPr>
              <w:t>I</w:t>
            </w:r>
            <w:r w:rsidRPr="00C85311">
              <w:rPr>
                <w:i/>
                <w:iCs/>
                <w:sz w:val="20"/>
                <w:vertAlign w:val="subscript"/>
              </w:rPr>
              <w:t>alt</w:t>
            </w:r>
            <w:r w:rsidRPr="00C85311">
              <w:rPr>
                <w:sz w:val="20"/>
              </w:rPr>
              <w:t xml:space="preserve"> (dB(W/Hz))</w:t>
            </w:r>
          </w:p>
        </w:tc>
        <w:tc>
          <w:tcPr>
            <w:tcW w:w="1805" w:type="dxa"/>
            <w:tcBorders>
              <w:bottom w:val="single" w:sz="4" w:space="0" w:color="auto"/>
            </w:tcBorders>
          </w:tcPr>
          <w:p w:rsidR="005C6927" w:rsidRPr="00E62332" w:rsidRDefault="005C6927" w:rsidP="00493BC9">
            <w:pPr>
              <w:pStyle w:val="Tabletext"/>
              <w:jc w:val="center"/>
              <w:rPr>
                <w:sz w:val="20"/>
              </w:rPr>
            </w:pPr>
            <w:r w:rsidRPr="00E62332">
              <w:rPr>
                <w:sz w:val="20"/>
              </w:rPr>
              <w:t>–199,07</w:t>
            </w:r>
          </w:p>
        </w:tc>
      </w:tr>
      <w:tr w:rsidR="005C6927" w:rsidRPr="00E62332" w:rsidTr="00493BC9">
        <w:trPr>
          <w:jc w:val="center"/>
        </w:trPr>
        <w:tc>
          <w:tcPr>
            <w:tcW w:w="9639" w:type="dxa"/>
            <w:gridSpan w:val="2"/>
            <w:tcBorders>
              <w:left w:val="nil"/>
              <w:bottom w:val="nil"/>
              <w:right w:val="nil"/>
            </w:tcBorders>
          </w:tcPr>
          <w:p w:rsidR="005C6927" w:rsidRPr="00E62332" w:rsidRDefault="005C6927" w:rsidP="00493BC9">
            <w:pPr>
              <w:pStyle w:val="Tablelegend"/>
              <w:rPr>
                <w:sz w:val="20"/>
              </w:rPr>
            </w:pPr>
            <w:r w:rsidRPr="00E62332">
              <w:rPr>
                <w:sz w:val="20"/>
                <w:vertAlign w:val="superscript"/>
              </w:rPr>
              <w:t>(1)</w:t>
            </w:r>
            <w:r w:rsidRPr="00E62332">
              <w:rPr>
                <w:sz w:val="20"/>
              </w:rPr>
              <w:tab/>
              <w:t>Cette valeur est basée sur l'équation (2); il s'agit d'une approximation, qui n'est pas nécessairement représentative de tous les récepteurs utilisant des codes PRN.</w:t>
            </w:r>
          </w:p>
          <w:p w:rsidR="005C6927" w:rsidRPr="00E62332" w:rsidRDefault="005C6927" w:rsidP="00493BC9">
            <w:pPr>
              <w:pStyle w:val="Tablelegend"/>
              <w:rPr>
                <w:sz w:val="20"/>
              </w:rPr>
            </w:pPr>
            <w:r w:rsidRPr="00E62332">
              <w:rPr>
                <w:sz w:val="20"/>
                <w:vertAlign w:val="superscript"/>
              </w:rPr>
              <w:t>(2)</w:t>
            </w:r>
            <w:r w:rsidRPr="00E62332">
              <w:rPr>
                <w:sz w:val="20"/>
              </w:rPr>
              <w:tab/>
              <w:t>Cette valeur est une valeur type qui n'est pas nécessairement représentative des récepteurs à faible bruit.</w:t>
            </w:r>
          </w:p>
          <w:p w:rsidR="005C6927" w:rsidRPr="00E62332" w:rsidRDefault="005C6927" w:rsidP="00493BC9">
            <w:pPr>
              <w:pStyle w:val="Tablelegend"/>
              <w:rPr>
                <w:sz w:val="20"/>
              </w:rPr>
            </w:pPr>
            <w:r w:rsidRPr="00E62332">
              <w:rPr>
                <w:sz w:val="20"/>
                <w:vertAlign w:val="superscript"/>
              </w:rPr>
              <w:t>(3)</w:t>
            </w:r>
            <w:r w:rsidRPr="00E62332">
              <w:rPr>
                <w:sz w:val="20"/>
              </w:rPr>
              <w:tab/>
              <w:t xml:space="preserve">Dans cet exemple, les valeurs </w:t>
            </w:r>
            <w:r w:rsidRPr="00E62332">
              <w:rPr>
                <w:i/>
                <w:iCs/>
                <w:sz w:val="20"/>
              </w:rPr>
              <w:t>I</w:t>
            </w:r>
            <w:r w:rsidRPr="00E62332">
              <w:rPr>
                <w:i/>
                <w:iCs/>
                <w:sz w:val="20"/>
                <w:vertAlign w:val="subscript"/>
              </w:rPr>
              <w:t>ref</w:t>
            </w:r>
            <w:r w:rsidRPr="00E62332">
              <w:rPr>
                <w:sz w:val="20"/>
              </w:rPr>
              <w:t xml:space="preserve">, </w:t>
            </w:r>
            <w:r w:rsidRPr="00E62332">
              <w:rPr>
                <w:i/>
                <w:iCs/>
                <w:sz w:val="20"/>
              </w:rPr>
              <w:t>I</w:t>
            </w:r>
            <w:r w:rsidRPr="00E62332">
              <w:rPr>
                <w:i/>
                <w:iCs/>
                <w:sz w:val="20"/>
                <w:vertAlign w:val="subscript"/>
              </w:rPr>
              <w:t>rem</w:t>
            </w:r>
            <w:r w:rsidRPr="00E62332">
              <w:rPr>
                <w:sz w:val="20"/>
              </w:rPr>
              <w:t xml:space="preserve"> et </w:t>
            </w:r>
            <w:r w:rsidRPr="00E62332">
              <w:rPr>
                <w:i/>
                <w:iCs/>
                <w:sz w:val="20"/>
              </w:rPr>
              <w:t>I</w:t>
            </w:r>
            <w:r w:rsidRPr="00E62332">
              <w:rPr>
                <w:i/>
                <w:iCs/>
                <w:sz w:val="20"/>
                <w:vertAlign w:val="subscript"/>
              </w:rPr>
              <w:t>alt</w:t>
            </w:r>
            <w:r w:rsidRPr="00E62332">
              <w:rPr>
                <w:sz w:val="20"/>
              </w:rPr>
              <w:t xml:space="preserve"> ont été évaluées au moyen du facteur </w:t>
            </w:r>
            <w:r w:rsidRPr="00E62332">
              <w:rPr>
                <w:i/>
                <w:iCs/>
                <w:sz w:val="20"/>
              </w:rPr>
              <w:t>G</w:t>
            </w:r>
            <w:r w:rsidRPr="00E62332">
              <w:rPr>
                <w:i/>
                <w:iCs/>
                <w:sz w:val="20"/>
                <w:vertAlign w:val="superscript"/>
              </w:rPr>
              <w:t>agg</w:t>
            </w:r>
            <w:r w:rsidRPr="00E62332">
              <w:rPr>
                <w:sz w:val="20"/>
              </w:rPr>
              <w:t>. Elles représentent donc des valeurs limites supérieures.</w:t>
            </w:r>
          </w:p>
        </w:tc>
      </w:tr>
    </w:tbl>
    <w:p w:rsidR="00164AF7" w:rsidRDefault="00164AF7" w:rsidP="00164AF7">
      <w:pPr>
        <w:pStyle w:val="Tablefin"/>
      </w:pPr>
    </w:p>
    <w:p w:rsidR="005C6927" w:rsidRPr="00E62332" w:rsidRDefault="005C6927" w:rsidP="00164AF7">
      <w:r w:rsidRPr="00E62332">
        <w:t xml:space="preserve">Dans l'exemple considéré, le signal 1 du système A est le signal utile et le système A est le «système de référence». Tous les autres signaux du système A, autres que le signal 1 utile, sont considérés comme des sources de brouillage, ce qui est normalement le cas étant donné que chaque type de signal devrait être examiné de façon indépendante. Ainsi, le signal 1 utile subit aussi un autobrouillage imputable à d'autres transmissions du signal 1 et au brouillage à l'intérieur du système A causé par d'autres signaux de ce système. Dans l'exemple considéré, les autres signaux du système A sont le signal 2 et le signal 3 et chaque signal brouilleur du système A a son propre coefficient de séparation spectrale. </w:t>
      </w:r>
    </w:p>
    <w:p w:rsidR="005C6927" w:rsidRPr="00E62332" w:rsidRDefault="005C6927" w:rsidP="005C6927">
      <w:r w:rsidRPr="00E62332">
        <w:t xml:space="preserve">Le facteur de gain cumulatif du système A, </w:t>
      </w:r>
      <w:r w:rsidRPr="00E62332">
        <w:rPr>
          <w:i/>
          <w:iCs/>
        </w:rPr>
        <w:t>G</w:t>
      </w:r>
      <w:r w:rsidRPr="00E62332">
        <w:rPr>
          <w:i/>
          <w:iCs/>
          <w:vertAlign w:val="superscript"/>
        </w:rPr>
        <w:t>agg</w:t>
      </w:r>
      <w:r w:rsidRPr="00E62332">
        <w:t xml:space="preserve"> (12,0 dB ou 7,7 dB pour le brouillage du système A- SBAS), tient compte du diagramme de gain de l'antenne du récepteur du système A et du diagramme de gain de l'émetteur du système A et il est rapporté à la puissance des signaux brouilleurs reçus qui dépasse, pour 99,99% de tous les cas, la puissance de brouillage maximale d'un seul satellite du système de référence. (Le pourcentage effectif fait l'objet d'une coordination.) On notera que la </w:t>
      </w:r>
      <w:r w:rsidRPr="00E62332">
        <w:lastRenderedPageBreak/>
        <w:t>densité spectrale de puissance de bruit globale est de −201,50 dB(W/Hz) avant de tenir compte du brouillage à l'intérieur d'un même système mais qu'elle est de −200,44 dB</w:t>
      </w:r>
      <w:r>
        <w:t xml:space="preserve"> </w:t>
      </w:r>
      <w:r w:rsidRPr="00E62332">
        <w:t>(W/Hz) après en avoir tenu compte.</w:t>
      </w:r>
    </w:p>
    <w:p w:rsidR="005C6927" w:rsidRPr="00E62332" w:rsidRDefault="005C6927" w:rsidP="005C6927">
      <w:r w:rsidRPr="00E62332">
        <w:t>Dans le calcul, les «systèmes restants» sont représentés par un seul réseau SBAS du SRNS. (Dans la pratique, plusieurs systèmes et réseaux du SRNS seraient normalement inclus.) Le bruit externe est supposé être la somme des bruits de toutes les sources de brouillage ne fonctionnant pas dans le SRNS et une densité spectrale de puissance de −206,5 dB(W/Hz) lui est affectée. Le brouillage global du système de référence, du système restant et du bruit externe est alors de −199,37 dB/Hz (hypothèse).</w:t>
      </w:r>
    </w:p>
    <w:p w:rsidR="005C6927" w:rsidRPr="00E62332" w:rsidRDefault="005C6927" w:rsidP="005C6927">
      <w:r w:rsidRPr="00E62332">
        <w:t>Le système B est alors pris en compte dans le calcul du brouillage comme «autre système» et le signal</w:t>
      </w:r>
      <w:r>
        <w:t> </w:t>
      </w:r>
      <w:r w:rsidRPr="00E62332">
        <w:t>0 de ce système est alors pris en compte dans le calcul du brouillage pour le signal 1 du système</w:t>
      </w:r>
      <w:r>
        <w:t> </w:t>
      </w:r>
      <w:r w:rsidRPr="00E62332">
        <w:t>A. Le facteur de gain cumulatif du système B est supposé être le même que celui utilisé pour le système A. (Dans la pratique, les gains cumulatifs seraient différents étant donné que la constellation ne sera pas la même.) Le résultat final, indiqué dans le Tableau 2, fait apparaître, pour cet exemple hypothétique, que le signal 0 du système B fait augmenter la densité spectrale de puissance du bruit de fond totale du récepteur, qui s'établit à −199,07 dB(W/Hz).</w:t>
      </w:r>
    </w:p>
    <w:p w:rsidR="005C6927" w:rsidRPr="00E62332" w:rsidRDefault="005C6927" w:rsidP="005C6927">
      <w:pPr>
        <w:pStyle w:val="Heading2"/>
      </w:pPr>
      <w:bookmarkStart w:id="16" w:name="_Toc467049670"/>
      <w:r w:rsidRPr="00E62332">
        <w:t>5.2</w:t>
      </w:r>
      <w:r w:rsidRPr="00E62332">
        <w:tab/>
        <w:t>Evaluation des rapports porteuse/bruit effectifs et de la dégradation correspondante</w:t>
      </w:r>
      <w:bookmarkEnd w:id="16"/>
    </w:p>
    <w:p w:rsidR="005C6927" w:rsidRPr="00E62332" w:rsidRDefault="005C6927" w:rsidP="005C6927">
      <w:r w:rsidRPr="00E62332">
        <w:t xml:space="preserve">Pour illustrer comment la méthode s'appliquerait dans une analyse de la variation du rapport </w:t>
      </w:r>
      <w:r w:rsidRPr="00E62332">
        <w:rPr>
          <w:i/>
          <w:iCs/>
        </w:rPr>
        <w:t>C</w:t>
      </w:r>
      <w:r w:rsidRPr="00E62332">
        <w:t>/</w:t>
      </w:r>
      <w:r w:rsidRPr="00E62332">
        <w:rPr>
          <w:i/>
          <w:iCs/>
        </w:rPr>
        <w:t>N</w:t>
      </w:r>
      <w:r w:rsidRPr="00E62332">
        <w:rPr>
          <w:vertAlign w:val="subscript"/>
        </w:rPr>
        <w:t>0</w:t>
      </w:r>
      <w:r w:rsidRPr="00E62332">
        <w:t xml:space="preserve"> effectif imputable à un autre système du SRNS, on poursuit ici avec l'exemple hypothétique du paragraphe précédent (voir le Tableau 3). Comme dans le paragraphe précédent, les valeurs utilisées ne sont données qu'à titre d'illustration et elles doivent être coordonnées dans le cadre de discussions. On notera que le rapport </w:t>
      </w:r>
      <w:r w:rsidRPr="00E62332">
        <w:rPr>
          <w:i/>
        </w:rPr>
        <w:t>C</w:t>
      </w:r>
      <w:r w:rsidRPr="00E62332">
        <w:t>/</w:t>
      </w:r>
      <w:r w:rsidRPr="00E62332">
        <w:rPr>
          <w:i/>
        </w:rPr>
        <w:t>N</w:t>
      </w:r>
      <w:r w:rsidRPr="00E62332">
        <w:rPr>
          <w:vertAlign w:val="subscript"/>
        </w:rPr>
        <w:t>0</w:t>
      </w:r>
      <w:r w:rsidRPr="00E62332">
        <w:t xml:space="preserve"> est de 36,00 dB/Hz pour le signal 1 du système A avant de tenir compte du brouillage à l'intérieur d'un même système mais qu'il est de 33,87 dB/Hz une fois tenu compte de tous les brouillages, exception faite du signal 0 du système B.</w:t>
      </w:r>
    </w:p>
    <w:p w:rsidR="005C6927" w:rsidRDefault="005C6927" w:rsidP="00164AF7">
      <w:r w:rsidRPr="00E62332">
        <w:t>Le signal 0 provenant du système B (</w:t>
      </w:r>
      <w:r>
        <w:t>«</w:t>
      </w:r>
      <w:r w:rsidRPr="00E62332">
        <w:t>autre système</w:t>
      </w:r>
      <w:r>
        <w:t>»</w:t>
      </w:r>
      <w:r w:rsidRPr="00E62332">
        <w:t xml:space="preserve">) est alors pris en compte dans le calcul des brouillages, afin de calculer le nouveau rapport </w:t>
      </w:r>
      <w:r w:rsidRPr="00E62332">
        <w:rPr>
          <w:i/>
          <w:iCs/>
        </w:rPr>
        <w:t>C/N</w:t>
      </w:r>
      <w:r w:rsidRPr="00E62332">
        <w:rPr>
          <w:i/>
          <w:iCs/>
          <w:vertAlign w:val="subscript"/>
        </w:rPr>
        <w:t>0</w:t>
      </w:r>
      <w:r w:rsidRPr="00E62332">
        <w:t xml:space="preserve"> pour le signal 1 du système A. Le résultat final, présenté dans le Tableau 3, fait apparaître, pour cet exemple hypothétique, que le signal 0 du système</w:t>
      </w:r>
      <w:r w:rsidR="00164AF7">
        <w:t> </w:t>
      </w:r>
      <w:r w:rsidRPr="00E62332">
        <w:t xml:space="preserve">B fait baisser le rapport </w:t>
      </w:r>
      <w:r w:rsidRPr="00E62332">
        <w:rPr>
          <w:i/>
        </w:rPr>
        <w:t>C</w:t>
      </w:r>
      <w:r w:rsidRPr="00E62332">
        <w:t>/</w:t>
      </w:r>
      <w:r w:rsidRPr="00E62332">
        <w:rPr>
          <w:i/>
        </w:rPr>
        <w:t>N</w:t>
      </w:r>
      <w:r w:rsidRPr="00E62332">
        <w:rPr>
          <w:vertAlign w:val="subscript"/>
        </w:rPr>
        <w:t>0</w:t>
      </w:r>
      <w:r w:rsidRPr="00E62332">
        <w:t xml:space="preserve"> du système A (signal 1), qui s'établit à 33,57 dB/Hz.</w:t>
      </w:r>
    </w:p>
    <w:p w:rsidR="00164AF7" w:rsidRDefault="00164AF7">
      <w:pPr>
        <w:tabs>
          <w:tab w:val="clear" w:pos="794"/>
          <w:tab w:val="clear" w:pos="1191"/>
          <w:tab w:val="clear" w:pos="1588"/>
          <w:tab w:val="clear" w:pos="1985"/>
        </w:tabs>
        <w:overflowPunct/>
        <w:autoSpaceDE/>
        <w:autoSpaceDN/>
        <w:adjustRightInd/>
        <w:spacing w:before="0"/>
        <w:jc w:val="left"/>
        <w:textAlignment w:val="auto"/>
      </w:pPr>
      <w:r>
        <w:br w:type="page"/>
      </w:r>
    </w:p>
    <w:p w:rsidR="005C6927" w:rsidRPr="00E62332" w:rsidRDefault="005C6927" w:rsidP="005C6927">
      <w:pPr>
        <w:pStyle w:val="TableNo"/>
      </w:pPr>
      <w:r w:rsidRPr="00C92917">
        <w:lastRenderedPageBreak/>
        <w:t>TABLEAU</w:t>
      </w:r>
      <w:r w:rsidRPr="00E62332">
        <w:t xml:space="preserve"> 3</w:t>
      </w:r>
    </w:p>
    <w:p w:rsidR="005C6927" w:rsidRPr="00E62332" w:rsidRDefault="005C6927" w:rsidP="005C6927">
      <w:pPr>
        <w:pStyle w:val="Tabletitle"/>
      </w:pPr>
      <w:r w:rsidRPr="00E62332">
        <w:t xml:space="preserve">Exemple hypothétique de la diminution du rapport </w:t>
      </w:r>
      <w:r w:rsidRPr="00E62332">
        <w:rPr>
          <w:i/>
          <w:iCs/>
        </w:rPr>
        <w:t>C</w:t>
      </w:r>
      <w:r w:rsidRPr="00E62332">
        <w:t>/</w:t>
      </w:r>
      <w:r w:rsidRPr="00E62332">
        <w:rPr>
          <w:i/>
          <w:iCs/>
        </w:rPr>
        <w:t>N</w:t>
      </w:r>
      <w:r w:rsidRPr="00E62332">
        <w:rPr>
          <w:vertAlign w:val="subscript"/>
        </w:rPr>
        <w:t>0</w:t>
      </w:r>
      <w:r w:rsidRPr="00E62332">
        <w:t xml:space="preserve"> due à un brouillage entre plusieurs systèmes (brouillage causé par le système B aux systèmes A et SBAS combinés)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4"/>
        <w:gridCol w:w="1805"/>
      </w:tblGrid>
      <w:tr w:rsidR="005C6927" w:rsidRPr="00E62332" w:rsidTr="00493BC9">
        <w:trPr>
          <w:trHeight w:val="276"/>
          <w:jc w:val="center"/>
        </w:trPr>
        <w:tc>
          <w:tcPr>
            <w:tcW w:w="8422" w:type="dxa"/>
            <w:gridSpan w:val="2"/>
          </w:tcPr>
          <w:p w:rsidR="005C6927" w:rsidRPr="00E62332" w:rsidRDefault="005C6927" w:rsidP="00493BC9">
            <w:pPr>
              <w:pStyle w:val="Tablehead"/>
              <w:rPr>
                <w:sz w:val="20"/>
              </w:rPr>
            </w:pPr>
            <w:r w:rsidRPr="00E62332">
              <w:rPr>
                <w:sz w:val="20"/>
              </w:rPr>
              <w:t xml:space="preserve">Rapport de densité effective porteuse/bruit du signal (signal 1 du système A), </w:t>
            </w:r>
            <w:r w:rsidRPr="00E62332">
              <w:rPr>
                <w:sz w:val="20"/>
              </w:rPr>
              <w:br/>
            </w:r>
            <w:r w:rsidRPr="00E62332">
              <w:rPr>
                <w:i/>
                <w:sz w:val="20"/>
              </w:rPr>
              <w:t>C</w:t>
            </w:r>
            <w:r w:rsidRPr="00E62332">
              <w:rPr>
                <w:sz w:val="20"/>
              </w:rPr>
              <w:t>/</w:t>
            </w:r>
            <w:r w:rsidRPr="00E62332">
              <w:rPr>
                <w:i/>
                <w:sz w:val="20"/>
              </w:rPr>
              <w:t>N</w:t>
            </w:r>
            <w:r w:rsidRPr="00E62332">
              <w:rPr>
                <w:sz w:val="20"/>
                <w:vertAlign w:val="subscript"/>
              </w:rPr>
              <w:t>0</w:t>
            </w:r>
            <w:r w:rsidRPr="00E62332">
              <w:rPr>
                <w:sz w:val="20"/>
              </w:rPr>
              <w:t xml:space="preserve"> (dB/Hz), dû au bruit thermique, </w:t>
            </w:r>
            <w:r w:rsidRPr="00E62332">
              <w:rPr>
                <w:i/>
                <w:sz w:val="20"/>
              </w:rPr>
              <w:t>N</w:t>
            </w:r>
            <w:r w:rsidRPr="00E62332">
              <w:rPr>
                <w:sz w:val="20"/>
                <w:vertAlign w:val="subscript"/>
              </w:rPr>
              <w:t>0</w:t>
            </w:r>
          </w:p>
        </w:tc>
      </w:tr>
      <w:tr w:rsidR="005C6927" w:rsidRPr="00E62332" w:rsidTr="00493BC9">
        <w:trPr>
          <w:trHeight w:val="247"/>
          <w:jc w:val="center"/>
        </w:trPr>
        <w:tc>
          <w:tcPr>
            <w:tcW w:w="6845" w:type="dxa"/>
          </w:tcPr>
          <w:p w:rsidR="005C6927" w:rsidRPr="00E62332" w:rsidRDefault="005C6927" w:rsidP="00493BC9">
            <w:pPr>
              <w:pStyle w:val="Tabletext"/>
              <w:rPr>
                <w:sz w:val="20"/>
              </w:rPr>
            </w:pPr>
            <w:r w:rsidRPr="00E62332">
              <w:rPr>
                <w:sz w:val="20"/>
              </w:rPr>
              <w:t>Puissance minimale du signal 1 (dBW)</w:t>
            </w:r>
          </w:p>
        </w:tc>
        <w:tc>
          <w:tcPr>
            <w:tcW w:w="1577" w:type="dxa"/>
          </w:tcPr>
          <w:p w:rsidR="005C6927" w:rsidRPr="00E62332" w:rsidRDefault="005C6927" w:rsidP="00493BC9">
            <w:pPr>
              <w:pStyle w:val="Tabletext"/>
              <w:jc w:val="center"/>
              <w:rPr>
                <w:sz w:val="20"/>
              </w:rPr>
            </w:pPr>
            <w:r w:rsidRPr="00E62332">
              <w:rPr>
                <w:sz w:val="20"/>
              </w:rPr>
              <w:t>–158,50</w:t>
            </w:r>
          </w:p>
        </w:tc>
      </w:tr>
      <w:tr w:rsidR="005C6927" w:rsidRPr="00E62332" w:rsidTr="00493BC9">
        <w:trPr>
          <w:trHeight w:val="247"/>
          <w:jc w:val="center"/>
        </w:trPr>
        <w:tc>
          <w:tcPr>
            <w:tcW w:w="6845" w:type="dxa"/>
          </w:tcPr>
          <w:p w:rsidR="005C6927" w:rsidRPr="00E62332" w:rsidRDefault="005C6927" w:rsidP="00493BC9">
            <w:pPr>
              <w:pStyle w:val="Tabletext"/>
              <w:rPr>
                <w:sz w:val="20"/>
              </w:rPr>
            </w:pPr>
            <w:r w:rsidRPr="00E62332">
              <w:rPr>
                <w:sz w:val="20"/>
              </w:rPr>
              <w:t>Affaiblissement de traitement du signal utile (dB)</w:t>
            </w:r>
          </w:p>
        </w:tc>
        <w:tc>
          <w:tcPr>
            <w:tcW w:w="1577" w:type="dxa"/>
          </w:tcPr>
          <w:p w:rsidR="005C6927" w:rsidRPr="00E62332" w:rsidRDefault="005C6927" w:rsidP="00493BC9">
            <w:pPr>
              <w:pStyle w:val="Tabletext"/>
              <w:jc w:val="center"/>
              <w:rPr>
                <w:sz w:val="20"/>
              </w:rPr>
            </w:pPr>
            <w:r w:rsidRPr="00E62332">
              <w:rPr>
                <w:sz w:val="20"/>
              </w:rPr>
              <w:t>2,50</w:t>
            </w:r>
          </w:p>
        </w:tc>
      </w:tr>
      <w:tr w:rsidR="005C6927" w:rsidRPr="00E62332" w:rsidTr="00493BC9">
        <w:trPr>
          <w:trHeight w:val="247"/>
          <w:jc w:val="center"/>
        </w:trPr>
        <w:tc>
          <w:tcPr>
            <w:tcW w:w="6845" w:type="dxa"/>
          </w:tcPr>
          <w:p w:rsidR="005C6927" w:rsidRPr="00E62332" w:rsidRDefault="005C6927" w:rsidP="00493BC9">
            <w:pPr>
              <w:pStyle w:val="Tabletext"/>
              <w:rPr>
                <w:sz w:val="20"/>
              </w:rPr>
            </w:pPr>
            <w:r w:rsidRPr="00E62332">
              <w:rPr>
                <w:sz w:val="20"/>
              </w:rPr>
              <w:t>Gain minimal de l'antenne du récepteur (dBi)</w:t>
            </w:r>
          </w:p>
        </w:tc>
        <w:tc>
          <w:tcPr>
            <w:tcW w:w="1577" w:type="dxa"/>
          </w:tcPr>
          <w:p w:rsidR="005C6927" w:rsidRPr="00E62332" w:rsidRDefault="005C6927" w:rsidP="00493BC9">
            <w:pPr>
              <w:pStyle w:val="Tabletext"/>
              <w:jc w:val="center"/>
              <w:rPr>
                <w:sz w:val="20"/>
              </w:rPr>
            </w:pPr>
            <w:r w:rsidRPr="00E62332">
              <w:rPr>
                <w:sz w:val="20"/>
              </w:rPr>
              <w:t>–4,50</w:t>
            </w:r>
          </w:p>
        </w:tc>
      </w:tr>
      <w:tr w:rsidR="005C6927" w:rsidRPr="00E62332" w:rsidTr="00493BC9">
        <w:trPr>
          <w:trHeight w:val="247"/>
          <w:jc w:val="center"/>
        </w:trPr>
        <w:tc>
          <w:tcPr>
            <w:tcW w:w="6845" w:type="dxa"/>
          </w:tcPr>
          <w:p w:rsidR="005C6927" w:rsidRPr="00E62332" w:rsidRDefault="005C6927" w:rsidP="00493BC9">
            <w:pPr>
              <w:pStyle w:val="Tabletext"/>
              <w:rPr>
                <w:sz w:val="20"/>
              </w:rPr>
            </w:pPr>
            <w:r w:rsidRPr="00E62332">
              <w:rPr>
                <w:sz w:val="20"/>
              </w:rPr>
              <w:t xml:space="preserve">Puissance du signal utile </w:t>
            </w:r>
            <w:r w:rsidRPr="00E62332">
              <w:rPr>
                <w:i/>
                <w:sz w:val="20"/>
              </w:rPr>
              <w:t>C</w:t>
            </w:r>
            <w:r w:rsidRPr="00E62332">
              <w:rPr>
                <w:sz w:val="20"/>
              </w:rPr>
              <w:t xml:space="preserve"> (dBW)</w:t>
            </w:r>
          </w:p>
        </w:tc>
        <w:tc>
          <w:tcPr>
            <w:tcW w:w="1577" w:type="dxa"/>
          </w:tcPr>
          <w:p w:rsidR="005C6927" w:rsidRPr="00E62332" w:rsidRDefault="005C6927" w:rsidP="00493BC9">
            <w:pPr>
              <w:pStyle w:val="Tabletext"/>
              <w:jc w:val="center"/>
              <w:rPr>
                <w:sz w:val="20"/>
              </w:rPr>
            </w:pPr>
            <w:r w:rsidRPr="00E62332">
              <w:rPr>
                <w:sz w:val="20"/>
              </w:rPr>
              <w:t>–165,50</w:t>
            </w:r>
          </w:p>
        </w:tc>
      </w:tr>
      <w:tr w:rsidR="005C6927" w:rsidRPr="00E62332" w:rsidTr="00493BC9">
        <w:trPr>
          <w:trHeight w:val="276"/>
          <w:jc w:val="center"/>
        </w:trPr>
        <w:tc>
          <w:tcPr>
            <w:tcW w:w="6845" w:type="dxa"/>
          </w:tcPr>
          <w:p w:rsidR="005C6927" w:rsidRPr="00E62332" w:rsidRDefault="005C6927" w:rsidP="00493BC9">
            <w:pPr>
              <w:pStyle w:val="Tabletext"/>
              <w:rPr>
                <w:sz w:val="20"/>
              </w:rPr>
            </w:pPr>
            <w:r w:rsidRPr="00E62332">
              <w:rPr>
                <w:sz w:val="20"/>
              </w:rPr>
              <w:t xml:space="preserve">Densité de bruit thermique, </w:t>
            </w:r>
            <w:r w:rsidRPr="00E62332">
              <w:rPr>
                <w:i/>
                <w:sz w:val="20"/>
              </w:rPr>
              <w:t>N</w:t>
            </w:r>
            <w:r w:rsidRPr="00E62332">
              <w:rPr>
                <w:sz w:val="20"/>
                <w:vertAlign w:val="subscript"/>
              </w:rPr>
              <w:t>0</w:t>
            </w:r>
            <w:r w:rsidRPr="00E62332">
              <w:rPr>
                <w:sz w:val="20"/>
              </w:rPr>
              <w:t xml:space="preserve"> (dB(W/Hz))</w:t>
            </w:r>
          </w:p>
        </w:tc>
        <w:tc>
          <w:tcPr>
            <w:tcW w:w="1577" w:type="dxa"/>
          </w:tcPr>
          <w:p w:rsidR="005C6927" w:rsidRPr="00E62332" w:rsidRDefault="005C6927" w:rsidP="00493BC9">
            <w:pPr>
              <w:pStyle w:val="Tabletext"/>
              <w:jc w:val="center"/>
              <w:rPr>
                <w:sz w:val="20"/>
              </w:rPr>
            </w:pPr>
            <w:r w:rsidRPr="00E62332">
              <w:rPr>
                <w:sz w:val="20"/>
              </w:rPr>
              <w:t>–201,50</w:t>
            </w:r>
            <w:r w:rsidRPr="00E62332">
              <w:rPr>
                <w:sz w:val="20"/>
                <w:vertAlign w:val="superscript"/>
              </w:rPr>
              <w:t>(1)</w:t>
            </w:r>
          </w:p>
        </w:tc>
      </w:tr>
      <w:tr w:rsidR="005C6927" w:rsidRPr="00E62332" w:rsidTr="00493BC9">
        <w:trPr>
          <w:trHeight w:val="290"/>
          <w:jc w:val="center"/>
        </w:trPr>
        <w:tc>
          <w:tcPr>
            <w:tcW w:w="6845" w:type="dxa"/>
          </w:tcPr>
          <w:p w:rsidR="005C6927" w:rsidRPr="00E62332" w:rsidRDefault="005C6927" w:rsidP="00493BC9">
            <w:pPr>
              <w:pStyle w:val="Tabletext"/>
              <w:rPr>
                <w:sz w:val="20"/>
              </w:rPr>
            </w:pPr>
            <w:r w:rsidRPr="00E62332">
              <w:rPr>
                <w:i/>
                <w:sz w:val="20"/>
              </w:rPr>
              <w:t>C</w:t>
            </w:r>
            <w:r w:rsidRPr="00E62332">
              <w:rPr>
                <w:sz w:val="20"/>
              </w:rPr>
              <w:t>/</w:t>
            </w:r>
            <w:r w:rsidRPr="00E62332">
              <w:rPr>
                <w:i/>
                <w:sz w:val="20"/>
              </w:rPr>
              <w:t>N</w:t>
            </w:r>
            <w:r w:rsidRPr="00E62332">
              <w:rPr>
                <w:sz w:val="20"/>
                <w:vertAlign w:val="subscript"/>
              </w:rPr>
              <w:t>0</w:t>
            </w:r>
            <w:r w:rsidRPr="00E62332">
              <w:rPr>
                <w:sz w:val="20"/>
              </w:rPr>
              <w:t xml:space="preserve"> (dB/Hz)</w:t>
            </w:r>
          </w:p>
        </w:tc>
        <w:tc>
          <w:tcPr>
            <w:tcW w:w="1577" w:type="dxa"/>
          </w:tcPr>
          <w:p w:rsidR="005C6927" w:rsidRPr="00E62332" w:rsidRDefault="005C6927" w:rsidP="00493BC9">
            <w:pPr>
              <w:pStyle w:val="Tabletext"/>
              <w:jc w:val="center"/>
              <w:rPr>
                <w:sz w:val="20"/>
              </w:rPr>
            </w:pPr>
            <w:r w:rsidRPr="00E62332">
              <w:rPr>
                <w:sz w:val="20"/>
              </w:rPr>
              <w:t>36,00</w:t>
            </w:r>
          </w:p>
        </w:tc>
      </w:tr>
      <w:tr w:rsidR="005C6927" w:rsidRPr="00E62332" w:rsidTr="00493BC9">
        <w:trPr>
          <w:trHeight w:val="276"/>
          <w:jc w:val="center"/>
        </w:trPr>
        <w:tc>
          <w:tcPr>
            <w:tcW w:w="8422" w:type="dxa"/>
            <w:gridSpan w:val="2"/>
          </w:tcPr>
          <w:p w:rsidR="005C6927" w:rsidRPr="00E62332" w:rsidRDefault="005C6927" w:rsidP="00493BC9">
            <w:pPr>
              <w:pStyle w:val="Tablehead"/>
              <w:rPr>
                <w:sz w:val="20"/>
                <w:vertAlign w:val="subscript"/>
              </w:rPr>
            </w:pPr>
            <w:r w:rsidRPr="00E62332">
              <w:rPr>
                <w:sz w:val="20"/>
              </w:rPr>
              <w:t>Rapport de densité effective</w:t>
            </w:r>
            <w:r w:rsidRPr="00E62332">
              <w:rPr>
                <w:i/>
                <w:iCs/>
                <w:sz w:val="20"/>
              </w:rPr>
              <w:t xml:space="preserve"> C</w:t>
            </w:r>
            <w:r w:rsidRPr="00E62332">
              <w:rPr>
                <w:sz w:val="20"/>
              </w:rPr>
              <w:t>/</w:t>
            </w:r>
            <w:r w:rsidRPr="00E62332">
              <w:rPr>
                <w:i/>
                <w:iCs/>
                <w:sz w:val="20"/>
              </w:rPr>
              <w:t>N</w:t>
            </w:r>
            <w:r w:rsidRPr="00E62332">
              <w:rPr>
                <w:sz w:val="20"/>
                <w:vertAlign w:val="subscript"/>
              </w:rPr>
              <w:t>0</w:t>
            </w:r>
            <w:r w:rsidRPr="00E62332">
              <w:rPr>
                <w:sz w:val="20"/>
              </w:rPr>
              <w:t xml:space="preserve"> (dB/Hz): </w:t>
            </w:r>
            <w:r w:rsidRPr="00E62332">
              <w:rPr>
                <w:i/>
                <w:iCs/>
                <w:sz w:val="20"/>
              </w:rPr>
              <w:t>N</w:t>
            </w:r>
            <w:r w:rsidRPr="00E62332">
              <w:rPr>
                <w:sz w:val="20"/>
                <w:vertAlign w:val="subscript"/>
              </w:rPr>
              <w:t>0</w:t>
            </w:r>
            <w:r w:rsidRPr="00E62332">
              <w:rPr>
                <w:sz w:val="20"/>
              </w:rPr>
              <w:t xml:space="preserve"> + </w:t>
            </w:r>
            <w:r w:rsidRPr="00E62332">
              <w:rPr>
                <w:i/>
                <w:iCs/>
                <w:sz w:val="20"/>
              </w:rPr>
              <w:t>I</w:t>
            </w:r>
            <w:r w:rsidRPr="00E62332">
              <w:rPr>
                <w:i/>
                <w:iCs/>
                <w:sz w:val="20"/>
                <w:vertAlign w:val="subscript"/>
              </w:rPr>
              <w:t>ref</w:t>
            </w:r>
            <w:r w:rsidRPr="00E62332">
              <w:rPr>
                <w:sz w:val="20"/>
              </w:rPr>
              <w:t xml:space="preserve"> + brouillage SBAS, </w:t>
            </w:r>
            <w:r w:rsidRPr="00E62332">
              <w:rPr>
                <w:i/>
                <w:iCs/>
                <w:sz w:val="20"/>
              </w:rPr>
              <w:t>I</w:t>
            </w:r>
            <w:r w:rsidRPr="00E62332">
              <w:rPr>
                <w:i/>
                <w:iCs/>
                <w:sz w:val="20"/>
                <w:vertAlign w:val="subscript"/>
              </w:rPr>
              <w:t>rem</w:t>
            </w:r>
            <w:r w:rsidRPr="00E62332">
              <w:rPr>
                <w:sz w:val="20"/>
              </w:rPr>
              <w:t xml:space="preserve"> + brouillage externe non SRNS, </w:t>
            </w:r>
            <w:r w:rsidRPr="00E62332">
              <w:rPr>
                <w:i/>
                <w:iCs/>
                <w:sz w:val="20"/>
              </w:rPr>
              <w:t>I</w:t>
            </w:r>
            <w:r w:rsidRPr="00E62332">
              <w:rPr>
                <w:i/>
                <w:iCs/>
                <w:sz w:val="20"/>
                <w:vertAlign w:val="subscript"/>
              </w:rPr>
              <w:t>ext</w:t>
            </w:r>
          </w:p>
        </w:tc>
      </w:tr>
      <w:tr w:rsidR="005C6927" w:rsidRPr="00E62332" w:rsidTr="00493BC9">
        <w:trPr>
          <w:trHeight w:val="290"/>
          <w:jc w:val="center"/>
        </w:trPr>
        <w:tc>
          <w:tcPr>
            <w:tcW w:w="6845" w:type="dxa"/>
          </w:tcPr>
          <w:p w:rsidR="005C6927" w:rsidRPr="0055399D" w:rsidRDefault="005C6927" w:rsidP="00493BC9">
            <w:pPr>
              <w:pStyle w:val="Tabletext"/>
              <w:rPr>
                <w:sz w:val="20"/>
                <w:lang w:val="en-GB"/>
              </w:rPr>
            </w:pPr>
            <w:r w:rsidRPr="0055399D">
              <w:rPr>
                <w:i/>
                <w:sz w:val="20"/>
                <w:lang w:val="en-GB"/>
              </w:rPr>
              <w:t>N</w:t>
            </w:r>
            <w:r w:rsidRPr="0055399D">
              <w:rPr>
                <w:sz w:val="20"/>
                <w:vertAlign w:val="subscript"/>
                <w:lang w:val="en-GB"/>
              </w:rPr>
              <w:t xml:space="preserve">0 </w:t>
            </w:r>
            <w:r w:rsidRPr="0055399D">
              <w:rPr>
                <w:sz w:val="20"/>
                <w:lang w:val="en-GB"/>
              </w:rPr>
              <w:t xml:space="preserve">+ </w:t>
            </w:r>
            <w:r w:rsidRPr="0055399D">
              <w:rPr>
                <w:i/>
                <w:sz w:val="20"/>
                <w:lang w:val="en-GB"/>
              </w:rPr>
              <w:t>I</w:t>
            </w:r>
            <w:r w:rsidRPr="0055399D">
              <w:rPr>
                <w:i/>
                <w:iCs/>
                <w:sz w:val="20"/>
                <w:vertAlign w:val="subscript"/>
                <w:lang w:val="en-GB"/>
              </w:rPr>
              <w:t>ref</w:t>
            </w:r>
            <w:r w:rsidRPr="0055399D">
              <w:rPr>
                <w:sz w:val="20"/>
                <w:lang w:val="en-GB"/>
              </w:rPr>
              <w:t xml:space="preserve"> + </w:t>
            </w:r>
            <w:r w:rsidRPr="0055399D">
              <w:rPr>
                <w:i/>
                <w:sz w:val="20"/>
                <w:lang w:val="en-GB"/>
              </w:rPr>
              <w:t>I</w:t>
            </w:r>
            <w:r w:rsidRPr="0055399D">
              <w:rPr>
                <w:i/>
                <w:iCs/>
                <w:sz w:val="20"/>
                <w:vertAlign w:val="subscript"/>
                <w:lang w:val="en-GB"/>
              </w:rPr>
              <w:t>rem</w:t>
            </w:r>
            <w:r w:rsidRPr="0055399D">
              <w:rPr>
                <w:sz w:val="20"/>
                <w:vertAlign w:val="subscript"/>
                <w:lang w:val="en-GB"/>
              </w:rPr>
              <w:t xml:space="preserve"> </w:t>
            </w:r>
            <w:r w:rsidRPr="0055399D">
              <w:rPr>
                <w:sz w:val="20"/>
                <w:lang w:val="en-GB"/>
              </w:rPr>
              <w:t xml:space="preserve">+ </w:t>
            </w:r>
            <w:r w:rsidRPr="0055399D">
              <w:rPr>
                <w:i/>
                <w:sz w:val="20"/>
                <w:lang w:val="en-GB"/>
              </w:rPr>
              <w:t>I</w:t>
            </w:r>
            <w:r w:rsidRPr="0055399D">
              <w:rPr>
                <w:i/>
                <w:iCs/>
                <w:sz w:val="20"/>
                <w:vertAlign w:val="subscript"/>
                <w:lang w:val="en-GB"/>
              </w:rPr>
              <w:t>ext</w:t>
            </w:r>
            <w:r w:rsidRPr="0055399D">
              <w:rPr>
                <w:sz w:val="20"/>
                <w:lang w:val="en-GB"/>
              </w:rPr>
              <w:t xml:space="preserve"> (dB(W/Hz))</w:t>
            </w:r>
            <w:r w:rsidRPr="0055399D">
              <w:rPr>
                <w:sz w:val="20"/>
                <w:vertAlign w:val="superscript"/>
                <w:lang w:val="en-GB"/>
              </w:rPr>
              <w:t>(2)</w:t>
            </w:r>
          </w:p>
        </w:tc>
        <w:tc>
          <w:tcPr>
            <w:tcW w:w="1577" w:type="dxa"/>
            <w:vAlign w:val="bottom"/>
          </w:tcPr>
          <w:p w:rsidR="005C6927" w:rsidRPr="00E62332" w:rsidRDefault="005C6927" w:rsidP="00493BC9">
            <w:pPr>
              <w:pStyle w:val="Tabletext"/>
              <w:jc w:val="center"/>
              <w:rPr>
                <w:sz w:val="20"/>
              </w:rPr>
            </w:pPr>
            <w:r w:rsidRPr="00E62332">
              <w:rPr>
                <w:sz w:val="20"/>
              </w:rPr>
              <w:t>–199,37</w:t>
            </w:r>
          </w:p>
        </w:tc>
      </w:tr>
      <w:tr w:rsidR="005C6927" w:rsidRPr="00E62332" w:rsidTr="00493BC9">
        <w:trPr>
          <w:trHeight w:val="290"/>
          <w:jc w:val="center"/>
        </w:trPr>
        <w:tc>
          <w:tcPr>
            <w:tcW w:w="6845" w:type="dxa"/>
          </w:tcPr>
          <w:p w:rsidR="005C6927" w:rsidRPr="006168A6" w:rsidRDefault="005C6927" w:rsidP="00493BC9">
            <w:pPr>
              <w:pStyle w:val="Tabletext"/>
              <w:rPr>
                <w:sz w:val="20"/>
                <w:lang w:val="de-CH"/>
              </w:rPr>
            </w:pPr>
            <w:r w:rsidRPr="006168A6">
              <w:rPr>
                <w:i/>
                <w:sz w:val="20"/>
                <w:lang w:val="de-CH"/>
              </w:rPr>
              <w:t>C</w:t>
            </w:r>
            <w:r w:rsidRPr="006168A6">
              <w:rPr>
                <w:sz w:val="20"/>
                <w:lang w:val="de-CH"/>
              </w:rPr>
              <w:t>/(</w:t>
            </w:r>
            <w:r w:rsidRPr="006168A6">
              <w:rPr>
                <w:i/>
                <w:sz w:val="20"/>
                <w:lang w:val="de-CH"/>
              </w:rPr>
              <w:t>N</w:t>
            </w:r>
            <w:r w:rsidRPr="006168A6">
              <w:rPr>
                <w:sz w:val="20"/>
                <w:vertAlign w:val="subscript"/>
                <w:lang w:val="de-CH"/>
              </w:rPr>
              <w:t xml:space="preserve">0 </w:t>
            </w:r>
            <w:r w:rsidRPr="006168A6">
              <w:rPr>
                <w:sz w:val="20"/>
                <w:lang w:val="de-CH"/>
              </w:rPr>
              <w:t xml:space="preserve">+ </w:t>
            </w:r>
            <w:r w:rsidRPr="006168A6">
              <w:rPr>
                <w:i/>
                <w:sz w:val="20"/>
                <w:lang w:val="de-CH"/>
              </w:rPr>
              <w:t>I</w:t>
            </w:r>
            <w:r w:rsidRPr="006168A6">
              <w:rPr>
                <w:i/>
                <w:iCs/>
                <w:sz w:val="20"/>
                <w:vertAlign w:val="subscript"/>
                <w:lang w:val="de-CH"/>
              </w:rPr>
              <w:t>ref</w:t>
            </w:r>
            <w:r w:rsidRPr="006168A6">
              <w:rPr>
                <w:sz w:val="20"/>
                <w:lang w:val="de-CH"/>
              </w:rPr>
              <w:t xml:space="preserve"> + </w:t>
            </w:r>
            <w:r w:rsidRPr="006168A6">
              <w:rPr>
                <w:i/>
                <w:sz w:val="20"/>
                <w:lang w:val="de-CH"/>
              </w:rPr>
              <w:t>I</w:t>
            </w:r>
            <w:r w:rsidRPr="006168A6">
              <w:rPr>
                <w:i/>
                <w:iCs/>
                <w:sz w:val="20"/>
                <w:vertAlign w:val="subscript"/>
                <w:lang w:val="de-CH"/>
              </w:rPr>
              <w:t>rem</w:t>
            </w:r>
            <w:r w:rsidRPr="006168A6">
              <w:rPr>
                <w:sz w:val="20"/>
                <w:vertAlign w:val="subscript"/>
                <w:lang w:val="de-CH"/>
              </w:rPr>
              <w:t xml:space="preserve"> </w:t>
            </w:r>
            <w:r w:rsidRPr="006168A6">
              <w:rPr>
                <w:sz w:val="20"/>
                <w:lang w:val="de-CH"/>
              </w:rPr>
              <w:t xml:space="preserve">+ </w:t>
            </w:r>
            <w:r w:rsidRPr="006168A6">
              <w:rPr>
                <w:i/>
                <w:sz w:val="20"/>
                <w:lang w:val="de-CH"/>
              </w:rPr>
              <w:t>I</w:t>
            </w:r>
            <w:r w:rsidRPr="006168A6">
              <w:rPr>
                <w:i/>
                <w:iCs/>
                <w:sz w:val="20"/>
                <w:vertAlign w:val="subscript"/>
                <w:lang w:val="de-CH"/>
              </w:rPr>
              <w:t>ext</w:t>
            </w:r>
            <w:r w:rsidRPr="006168A6">
              <w:rPr>
                <w:sz w:val="20"/>
                <w:lang w:val="de-CH"/>
              </w:rPr>
              <w:t>) (dB/Hz)</w:t>
            </w:r>
          </w:p>
        </w:tc>
        <w:tc>
          <w:tcPr>
            <w:tcW w:w="1577" w:type="dxa"/>
            <w:vAlign w:val="bottom"/>
          </w:tcPr>
          <w:p w:rsidR="005C6927" w:rsidRPr="00E62332" w:rsidRDefault="005C6927" w:rsidP="00493BC9">
            <w:pPr>
              <w:pStyle w:val="Tabletext"/>
              <w:jc w:val="center"/>
              <w:rPr>
                <w:sz w:val="20"/>
                <w:highlight w:val="green"/>
              </w:rPr>
            </w:pPr>
            <w:r w:rsidRPr="00E62332">
              <w:rPr>
                <w:sz w:val="20"/>
              </w:rPr>
              <w:t>33,87</w:t>
            </w:r>
          </w:p>
        </w:tc>
      </w:tr>
      <w:tr w:rsidR="005C6927" w:rsidRPr="00E62332" w:rsidTr="00493BC9">
        <w:trPr>
          <w:jc w:val="center"/>
        </w:trPr>
        <w:tc>
          <w:tcPr>
            <w:tcW w:w="8422" w:type="dxa"/>
            <w:gridSpan w:val="2"/>
          </w:tcPr>
          <w:p w:rsidR="005C6927" w:rsidRPr="00E62332" w:rsidRDefault="005C6927" w:rsidP="00493BC9">
            <w:pPr>
              <w:pStyle w:val="Tablehead"/>
              <w:rPr>
                <w:sz w:val="20"/>
              </w:rPr>
            </w:pPr>
            <w:r w:rsidRPr="00E62332">
              <w:rPr>
                <w:sz w:val="20"/>
              </w:rPr>
              <w:t>Rapport de densité effective</w:t>
            </w:r>
            <w:r w:rsidRPr="00E62332">
              <w:rPr>
                <w:i/>
                <w:iCs/>
                <w:sz w:val="20"/>
              </w:rPr>
              <w:t xml:space="preserve"> C</w:t>
            </w:r>
            <w:r w:rsidRPr="00E62332">
              <w:rPr>
                <w:sz w:val="20"/>
              </w:rPr>
              <w:t>/</w:t>
            </w:r>
            <w:r w:rsidRPr="00E62332">
              <w:rPr>
                <w:i/>
                <w:iCs/>
                <w:sz w:val="20"/>
              </w:rPr>
              <w:t>N</w:t>
            </w:r>
            <w:r w:rsidRPr="00E62332">
              <w:rPr>
                <w:sz w:val="20"/>
                <w:vertAlign w:val="subscript"/>
              </w:rPr>
              <w:t>0</w:t>
            </w:r>
            <w:r w:rsidRPr="00E62332">
              <w:rPr>
                <w:sz w:val="20"/>
              </w:rPr>
              <w:t xml:space="preserve"> entre systèmes (dB/Hz): </w:t>
            </w:r>
            <w:r w:rsidRPr="00E62332">
              <w:rPr>
                <w:i/>
                <w:iCs/>
                <w:sz w:val="20"/>
              </w:rPr>
              <w:t>N</w:t>
            </w:r>
            <w:r w:rsidRPr="00E62332">
              <w:rPr>
                <w:sz w:val="20"/>
                <w:vertAlign w:val="subscript"/>
              </w:rPr>
              <w:t xml:space="preserve">0 </w:t>
            </w:r>
            <w:r w:rsidRPr="00E62332">
              <w:rPr>
                <w:sz w:val="20"/>
              </w:rPr>
              <w:t xml:space="preserve">+ </w:t>
            </w:r>
            <w:r w:rsidRPr="00E62332">
              <w:rPr>
                <w:i/>
                <w:iCs/>
                <w:sz w:val="20"/>
              </w:rPr>
              <w:t>I</w:t>
            </w:r>
            <w:r w:rsidRPr="00E62332">
              <w:rPr>
                <w:i/>
                <w:iCs/>
                <w:sz w:val="20"/>
                <w:vertAlign w:val="subscript"/>
              </w:rPr>
              <w:t>ref</w:t>
            </w:r>
            <w:r w:rsidRPr="00E62332">
              <w:rPr>
                <w:sz w:val="20"/>
              </w:rPr>
              <w:t xml:space="preserve"> + </w:t>
            </w:r>
            <w:r w:rsidRPr="00E62332">
              <w:rPr>
                <w:i/>
                <w:iCs/>
                <w:sz w:val="20"/>
              </w:rPr>
              <w:t>I</w:t>
            </w:r>
            <w:r w:rsidRPr="00E62332">
              <w:rPr>
                <w:i/>
                <w:iCs/>
                <w:sz w:val="20"/>
                <w:vertAlign w:val="subscript"/>
              </w:rPr>
              <w:t>rem</w:t>
            </w:r>
            <w:r w:rsidRPr="00E62332">
              <w:rPr>
                <w:sz w:val="20"/>
              </w:rPr>
              <w:t xml:space="preserve">, + </w:t>
            </w:r>
            <w:r w:rsidRPr="00E62332">
              <w:rPr>
                <w:i/>
                <w:iCs/>
                <w:sz w:val="20"/>
              </w:rPr>
              <w:t>I</w:t>
            </w:r>
            <w:r w:rsidRPr="00E62332">
              <w:rPr>
                <w:i/>
                <w:iCs/>
                <w:sz w:val="20"/>
                <w:vertAlign w:val="subscript"/>
              </w:rPr>
              <w:t>ext</w:t>
            </w:r>
            <w:r w:rsidRPr="00E62332">
              <w:rPr>
                <w:sz w:val="20"/>
                <w:vertAlign w:val="subscript"/>
              </w:rPr>
              <w:t xml:space="preserve"> </w:t>
            </w:r>
            <w:r w:rsidRPr="00E62332">
              <w:rPr>
                <w:sz w:val="20"/>
                <w:vertAlign w:val="subscript"/>
              </w:rPr>
              <w:br/>
            </w:r>
            <w:r w:rsidRPr="00E62332">
              <w:rPr>
                <w:sz w:val="20"/>
              </w:rPr>
              <w:t xml:space="preserve">+ brouillage du signal 0 du signal B, </w:t>
            </w:r>
            <w:r w:rsidRPr="00E62332">
              <w:rPr>
                <w:i/>
                <w:iCs/>
                <w:sz w:val="20"/>
              </w:rPr>
              <w:t>I</w:t>
            </w:r>
            <w:r w:rsidRPr="00E62332">
              <w:rPr>
                <w:i/>
                <w:iCs/>
                <w:sz w:val="20"/>
                <w:vertAlign w:val="subscript"/>
              </w:rPr>
              <w:t>alt</w:t>
            </w:r>
          </w:p>
        </w:tc>
      </w:tr>
      <w:tr w:rsidR="005C6927" w:rsidRPr="00E62332" w:rsidTr="00493BC9">
        <w:trPr>
          <w:trHeight w:val="290"/>
          <w:jc w:val="center"/>
        </w:trPr>
        <w:tc>
          <w:tcPr>
            <w:tcW w:w="6845" w:type="dxa"/>
          </w:tcPr>
          <w:p w:rsidR="005C6927" w:rsidRPr="00C85311" w:rsidRDefault="005C6927" w:rsidP="00493BC9">
            <w:pPr>
              <w:pStyle w:val="Tabletext"/>
              <w:rPr>
                <w:sz w:val="20"/>
              </w:rPr>
            </w:pPr>
            <w:r w:rsidRPr="00C85311">
              <w:rPr>
                <w:i/>
                <w:sz w:val="20"/>
              </w:rPr>
              <w:t>N</w:t>
            </w:r>
            <w:r w:rsidRPr="00C85311">
              <w:rPr>
                <w:sz w:val="20"/>
                <w:vertAlign w:val="subscript"/>
              </w:rPr>
              <w:t xml:space="preserve">0 </w:t>
            </w:r>
            <w:r w:rsidRPr="00C85311">
              <w:rPr>
                <w:sz w:val="20"/>
              </w:rPr>
              <w:t xml:space="preserve">+ </w:t>
            </w:r>
            <w:r w:rsidRPr="00C85311">
              <w:rPr>
                <w:i/>
                <w:sz w:val="20"/>
              </w:rPr>
              <w:t>I</w:t>
            </w:r>
            <w:r w:rsidRPr="00C85311">
              <w:rPr>
                <w:i/>
                <w:iCs/>
                <w:sz w:val="20"/>
                <w:vertAlign w:val="subscript"/>
              </w:rPr>
              <w:t>ref</w:t>
            </w:r>
            <w:r w:rsidRPr="00C85311">
              <w:rPr>
                <w:sz w:val="20"/>
              </w:rPr>
              <w:t xml:space="preserve"> + </w:t>
            </w:r>
            <w:r w:rsidRPr="00C85311">
              <w:rPr>
                <w:i/>
                <w:sz w:val="20"/>
              </w:rPr>
              <w:t>I</w:t>
            </w:r>
            <w:r w:rsidRPr="00C85311">
              <w:rPr>
                <w:i/>
                <w:iCs/>
                <w:sz w:val="20"/>
                <w:vertAlign w:val="subscript"/>
              </w:rPr>
              <w:t>rem</w:t>
            </w:r>
            <w:r w:rsidRPr="00C85311">
              <w:rPr>
                <w:sz w:val="20"/>
                <w:vertAlign w:val="subscript"/>
              </w:rPr>
              <w:t xml:space="preserve"> </w:t>
            </w:r>
            <w:r w:rsidRPr="00C85311">
              <w:rPr>
                <w:sz w:val="20"/>
              </w:rPr>
              <w:t xml:space="preserve">+ </w:t>
            </w:r>
            <w:r w:rsidRPr="00C85311">
              <w:rPr>
                <w:i/>
                <w:sz w:val="20"/>
              </w:rPr>
              <w:t>I</w:t>
            </w:r>
            <w:r w:rsidRPr="00C85311">
              <w:rPr>
                <w:i/>
                <w:iCs/>
                <w:sz w:val="20"/>
                <w:vertAlign w:val="subscript"/>
              </w:rPr>
              <w:t>ext</w:t>
            </w:r>
            <w:r w:rsidRPr="00C85311">
              <w:rPr>
                <w:sz w:val="20"/>
              </w:rPr>
              <w:t xml:space="preserve"> + </w:t>
            </w:r>
            <w:r w:rsidRPr="00C85311">
              <w:rPr>
                <w:i/>
                <w:sz w:val="20"/>
              </w:rPr>
              <w:t>I</w:t>
            </w:r>
            <w:r w:rsidRPr="00C85311">
              <w:rPr>
                <w:i/>
                <w:iCs/>
                <w:sz w:val="20"/>
                <w:vertAlign w:val="subscript"/>
              </w:rPr>
              <w:t>alt</w:t>
            </w:r>
            <w:r w:rsidRPr="00C85311">
              <w:rPr>
                <w:sz w:val="20"/>
              </w:rPr>
              <w:t xml:space="preserve"> (dB(W/Hz))</w:t>
            </w:r>
          </w:p>
        </w:tc>
        <w:tc>
          <w:tcPr>
            <w:tcW w:w="1577" w:type="dxa"/>
          </w:tcPr>
          <w:p w:rsidR="005C6927" w:rsidRPr="00E62332" w:rsidRDefault="005C6927" w:rsidP="00493BC9">
            <w:pPr>
              <w:pStyle w:val="Tabletext"/>
              <w:jc w:val="center"/>
              <w:rPr>
                <w:sz w:val="20"/>
              </w:rPr>
            </w:pPr>
            <w:r w:rsidRPr="00E62332">
              <w:rPr>
                <w:sz w:val="20"/>
              </w:rPr>
              <w:t>–199,07</w:t>
            </w:r>
          </w:p>
        </w:tc>
      </w:tr>
      <w:tr w:rsidR="005C6927" w:rsidRPr="00E62332" w:rsidTr="00493BC9">
        <w:trPr>
          <w:trHeight w:val="290"/>
          <w:jc w:val="center"/>
        </w:trPr>
        <w:tc>
          <w:tcPr>
            <w:tcW w:w="6845" w:type="dxa"/>
            <w:tcBorders>
              <w:bottom w:val="single" w:sz="4" w:space="0" w:color="auto"/>
            </w:tcBorders>
          </w:tcPr>
          <w:p w:rsidR="005C6927" w:rsidRPr="006168A6" w:rsidRDefault="005C6927" w:rsidP="00493BC9">
            <w:pPr>
              <w:pStyle w:val="Tabletext"/>
              <w:rPr>
                <w:sz w:val="20"/>
                <w:lang w:val="de-CH"/>
              </w:rPr>
            </w:pPr>
            <w:r w:rsidRPr="006168A6">
              <w:rPr>
                <w:i/>
                <w:sz w:val="20"/>
                <w:lang w:val="de-CH"/>
              </w:rPr>
              <w:t>C</w:t>
            </w:r>
            <w:r w:rsidRPr="006168A6">
              <w:rPr>
                <w:sz w:val="20"/>
                <w:lang w:val="de-CH"/>
              </w:rPr>
              <w:t>/(</w:t>
            </w:r>
            <w:r w:rsidRPr="006168A6">
              <w:rPr>
                <w:i/>
                <w:sz w:val="20"/>
                <w:lang w:val="de-CH"/>
              </w:rPr>
              <w:t>N</w:t>
            </w:r>
            <w:r w:rsidRPr="006168A6">
              <w:rPr>
                <w:sz w:val="20"/>
                <w:vertAlign w:val="subscript"/>
                <w:lang w:val="de-CH"/>
              </w:rPr>
              <w:t xml:space="preserve">0 </w:t>
            </w:r>
            <w:r w:rsidRPr="006168A6">
              <w:rPr>
                <w:sz w:val="20"/>
                <w:lang w:val="de-CH"/>
              </w:rPr>
              <w:t xml:space="preserve">+ </w:t>
            </w:r>
            <w:r w:rsidRPr="006168A6">
              <w:rPr>
                <w:i/>
                <w:sz w:val="20"/>
                <w:lang w:val="de-CH"/>
              </w:rPr>
              <w:t>I</w:t>
            </w:r>
            <w:r w:rsidRPr="006168A6">
              <w:rPr>
                <w:i/>
                <w:iCs/>
                <w:sz w:val="20"/>
                <w:vertAlign w:val="subscript"/>
                <w:lang w:val="de-CH"/>
              </w:rPr>
              <w:t>ref</w:t>
            </w:r>
            <w:r w:rsidRPr="006168A6">
              <w:rPr>
                <w:sz w:val="20"/>
                <w:lang w:val="de-CH"/>
              </w:rPr>
              <w:t xml:space="preserve"> + </w:t>
            </w:r>
            <w:r w:rsidRPr="006168A6">
              <w:rPr>
                <w:i/>
                <w:sz w:val="20"/>
                <w:lang w:val="de-CH"/>
              </w:rPr>
              <w:t>I</w:t>
            </w:r>
            <w:r w:rsidRPr="006168A6">
              <w:rPr>
                <w:i/>
                <w:iCs/>
                <w:sz w:val="20"/>
                <w:vertAlign w:val="subscript"/>
                <w:lang w:val="de-CH"/>
              </w:rPr>
              <w:t>rem</w:t>
            </w:r>
            <w:r w:rsidRPr="006168A6">
              <w:rPr>
                <w:sz w:val="20"/>
                <w:lang w:val="de-CH"/>
              </w:rPr>
              <w:t xml:space="preserve"> + </w:t>
            </w:r>
            <w:r w:rsidRPr="006168A6">
              <w:rPr>
                <w:i/>
                <w:sz w:val="20"/>
                <w:lang w:val="de-CH"/>
              </w:rPr>
              <w:t>I</w:t>
            </w:r>
            <w:r w:rsidRPr="006168A6">
              <w:rPr>
                <w:i/>
                <w:iCs/>
                <w:sz w:val="20"/>
                <w:vertAlign w:val="subscript"/>
                <w:lang w:val="de-CH"/>
              </w:rPr>
              <w:t>ext</w:t>
            </w:r>
            <w:r w:rsidRPr="006168A6">
              <w:rPr>
                <w:sz w:val="20"/>
                <w:lang w:val="de-CH"/>
              </w:rPr>
              <w:t xml:space="preserve"> + </w:t>
            </w:r>
            <w:r w:rsidRPr="006168A6">
              <w:rPr>
                <w:i/>
                <w:sz w:val="20"/>
                <w:lang w:val="de-CH"/>
              </w:rPr>
              <w:t>I</w:t>
            </w:r>
            <w:r w:rsidRPr="006168A6">
              <w:rPr>
                <w:i/>
                <w:iCs/>
                <w:sz w:val="20"/>
                <w:vertAlign w:val="subscript"/>
                <w:lang w:val="de-CH"/>
              </w:rPr>
              <w:t>alt</w:t>
            </w:r>
            <w:r w:rsidRPr="006168A6">
              <w:rPr>
                <w:sz w:val="20"/>
                <w:lang w:val="de-CH"/>
              </w:rPr>
              <w:t>) (dB/Hz)</w:t>
            </w:r>
          </w:p>
        </w:tc>
        <w:tc>
          <w:tcPr>
            <w:tcW w:w="1577" w:type="dxa"/>
            <w:tcBorders>
              <w:bottom w:val="single" w:sz="4" w:space="0" w:color="auto"/>
            </w:tcBorders>
          </w:tcPr>
          <w:p w:rsidR="005C6927" w:rsidRPr="00E62332" w:rsidRDefault="005C6927" w:rsidP="00493BC9">
            <w:pPr>
              <w:pStyle w:val="Tabletext"/>
              <w:jc w:val="center"/>
              <w:rPr>
                <w:sz w:val="20"/>
              </w:rPr>
            </w:pPr>
            <w:r w:rsidRPr="00E62332">
              <w:rPr>
                <w:sz w:val="20"/>
              </w:rPr>
              <w:t>33,57</w:t>
            </w:r>
          </w:p>
        </w:tc>
      </w:tr>
      <w:tr w:rsidR="005C6927" w:rsidRPr="00E62332" w:rsidTr="00493BC9">
        <w:trPr>
          <w:trHeight w:val="290"/>
          <w:jc w:val="center"/>
        </w:trPr>
        <w:tc>
          <w:tcPr>
            <w:tcW w:w="8422" w:type="dxa"/>
            <w:gridSpan w:val="2"/>
            <w:tcBorders>
              <w:left w:val="nil"/>
              <w:bottom w:val="nil"/>
              <w:right w:val="nil"/>
            </w:tcBorders>
          </w:tcPr>
          <w:p w:rsidR="005C6927" w:rsidRPr="00E62332" w:rsidRDefault="005C6927" w:rsidP="00493BC9">
            <w:pPr>
              <w:pStyle w:val="Tablelegend"/>
              <w:rPr>
                <w:sz w:val="20"/>
              </w:rPr>
            </w:pPr>
            <w:r w:rsidRPr="00E62332">
              <w:rPr>
                <w:sz w:val="20"/>
                <w:vertAlign w:val="superscript"/>
              </w:rPr>
              <w:t>(1)</w:t>
            </w:r>
            <w:r w:rsidRPr="00E62332">
              <w:rPr>
                <w:sz w:val="20"/>
              </w:rPr>
              <w:tab/>
              <w:t>Cette valeur est une valeur type qui n'est pas nécessairement représentative des récepteurs à faible bruit.</w:t>
            </w:r>
          </w:p>
          <w:p w:rsidR="005C6927" w:rsidRPr="00E62332" w:rsidRDefault="005C6927" w:rsidP="00493BC9">
            <w:pPr>
              <w:pStyle w:val="Tablelegend"/>
              <w:rPr>
                <w:color w:val="000000"/>
                <w:sz w:val="20"/>
              </w:rPr>
            </w:pPr>
            <w:r w:rsidRPr="00E62332">
              <w:rPr>
                <w:color w:val="000000"/>
                <w:sz w:val="20"/>
                <w:vertAlign w:val="superscript"/>
              </w:rPr>
              <w:t>(2)</w:t>
            </w:r>
            <w:r w:rsidRPr="00E62332">
              <w:rPr>
                <w:color w:val="000000"/>
                <w:sz w:val="20"/>
              </w:rPr>
              <w:tab/>
              <w:t xml:space="preserve">Dans cet exemple, les valeurs </w:t>
            </w:r>
            <w:r w:rsidRPr="00E62332">
              <w:rPr>
                <w:i/>
                <w:iCs/>
                <w:color w:val="000000"/>
                <w:sz w:val="20"/>
              </w:rPr>
              <w:t>I</w:t>
            </w:r>
            <w:r w:rsidRPr="00E62332">
              <w:rPr>
                <w:i/>
                <w:iCs/>
                <w:color w:val="000000"/>
                <w:sz w:val="20"/>
                <w:vertAlign w:val="subscript"/>
              </w:rPr>
              <w:t>ref</w:t>
            </w:r>
            <w:r w:rsidRPr="00E62332">
              <w:rPr>
                <w:color w:val="000000"/>
                <w:sz w:val="20"/>
              </w:rPr>
              <w:t xml:space="preserve">, </w:t>
            </w:r>
            <w:r w:rsidRPr="00E62332">
              <w:rPr>
                <w:i/>
                <w:iCs/>
                <w:color w:val="000000"/>
                <w:sz w:val="20"/>
              </w:rPr>
              <w:t>I</w:t>
            </w:r>
            <w:r w:rsidRPr="00E62332">
              <w:rPr>
                <w:i/>
                <w:iCs/>
                <w:color w:val="000000"/>
                <w:sz w:val="20"/>
                <w:vertAlign w:val="subscript"/>
              </w:rPr>
              <w:t>rem</w:t>
            </w:r>
            <w:r w:rsidRPr="00E62332">
              <w:rPr>
                <w:color w:val="000000"/>
                <w:sz w:val="20"/>
              </w:rPr>
              <w:t xml:space="preserve"> et </w:t>
            </w:r>
            <w:r w:rsidRPr="00E62332">
              <w:rPr>
                <w:i/>
                <w:iCs/>
                <w:color w:val="000000"/>
                <w:sz w:val="20"/>
              </w:rPr>
              <w:t>I</w:t>
            </w:r>
            <w:r w:rsidRPr="00E62332">
              <w:rPr>
                <w:i/>
                <w:iCs/>
                <w:color w:val="000000"/>
                <w:sz w:val="20"/>
                <w:vertAlign w:val="subscript"/>
              </w:rPr>
              <w:t>alt</w:t>
            </w:r>
            <w:r w:rsidRPr="00E62332">
              <w:rPr>
                <w:color w:val="000000"/>
                <w:sz w:val="20"/>
              </w:rPr>
              <w:t xml:space="preserve"> ont été évaluées au moyen du facteur </w:t>
            </w:r>
            <w:r w:rsidRPr="00E62332">
              <w:rPr>
                <w:i/>
                <w:iCs/>
                <w:color w:val="000000"/>
                <w:sz w:val="20"/>
              </w:rPr>
              <w:t>G</w:t>
            </w:r>
            <w:r w:rsidRPr="00E62332">
              <w:rPr>
                <w:i/>
                <w:iCs/>
                <w:color w:val="000000"/>
                <w:sz w:val="20"/>
                <w:vertAlign w:val="superscript"/>
              </w:rPr>
              <w:t>agg.</w:t>
            </w:r>
            <w:r w:rsidRPr="00E62332">
              <w:rPr>
                <w:color w:val="000000"/>
                <w:sz w:val="20"/>
              </w:rPr>
              <w:t>. Elles représentent donc des valeurs limites supérieures.</w:t>
            </w:r>
          </w:p>
        </w:tc>
      </w:tr>
    </w:tbl>
    <w:p w:rsidR="00164AF7" w:rsidRDefault="00164AF7" w:rsidP="00164AF7">
      <w:pPr>
        <w:pStyle w:val="Tablefin"/>
      </w:pPr>
    </w:p>
    <w:p w:rsidR="005C6927" w:rsidRPr="00E62332" w:rsidRDefault="005C6927" w:rsidP="00164AF7">
      <w:r w:rsidRPr="00E62332">
        <w:t xml:space="preserve">En plus des calculs des rapports porteuse/bruit effectifs, on peut aussi utiliser d'autres mesures basées sur le rapport </w:t>
      </w:r>
      <w:r w:rsidRPr="00E62332">
        <w:rPr>
          <w:szCs w:val="24"/>
        </w:rPr>
        <w:t>de densité effective</w:t>
      </w:r>
      <w:r w:rsidRPr="00E62332">
        <w:t xml:space="preserve"> </w:t>
      </w:r>
      <w:r w:rsidRPr="00E62332">
        <w:rPr>
          <w:position w:val="-12"/>
        </w:rPr>
        <w:object w:dxaOrig="660" w:dyaOrig="360">
          <v:shape id="_x0000_i1068" type="#_x0000_t75" style="width:33.65pt;height:17.3pt" o:ole="">
            <v:imagedata r:id="rId17" o:title=""/>
          </v:shape>
          <o:OLEObject Type="Embed" ProgID="Equation.3" ShapeID="_x0000_i1068" DrawAspect="Content" ObjectID="_1541423566" r:id="rId96"/>
        </w:object>
      </w:r>
      <w:r w:rsidRPr="00E62332">
        <w:t xml:space="preserve">. On peut par exemple calculer l'effet du brouillage causé spécifiquement par le signal 0 du système B. Pour ce faire, les paramètres </w:t>
      </w:r>
      <w:r w:rsidRPr="00E62332">
        <w:rPr>
          <w:i/>
          <w:iCs/>
        </w:rPr>
        <w:t>I</w:t>
      </w:r>
      <w:r w:rsidRPr="00E62332">
        <w:rPr>
          <w:i/>
          <w:iCs/>
          <w:vertAlign w:val="subscript"/>
        </w:rPr>
        <w:t>rem</w:t>
      </w:r>
      <w:r w:rsidRPr="00E62332">
        <w:t xml:space="preserve"> et </w:t>
      </w:r>
      <w:r w:rsidRPr="00E62332">
        <w:rPr>
          <w:i/>
          <w:iCs/>
        </w:rPr>
        <w:t>I</w:t>
      </w:r>
      <w:r w:rsidRPr="00E62332">
        <w:rPr>
          <w:i/>
          <w:iCs/>
          <w:vertAlign w:val="subscript"/>
        </w:rPr>
        <w:t>ext</w:t>
      </w:r>
      <w:r w:rsidRPr="00E62332">
        <w:t xml:space="preserve"> sont mis à zéro: par conséquent, on tient compte uniquement du brouillage à l'intérieur d'un même système, </w:t>
      </w:r>
      <w:r w:rsidRPr="00E62332">
        <w:rPr>
          <w:i/>
          <w:iCs/>
        </w:rPr>
        <w:t>I</w:t>
      </w:r>
      <w:r w:rsidRPr="00E62332">
        <w:rPr>
          <w:i/>
          <w:iCs/>
          <w:vertAlign w:val="subscript"/>
        </w:rPr>
        <w:t>ref</w:t>
      </w:r>
      <w:r w:rsidRPr="00E62332">
        <w:rPr>
          <w:i/>
          <w:iCs/>
        </w:rPr>
        <w:t>,</w:t>
      </w:r>
      <w:r w:rsidRPr="00E62332">
        <w:t xml:space="preserve"> du système de référence, pour calculer la dégradation donnée par l'équation (10) et exprimée par </w:t>
      </w:r>
      <w:r w:rsidRPr="00E62332">
        <w:rPr>
          <w:position w:val="-12"/>
        </w:rPr>
        <w:object w:dxaOrig="999" w:dyaOrig="360">
          <v:shape id="_x0000_i1069" type="#_x0000_t75" style="width:50.05pt;height:17.3pt" o:ole="">
            <v:imagedata r:id="rId97" o:title=""/>
          </v:shape>
          <o:OLEObject Type="Embed" ProgID="Equation.3" ShapeID="_x0000_i1069" DrawAspect="Content" ObjectID="_1541423567" r:id="rId98"/>
        </w:object>
      </w:r>
      <w:r w:rsidRPr="00E62332">
        <w:t xml:space="preserve">. Cette valeur de la dégradation est comparée à un seuil de dégradation de </w:t>
      </w:r>
      <w:r w:rsidRPr="00E62332">
        <w:rPr>
          <w:position w:val="-12"/>
        </w:rPr>
        <w:object w:dxaOrig="660" w:dyaOrig="360">
          <v:shape id="_x0000_i1070" type="#_x0000_t75" style="width:33.65pt;height:17.3pt" o:ole="">
            <v:imagedata r:id="rId99" o:title=""/>
          </v:shape>
          <o:OLEObject Type="Embed" ProgID="Equation.3" ShapeID="_x0000_i1070" DrawAspect="Content" ObjectID="_1541423568" r:id="rId100"/>
        </w:object>
      </w:r>
      <w:r w:rsidRPr="00E62332">
        <w:t>. Un calcul est donné dans le Tableau 4 à titre d'exemple.</w:t>
      </w:r>
    </w:p>
    <w:p w:rsidR="005C6927" w:rsidRPr="00E62332" w:rsidRDefault="005C6927" w:rsidP="005C6927">
      <w:pPr>
        <w:pStyle w:val="Blanc"/>
        <w:jc w:val="left"/>
        <w:rPr>
          <w:lang w:val="fr-FR"/>
        </w:rPr>
      </w:pPr>
    </w:p>
    <w:p w:rsidR="005C6927" w:rsidRPr="00E62332" w:rsidRDefault="005C6927" w:rsidP="005C6927">
      <w:pPr>
        <w:pStyle w:val="Equation"/>
      </w:pPr>
      <w:r w:rsidRPr="00E62332">
        <w:tab/>
      </w:r>
      <w:r w:rsidRPr="00E62332">
        <w:tab/>
      </w:r>
      <w:r w:rsidRPr="00E62332">
        <w:rPr>
          <w:position w:val="-72"/>
        </w:rPr>
        <w:object w:dxaOrig="4160" w:dyaOrig="1560">
          <v:shape id="_x0000_i1071" type="#_x0000_t75" style="width:207.6pt;height:69.65pt" o:ole="">
            <v:imagedata r:id="rId101" o:title=""/>
          </v:shape>
          <o:OLEObject Type="Embed" ProgID="Equation.3" ShapeID="_x0000_i1071" DrawAspect="Content" ObjectID="_1541423569" r:id="rId102"/>
        </w:object>
      </w:r>
      <w:r w:rsidRPr="00E62332">
        <w:tab/>
        <w:t>(10)</w:t>
      </w:r>
    </w:p>
    <w:p w:rsidR="00164AF7" w:rsidRDefault="00164AF7">
      <w:pPr>
        <w:tabs>
          <w:tab w:val="clear" w:pos="794"/>
          <w:tab w:val="clear" w:pos="1191"/>
          <w:tab w:val="clear" w:pos="1588"/>
          <w:tab w:val="clear" w:pos="1985"/>
        </w:tabs>
        <w:overflowPunct/>
        <w:autoSpaceDE/>
        <w:autoSpaceDN/>
        <w:adjustRightInd/>
        <w:spacing w:before="0"/>
        <w:jc w:val="left"/>
        <w:textAlignment w:val="auto"/>
      </w:pPr>
      <w:r>
        <w:br w:type="page"/>
      </w:r>
    </w:p>
    <w:p w:rsidR="005C6927" w:rsidRPr="00E62332" w:rsidRDefault="005C6927" w:rsidP="005C6927">
      <w:pPr>
        <w:pStyle w:val="TableNo"/>
      </w:pPr>
      <w:r w:rsidRPr="00E62332">
        <w:lastRenderedPageBreak/>
        <w:t>TABLEAU 4</w:t>
      </w:r>
    </w:p>
    <w:p w:rsidR="005C6927" w:rsidRPr="00E62332" w:rsidRDefault="005C6927" w:rsidP="005C6927">
      <w:pPr>
        <w:pStyle w:val="Tabletitle"/>
      </w:pPr>
      <w:r w:rsidRPr="00E62332">
        <w:t xml:space="preserve">Exemple hypothétique de l'effet du brouillage entre plusieurs systèmes </w:t>
      </w:r>
      <w:r w:rsidRPr="00E62332">
        <w:br/>
        <w:t>(brouillage causé au système A par un système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5"/>
        <w:gridCol w:w="1117"/>
        <w:gridCol w:w="132"/>
        <w:gridCol w:w="985"/>
      </w:tblGrid>
      <w:tr w:rsidR="005C6927" w:rsidRPr="00E62332" w:rsidTr="00493BC9">
        <w:trPr>
          <w:jc w:val="center"/>
        </w:trPr>
        <w:tc>
          <w:tcPr>
            <w:tcW w:w="9639" w:type="dxa"/>
            <w:gridSpan w:val="4"/>
          </w:tcPr>
          <w:p w:rsidR="005C6927" w:rsidRPr="00E62332" w:rsidRDefault="005C6927" w:rsidP="00493BC9">
            <w:pPr>
              <w:pStyle w:val="Tablehead"/>
              <w:rPr>
                <w:sz w:val="20"/>
              </w:rPr>
            </w:pPr>
            <w:r w:rsidRPr="00E62332">
              <w:rPr>
                <w:sz w:val="20"/>
              </w:rPr>
              <w:t>Densité spectrale de puissance de bruit effective du système de référence:</w:t>
            </w:r>
          </w:p>
        </w:tc>
      </w:tr>
      <w:tr w:rsidR="005C6927" w:rsidRPr="00E62332" w:rsidTr="00493BC9">
        <w:trPr>
          <w:jc w:val="center"/>
        </w:trPr>
        <w:tc>
          <w:tcPr>
            <w:tcW w:w="7405" w:type="dxa"/>
          </w:tcPr>
          <w:p w:rsidR="005C6927" w:rsidRPr="00E62332" w:rsidRDefault="005C6927" w:rsidP="00493BC9">
            <w:pPr>
              <w:pStyle w:val="Tabletext"/>
              <w:rPr>
                <w:sz w:val="20"/>
              </w:rPr>
            </w:pPr>
            <w:r w:rsidRPr="00E62332">
              <w:rPr>
                <w:sz w:val="20"/>
              </w:rPr>
              <w:t>Puissance maximale du signal 1 (dBW)</w:t>
            </w:r>
          </w:p>
        </w:tc>
        <w:tc>
          <w:tcPr>
            <w:tcW w:w="2234" w:type="dxa"/>
            <w:gridSpan w:val="3"/>
            <w:vAlign w:val="bottom"/>
          </w:tcPr>
          <w:p w:rsidR="005C6927" w:rsidRPr="00E62332" w:rsidRDefault="005C6927" w:rsidP="00493BC9">
            <w:pPr>
              <w:pStyle w:val="Tabletext"/>
              <w:jc w:val="center"/>
              <w:rPr>
                <w:sz w:val="20"/>
              </w:rPr>
            </w:pPr>
            <w:r w:rsidRPr="00E62332">
              <w:rPr>
                <w:sz w:val="20"/>
              </w:rPr>
              <w:t>–157,50</w:t>
            </w:r>
          </w:p>
        </w:tc>
      </w:tr>
      <w:tr w:rsidR="005C6927" w:rsidRPr="00E62332" w:rsidTr="00493BC9">
        <w:trPr>
          <w:jc w:val="center"/>
        </w:trPr>
        <w:tc>
          <w:tcPr>
            <w:tcW w:w="7405" w:type="dxa"/>
          </w:tcPr>
          <w:p w:rsidR="005C6927" w:rsidRPr="00E62332" w:rsidRDefault="005C6927" w:rsidP="00493BC9">
            <w:pPr>
              <w:pStyle w:val="Tabletext"/>
              <w:rPr>
                <w:sz w:val="20"/>
              </w:rPr>
            </w:pPr>
            <w:r w:rsidRPr="00E62332">
              <w:rPr>
                <w:sz w:val="20"/>
              </w:rPr>
              <w:t>Puissance maximale du signal 2 (dBW)</w:t>
            </w:r>
          </w:p>
        </w:tc>
        <w:tc>
          <w:tcPr>
            <w:tcW w:w="2234" w:type="dxa"/>
            <w:gridSpan w:val="3"/>
            <w:vAlign w:val="bottom"/>
          </w:tcPr>
          <w:p w:rsidR="005C6927" w:rsidRPr="00E62332" w:rsidRDefault="005C6927" w:rsidP="00493BC9">
            <w:pPr>
              <w:pStyle w:val="Tabletext"/>
              <w:jc w:val="center"/>
              <w:rPr>
                <w:sz w:val="20"/>
              </w:rPr>
            </w:pPr>
            <w:r w:rsidRPr="00E62332">
              <w:rPr>
                <w:sz w:val="20"/>
              </w:rPr>
              <w:t>–160,50</w:t>
            </w:r>
          </w:p>
        </w:tc>
      </w:tr>
      <w:tr w:rsidR="005C6927" w:rsidRPr="00E62332" w:rsidTr="00493BC9">
        <w:trPr>
          <w:jc w:val="center"/>
        </w:trPr>
        <w:tc>
          <w:tcPr>
            <w:tcW w:w="7405" w:type="dxa"/>
          </w:tcPr>
          <w:p w:rsidR="005C6927" w:rsidRPr="00E62332" w:rsidRDefault="005C6927" w:rsidP="00493BC9">
            <w:pPr>
              <w:pStyle w:val="Tabletext"/>
              <w:rPr>
                <w:sz w:val="20"/>
              </w:rPr>
            </w:pPr>
            <w:r w:rsidRPr="00E62332">
              <w:rPr>
                <w:sz w:val="20"/>
              </w:rPr>
              <w:t>Puissance maximale du signal 3 (dBW)</w:t>
            </w:r>
          </w:p>
        </w:tc>
        <w:tc>
          <w:tcPr>
            <w:tcW w:w="2234" w:type="dxa"/>
            <w:gridSpan w:val="3"/>
            <w:vAlign w:val="bottom"/>
          </w:tcPr>
          <w:p w:rsidR="005C6927" w:rsidRPr="00E62332" w:rsidRDefault="005C6927" w:rsidP="00493BC9">
            <w:pPr>
              <w:pStyle w:val="Tabletext"/>
              <w:jc w:val="center"/>
              <w:rPr>
                <w:sz w:val="20"/>
              </w:rPr>
            </w:pPr>
            <w:r w:rsidRPr="00E62332">
              <w:rPr>
                <w:sz w:val="20"/>
              </w:rPr>
              <w:t>–157,50</w:t>
            </w:r>
          </w:p>
        </w:tc>
      </w:tr>
      <w:tr w:rsidR="005C6927" w:rsidRPr="00E62332" w:rsidTr="00493BC9">
        <w:trPr>
          <w:jc w:val="center"/>
        </w:trPr>
        <w:tc>
          <w:tcPr>
            <w:tcW w:w="7405" w:type="dxa"/>
          </w:tcPr>
          <w:p w:rsidR="005C6927" w:rsidRPr="00E62332" w:rsidRDefault="005C6927" w:rsidP="00493BC9">
            <w:pPr>
              <w:pStyle w:val="Tabletext"/>
              <w:rPr>
                <w:sz w:val="20"/>
              </w:rPr>
            </w:pPr>
            <w:r w:rsidRPr="00E62332">
              <w:rPr>
                <w:sz w:val="20"/>
              </w:rPr>
              <w:t>Affaiblissement de traitement pour le signal brouilleur (dB)</w:t>
            </w:r>
          </w:p>
        </w:tc>
        <w:tc>
          <w:tcPr>
            <w:tcW w:w="2234" w:type="dxa"/>
            <w:gridSpan w:val="3"/>
            <w:vAlign w:val="bottom"/>
          </w:tcPr>
          <w:p w:rsidR="005C6927" w:rsidRPr="00E62332" w:rsidRDefault="005C6927" w:rsidP="00493BC9">
            <w:pPr>
              <w:pStyle w:val="Tabletext"/>
              <w:jc w:val="center"/>
              <w:rPr>
                <w:sz w:val="20"/>
              </w:rPr>
            </w:pPr>
            <w:r w:rsidRPr="00E62332">
              <w:rPr>
                <w:sz w:val="20"/>
              </w:rPr>
              <w:t>1,00</w:t>
            </w:r>
          </w:p>
        </w:tc>
      </w:tr>
      <w:tr w:rsidR="005C6927" w:rsidRPr="00E62332" w:rsidTr="00493BC9">
        <w:trPr>
          <w:jc w:val="center"/>
        </w:trPr>
        <w:tc>
          <w:tcPr>
            <w:tcW w:w="7405" w:type="dxa"/>
          </w:tcPr>
          <w:p w:rsidR="005C6927" w:rsidRPr="00E62332" w:rsidRDefault="005C6927" w:rsidP="00493BC9">
            <w:pPr>
              <w:pStyle w:val="Tabletext"/>
              <w:rPr>
                <w:sz w:val="20"/>
              </w:rPr>
            </w:pPr>
            <w:r w:rsidRPr="00E62332">
              <w:rPr>
                <w:sz w:val="20"/>
              </w:rPr>
              <w:t xml:space="preserve">Facteur de gain cumulatif, </w:t>
            </w:r>
            <w:r w:rsidRPr="00E62332">
              <w:rPr>
                <w:i/>
                <w:sz w:val="20"/>
              </w:rPr>
              <w:t>G</w:t>
            </w:r>
            <w:r w:rsidRPr="00E62332">
              <w:rPr>
                <w:i/>
                <w:iCs/>
                <w:sz w:val="20"/>
                <w:vertAlign w:val="superscript"/>
              </w:rPr>
              <w:t>agg</w:t>
            </w:r>
            <w:r w:rsidRPr="00E62332">
              <w:rPr>
                <w:sz w:val="20"/>
              </w:rPr>
              <w:t xml:space="preserve"> (dB)</w:t>
            </w:r>
          </w:p>
        </w:tc>
        <w:tc>
          <w:tcPr>
            <w:tcW w:w="2234" w:type="dxa"/>
            <w:gridSpan w:val="3"/>
            <w:vAlign w:val="bottom"/>
          </w:tcPr>
          <w:p w:rsidR="005C6927" w:rsidRPr="00E62332" w:rsidRDefault="005C6927" w:rsidP="00493BC9">
            <w:pPr>
              <w:pStyle w:val="Tabletext"/>
              <w:jc w:val="center"/>
              <w:rPr>
                <w:sz w:val="20"/>
              </w:rPr>
            </w:pPr>
            <w:r w:rsidRPr="00E62332">
              <w:rPr>
                <w:sz w:val="20"/>
              </w:rPr>
              <w:t>12,00</w:t>
            </w:r>
          </w:p>
        </w:tc>
      </w:tr>
      <w:tr w:rsidR="005C6927" w:rsidRPr="00E62332" w:rsidTr="00493BC9">
        <w:trPr>
          <w:jc w:val="center"/>
        </w:trPr>
        <w:tc>
          <w:tcPr>
            <w:tcW w:w="7405" w:type="dxa"/>
          </w:tcPr>
          <w:p w:rsidR="005C6927" w:rsidRPr="00E62332" w:rsidRDefault="005C6927" w:rsidP="00493BC9">
            <w:pPr>
              <w:pStyle w:val="Tabletext"/>
              <w:jc w:val="right"/>
              <w:rPr>
                <w:sz w:val="20"/>
              </w:rPr>
            </w:pPr>
            <w:r w:rsidRPr="00E62332">
              <w:rPr>
                <w:sz w:val="20"/>
              </w:rPr>
              <w:t xml:space="preserve">Coefficient de séparation spectrale, </w:t>
            </w:r>
            <w:r w:rsidRPr="00E62332">
              <w:rPr>
                <w:sz w:val="20"/>
              </w:rPr>
              <w:sym w:font="Symbol" w:char="F062"/>
            </w:r>
            <w:r w:rsidRPr="00E62332">
              <w:rPr>
                <w:sz w:val="20"/>
              </w:rPr>
              <w:t xml:space="preserve"> (dB/Hz):</w:t>
            </w:r>
          </w:p>
        </w:tc>
        <w:tc>
          <w:tcPr>
            <w:tcW w:w="2234" w:type="dxa"/>
            <w:gridSpan w:val="3"/>
            <w:vAlign w:val="bottom"/>
          </w:tcPr>
          <w:p w:rsidR="005C6927" w:rsidRPr="00E62332" w:rsidRDefault="005C6927" w:rsidP="00493BC9">
            <w:pPr>
              <w:pStyle w:val="Tabletext"/>
              <w:jc w:val="center"/>
              <w:rPr>
                <w:sz w:val="20"/>
              </w:rPr>
            </w:pPr>
          </w:p>
        </w:tc>
      </w:tr>
      <w:tr w:rsidR="005C6927" w:rsidRPr="00E62332" w:rsidTr="00493BC9">
        <w:trPr>
          <w:jc w:val="center"/>
        </w:trPr>
        <w:tc>
          <w:tcPr>
            <w:tcW w:w="7405" w:type="dxa"/>
          </w:tcPr>
          <w:p w:rsidR="005C6927" w:rsidRPr="00E62332" w:rsidRDefault="005C6927" w:rsidP="00493BC9">
            <w:pPr>
              <w:pStyle w:val="Tabletext"/>
              <w:jc w:val="right"/>
              <w:rPr>
                <w:i/>
                <w:iCs/>
                <w:sz w:val="20"/>
              </w:rPr>
            </w:pPr>
            <w:r w:rsidRPr="00E62332">
              <w:rPr>
                <w:i/>
                <w:iCs/>
                <w:sz w:val="20"/>
              </w:rPr>
              <w:t>Entre le signal 1 et le signal 1</w:t>
            </w:r>
            <w:r w:rsidRPr="00E62332">
              <w:rPr>
                <w:i/>
                <w:iCs/>
                <w:sz w:val="20"/>
                <w:vertAlign w:val="superscript"/>
              </w:rPr>
              <w:t>(</w:t>
            </w:r>
            <w:r w:rsidRPr="00E62332">
              <w:rPr>
                <w:sz w:val="20"/>
                <w:vertAlign w:val="superscript"/>
              </w:rPr>
              <w:t>1)</w:t>
            </w:r>
          </w:p>
        </w:tc>
        <w:tc>
          <w:tcPr>
            <w:tcW w:w="2234" w:type="dxa"/>
            <w:gridSpan w:val="3"/>
            <w:vAlign w:val="bottom"/>
          </w:tcPr>
          <w:p w:rsidR="005C6927" w:rsidRPr="00E62332" w:rsidRDefault="005C6927" w:rsidP="00493BC9">
            <w:pPr>
              <w:pStyle w:val="Tabletext"/>
              <w:jc w:val="center"/>
              <w:rPr>
                <w:i/>
                <w:iCs/>
                <w:sz w:val="20"/>
              </w:rPr>
            </w:pPr>
            <w:r w:rsidRPr="00E62332">
              <w:rPr>
                <w:sz w:val="20"/>
              </w:rPr>
              <w:t>–61,80</w:t>
            </w:r>
          </w:p>
        </w:tc>
      </w:tr>
      <w:tr w:rsidR="005C6927" w:rsidRPr="00E62332" w:rsidTr="00493BC9">
        <w:trPr>
          <w:jc w:val="center"/>
        </w:trPr>
        <w:tc>
          <w:tcPr>
            <w:tcW w:w="7405" w:type="dxa"/>
          </w:tcPr>
          <w:p w:rsidR="005C6927" w:rsidRPr="00E62332" w:rsidRDefault="005C6927" w:rsidP="00493BC9">
            <w:pPr>
              <w:pStyle w:val="Tabletext"/>
              <w:jc w:val="right"/>
              <w:rPr>
                <w:i/>
                <w:iCs/>
                <w:sz w:val="20"/>
              </w:rPr>
            </w:pPr>
            <w:r w:rsidRPr="00E62332">
              <w:rPr>
                <w:i/>
                <w:iCs/>
                <w:sz w:val="20"/>
              </w:rPr>
              <w:t>Entre le signal 2 et le signal 1</w:t>
            </w:r>
          </w:p>
        </w:tc>
        <w:tc>
          <w:tcPr>
            <w:tcW w:w="2234" w:type="dxa"/>
            <w:gridSpan w:val="3"/>
            <w:vAlign w:val="bottom"/>
          </w:tcPr>
          <w:p w:rsidR="005C6927" w:rsidRPr="00E62332" w:rsidRDefault="005C6927" w:rsidP="00493BC9">
            <w:pPr>
              <w:pStyle w:val="Tabletext"/>
              <w:jc w:val="center"/>
              <w:rPr>
                <w:i/>
                <w:iCs/>
                <w:sz w:val="20"/>
              </w:rPr>
            </w:pPr>
            <w:r w:rsidRPr="00E62332">
              <w:rPr>
                <w:sz w:val="20"/>
              </w:rPr>
              <w:t>–70,00</w:t>
            </w:r>
          </w:p>
        </w:tc>
      </w:tr>
      <w:tr w:rsidR="005C6927" w:rsidRPr="00E62332" w:rsidTr="00493BC9">
        <w:trPr>
          <w:jc w:val="center"/>
        </w:trPr>
        <w:tc>
          <w:tcPr>
            <w:tcW w:w="7405" w:type="dxa"/>
          </w:tcPr>
          <w:p w:rsidR="005C6927" w:rsidRPr="00E62332" w:rsidRDefault="005C6927" w:rsidP="00493BC9">
            <w:pPr>
              <w:pStyle w:val="Tabletext"/>
              <w:jc w:val="right"/>
              <w:rPr>
                <w:i/>
                <w:iCs/>
                <w:sz w:val="20"/>
              </w:rPr>
            </w:pPr>
            <w:r>
              <w:rPr>
                <w:i/>
                <w:iCs/>
                <w:sz w:val="20"/>
              </w:rPr>
              <w:t>Entre le signal 3 et le</w:t>
            </w:r>
            <w:r w:rsidRPr="00E62332">
              <w:rPr>
                <w:i/>
                <w:iCs/>
                <w:sz w:val="20"/>
              </w:rPr>
              <w:t xml:space="preserve"> signal 1</w:t>
            </w:r>
          </w:p>
        </w:tc>
        <w:tc>
          <w:tcPr>
            <w:tcW w:w="2234" w:type="dxa"/>
            <w:gridSpan w:val="3"/>
            <w:vAlign w:val="bottom"/>
          </w:tcPr>
          <w:p w:rsidR="005C6927" w:rsidRPr="00E62332" w:rsidRDefault="005C6927" w:rsidP="00493BC9">
            <w:pPr>
              <w:pStyle w:val="Tabletext"/>
              <w:jc w:val="center"/>
              <w:rPr>
                <w:i/>
                <w:iCs/>
                <w:sz w:val="20"/>
              </w:rPr>
            </w:pPr>
            <w:r w:rsidRPr="00E62332">
              <w:rPr>
                <w:sz w:val="20"/>
              </w:rPr>
              <w:t>–67,90</w:t>
            </w:r>
          </w:p>
        </w:tc>
      </w:tr>
      <w:tr w:rsidR="005C6927" w:rsidRPr="00E62332" w:rsidTr="00493BC9">
        <w:trPr>
          <w:jc w:val="center"/>
        </w:trPr>
        <w:tc>
          <w:tcPr>
            <w:tcW w:w="7405" w:type="dxa"/>
          </w:tcPr>
          <w:p w:rsidR="005C6927" w:rsidRPr="00E62332" w:rsidRDefault="005C6927" w:rsidP="00493BC9">
            <w:pPr>
              <w:pStyle w:val="Tabletext"/>
              <w:rPr>
                <w:sz w:val="20"/>
              </w:rPr>
            </w:pPr>
            <w:r w:rsidRPr="00E62332">
              <w:rPr>
                <w:sz w:val="20"/>
              </w:rPr>
              <w:t xml:space="preserve">Densité de bruit thermique, </w:t>
            </w:r>
            <w:r w:rsidRPr="00E62332">
              <w:rPr>
                <w:i/>
                <w:sz w:val="20"/>
              </w:rPr>
              <w:t>N</w:t>
            </w:r>
            <w:r w:rsidRPr="00E62332">
              <w:rPr>
                <w:sz w:val="20"/>
                <w:vertAlign w:val="subscript"/>
              </w:rPr>
              <w:t>0</w:t>
            </w:r>
            <w:r w:rsidRPr="00E62332">
              <w:rPr>
                <w:sz w:val="20"/>
              </w:rPr>
              <w:t xml:space="preserve"> (dBW/Hz)</w:t>
            </w:r>
          </w:p>
        </w:tc>
        <w:tc>
          <w:tcPr>
            <w:tcW w:w="1249" w:type="dxa"/>
            <w:gridSpan w:val="2"/>
          </w:tcPr>
          <w:p w:rsidR="005C6927" w:rsidRPr="00E62332" w:rsidRDefault="005C6927" w:rsidP="00493BC9">
            <w:pPr>
              <w:pStyle w:val="Tabletext"/>
              <w:jc w:val="center"/>
              <w:rPr>
                <w:sz w:val="20"/>
              </w:rPr>
            </w:pPr>
            <w:r w:rsidRPr="00E62332">
              <w:rPr>
                <w:sz w:val="20"/>
              </w:rPr>
              <w:t>–201,50</w:t>
            </w:r>
            <w:r w:rsidRPr="00E62332">
              <w:rPr>
                <w:sz w:val="20"/>
                <w:vertAlign w:val="superscript"/>
              </w:rPr>
              <w:t>(2)</w:t>
            </w:r>
          </w:p>
        </w:tc>
        <w:tc>
          <w:tcPr>
            <w:tcW w:w="985" w:type="dxa"/>
          </w:tcPr>
          <w:p w:rsidR="005C6927" w:rsidRPr="00E62332" w:rsidRDefault="005C6927" w:rsidP="00493BC9">
            <w:pPr>
              <w:pStyle w:val="Tabletext"/>
              <w:ind w:left="-57" w:right="-57"/>
              <w:jc w:val="center"/>
              <w:rPr>
                <w:sz w:val="20"/>
              </w:rPr>
            </w:pPr>
            <w:r w:rsidRPr="00E62332">
              <w:rPr>
                <w:sz w:val="20"/>
              </w:rPr>
              <w:t>–204,00</w:t>
            </w:r>
            <w:r w:rsidRPr="00E62332">
              <w:rPr>
                <w:sz w:val="20"/>
                <w:vertAlign w:val="superscript"/>
              </w:rPr>
              <w:t>(3)</w:t>
            </w:r>
          </w:p>
        </w:tc>
      </w:tr>
      <w:tr w:rsidR="005C6927" w:rsidRPr="00E62332" w:rsidTr="00493BC9">
        <w:trPr>
          <w:jc w:val="center"/>
        </w:trPr>
        <w:tc>
          <w:tcPr>
            <w:tcW w:w="7405" w:type="dxa"/>
          </w:tcPr>
          <w:p w:rsidR="005C6927" w:rsidRPr="00E62332" w:rsidRDefault="005C6927" w:rsidP="00493BC9">
            <w:pPr>
              <w:pStyle w:val="Tabletext"/>
              <w:rPr>
                <w:sz w:val="20"/>
              </w:rPr>
            </w:pPr>
            <w:r w:rsidRPr="00E62332">
              <w:rPr>
                <w:i/>
                <w:sz w:val="20"/>
              </w:rPr>
              <w:t>I</w:t>
            </w:r>
            <w:r w:rsidRPr="00E62332">
              <w:rPr>
                <w:i/>
                <w:iCs/>
                <w:sz w:val="20"/>
                <w:vertAlign w:val="subscript"/>
              </w:rPr>
              <w:t>ref</w:t>
            </w:r>
            <w:r w:rsidRPr="00E62332">
              <w:rPr>
                <w:sz w:val="20"/>
              </w:rPr>
              <w:t xml:space="preserve"> (dBW/Hz)</w:t>
            </w:r>
            <w:r w:rsidRPr="00E62332">
              <w:rPr>
                <w:sz w:val="20"/>
                <w:vertAlign w:val="superscript"/>
              </w:rPr>
              <w:t>(4)</w:t>
            </w:r>
          </w:p>
        </w:tc>
        <w:tc>
          <w:tcPr>
            <w:tcW w:w="2234" w:type="dxa"/>
            <w:gridSpan w:val="3"/>
            <w:vAlign w:val="bottom"/>
          </w:tcPr>
          <w:p w:rsidR="005C6927" w:rsidRPr="00E62332" w:rsidRDefault="005C6927" w:rsidP="00493BC9">
            <w:pPr>
              <w:pStyle w:val="Tabletext"/>
              <w:jc w:val="center"/>
              <w:rPr>
                <w:sz w:val="20"/>
              </w:rPr>
            </w:pPr>
            <w:r w:rsidRPr="00E62332">
              <w:rPr>
                <w:sz w:val="20"/>
              </w:rPr>
              <w:t>–207,09</w:t>
            </w:r>
          </w:p>
        </w:tc>
      </w:tr>
      <w:tr w:rsidR="005C6927" w:rsidRPr="00E62332" w:rsidTr="00493BC9">
        <w:trPr>
          <w:jc w:val="center"/>
        </w:trPr>
        <w:tc>
          <w:tcPr>
            <w:tcW w:w="7405" w:type="dxa"/>
          </w:tcPr>
          <w:p w:rsidR="005C6927" w:rsidRPr="00E62332" w:rsidRDefault="005C6927" w:rsidP="00493BC9">
            <w:pPr>
              <w:pStyle w:val="Tabletext"/>
              <w:rPr>
                <w:i/>
                <w:sz w:val="20"/>
              </w:rPr>
            </w:pPr>
            <w:r w:rsidRPr="00E62332">
              <w:rPr>
                <w:i/>
                <w:sz w:val="20"/>
              </w:rPr>
              <w:t>N</w:t>
            </w:r>
            <w:r w:rsidRPr="00E62332">
              <w:rPr>
                <w:i/>
                <w:sz w:val="20"/>
                <w:vertAlign w:val="subscript"/>
              </w:rPr>
              <w:t>0</w:t>
            </w:r>
            <w:r w:rsidRPr="00E62332">
              <w:rPr>
                <w:i/>
                <w:sz w:val="20"/>
              </w:rPr>
              <w:t xml:space="preserve"> + I</w:t>
            </w:r>
            <w:r w:rsidRPr="00E62332">
              <w:rPr>
                <w:i/>
                <w:sz w:val="20"/>
                <w:vertAlign w:val="subscript"/>
              </w:rPr>
              <w:t>ref</w:t>
            </w:r>
            <w:r w:rsidRPr="00E62332">
              <w:rPr>
                <w:i/>
                <w:sz w:val="20"/>
              </w:rPr>
              <w:t xml:space="preserve"> </w:t>
            </w:r>
            <w:r w:rsidRPr="009B11F1">
              <w:rPr>
                <w:iCs/>
                <w:sz w:val="20"/>
              </w:rPr>
              <w:t>(dBW/Hz)</w:t>
            </w:r>
          </w:p>
        </w:tc>
        <w:tc>
          <w:tcPr>
            <w:tcW w:w="1117" w:type="dxa"/>
            <w:vAlign w:val="bottom"/>
          </w:tcPr>
          <w:p w:rsidR="005C6927" w:rsidRPr="00E62332" w:rsidRDefault="005C6927" w:rsidP="00493BC9">
            <w:pPr>
              <w:pStyle w:val="Tabletext"/>
              <w:jc w:val="center"/>
              <w:rPr>
                <w:sz w:val="20"/>
              </w:rPr>
            </w:pPr>
            <w:r w:rsidRPr="00E62332">
              <w:rPr>
                <w:sz w:val="20"/>
              </w:rPr>
              <w:t>–200,44</w:t>
            </w:r>
          </w:p>
        </w:tc>
        <w:tc>
          <w:tcPr>
            <w:tcW w:w="1117" w:type="dxa"/>
            <w:gridSpan w:val="2"/>
            <w:vAlign w:val="bottom"/>
          </w:tcPr>
          <w:p w:rsidR="005C6927" w:rsidRPr="00E62332" w:rsidRDefault="005C6927" w:rsidP="00493BC9">
            <w:pPr>
              <w:pStyle w:val="Tabletext"/>
              <w:jc w:val="center"/>
              <w:rPr>
                <w:sz w:val="20"/>
              </w:rPr>
            </w:pPr>
            <w:r w:rsidRPr="00E62332">
              <w:rPr>
                <w:sz w:val="20"/>
              </w:rPr>
              <w:t>–202,27</w:t>
            </w:r>
          </w:p>
        </w:tc>
      </w:tr>
      <w:tr w:rsidR="005C6927" w:rsidRPr="00E62332" w:rsidTr="00493BC9">
        <w:trPr>
          <w:jc w:val="center"/>
        </w:trPr>
        <w:tc>
          <w:tcPr>
            <w:tcW w:w="9639" w:type="dxa"/>
            <w:gridSpan w:val="4"/>
          </w:tcPr>
          <w:p w:rsidR="005C6927" w:rsidRPr="00E62332" w:rsidRDefault="005C6927" w:rsidP="00493BC9">
            <w:pPr>
              <w:pStyle w:val="Tablehead"/>
              <w:rPr>
                <w:sz w:val="20"/>
              </w:rPr>
            </w:pPr>
            <w:r w:rsidRPr="00E62332">
              <w:rPr>
                <w:sz w:val="20"/>
              </w:rPr>
              <w:t>Densité spectrale de puissance de bruit totale effective entre plusieurs systèmes:</w:t>
            </w:r>
          </w:p>
        </w:tc>
      </w:tr>
      <w:tr w:rsidR="005C6927" w:rsidRPr="00E62332" w:rsidTr="00493BC9">
        <w:trPr>
          <w:jc w:val="center"/>
        </w:trPr>
        <w:tc>
          <w:tcPr>
            <w:tcW w:w="7405" w:type="dxa"/>
          </w:tcPr>
          <w:p w:rsidR="005C6927" w:rsidRPr="00E62332" w:rsidRDefault="005C6927" w:rsidP="00493BC9">
            <w:pPr>
              <w:pStyle w:val="Tabletext"/>
              <w:rPr>
                <w:sz w:val="20"/>
              </w:rPr>
            </w:pPr>
            <w:r w:rsidRPr="00E62332">
              <w:rPr>
                <w:sz w:val="20"/>
              </w:rPr>
              <w:t>Puissance maximale du signal 0 (dBW)</w:t>
            </w:r>
          </w:p>
        </w:tc>
        <w:tc>
          <w:tcPr>
            <w:tcW w:w="2234" w:type="dxa"/>
            <w:gridSpan w:val="3"/>
          </w:tcPr>
          <w:p w:rsidR="005C6927" w:rsidRPr="00E62332" w:rsidRDefault="005C6927" w:rsidP="00493BC9">
            <w:pPr>
              <w:pStyle w:val="Tabletext"/>
              <w:jc w:val="center"/>
              <w:rPr>
                <w:sz w:val="20"/>
              </w:rPr>
            </w:pPr>
            <w:r w:rsidRPr="00E62332">
              <w:rPr>
                <w:sz w:val="20"/>
              </w:rPr>
              <w:t>–154,00</w:t>
            </w:r>
          </w:p>
        </w:tc>
      </w:tr>
      <w:tr w:rsidR="005C6927" w:rsidRPr="00E62332" w:rsidTr="00493BC9">
        <w:trPr>
          <w:jc w:val="center"/>
        </w:trPr>
        <w:tc>
          <w:tcPr>
            <w:tcW w:w="7405" w:type="dxa"/>
          </w:tcPr>
          <w:p w:rsidR="005C6927" w:rsidRPr="00E62332" w:rsidRDefault="005C6927" w:rsidP="00493BC9">
            <w:pPr>
              <w:pStyle w:val="Tabletext"/>
              <w:rPr>
                <w:sz w:val="20"/>
              </w:rPr>
            </w:pPr>
            <w:r w:rsidRPr="00E62332">
              <w:rPr>
                <w:sz w:val="20"/>
              </w:rPr>
              <w:t xml:space="preserve">Facteur de gain cumulatif du système B, </w:t>
            </w:r>
            <w:r w:rsidRPr="00E62332">
              <w:rPr>
                <w:i/>
                <w:sz w:val="20"/>
              </w:rPr>
              <w:t>G</w:t>
            </w:r>
            <w:r w:rsidRPr="00E62332">
              <w:rPr>
                <w:i/>
                <w:iCs/>
                <w:sz w:val="20"/>
                <w:vertAlign w:val="superscript"/>
              </w:rPr>
              <w:t>agg</w:t>
            </w:r>
            <w:r w:rsidRPr="00E62332">
              <w:rPr>
                <w:sz w:val="20"/>
              </w:rPr>
              <w:t xml:space="preserve"> (dB)</w:t>
            </w:r>
          </w:p>
        </w:tc>
        <w:tc>
          <w:tcPr>
            <w:tcW w:w="2234" w:type="dxa"/>
            <w:gridSpan w:val="3"/>
          </w:tcPr>
          <w:p w:rsidR="005C6927" w:rsidRPr="00E62332" w:rsidRDefault="005C6927" w:rsidP="00493BC9">
            <w:pPr>
              <w:pStyle w:val="Tabletext"/>
              <w:jc w:val="center"/>
              <w:rPr>
                <w:sz w:val="20"/>
              </w:rPr>
            </w:pPr>
            <w:r w:rsidRPr="00E62332">
              <w:rPr>
                <w:sz w:val="20"/>
              </w:rPr>
              <w:t>12,00</w:t>
            </w:r>
          </w:p>
        </w:tc>
      </w:tr>
      <w:tr w:rsidR="005C6927" w:rsidRPr="00E62332" w:rsidTr="00493BC9">
        <w:trPr>
          <w:jc w:val="center"/>
        </w:trPr>
        <w:tc>
          <w:tcPr>
            <w:tcW w:w="7405" w:type="dxa"/>
          </w:tcPr>
          <w:p w:rsidR="005C6927" w:rsidRPr="00E62332" w:rsidRDefault="005C6927" w:rsidP="00493BC9">
            <w:pPr>
              <w:pStyle w:val="Tabletext"/>
              <w:jc w:val="right"/>
              <w:rPr>
                <w:sz w:val="20"/>
              </w:rPr>
            </w:pPr>
            <w:r w:rsidRPr="00E62332">
              <w:rPr>
                <w:sz w:val="20"/>
              </w:rPr>
              <w:t xml:space="preserve">Coefficient de séparation spectrale, </w:t>
            </w:r>
            <w:r w:rsidRPr="00E62332">
              <w:rPr>
                <w:sz w:val="20"/>
              </w:rPr>
              <w:sym w:font="Symbol" w:char="F062"/>
            </w:r>
            <w:r w:rsidRPr="00E62332">
              <w:rPr>
                <w:sz w:val="20"/>
              </w:rPr>
              <w:t xml:space="preserve"> (dB/Hz):</w:t>
            </w:r>
          </w:p>
        </w:tc>
        <w:tc>
          <w:tcPr>
            <w:tcW w:w="2234" w:type="dxa"/>
            <w:gridSpan w:val="3"/>
          </w:tcPr>
          <w:p w:rsidR="005C6927" w:rsidRPr="00E62332" w:rsidRDefault="005C6927" w:rsidP="00493BC9">
            <w:pPr>
              <w:pStyle w:val="Tabletext"/>
              <w:jc w:val="center"/>
              <w:rPr>
                <w:sz w:val="20"/>
              </w:rPr>
            </w:pPr>
          </w:p>
        </w:tc>
      </w:tr>
      <w:tr w:rsidR="005C6927" w:rsidRPr="00E62332" w:rsidTr="00493BC9">
        <w:trPr>
          <w:jc w:val="center"/>
        </w:trPr>
        <w:tc>
          <w:tcPr>
            <w:tcW w:w="7405" w:type="dxa"/>
          </w:tcPr>
          <w:p w:rsidR="005C6927" w:rsidRPr="00E62332" w:rsidRDefault="005C6927" w:rsidP="00493BC9">
            <w:pPr>
              <w:pStyle w:val="Tabletext"/>
              <w:jc w:val="right"/>
              <w:rPr>
                <w:i/>
                <w:iCs/>
                <w:sz w:val="20"/>
              </w:rPr>
            </w:pPr>
            <w:r w:rsidRPr="00E62332">
              <w:rPr>
                <w:i/>
                <w:iCs/>
                <w:sz w:val="20"/>
              </w:rPr>
              <w:t>Entre le signal 0 et le signal 1</w:t>
            </w:r>
          </w:p>
        </w:tc>
        <w:tc>
          <w:tcPr>
            <w:tcW w:w="2234" w:type="dxa"/>
            <w:gridSpan w:val="3"/>
          </w:tcPr>
          <w:p w:rsidR="005C6927" w:rsidRPr="00E62332" w:rsidRDefault="005C6927" w:rsidP="00493BC9">
            <w:pPr>
              <w:pStyle w:val="Tabletext"/>
              <w:jc w:val="center"/>
              <w:rPr>
                <w:sz w:val="20"/>
              </w:rPr>
            </w:pPr>
            <w:r w:rsidRPr="00E62332">
              <w:rPr>
                <w:sz w:val="20"/>
              </w:rPr>
              <w:t>–67,80</w:t>
            </w:r>
          </w:p>
        </w:tc>
      </w:tr>
      <w:tr w:rsidR="005C6927" w:rsidRPr="00E62332" w:rsidTr="00493BC9">
        <w:trPr>
          <w:jc w:val="center"/>
        </w:trPr>
        <w:tc>
          <w:tcPr>
            <w:tcW w:w="7405" w:type="dxa"/>
          </w:tcPr>
          <w:p w:rsidR="005C6927" w:rsidRPr="00E62332" w:rsidRDefault="005C6927" w:rsidP="00493BC9">
            <w:pPr>
              <w:pStyle w:val="Tabletext"/>
              <w:rPr>
                <w:sz w:val="20"/>
              </w:rPr>
            </w:pPr>
            <w:r w:rsidRPr="00E62332">
              <w:rPr>
                <w:sz w:val="20"/>
              </w:rPr>
              <w:t>Affaiblissement de traitement pour les signaux brouilleurs (dB)</w:t>
            </w:r>
          </w:p>
        </w:tc>
        <w:tc>
          <w:tcPr>
            <w:tcW w:w="2234" w:type="dxa"/>
            <w:gridSpan w:val="3"/>
          </w:tcPr>
          <w:p w:rsidR="005C6927" w:rsidRPr="00E62332" w:rsidRDefault="005C6927" w:rsidP="00493BC9">
            <w:pPr>
              <w:pStyle w:val="Tabletext"/>
              <w:jc w:val="center"/>
              <w:rPr>
                <w:sz w:val="20"/>
              </w:rPr>
            </w:pPr>
            <w:r w:rsidRPr="00E62332">
              <w:rPr>
                <w:sz w:val="20"/>
              </w:rPr>
              <w:t>1,00</w:t>
            </w:r>
          </w:p>
        </w:tc>
      </w:tr>
      <w:tr w:rsidR="005C6927" w:rsidRPr="00E62332" w:rsidTr="00493BC9">
        <w:trPr>
          <w:jc w:val="center"/>
        </w:trPr>
        <w:tc>
          <w:tcPr>
            <w:tcW w:w="7405" w:type="dxa"/>
          </w:tcPr>
          <w:p w:rsidR="005C6927" w:rsidRPr="00E62332" w:rsidRDefault="005C6927" w:rsidP="00493BC9">
            <w:pPr>
              <w:pStyle w:val="Tabletext"/>
              <w:rPr>
                <w:sz w:val="20"/>
              </w:rPr>
            </w:pPr>
            <w:r w:rsidRPr="00E62332">
              <w:rPr>
                <w:i/>
                <w:sz w:val="20"/>
              </w:rPr>
              <w:t>I</w:t>
            </w:r>
            <w:r w:rsidRPr="00E62332">
              <w:rPr>
                <w:i/>
                <w:iCs/>
                <w:sz w:val="20"/>
                <w:vertAlign w:val="subscript"/>
              </w:rPr>
              <w:t>alt</w:t>
            </w:r>
            <w:r w:rsidRPr="00E62332">
              <w:rPr>
                <w:sz w:val="20"/>
              </w:rPr>
              <w:t xml:space="preserve"> (dBW/Hz)</w:t>
            </w:r>
            <w:r w:rsidRPr="00E62332">
              <w:rPr>
                <w:sz w:val="20"/>
                <w:vertAlign w:val="superscript"/>
              </w:rPr>
              <w:t>(4)</w:t>
            </w:r>
          </w:p>
        </w:tc>
        <w:tc>
          <w:tcPr>
            <w:tcW w:w="2234" w:type="dxa"/>
            <w:gridSpan w:val="3"/>
          </w:tcPr>
          <w:p w:rsidR="005C6927" w:rsidRPr="00E62332" w:rsidRDefault="005C6927" w:rsidP="00493BC9">
            <w:pPr>
              <w:pStyle w:val="Tabletext"/>
              <w:jc w:val="center"/>
              <w:rPr>
                <w:sz w:val="20"/>
              </w:rPr>
            </w:pPr>
            <w:r w:rsidRPr="00E62332">
              <w:rPr>
                <w:sz w:val="20"/>
              </w:rPr>
              <w:t>–210,80</w:t>
            </w:r>
          </w:p>
        </w:tc>
      </w:tr>
      <w:tr w:rsidR="005C6927" w:rsidRPr="00E62332" w:rsidTr="00493BC9">
        <w:trPr>
          <w:jc w:val="center"/>
        </w:trPr>
        <w:tc>
          <w:tcPr>
            <w:tcW w:w="7405" w:type="dxa"/>
            <w:tcBorders>
              <w:bottom w:val="single" w:sz="4" w:space="0" w:color="auto"/>
            </w:tcBorders>
          </w:tcPr>
          <w:p w:rsidR="005C6927" w:rsidRPr="00E62332" w:rsidRDefault="005C6927" w:rsidP="00493BC9">
            <w:pPr>
              <w:pStyle w:val="Tabletext"/>
              <w:rPr>
                <w:sz w:val="20"/>
              </w:rPr>
            </w:pPr>
            <w:r w:rsidRPr="00E62332">
              <w:rPr>
                <w:sz w:val="20"/>
              </w:rPr>
              <w:t xml:space="preserve">Dégradation de </w:t>
            </w:r>
            <w:r>
              <w:rPr>
                <w:noProof/>
                <w:position w:val="-14"/>
                <w:sz w:val="20"/>
                <w:lang w:val="en-US" w:eastAsia="zh-CN"/>
              </w:rPr>
              <w:drawing>
                <wp:inline distT="0" distB="0" distL="0" distR="0">
                  <wp:extent cx="371475" cy="247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E62332">
              <w:t xml:space="preserve"> déterminée par l'équation </w:t>
            </w:r>
            <w:r w:rsidRPr="00E62332">
              <w:rPr>
                <w:sz w:val="20"/>
              </w:rPr>
              <w:t>(10) (dB)</w:t>
            </w:r>
          </w:p>
        </w:tc>
        <w:tc>
          <w:tcPr>
            <w:tcW w:w="1249" w:type="dxa"/>
            <w:gridSpan w:val="2"/>
            <w:tcBorders>
              <w:bottom w:val="single" w:sz="4" w:space="0" w:color="auto"/>
            </w:tcBorders>
          </w:tcPr>
          <w:p w:rsidR="005C6927" w:rsidRPr="00E62332" w:rsidRDefault="005C6927" w:rsidP="00493BC9">
            <w:pPr>
              <w:pStyle w:val="Tabletext"/>
              <w:jc w:val="center"/>
              <w:rPr>
                <w:sz w:val="20"/>
              </w:rPr>
            </w:pPr>
            <w:r w:rsidRPr="00E62332">
              <w:rPr>
                <w:sz w:val="20"/>
              </w:rPr>
              <w:t>0,38</w:t>
            </w:r>
          </w:p>
        </w:tc>
        <w:tc>
          <w:tcPr>
            <w:tcW w:w="985" w:type="dxa"/>
            <w:tcBorders>
              <w:bottom w:val="single" w:sz="4" w:space="0" w:color="auto"/>
            </w:tcBorders>
          </w:tcPr>
          <w:p w:rsidR="005C6927" w:rsidRPr="00E62332" w:rsidRDefault="005C6927" w:rsidP="00493BC9">
            <w:pPr>
              <w:pStyle w:val="Tabletext"/>
              <w:jc w:val="center"/>
              <w:rPr>
                <w:sz w:val="20"/>
              </w:rPr>
            </w:pPr>
            <w:r w:rsidRPr="00E62332">
              <w:rPr>
                <w:sz w:val="20"/>
              </w:rPr>
              <w:t>0,57</w:t>
            </w:r>
          </w:p>
        </w:tc>
      </w:tr>
      <w:tr w:rsidR="005C6927" w:rsidRPr="00E62332" w:rsidTr="00493BC9">
        <w:trPr>
          <w:jc w:val="center"/>
        </w:trPr>
        <w:tc>
          <w:tcPr>
            <w:tcW w:w="9639" w:type="dxa"/>
            <w:gridSpan w:val="4"/>
            <w:tcBorders>
              <w:left w:val="nil"/>
              <w:bottom w:val="nil"/>
              <w:right w:val="nil"/>
            </w:tcBorders>
          </w:tcPr>
          <w:p w:rsidR="005C6927" w:rsidRPr="00E62332" w:rsidRDefault="005C6927" w:rsidP="00493BC9">
            <w:pPr>
              <w:pStyle w:val="Tablelegend"/>
              <w:keepNext/>
              <w:keepLines/>
              <w:rPr>
                <w:sz w:val="20"/>
              </w:rPr>
            </w:pPr>
            <w:r w:rsidRPr="00E62332">
              <w:rPr>
                <w:sz w:val="20"/>
                <w:vertAlign w:val="superscript"/>
              </w:rPr>
              <w:t>(1)</w:t>
            </w:r>
            <w:r w:rsidRPr="00E62332">
              <w:rPr>
                <w:sz w:val="20"/>
              </w:rPr>
              <w:tab/>
              <w:t>Cette valeur est basée sur l'approximation de l'équation (2), qui n'est pas nécessairement représentative de tous les récepteurs utilisant des codes PRN courts.</w:t>
            </w:r>
          </w:p>
          <w:p w:rsidR="005C6927" w:rsidRPr="00E62332" w:rsidRDefault="005C6927" w:rsidP="00493BC9">
            <w:pPr>
              <w:pStyle w:val="Tablelegend"/>
              <w:keepNext/>
              <w:keepLines/>
              <w:rPr>
                <w:sz w:val="20"/>
              </w:rPr>
            </w:pPr>
            <w:r w:rsidRPr="00E62332">
              <w:rPr>
                <w:sz w:val="20"/>
                <w:vertAlign w:val="superscript"/>
              </w:rPr>
              <w:t>(2)</w:t>
            </w:r>
            <w:r w:rsidRPr="00E62332">
              <w:rPr>
                <w:sz w:val="20"/>
              </w:rPr>
              <w:tab/>
              <w:t>Cette valeur une valeur type qui n'est pas nécessairement représentative des récepteurs à faible bruit.</w:t>
            </w:r>
          </w:p>
          <w:p w:rsidR="005C6927" w:rsidRPr="00E62332" w:rsidRDefault="005C6927" w:rsidP="00493BC9">
            <w:pPr>
              <w:pStyle w:val="Tablelegend"/>
              <w:rPr>
                <w:sz w:val="20"/>
              </w:rPr>
            </w:pPr>
            <w:r w:rsidRPr="00E62332">
              <w:rPr>
                <w:sz w:val="20"/>
                <w:vertAlign w:val="superscript"/>
              </w:rPr>
              <w:t>(3)</w:t>
            </w:r>
            <w:r w:rsidRPr="00E62332">
              <w:rPr>
                <w:sz w:val="20"/>
              </w:rPr>
              <w:tab/>
              <w:t>Cette valeur est une valeur type des récepteurs à faible bruit.</w:t>
            </w:r>
          </w:p>
          <w:p w:rsidR="005C6927" w:rsidRPr="00E62332" w:rsidRDefault="005C6927" w:rsidP="00493BC9">
            <w:pPr>
              <w:pStyle w:val="Tablelegend"/>
              <w:rPr>
                <w:sz w:val="20"/>
              </w:rPr>
            </w:pPr>
            <w:r w:rsidRPr="00E62332">
              <w:rPr>
                <w:sz w:val="20"/>
                <w:vertAlign w:val="superscript"/>
              </w:rPr>
              <w:t>(4)</w:t>
            </w:r>
            <w:r w:rsidRPr="00E62332">
              <w:rPr>
                <w:sz w:val="20"/>
              </w:rPr>
              <w:tab/>
            </w:r>
            <w:r w:rsidRPr="00E62332">
              <w:rPr>
                <w:color w:val="000000"/>
                <w:sz w:val="20"/>
              </w:rPr>
              <w:t xml:space="preserve">Dans cet exemple, les valeurs </w:t>
            </w:r>
            <w:r w:rsidRPr="00E62332">
              <w:rPr>
                <w:i/>
                <w:iCs/>
                <w:color w:val="000000"/>
                <w:sz w:val="20"/>
              </w:rPr>
              <w:t>I</w:t>
            </w:r>
            <w:r w:rsidRPr="00E62332">
              <w:rPr>
                <w:i/>
                <w:iCs/>
                <w:color w:val="000000"/>
                <w:sz w:val="20"/>
                <w:vertAlign w:val="subscript"/>
              </w:rPr>
              <w:t>ref</w:t>
            </w:r>
            <w:r w:rsidRPr="00E62332">
              <w:rPr>
                <w:color w:val="000000"/>
                <w:sz w:val="20"/>
              </w:rPr>
              <w:t xml:space="preserve">, </w:t>
            </w:r>
            <w:r w:rsidRPr="00E62332">
              <w:rPr>
                <w:i/>
                <w:iCs/>
                <w:color w:val="000000"/>
                <w:sz w:val="20"/>
              </w:rPr>
              <w:t>I</w:t>
            </w:r>
            <w:r w:rsidRPr="00E62332">
              <w:rPr>
                <w:i/>
                <w:iCs/>
                <w:color w:val="000000"/>
                <w:sz w:val="20"/>
                <w:vertAlign w:val="subscript"/>
              </w:rPr>
              <w:t>rem</w:t>
            </w:r>
            <w:r w:rsidRPr="00E62332">
              <w:rPr>
                <w:color w:val="000000"/>
                <w:sz w:val="20"/>
              </w:rPr>
              <w:t xml:space="preserve"> et </w:t>
            </w:r>
            <w:r w:rsidRPr="00E62332">
              <w:rPr>
                <w:i/>
                <w:iCs/>
                <w:color w:val="000000"/>
                <w:sz w:val="20"/>
              </w:rPr>
              <w:t>I</w:t>
            </w:r>
            <w:r w:rsidRPr="00E62332">
              <w:rPr>
                <w:i/>
                <w:iCs/>
                <w:color w:val="000000"/>
                <w:sz w:val="20"/>
                <w:vertAlign w:val="subscript"/>
              </w:rPr>
              <w:t>alt</w:t>
            </w:r>
            <w:r w:rsidRPr="00E62332">
              <w:rPr>
                <w:color w:val="000000"/>
                <w:sz w:val="20"/>
              </w:rPr>
              <w:t xml:space="preserve"> ont été évaluées au moyen du facteur </w:t>
            </w:r>
            <w:r w:rsidRPr="00E62332">
              <w:rPr>
                <w:i/>
                <w:iCs/>
                <w:color w:val="000000"/>
                <w:sz w:val="20"/>
              </w:rPr>
              <w:t>G</w:t>
            </w:r>
            <w:r w:rsidRPr="00E62332">
              <w:rPr>
                <w:i/>
                <w:iCs/>
                <w:color w:val="000000"/>
                <w:sz w:val="20"/>
                <w:vertAlign w:val="superscript"/>
              </w:rPr>
              <w:t>agg.</w:t>
            </w:r>
            <w:r w:rsidRPr="00E62332">
              <w:rPr>
                <w:color w:val="000000"/>
                <w:sz w:val="20"/>
              </w:rPr>
              <w:t>. Elles représentent donc des valeurs limites supérieures.</w:t>
            </w:r>
          </w:p>
        </w:tc>
      </w:tr>
    </w:tbl>
    <w:p w:rsidR="00164AF7" w:rsidRDefault="00164AF7" w:rsidP="00164AF7">
      <w:pPr>
        <w:pStyle w:val="Tablefin"/>
      </w:pPr>
    </w:p>
    <w:p w:rsidR="005C6927" w:rsidRPr="00E62332" w:rsidRDefault="005C6927" w:rsidP="00164AF7">
      <w:r w:rsidRPr="00E62332">
        <w:t xml:space="preserve">La dégradation maximale acceptable de </w:t>
      </w:r>
      <w:r w:rsidRPr="00E62332">
        <w:rPr>
          <w:position w:val="-12"/>
        </w:rPr>
        <w:object w:dxaOrig="660" w:dyaOrig="360">
          <v:shape id="_x0000_i1072" type="#_x0000_t75" style="width:33.65pt;height:17.3pt" o:ole="">
            <v:imagedata r:id="rId17" o:title=""/>
          </v:shape>
          <o:OLEObject Type="Embed" ProgID="Equation.3" ShapeID="_x0000_i1072" DrawAspect="Content" ObjectID="_1541423570" r:id="rId104"/>
        </w:object>
      </w:r>
      <w:r w:rsidRPr="00E62332">
        <w:t xml:space="preserve"> peut dépendre de l'interopérabilité ou non de l'autre système avec le système de référence. Dans le cas de systèmes interopérables, le seuil de dégradation de </w:t>
      </w:r>
      <w:r w:rsidRPr="00E62332">
        <w:rPr>
          <w:position w:val="-12"/>
        </w:rPr>
        <w:object w:dxaOrig="660" w:dyaOrig="360">
          <v:shape id="_x0000_i1073" type="#_x0000_t75" style="width:33.65pt;height:17.3pt" o:ole="">
            <v:imagedata r:id="rId17" o:title=""/>
          </v:shape>
          <o:OLEObject Type="Embed" ProgID="Equation.3" ShapeID="_x0000_i1073" DrawAspect="Content" ObjectID="_1541423571" r:id="rId105"/>
        </w:object>
      </w:r>
      <w:r w:rsidRPr="00E62332">
        <w:rPr>
          <w:b/>
          <w:bCs/>
          <w:color w:val="000000"/>
          <w:sz w:val="20"/>
        </w:rPr>
        <w:t xml:space="preserve"> </w:t>
      </w:r>
      <w:r w:rsidRPr="00E62332">
        <w:t xml:space="preserve">peut être plus élevé que celui pour des systèmes non interopérables. La contribution de bruit d'un autre système non interopérable, </w:t>
      </w:r>
      <w:r w:rsidRPr="00E62332">
        <w:rPr>
          <w:i/>
        </w:rPr>
        <w:t>I</w:t>
      </w:r>
      <w:r w:rsidRPr="00E62332">
        <w:rPr>
          <w:i/>
          <w:iCs/>
          <w:vertAlign w:val="subscript"/>
        </w:rPr>
        <w:t>alt</w:t>
      </w:r>
      <w:r w:rsidRPr="00E62332">
        <w:t xml:space="preserve">, peut être modifiée pour tenir compte des propriétés spécifiques de corrélation interne des codes entre plusieurs systèmes. Dans le cas considéré, </w:t>
      </w:r>
      <w:r w:rsidRPr="00E62332">
        <w:rPr>
          <w:i/>
        </w:rPr>
        <w:t>I</w:t>
      </w:r>
      <w:r w:rsidRPr="00E62332">
        <w:rPr>
          <w:i/>
          <w:iCs/>
          <w:vertAlign w:val="subscript"/>
        </w:rPr>
        <w:t>alt</w:t>
      </w:r>
      <w:r w:rsidRPr="00E62332">
        <w:t xml:space="preserve"> pourrait être remplacé par </w:t>
      </w:r>
      <w:r w:rsidRPr="00E62332">
        <w:rPr>
          <w:position w:val="-12"/>
        </w:rPr>
        <w:object w:dxaOrig="1260" w:dyaOrig="360">
          <v:shape id="_x0000_i1074" type="#_x0000_t75" style="width:64.05pt;height:17.3pt" o:ole="">
            <v:imagedata r:id="rId106" o:title=""/>
          </v:shape>
          <o:OLEObject Type="Embed" ProgID="Equation.3" ShapeID="_x0000_i1074" DrawAspect="Content" ObjectID="_1541423572" r:id="rId107"/>
        </w:object>
      </w:r>
      <w:r w:rsidRPr="00E62332">
        <w:t xml:space="preserve"> où </w:t>
      </w:r>
      <w:r w:rsidRPr="00E62332">
        <w:sym w:font="Symbol" w:char="F061"/>
      </w:r>
      <w:r w:rsidRPr="00E62332">
        <w:t xml:space="preserve"> </w:t>
      </w:r>
      <w:r w:rsidRPr="00E62332">
        <w:sym w:font="Symbol" w:char="F0B3"/>
      </w:r>
      <w:r w:rsidRPr="00E62332">
        <w:t>1.</w:t>
      </w:r>
    </w:p>
    <w:p w:rsidR="005C6927" w:rsidRPr="00E62332" w:rsidRDefault="005C6927" w:rsidP="005C6927">
      <w:pPr>
        <w:keepNext/>
        <w:keepLines/>
      </w:pPr>
      <w:r w:rsidRPr="00E62332">
        <w:lastRenderedPageBreak/>
        <w:t xml:space="preserve">Un autre exemple consiste à calculer la dégradation de </w:t>
      </w:r>
      <w:r w:rsidRPr="00E62332">
        <w:rPr>
          <w:position w:val="-12"/>
        </w:rPr>
        <w:object w:dxaOrig="660" w:dyaOrig="360">
          <v:shape id="_x0000_i1075" type="#_x0000_t75" style="width:33.65pt;height:17.3pt" o:ole="">
            <v:imagedata r:id="rId108" o:title=""/>
          </v:shape>
          <o:OLEObject Type="Embed" ProgID="Equation.3" ShapeID="_x0000_i1075" DrawAspect="Content" ObjectID="_1541423573" r:id="rId109"/>
        </w:object>
      </w:r>
      <w:r w:rsidRPr="00E62332">
        <w:t xml:space="preserve"> à partir de l'expression donnée ci</w:t>
      </w:r>
      <w:r w:rsidRPr="00E62332">
        <w:noBreakHyphen/>
        <w:t>après dans l'équation (11):</w:t>
      </w:r>
    </w:p>
    <w:p w:rsidR="005C6927" w:rsidRPr="00E62332" w:rsidRDefault="005C6927" w:rsidP="005C6927">
      <w:pPr>
        <w:pStyle w:val="Blanc"/>
        <w:jc w:val="left"/>
        <w:rPr>
          <w:lang w:val="fr-FR"/>
        </w:rPr>
      </w:pPr>
    </w:p>
    <w:p w:rsidR="005C6927" w:rsidRPr="00E62332" w:rsidRDefault="005C6927" w:rsidP="005C6927">
      <w:pPr>
        <w:pStyle w:val="Equation"/>
        <w:keepNext/>
        <w:keepLines/>
      </w:pPr>
      <w:r w:rsidRPr="00E62332">
        <w:tab/>
      </w:r>
      <w:r w:rsidRPr="00E62332">
        <w:tab/>
      </w:r>
      <w:r w:rsidRPr="00E62332">
        <w:rPr>
          <w:position w:val="-64"/>
        </w:rPr>
        <w:object w:dxaOrig="6500" w:dyaOrig="1400">
          <v:shape id="_x0000_i1076" type="#_x0000_t75" style="width:324.45pt;height:61.25pt" o:ole="">
            <v:imagedata r:id="rId110" o:title=""/>
          </v:shape>
          <o:OLEObject Type="Embed" ProgID="Equation.3" ShapeID="_x0000_i1076" DrawAspect="Content" ObjectID="_1541423574" r:id="rId111"/>
        </w:object>
      </w:r>
      <w:r w:rsidRPr="00E62332">
        <w:tab/>
        <w:t>(11)</w:t>
      </w:r>
    </w:p>
    <w:p w:rsidR="005C6927" w:rsidRPr="00E62332" w:rsidRDefault="005C6927" w:rsidP="005C6927">
      <w:pPr>
        <w:pStyle w:val="Blanc"/>
        <w:jc w:val="left"/>
        <w:rPr>
          <w:lang w:val="fr-FR"/>
        </w:rPr>
      </w:pPr>
    </w:p>
    <w:p w:rsidR="005C6927" w:rsidRPr="00E62332" w:rsidRDefault="005C6927" w:rsidP="005C6927">
      <w:r w:rsidRPr="00E62332">
        <w:t xml:space="preserve">En utilisant l'équation (11) et les paramètres du Tableau 3, la dégradation de </w:t>
      </w:r>
      <w:r w:rsidRPr="00E62332">
        <w:rPr>
          <w:position w:val="-12"/>
        </w:rPr>
        <w:object w:dxaOrig="660" w:dyaOrig="360">
          <v:shape id="_x0000_i1077" type="#_x0000_t75" style="width:33.65pt;height:17.3pt" o:ole="">
            <v:imagedata r:id="rId108" o:title=""/>
          </v:shape>
          <o:OLEObject Type="Embed" ProgID="Equation.3" ShapeID="_x0000_i1077" DrawAspect="Content" ObjectID="_1541423575" r:id="rId112"/>
        </w:object>
      </w:r>
      <w:r w:rsidRPr="00E62332">
        <w:t xml:space="preserve"> est calculée comme étant égale à 0,3 dB.</w:t>
      </w:r>
    </w:p>
    <w:p w:rsidR="005C6927" w:rsidRPr="00E62332" w:rsidRDefault="005C6927" w:rsidP="005C6927">
      <w:pPr>
        <w:pStyle w:val="Heading1"/>
      </w:pPr>
      <w:bookmarkStart w:id="17" w:name="_Toc467049671"/>
      <w:r w:rsidRPr="00E62332">
        <w:t>6</w:t>
      </w:r>
      <w:r w:rsidRPr="00E62332">
        <w:tab/>
        <w:t>Caractéristiques et modélisation du spectre des signaux du SRNS à code court</w:t>
      </w:r>
      <w:bookmarkEnd w:id="17"/>
    </w:p>
    <w:p w:rsidR="005C6927" w:rsidRPr="00E62332" w:rsidRDefault="005C6927" w:rsidP="005C6927">
      <w:r w:rsidRPr="00E62332">
        <w:t xml:space="preserve">Dans le modèle analytique décrit ci-dessus, le spectre des signaux reçus est approximé par un spectre composite dans lequel les structures fines des spectres des différents signaux sont moyennées en un spectre essentiellement continu. Cette modélisation au moyen d'un </w:t>
      </w:r>
      <w:r>
        <w:t>«</w:t>
      </w:r>
      <w:r w:rsidRPr="00E62332">
        <w:t>spectre continu</w:t>
      </w:r>
      <w:r>
        <w:t>»</w:t>
      </w:r>
      <w:r w:rsidRPr="00E62332">
        <w:t xml:space="preserve"> convient pour des signaux du SRNS ayant des codes PRN longs</w:t>
      </w:r>
      <w:r w:rsidRPr="00E62332">
        <w:rPr>
          <w:rStyle w:val="FootnoteReference"/>
        </w:rPr>
        <w:footnoteReference w:id="3"/>
      </w:r>
      <w:r w:rsidRPr="00E62332">
        <w:t xml:space="preserve">. Les codes PRN peuvent aussi avoir des structures fines supplémentaires, par exemple des codes superposés ou une modulation de données à un débit plus élevé, qui élargissent effectivement les raies spectrales de base du code PRN, de manière à constituer un spectre presque continu pour un signal donné. Dans ce cas, le décalage Doppler entre les différents signaux a un effet négligeable sur l'évaluation de l'ensemble des brouillages. </w:t>
      </w:r>
    </w:p>
    <w:p w:rsidR="005C6927" w:rsidRPr="00E62332" w:rsidRDefault="005C6927" w:rsidP="005C6927">
      <w:r w:rsidRPr="00E62332">
        <w:t>Ce modèle ne convient pas toutefois pour l'analyse des codes PRN courts</w:t>
      </w:r>
      <w:r w:rsidRPr="00E62332">
        <w:rPr>
          <w:rStyle w:val="FootnoteReference"/>
        </w:rPr>
        <w:footnoteReference w:id="4"/>
      </w:r>
      <w:r w:rsidRPr="00E62332">
        <w:t xml:space="preserve"> dans un système du SRNS ou entre des systèmes du SRNS. Dans ces cas, une modélisation dynamique est nécessaire pour tenir compte des propriétés de modulation détaillées des signaux, par exemple le débit de données ou les caractéristiques du code PRN, ainsi que le décalage de fréquence dû à l'effet Doppler relatif et la puissance relative du signal reçu.</w:t>
      </w:r>
    </w:p>
    <w:p w:rsidR="005C6927" w:rsidRPr="00E62332" w:rsidRDefault="005C6927" w:rsidP="005C6927">
      <w:pPr>
        <w:pStyle w:val="Heading2"/>
      </w:pPr>
      <w:bookmarkStart w:id="18" w:name="_Toc467049672"/>
      <w:r w:rsidRPr="00E62332">
        <w:t>6.1</w:t>
      </w:r>
      <w:r w:rsidRPr="00E62332">
        <w:tab/>
        <w:t>Exemple de spectre d'un code PRN court d'un signal du SRNS</w:t>
      </w:r>
      <w:bookmarkEnd w:id="18"/>
    </w:p>
    <w:p w:rsidR="005C6927" w:rsidRPr="00E62332" w:rsidRDefault="005C6927" w:rsidP="005C6927">
      <w:r w:rsidRPr="00E62332">
        <w:t>Les spectres des codes PRN courts sont caractérisés par une enveloppe nominale et une structure à raies discrètes primaires. Cette structure discrète est une séquence de raies spectrales qui ont des niveaux déterminés par les caractéristiques particulières du code, y compris le débit d'éléments et la longueur du code. Lorsque le signal du code PRN est modulé par des données, les raies spectrales primaires sont effectivement élargies par les données. La Figure 6 présente un exemple de spectre d'un signal à code PRN court avec un faible débit de modulation des données.</w:t>
      </w:r>
    </w:p>
    <w:p w:rsidR="005C6927" w:rsidRPr="00E62332" w:rsidRDefault="005C6927" w:rsidP="005C6927">
      <w:pPr>
        <w:pStyle w:val="FigureNo"/>
      </w:pPr>
      <w:r w:rsidRPr="00E62332">
        <w:lastRenderedPageBreak/>
        <w:t>FIGURE 6</w:t>
      </w:r>
    </w:p>
    <w:p w:rsidR="005C6927" w:rsidRPr="00E62332" w:rsidRDefault="005C6927" w:rsidP="005C6927">
      <w:pPr>
        <w:pStyle w:val="Figuretitle"/>
      </w:pPr>
      <w:r w:rsidRPr="00E62332">
        <w:t>Exemple de densité spectrale de puissance d'un code PRN court (normalisée à une puissance totale de 1 W)</w:t>
      </w:r>
    </w:p>
    <w:p w:rsidR="005C6927" w:rsidRDefault="005C6927" w:rsidP="005C6927">
      <w:pPr>
        <w:jc w:val="center"/>
      </w:pPr>
      <w:r>
        <w:object w:dxaOrig="6536" w:dyaOrig="6038">
          <v:shape id="_x0000_i1078" type="#_x0000_t75" style="width:326.35pt;height:302.05pt" o:ole="">
            <v:imagedata r:id="rId113" o:title=""/>
          </v:shape>
          <o:OLEObject Type="Embed" ProgID="CorelDraw.Graphic.16" ShapeID="_x0000_i1078" DrawAspect="Content" ObjectID="_1541423576" r:id="rId114"/>
        </w:object>
      </w:r>
    </w:p>
    <w:p w:rsidR="005C6927" w:rsidRPr="00E62332" w:rsidRDefault="005C6927" w:rsidP="005C6927">
      <w:pPr>
        <w:spacing w:before="200"/>
      </w:pPr>
      <w:r w:rsidRPr="00E62332">
        <w:t>La partie supérieure de la Figure 6 représente la partie centrale de 4 MHz du spectre correspondant à l'exemple d'un code PRN court modulé par des données à 50 bit/s (qui, dans cet exemple, font l'objet d'une approximation par des données aléatoires). La partie intérieure de 3 kHz de ce spectre est agrandie afin d'illustrer les effets d'élargissement de la modulation des données sur les raies discrètes primaires du code PRN (espacement des raies de 1 kHz = 1/(période du code)). La forme de l'enveloppe de ce spectre correspond approximativement à sin</w:t>
      </w:r>
      <w:r w:rsidRPr="00E62332">
        <w:rPr>
          <w:vertAlign w:val="superscript"/>
        </w:rPr>
        <w:t>2</w:t>
      </w:r>
      <w:r w:rsidRPr="00E62332">
        <w:t>(</w:t>
      </w:r>
      <w:r w:rsidRPr="00E62332">
        <w:sym w:font="Symbol" w:char="F070"/>
      </w:r>
      <w:r w:rsidRPr="00E62332">
        <w:t>fTChip)/(</w:t>
      </w:r>
      <w:r w:rsidRPr="00E62332">
        <w:sym w:font="Symbol" w:char="F070"/>
      </w:r>
      <w:r w:rsidRPr="00E62332">
        <w:t>fTChip)</w:t>
      </w:r>
      <w:r w:rsidRPr="00E62332">
        <w:rPr>
          <w:vertAlign w:val="superscript"/>
        </w:rPr>
        <w:t>2</w:t>
      </w:r>
      <w:r w:rsidRPr="00E62332">
        <w:t>, avec une valeur de crête de –47,1 dBW/Hz et des zéros aux multiples de 1,023 MHz (le débit d'éléments = 1/TChip) à partir de la fréquence centrale.</w:t>
      </w:r>
    </w:p>
    <w:p w:rsidR="005C6927" w:rsidRPr="00E62332" w:rsidRDefault="005C6927" w:rsidP="005C6927">
      <w:r w:rsidRPr="00E62332">
        <w:t>Il convient de noter l'importance du décalage de fréquence dû à l'effet Doppler relatif pour ce qui est des incidences en termes de brouillages. Dans le cas du code PRN court pris en exemple, ces incidences sont minimales si le décalage dû à l'effet Doppler relatif entre le signal brouilleur et le signal utile est un multiple impair de 0,5 kHz. Elles tendent à être maximales si le décalage dû à l'effet Doppler relatif est nul ou s'il s'agit d'un petit entier multiple de 1 kHz.</w:t>
      </w:r>
    </w:p>
    <w:p w:rsidR="005C6927" w:rsidRPr="00E62332" w:rsidRDefault="005C6927" w:rsidP="005C6927">
      <w:pPr>
        <w:pStyle w:val="Heading2"/>
      </w:pPr>
      <w:bookmarkStart w:id="19" w:name="_Toc467049673"/>
      <w:r w:rsidRPr="00E62332">
        <w:t>6.2</w:t>
      </w:r>
      <w:r w:rsidRPr="00E62332">
        <w:tab/>
        <w:t>Aspects généraux de la modélisation dynamique détaillée pour les codes PRN courts de signaux du SRNS</w:t>
      </w:r>
      <w:bookmarkEnd w:id="19"/>
    </w:p>
    <w:p w:rsidR="005C6927" w:rsidRPr="00E62332" w:rsidRDefault="005C6927" w:rsidP="005C6927">
      <w:r w:rsidRPr="00E62332">
        <w:t xml:space="preserve">Le récepteur de l'utilisateur est supposé être un récepteur de Terre implanté en un lieu fixe, déterminé par simulation comme étant le lieu correspondant au cas le plus défavorable pour la dégradation de </w:t>
      </w:r>
      <w:r w:rsidR="00164AF7">
        <w:br/>
      </w:r>
      <w:r w:rsidRPr="00E62332">
        <w:t>(</w:t>
      </w:r>
      <w:r w:rsidRPr="00E62332">
        <w:rPr>
          <w:position w:val="-12"/>
        </w:rPr>
        <w:object w:dxaOrig="660" w:dyaOrig="360">
          <v:shape id="_x0000_i1079" type="#_x0000_t75" style="width:33.65pt;height:17.3pt" o:ole="">
            <v:imagedata r:id="rId108" o:title=""/>
          </v:shape>
          <o:OLEObject Type="Embed" ProgID="Equation.3" ShapeID="_x0000_i1079" DrawAspect="Content" ObjectID="_1541423577" r:id="rId115"/>
        </w:object>
      </w:r>
      <w:r w:rsidRPr="00E62332">
        <w:t>). Le décalage Doppler entre le signal utile et les signaux brouilleurs doit être pris en compte dans ce modèle. Les puissances reçues ainsi que les décalages Doppler imputables au déplacement du satellite sont calculées à partir de bilans de liaison dynamiques fondés sur les paramètres orbitaux des différents systèmes, les diagrammes de gain de l'antenne du satellite et de l'antenne de la station d'utilisateur ainsi que sur l'emplacement du récepteur de l'utilisateur.</w:t>
      </w:r>
    </w:p>
    <w:p w:rsidR="005C6927" w:rsidRPr="00E62332" w:rsidRDefault="005C6927" w:rsidP="005C6927">
      <w:r w:rsidRPr="00E62332">
        <w:t>En plus du décalage dû à l'effet Doppler, il peut être convenu de tenir compte d'autres facteurs lors de la coordination pour déterminer le niveau d'autobrouillage causé par les signaux à code court.</w:t>
      </w:r>
    </w:p>
    <w:p w:rsidR="005C6927" w:rsidRPr="00E62332" w:rsidRDefault="005C6927" w:rsidP="005C6927">
      <w:pPr>
        <w:pStyle w:val="Heading1"/>
      </w:pPr>
      <w:bookmarkStart w:id="20" w:name="_Toc467049674"/>
      <w:r w:rsidRPr="00E62332">
        <w:lastRenderedPageBreak/>
        <w:t>7</w:t>
      </w:r>
      <w:r w:rsidRPr="00E62332">
        <w:tab/>
        <w:t>Conclusion</w:t>
      </w:r>
      <w:bookmarkEnd w:id="20"/>
    </w:p>
    <w:p w:rsidR="005C6927" w:rsidRDefault="005C6927" w:rsidP="005C6927">
      <w:r w:rsidRPr="00E62332">
        <w:t>La méthode d'analyse décrite ci-dessus s'est avérée être utile pour les études de compatibilité entre des systèmes du SRNS et elle sera donc utile pour la coordination entre les systèmes du SRNS. Les principes sont certes simples mais on a besoin d'un modèle réaliste de tous les systèmes du SRNS pour obtenir des résultats utiles. En outre, étant donné que le SRNS a des systèmes non géostationnaires, une simulation sera vraisemblablement nécessaire pour déterminer les statistiques de brouillage entre systèmes.</w:t>
      </w:r>
    </w:p>
    <w:p w:rsidR="00164AF7" w:rsidRDefault="00164AF7" w:rsidP="005C6927"/>
    <w:p w:rsidR="00164AF7" w:rsidRPr="00E62332" w:rsidRDefault="00164AF7" w:rsidP="005C6927"/>
    <w:p w:rsidR="005C6927" w:rsidRPr="00E62332" w:rsidRDefault="005C6927" w:rsidP="009839D9">
      <w:pPr>
        <w:pStyle w:val="AnnexNoTitle"/>
      </w:pPr>
      <w:r w:rsidRPr="00E62332">
        <w:t>Annexe 2</w:t>
      </w:r>
      <w:r w:rsidRPr="00E62332">
        <w:br/>
      </w:r>
      <w:r w:rsidRPr="00E62332">
        <w:br/>
        <w:t xml:space="preserve">Information et élaboration de propositions pour évaluer le brouillage externe du SRNS et les brouillages entre plusieurs systèmes du SRNS </w:t>
      </w:r>
    </w:p>
    <w:p w:rsidR="005C6927" w:rsidRPr="00E62332" w:rsidRDefault="005C6927" w:rsidP="00A4382F">
      <w:pPr>
        <w:pStyle w:val="Normalaftertitle"/>
      </w:pPr>
      <w:r w:rsidRPr="00E62332">
        <w:t>La méthode décrite dans la présente Annexe permet de déterminer comment le bilan de brouillage SRNS peut être ventilé entre sources externes (non SRNS) et sources SRNS pour les besoins de la coordination entre les opérateurs de systèmes du SRNS. Par ailleurs, quelques considérations sont fournies concernant la coordination entre les systèmes du SRNS.</w:t>
      </w:r>
    </w:p>
    <w:p w:rsidR="005C6927" w:rsidRPr="00E62332" w:rsidRDefault="005C6927" w:rsidP="005C6927">
      <w:pPr>
        <w:pStyle w:val="Heading3"/>
      </w:pPr>
      <w:r w:rsidRPr="00E62332">
        <w:t>1</w:t>
      </w:r>
      <w:r w:rsidRPr="00E62332">
        <w:tab/>
        <w:t>Composantes du brouillage SRNS</w:t>
      </w:r>
    </w:p>
    <w:p w:rsidR="005C6927" w:rsidRPr="00E62332" w:rsidRDefault="005C6927" w:rsidP="005C6927">
      <w:r w:rsidRPr="00E62332">
        <w:t xml:space="preserve">Dans la méthode décrite dans l'Annexe 1, on utilise une valeur totale pour le brouillage externe (causé par des sources autres que les systèmes du SRNS), </w:t>
      </w:r>
      <w:r w:rsidRPr="00E62332">
        <w:rPr>
          <w:i/>
        </w:rPr>
        <w:t>I</w:t>
      </w:r>
      <w:r w:rsidRPr="00E62332">
        <w:rPr>
          <w:i/>
          <w:iCs/>
          <w:vertAlign w:val="subscript"/>
        </w:rPr>
        <w:t>ext</w:t>
      </w:r>
      <w:r w:rsidRPr="00E62332">
        <w:t>, qui est traité comme du bruit blanc additif. Les modalités de détermination de cette valeur font l'objet d'une coordination. Il peut donc s'agir simplement d'une valeur acceptée comme représentative par les parties effectuant la coordination ou cette valeur peut être calculée selon la méthode décrite dans la présente Annexe pour déterminer un niveau acceptable pour ce qui est du brouillage externe et du brouillage du SRNS. La méthode dans laquelle on utilise une valeur supposée unique pour le brouillage externe est appelée «méthode globale». La méthode examinée dans la présente Annexe, selon laquelle le bilan de brouillage est ventilé entre les différentes sources de brouillage est appelée «méthode de partage» et elle est examinée en détail dans le paragraphe ci</w:t>
      </w:r>
      <w:r w:rsidRPr="00E62332">
        <w:noBreakHyphen/>
        <w:t>après.</w:t>
      </w:r>
    </w:p>
    <w:p w:rsidR="005C6927" w:rsidRPr="00E62332" w:rsidRDefault="005C6927" w:rsidP="005C6927">
      <w:pPr>
        <w:pStyle w:val="Heading3"/>
      </w:pPr>
      <w:r w:rsidRPr="00E62332">
        <w:t>2</w:t>
      </w:r>
      <w:r w:rsidRPr="00E62332">
        <w:tab/>
        <w:t>Brouillage du SRNS: la méthode dite «de partage»</w:t>
      </w:r>
    </w:p>
    <w:p w:rsidR="005C6927" w:rsidRPr="00E62332" w:rsidRDefault="005C6927" w:rsidP="005C6927">
      <w:r w:rsidRPr="00E62332">
        <w:t>Dans cette méthode, le brouillage causé par un système brouilleur du SRNS (ou même un satellite brouilleur) au récepteur d'un autre système utile du SRNS est ventilé et la méthode est dite «de partage».</w:t>
      </w:r>
    </w:p>
    <w:p w:rsidR="005C6927" w:rsidRPr="00E62332" w:rsidRDefault="005C6927" w:rsidP="005C6927">
      <w:pPr>
        <w:rPr>
          <w:i/>
        </w:rPr>
      </w:pPr>
      <w:r w:rsidRPr="00E62332">
        <w:t xml:space="preserve">Elle consiste à déterminer la part d'un système du SRNS (ou d'un satellite) dans le niveau total (global) de brouillage acceptable et à la comparer au brouillage calculé pour ce système (ou ce satellite) du SRNS. Considérons un système du SRNS hypothétique qui peut fonctionner avec le niveau de brouillage acceptable </w:t>
      </w:r>
      <w:r w:rsidRPr="00E62332">
        <w:rPr>
          <w:i/>
          <w:iCs/>
        </w:rPr>
        <w:t>I</w:t>
      </w:r>
      <w:r w:rsidRPr="00E62332">
        <w:rPr>
          <w:i/>
          <w:iCs/>
          <w:vertAlign w:val="subscript"/>
        </w:rPr>
        <w:t>a</w:t>
      </w:r>
      <w:r w:rsidRPr="00E62332">
        <w:rPr>
          <w:i/>
          <w:iCs/>
        </w:rPr>
        <w:t>,</w:t>
      </w:r>
      <w:r w:rsidRPr="00E62332">
        <w:t xml:space="preserve"> puis décomposons cette valeur en parts de brouillage:</w:t>
      </w:r>
    </w:p>
    <w:p w:rsidR="005C6927" w:rsidRPr="00E62332" w:rsidRDefault="005C6927" w:rsidP="005C6927">
      <w:pPr>
        <w:pStyle w:val="Equation"/>
        <w:jc w:val="left"/>
      </w:pPr>
      <w:r w:rsidRPr="00E62332">
        <w:tab/>
      </w:r>
      <w:r w:rsidRPr="00E62332">
        <w:tab/>
      </w:r>
      <w:r w:rsidRPr="00E62332">
        <w:rPr>
          <w:i/>
          <w:iCs/>
        </w:rPr>
        <w:t>I</w:t>
      </w:r>
      <w:r w:rsidRPr="00E62332">
        <w:rPr>
          <w:i/>
          <w:iCs/>
          <w:vertAlign w:val="subscript"/>
        </w:rPr>
        <w:t>a</w:t>
      </w:r>
      <w:r w:rsidRPr="00E62332">
        <w:t xml:space="preserve"> = </w:t>
      </w:r>
      <w:r w:rsidRPr="00E62332">
        <w:rPr>
          <w:rFonts w:ascii="Symbol" w:hAnsi="Symbol"/>
        </w:rPr>
        <w:t></w:t>
      </w:r>
      <w:r w:rsidRPr="00E62332">
        <w:rPr>
          <w:i/>
          <w:iCs/>
          <w:vertAlign w:val="subscript"/>
        </w:rPr>
        <w:t>SRNS</w:t>
      </w:r>
      <w:r w:rsidRPr="00E62332">
        <w:rPr>
          <w:szCs w:val="24"/>
        </w:rPr>
        <w:t xml:space="preserve"> </w:t>
      </w:r>
      <w:r w:rsidRPr="00E62332">
        <w:rPr>
          <w:szCs w:val="24"/>
        </w:rPr>
        <w:sym w:font="Symbol" w:char="F0D7"/>
      </w:r>
      <w:r w:rsidRPr="00E62332">
        <w:rPr>
          <w:szCs w:val="24"/>
        </w:rPr>
        <w:t xml:space="preserve"> </w:t>
      </w:r>
      <w:r w:rsidRPr="00E62332">
        <w:rPr>
          <w:i/>
          <w:iCs/>
        </w:rPr>
        <w:t>I</w:t>
      </w:r>
      <w:r w:rsidRPr="00E62332">
        <w:rPr>
          <w:i/>
          <w:iCs/>
          <w:vertAlign w:val="subscript"/>
        </w:rPr>
        <w:t>a</w:t>
      </w:r>
      <w:r w:rsidRPr="00E62332">
        <w:rPr>
          <w:rFonts w:ascii="Symbol" w:hAnsi="Symbol"/>
        </w:rPr>
        <w:t></w:t>
      </w:r>
      <w:r w:rsidRPr="00E62332">
        <w:rPr>
          <w:rFonts w:ascii="Symbol" w:hAnsi="Symbol"/>
        </w:rPr>
        <w:t></w:t>
      </w:r>
      <w:r w:rsidRPr="00E62332">
        <w:rPr>
          <w:rFonts w:ascii="Symbol" w:hAnsi="Symbol"/>
        </w:rPr>
        <w:t></w:t>
      </w:r>
      <w:r w:rsidRPr="00E62332">
        <w:rPr>
          <w:rFonts w:ascii="Symbol" w:hAnsi="Symbol"/>
        </w:rPr>
        <w:t></w:t>
      </w:r>
      <w:r w:rsidRPr="00E62332">
        <w:rPr>
          <w:i/>
          <w:iCs/>
          <w:vertAlign w:val="subscript"/>
        </w:rPr>
        <w:t>ext</w:t>
      </w:r>
      <w:r w:rsidRPr="00E62332">
        <w:rPr>
          <w:vertAlign w:val="subscript"/>
        </w:rPr>
        <w:t>1</w:t>
      </w:r>
      <w:r w:rsidRPr="00E62332">
        <w:rPr>
          <w:szCs w:val="24"/>
        </w:rPr>
        <w:t xml:space="preserve"> </w:t>
      </w:r>
      <w:r w:rsidRPr="00E62332">
        <w:rPr>
          <w:szCs w:val="24"/>
        </w:rPr>
        <w:sym w:font="Symbol" w:char="F0D7"/>
      </w:r>
      <w:r w:rsidRPr="00E62332">
        <w:rPr>
          <w:szCs w:val="24"/>
        </w:rPr>
        <w:t xml:space="preserve"> </w:t>
      </w:r>
      <w:r w:rsidRPr="00E62332">
        <w:rPr>
          <w:i/>
          <w:iCs/>
        </w:rPr>
        <w:t>I</w:t>
      </w:r>
      <w:r w:rsidRPr="00E62332">
        <w:rPr>
          <w:i/>
          <w:iCs/>
          <w:vertAlign w:val="subscript"/>
        </w:rPr>
        <w:t>a</w:t>
      </w:r>
      <w:r w:rsidRPr="00E62332">
        <w:rPr>
          <w:vertAlign w:val="subscript"/>
        </w:rPr>
        <w:t xml:space="preserve"> </w:t>
      </w:r>
      <w:r w:rsidRPr="00E62332">
        <w:t xml:space="preserve">+ </w:t>
      </w:r>
      <w:r w:rsidRPr="00E62332">
        <w:rPr>
          <w:rFonts w:ascii="Symbol" w:hAnsi="Symbol"/>
        </w:rPr>
        <w:t></w:t>
      </w:r>
      <w:r w:rsidRPr="00E62332">
        <w:rPr>
          <w:i/>
          <w:iCs/>
          <w:vertAlign w:val="subscript"/>
        </w:rPr>
        <w:t>ext</w:t>
      </w:r>
      <w:r w:rsidRPr="00E62332">
        <w:rPr>
          <w:vertAlign w:val="subscript"/>
        </w:rPr>
        <w:t>2</w:t>
      </w:r>
      <w:r w:rsidRPr="00E62332">
        <w:rPr>
          <w:szCs w:val="24"/>
        </w:rPr>
        <w:t xml:space="preserve"> </w:t>
      </w:r>
      <w:r w:rsidRPr="00E62332">
        <w:rPr>
          <w:szCs w:val="24"/>
        </w:rPr>
        <w:sym w:font="Symbol" w:char="F0D7"/>
      </w:r>
      <w:r w:rsidRPr="00E62332">
        <w:rPr>
          <w:szCs w:val="24"/>
        </w:rPr>
        <w:t xml:space="preserve"> </w:t>
      </w:r>
      <w:r w:rsidRPr="00E62332">
        <w:rPr>
          <w:i/>
          <w:iCs/>
        </w:rPr>
        <w:t>I</w:t>
      </w:r>
      <w:r w:rsidRPr="00E62332">
        <w:rPr>
          <w:i/>
          <w:iCs/>
          <w:vertAlign w:val="subscript"/>
        </w:rPr>
        <w:t>a</w:t>
      </w:r>
    </w:p>
    <w:p w:rsidR="005C6927" w:rsidRPr="00E62332" w:rsidRDefault="005C6927" w:rsidP="005C6927">
      <w:pPr>
        <w:jc w:val="left"/>
      </w:pPr>
      <w:r w:rsidRPr="00E62332">
        <w:t>où:</w:t>
      </w:r>
    </w:p>
    <w:p w:rsidR="005C6927" w:rsidRPr="00E62332" w:rsidRDefault="005C6927" w:rsidP="005C6927">
      <w:pPr>
        <w:pStyle w:val="Equationlegend"/>
        <w:rPr>
          <w:lang w:val="fr-FR"/>
        </w:rPr>
      </w:pPr>
      <w:r w:rsidRPr="00E62332">
        <w:rPr>
          <w:rFonts w:ascii="Symbol" w:hAnsi="Symbol"/>
          <w:lang w:val="fr-FR"/>
        </w:rPr>
        <w:tab/>
      </w:r>
      <w:r w:rsidRPr="00E62332">
        <w:rPr>
          <w:rFonts w:ascii="Symbol" w:hAnsi="Symbol"/>
          <w:lang w:val="fr-FR"/>
        </w:rPr>
        <w:t></w:t>
      </w:r>
      <w:r w:rsidRPr="00E62332">
        <w:rPr>
          <w:bCs/>
          <w:i/>
          <w:iCs/>
          <w:vertAlign w:val="subscript"/>
          <w:lang w:val="fr-FR"/>
        </w:rPr>
        <w:t>SRNS</w:t>
      </w:r>
      <w:r w:rsidRPr="00E62332">
        <w:rPr>
          <w:lang w:val="fr-FR"/>
        </w:rPr>
        <w:t>:</w:t>
      </w:r>
      <w:r w:rsidRPr="00E62332">
        <w:rPr>
          <w:vertAlign w:val="subscript"/>
          <w:lang w:val="fr-FR"/>
        </w:rPr>
        <w:tab/>
      </w:r>
      <w:r w:rsidRPr="00E62332">
        <w:rPr>
          <w:lang w:val="fr-FR"/>
        </w:rPr>
        <w:t xml:space="preserve">part du brouillage acceptable imputable à l'ensemble des systèmes du SRNS </w:t>
      </w:r>
    </w:p>
    <w:p w:rsidR="005C6927" w:rsidRPr="00E62332" w:rsidRDefault="005C6927" w:rsidP="005C6927">
      <w:pPr>
        <w:pStyle w:val="Equationlegend"/>
        <w:rPr>
          <w:lang w:val="fr-FR"/>
        </w:rPr>
      </w:pPr>
      <w:r w:rsidRPr="00E62332">
        <w:rPr>
          <w:rFonts w:ascii="Symbol" w:hAnsi="Symbol"/>
          <w:lang w:val="fr-FR"/>
        </w:rPr>
        <w:tab/>
      </w:r>
      <w:r w:rsidRPr="00E62332">
        <w:rPr>
          <w:rFonts w:ascii="Symbol" w:hAnsi="Symbol"/>
          <w:lang w:val="fr-FR"/>
        </w:rPr>
        <w:t></w:t>
      </w:r>
      <w:r w:rsidRPr="00E62332">
        <w:rPr>
          <w:bCs/>
          <w:i/>
          <w:iCs/>
          <w:vertAlign w:val="subscript"/>
          <w:lang w:val="fr-FR"/>
        </w:rPr>
        <w:t>ext</w:t>
      </w:r>
      <w:r w:rsidRPr="00E62332">
        <w:rPr>
          <w:bCs/>
          <w:vertAlign w:val="subscript"/>
          <w:lang w:val="fr-FR"/>
        </w:rPr>
        <w:t>1</w:t>
      </w:r>
      <w:r w:rsidRPr="00E62332">
        <w:rPr>
          <w:lang w:val="fr-FR"/>
        </w:rPr>
        <w:t xml:space="preserve">: </w:t>
      </w:r>
      <w:r w:rsidRPr="00E62332">
        <w:rPr>
          <w:vertAlign w:val="subscript"/>
          <w:lang w:val="fr-FR"/>
        </w:rPr>
        <w:tab/>
      </w:r>
      <w:r w:rsidRPr="00E62332">
        <w:rPr>
          <w:lang w:val="fr-FR"/>
        </w:rPr>
        <w:t>part du brouillage acceptable imputable à tous les services primaires autres que le SRNS</w:t>
      </w:r>
    </w:p>
    <w:p w:rsidR="005C6927" w:rsidRPr="00E62332" w:rsidRDefault="005C6927" w:rsidP="005C6927">
      <w:pPr>
        <w:pStyle w:val="Equationlegend"/>
        <w:rPr>
          <w:lang w:val="fr-FR"/>
        </w:rPr>
      </w:pPr>
      <w:r w:rsidRPr="00E62332">
        <w:rPr>
          <w:rFonts w:ascii="Symbol" w:hAnsi="Symbol"/>
          <w:lang w:val="fr-FR"/>
        </w:rPr>
        <w:lastRenderedPageBreak/>
        <w:tab/>
      </w:r>
      <w:r w:rsidRPr="00E62332">
        <w:rPr>
          <w:rFonts w:ascii="Symbol" w:hAnsi="Symbol"/>
          <w:lang w:val="fr-FR"/>
        </w:rPr>
        <w:t></w:t>
      </w:r>
      <w:r w:rsidRPr="00E62332">
        <w:rPr>
          <w:bCs/>
          <w:i/>
          <w:iCs/>
          <w:vertAlign w:val="subscript"/>
          <w:lang w:val="fr-FR"/>
        </w:rPr>
        <w:t>ext</w:t>
      </w:r>
      <w:r w:rsidRPr="00E62332">
        <w:rPr>
          <w:bCs/>
          <w:vertAlign w:val="subscript"/>
          <w:lang w:val="fr-FR"/>
        </w:rPr>
        <w:t>2</w:t>
      </w:r>
      <w:r w:rsidRPr="00E62332">
        <w:rPr>
          <w:lang w:val="fr-FR"/>
        </w:rPr>
        <w:t xml:space="preserve">: </w:t>
      </w:r>
      <w:r w:rsidRPr="00E62332">
        <w:rPr>
          <w:vertAlign w:val="subscript"/>
          <w:lang w:val="fr-FR"/>
        </w:rPr>
        <w:tab/>
      </w:r>
      <w:r w:rsidRPr="00E62332">
        <w:rPr>
          <w:lang w:val="fr-FR"/>
        </w:rPr>
        <w:t>part du brouillage acceptable imputable à toutes les autres sources externes de brouillage et de bruit</w:t>
      </w:r>
    </w:p>
    <w:p w:rsidR="005C6927" w:rsidRPr="00E62332" w:rsidRDefault="005C6927" w:rsidP="005C6927">
      <w:pPr>
        <w:pStyle w:val="Equationlegend"/>
        <w:rPr>
          <w:lang w:val="fr-FR"/>
        </w:rPr>
      </w:pPr>
      <w:r w:rsidRPr="00E62332">
        <w:rPr>
          <w:lang w:val="fr-FR"/>
        </w:rPr>
        <w:tab/>
      </w:r>
      <w:r w:rsidRPr="00E62332">
        <w:rPr>
          <w:i/>
          <w:iCs/>
          <w:lang w:val="fr-FR"/>
        </w:rPr>
        <w:t>I</w:t>
      </w:r>
      <w:r w:rsidRPr="00E62332">
        <w:rPr>
          <w:bCs/>
          <w:i/>
          <w:iCs/>
          <w:vertAlign w:val="subscript"/>
          <w:lang w:val="fr-FR"/>
        </w:rPr>
        <w:t>a</w:t>
      </w:r>
      <w:r w:rsidRPr="00E62332">
        <w:rPr>
          <w:rFonts w:ascii="Symbol" w:hAnsi="Symbol"/>
          <w:lang w:val="fr-FR"/>
        </w:rPr>
        <w:t></w:t>
      </w:r>
      <w:r w:rsidRPr="00E62332">
        <w:rPr>
          <w:lang w:val="fr-FR"/>
        </w:rPr>
        <w:t>:</w:t>
      </w:r>
      <w:r w:rsidRPr="00E62332">
        <w:rPr>
          <w:vertAlign w:val="subscript"/>
          <w:lang w:val="fr-FR"/>
        </w:rPr>
        <w:tab/>
      </w:r>
      <w:r w:rsidRPr="00E62332">
        <w:rPr>
          <w:lang w:val="fr-FR"/>
        </w:rPr>
        <w:t>niveau acceptable de densité spectrale de puissance équivalente de brouillage causé par tous les autres services (W/Hz)</w:t>
      </w:r>
    </w:p>
    <w:p w:rsidR="005C6927" w:rsidRPr="00E62332" w:rsidRDefault="005C6927" w:rsidP="005C6927">
      <w:pPr>
        <w:pStyle w:val="Equation"/>
        <w:jc w:val="left"/>
      </w:pPr>
      <w:r w:rsidRPr="00E62332">
        <w:tab/>
      </w:r>
      <w:r w:rsidRPr="00E62332">
        <w:tab/>
      </w:r>
      <w:r w:rsidRPr="00E62332">
        <w:rPr>
          <w:rFonts w:ascii="Symbol" w:hAnsi="Symbol"/>
        </w:rPr>
        <w:t></w:t>
      </w:r>
      <w:r w:rsidRPr="00E62332">
        <w:rPr>
          <w:i/>
          <w:iCs/>
          <w:vertAlign w:val="subscript"/>
        </w:rPr>
        <w:t>SRNS</w:t>
      </w:r>
      <w:r w:rsidRPr="00E62332">
        <w:t xml:space="preserve"> + </w:t>
      </w:r>
      <w:r w:rsidRPr="00E62332">
        <w:rPr>
          <w:rFonts w:ascii="Symbol" w:hAnsi="Symbol"/>
        </w:rPr>
        <w:t></w:t>
      </w:r>
      <w:r w:rsidRPr="00E62332">
        <w:rPr>
          <w:i/>
          <w:iCs/>
          <w:vertAlign w:val="subscript"/>
        </w:rPr>
        <w:t>ext</w:t>
      </w:r>
      <w:r w:rsidRPr="00E62332">
        <w:rPr>
          <w:vertAlign w:val="subscript"/>
        </w:rPr>
        <w:t>1</w:t>
      </w:r>
      <w:r w:rsidRPr="00E62332">
        <w:t xml:space="preserve"> + </w:t>
      </w:r>
      <w:r w:rsidRPr="00E62332">
        <w:rPr>
          <w:rFonts w:ascii="Symbol" w:hAnsi="Symbol"/>
        </w:rPr>
        <w:t></w:t>
      </w:r>
      <w:r w:rsidRPr="00E62332">
        <w:rPr>
          <w:i/>
          <w:iCs/>
          <w:vertAlign w:val="subscript"/>
        </w:rPr>
        <w:t>ext</w:t>
      </w:r>
      <w:r w:rsidRPr="00E62332">
        <w:rPr>
          <w:vertAlign w:val="subscript"/>
        </w:rPr>
        <w:t>2</w:t>
      </w:r>
      <w:r w:rsidRPr="00E62332">
        <w:t xml:space="preserve"> = 1</w:t>
      </w:r>
    </w:p>
    <w:p w:rsidR="005C6927" w:rsidRPr="00E62332" w:rsidRDefault="005C6927" w:rsidP="005C6927">
      <w:r w:rsidRPr="00E62332">
        <w:t xml:space="preserve">Si </w:t>
      </w:r>
      <w:r w:rsidRPr="00E62332">
        <w:rPr>
          <w:rFonts w:ascii="Symbol" w:hAnsi="Symbol"/>
        </w:rPr>
        <w:t></w:t>
      </w:r>
      <w:r w:rsidRPr="00E62332">
        <w:rPr>
          <w:i/>
          <w:iCs/>
          <w:vertAlign w:val="subscript"/>
        </w:rPr>
        <w:t>SRNS</w:t>
      </w:r>
      <w:r w:rsidRPr="00E62332">
        <w:t xml:space="preserve"> est la part de brouillage acceptable imputable à l'ensemble des systèmes du SRNS, la part de brouillage acceptable imputable à un satellite d'un système de «référence» du SRNS, </w:t>
      </w:r>
      <w:r w:rsidRPr="00E62332">
        <w:rPr>
          <w:rFonts w:ascii="Symbol" w:hAnsi="Symbol"/>
        </w:rPr>
        <w:t></w:t>
      </w:r>
      <w:r w:rsidRPr="00E62332">
        <w:rPr>
          <w:rFonts w:ascii="Symbol" w:hAnsi="Symbol"/>
        </w:rPr>
        <w:t></w:t>
      </w:r>
      <w:r w:rsidRPr="00E62332">
        <w:rPr>
          <w:i/>
          <w:iCs/>
          <w:vertAlign w:val="subscript"/>
        </w:rPr>
        <w:t>ref</w:t>
      </w:r>
      <w:r w:rsidRPr="00E62332">
        <w:t>, s'écrit comme suit:</w:t>
      </w:r>
    </w:p>
    <w:p w:rsidR="005C6927" w:rsidRPr="00E62332" w:rsidRDefault="005C6927" w:rsidP="005C6927">
      <w:pPr>
        <w:pStyle w:val="Equation"/>
        <w:jc w:val="left"/>
      </w:pPr>
      <w:r w:rsidRPr="00E62332">
        <w:tab/>
      </w:r>
      <w:r w:rsidRPr="00E62332">
        <w:tab/>
      </w:r>
      <w:r w:rsidRPr="00E62332">
        <w:rPr>
          <w:rFonts w:ascii="Symbol" w:hAnsi="Symbol"/>
        </w:rPr>
        <w:t></w:t>
      </w:r>
      <w:r w:rsidRPr="00E62332">
        <w:rPr>
          <w:i/>
          <w:iCs/>
          <w:vertAlign w:val="subscript"/>
        </w:rPr>
        <w:t>ref</w:t>
      </w:r>
      <w:r w:rsidRPr="00E62332">
        <w:t xml:space="preserve"> = </w:t>
      </w:r>
      <w:r w:rsidRPr="00E62332">
        <w:rPr>
          <w:rFonts w:ascii="Symbol" w:hAnsi="Symbol"/>
        </w:rPr>
        <w:t></w:t>
      </w:r>
      <w:r w:rsidRPr="00E62332">
        <w:rPr>
          <w:i/>
          <w:iCs/>
          <w:vertAlign w:val="subscript"/>
        </w:rPr>
        <w:t>SRNS</w:t>
      </w:r>
      <w:r w:rsidRPr="00E62332">
        <w:t xml:space="preserve"> /</w:t>
      </w:r>
      <w:r w:rsidRPr="00E62332">
        <w:rPr>
          <w:i/>
          <w:iCs/>
        </w:rPr>
        <w:t>N</w:t>
      </w:r>
    </w:p>
    <w:p w:rsidR="005C6927" w:rsidRPr="00E62332" w:rsidRDefault="005C6927" w:rsidP="005C6927">
      <w:pPr>
        <w:keepNext/>
        <w:jc w:val="left"/>
      </w:pPr>
      <w:r w:rsidRPr="00E62332">
        <w:t>où:</w:t>
      </w:r>
    </w:p>
    <w:p w:rsidR="005C6927" w:rsidRPr="00E62332" w:rsidRDefault="005C6927" w:rsidP="005C6927">
      <w:pPr>
        <w:pStyle w:val="Equationlegend"/>
        <w:rPr>
          <w:lang w:val="fr-FR"/>
        </w:rPr>
      </w:pPr>
      <w:r w:rsidRPr="00E62332">
        <w:rPr>
          <w:rFonts w:ascii="Symbol" w:hAnsi="Symbol"/>
          <w:lang w:val="fr-FR"/>
        </w:rPr>
        <w:tab/>
      </w:r>
      <w:r w:rsidRPr="00E62332">
        <w:rPr>
          <w:rFonts w:ascii="Symbol" w:hAnsi="Symbol"/>
          <w:lang w:val="fr-FR"/>
        </w:rPr>
        <w:t></w:t>
      </w:r>
      <w:r w:rsidRPr="00E62332">
        <w:rPr>
          <w:i/>
          <w:iCs/>
          <w:vertAlign w:val="subscript"/>
          <w:lang w:val="fr-FR"/>
        </w:rPr>
        <w:t>ref</w:t>
      </w:r>
      <w:r w:rsidRPr="00E62332">
        <w:rPr>
          <w:lang w:val="fr-FR"/>
        </w:rPr>
        <w:t>:</w:t>
      </w:r>
      <w:r w:rsidRPr="00E62332">
        <w:rPr>
          <w:rFonts w:ascii="Symbol" w:hAnsi="Symbol"/>
          <w:lang w:val="fr-FR"/>
        </w:rPr>
        <w:tab/>
      </w:r>
      <w:r w:rsidRPr="00E62332">
        <w:rPr>
          <w:lang w:val="fr-FR"/>
        </w:rPr>
        <w:t xml:space="preserve">part du brouillage acceptable imputable à un satellite du SRNS </w:t>
      </w:r>
    </w:p>
    <w:p w:rsidR="005C6927" w:rsidRPr="00E62332" w:rsidRDefault="005C6927" w:rsidP="005C6927">
      <w:pPr>
        <w:pStyle w:val="Equationlegend"/>
        <w:rPr>
          <w:lang w:val="fr-FR"/>
        </w:rPr>
      </w:pPr>
      <w:r w:rsidRPr="00E62332">
        <w:rPr>
          <w:rFonts w:ascii="Symbol" w:hAnsi="Symbol"/>
          <w:lang w:val="fr-FR"/>
        </w:rPr>
        <w:tab/>
      </w:r>
      <w:r w:rsidRPr="00E62332">
        <w:rPr>
          <w:rFonts w:ascii="Symbol" w:hAnsi="Symbol"/>
          <w:lang w:val="fr-FR"/>
        </w:rPr>
        <w:t></w:t>
      </w:r>
      <w:r w:rsidRPr="00E62332">
        <w:rPr>
          <w:i/>
          <w:iCs/>
          <w:vertAlign w:val="subscript"/>
          <w:lang w:val="fr-FR"/>
        </w:rPr>
        <w:t>SRNS</w:t>
      </w:r>
      <w:r w:rsidRPr="00E62332">
        <w:rPr>
          <w:lang w:val="fr-FR"/>
        </w:rPr>
        <w:t>:</w:t>
      </w:r>
      <w:r w:rsidRPr="00E62332">
        <w:rPr>
          <w:vertAlign w:val="subscript"/>
          <w:lang w:val="fr-FR"/>
        </w:rPr>
        <w:t xml:space="preserve"> </w:t>
      </w:r>
      <w:r w:rsidRPr="00E62332">
        <w:rPr>
          <w:vertAlign w:val="subscript"/>
          <w:lang w:val="fr-FR"/>
        </w:rPr>
        <w:tab/>
      </w:r>
      <w:r w:rsidRPr="00E62332">
        <w:rPr>
          <w:lang w:val="fr-FR"/>
        </w:rPr>
        <w:t>part du brouillage acceptable imputable à l'ensemble des systèmes du SRNS</w:t>
      </w:r>
    </w:p>
    <w:p w:rsidR="005C6927" w:rsidRPr="00E62332" w:rsidRDefault="005C6927" w:rsidP="005C6927">
      <w:pPr>
        <w:pStyle w:val="Equationlegend"/>
        <w:rPr>
          <w:lang w:val="fr-FR"/>
        </w:rPr>
      </w:pPr>
      <w:r w:rsidRPr="00E62332">
        <w:rPr>
          <w:lang w:val="fr-FR"/>
        </w:rPr>
        <w:tab/>
      </w:r>
      <w:r w:rsidRPr="00E62332">
        <w:rPr>
          <w:i/>
          <w:iCs/>
          <w:lang w:val="fr-FR"/>
        </w:rPr>
        <w:t>N</w:t>
      </w:r>
      <w:r w:rsidRPr="00E62332">
        <w:rPr>
          <w:lang w:val="fr-FR"/>
        </w:rPr>
        <w:t>:</w:t>
      </w:r>
      <w:r w:rsidRPr="00E62332">
        <w:rPr>
          <w:lang w:val="fr-FR"/>
        </w:rPr>
        <w:tab/>
        <w:t xml:space="preserve">où, comme estimation prudente pour des constellations non GSO du SRNS qui ne tient pas compte des diagrammes de gain de l'antenne de l'émetteur et de l'antenne du récepteur, on fixe </w:t>
      </w:r>
      <w:r w:rsidRPr="00E62332">
        <w:rPr>
          <w:position w:val="-14"/>
          <w:lang w:val="fr-FR"/>
        </w:rPr>
        <w:object w:dxaOrig="2420" w:dyaOrig="440">
          <v:shape id="_x0000_i1080" type="#_x0000_t75" style="width:121.1pt;height:21.95pt" o:ole="">
            <v:imagedata r:id="rId116" o:title=""/>
          </v:shape>
          <o:OLEObject Type="Embed" ProgID="Equation.3" ShapeID="_x0000_i1080" DrawAspect="Content" ObjectID="_1541423578" r:id="rId117"/>
        </w:object>
      </w:r>
      <w:r w:rsidRPr="00E62332">
        <w:rPr>
          <w:lang w:val="fr-FR"/>
        </w:rPr>
        <w:t xml:space="preserve">, </w:t>
      </w:r>
      <w:r w:rsidRPr="00E62332">
        <w:rPr>
          <w:i/>
          <w:iCs/>
          <w:position w:val="-12"/>
          <w:lang w:val="fr-FR"/>
        </w:rPr>
        <w:object w:dxaOrig="560" w:dyaOrig="420">
          <v:shape id="_x0000_i1081" type="#_x0000_t75" style="width:27.6pt;height:20.55pt" o:ole="">
            <v:imagedata r:id="rId118" o:title=""/>
          </v:shape>
          <o:OLEObject Type="Embed" ProgID="Equation.3" ShapeID="_x0000_i1081" DrawAspect="Content" ObjectID="_1541423579" r:id="rId119"/>
        </w:object>
      </w:r>
      <w:r w:rsidRPr="00E62332">
        <w:rPr>
          <w:lang w:val="fr-FR"/>
        </w:rPr>
        <w:t xml:space="preserve"> étant le nombre maximum de satellites visibles et </w:t>
      </w:r>
      <w:r w:rsidRPr="00E62332">
        <w:rPr>
          <w:i/>
          <w:iCs/>
          <w:position w:val="-14"/>
          <w:lang w:val="fr-FR"/>
        </w:rPr>
        <w:object w:dxaOrig="560" w:dyaOrig="440">
          <v:shape id="_x0000_i1082" type="#_x0000_t75" style="width:27.6pt;height:21.95pt" o:ole="">
            <v:imagedata r:id="rId120" o:title=""/>
          </v:shape>
          <o:OLEObject Type="Embed" ProgID="Equation.3" ShapeID="_x0000_i1082" DrawAspect="Content" ObjectID="_1541423580" r:id="rId121"/>
        </w:object>
      </w:r>
      <w:r w:rsidRPr="00E62332">
        <w:rPr>
          <w:lang w:val="fr-FR"/>
        </w:rPr>
        <w:t xml:space="preserve"> le nombre total de satellites de la constellation de référence. </w:t>
      </w:r>
    </w:p>
    <w:p w:rsidR="005C6927" w:rsidRPr="00E62332" w:rsidRDefault="005C6927" w:rsidP="005C6927">
      <w:r w:rsidRPr="00E62332">
        <w:t xml:space="preserve">A noter également que le brouillage non SRNS acceptable total est </w:t>
      </w:r>
      <w:r w:rsidRPr="00E62332">
        <w:rPr>
          <w:i/>
          <w:iCs/>
        </w:rPr>
        <w:t>I</w:t>
      </w:r>
      <w:r w:rsidRPr="00E62332">
        <w:rPr>
          <w:i/>
          <w:iCs/>
          <w:vertAlign w:val="subscript"/>
        </w:rPr>
        <w:t>ext</w:t>
      </w:r>
      <w:r w:rsidRPr="00E62332">
        <w:rPr>
          <w:vertAlign w:val="subscript"/>
        </w:rPr>
        <w:t xml:space="preserve"> </w:t>
      </w:r>
      <w:r w:rsidRPr="00E62332">
        <w:t xml:space="preserve">= </w:t>
      </w:r>
      <w:r w:rsidRPr="00E62332">
        <w:rPr>
          <w:rFonts w:ascii="Symbol" w:hAnsi="Symbol"/>
        </w:rPr>
        <w:t></w:t>
      </w:r>
      <w:r w:rsidRPr="00E62332">
        <w:rPr>
          <w:i/>
          <w:iCs/>
          <w:vertAlign w:val="subscript"/>
        </w:rPr>
        <w:t>ext</w:t>
      </w:r>
      <w:r w:rsidRPr="00E62332">
        <w:rPr>
          <w:vertAlign w:val="subscript"/>
        </w:rPr>
        <w:t xml:space="preserve">1 </w:t>
      </w:r>
      <w:r w:rsidRPr="00E62332">
        <w:rPr>
          <w:sz w:val="8"/>
          <w:szCs w:val="8"/>
        </w:rPr>
        <w:t xml:space="preserve">* </w:t>
      </w:r>
      <w:r w:rsidRPr="00E62332">
        <w:rPr>
          <w:i/>
          <w:iCs/>
        </w:rPr>
        <w:t>I</w:t>
      </w:r>
      <w:r w:rsidRPr="00E62332">
        <w:rPr>
          <w:i/>
          <w:iCs/>
          <w:vertAlign w:val="subscript"/>
        </w:rPr>
        <w:t>a</w:t>
      </w:r>
      <w:r w:rsidRPr="00E62332">
        <w:rPr>
          <w:vertAlign w:val="subscript"/>
        </w:rPr>
        <w:t xml:space="preserve"> </w:t>
      </w:r>
      <w:r w:rsidRPr="00E62332">
        <w:t xml:space="preserve">+ </w:t>
      </w:r>
      <w:r w:rsidRPr="00E62332">
        <w:rPr>
          <w:rFonts w:ascii="Symbol" w:hAnsi="Symbol"/>
        </w:rPr>
        <w:t></w:t>
      </w:r>
      <w:r w:rsidRPr="00E62332">
        <w:rPr>
          <w:i/>
          <w:iCs/>
          <w:vertAlign w:val="subscript"/>
        </w:rPr>
        <w:t>ext</w:t>
      </w:r>
      <w:r w:rsidRPr="00E62332">
        <w:rPr>
          <w:vertAlign w:val="subscript"/>
        </w:rPr>
        <w:t xml:space="preserve">2 </w:t>
      </w:r>
      <w:r w:rsidRPr="00E62332">
        <w:rPr>
          <w:sz w:val="8"/>
          <w:szCs w:val="8"/>
        </w:rPr>
        <w:t xml:space="preserve">* </w:t>
      </w:r>
      <w:r w:rsidRPr="00E62332">
        <w:rPr>
          <w:i/>
          <w:iCs/>
        </w:rPr>
        <w:t>I</w:t>
      </w:r>
      <w:r w:rsidRPr="00E62332">
        <w:rPr>
          <w:i/>
          <w:iCs/>
          <w:vertAlign w:val="subscript"/>
        </w:rPr>
        <w:t>a</w:t>
      </w:r>
      <w:r w:rsidRPr="00E62332">
        <w:t xml:space="preserve">. </w:t>
      </w:r>
    </w:p>
    <w:p w:rsidR="005C6927" w:rsidRPr="00E62332" w:rsidRDefault="005C6927" w:rsidP="005C6927">
      <w:r w:rsidRPr="00E62332">
        <w:t>On peut appliquer une méthode similaire à d'autres services; par exemple le service fixe par satellite utilise un plan de partage de ce type.</w:t>
      </w:r>
    </w:p>
    <w:p w:rsidR="005C6927" w:rsidRPr="00E62332" w:rsidRDefault="005C6927" w:rsidP="005C6927">
      <w:r w:rsidRPr="00E62332">
        <w:t>Le principal problème de cette méthode est qu'au départ il faut déterminer la part de brouillage acceptable imputable aux différents services et systèmes et non le niveau seuil du brouillage cumulatif. Une part acceptable du brouillage imputable à chaque service doit être étudiée et déterminée à l'avance.</w:t>
      </w:r>
    </w:p>
    <w:p w:rsidR="005C6927" w:rsidRPr="00E62332" w:rsidRDefault="005C6927" w:rsidP="005C6927">
      <w:r w:rsidRPr="00E62332">
        <w:t>Les parts de brouillage ci</w:t>
      </w:r>
      <w:r w:rsidRPr="00E62332">
        <w:noBreakHyphen/>
        <w:t xml:space="preserve">après pourraient être considérées comme un exemple: </w:t>
      </w:r>
      <w:r w:rsidRPr="00E62332">
        <w:rPr>
          <w:rFonts w:ascii="Symbol" w:hAnsi="Symbol"/>
        </w:rPr>
        <w:t></w:t>
      </w:r>
      <w:r w:rsidRPr="00E62332">
        <w:rPr>
          <w:i/>
          <w:iCs/>
          <w:vertAlign w:val="subscript"/>
        </w:rPr>
        <w:t>SRNS</w:t>
      </w:r>
      <w:r w:rsidRPr="00E62332">
        <w:t xml:space="preserve"> = 0,89 pour le SRNS,</w:t>
      </w:r>
      <w:r w:rsidRPr="00E62332">
        <w:rPr>
          <w:rFonts w:ascii="Symbol" w:hAnsi="Symbol"/>
        </w:rPr>
        <w:t></w:t>
      </w:r>
      <w:r w:rsidRPr="00E62332">
        <w:rPr>
          <w:rFonts w:ascii="Symbol" w:hAnsi="Symbol"/>
        </w:rPr>
        <w:t></w:t>
      </w:r>
      <w:r w:rsidRPr="00E62332">
        <w:rPr>
          <w:i/>
          <w:iCs/>
          <w:vertAlign w:val="subscript"/>
        </w:rPr>
        <w:t>ext</w:t>
      </w:r>
      <w:r w:rsidRPr="00E62332">
        <w:rPr>
          <w:vertAlign w:val="subscript"/>
        </w:rPr>
        <w:t>1</w:t>
      </w:r>
      <w:r w:rsidRPr="00E62332">
        <w:t xml:space="preserve"> = 0,1 pour les services primaires autres que le SRNS et </w:t>
      </w:r>
      <w:r w:rsidRPr="00E62332">
        <w:rPr>
          <w:rFonts w:ascii="Symbol" w:hAnsi="Symbol"/>
        </w:rPr>
        <w:t></w:t>
      </w:r>
      <w:r w:rsidRPr="00E62332">
        <w:rPr>
          <w:i/>
          <w:iCs/>
          <w:vertAlign w:val="subscript"/>
        </w:rPr>
        <w:t>ext</w:t>
      </w:r>
      <w:r w:rsidRPr="00E62332">
        <w:rPr>
          <w:vertAlign w:val="subscript"/>
        </w:rPr>
        <w:t>2</w:t>
      </w:r>
      <w:r w:rsidRPr="00E62332">
        <w:t> = 0,01 pour des sources de brouillage autres que le SRNS.</w:t>
      </w:r>
    </w:p>
    <w:p w:rsidR="005C6927" w:rsidRDefault="005C6927" w:rsidP="005C6927">
      <w:pPr>
        <w:jc w:val="left"/>
      </w:pPr>
    </w:p>
    <w:p w:rsidR="00164AF7" w:rsidRDefault="00164AF7" w:rsidP="005C6927">
      <w:pPr>
        <w:jc w:val="left"/>
      </w:pPr>
    </w:p>
    <w:p w:rsidR="00164AF7" w:rsidRDefault="00164AF7" w:rsidP="005C6927">
      <w:pPr>
        <w:jc w:val="left"/>
      </w:pPr>
    </w:p>
    <w:p w:rsidR="00164AF7" w:rsidRDefault="00164AF7" w:rsidP="005C6927">
      <w:pPr>
        <w:jc w:val="left"/>
      </w:pPr>
    </w:p>
    <w:p w:rsidR="00164AF7" w:rsidRDefault="00164AF7" w:rsidP="005C6927">
      <w:pPr>
        <w:jc w:val="left"/>
      </w:pPr>
    </w:p>
    <w:p w:rsidR="00164AF7" w:rsidRDefault="00164AF7" w:rsidP="005C6927">
      <w:pPr>
        <w:jc w:val="left"/>
      </w:pPr>
    </w:p>
    <w:p w:rsidR="00164AF7" w:rsidRPr="00E62332" w:rsidRDefault="00164AF7" w:rsidP="005C6927">
      <w:pPr>
        <w:jc w:val="left"/>
      </w:pPr>
    </w:p>
    <w:p w:rsidR="005C6927" w:rsidRPr="00E62332" w:rsidRDefault="005C6927" w:rsidP="009839D9">
      <w:pPr>
        <w:pStyle w:val="AnnexNoTitle"/>
      </w:pPr>
      <w:r w:rsidRPr="00E62332">
        <w:lastRenderedPageBreak/>
        <w:t>Annexe 3</w:t>
      </w:r>
      <w:r w:rsidRPr="00E62332">
        <w:br/>
      </w:r>
      <w:r w:rsidRPr="00E62332">
        <w:br/>
        <w:t>Indications concernant la coordination entre les systèmes du SRNS</w:t>
      </w:r>
    </w:p>
    <w:p w:rsidR="005C6927" w:rsidRPr="00E62332" w:rsidRDefault="005C6927" w:rsidP="00A4382F">
      <w:pPr>
        <w:pStyle w:val="Normalaftertitle"/>
      </w:pPr>
      <w:r w:rsidRPr="00E62332">
        <w:t>La présente Annexe donne quelques indications sur les questions générales relatives aux critères et à la méthode de coordination, auxquelles doit réfléchir tout opérateur d'un système du SRNS qui doit coordonner le système qu'il prévoit d'exploiter avec d'autres systèmes du SRNS.</w:t>
      </w:r>
    </w:p>
    <w:p w:rsidR="005C6927" w:rsidRPr="00E62332" w:rsidRDefault="005C6927" w:rsidP="005C6927">
      <w:pPr>
        <w:pStyle w:val="Heading3"/>
      </w:pPr>
      <w:r w:rsidRPr="00E62332">
        <w:t>1</w:t>
      </w:r>
      <w:r w:rsidRPr="00E62332">
        <w:tab/>
        <w:t>Quels systèmes du SRNS doivent être pris en compte dans les calculs?</w:t>
      </w:r>
    </w:p>
    <w:p w:rsidR="005C6927" w:rsidRPr="00E62332" w:rsidRDefault="005C6927" w:rsidP="005C6927">
      <w:r w:rsidRPr="00E62332">
        <w:t>Selon les règles de l'UIT, les systèmes du SRNS pour lesquels la coordination doit être effectuée avec tout nouveau système du SRNS qu'il est envisagé d'exploiter sont ceux pour lesquels les fiches de notification correspondantes soumises à l'UIT font apparaître un chevauchement de fréquence et pour lesquels les demandes de coordination (ou les renseignements de notification pour les systèmes non géostationnaires soumis avant le 1er janvier 2005) ont été reçues par le Bureau des radiocommunications avant ceux du nouveau système qu'il est envisagé d'exploiter. Tous ces systèmes devront peut-être être pris en compte dans les calculs s'ils sont effectivement déployés.</w:t>
      </w:r>
    </w:p>
    <w:p w:rsidR="005C6927" w:rsidRPr="00E62332" w:rsidRDefault="005C6927" w:rsidP="005C6927">
      <w:r w:rsidRPr="00E62332">
        <w:t>Les dernières versions des Recommandations UIT</w:t>
      </w:r>
      <w:r w:rsidRPr="00E62332">
        <w:noBreakHyphen/>
        <w:t>R donnent des informations sur certains systèmes du SRNS qui ont été notifiés à l'UIT</w:t>
      </w:r>
      <w:r w:rsidRPr="00E62332">
        <w:noBreakHyphen/>
        <w:t>R. Conformément à la Résolution 610 (CMR</w:t>
      </w:r>
      <w:r w:rsidRPr="00E62332">
        <w:noBreakHyphen/>
        <w:t>03) intitulée «</w:t>
      </w:r>
      <w:r w:rsidRPr="00E62332">
        <w:rPr>
          <w:i/>
          <w:iCs/>
        </w:rPr>
        <w:t>Coordination et règlement bilatéral des problèmes de compatibilité technique pour les réseaux et systèmes du service de radionavigation par satellite dans les bandes 1</w:t>
      </w:r>
      <w:r w:rsidRPr="00E62332">
        <w:rPr>
          <w:rFonts w:ascii="Tms Rmn" w:hAnsi="Tms Rmn"/>
          <w:i/>
          <w:iCs/>
          <w:sz w:val="12"/>
        </w:rPr>
        <w:t> </w:t>
      </w:r>
      <w:r w:rsidRPr="00E62332">
        <w:rPr>
          <w:i/>
          <w:iCs/>
        </w:rPr>
        <w:t>164-1</w:t>
      </w:r>
      <w:r w:rsidRPr="00E62332">
        <w:rPr>
          <w:rFonts w:ascii="Tms Rmn" w:hAnsi="Tms Rmn"/>
          <w:i/>
          <w:iCs/>
          <w:sz w:val="12"/>
        </w:rPr>
        <w:t> </w:t>
      </w:r>
      <w:r w:rsidRPr="00E62332">
        <w:rPr>
          <w:i/>
          <w:iCs/>
        </w:rPr>
        <w:t>300 MHz, 1</w:t>
      </w:r>
      <w:r w:rsidRPr="00E62332">
        <w:rPr>
          <w:rFonts w:ascii="Tms Rmn" w:hAnsi="Tms Rmn"/>
          <w:i/>
          <w:iCs/>
          <w:sz w:val="12"/>
        </w:rPr>
        <w:t> </w:t>
      </w:r>
      <w:r w:rsidRPr="00E62332">
        <w:rPr>
          <w:i/>
          <w:iCs/>
        </w:rPr>
        <w:t>559-1</w:t>
      </w:r>
      <w:r>
        <w:rPr>
          <w:rFonts w:ascii="Tms Rmn" w:hAnsi="Tms Rmn"/>
          <w:i/>
          <w:iCs/>
          <w:sz w:val="12"/>
        </w:rPr>
        <w:t> </w:t>
      </w:r>
      <w:r w:rsidRPr="00E62332">
        <w:rPr>
          <w:i/>
          <w:iCs/>
        </w:rPr>
        <w:t>610</w:t>
      </w:r>
      <w:r>
        <w:rPr>
          <w:i/>
          <w:iCs/>
        </w:rPr>
        <w:t> </w:t>
      </w:r>
      <w:r w:rsidRPr="00E62332">
        <w:rPr>
          <w:i/>
          <w:iCs/>
        </w:rPr>
        <w:t>MHz et 5</w:t>
      </w:r>
      <w:r w:rsidRPr="00E62332">
        <w:rPr>
          <w:rFonts w:ascii="Tms Rmn" w:hAnsi="Tms Rmn"/>
          <w:i/>
          <w:iCs/>
          <w:sz w:val="12"/>
        </w:rPr>
        <w:t> </w:t>
      </w:r>
      <w:r w:rsidRPr="00E62332">
        <w:rPr>
          <w:i/>
          <w:iCs/>
        </w:rPr>
        <w:t>010-5</w:t>
      </w:r>
      <w:r w:rsidRPr="00E62332">
        <w:rPr>
          <w:rFonts w:ascii="Tms Rmn" w:hAnsi="Tms Rmn"/>
          <w:i/>
          <w:iCs/>
          <w:sz w:val="12"/>
        </w:rPr>
        <w:t> </w:t>
      </w:r>
      <w:r w:rsidRPr="00E62332">
        <w:rPr>
          <w:i/>
          <w:iCs/>
        </w:rPr>
        <w:t>030 MHz</w:t>
      </w:r>
      <w:r w:rsidRPr="00E62332">
        <w:t xml:space="preserve">», les administrations peuvent, pendant le processus de coordination, échanger des informations sur l'évolution du déploiement des systèmes du SRNS que l'on envisage d'exploiter. Ces informations peuvent permettre de préciser si un système particulier du SRNS, avec lequel la coordination doit être effectuée, doit être pris en compte dans les calculs. Plus précisément, le point 1 du </w:t>
      </w:r>
      <w:r w:rsidRPr="00E62332">
        <w:rPr>
          <w:i/>
          <w:iCs/>
        </w:rPr>
        <w:t>décide</w:t>
      </w:r>
      <w:r w:rsidRPr="00E62332">
        <w:t xml:space="preserve"> de ladite Résolution précise qu'une administration qui a notifié un système ou un réseau du SRNS dans les bandes considérées doit, à la demande de l'administration qui répond, faire savoir à cette dernière (avec copie au Bureau) si elle a respecté les critères énumérés dans l'Annexe de la Résolution 610 (CMR</w:t>
      </w:r>
      <w:r w:rsidRPr="00E62332">
        <w:noBreakHyphen/>
        <w:t>03).</w:t>
      </w:r>
    </w:p>
    <w:p w:rsidR="005C6927" w:rsidRPr="00E62332" w:rsidRDefault="005C6927" w:rsidP="005C6927">
      <w:r w:rsidRPr="00E62332">
        <w:t>Les critères visés sont notamment les suivants:</w:t>
      </w:r>
    </w:p>
    <w:p w:rsidR="005C6927" w:rsidRPr="00E62332" w:rsidRDefault="005C6927" w:rsidP="005C6927">
      <w:pPr>
        <w:pStyle w:val="enumlev1"/>
      </w:pPr>
      <w:r w:rsidRPr="00E62332">
        <w:t>i)</w:t>
      </w:r>
      <w:r w:rsidRPr="00E62332">
        <w:tab/>
        <w:t>soumission des renseignements appropriés pour la publication anticipée;</w:t>
      </w:r>
    </w:p>
    <w:p w:rsidR="005C6927" w:rsidRPr="00E62332" w:rsidRDefault="005C6927" w:rsidP="005C6927">
      <w:pPr>
        <w:pStyle w:val="enumlev1"/>
      </w:pPr>
      <w:r w:rsidRPr="00E62332">
        <w:t>ii)</w:t>
      </w:r>
      <w:r w:rsidRPr="00E62332">
        <w:tab/>
        <w:t>éléments attestant clairement l'existence d'un accord contraignant relatif à la construction ou à l'achat des satellites du système ou éléments attestant l'existence d'arrangements garantissant le financement du système; et</w:t>
      </w:r>
    </w:p>
    <w:p w:rsidR="005C6927" w:rsidRPr="00E62332" w:rsidRDefault="005C6927" w:rsidP="005C6927">
      <w:pPr>
        <w:pStyle w:val="enumlev1"/>
      </w:pPr>
      <w:r w:rsidRPr="00E62332">
        <w:t>iii)</w:t>
      </w:r>
      <w:r w:rsidRPr="00E62332">
        <w:tab/>
        <w:t>éléments attestant clairement l'existence d'un accord contraignant relatif au lancement des satellites.</w:t>
      </w:r>
    </w:p>
    <w:p w:rsidR="005C6927" w:rsidRPr="00E62332" w:rsidRDefault="005C6927" w:rsidP="005C6927">
      <w:pPr>
        <w:pStyle w:val="Heading3"/>
      </w:pPr>
      <w:r w:rsidRPr="00E62332">
        <w:t>2</w:t>
      </w:r>
      <w:r w:rsidRPr="00E62332">
        <w:tab/>
        <w:t>Lorsque les réseaux notifiés doivent être pris en compte, dans quel ordre devraient-ils l'être (en fonction de la date de la demande de coordination ou selon d'autres critères)?</w:t>
      </w:r>
    </w:p>
    <w:p w:rsidR="005C6927" w:rsidRPr="00E62332" w:rsidRDefault="005C6927" w:rsidP="005C6927">
      <w:r w:rsidRPr="00E62332">
        <w:rPr>
          <w:iCs/>
        </w:rPr>
        <w:t xml:space="preserve">Conformément aux points </w:t>
      </w:r>
      <w:r w:rsidRPr="00E62332">
        <w:t xml:space="preserve">1, 2, 3 et 4 du </w:t>
      </w:r>
      <w:r w:rsidRPr="00E62332">
        <w:rPr>
          <w:i/>
          <w:iCs/>
        </w:rPr>
        <w:t xml:space="preserve">décide </w:t>
      </w:r>
      <w:r w:rsidRPr="00E62332">
        <w:t>de la Résolution 610 (CMR-03), il faut d'abord commencer par régler les problèmes de compatibilité entre systèmes, pour les systèmes qui respectent les critères de l'Annexe de ladite Résolution. Les administrations peuvent effectuer la coordination entre plus de deux systèmes dans un ordre qui est indépendant des dates de soumission des notifications des différents systèmes, selon les impératifs de la situation. Les administrations peuvent aussi convenir de coordonner les critères de brouillage.</w:t>
      </w:r>
    </w:p>
    <w:p w:rsidR="005C6927" w:rsidRPr="00E62332" w:rsidRDefault="005C6927" w:rsidP="005C6927">
      <w:pPr>
        <w:keepNext/>
        <w:keepLines/>
      </w:pPr>
      <w:r w:rsidRPr="00E62332">
        <w:lastRenderedPageBreak/>
        <w:t>Dans les cas où la coordination entre plusieurs systèmes au titre de la Section II de l'Article 9 du RR fait intervenir plus de deux systèmes du SRNS, il peut être utile d'examiner les problèmes qui se posent pendant des réunions multilatérales auxquelles participent toutes les parties et pas uniquement pendant les réunions bilatérales des deux administrations concernées.</w:t>
      </w:r>
    </w:p>
    <w:p w:rsidR="005C6927" w:rsidRPr="00E62332" w:rsidRDefault="005C6927" w:rsidP="006D0F26">
      <w:r w:rsidRPr="00E62332">
        <w:t>En effet, par exemple, si l'on envisage d'exploiter les systèmes A, B et C dans une bande donnée située à l'intérieur d'une attribution du SRNS, sans qu'il soit nécessaire d'effectuer la coordination du système B avec le système A, le système C devant effectuer la coordination avec les systèmes A et</w:t>
      </w:r>
      <w:r w:rsidR="006D0F26">
        <w:t> </w:t>
      </w:r>
      <w:r w:rsidRPr="00E62332">
        <w:t>B, les accords qu'auraient pu conclure B et C devront peut-être individuellement tenir compte de tout accord éventuel entre A et B ou entre A et C.</w:t>
      </w:r>
    </w:p>
    <w:p w:rsidR="005C6927" w:rsidRPr="00E62332" w:rsidRDefault="005C6927" w:rsidP="005C6927">
      <w:pPr>
        <w:pStyle w:val="Heading3"/>
      </w:pPr>
      <w:r w:rsidRPr="00E62332">
        <w:t>3</w:t>
      </w:r>
      <w:r w:rsidRPr="00E62332">
        <w:tab/>
        <w:t xml:space="preserve">Quand la coordination doit-elle être entreprise et quelles caractéristiques doivent être utilisées? </w:t>
      </w:r>
    </w:p>
    <w:p w:rsidR="005C6927" w:rsidRPr="00E62332" w:rsidRDefault="005C6927" w:rsidP="005C6927">
      <w:r w:rsidRPr="00E62332">
        <w:t>Les caractéristiques à utiliser au départ pour un système particulier sont celles indiquées dans les notifications soumises à l'UIT. Les calculs des brouillages entre systèmes devraient toutefois être fondés sur les caractéristiques réelles des systèmes que les administrations échangeront pendant le processus de coordination. Les caractéristiques à fournir pour les calculs sont habituellement plus détaillées que les caractéristiques fondamentales figurant dans la notification correspondante soumise à l'UIT et elles doivent être compatibles avec l'enveloppe de caractéristiques définie dans cette notification.</w:t>
      </w:r>
    </w:p>
    <w:p w:rsidR="005C6927" w:rsidRPr="00E62332" w:rsidRDefault="005C6927" w:rsidP="005C6927">
      <w:pPr>
        <w:pStyle w:val="Heading3"/>
      </w:pPr>
      <w:r w:rsidRPr="00E62332">
        <w:t>4</w:t>
      </w:r>
      <w:r w:rsidRPr="00E62332">
        <w:tab/>
        <w:t xml:space="preserve">Comment le paramètre </w:t>
      </w:r>
      <w:r w:rsidRPr="00E62332">
        <w:rPr>
          <w:i/>
          <w:iCs/>
        </w:rPr>
        <w:t>I</w:t>
      </w:r>
      <w:r w:rsidRPr="00E62332">
        <w:rPr>
          <w:i/>
          <w:iCs/>
          <w:vertAlign w:val="subscript"/>
        </w:rPr>
        <w:t>ext</w:t>
      </w:r>
      <w:r w:rsidRPr="00E62332">
        <w:t xml:space="preserve"> dont il est question dans les Annexes 1 et 2 peut-il être évalué?</w:t>
      </w:r>
    </w:p>
    <w:p w:rsidR="005C6927" w:rsidRPr="00E62332" w:rsidRDefault="005C6927" w:rsidP="005C6927">
      <w:r w:rsidRPr="00E62332">
        <w:t xml:space="preserve">Le brouillage causé par d'autres services, </w:t>
      </w:r>
      <w:r w:rsidRPr="00E62332">
        <w:rPr>
          <w:i/>
        </w:rPr>
        <w:t>I</w:t>
      </w:r>
      <w:r w:rsidRPr="00E62332">
        <w:rPr>
          <w:i/>
          <w:iCs/>
          <w:vertAlign w:val="subscript"/>
        </w:rPr>
        <w:t>ext</w:t>
      </w:r>
      <w:r w:rsidRPr="00E62332">
        <w:t>, a, dans certains cas, été pris en compte dans une recommandation sur la qualité de fonctionnement. En d'autres termes, lorsqu'un système du SRNS est désigné, certaines quantités de brouillage causé par d'autres services coprimaires exploités dans la même bande doivent être prises en compte, dans une mesure qui varie d'une bande à une autre. Dans certains cas, des limites réglementaires fondées sur des études sont imposées aux autres services fonctionnant dans la même bande. Ces limites peuvent, par exemple, être des limites de p.i.r.e. imposées aux services de Terre. Toutefois, étant donné que le terminal d'utilisateur du SRNS est un terminal mobile, il conviendrait de tenir compte de l'augmentation globale du brouillage dans la bande causé par toutes les sources.</w:t>
      </w:r>
    </w:p>
    <w:p w:rsidR="005C6927" w:rsidRPr="00E62332" w:rsidRDefault="005C6927" w:rsidP="005C6927">
      <w:r w:rsidRPr="00E62332">
        <w:t xml:space="preserve">Selon les méthodes proposées dans les Annexes 1 et 2, le brouillage causé par des services autres que le SRNS est modélisé comme une source de bruit caractérisée par une valeur constante de la densité spectrale de puissance de bruit équivalente, </w:t>
      </w:r>
      <w:r w:rsidRPr="00E62332">
        <w:rPr>
          <w:i/>
          <w:iCs/>
        </w:rPr>
        <w:t>I</w:t>
      </w:r>
      <w:r w:rsidRPr="00E62332">
        <w:rPr>
          <w:i/>
          <w:iCs/>
          <w:vertAlign w:val="subscript"/>
        </w:rPr>
        <w:t>ext</w:t>
      </w:r>
      <w:r w:rsidRPr="00E62332">
        <w:t>. Ce paramètre, censé tenir compte de toutes les sources radioélectriques en dehors du SRNS, peut englober le brouillage dans la bande et hors bande d'autres services radioélectriques. Comme indiqué dans l'Annexe 1, cette méthode est tout indiquée pour modéliser des sources de brouillage large bande externe continue mais il faut définir d'autres méthodes pour le brouillage à bande étroite et le brouillage par impulsions.</w:t>
      </w:r>
    </w:p>
    <w:p w:rsidR="005C6927" w:rsidRPr="006D0F26" w:rsidRDefault="005C6927" w:rsidP="006D0F26">
      <w:r w:rsidRPr="00E62332">
        <w:t xml:space="preserve">Pour déterminer la valeur de </w:t>
      </w:r>
      <w:r w:rsidRPr="00E62332">
        <w:rPr>
          <w:i/>
        </w:rPr>
        <w:t>I</w:t>
      </w:r>
      <w:r w:rsidRPr="00E62332">
        <w:rPr>
          <w:i/>
          <w:iCs/>
          <w:vertAlign w:val="subscript"/>
        </w:rPr>
        <w:t>ext</w:t>
      </w:r>
      <w:r w:rsidRPr="00E62332">
        <w:t xml:space="preserve">, il faut établir un bilan de toutes les attributions cofréquence ou sur fréquence adjacente dans lesquelles un système source de brouillage important peut fonctionner et obtenir des informations techniques sur les systèmes exploités dans ces attributions afin d'estimer le niveau type de chacune de ces sources. On trouvera des indications par exemple dans des normes ou dans des Recommandations ou des Rapports UIT-R. Le niveau de </w:t>
      </w:r>
      <w:r w:rsidRPr="00E62332">
        <w:rPr>
          <w:i/>
        </w:rPr>
        <w:t>I</w:t>
      </w:r>
      <w:r w:rsidRPr="00E62332">
        <w:rPr>
          <w:i/>
          <w:iCs/>
          <w:vertAlign w:val="subscript"/>
        </w:rPr>
        <w:t>ext</w:t>
      </w:r>
      <w:r w:rsidRPr="00E62332">
        <w:t xml:space="preserve"> peut être fonction de l'emplacement envisagé pour l'utilisateur du système de référence, étant donné que certains systèmes ne peuvent être exploités que dans certains pays ou dans certaines régions.</w:t>
      </w:r>
    </w:p>
    <w:p w:rsidR="00A6617B" w:rsidRDefault="00A6617B" w:rsidP="00242AEE">
      <w:pPr>
        <w:pStyle w:val="HeadingSum"/>
        <w:rPr>
          <w:lang w:val="fr-FR"/>
        </w:rPr>
      </w:pPr>
    </w:p>
    <w:p w:rsidR="006D0F26" w:rsidRPr="005C6927" w:rsidRDefault="006D0F26" w:rsidP="005C6927">
      <w:pPr>
        <w:jc w:val="center"/>
      </w:pPr>
      <w:r>
        <w:t>________________</w:t>
      </w:r>
    </w:p>
    <w:sectPr w:rsidR="006D0F26" w:rsidRPr="005C6927" w:rsidSect="005C6927">
      <w:headerReference w:type="even" r:id="rId122"/>
      <w:headerReference w:type="default" r:id="rId1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ED5" w:rsidRDefault="000D4ED5">
      <w:r>
        <w:separator/>
      </w:r>
    </w:p>
  </w:endnote>
  <w:endnote w:type="continuationSeparator" w:id="0">
    <w:p w:rsidR="000D4ED5" w:rsidRDefault="000D4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HGHDC+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ED5" w:rsidRDefault="000D4ED5">
      <w:r>
        <w:separator/>
      </w:r>
    </w:p>
  </w:footnote>
  <w:footnote w:type="continuationSeparator" w:id="0">
    <w:p w:rsidR="000D4ED5" w:rsidRDefault="000D4ED5">
      <w:r>
        <w:continuationSeparator/>
      </w:r>
    </w:p>
  </w:footnote>
  <w:footnote w:id="1">
    <w:p w:rsidR="005C6927" w:rsidRPr="00106915" w:rsidRDefault="005C6927" w:rsidP="005C6927">
      <w:pPr>
        <w:pStyle w:val="FootnoteText"/>
      </w:pPr>
      <w:r>
        <w:rPr>
          <w:rStyle w:val="FootnoteReference"/>
        </w:rPr>
        <w:footnoteRef/>
      </w:r>
      <w:r w:rsidRPr="00106915">
        <w:t xml:space="preserve"> </w:t>
      </w:r>
      <w:r w:rsidRPr="00106915">
        <w:tab/>
        <w:t xml:space="preserve">En présence de brouillage </w:t>
      </w:r>
      <w:r>
        <w:t>par im</w:t>
      </w:r>
      <w:r w:rsidRPr="00106915">
        <w:t>pulsion</w:t>
      </w:r>
      <w:r>
        <w:t>s</w:t>
      </w:r>
      <w:r w:rsidRPr="00106915">
        <w:t xml:space="preserve"> significatif, il faut modifier l'équation (1)</w:t>
      </w:r>
      <w:r>
        <w:t>. Le brouillage par impulsions abaisse le rapport signal bruit en supprimant le signal utile et en relevant le plancher de bruit effectif.</w:t>
      </w:r>
      <w:r w:rsidRPr="00106915">
        <w:t xml:space="preserve"> </w:t>
      </w:r>
    </w:p>
  </w:footnote>
  <w:footnote w:id="2">
    <w:p w:rsidR="005C6927" w:rsidRPr="00106915" w:rsidRDefault="005C6927" w:rsidP="005C6927">
      <w:pPr>
        <w:pStyle w:val="FootnoteText"/>
        <w:rPr>
          <w:rFonts w:eastAsia="MS Mincho"/>
          <w:lang w:eastAsia="ja-JP"/>
        </w:rPr>
      </w:pPr>
      <w:r>
        <w:rPr>
          <w:rStyle w:val="FootnoteReference"/>
        </w:rPr>
        <w:footnoteRef/>
      </w:r>
      <w:r w:rsidRPr="00106915">
        <w:t xml:space="preserve"> </w:t>
      </w:r>
      <w:r w:rsidRPr="00106915">
        <w:tab/>
      </w:r>
      <w:r w:rsidRPr="00106915">
        <w:rPr>
          <w:i/>
        </w:rPr>
        <w:t>Affaiblissement</w:t>
      </w:r>
      <w:r>
        <w:rPr>
          <w:i/>
        </w:rPr>
        <w:t>s de traitement applicabl</w:t>
      </w:r>
      <w:r w:rsidRPr="00106915">
        <w:rPr>
          <w:i/>
        </w:rPr>
        <w:t>e</w:t>
      </w:r>
      <w:r>
        <w:rPr>
          <w:i/>
        </w:rPr>
        <w:t>s</w:t>
      </w:r>
      <w:r w:rsidRPr="00106915">
        <w:rPr>
          <w:i/>
        </w:rPr>
        <w:t>:</w:t>
      </w:r>
      <w:r w:rsidRPr="00106915">
        <w:t xml:space="preserve"> gain d'antenne d'émetteur et de récepteur; affaiblissement d'application du récepteur, par exemple affaiblissement</w:t>
      </w:r>
      <w:r>
        <w:t>s</w:t>
      </w:r>
      <w:r w:rsidRPr="00106915">
        <w:t xml:space="preserve"> de filtrage et de quantification, affaiblissement</w:t>
      </w:r>
      <w:r>
        <w:t>s</w:t>
      </w:r>
      <w:r w:rsidRPr="00106915">
        <w:t xml:space="preserve"> </w:t>
      </w:r>
      <w:r>
        <w:t xml:space="preserve">par défaut d'adaptation </w:t>
      </w:r>
      <w:r w:rsidRPr="00106915">
        <w:t>entre le signal reçu et le code de référence.</w:t>
      </w:r>
    </w:p>
  </w:footnote>
  <w:footnote w:id="3">
    <w:p w:rsidR="005C6927" w:rsidRPr="004951D6" w:rsidRDefault="005C6927" w:rsidP="005C6927">
      <w:pPr>
        <w:pStyle w:val="FootnoteText"/>
        <w:tabs>
          <w:tab w:val="clear" w:pos="255"/>
          <w:tab w:val="left" w:pos="426"/>
        </w:tabs>
        <w:ind w:left="426" w:hanging="426"/>
        <w:rPr>
          <w:lang w:val="fr-CH"/>
        </w:rPr>
      </w:pPr>
      <w:r>
        <w:rPr>
          <w:rStyle w:val="FootnoteReference"/>
        </w:rPr>
        <w:footnoteRef/>
      </w:r>
      <w:r>
        <w:tab/>
        <w:t>Les codes PRN longs comprennent, par exemple, les codes Galileo E1-B et E1-C (Recommandation UIT</w:t>
      </w:r>
      <w:r>
        <w:noBreakHyphen/>
        <w:t>R M.1787-2, Annexe 3, Tableau 3-1) et les codes GPS L1C (Recommandation UIT</w:t>
      </w:r>
      <w:r>
        <w:noBreakHyphen/>
        <w:t>R M.1787-2, Annexe 2, Tableau 2-1).</w:t>
      </w:r>
    </w:p>
  </w:footnote>
  <w:footnote w:id="4">
    <w:p w:rsidR="005C6927" w:rsidRPr="004951D6" w:rsidRDefault="005C6927" w:rsidP="005C6927">
      <w:pPr>
        <w:pStyle w:val="FootnoteText"/>
        <w:tabs>
          <w:tab w:val="clear" w:pos="255"/>
          <w:tab w:val="left" w:pos="426"/>
        </w:tabs>
        <w:ind w:left="426" w:hanging="426"/>
        <w:rPr>
          <w:lang w:val="fr-CH"/>
        </w:rPr>
      </w:pPr>
      <w:r>
        <w:rPr>
          <w:rStyle w:val="FootnoteReference"/>
        </w:rPr>
        <w:footnoteRef/>
      </w:r>
      <w:r>
        <w:rPr>
          <w:lang w:val="fr-CH"/>
        </w:rPr>
        <w:tab/>
        <w:t>Le code GPS L1 C/A (Recommandation UIT</w:t>
      </w:r>
      <w:r>
        <w:rPr>
          <w:lang w:val="fr-CH"/>
        </w:rPr>
        <w:noBreakHyphen/>
        <w:t>R M.1787-2, Annexe 2, Tableau 2-1) constitue un exemple de code PRN court. Pour ce type de code PRN, le coefficient de séparation spectrale ne peut pas être calculé à l'aide de l'approximation de l'équation (2) lorsque les durées d'intégration sont supérieures à 1 msec, ce qui est le cas pour les récepteurs à code PRN court.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927" w:rsidRDefault="005C692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927" w:rsidRDefault="005C6927" w:rsidP="00C668C8">
    <w:pPr>
      <w:pStyle w:val="Header"/>
      <w:ind w:right="360" w:firstLine="360"/>
    </w:pPr>
    <w:r>
      <w:rPr>
        <w:noProof/>
        <w:lang w:val="en-US" w:eastAsia="zh-CN"/>
      </w:rPr>
      <w:drawing>
        <wp:anchor distT="0" distB="0" distL="114300" distR="114300" simplePos="0" relativeHeight="251659264" behindDoc="1" locked="0" layoutInCell="1" allowOverlap="1" wp14:anchorId="701BAF54" wp14:editId="71220C1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927" w:rsidRPr="00837CB5" w:rsidRDefault="005C6927"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4689D">
      <w:rPr>
        <w:rStyle w:val="PageNumber"/>
        <w:b/>
        <w:bCs/>
        <w:noProof/>
      </w:rPr>
      <w:t>ii</w:t>
    </w:r>
    <w:r>
      <w:rPr>
        <w:rStyle w:val="PageNumber"/>
        <w:b/>
        <w:bCs/>
      </w:rPr>
      <w:fldChar w:fldCharType="end"/>
    </w:r>
    <w:r w:rsidRPr="00837CB5">
      <w:tab/>
    </w:r>
    <w:fldSimple w:instr=" DOCPROPERTY &quot;Header&quot; \* MERGEFORMAT ">
      <w:r w:rsidR="0044689D" w:rsidRPr="0044689D">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4689D">
      <w:rPr>
        <w:b/>
        <w:bCs/>
        <w:noProof/>
      </w:rPr>
      <w:t>UIT-R  M.1831-1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927" w:rsidRDefault="005C6927" w:rsidP="00A163D3">
    <w:pPr>
      <w:pStyle w:val="Header"/>
    </w:pPr>
    <w:r>
      <w:tab/>
    </w:r>
    <w:fldSimple w:instr=" DOCPROPERTY &quot;Header&quot; \* MERGEFORMAT ">
      <w:r w:rsidR="0044689D" w:rsidRPr="0044689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4689D">
      <w:rPr>
        <w:b/>
        <w:bCs/>
        <w:noProof/>
      </w:rPr>
      <w:t>UIT-R  M.1831-1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4689D">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4689D" w:rsidRPr="0044689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4689D">
      <w:rPr>
        <w:b/>
        <w:bCs/>
        <w:noProof/>
      </w:rPr>
      <w:t>UIT-R  M.1831-1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44689D" w:rsidRPr="0044689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4689D">
      <w:rPr>
        <w:b/>
        <w:bCs/>
        <w:noProof/>
      </w:rPr>
      <w:t>UIT-R  M.1831-1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4689D">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ECEFE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C1F61EE"/>
    <w:multiLevelType w:val="hybridMultilevel"/>
    <w:tmpl w:val="EDB26EA0"/>
    <w:lvl w:ilvl="0" w:tplc="18F03030">
      <w:start w:val="1"/>
      <w:numFmt w:val="lowerLetter"/>
      <w:lvlText w:val="%1)"/>
      <w:lvlJc w:val="left"/>
      <w:pPr>
        <w:ind w:left="1155" w:hanging="795"/>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ED5"/>
    <w:rsid w:val="000D4ED5"/>
    <w:rsid w:val="00106CD9"/>
    <w:rsid w:val="00164AF7"/>
    <w:rsid w:val="00217EBF"/>
    <w:rsid w:val="00242AEE"/>
    <w:rsid w:val="002D76C4"/>
    <w:rsid w:val="0044689D"/>
    <w:rsid w:val="004C1C8A"/>
    <w:rsid w:val="0052529D"/>
    <w:rsid w:val="005C6927"/>
    <w:rsid w:val="00607D68"/>
    <w:rsid w:val="006D0F26"/>
    <w:rsid w:val="007468DA"/>
    <w:rsid w:val="00850474"/>
    <w:rsid w:val="00953C71"/>
    <w:rsid w:val="009839D9"/>
    <w:rsid w:val="009E00A8"/>
    <w:rsid w:val="00A4382F"/>
    <w:rsid w:val="00A6617B"/>
    <w:rsid w:val="00AB0DC8"/>
    <w:rsid w:val="00B44E24"/>
    <w:rsid w:val="00C85311"/>
    <w:rsid w:val="00DF4176"/>
    <w:rsid w:val="00F475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4"/>
    <o:shapelayout v:ext="edit">
      <o:idmap v:ext="edit" data="1"/>
    </o:shapelayout>
  </w:shapeDefaults>
  <w:decimalSymbol w:val="."/>
  <w:listSeparator w:val=","/>
  <w15:docId w15:val="{791E68E4-63C0-4BD6-8741-4EFB69034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92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9839D9"/>
    <w:pPr>
      <w:tabs>
        <w:tab w:val="clear" w:pos="794"/>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5C6927"/>
    <w:rPr>
      <w:color w:val="0000FF"/>
      <w:u w:val="single"/>
    </w:rPr>
  </w:style>
  <w:style w:type="paragraph" w:customStyle="1" w:styleId="TOC00">
    <w:name w:val="TOC 0"/>
    <w:basedOn w:val="Normal"/>
    <w:rsid w:val="005C6927"/>
    <w:pPr>
      <w:tabs>
        <w:tab w:val="clear" w:pos="794"/>
        <w:tab w:val="clear" w:pos="1191"/>
        <w:tab w:val="clear" w:pos="1588"/>
        <w:tab w:val="clear" w:pos="1985"/>
        <w:tab w:val="right" w:pos="9611"/>
      </w:tabs>
      <w:jc w:val="right"/>
    </w:pPr>
    <w:rPr>
      <w:rFonts w:eastAsia="MS Mincho"/>
      <w:i/>
      <w:lang w:val="en-US"/>
    </w:rPr>
  </w:style>
  <w:style w:type="paragraph" w:styleId="ListBullet">
    <w:name w:val="List Bullet"/>
    <w:basedOn w:val="Normal"/>
    <w:link w:val="ListBulletChar"/>
    <w:rsid w:val="005C6927"/>
    <w:pPr>
      <w:numPr>
        <w:numId w:val="1"/>
      </w:numPr>
    </w:pPr>
  </w:style>
  <w:style w:type="character" w:customStyle="1" w:styleId="ListBulletChar">
    <w:name w:val="List Bullet Char"/>
    <w:link w:val="ListBullet"/>
    <w:rsid w:val="005C6927"/>
    <w:rPr>
      <w:sz w:val="24"/>
      <w:lang w:val="fr-FR" w:eastAsia="en-US"/>
    </w:rPr>
  </w:style>
  <w:style w:type="table" w:styleId="TableGrid">
    <w:name w:val="Table Grid"/>
    <w:basedOn w:val="TableNormal"/>
    <w:rsid w:val="005C69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6.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oleObject" Target="embeddings/oleObject26.bin"/><Relationship Id="rId68" Type="http://schemas.openxmlformats.org/officeDocument/2006/relationships/image" Target="media/image28.emf"/><Relationship Id="rId84" Type="http://schemas.openxmlformats.org/officeDocument/2006/relationships/image" Target="media/image36.wmf"/><Relationship Id="rId89" Type="http://schemas.openxmlformats.org/officeDocument/2006/relationships/oleObject" Target="embeddings/oleObject40.bin"/><Relationship Id="rId112" Type="http://schemas.openxmlformats.org/officeDocument/2006/relationships/oleObject" Target="embeddings/oleObject53.bin"/><Relationship Id="rId16" Type="http://schemas.openxmlformats.org/officeDocument/2006/relationships/oleObject" Target="embeddings/oleObject2.bin"/><Relationship Id="rId107" Type="http://schemas.openxmlformats.org/officeDocument/2006/relationships/oleObject" Target="embeddings/oleObject50.bin"/><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image" Target="media/image31.wmf"/><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header" Target="header6.xml"/><Relationship Id="rId5" Type="http://schemas.openxmlformats.org/officeDocument/2006/relationships/footnotes" Target="footnotes.xml"/><Relationship Id="rId61" Type="http://schemas.openxmlformats.org/officeDocument/2006/relationships/image" Target="media/image26.wmf"/><Relationship Id="rId82" Type="http://schemas.openxmlformats.org/officeDocument/2006/relationships/image" Target="media/image35.wmf"/><Relationship Id="rId90" Type="http://schemas.openxmlformats.org/officeDocument/2006/relationships/image" Target="media/image39.emf"/><Relationship Id="rId95" Type="http://schemas.openxmlformats.org/officeDocument/2006/relationships/oleObject" Target="embeddings/oleObject43.bin"/><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7.bin"/><Relationship Id="rId69" Type="http://schemas.openxmlformats.org/officeDocument/2006/relationships/oleObject" Target="embeddings/oleObject30.bin"/><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oleObject" Target="embeddings/oleObject49.bin"/><Relationship Id="rId113" Type="http://schemas.openxmlformats.org/officeDocument/2006/relationships/image" Target="media/image49.emf"/><Relationship Id="rId118" Type="http://schemas.openxmlformats.org/officeDocument/2006/relationships/image" Target="media/image51.wmf"/><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8.bin"/><Relationship Id="rId93" Type="http://schemas.openxmlformats.org/officeDocument/2006/relationships/oleObject" Target="embeddings/oleObject42.bin"/><Relationship Id="rId98" Type="http://schemas.openxmlformats.org/officeDocument/2006/relationships/oleObject" Target="embeddings/oleObject45.bin"/><Relationship Id="rId121" Type="http://schemas.openxmlformats.org/officeDocument/2006/relationships/oleObject" Target="embeddings/oleObject58.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oleObject" Target="embeddings/oleObject29.bin"/><Relationship Id="rId103" Type="http://schemas.openxmlformats.org/officeDocument/2006/relationships/image" Target="media/image45.wmf"/><Relationship Id="rId108" Type="http://schemas.openxmlformats.org/officeDocument/2006/relationships/image" Target="media/image47.wmf"/><Relationship Id="rId116" Type="http://schemas.openxmlformats.org/officeDocument/2006/relationships/image" Target="media/image50.wmf"/><Relationship Id="rId124"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image" Target="media/image29.wmf"/><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38.wmf"/><Relationship Id="rId91" Type="http://schemas.openxmlformats.org/officeDocument/2006/relationships/oleObject" Target="embeddings/oleObject41.bin"/><Relationship Id="rId96" Type="http://schemas.openxmlformats.org/officeDocument/2006/relationships/oleObject" Target="embeddings/oleObject44.bin"/><Relationship Id="rId111" Type="http://schemas.openxmlformats.org/officeDocument/2006/relationships/oleObject" Target="embeddings/oleObject5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image" Target="media/image46.wmf"/><Relationship Id="rId114" Type="http://schemas.openxmlformats.org/officeDocument/2006/relationships/oleObject" Target="embeddings/oleObject54.bin"/><Relationship Id="rId119" Type="http://schemas.openxmlformats.org/officeDocument/2006/relationships/oleObject" Target="embeddings/oleObject57.bin"/><Relationship Id="rId10" Type="http://schemas.openxmlformats.org/officeDocument/2006/relationships/hyperlink" Target="http://www.itu.int/publ/R-REC/fr"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3.wmf"/><Relationship Id="rId81" Type="http://schemas.openxmlformats.org/officeDocument/2006/relationships/oleObject" Target="embeddings/oleObject36.bin"/><Relationship Id="rId86" Type="http://schemas.openxmlformats.org/officeDocument/2006/relationships/image" Target="media/image37.wmf"/><Relationship Id="rId94" Type="http://schemas.openxmlformats.org/officeDocument/2006/relationships/image" Target="media/image41.e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oleObject" Target="embeddings/oleObject51.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image" Target="media/image32.wmf"/><Relationship Id="rId97" Type="http://schemas.openxmlformats.org/officeDocument/2006/relationships/image" Target="media/image42.wmf"/><Relationship Id="rId104" Type="http://schemas.openxmlformats.org/officeDocument/2006/relationships/oleObject" Target="embeddings/oleObject48.bin"/><Relationship Id="rId120" Type="http://schemas.openxmlformats.org/officeDocument/2006/relationships/image" Target="media/image52.wmf"/><Relationship Id="rId125"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oleObject" Target="embeddings/oleObject31.bin"/><Relationship Id="rId92" Type="http://schemas.openxmlformats.org/officeDocument/2006/relationships/image" Target="media/image40.emf"/><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image" Target="media/image27.emf"/><Relationship Id="rId87" Type="http://schemas.openxmlformats.org/officeDocument/2006/relationships/oleObject" Target="embeddings/oleObject39.bin"/><Relationship Id="rId110" Type="http://schemas.openxmlformats.org/officeDocument/2006/relationships/image" Target="media/image48.wmf"/><Relationship Id="rId115" Type="http://schemas.openxmlformats.org/officeDocument/2006/relationships/oleObject" Target="embeddings/oleObject5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395</TotalTime>
  <Pages>28</Pages>
  <Words>10010</Words>
  <Characters>54457</Characters>
  <Application>Microsoft Office Word</Application>
  <DocSecurity>0</DocSecurity>
  <Lines>1210</Lines>
  <Paragraphs>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64379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13</cp:revision>
  <cp:lastPrinted>2016-11-23T15:07:00Z</cp:lastPrinted>
  <dcterms:created xsi:type="dcterms:W3CDTF">2016-11-23T08:28:00Z</dcterms:created>
  <dcterms:modified xsi:type="dcterms:W3CDTF">2016-11-23T15:08:00Z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