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045" w:rsidRDefault="00FE0045" w:rsidP="00FE0045"/>
    <w:p w:rsidR="00FE0045" w:rsidRDefault="00FE0045" w:rsidP="00FE0045"/>
    <w:p w:rsidR="00FE0045" w:rsidRDefault="00FE0045" w:rsidP="00FE0045"/>
    <w:p w:rsidR="00FE0045" w:rsidRDefault="00FE0045" w:rsidP="00FE0045"/>
    <w:p w:rsidR="00FE0045" w:rsidRDefault="00FE0045" w:rsidP="00FE0045"/>
    <w:p w:rsidR="00FE0045" w:rsidRDefault="00FE0045" w:rsidP="00FE0045"/>
    <w:p w:rsidR="00FE0045" w:rsidRDefault="00FE0045" w:rsidP="00FE0045"/>
    <w:p w:rsidR="00FE0045" w:rsidRDefault="00FE0045" w:rsidP="00FE0045"/>
    <w:p w:rsidR="00FE0045" w:rsidRDefault="00FE0045" w:rsidP="00FE0045"/>
    <w:p w:rsidR="00FE0045" w:rsidRDefault="00FE0045" w:rsidP="00FE0045"/>
    <w:p w:rsidR="00FE0045" w:rsidRDefault="00FE0045" w:rsidP="00FE0045"/>
    <w:p w:rsidR="00FE0045" w:rsidRDefault="00FE0045" w:rsidP="00FE0045"/>
    <w:tbl>
      <w:tblPr>
        <w:tblW w:w="10089" w:type="dxa"/>
        <w:tblLook w:val="01E0" w:firstRow="1" w:lastRow="1" w:firstColumn="1" w:lastColumn="1" w:noHBand="0" w:noVBand="0"/>
      </w:tblPr>
      <w:tblGrid>
        <w:gridCol w:w="10089"/>
      </w:tblGrid>
      <w:tr w:rsidR="00FE0045" w:rsidRPr="00A443C2" w:rsidTr="00E12924">
        <w:tc>
          <w:tcPr>
            <w:tcW w:w="10089" w:type="dxa"/>
          </w:tcPr>
          <w:p w:rsidR="00FE0045" w:rsidRPr="00B033C8" w:rsidRDefault="00FE0045" w:rsidP="00E12924">
            <w:pPr>
              <w:spacing w:before="380" w:line="280" w:lineRule="exact"/>
              <w:jc w:val="right"/>
              <w:rPr>
                <w:rFonts w:ascii="Tahoma" w:hAnsi="Tahoma" w:cs="Tahoma"/>
                <w:b/>
                <w:bCs/>
                <w:iCs/>
                <w:color w:val="243285"/>
                <w:sz w:val="32"/>
                <w:szCs w:val="32"/>
                <w:lang w:val="en-US"/>
              </w:rPr>
            </w:pPr>
          </w:p>
          <w:p w:rsidR="00FE0045" w:rsidRPr="00A443C2" w:rsidRDefault="00FE0045" w:rsidP="00FE004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1768-1</w:t>
            </w:r>
          </w:p>
          <w:p w:rsidR="00FE0045" w:rsidRPr="00A443C2" w:rsidRDefault="00FE0045" w:rsidP="00FE004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4</w:t>
            </w:r>
            <w:r w:rsidRPr="00A443C2">
              <w:rPr>
                <w:rFonts w:ascii="Tahoma" w:hAnsi="Tahoma" w:cs="Tahoma"/>
                <w:b/>
                <w:bCs/>
                <w:iCs/>
                <w:color w:val="243285"/>
                <w:szCs w:val="24"/>
              </w:rPr>
              <w:t>/</w:t>
            </w:r>
            <w:r>
              <w:rPr>
                <w:rFonts w:ascii="Tahoma" w:hAnsi="Tahoma" w:cs="Tahoma"/>
                <w:b/>
                <w:bCs/>
                <w:iCs/>
                <w:color w:val="243285"/>
                <w:szCs w:val="24"/>
              </w:rPr>
              <w:t>2013</w:t>
            </w:r>
            <w:r w:rsidRPr="00A443C2">
              <w:rPr>
                <w:rFonts w:ascii="Tahoma" w:hAnsi="Tahoma" w:cs="Tahoma"/>
                <w:b/>
                <w:bCs/>
                <w:iCs/>
                <w:color w:val="243285"/>
                <w:szCs w:val="24"/>
              </w:rPr>
              <w:t>)</w:t>
            </w:r>
          </w:p>
        </w:tc>
      </w:tr>
      <w:tr w:rsidR="00FE0045" w:rsidRPr="00F54FBD" w:rsidTr="00E12924">
        <w:tc>
          <w:tcPr>
            <w:tcW w:w="10089" w:type="dxa"/>
          </w:tcPr>
          <w:p w:rsidR="00FE0045" w:rsidRDefault="00FE0045" w:rsidP="00E12924">
            <w:pPr>
              <w:spacing w:before="80" w:line="500" w:lineRule="exact"/>
              <w:jc w:val="right"/>
              <w:rPr>
                <w:rFonts w:ascii="Tahoma" w:hAnsi="Tahoma" w:cs="Tahoma"/>
                <w:b/>
                <w:bCs/>
                <w:iCs/>
                <w:color w:val="243285"/>
                <w:sz w:val="44"/>
                <w:szCs w:val="44"/>
              </w:rPr>
            </w:pPr>
          </w:p>
          <w:p w:rsidR="00FE0045" w:rsidRDefault="00FE0045" w:rsidP="00FE0045">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Méthodologie de calcul des exigences de spectre pour la composante de Terre des télécommunications mobiles internationales</w:t>
            </w:r>
          </w:p>
          <w:p w:rsidR="00FE0045" w:rsidRPr="00F54FBD" w:rsidRDefault="00FE0045" w:rsidP="00E12924">
            <w:pPr>
              <w:spacing w:before="80" w:line="500" w:lineRule="exact"/>
              <w:jc w:val="right"/>
              <w:rPr>
                <w:rFonts w:ascii="Tahoma" w:hAnsi="Tahoma" w:cs="Tahoma"/>
                <w:b/>
                <w:bCs/>
                <w:iCs/>
                <w:color w:val="243285"/>
                <w:sz w:val="44"/>
                <w:szCs w:val="44"/>
              </w:rPr>
            </w:pPr>
          </w:p>
        </w:tc>
      </w:tr>
      <w:tr w:rsidR="00FE0045" w:rsidRPr="00F54FBD" w:rsidTr="00E12924">
        <w:tc>
          <w:tcPr>
            <w:tcW w:w="10089" w:type="dxa"/>
          </w:tcPr>
          <w:p w:rsidR="00FE0045" w:rsidRPr="00F54FBD" w:rsidRDefault="00FE0045" w:rsidP="00E12924">
            <w:pPr>
              <w:spacing w:before="80" w:line="280" w:lineRule="exact"/>
              <w:ind w:right="640"/>
              <w:rPr>
                <w:rFonts w:ascii="Tahoma" w:hAnsi="Tahoma" w:cs="Tahoma"/>
                <w:b/>
                <w:bCs/>
                <w:iCs/>
                <w:color w:val="243285"/>
                <w:sz w:val="32"/>
                <w:szCs w:val="32"/>
              </w:rPr>
            </w:pPr>
          </w:p>
          <w:p w:rsidR="00FE0045" w:rsidRPr="00F54FBD" w:rsidRDefault="00FE0045" w:rsidP="00E12924">
            <w:pPr>
              <w:spacing w:before="80" w:line="280" w:lineRule="exact"/>
              <w:ind w:right="640"/>
              <w:rPr>
                <w:rFonts w:ascii="Tahoma" w:hAnsi="Tahoma" w:cs="Tahoma"/>
                <w:b/>
                <w:bCs/>
                <w:iCs/>
                <w:color w:val="243285"/>
                <w:sz w:val="32"/>
                <w:szCs w:val="32"/>
              </w:rPr>
            </w:pPr>
          </w:p>
          <w:p w:rsidR="00FE0045" w:rsidRPr="00F54FBD" w:rsidRDefault="00FE0045" w:rsidP="00E12924">
            <w:pPr>
              <w:spacing w:before="80" w:after="180" w:line="360" w:lineRule="exact"/>
              <w:ind w:right="720"/>
              <w:rPr>
                <w:rFonts w:ascii="Tahoma" w:hAnsi="Tahoma" w:cs="Tahoma"/>
                <w:b/>
                <w:bCs/>
                <w:iCs/>
                <w:color w:val="243285"/>
                <w:sz w:val="36"/>
                <w:szCs w:val="36"/>
              </w:rPr>
            </w:pPr>
          </w:p>
          <w:p w:rsidR="00FE0045" w:rsidRPr="00F54FBD" w:rsidRDefault="00FE0045" w:rsidP="00E1292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FE0045" w:rsidRPr="00F54FBD" w:rsidRDefault="00FE0045" w:rsidP="00E1292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FE0045" w:rsidRPr="00F54FBD" w:rsidRDefault="00FE0045" w:rsidP="00FE0045">
      <w:pPr>
        <w:spacing w:before="80"/>
        <w:rPr>
          <w:i/>
          <w:sz w:val="22"/>
        </w:rPr>
      </w:pPr>
    </w:p>
    <w:p w:rsidR="00FE0045" w:rsidRPr="00F54FBD" w:rsidRDefault="00FE0045" w:rsidP="00FE0045">
      <w:pPr>
        <w:spacing w:before="80"/>
        <w:rPr>
          <w:i/>
          <w:sz w:val="22"/>
        </w:rPr>
      </w:pPr>
    </w:p>
    <w:p w:rsidR="00FE0045" w:rsidRPr="00F54FBD" w:rsidRDefault="00FE0045" w:rsidP="00FE0045">
      <w:pPr>
        <w:spacing w:before="80"/>
        <w:rPr>
          <w:i/>
          <w:sz w:val="22"/>
        </w:rPr>
      </w:pPr>
    </w:p>
    <w:p w:rsidR="00FE0045" w:rsidRPr="00F54FBD" w:rsidRDefault="00FE0045" w:rsidP="00FE0045">
      <w:pPr>
        <w:spacing w:before="80"/>
        <w:rPr>
          <w:i/>
          <w:sz w:val="22"/>
        </w:rPr>
      </w:pPr>
    </w:p>
    <w:p w:rsidR="00FE0045" w:rsidRPr="00F54FBD" w:rsidRDefault="00FE0045" w:rsidP="00FE0045">
      <w:pPr>
        <w:spacing w:before="80"/>
        <w:rPr>
          <w:i/>
          <w:sz w:val="22"/>
        </w:rPr>
      </w:pPr>
    </w:p>
    <w:p w:rsidR="00FE0045" w:rsidRPr="00F54FBD" w:rsidRDefault="00FE0045" w:rsidP="00FE0045">
      <w:pPr>
        <w:spacing w:before="80"/>
        <w:rPr>
          <w:i/>
          <w:sz w:val="22"/>
        </w:rPr>
      </w:pPr>
    </w:p>
    <w:p w:rsidR="00FE0045" w:rsidRPr="00F54FBD" w:rsidRDefault="00FE0045" w:rsidP="00FE0045">
      <w:pPr>
        <w:pStyle w:val="Equation"/>
        <w:tabs>
          <w:tab w:val="clear" w:pos="4820"/>
          <w:tab w:val="clear" w:pos="9639"/>
          <w:tab w:val="left" w:pos="1191"/>
          <w:tab w:val="left" w:pos="1588"/>
          <w:tab w:val="left" w:pos="1985"/>
        </w:tabs>
        <w:rPr>
          <w:rFonts w:ascii="Palatino Linotype" w:hAnsi="Palatino Linotype"/>
        </w:rPr>
        <w:sectPr w:rsidR="00FE0045" w:rsidRPr="00F54FBD">
          <w:headerReference w:type="even" r:id="rId8"/>
          <w:headerReference w:type="default" r:id="rId9"/>
          <w:pgSz w:w="11907" w:h="16840" w:code="9"/>
          <w:pgMar w:top="1089" w:right="1089" w:bottom="284" w:left="1089" w:header="567" w:footer="284" w:gutter="0"/>
          <w:pgNumType w:start="1"/>
          <w:cols w:space="720"/>
        </w:sectPr>
      </w:pPr>
    </w:p>
    <w:p w:rsidR="00FE0045" w:rsidRPr="00F54FBD" w:rsidRDefault="00FE0045" w:rsidP="00FE00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E0045" w:rsidRPr="00F54FBD" w:rsidRDefault="00FE0045" w:rsidP="00FE004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E0045" w:rsidRPr="00F54FBD" w:rsidRDefault="00FE0045" w:rsidP="00FE004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FE0045" w:rsidRPr="00E44CBB" w:rsidRDefault="00FE0045" w:rsidP="00FE004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E0045" w:rsidRPr="00E44CBB" w:rsidRDefault="00FE0045" w:rsidP="002C734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xml:space="preserve">, où l'on trouvera également les Lignes directrices pour la mise en </w:t>
      </w:r>
      <w:r w:rsidR="002C734B">
        <w:rPr>
          <w:sz w:val="20"/>
        </w:rPr>
        <w:t>œ</w:t>
      </w:r>
      <w:r w:rsidRPr="00E44CBB">
        <w:rPr>
          <w:sz w:val="20"/>
        </w:rPr>
        <w:t>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E0045" w:rsidRPr="00C95B6F" w:rsidRDefault="00FE0045" w:rsidP="00FE004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E0045" w:rsidRPr="009454F8" w:rsidTr="00E12924">
        <w:tc>
          <w:tcPr>
            <w:tcW w:w="9360" w:type="dxa"/>
            <w:gridSpan w:val="2"/>
          </w:tcPr>
          <w:p w:rsidR="00FE0045" w:rsidRPr="009454F8" w:rsidRDefault="00FE0045" w:rsidP="00E1292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E0045" w:rsidRPr="009454F8" w:rsidRDefault="00FE0045" w:rsidP="00E129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FE0045" w:rsidRPr="00036EE3" w:rsidTr="00E12924">
        <w:tc>
          <w:tcPr>
            <w:tcW w:w="1140" w:type="dxa"/>
          </w:tcPr>
          <w:p w:rsidR="00FE0045" w:rsidRPr="00614CC6" w:rsidRDefault="00FE0045" w:rsidP="00E12924">
            <w:pPr>
              <w:spacing w:before="90" w:after="100"/>
              <w:ind w:left="57"/>
              <w:rPr>
                <w:b/>
                <w:bCs/>
                <w:sz w:val="20"/>
                <w:lang w:val="en-US"/>
              </w:rPr>
            </w:pPr>
            <w:r w:rsidRPr="00614CC6">
              <w:rPr>
                <w:b/>
                <w:bCs/>
                <w:sz w:val="20"/>
                <w:lang w:val="en-US"/>
              </w:rPr>
              <w:t>Séries</w:t>
            </w:r>
          </w:p>
        </w:tc>
        <w:tc>
          <w:tcPr>
            <w:tcW w:w="8220" w:type="dxa"/>
          </w:tcPr>
          <w:p w:rsidR="00FE0045" w:rsidRPr="00614CC6" w:rsidRDefault="00FE0045" w:rsidP="00E129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E0045" w:rsidRPr="00036EE3" w:rsidTr="00E12924">
        <w:tc>
          <w:tcPr>
            <w:tcW w:w="1140" w:type="dxa"/>
          </w:tcPr>
          <w:p w:rsidR="00FE0045" w:rsidRPr="00614CC6" w:rsidRDefault="00FE0045" w:rsidP="00E12924">
            <w:pPr>
              <w:spacing w:before="30" w:after="30"/>
              <w:ind w:left="57"/>
              <w:jc w:val="left"/>
              <w:rPr>
                <w:b/>
                <w:bCs/>
                <w:sz w:val="20"/>
                <w:lang w:val="en-US"/>
              </w:rPr>
            </w:pPr>
            <w:r w:rsidRPr="00614CC6">
              <w:rPr>
                <w:b/>
                <w:bCs/>
                <w:sz w:val="20"/>
                <w:lang w:val="en-US"/>
              </w:rPr>
              <w:t>BO</w:t>
            </w:r>
          </w:p>
        </w:tc>
        <w:tc>
          <w:tcPr>
            <w:tcW w:w="8220" w:type="dxa"/>
          </w:tcPr>
          <w:p w:rsidR="00FE0045" w:rsidRPr="00614CC6" w:rsidRDefault="00FE0045" w:rsidP="00E129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E0045" w:rsidRPr="009454F8" w:rsidTr="00E12924">
        <w:tc>
          <w:tcPr>
            <w:tcW w:w="1140" w:type="dxa"/>
          </w:tcPr>
          <w:p w:rsidR="00FE0045" w:rsidRPr="00614CC6" w:rsidRDefault="00FE0045" w:rsidP="00E12924">
            <w:pPr>
              <w:spacing w:before="30" w:after="30"/>
              <w:ind w:left="57"/>
              <w:jc w:val="left"/>
              <w:rPr>
                <w:b/>
                <w:bCs/>
                <w:sz w:val="20"/>
                <w:lang w:val="en-US"/>
              </w:rPr>
            </w:pPr>
            <w:r w:rsidRPr="00614CC6">
              <w:rPr>
                <w:b/>
                <w:bCs/>
                <w:sz w:val="20"/>
                <w:lang w:val="en-US"/>
              </w:rPr>
              <w:t>BR</w:t>
            </w:r>
          </w:p>
        </w:tc>
        <w:tc>
          <w:tcPr>
            <w:tcW w:w="8220" w:type="dxa"/>
          </w:tcPr>
          <w:p w:rsidR="00FE0045" w:rsidRPr="00614CC6" w:rsidRDefault="00FE0045" w:rsidP="00E129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E0045" w:rsidRPr="00036EE3" w:rsidTr="00E12924">
        <w:tc>
          <w:tcPr>
            <w:tcW w:w="1140" w:type="dxa"/>
          </w:tcPr>
          <w:p w:rsidR="00FE0045" w:rsidRPr="00614CC6" w:rsidRDefault="00FE0045" w:rsidP="00E12924">
            <w:pPr>
              <w:spacing w:before="30" w:after="30"/>
              <w:ind w:left="57"/>
              <w:jc w:val="left"/>
              <w:rPr>
                <w:b/>
                <w:bCs/>
                <w:sz w:val="20"/>
                <w:lang w:val="en-US"/>
              </w:rPr>
            </w:pPr>
            <w:r w:rsidRPr="00614CC6">
              <w:rPr>
                <w:b/>
                <w:bCs/>
                <w:sz w:val="20"/>
                <w:lang w:val="en-US"/>
              </w:rPr>
              <w:t>BS</w:t>
            </w:r>
          </w:p>
        </w:tc>
        <w:tc>
          <w:tcPr>
            <w:tcW w:w="8220" w:type="dxa"/>
          </w:tcPr>
          <w:p w:rsidR="00FE0045" w:rsidRPr="00614CC6" w:rsidRDefault="00FE0045" w:rsidP="00E129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E0045" w:rsidRPr="00ED2695" w:rsidTr="00E12924">
        <w:tc>
          <w:tcPr>
            <w:tcW w:w="1140" w:type="dxa"/>
            <w:shd w:val="clear" w:color="auto" w:fill="auto"/>
          </w:tcPr>
          <w:p w:rsidR="00FE0045" w:rsidRPr="00614CC6" w:rsidRDefault="00FE0045" w:rsidP="00E12924">
            <w:pPr>
              <w:spacing w:before="30" w:after="30"/>
              <w:ind w:left="57"/>
              <w:jc w:val="left"/>
              <w:rPr>
                <w:b/>
                <w:bCs/>
                <w:sz w:val="20"/>
                <w:lang w:val="en-US"/>
              </w:rPr>
            </w:pPr>
            <w:r w:rsidRPr="00614CC6">
              <w:rPr>
                <w:b/>
                <w:bCs/>
                <w:sz w:val="20"/>
                <w:lang w:val="en-US"/>
              </w:rPr>
              <w:t>BT</w:t>
            </w:r>
          </w:p>
        </w:tc>
        <w:tc>
          <w:tcPr>
            <w:tcW w:w="8220" w:type="dxa"/>
            <w:shd w:val="clear" w:color="auto" w:fill="auto"/>
          </w:tcPr>
          <w:p w:rsidR="00FE0045" w:rsidRPr="00614CC6" w:rsidRDefault="00FE0045" w:rsidP="00E129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E0045" w:rsidRPr="00036EE3" w:rsidTr="00E12924">
        <w:tc>
          <w:tcPr>
            <w:tcW w:w="1140" w:type="dxa"/>
            <w:shd w:val="clear" w:color="auto" w:fill="auto"/>
          </w:tcPr>
          <w:p w:rsidR="00FE0045" w:rsidRPr="00614CC6" w:rsidRDefault="00FE0045" w:rsidP="00E12924">
            <w:pPr>
              <w:spacing w:before="30" w:after="30"/>
              <w:ind w:left="57"/>
              <w:jc w:val="left"/>
              <w:rPr>
                <w:b/>
                <w:bCs/>
                <w:sz w:val="20"/>
                <w:lang w:val="fr-CH"/>
              </w:rPr>
            </w:pPr>
            <w:r w:rsidRPr="00614CC6">
              <w:rPr>
                <w:b/>
                <w:bCs/>
                <w:sz w:val="20"/>
                <w:lang w:val="fr-CH"/>
              </w:rPr>
              <w:t>F</w:t>
            </w:r>
          </w:p>
        </w:tc>
        <w:tc>
          <w:tcPr>
            <w:tcW w:w="8220" w:type="dxa"/>
            <w:shd w:val="clear" w:color="auto" w:fill="auto"/>
          </w:tcPr>
          <w:p w:rsidR="00FE0045" w:rsidRPr="00614CC6" w:rsidRDefault="00FE0045" w:rsidP="00E129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E0045" w:rsidRPr="00592F9F" w:rsidTr="00E12924">
        <w:tc>
          <w:tcPr>
            <w:tcW w:w="1140" w:type="dxa"/>
            <w:shd w:val="clear" w:color="auto" w:fill="F3F3F3"/>
          </w:tcPr>
          <w:p w:rsidR="00FE0045" w:rsidRPr="00592F9F" w:rsidRDefault="00FE0045" w:rsidP="00E12924">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E0045" w:rsidRPr="00592F9F" w:rsidRDefault="00FE0045" w:rsidP="00E129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E0045" w:rsidRPr="00036EE3" w:rsidTr="00E12924">
        <w:tc>
          <w:tcPr>
            <w:tcW w:w="1140" w:type="dxa"/>
          </w:tcPr>
          <w:p w:rsidR="00FE0045" w:rsidRPr="00614CC6" w:rsidRDefault="00FE0045" w:rsidP="00E12924">
            <w:pPr>
              <w:spacing w:before="30" w:after="30"/>
              <w:ind w:left="57"/>
              <w:jc w:val="left"/>
              <w:rPr>
                <w:b/>
                <w:bCs/>
                <w:sz w:val="20"/>
                <w:lang w:val="fr-CH"/>
              </w:rPr>
            </w:pPr>
            <w:r w:rsidRPr="00614CC6">
              <w:rPr>
                <w:b/>
                <w:bCs/>
                <w:sz w:val="20"/>
                <w:lang w:val="fr-CH"/>
              </w:rPr>
              <w:t>P</w:t>
            </w:r>
          </w:p>
        </w:tc>
        <w:tc>
          <w:tcPr>
            <w:tcW w:w="8220" w:type="dxa"/>
          </w:tcPr>
          <w:p w:rsidR="00FE0045" w:rsidRPr="00614CC6" w:rsidRDefault="00FE0045" w:rsidP="00E12924">
            <w:pPr>
              <w:spacing w:before="30" w:after="30"/>
              <w:jc w:val="left"/>
              <w:rPr>
                <w:sz w:val="20"/>
                <w:lang w:val="fr-CH"/>
              </w:rPr>
            </w:pPr>
            <w:r w:rsidRPr="00614CC6">
              <w:rPr>
                <w:sz w:val="20"/>
              </w:rPr>
              <w:t>Propagation des ondes radioélectriques</w:t>
            </w:r>
          </w:p>
        </w:tc>
      </w:tr>
      <w:tr w:rsidR="00FE0045" w:rsidRPr="00036EE3" w:rsidTr="00E12924">
        <w:tc>
          <w:tcPr>
            <w:tcW w:w="1140" w:type="dxa"/>
          </w:tcPr>
          <w:p w:rsidR="00FE0045" w:rsidRPr="00614CC6" w:rsidRDefault="00FE0045" w:rsidP="00E12924">
            <w:pPr>
              <w:spacing w:before="30" w:after="30"/>
              <w:ind w:left="57"/>
              <w:jc w:val="left"/>
              <w:rPr>
                <w:b/>
                <w:bCs/>
                <w:sz w:val="20"/>
                <w:lang w:val="en-US"/>
              </w:rPr>
            </w:pPr>
            <w:r w:rsidRPr="00614CC6">
              <w:rPr>
                <w:b/>
                <w:bCs/>
                <w:sz w:val="20"/>
                <w:lang w:val="en-US"/>
              </w:rPr>
              <w:t>RA</w:t>
            </w:r>
          </w:p>
        </w:tc>
        <w:tc>
          <w:tcPr>
            <w:tcW w:w="8220" w:type="dxa"/>
          </w:tcPr>
          <w:p w:rsidR="00FE0045" w:rsidRPr="00614CC6" w:rsidRDefault="00FE0045" w:rsidP="00E129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E0045" w:rsidRPr="00036EE3" w:rsidTr="00E12924">
        <w:tc>
          <w:tcPr>
            <w:tcW w:w="1140" w:type="dxa"/>
          </w:tcPr>
          <w:p w:rsidR="00FE0045" w:rsidRPr="00614CC6" w:rsidRDefault="00FE0045" w:rsidP="00E12924">
            <w:pPr>
              <w:spacing w:before="30" w:after="30"/>
              <w:ind w:left="57"/>
              <w:jc w:val="left"/>
              <w:rPr>
                <w:b/>
                <w:bCs/>
                <w:sz w:val="20"/>
                <w:lang w:val="en-US"/>
              </w:rPr>
            </w:pPr>
            <w:r w:rsidRPr="00614CC6">
              <w:rPr>
                <w:b/>
                <w:bCs/>
                <w:sz w:val="20"/>
                <w:lang w:val="en-US"/>
              </w:rPr>
              <w:t>RS</w:t>
            </w:r>
          </w:p>
        </w:tc>
        <w:tc>
          <w:tcPr>
            <w:tcW w:w="8220" w:type="dxa"/>
          </w:tcPr>
          <w:p w:rsidR="00FE0045" w:rsidRPr="00614CC6" w:rsidRDefault="00FE0045" w:rsidP="00E129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E0045" w:rsidRPr="00036EE3" w:rsidTr="00E12924">
        <w:tc>
          <w:tcPr>
            <w:tcW w:w="1140" w:type="dxa"/>
          </w:tcPr>
          <w:p w:rsidR="00FE0045" w:rsidRPr="00614CC6" w:rsidRDefault="00FE0045" w:rsidP="00E12924">
            <w:pPr>
              <w:spacing w:before="30" w:after="30"/>
              <w:ind w:left="57"/>
              <w:jc w:val="left"/>
              <w:rPr>
                <w:b/>
                <w:bCs/>
                <w:sz w:val="20"/>
                <w:lang w:val="en-US"/>
              </w:rPr>
            </w:pPr>
            <w:r w:rsidRPr="00614CC6">
              <w:rPr>
                <w:b/>
                <w:bCs/>
                <w:sz w:val="20"/>
                <w:lang w:val="en-US"/>
              </w:rPr>
              <w:t>S</w:t>
            </w:r>
          </w:p>
        </w:tc>
        <w:tc>
          <w:tcPr>
            <w:tcW w:w="8220" w:type="dxa"/>
          </w:tcPr>
          <w:p w:rsidR="00FE0045" w:rsidRPr="00614CC6" w:rsidRDefault="00FE0045" w:rsidP="00E12924">
            <w:pPr>
              <w:spacing w:before="30" w:after="30"/>
              <w:jc w:val="left"/>
              <w:rPr>
                <w:sz w:val="20"/>
                <w:lang w:val="en-US"/>
              </w:rPr>
            </w:pPr>
            <w:r w:rsidRPr="00614CC6">
              <w:rPr>
                <w:sz w:val="20"/>
              </w:rPr>
              <w:t>Service fixe par satellite</w:t>
            </w:r>
          </w:p>
        </w:tc>
      </w:tr>
      <w:tr w:rsidR="00FE0045" w:rsidRPr="00036EE3" w:rsidTr="00E12924">
        <w:tc>
          <w:tcPr>
            <w:tcW w:w="1140" w:type="dxa"/>
          </w:tcPr>
          <w:p w:rsidR="00FE0045" w:rsidRPr="00614CC6" w:rsidRDefault="00FE0045" w:rsidP="00E12924">
            <w:pPr>
              <w:spacing w:before="30" w:after="30"/>
              <w:ind w:left="57"/>
              <w:jc w:val="left"/>
              <w:rPr>
                <w:b/>
                <w:bCs/>
                <w:sz w:val="20"/>
                <w:lang w:val="en-US"/>
              </w:rPr>
            </w:pPr>
            <w:r w:rsidRPr="00614CC6">
              <w:rPr>
                <w:b/>
                <w:bCs/>
                <w:sz w:val="20"/>
                <w:lang w:val="en-US"/>
              </w:rPr>
              <w:t>SA</w:t>
            </w:r>
          </w:p>
        </w:tc>
        <w:tc>
          <w:tcPr>
            <w:tcW w:w="8220" w:type="dxa"/>
          </w:tcPr>
          <w:p w:rsidR="00FE0045" w:rsidRPr="00614CC6" w:rsidRDefault="00FE0045" w:rsidP="00E12924">
            <w:pPr>
              <w:spacing w:before="30" w:after="30"/>
              <w:jc w:val="left"/>
              <w:rPr>
                <w:sz w:val="20"/>
                <w:lang w:val="en-US"/>
              </w:rPr>
            </w:pPr>
            <w:r w:rsidRPr="00614CC6">
              <w:rPr>
                <w:sz w:val="20"/>
              </w:rPr>
              <w:t>Applications spatiales et météorologie</w:t>
            </w:r>
          </w:p>
        </w:tc>
      </w:tr>
      <w:tr w:rsidR="00FE0045" w:rsidRPr="00614CC6" w:rsidTr="00E12924">
        <w:tc>
          <w:tcPr>
            <w:tcW w:w="1140" w:type="dxa"/>
          </w:tcPr>
          <w:p w:rsidR="00FE0045" w:rsidRPr="00614CC6" w:rsidRDefault="00FE0045" w:rsidP="00E12924">
            <w:pPr>
              <w:spacing w:before="30" w:after="30"/>
              <w:ind w:left="57"/>
              <w:jc w:val="left"/>
              <w:rPr>
                <w:b/>
                <w:bCs/>
                <w:sz w:val="20"/>
                <w:lang w:val="en-US"/>
              </w:rPr>
            </w:pPr>
            <w:r w:rsidRPr="00614CC6">
              <w:rPr>
                <w:b/>
                <w:bCs/>
                <w:sz w:val="20"/>
                <w:lang w:val="en-US"/>
              </w:rPr>
              <w:t>SF</w:t>
            </w:r>
          </w:p>
        </w:tc>
        <w:tc>
          <w:tcPr>
            <w:tcW w:w="8220" w:type="dxa"/>
          </w:tcPr>
          <w:p w:rsidR="00FE0045" w:rsidRPr="00614CC6" w:rsidRDefault="00FE0045" w:rsidP="00E12924">
            <w:pPr>
              <w:spacing w:before="30" w:after="30"/>
              <w:jc w:val="left"/>
              <w:rPr>
                <w:sz w:val="20"/>
              </w:rPr>
            </w:pPr>
            <w:r w:rsidRPr="00614CC6">
              <w:rPr>
                <w:sz w:val="20"/>
              </w:rPr>
              <w:t>Partage des fréquences et coordination entre les systèmes du service fixe par satellite et du service fixe</w:t>
            </w:r>
          </w:p>
        </w:tc>
      </w:tr>
      <w:tr w:rsidR="00FE0045" w:rsidRPr="00036EE3" w:rsidTr="00E12924">
        <w:tc>
          <w:tcPr>
            <w:tcW w:w="1140" w:type="dxa"/>
            <w:shd w:val="clear" w:color="auto" w:fill="auto"/>
          </w:tcPr>
          <w:p w:rsidR="00FE0045" w:rsidRPr="00592F9F" w:rsidRDefault="00FE0045" w:rsidP="00E12924">
            <w:pPr>
              <w:spacing w:before="30" w:after="30"/>
              <w:ind w:left="57"/>
              <w:jc w:val="left"/>
              <w:rPr>
                <w:b/>
                <w:bCs/>
                <w:sz w:val="20"/>
                <w:lang w:val="en-US"/>
              </w:rPr>
            </w:pPr>
            <w:r w:rsidRPr="00592F9F">
              <w:rPr>
                <w:b/>
                <w:bCs/>
                <w:sz w:val="20"/>
                <w:lang w:val="en-US"/>
              </w:rPr>
              <w:t>SM</w:t>
            </w:r>
          </w:p>
        </w:tc>
        <w:tc>
          <w:tcPr>
            <w:tcW w:w="8220" w:type="dxa"/>
            <w:shd w:val="clear" w:color="auto" w:fill="auto"/>
          </w:tcPr>
          <w:p w:rsidR="00FE0045" w:rsidRPr="00592F9F" w:rsidRDefault="00FE0045" w:rsidP="00E12924">
            <w:pPr>
              <w:spacing w:before="30" w:after="30"/>
              <w:jc w:val="left"/>
              <w:rPr>
                <w:sz w:val="20"/>
                <w:lang w:val="en-US"/>
              </w:rPr>
            </w:pPr>
            <w:r w:rsidRPr="00592F9F">
              <w:rPr>
                <w:sz w:val="20"/>
              </w:rPr>
              <w:t>Gestion du spectre</w:t>
            </w:r>
          </w:p>
        </w:tc>
      </w:tr>
      <w:tr w:rsidR="00FE0045" w:rsidRPr="00036EE3" w:rsidTr="00E12924">
        <w:tc>
          <w:tcPr>
            <w:tcW w:w="1140" w:type="dxa"/>
          </w:tcPr>
          <w:p w:rsidR="00FE0045" w:rsidRPr="00614CC6" w:rsidRDefault="00FE0045" w:rsidP="00E12924">
            <w:pPr>
              <w:spacing w:before="30" w:after="30"/>
              <w:ind w:left="57"/>
              <w:jc w:val="left"/>
              <w:rPr>
                <w:b/>
                <w:bCs/>
                <w:sz w:val="20"/>
                <w:lang w:val="en-US"/>
              </w:rPr>
            </w:pPr>
            <w:r w:rsidRPr="00614CC6">
              <w:rPr>
                <w:b/>
                <w:bCs/>
                <w:sz w:val="20"/>
                <w:lang w:val="en-US"/>
              </w:rPr>
              <w:t>SNG</w:t>
            </w:r>
          </w:p>
        </w:tc>
        <w:tc>
          <w:tcPr>
            <w:tcW w:w="8220" w:type="dxa"/>
          </w:tcPr>
          <w:p w:rsidR="00FE0045" w:rsidRPr="00614CC6" w:rsidRDefault="00FE0045" w:rsidP="00E12924">
            <w:pPr>
              <w:spacing w:before="30" w:after="30"/>
              <w:jc w:val="left"/>
              <w:rPr>
                <w:sz w:val="20"/>
                <w:lang w:val="en-US"/>
              </w:rPr>
            </w:pPr>
            <w:r w:rsidRPr="00614CC6">
              <w:rPr>
                <w:sz w:val="20"/>
              </w:rPr>
              <w:t>Reportage d'actualités par satellite</w:t>
            </w:r>
          </w:p>
        </w:tc>
      </w:tr>
      <w:tr w:rsidR="00FE0045" w:rsidRPr="00614CC6" w:rsidTr="00E12924">
        <w:tc>
          <w:tcPr>
            <w:tcW w:w="1140" w:type="dxa"/>
          </w:tcPr>
          <w:p w:rsidR="00FE0045" w:rsidRPr="00614CC6" w:rsidRDefault="00FE0045" w:rsidP="00E12924">
            <w:pPr>
              <w:spacing w:before="30" w:after="30"/>
              <w:ind w:left="57"/>
              <w:jc w:val="left"/>
              <w:rPr>
                <w:b/>
                <w:bCs/>
                <w:sz w:val="20"/>
                <w:lang w:val="en-US"/>
              </w:rPr>
            </w:pPr>
            <w:r w:rsidRPr="00614CC6">
              <w:rPr>
                <w:b/>
                <w:bCs/>
                <w:sz w:val="20"/>
                <w:lang w:val="en-US"/>
              </w:rPr>
              <w:t>TF</w:t>
            </w:r>
          </w:p>
        </w:tc>
        <w:tc>
          <w:tcPr>
            <w:tcW w:w="8220" w:type="dxa"/>
          </w:tcPr>
          <w:p w:rsidR="00FE0045" w:rsidRPr="00614CC6" w:rsidRDefault="00FE0045" w:rsidP="00E12924">
            <w:pPr>
              <w:spacing w:before="30" w:after="30"/>
              <w:jc w:val="left"/>
              <w:rPr>
                <w:sz w:val="20"/>
              </w:rPr>
            </w:pPr>
            <w:r w:rsidRPr="00614CC6">
              <w:rPr>
                <w:sz w:val="20"/>
              </w:rPr>
              <w:t>Emissions de fréquences étalon et de signaux horaires</w:t>
            </w:r>
          </w:p>
        </w:tc>
      </w:tr>
      <w:tr w:rsidR="00FE0045" w:rsidRPr="00036EE3" w:rsidTr="00E12924">
        <w:tc>
          <w:tcPr>
            <w:tcW w:w="1140" w:type="dxa"/>
          </w:tcPr>
          <w:p w:rsidR="00FE0045" w:rsidRPr="00614CC6" w:rsidRDefault="00FE0045" w:rsidP="00E12924">
            <w:pPr>
              <w:spacing w:before="30" w:after="30"/>
              <w:ind w:left="57"/>
              <w:jc w:val="left"/>
              <w:rPr>
                <w:b/>
                <w:bCs/>
                <w:sz w:val="20"/>
                <w:lang w:val="en-US"/>
              </w:rPr>
            </w:pPr>
            <w:r w:rsidRPr="00614CC6">
              <w:rPr>
                <w:b/>
                <w:bCs/>
                <w:sz w:val="20"/>
                <w:lang w:val="en-US"/>
              </w:rPr>
              <w:t>V</w:t>
            </w:r>
          </w:p>
        </w:tc>
        <w:tc>
          <w:tcPr>
            <w:tcW w:w="8220" w:type="dxa"/>
          </w:tcPr>
          <w:p w:rsidR="00FE0045" w:rsidRPr="00614CC6" w:rsidRDefault="00FE0045" w:rsidP="00E12924">
            <w:pPr>
              <w:spacing w:before="30" w:after="140"/>
              <w:jc w:val="left"/>
              <w:rPr>
                <w:sz w:val="20"/>
                <w:lang w:val="en-US"/>
              </w:rPr>
            </w:pPr>
            <w:r w:rsidRPr="00614CC6">
              <w:rPr>
                <w:sz w:val="20"/>
              </w:rPr>
              <w:t>Vocabulaire et sujets associés</w:t>
            </w:r>
          </w:p>
        </w:tc>
      </w:tr>
    </w:tbl>
    <w:p w:rsidR="00FE0045" w:rsidRPr="00036EE3" w:rsidRDefault="00FE0045" w:rsidP="00FE0045">
      <w:pPr>
        <w:spacing w:before="0"/>
        <w:jc w:val="center"/>
        <w:rPr>
          <w:sz w:val="20"/>
          <w:lang w:val="en-US"/>
        </w:rPr>
      </w:pPr>
    </w:p>
    <w:p w:rsidR="00FE0045" w:rsidRPr="00036EE3" w:rsidRDefault="00FE0045" w:rsidP="00FE004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E0045" w:rsidRPr="00756B4D" w:rsidTr="00E12924">
        <w:tc>
          <w:tcPr>
            <w:tcW w:w="9360" w:type="dxa"/>
          </w:tcPr>
          <w:p w:rsidR="00FE0045" w:rsidRPr="00756B4D" w:rsidRDefault="00FE0045" w:rsidP="00E12924">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FE0045" w:rsidRPr="00756B4D" w:rsidRDefault="00FE0045" w:rsidP="00FE0045">
      <w:pPr>
        <w:spacing w:before="0"/>
        <w:jc w:val="center"/>
        <w:rPr>
          <w:sz w:val="22"/>
        </w:rPr>
      </w:pPr>
    </w:p>
    <w:p w:rsidR="00FE0045" w:rsidRPr="00614CC6" w:rsidRDefault="00FE0045" w:rsidP="00FE0045">
      <w:pPr>
        <w:spacing w:before="100"/>
        <w:jc w:val="right"/>
        <w:rPr>
          <w:i/>
          <w:iCs/>
          <w:sz w:val="20"/>
        </w:rPr>
      </w:pPr>
      <w:r w:rsidRPr="00614CC6">
        <w:rPr>
          <w:i/>
          <w:iCs/>
          <w:sz w:val="20"/>
        </w:rPr>
        <w:t>Publication électronique</w:t>
      </w:r>
    </w:p>
    <w:p w:rsidR="00FE0045" w:rsidRPr="00614CC6" w:rsidRDefault="00FE0045" w:rsidP="00FE0045">
      <w:pPr>
        <w:spacing w:before="0"/>
        <w:jc w:val="right"/>
        <w:rPr>
          <w:sz w:val="20"/>
        </w:rPr>
      </w:pPr>
      <w:r w:rsidRPr="00614CC6">
        <w:rPr>
          <w:sz w:val="20"/>
        </w:rPr>
        <w:t>Genève, 20</w:t>
      </w:r>
      <w:r>
        <w:rPr>
          <w:sz w:val="20"/>
        </w:rPr>
        <w:t>14</w:t>
      </w:r>
    </w:p>
    <w:p w:rsidR="00FE0045" w:rsidRPr="00614CC6" w:rsidRDefault="00FE0045" w:rsidP="00FE0045">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FE0045" w:rsidRPr="00614CC6" w:rsidRDefault="00FE0045" w:rsidP="00FE004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FE0045" w:rsidRPr="00614CC6" w:rsidRDefault="00FE0045" w:rsidP="00FE0045">
      <w:pPr>
        <w:spacing w:before="160"/>
        <w:rPr>
          <w:i/>
          <w:sz w:val="20"/>
          <w:highlight w:val="yellow"/>
        </w:rPr>
        <w:sectPr w:rsidR="00FE0045" w:rsidRPr="00614CC6" w:rsidSect="00E12924">
          <w:headerReference w:type="even" r:id="rId12"/>
          <w:headerReference w:type="default" r:id="rId13"/>
          <w:pgSz w:w="11907" w:h="16834" w:code="9"/>
          <w:pgMar w:top="1418" w:right="1134" w:bottom="1134" w:left="1134" w:header="720" w:footer="482" w:gutter="0"/>
          <w:pgNumType w:fmt="lowerRoman" w:start="2"/>
          <w:cols w:space="720"/>
        </w:sectPr>
      </w:pPr>
    </w:p>
    <w:p w:rsidR="00FE0045" w:rsidRPr="00756B4D" w:rsidRDefault="00FE0045" w:rsidP="00FE0045">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Pr>
          <w:rStyle w:val="href"/>
        </w:rPr>
        <w:t>1768-1</w:t>
      </w:r>
    </w:p>
    <w:p w:rsidR="00FE0045" w:rsidRDefault="00FE0045" w:rsidP="00F00D23">
      <w:pPr>
        <w:pStyle w:val="Rectitle"/>
        <w:rPr>
          <w:kern w:val="28"/>
        </w:rPr>
      </w:pPr>
      <w:r>
        <w:t>Méthodologie</w:t>
      </w:r>
      <w:r>
        <w:rPr>
          <w:kern w:val="28"/>
        </w:rPr>
        <w:t xml:space="preserve"> de calcul des exigences de spectre pour la composante de Terre </w:t>
      </w:r>
      <w:r>
        <w:rPr>
          <w:kern w:val="28"/>
        </w:rPr>
        <w:br/>
        <w:t xml:space="preserve">des télécommunications mobiles internationales </w:t>
      </w:r>
    </w:p>
    <w:p w:rsidR="00FE0045" w:rsidRDefault="00FE0045" w:rsidP="00FE0045">
      <w:pPr>
        <w:pStyle w:val="Recdate"/>
      </w:pPr>
    </w:p>
    <w:p w:rsidR="00FE0045" w:rsidRDefault="00FE0045" w:rsidP="00FE0045">
      <w:pPr>
        <w:pStyle w:val="Recdate"/>
      </w:pPr>
      <w:r>
        <w:t>(2006-2013)</w:t>
      </w:r>
    </w:p>
    <w:p w:rsidR="00C038C1" w:rsidRPr="00C038C1" w:rsidRDefault="00C038C1" w:rsidP="00C038C1">
      <w:pPr>
        <w:pStyle w:val="Normalaftertitle"/>
        <w:spacing w:before="0"/>
      </w:pPr>
    </w:p>
    <w:p w:rsidR="00FE0045" w:rsidRPr="005B5E0B" w:rsidRDefault="00FE0045" w:rsidP="00C038C1">
      <w:pPr>
        <w:pStyle w:val="HeadingSum"/>
        <w:rPr>
          <w:lang w:val="fr-CH"/>
        </w:rPr>
      </w:pPr>
      <w:r w:rsidRPr="005B5E0B">
        <w:rPr>
          <w:lang w:val="fr-CH"/>
        </w:rPr>
        <w:t>Domaine de compétence</w:t>
      </w:r>
    </w:p>
    <w:p w:rsidR="00FE0045" w:rsidRPr="005B5E0B" w:rsidRDefault="00FE0045" w:rsidP="00C038C1">
      <w:pPr>
        <w:pStyle w:val="Summary"/>
        <w:rPr>
          <w:lang w:val="fr-CH"/>
        </w:rPr>
      </w:pPr>
      <w:r w:rsidRPr="005B5E0B">
        <w:rPr>
          <w:lang w:val="fr-CH"/>
        </w:rPr>
        <w:t xml:space="preserve">La présente Recommandation décrit une méthodologie de calcul qui permet de déterminer les exigences de spectre de Terre pour les télécommunications mobiles internationales (IMT). </w:t>
      </w:r>
    </w:p>
    <w:p w:rsidR="00FE0045" w:rsidRPr="00FE0045" w:rsidRDefault="00FE0045" w:rsidP="00C038C1">
      <w:pPr>
        <w:pStyle w:val="Summary"/>
        <w:rPr>
          <w:lang w:val="fr-CH"/>
        </w:rPr>
      </w:pPr>
      <w:r w:rsidRPr="005B5E0B">
        <w:rPr>
          <w:lang w:val="fr-CH"/>
        </w:rPr>
        <w:t xml:space="preserve">Elle offre une approche systématique intégrant les catégories de services (combinaison de type de service et de classe de trafic), les environnements de service (combinaison du profil d'utilisation des services et de la télédensité), les environnements radioélectriques, l'analyse des données commerciales et l'estimation du trafic en fonction de ces catégories et environnements, la répartition du trafic entre les groupes de techniques d'accès radioélectrique (RATG), le calcul de la capacité de système requise et la détermination des besoins de spectre correspondants. Cette méthodologie est applicable au trafic à commutation par paquets et peut prendre en charge plusieurs services. Elle </w:t>
      </w:r>
      <w:r w:rsidR="00E12924" w:rsidRPr="005B5E0B">
        <w:rPr>
          <w:lang w:val="fr-CH"/>
        </w:rPr>
        <w:t xml:space="preserve">permet également de </w:t>
      </w:r>
      <w:r w:rsidRPr="005B5E0B">
        <w:rPr>
          <w:lang w:val="fr-CH"/>
        </w:rPr>
        <w:t>prendre en charge l</w:t>
      </w:r>
      <w:r w:rsidR="005B5E0B">
        <w:rPr>
          <w:lang w:val="fr-CH"/>
        </w:rPr>
        <w:t>'</w:t>
      </w:r>
      <w:r w:rsidRPr="005B5E0B">
        <w:rPr>
          <w:lang w:val="fr-CH"/>
        </w:rPr>
        <w:t xml:space="preserve">émulation du trafic à commutation de circuits </w:t>
      </w:r>
      <w:r w:rsidR="00E12924" w:rsidRPr="005B5E0B">
        <w:rPr>
          <w:lang w:val="fr-CH"/>
        </w:rPr>
        <w:t xml:space="preserve">par le recours à un concept </w:t>
      </w:r>
      <w:r w:rsidRPr="005B5E0B">
        <w:rPr>
          <w:lang w:val="fr-CH"/>
        </w:rPr>
        <w:t>fondé sur la réservation de ressources</w:t>
      </w:r>
      <w:r w:rsidRPr="00FE0045">
        <w:rPr>
          <w:lang w:val="fr-CH" w:eastAsia="ja-JP"/>
        </w:rPr>
        <w:t>.</w:t>
      </w:r>
    </w:p>
    <w:p w:rsidR="00FE0045" w:rsidRDefault="00FE0045" w:rsidP="00FE0045">
      <w:pPr>
        <w:pStyle w:val="Heading1"/>
        <w:rPr>
          <w:kern w:val="28"/>
        </w:rPr>
      </w:pPr>
      <w:r>
        <w:rPr>
          <w:kern w:val="28"/>
        </w:rPr>
        <w:t>1</w:t>
      </w:r>
      <w:r>
        <w:rPr>
          <w:kern w:val="28"/>
        </w:rPr>
        <w:tab/>
        <w:t>Recommandations et Rapports connexes</w:t>
      </w:r>
    </w:p>
    <w:p w:rsidR="00FE0045" w:rsidRPr="00E0735D" w:rsidRDefault="00FE0045" w:rsidP="00F00D23">
      <w:pPr>
        <w:pStyle w:val="Reftext"/>
        <w:rPr>
          <w:kern w:val="28"/>
          <w:sz w:val="24"/>
          <w:szCs w:val="24"/>
        </w:rPr>
      </w:pPr>
      <w:r w:rsidRPr="00E0735D">
        <w:rPr>
          <w:kern w:val="28"/>
          <w:sz w:val="24"/>
          <w:szCs w:val="24"/>
        </w:rPr>
        <w:t xml:space="preserve">Recommandation UIT-R M.1390 – </w:t>
      </w:r>
      <w:r w:rsidRPr="00E0735D">
        <w:rPr>
          <w:i/>
          <w:iCs/>
          <w:kern w:val="28"/>
          <w:sz w:val="24"/>
          <w:szCs w:val="24"/>
        </w:rPr>
        <w:t>Méthodologie de calcul des exigences de spectre de Terre pour les systèmes IMT</w:t>
      </w:r>
      <w:r w:rsidRPr="00E0735D">
        <w:rPr>
          <w:i/>
          <w:iCs/>
          <w:kern w:val="28"/>
          <w:sz w:val="24"/>
          <w:szCs w:val="24"/>
        </w:rPr>
        <w:noBreakHyphen/>
        <w:t>2000</w:t>
      </w:r>
      <w:r w:rsidR="00E0735D">
        <w:rPr>
          <w:kern w:val="28"/>
          <w:sz w:val="24"/>
          <w:szCs w:val="24"/>
        </w:rPr>
        <w:t>.</w:t>
      </w:r>
    </w:p>
    <w:p w:rsidR="00FE0045" w:rsidRPr="00E0735D" w:rsidRDefault="00FE0045" w:rsidP="00F00D23">
      <w:pPr>
        <w:pStyle w:val="Reftext"/>
        <w:rPr>
          <w:sz w:val="24"/>
          <w:szCs w:val="24"/>
          <w:lang w:val="fr-CH"/>
        </w:rPr>
      </w:pPr>
      <w:r w:rsidRPr="00E0735D">
        <w:rPr>
          <w:sz w:val="24"/>
          <w:szCs w:val="24"/>
          <w:lang w:val="fr-CH"/>
        </w:rPr>
        <w:t>Recommandation UIT-R M.1457 –</w:t>
      </w:r>
      <w:r w:rsidR="00E0735D">
        <w:rPr>
          <w:sz w:val="24"/>
          <w:szCs w:val="24"/>
          <w:lang w:val="fr-CH"/>
        </w:rPr>
        <w:t xml:space="preserve"> </w:t>
      </w:r>
      <w:r w:rsidRPr="00E0735D">
        <w:rPr>
          <w:rFonts w:cstheme="majorBidi"/>
          <w:i/>
          <w:iCs/>
          <w:sz w:val="24"/>
          <w:szCs w:val="24"/>
        </w:rPr>
        <w:t>Spécifications détaillées des interfaces radioélectriques de Terre des télécommunications mobiles internationales 2000 (IMT-2000)</w:t>
      </w:r>
      <w:r w:rsidR="00E0735D">
        <w:rPr>
          <w:sz w:val="24"/>
          <w:szCs w:val="24"/>
        </w:rPr>
        <w:t>.</w:t>
      </w:r>
    </w:p>
    <w:p w:rsidR="00FE0045" w:rsidRPr="00E0735D" w:rsidRDefault="00FE0045" w:rsidP="00F00D23">
      <w:pPr>
        <w:pStyle w:val="Reftext"/>
        <w:rPr>
          <w:kern w:val="28"/>
          <w:sz w:val="24"/>
          <w:szCs w:val="24"/>
        </w:rPr>
      </w:pPr>
      <w:r w:rsidRPr="00E0735D">
        <w:rPr>
          <w:kern w:val="28"/>
          <w:sz w:val="24"/>
          <w:szCs w:val="24"/>
        </w:rPr>
        <w:t>Recommandation UIT-R M.1645 –</w:t>
      </w:r>
      <w:r w:rsidR="00E0735D">
        <w:rPr>
          <w:kern w:val="28"/>
          <w:sz w:val="24"/>
          <w:szCs w:val="24"/>
        </w:rPr>
        <w:t xml:space="preserve"> </w:t>
      </w:r>
      <w:r w:rsidRPr="00E0735D">
        <w:rPr>
          <w:i/>
          <w:iCs/>
          <w:kern w:val="28"/>
          <w:sz w:val="24"/>
          <w:szCs w:val="24"/>
        </w:rPr>
        <w:t>Cadre et objectifs d'ensemble du développement futur des IMT</w:t>
      </w:r>
      <w:r w:rsidRPr="00E0735D">
        <w:rPr>
          <w:i/>
          <w:iCs/>
          <w:kern w:val="28"/>
          <w:sz w:val="24"/>
          <w:szCs w:val="24"/>
        </w:rPr>
        <w:noBreakHyphen/>
        <w:t>2000 et des systèmes postérieurs aux IMT</w:t>
      </w:r>
      <w:r w:rsidRPr="00E0735D">
        <w:rPr>
          <w:i/>
          <w:iCs/>
          <w:kern w:val="28"/>
          <w:sz w:val="24"/>
          <w:szCs w:val="24"/>
        </w:rPr>
        <w:noBreakHyphen/>
        <w:t>2000</w:t>
      </w:r>
      <w:r w:rsidR="00E0735D">
        <w:rPr>
          <w:kern w:val="28"/>
          <w:sz w:val="24"/>
          <w:szCs w:val="24"/>
        </w:rPr>
        <w:t>.</w:t>
      </w:r>
    </w:p>
    <w:p w:rsidR="00FE0045" w:rsidRPr="00E0735D" w:rsidRDefault="00FE0045" w:rsidP="005B5E0B">
      <w:pPr>
        <w:pStyle w:val="Reftext"/>
        <w:rPr>
          <w:sz w:val="24"/>
          <w:szCs w:val="24"/>
          <w:lang w:val="fr-CH"/>
        </w:rPr>
      </w:pPr>
      <w:r w:rsidRPr="00E0735D">
        <w:rPr>
          <w:sz w:val="24"/>
          <w:szCs w:val="24"/>
          <w:lang w:val="fr-CH"/>
        </w:rPr>
        <w:t>Recomm</w:t>
      </w:r>
      <w:r w:rsidR="005B5E0B">
        <w:rPr>
          <w:sz w:val="24"/>
          <w:szCs w:val="24"/>
          <w:lang w:val="fr-CH"/>
        </w:rPr>
        <w:t>a</w:t>
      </w:r>
      <w:r w:rsidRPr="00E0735D">
        <w:rPr>
          <w:sz w:val="24"/>
          <w:szCs w:val="24"/>
          <w:lang w:val="fr-CH"/>
        </w:rPr>
        <w:t>ndation UIT-R M.2012 –</w:t>
      </w:r>
      <w:r w:rsidR="00E0735D">
        <w:rPr>
          <w:sz w:val="24"/>
          <w:szCs w:val="24"/>
          <w:lang w:val="fr-CH"/>
        </w:rPr>
        <w:t xml:space="preserve"> </w:t>
      </w:r>
      <w:r w:rsidRPr="00E0735D">
        <w:rPr>
          <w:rFonts w:cstheme="majorBidi"/>
          <w:i/>
          <w:iCs/>
          <w:sz w:val="24"/>
          <w:szCs w:val="24"/>
        </w:rPr>
        <w:t>Spécifications détaillées des interfaces radioélectriques de Terre des télécommunications mobiles internationales évoluées (IMT évoluées).</w:t>
      </w:r>
    </w:p>
    <w:p w:rsidR="00FE0045" w:rsidRPr="00E0735D" w:rsidRDefault="00FE0045" w:rsidP="00FE0045">
      <w:pPr>
        <w:pStyle w:val="Reftext"/>
        <w:rPr>
          <w:kern w:val="28"/>
          <w:sz w:val="24"/>
          <w:szCs w:val="24"/>
        </w:rPr>
      </w:pPr>
      <w:r w:rsidRPr="00E0735D">
        <w:rPr>
          <w:kern w:val="28"/>
          <w:sz w:val="24"/>
          <w:szCs w:val="24"/>
        </w:rPr>
        <w:t xml:space="preserve">Rapport UIT-R M.2038 – </w:t>
      </w:r>
      <w:r w:rsidRPr="00E0735D">
        <w:rPr>
          <w:i/>
          <w:iCs/>
          <w:kern w:val="28"/>
          <w:sz w:val="24"/>
          <w:szCs w:val="24"/>
        </w:rPr>
        <w:t>Orientations technologiques</w:t>
      </w:r>
      <w:r w:rsidRPr="00E0735D">
        <w:rPr>
          <w:kern w:val="28"/>
          <w:sz w:val="24"/>
          <w:szCs w:val="24"/>
        </w:rPr>
        <w:t>.</w:t>
      </w:r>
    </w:p>
    <w:p w:rsidR="00FE0045" w:rsidRPr="00E0735D" w:rsidRDefault="00FE0045" w:rsidP="00FE0045">
      <w:pPr>
        <w:pStyle w:val="Reftext"/>
        <w:rPr>
          <w:kern w:val="28"/>
          <w:sz w:val="24"/>
          <w:szCs w:val="24"/>
        </w:rPr>
      </w:pPr>
      <w:r w:rsidRPr="00E0735D">
        <w:rPr>
          <w:kern w:val="28"/>
          <w:sz w:val="24"/>
          <w:szCs w:val="24"/>
        </w:rPr>
        <w:t xml:space="preserve">Rapport UIT-R M.2072 – </w:t>
      </w:r>
      <w:r w:rsidRPr="00E0735D">
        <w:rPr>
          <w:i/>
          <w:iCs/>
          <w:kern w:val="28"/>
          <w:sz w:val="24"/>
          <w:szCs w:val="24"/>
        </w:rPr>
        <w:t>Prévisions du marché mondial des télécommunications mobiles</w:t>
      </w:r>
      <w:r w:rsidRPr="00E0735D">
        <w:rPr>
          <w:kern w:val="28"/>
          <w:sz w:val="24"/>
          <w:szCs w:val="24"/>
        </w:rPr>
        <w:t>.</w:t>
      </w:r>
    </w:p>
    <w:p w:rsidR="00FE0045" w:rsidRPr="00E0735D" w:rsidRDefault="00FE0045" w:rsidP="00FE0045">
      <w:pPr>
        <w:pStyle w:val="Reftext"/>
        <w:rPr>
          <w:kern w:val="28"/>
          <w:sz w:val="24"/>
          <w:szCs w:val="24"/>
        </w:rPr>
      </w:pPr>
      <w:r w:rsidRPr="00E0735D">
        <w:rPr>
          <w:kern w:val="28"/>
          <w:sz w:val="24"/>
          <w:szCs w:val="24"/>
        </w:rPr>
        <w:t xml:space="preserve">Rapport UIT-R M.2074 – </w:t>
      </w:r>
      <w:r w:rsidRPr="00E0735D">
        <w:rPr>
          <w:i/>
          <w:iCs/>
          <w:kern w:val="28"/>
          <w:sz w:val="24"/>
          <w:szCs w:val="24"/>
        </w:rPr>
        <w:t>Aspects radioélectriques pour la composante de Terre des IMT</w:t>
      </w:r>
      <w:r w:rsidRPr="00E0735D">
        <w:rPr>
          <w:i/>
          <w:iCs/>
          <w:kern w:val="28"/>
          <w:sz w:val="24"/>
          <w:szCs w:val="24"/>
        </w:rPr>
        <w:noBreakHyphen/>
        <w:t>2000 et des systèmes postérieurs aux IMT</w:t>
      </w:r>
      <w:r w:rsidRPr="00E0735D">
        <w:rPr>
          <w:i/>
          <w:iCs/>
          <w:kern w:val="28"/>
          <w:sz w:val="24"/>
          <w:szCs w:val="24"/>
        </w:rPr>
        <w:noBreakHyphen/>
        <w:t>2000</w:t>
      </w:r>
      <w:r w:rsidRPr="00E0735D">
        <w:rPr>
          <w:kern w:val="28"/>
          <w:sz w:val="24"/>
          <w:szCs w:val="24"/>
        </w:rPr>
        <w:t>.</w:t>
      </w:r>
    </w:p>
    <w:p w:rsidR="00FE0045" w:rsidRPr="00E0735D" w:rsidRDefault="00FE0045" w:rsidP="00F00D23">
      <w:pPr>
        <w:pStyle w:val="Reftext"/>
        <w:rPr>
          <w:sz w:val="24"/>
          <w:szCs w:val="24"/>
          <w:lang w:val="fr-CH"/>
        </w:rPr>
      </w:pPr>
      <w:r w:rsidRPr="00E0735D">
        <w:rPr>
          <w:sz w:val="24"/>
          <w:szCs w:val="24"/>
          <w:lang w:val="fr-CH"/>
        </w:rPr>
        <w:t>Rapport UIT-R M.2243 –</w:t>
      </w:r>
      <w:r w:rsidRPr="00E0735D">
        <w:rPr>
          <w:rFonts w:cstheme="majorBidi"/>
          <w:i/>
          <w:iCs/>
          <w:sz w:val="24"/>
          <w:szCs w:val="24"/>
        </w:rPr>
        <w:t xml:space="preserve"> Evaluation des déploiements des systèmes mobiles à large bande à l'échelle mondiale ainsi que des prévisions pour les télécommunications mobiles internationales</w:t>
      </w:r>
      <w:r w:rsidRPr="00E0735D">
        <w:rPr>
          <w:sz w:val="24"/>
          <w:szCs w:val="24"/>
          <w:lang w:val="fr-CH"/>
        </w:rPr>
        <w:t>.</w:t>
      </w:r>
    </w:p>
    <w:p w:rsidR="00FE0045" w:rsidRDefault="00FE0045" w:rsidP="00FE0045">
      <w:pPr>
        <w:pStyle w:val="Normalaftertitle"/>
        <w:rPr>
          <w:kern w:val="28"/>
        </w:rPr>
      </w:pPr>
      <w:r>
        <w:rPr>
          <w:kern w:val="28"/>
        </w:rPr>
        <w:t>L'Assemblée des radiocommunications de l'UIT,</w:t>
      </w:r>
    </w:p>
    <w:p w:rsidR="00FE0045" w:rsidRDefault="00FE0045" w:rsidP="00FE0045">
      <w:pPr>
        <w:pStyle w:val="Call"/>
        <w:rPr>
          <w:kern w:val="28"/>
        </w:rPr>
      </w:pPr>
      <w:r>
        <w:rPr>
          <w:kern w:val="28"/>
        </w:rPr>
        <w:t>considérant</w:t>
      </w:r>
    </w:p>
    <w:p w:rsidR="00FE0045" w:rsidRDefault="00FE0045" w:rsidP="00F00D23">
      <w:pPr>
        <w:rPr>
          <w:kern w:val="28"/>
        </w:rPr>
      </w:pPr>
      <w:r w:rsidRPr="00F409CD">
        <w:rPr>
          <w:i/>
          <w:iCs/>
          <w:kern w:val="28"/>
        </w:rPr>
        <w:t>a)</w:t>
      </w:r>
      <w:r>
        <w:rPr>
          <w:kern w:val="28"/>
        </w:rPr>
        <w:tab/>
        <w:t xml:space="preserve">que les groupes de techniques d'accès radioélectrique (RATG, </w:t>
      </w:r>
      <w:r>
        <w:rPr>
          <w:i/>
          <w:kern w:val="28"/>
        </w:rPr>
        <w:t>radio access technique group</w:t>
      </w:r>
      <w:r>
        <w:rPr>
          <w:kern w:val="28"/>
        </w:rPr>
        <w:t xml:space="preserve">) qui conviennent aux IMT peuvent avoir des exigences de largeur de bande de canal différentes, et par conséquent des influences diverses sur les possibilités d'utilisation des fréquences de base; </w:t>
      </w:r>
    </w:p>
    <w:p w:rsidR="00FE0045" w:rsidRDefault="00FE0045" w:rsidP="00FE0045">
      <w:pPr>
        <w:rPr>
          <w:kern w:val="28"/>
        </w:rPr>
      </w:pPr>
      <w:r w:rsidRPr="00F409CD">
        <w:rPr>
          <w:i/>
          <w:iCs/>
          <w:kern w:val="28"/>
        </w:rPr>
        <w:lastRenderedPageBreak/>
        <w:t>b)</w:t>
      </w:r>
      <w:r>
        <w:rPr>
          <w:kern w:val="28"/>
        </w:rPr>
        <w:tab/>
        <w:t>que la méthodologie donnée dans l'Annexe 1 est jugée suffisamment souple pour prendre en charge soit une vue mondiale, soit des exigences spécifiques des marchés régionaux en matière de besoins de spectre de Terre;</w:t>
      </w:r>
    </w:p>
    <w:p w:rsidR="00FE0045" w:rsidRDefault="00FE0045" w:rsidP="00FE0045">
      <w:pPr>
        <w:rPr>
          <w:kern w:val="28"/>
        </w:rPr>
      </w:pPr>
      <w:r w:rsidRPr="00F409CD">
        <w:rPr>
          <w:i/>
          <w:iCs/>
          <w:kern w:val="28"/>
        </w:rPr>
        <w:t>c)</w:t>
      </w:r>
      <w:r>
        <w:rPr>
          <w:kern w:val="28"/>
        </w:rPr>
        <w:tab/>
        <w:t>que les fonctionnalités des services offerts par les réseaux des services fixes, mobiles et de radiodiffusion convergent et interfonctionnent de plus en plus;</w:t>
      </w:r>
    </w:p>
    <w:p w:rsidR="00FE0045" w:rsidRPr="00026808" w:rsidRDefault="00FE0045" w:rsidP="00F00D23">
      <w:pPr>
        <w:rPr>
          <w:lang w:val="fr-CH" w:eastAsia="ja-JP"/>
        </w:rPr>
      </w:pPr>
      <w:r w:rsidRPr="00F409CD">
        <w:rPr>
          <w:i/>
          <w:iCs/>
          <w:kern w:val="28"/>
        </w:rPr>
        <w:t>d)</w:t>
      </w:r>
      <w:r>
        <w:rPr>
          <w:kern w:val="28"/>
        </w:rPr>
        <w:tab/>
        <w:t>que tous les besoins du marché des télécommunications seront satisfaits par divers moyens de communication, en termes de services et de réseaux, conformément aux Recommandations UIT</w:t>
      </w:r>
      <w:r>
        <w:rPr>
          <w:kern w:val="28"/>
        </w:rPr>
        <w:noBreakHyphen/>
        <w:t xml:space="preserve">R M.1645, </w:t>
      </w:r>
      <w:r w:rsidRPr="00026808">
        <w:rPr>
          <w:lang w:val="fr-CH" w:eastAsia="ja-JP"/>
        </w:rPr>
        <w:t>U</w:t>
      </w:r>
      <w:r>
        <w:rPr>
          <w:lang w:val="fr-CH" w:eastAsia="ja-JP"/>
        </w:rPr>
        <w:t>IT</w:t>
      </w:r>
      <w:r w:rsidRPr="00026808">
        <w:rPr>
          <w:lang w:val="fr-CH" w:eastAsia="ja-JP"/>
        </w:rPr>
        <w:noBreakHyphen/>
        <w:t xml:space="preserve">R M.1457 </w:t>
      </w:r>
      <w:r>
        <w:rPr>
          <w:lang w:val="fr-CH" w:eastAsia="ja-JP"/>
        </w:rPr>
        <w:t>et</w:t>
      </w:r>
      <w:r w:rsidRPr="00026808">
        <w:rPr>
          <w:lang w:val="fr-CH" w:eastAsia="ja-JP"/>
        </w:rPr>
        <w:t xml:space="preserve"> U</w:t>
      </w:r>
      <w:r>
        <w:rPr>
          <w:lang w:val="fr-CH" w:eastAsia="ja-JP"/>
        </w:rPr>
        <w:t>IT</w:t>
      </w:r>
      <w:r w:rsidRPr="00026808">
        <w:rPr>
          <w:lang w:val="fr-CH" w:eastAsia="ja-JP"/>
        </w:rPr>
        <w:noBreakHyphen/>
        <w:t>R M.2012;</w:t>
      </w:r>
    </w:p>
    <w:p w:rsidR="00FE0045" w:rsidRPr="00FE0045" w:rsidRDefault="00FE0045" w:rsidP="00F00D23">
      <w:pPr>
        <w:rPr>
          <w:lang w:val="fr-CH" w:eastAsia="ja-JP"/>
        </w:rPr>
      </w:pPr>
      <w:r w:rsidRPr="00F409CD">
        <w:rPr>
          <w:i/>
          <w:iCs/>
          <w:lang w:val="fr-CH"/>
        </w:rPr>
        <w:t>d</w:t>
      </w:r>
      <w:r w:rsidRPr="00FE0045">
        <w:rPr>
          <w:i/>
          <w:iCs/>
          <w:lang w:val="fr-CH"/>
        </w:rPr>
        <w:t>bis</w:t>
      </w:r>
      <w:r w:rsidRPr="00FE0045">
        <w:rPr>
          <w:lang w:val="fr-CH"/>
        </w:rPr>
        <w:t>)</w:t>
      </w:r>
      <w:r w:rsidRPr="00FE0045">
        <w:rPr>
          <w:lang w:val="fr-CH"/>
        </w:rPr>
        <w:tab/>
      </w:r>
      <w:r w:rsidRPr="00C53EB8">
        <w:t xml:space="preserve">que </w:t>
      </w:r>
      <w:r w:rsidR="00534C19">
        <w:t xml:space="preserve">pour </w:t>
      </w:r>
      <w:r w:rsidRPr="00C53EB8">
        <w:t>la determination des ex</w:t>
      </w:r>
      <w:r w:rsidRPr="005A3204">
        <w:t>igenc</w:t>
      </w:r>
      <w:r w:rsidRPr="00C53EB8">
        <w:t>es de spectre</w:t>
      </w:r>
      <w:r>
        <w:t xml:space="preserve"> </w:t>
      </w:r>
      <w:r w:rsidRPr="00C53EB8">
        <w:rPr>
          <w:lang w:eastAsia="ja-JP"/>
        </w:rPr>
        <w:t xml:space="preserve">pour les IMT, les nouveaux </w:t>
      </w:r>
      <w:r w:rsidR="00534C19">
        <w:rPr>
          <w:lang w:eastAsia="ja-JP"/>
        </w:rPr>
        <w:t xml:space="preserve">impératifs </w:t>
      </w:r>
      <w:r w:rsidRPr="00C53EB8">
        <w:rPr>
          <w:lang w:eastAsia="ja-JP"/>
        </w:rPr>
        <w:t>du marché et les sc</w:t>
      </w:r>
      <w:r>
        <w:rPr>
          <w:lang w:eastAsia="ja-JP"/>
        </w:rPr>
        <w:t>é</w:t>
      </w:r>
      <w:r w:rsidRPr="00C53EB8">
        <w:rPr>
          <w:lang w:eastAsia="ja-JP"/>
        </w:rPr>
        <w:t xml:space="preserve">narios de </w:t>
      </w:r>
      <w:r w:rsidRPr="005A3204">
        <w:rPr>
          <w:lang w:eastAsia="ja-JP"/>
        </w:rPr>
        <w:t>d</w:t>
      </w:r>
      <w:r>
        <w:rPr>
          <w:lang w:eastAsia="ja-JP"/>
        </w:rPr>
        <w:t>é</w:t>
      </w:r>
      <w:r w:rsidRPr="00C53EB8">
        <w:rPr>
          <w:lang w:eastAsia="ja-JP"/>
        </w:rPr>
        <w:t xml:space="preserve">ploiement des réseaux ont été </w:t>
      </w:r>
      <w:r w:rsidR="00534C19">
        <w:rPr>
          <w:lang w:eastAsia="ja-JP"/>
        </w:rPr>
        <w:t xml:space="preserve">définis </w:t>
      </w:r>
      <w:r w:rsidRPr="00C53EB8">
        <w:rPr>
          <w:lang w:eastAsia="ja-JP"/>
        </w:rPr>
        <w:t xml:space="preserve">et pris </w:t>
      </w:r>
      <w:r>
        <w:rPr>
          <w:lang w:eastAsia="ja-JP"/>
        </w:rPr>
        <w:t xml:space="preserve">en </w:t>
      </w:r>
      <w:r w:rsidR="00534C19">
        <w:rPr>
          <w:lang w:eastAsia="ja-JP"/>
        </w:rPr>
        <w:t xml:space="preserve">considération </w:t>
      </w:r>
      <w:r>
        <w:rPr>
          <w:lang w:eastAsia="ja-JP"/>
        </w:rPr>
        <w:t xml:space="preserve">dans le </w:t>
      </w:r>
      <w:r w:rsidR="00534C19" w:rsidRPr="00FE0045">
        <w:rPr>
          <w:lang w:val="fr-CH"/>
        </w:rPr>
        <w:t>r</w:t>
      </w:r>
      <w:r w:rsidRPr="00FE0045">
        <w:rPr>
          <w:lang w:val="fr-CH"/>
        </w:rPr>
        <w:t>apport UIT</w:t>
      </w:r>
      <w:r w:rsidRPr="00FE0045">
        <w:rPr>
          <w:lang w:val="fr-CH"/>
        </w:rPr>
        <w:noBreakHyphen/>
        <w:t>R M.2243;</w:t>
      </w:r>
    </w:p>
    <w:p w:rsidR="00FE0045" w:rsidRDefault="00FE0045" w:rsidP="00FE0045">
      <w:pPr>
        <w:rPr>
          <w:kern w:val="28"/>
        </w:rPr>
      </w:pPr>
      <w:r w:rsidRPr="00F409CD">
        <w:rPr>
          <w:i/>
          <w:iCs/>
          <w:kern w:val="28"/>
        </w:rPr>
        <w:t>e)</w:t>
      </w:r>
      <w:r>
        <w:rPr>
          <w:kern w:val="28"/>
        </w:rPr>
        <w:tab/>
        <w:t>que d'autres mécanismes de transmission peuvent prendre en charge en commun certaines applications d'utilisateur et acheminer leur trafic;</w:t>
      </w:r>
    </w:p>
    <w:p w:rsidR="00FE0045" w:rsidRDefault="00FE0045" w:rsidP="00FE0045">
      <w:pPr>
        <w:rPr>
          <w:kern w:val="28"/>
        </w:rPr>
      </w:pPr>
      <w:r w:rsidRPr="00F409CD">
        <w:rPr>
          <w:i/>
          <w:iCs/>
          <w:kern w:val="28"/>
        </w:rPr>
        <w:t>f)</w:t>
      </w:r>
      <w:r>
        <w:rPr>
          <w:kern w:val="28"/>
        </w:rPr>
        <w:tab/>
        <w:t>qu'il faudrait tenir compte de la répartition du trafic entre les autres RATG pertinents;</w:t>
      </w:r>
    </w:p>
    <w:p w:rsidR="00FE0045" w:rsidRDefault="00FE0045" w:rsidP="00F00D23">
      <w:pPr>
        <w:rPr>
          <w:kern w:val="28"/>
        </w:rPr>
      </w:pPr>
      <w:r w:rsidRPr="00F409CD">
        <w:rPr>
          <w:i/>
          <w:iCs/>
          <w:kern w:val="28"/>
        </w:rPr>
        <w:t>g)</w:t>
      </w:r>
      <w:r>
        <w:rPr>
          <w:kern w:val="28"/>
        </w:rPr>
        <w:tab/>
        <w:t xml:space="preserve">que </w:t>
      </w:r>
      <w:r w:rsidR="00534C19">
        <w:rPr>
          <w:kern w:val="28"/>
        </w:rPr>
        <w:t xml:space="preserve">conformément à </w:t>
      </w:r>
      <w:r>
        <w:rPr>
          <w:kern w:val="28"/>
        </w:rPr>
        <w:t>la Résolution 233 (CMR-12)</w:t>
      </w:r>
      <w:r w:rsidR="00534C19">
        <w:rPr>
          <w:kern w:val="28"/>
        </w:rPr>
        <w:t>,</w:t>
      </w:r>
      <w:r>
        <w:rPr>
          <w:kern w:val="28"/>
        </w:rPr>
        <w:t xml:space="preserve"> l'UIT-R </w:t>
      </w:r>
      <w:r w:rsidR="00534C19">
        <w:rPr>
          <w:kern w:val="28"/>
        </w:rPr>
        <w:t xml:space="preserve">est invité </w:t>
      </w:r>
      <w:r>
        <w:rPr>
          <w:kern w:val="28"/>
        </w:rPr>
        <w:t xml:space="preserve">à </w:t>
      </w:r>
      <w:r w:rsidR="00534C19">
        <w:rPr>
          <w:kern w:val="28"/>
        </w:rPr>
        <w:t xml:space="preserve">étudier </w:t>
      </w:r>
      <w:r>
        <w:rPr>
          <w:kern w:val="28"/>
        </w:rPr>
        <w:t xml:space="preserve">les besoins de fréquences </w:t>
      </w:r>
      <w:r w:rsidR="00534C19">
        <w:rPr>
          <w:kern w:val="28"/>
        </w:rPr>
        <w:t xml:space="preserve">additionnels </w:t>
      </w:r>
      <w:r>
        <w:rPr>
          <w:kern w:val="28"/>
        </w:rPr>
        <w:t>des IMT;</w:t>
      </w:r>
    </w:p>
    <w:p w:rsidR="00F409CD" w:rsidRDefault="00FE0045" w:rsidP="00F409CD">
      <w:pPr>
        <w:rPr>
          <w:kern w:val="28"/>
        </w:rPr>
      </w:pPr>
      <w:r w:rsidRPr="00F409CD">
        <w:rPr>
          <w:i/>
          <w:iCs/>
          <w:kern w:val="28"/>
        </w:rPr>
        <w:t>h)</w:t>
      </w:r>
      <w:r>
        <w:rPr>
          <w:kern w:val="28"/>
        </w:rPr>
        <w:tab/>
        <w:t>que, par conséquent, les exigences de spectre devraient être calculées uniquement pour les RATG qui conviennent aux IMT;</w:t>
      </w:r>
    </w:p>
    <w:p w:rsidR="00FE0045" w:rsidRDefault="00F409CD" w:rsidP="00F409CD">
      <w:pPr>
        <w:rPr>
          <w:kern w:val="28"/>
        </w:rPr>
      </w:pPr>
      <w:r>
        <w:rPr>
          <w:i/>
          <w:iCs/>
          <w:kern w:val="28"/>
        </w:rPr>
        <w:t>i</w:t>
      </w:r>
      <w:r w:rsidR="00FE0045" w:rsidRPr="00F409CD">
        <w:rPr>
          <w:i/>
          <w:iCs/>
          <w:kern w:val="28"/>
        </w:rPr>
        <w:t>)</w:t>
      </w:r>
      <w:r w:rsidR="00FE0045">
        <w:rPr>
          <w:kern w:val="28"/>
        </w:rPr>
        <w:tab/>
        <w:t>qu'une méthodologie de calcul des exigences de spectre pour les IMT devrait:</w:t>
      </w:r>
    </w:p>
    <w:p w:rsidR="00FE0045" w:rsidRDefault="00FE0045" w:rsidP="00F409CD">
      <w:pPr>
        <w:pStyle w:val="enumlev2"/>
      </w:pPr>
      <w:r w:rsidRPr="00F409CD">
        <w:rPr>
          <w:i/>
          <w:iCs/>
        </w:rPr>
        <w:t>i)</w:t>
      </w:r>
      <w:r>
        <w:tab/>
        <w:t xml:space="preserve">prendre en charge les fonctionnalités décrites dans les Recommandations UIT-R M.1645, </w:t>
      </w:r>
      <w:r w:rsidRPr="00026808">
        <w:rPr>
          <w:lang w:val="fr-CH" w:eastAsia="ja-JP"/>
        </w:rPr>
        <w:t>U</w:t>
      </w:r>
      <w:r>
        <w:rPr>
          <w:lang w:val="fr-CH" w:eastAsia="ja-JP"/>
        </w:rPr>
        <w:t>IT</w:t>
      </w:r>
      <w:r w:rsidRPr="00026808">
        <w:rPr>
          <w:lang w:val="fr-CH" w:eastAsia="ja-JP"/>
        </w:rPr>
        <w:noBreakHyphen/>
        <w:t xml:space="preserve">R M.1457 </w:t>
      </w:r>
      <w:r>
        <w:rPr>
          <w:lang w:val="fr-CH" w:eastAsia="ja-JP"/>
        </w:rPr>
        <w:t>et</w:t>
      </w:r>
      <w:r w:rsidRPr="00026808">
        <w:rPr>
          <w:lang w:val="fr-CH" w:eastAsia="ja-JP"/>
        </w:rPr>
        <w:t xml:space="preserve"> U</w:t>
      </w:r>
      <w:r>
        <w:rPr>
          <w:lang w:val="fr-CH" w:eastAsia="ja-JP"/>
        </w:rPr>
        <w:t>IT</w:t>
      </w:r>
      <w:r w:rsidRPr="00026808">
        <w:rPr>
          <w:lang w:val="fr-CH" w:eastAsia="ja-JP"/>
        </w:rPr>
        <w:noBreakHyphen/>
        <w:t>R M.2012</w:t>
      </w:r>
      <w:r>
        <w:t>;</w:t>
      </w:r>
    </w:p>
    <w:p w:rsidR="00FE0045" w:rsidRDefault="00FE0045" w:rsidP="00F409CD">
      <w:pPr>
        <w:pStyle w:val="enumlev2"/>
      </w:pPr>
      <w:r w:rsidRPr="00F409CD">
        <w:rPr>
          <w:i/>
          <w:iCs/>
        </w:rPr>
        <w:t>ii)</w:t>
      </w:r>
      <w:r>
        <w:tab/>
        <w:t>prendre en charge l'éventail complexe de services qui auront besoin de largeurs de bande et de qualités de service différentes, et de débits binaires nettement plus élevés que les services IMT</w:t>
      </w:r>
      <w:r>
        <w:noBreakHyphen/>
        <w:t xml:space="preserve">2000; </w:t>
      </w:r>
    </w:p>
    <w:p w:rsidR="00FE0045" w:rsidRDefault="00FE0045" w:rsidP="00F409CD">
      <w:pPr>
        <w:pStyle w:val="enumlev2"/>
      </w:pPr>
      <w:r w:rsidRPr="00F409CD">
        <w:rPr>
          <w:i/>
          <w:iCs/>
        </w:rPr>
        <w:t>iii)</w:t>
      </w:r>
      <w:r>
        <w:tab/>
        <w:t>pouvoir modéliser des systèmes constitués de plusieurs réseaux d'interfonctionnement et avoir la souplesse nécessaire pour prendre en charge différentes combinaisons de groupes de techniques d'accès radioélectrique dans des environnements différents et tenir compte de la possibilité que les liaisons montante et descendante d'un service soient assurées par des techniques d'accès radioélectrique (RAT) différentes;</w:t>
      </w:r>
    </w:p>
    <w:p w:rsidR="00FE0045" w:rsidRDefault="00FE0045" w:rsidP="00F409CD">
      <w:pPr>
        <w:pStyle w:val="enumlev2"/>
      </w:pPr>
      <w:r w:rsidRPr="00F409CD">
        <w:rPr>
          <w:i/>
          <w:iCs/>
        </w:rPr>
        <w:t>iv)</w:t>
      </w:r>
      <w:r>
        <w:tab/>
        <w:t>utiliser des données commerciales faciles à rassembler en pratique comme base des prévisions de trafic;</w:t>
      </w:r>
    </w:p>
    <w:p w:rsidR="00FE0045" w:rsidRDefault="00FE0045" w:rsidP="00F409CD">
      <w:pPr>
        <w:pStyle w:val="enumlev2"/>
      </w:pPr>
      <w:r w:rsidRPr="00F409CD">
        <w:rPr>
          <w:i/>
          <w:iCs/>
        </w:rPr>
        <w:t>v)</w:t>
      </w:r>
      <w:r>
        <w:tab/>
        <w:t xml:space="preserve">avoir la souplesse nécessaire pour prendre en charge aussi bien les nouvelles technologies que </w:t>
      </w:r>
      <w:r w:rsidR="00534C19">
        <w:t>les améliorations qui pourraient être apportées aux systèmes IMT</w:t>
      </w:r>
      <w:r>
        <w:t>;</w:t>
      </w:r>
    </w:p>
    <w:p w:rsidR="00FE0045" w:rsidRDefault="00FE0045" w:rsidP="00F409CD">
      <w:pPr>
        <w:pStyle w:val="enumlev2"/>
      </w:pPr>
      <w:r w:rsidRPr="00F409CD">
        <w:rPr>
          <w:i/>
          <w:iCs/>
        </w:rPr>
        <w:t>vi)</w:t>
      </w:r>
      <w:r>
        <w:tab/>
        <w:t>tenir compte des facteurs qui permettent la mise en place de réseaux dans des conditions réalistes;</w:t>
      </w:r>
    </w:p>
    <w:p w:rsidR="00FE0045" w:rsidRDefault="00FE0045" w:rsidP="00F409CD">
      <w:pPr>
        <w:pStyle w:val="enumlev2"/>
      </w:pPr>
      <w:r w:rsidRPr="00F409CD">
        <w:rPr>
          <w:i/>
          <w:iCs/>
        </w:rPr>
        <w:t>vii)</w:t>
      </w:r>
      <w:r>
        <w:tab/>
      </w:r>
      <w:r w:rsidR="00F409CD">
        <w:t xml:space="preserve"> </w:t>
      </w:r>
      <w:r>
        <w:t>produire des résultats d'une manière qui soit facile à comprendre et crédible;</w:t>
      </w:r>
    </w:p>
    <w:p w:rsidR="00FE0045" w:rsidRDefault="00FE0045" w:rsidP="00F409CD">
      <w:pPr>
        <w:pStyle w:val="enumlev2"/>
      </w:pPr>
      <w:r w:rsidRPr="00F409CD">
        <w:rPr>
          <w:i/>
          <w:iCs/>
        </w:rPr>
        <w:t>viii)</w:t>
      </w:r>
      <w:r w:rsidR="00F409CD">
        <w:t xml:space="preserve"> </w:t>
      </w:r>
      <w:r>
        <w:t>être applicable et vérifiable dans les délais impartis;</w:t>
      </w:r>
    </w:p>
    <w:p w:rsidR="00FE0045" w:rsidRDefault="00FE0045" w:rsidP="00F409CD">
      <w:pPr>
        <w:pStyle w:val="enumlev2"/>
      </w:pPr>
      <w:r w:rsidRPr="00F409CD">
        <w:rPr>
          <w:i/>
          <w:iCs/>
        </w:rPr>
        <w:t>ix)</w:t>
      </w:r>
      <w:r>
        <w:tab/>
        <w:t>offrir les moyens de calcul nécessaires pour effectuer une analyse dans les délais disponibles au cours des réunions de l'UIT-R;</w:t>
      </w:r>
    </w:p>
    <w:p w:rsidR="00FE0045" w:rsidRDefault="00FE0045" w:rsidP="00F409CD">
      <w:pPr>
        <w:pStyle w:val="enumlev2"/>
      </w:pPr>
      <w:r w:rsidRPr="00F409CD">
        <w:rPr>
          <w:i/>
          <w:iCs/>
        </w:rPr>
        <w:t>x)</w:t>
      </w:r>
      <w:r>
        <w:tab/>
        <w:t>ne pas être plus complexe que ne le justifient les incertitudes liées aux données d'entrée;</w:t>
      </w:r>
    </w:p>
    <w:p w:rsidR="00FE0045" w:rsidRDefault="00FE0045" w:rsidP="00F409CD">
      <w:pPr>
        <w:pStyle w:val="enumlev2"/>
      </w:pPr>
      <w:r w:rsidRPr="00F409CD">
        <w:rPr>
          <w:i/>
          <w:iCs/>
        </w:rPr>
        <w:t>xi)</w:t>
      </w:r>
      <w:r>
        <w:tab/>
        <w:t>tenir compte du renforcement de l'efficacité spectrale dû aux progrès des technologies utilisées dans les versions améliorées des IMT,</w:t>
      </w:r>
    </w:p>
    <w:p w:rsidR="00FE0045" w:rsidRDefault="00FE0045" w:rsidP="00FE0045">
      <w:pPr>
        <w:pStyle w:val="Call"/>
        <w:rPr>
          <w:kern w:val="28"/>
        </w:rPr>
      </w:pPr>
      <w:r>
        <w:rPr>
          <w:kern w:val="28"/>
        </w:rPr>
        <w:lastRenderedPageBreak/>
        <w:t>reconnaissant</w:t>
      </w:r>
    </w:p>
    <w:p w:rsidR="00FE0045" w:rsidRDefault="00FE0045" w:rsidP="00F00D23">
      <w:pPr>
        <w:rPr>
          <w:kern w:val="28"/>
        </w:rPr>
      </w:pPr>
      <w:r w:rsidRPr="00F409CD">
        <w:rPr>
          <w:i/>
          <w:iCs/>
          <w:kern w:val="28"/>
        </w:rPr>
        <w:t>a)</w:t>
      </w:r>
      <w:r>
        <w:rPr>
          <w:kern w:val="28"/>
        </w:rPr>
        <w:tab/>
        <w:t>que la plus grande partie du trafic a évolué, les communications téléphoniques cédant la place aux communications multimédias;</w:t>
      </w:r>
    </w:p>
    <w:p w:rsidR="00FE0045" w:rsidRDefault="00FE0045" w:rsidP="00F00D23">
      <w:pPr>
        <w:rPr>
          <w:kern w:val="28"/>
        </w:rPr>
      </w:pPr>
      <w:r w:rsidRPr="00F409CD">
        <w:rPr>
          <w:i/>
          <w:iCs/>
          <w:kern w:val="28"/>
        </w:rPr>
        <w:t>b)</w:t>
      </w:r>
      <w:r>
        <w:rPr>
          <w:kern w:val="28"/>
        </w:rPr>
        <w:tab/>
        <w:t>que les réseaux et systèmes sont conçus pour transférer économiquement des données en mode paquet;</w:t>
      </w:r>
    </w:p>
    <w:p w:rsidR="00FE0045" w:rsidRDefault="00FE0045" w:rsidP="00FE0045">
      <w:pPr>
        <w:rPr>
          <w:kern w:val="28"/>
        </w:rPr>
      </w:pPr>
      <w:r w:rsidRPr="00F409CD">
        <w:rPr>
          <w:i/>
          <w:iCs/>
          <w:kern w:val="28"/>
        </w:rPr>
        <w:t>c)</w:t>
      </w:r>
      <w:r>
        <w:rPr>
          <w:kern w:val="28"/>
        </w:rPr>
        <w:tab/>
        <w:t>que les services se diversifient et qu'il sera moins admissible de se contenter de valeurs du volume de trafic en période de pointe qui s'appliquent à des environnements, des zones géographiques et des heures différents,</w:t>
      </w:r>
    </w:p>
    <w:p w:rsidR="00FE0045" w:rsidRPr="00FD347E" w:rsidRDefault="00FE0045" w:rsidP="00FE0045">
      <w:pPr>
        <w:pStyle w:val="Call"/>
      </w:pPr>
      <w:r>
        <w:rPr>
          <w:kern w:val="28"/>
        </w:rPr>
        <w:t>recommande</w:t>
      </w:r>
    </w:p>
    <w:p w:rsidR="00FE0045" w:rsidRDefault="00FE0045" w:rsidP="00F00D23">
      <w:pPr>
        <w:rPr>
          <w:kern w:val="28"/>
        </w:rPr>
      </w:pPr>
      <w:r>
        <w:rPr>
          <w:b/>
          <w:bCs/>
          <w:kern w:val="28"/>
        </w:rPr>
        <w:t>1</w:t>
      </w:r>
      <w:r>
        <w:rPr>
          <w:b/>
          <w:bCs/>
          <w:kern w:val="28"/>
        </w:rPr>
        <w:tab/>
      </w:r>
      <w:r>
        <w:rPr>
          <w:kern w:val="28"/>
        </w:rPr>
        <w:t>que les administrations qui souhaitent déterminer les exigences de spectre pour la composante de Terre des IMT appliquent la méthodologie décrite dans l'Annexe 1.</w:t>
      </w:r>
    </w:p>
    <w:p w:rsidR="00FE0045" w:rsidRDefault="00FE0045" w:rsidP="00FE0045">
      <w:pPr>
        <w:rPr>
          <w:kern w:val="28"/>
        </w:rPr>
      </w:pPr>
      <w:r>
        <w:rPr>
          <w:kern w:val="28"/>
        </w:rPr>
        <w:t>NOTE – Cette méthodologie est générale et peut être utilisée pour des marchés différents et pour une gamme d'architectures de systèmes cellulaires. Les paramètres à utiliser devraient être choisis avec soin pour rendre compte des besoins de certains pays ou régions.</w:t>
      </w:r>
    </w:p>
    <w:p w:rsidR="00D46C61" w:rsidRDefault="00D46C61" w:rsidP="00FE0045">
      <w:pPr>
        <w:rPr>
          <w:kern w:val="28"/>
        </w:rPr>
      </w:pPr>
    </w:p>
    <w:p w:rsidR="00D46C61" w:rsidRDefault="00D46C61" w:rsidP="00FE0045">
      <w:pPr>
        <w:rPr>
          <w:kern w:val="28"/>
        </w:rPr>
      </w:pPr>
    </w:p>
    <w:p w:rsidR="00D46C61" w:rsidRDefault="00D46C61" w:rsidP="00FE0045">
      <w:pPr>
        <w:rPr>
          <w:kern w:val="28"/>
        </w:rPr>
      </w:pPr>
    </w:p>
    <w:p w:rsidR="00FE0045" w:rsidRDefault="00FE0045" w:rsidP="00FE0045">
      <w:pPr>
        <w:pStyle w:val="AnnexNoTitle"/>
        <w:rPr>
          <w:kern w:val="28"/>
        </w:rPr>
      </w:pPr>
      <w:r>
        <w:rPr>
          <w:kern w:val="28"/>
        </w:rPr>
        <w:t>Annexe 1</w:t>
      </w:r>
    </w:p>
    <w:p w:rsidR="00FE0045" w:rsidRPr="005E0F01" w:rsidRDefault="00FE0045" w:rsidP="00FE0045">
      <w:pPr>
        <w:pStyle w:val="Heading1"/>
      </w:pPr>
      <w:r w:rsidRPr="005E0F01">
        <w:t>1</w:t>
      </w:r>
      <w:r w:rsidRPr="005E0F01">
        <w:tab/>
        <w:t>Introduction</w:t>
      </w:r>
    </w:p>
    <w:p w:rsidR="00FE0045" w:rsidRDefault="00FE0045" w:rsidP="00F00D23">
      <w:pPr>
        <w:rPr>
          <w:kern w:val="28"/>
        </w:rPr>
      </w:pPr>
      <w:r>
        <w:rPr>
          <w:kern w:val="28"/>
        </w:rPr>
        <w:t>Par le passé, l'estimation des exigences de spectre des applications hertziennes a été considérée comme constituant un cadre de référence portant essentiellement sur un seul système et un seul scénario de marché. Or, une approche simple de ce type ne sera plus suffisante s'il faut tenir compte à la fois des télécommunications mobiles et fixes, d'environnements à réseaux multiples et d'attributs tels qu'un interfonctionnement transparent entre différents systèmes d'accès complémentaires, comme celui qui est décrit dans les Recommandations UIT-R M.1645,</w:t>
      </w:r>
      <w:r w:rsidRPr="00026808">
        <w:rPr>
          <w:lang w:val="fr-CH" w:eastAsia="ja-JP"/>
        </w:rPr>
        <w:t xml:space="preserve"> U</w:t>
      </w:r>
      <w:r>
        <w:rPr>
          <w:lang w:val="fr-CH" w:eastAsia="ja-JP"/>
        </w:rPr>
        <w:t>IT</w:t>
      </w:r>
      <w:r w:rsidRPr="00026808">
        <w:rPr>
          <w:lang w:val="fr-CH" w:eastAsia="ja-JP"/>
        </w:rPr>
        <w:noBreakHyphen/>
        <w:t>R</w:t>
      </w:r>
      <w:r w:rsidR="00534C19">
        <w:rPr>
          <w:lang w:val="fr-CH" w:eastAsia="ja-JP"/>
        </w:rPr>
        <w:t> </w:t>
      </w:r>
      <w:r w:rsidRPr="00026808">
        <w:rPr>
          <w:lang w:val="fr-CH" w:eastAsia="ja-JP"/>
        </w:rPr>
        <w:t xml:space="preserve">M.1457 </w:t>
      </w:r>
      <w:r>
        <w:rPr>
          <w:lang w:val="fr-CH" w:eastAsia="ja-JP"/>
        </w:rPr>
        <w:t>et</w:t>
      </w:r>
      <w:r w:rsidRPr="00026808">
        <w:rPr>
          <w:lang w:val="fr-CH" w:eastAsia="ja-JP"/>
        </w:rPr>
        <w:t xml:space="preserve"> U</w:t>
      </w:r>
      <w:r>
        <w:rPr>
          <w:lang w:val="fr-CH" w:eastAsia="ja-JP"/>
        </w:rPr>
        <w:t>IT</w:t>
      </w:r>
      <w:r w:rsidRPr="00026808">
        <w:rPr>
          <w:lang w:val="fr-CH" w:eastAsia="ja-JP"/>
        </w:rPr>
        <w:noBreakHyphen/>
        <w:t>R M.2012</w:t>
      </w:r>
      <w:r>
        <w:rPr>
          <w:kern w:val="28"/>
        </w:rPr>
        <w:t>. Pour déterminer les besoins en fréquences, il faudra mettre au point et appliquer de nouveaux modèles qui permettent de tenir compte de corrélations spatiales et temporelles entre services de télécommunication et de prendre en considération les impératifs du marché et les scénarios d'expansion des réseaux.</w:t>
      </w:r>
    </w:p>
    <w:p w:rsidR="00FE0045" w:rsidRPr="005E0F01" w:rsidRDefault="00FE0045" w:rsidP="00FE0045">
      <w:pPr>
        <w:pStyle w:val="Heading1"/>
      </w:pPr>
      <w:r>
        <w:t>2</w:t>
      </w:r>
      <w:r w:rsidRPr="005E0F01">
        <w:tab/>
        <w:t xml:space="preserve">Renseignements indispensables à l'application de la méthodologie </w:t>
      </w:r>
    </w:p>
    <w:p w:rsidR="00FE0045" w:rsidRDefault="00FE0045" w:rsidP="00FE0045">
      <w:pPr>
        <w:pStyle w:val="Heading2"/>
        <w:rPr>
          <w:kern w:val="28"/>
        </w:rPr>
      </w:pPr>
      <w:r>
        <w:rPr>
          <w:kern w:val="28"/>
        </w:rPr>
        <w:t>2.1</w:t>
      </w:r>
      <w:r>
        <w:rPr>
          <w:kern w:val="28"/>
        </w:rPr>
        <w:tab/>
        <w:t>Prévisions en matière de services et de marché</w:t>
      </w:r>
    </w:p>
    <w:p w:rsidR="00FE0045" w:rsidRDefault="00FE0045" w:rsidP="002C734B">
      <w:r>
        <w:t>Toutes les études de spectre concernant les IMT doivent être fondées au départ sur les attentes des consommateurs en matière de services de communications hertziennes. Il est fondamental, pour ce faire, d'effectuer une prévision de marché qui tienne compte des utilisateurs des IMT. La méthodologie est conçue pour un large éventail d'applications. Le format suivant lequel les renseignements commerciaux doivent être présentés est défini au § 3.5. Un exemple de renseignements commerciaux satisfaisants présentés suivant ce format est donné dans le Rapport</w:t>
      </w:r>
      <w:r w:rsidR="002C734B">
        <w:t> </w:t>
      </w:r>
      <w:r>
        <w:t>UIT-R M.2072</w:t>
      </w:r>
      <w:r w:rsidRPr="00C53EB8">
        <w:rPr>
          <w:lang w:eastAsia="ja-JP"/>
        </w:rPr>
        <w:t xml:space="preserve"> </w:t>
      </w:r>
      <w:r>
        <w:rPr>
          <w:lang w:eastAsia="ja-JP"/>
        </w:rPr>
        <w:t>et des informations actualisées sur le marché des IMT sont présentées dans le Rapport UIT</w:t>
      </w:r>
      <w:r w:rsidRPr="00D80341">
        <w:rPr>
          <w:lang w:val="fr-CH" w:eastAsia="ja-JP"/>
        </w:rPr>
        <w:t>-R M.2243</w:t>
      </w:r>
      <w:r>
        <w:t>.</w:t>
      </w:r>
    </w:p>
    <w:p w:rsidR="00FE0045" w:rsidRDefault="00FE0045" w:rsidP="00FE0045">
      <w:pPr>
        <w:pStyle w:val="Heading2"/>
        <w:rPr>
          <w:kern w:val="28"/>
        </w:rPr>
      </w:pPr>
      <w:r>
        <w:rPr>
          <w:kern w:val="28"/>
        </w:rPr>
        <w:lastRenderedPageBreak/>
        <w:t>2.2</w:t>
      </w:r>
      <w:r>
        <w:rPr>
          <w:kern w:val="28"/>
        </w:rPr>
        <w:tab/>
        <w:t>Considérations d'ordre technique</w:t>
      </w:r>
    </w:p>
    <w:p w:rsidR="00FE0045" w:rsidRDefault="00FE0045" w:rsidP="00FE0045">
      <w:pPr>
        <w:rPr>
          <w:kern w:val="28"/>
        </w:rPr>
      </w:pPr>
      <w:r>
        <w:rPr>
          <w:kern w:val="28"/>
        </w:rPr>
        <w:t>La méthodologie adopte, pour l'étude des techniques d'accès radioélectrique, une approche neutre du point de vue technologique et tient compte du classement des RATG qui est défini dans le Rapport UIT-R M.2074. La méthodologie de calcul des besoins en spectre repose sur l'utilisation de paramètres techniques caractérisant les différents RATG. Cette approche permet d'évaluer facilement, du point de vue technique, les besoins de spectre sans se référer aux spécifications détaillées des interfaces radioélectriques des systèmes mobiles tant actuels que futurs. L'étude technique comprend les définitions des RATG et les paramètres radioélectriques correspondants, qui sont utilisés à différents stades de la méthodologie. Ces aspects de la technologie radioélectrique et les valeurs des paramètres radioélectriques, tels que l'efficacité spectrale, ont été examinés et sont décrits dans le Rapport UIT-R M.2074.</w:t>
      </w:r>
    </w:p>
    <w:p w:rsidR="00FE0045" w:rsidRDefault="00FE0045" w:rsidP="00FE0045">
      <w:pPr>
        <w:pStyle w:val="Heading2"/>
        <w:rPr>
          <w:kern w:val="28"/>
        </w:rPr>
      </w:pPr>
      <w:r>
        <w:rPr>
          <w:kern w:val="28"/>
        </w:rPr>
        <w:t>2.3</w:t>
      </w:r>
      <w:r>
        <w:rPr>
          <w:kern w:val="28"/>
        </w:rPr>
        <w:tab/>
        <w:t>RATG</w:t>
      </w:r>
    </w:p>
    <w:p w:rsidR="00FE0045" w:rsidRDefault="00FE0045" w:rsidP="00F00D23">
      <w:pPr>
        <w:rPr>
          <w:kern w:val="28"/>
        </w:rPr>
      </w:pPr>
      <w:r>
        <w:rPr>
          <w:kern w:val="28"/>
        </w:rPr>
        <w:t>La méthodologie tient compte de tous les besoins du marché des télécommunications de Terre qui seront satisfaits par divers moyens de communication, en termes de services et de réseaux, conformément aux Recommandations UIT-R M.1645, UIT-R M.1457 et UIT-R M.2012. Plusieurs RATG peuvent dès lors être définis. La présente méthodologie répartit le trafic total prévu pour l'ensemble du marché des communications de Terre entre les RATG définis, qui sont:</w:t>
      </w:r>
    </w:p>
    <w:p w:rsidR="00FE0045" w:rsidRDefault="00FE0045" w:rsidP="002C734B">
      <w:r w:rsidRPr="001A6084">
        <w:rPr>
          <w:i/>
        </w:rPr>
        <w:t>Groupe 1</w:t>
      </w:r>
      <w:r w:rsidRPr="002C734B">
        <w:rPr>
          <w:iCs/>
        </w:rPr>
        <w:t>:</w:t>
      </w:r>
      <w:r>
        <w:t xml:space="preserve"> Systèmes antérieurs aux IMT, IMT</w:t>
      </w:r>
      <w:r>
        <w:noBreakHyphen/>
        <w:t>2000 et IMT évolués.</w:t>
      </w:r>
    </w:p>
    <w:p w:rsidR="00FE0045" w:rsidRDefault="00FE0045" w:rsidP="002C734B">
      <w:r>
        <w:t>Ce groupe comprend les systèmes mobiles cellulaires numériques, les systèmes IMT</w:t>
      </w:r>
      <w:r>
        <w:noBreakHyphen/>
        <w:t xml:space="preserve">2000 et les </w:t>
      </w:r>
      <w:r w:rsidR="00534C19">
        <w:t xml:space="preserve">systèmes </w:t>
      </w:r>
      <w:r>
        <w:t>IMT évolués.</w:t>
      </w:r>
    </w:p>
    <w:p w:rsidR="00FE0045" w:rsidRDefault="00FE0045" w:rsidP="002C734B">
      <w:r w:rsidRPr="001A6084">
        <w:rPr>
          <w:i/>
        </w:rPr>
        <w:t>Groupe</w:t>
      </w:r>
      <w:r w:rsidR="002C734B">
        <w:rPr>
          <w:i/>
        </w:rPr>
        <w:t> </w:t>
      </w:r>
      <w:r w:rsidRPr="001A6084">
        <w:rPr>
          <w:i/>
        </w:rPr>
        <w:t>2</w:t>
      </w:r>
      <w:r w:rsidRPr="002C734B">
        <w:rPr>
          <w:iCs/>
        </w:rPr>
        <w:t>:</w:t>
      </w:r>
      <w:r>
        <w:t xml:space="preserve"> Systèmes IMT évolués, tels qu'ils sont décrits dans la Recommandation UIT</w:t>
      </w:r>
      <w:r w:rsidR="002C734B">
        <w:noBreakHyphen/>
      </w:r>
      <w:r>
        <w:t>R</w:t>
      </w:r>
      <w:r w:rsidR="002C734B">
        <w:t> </w:t>
      </w:r>
      <w:r>
        <w:t>M.2012.</w:t>
      </w:r>
    </w:p>
    <w:p w:rsidR="00FE0045" w:rsidRDefault="00FE0045" w:rsidP="002C734B">
      <w:r w:rsidRPr="001A6084">
        <w:rPr>
          <w:i/>
        </w:rPr>
        <w:t>Groupe 3</w:t>
      </w:r>
      <w:r w:rsidRPr="002C734B">
        <w:rPr>
          <w:iCs/>
        </w:rPr>
        <w:t>:</w:t>
      </w:r>
      <w:r>
        <w:t xml:space="preserve"> Réseaux locaux hertziens (RLAN) actuels et RLAN évolués.</w:t>
      </w:r>
    </w:p>
    <w:p w:rsidR="00FE0045" w:rsidRDefault="00FE0045" w:rsidP="002C734B">
      <w:r w:rsidRPr="001A6084">
        <w:rPr>
          <w:i/>
        </w:rPr>
        <w:t>Groupe 4</w:t>
      </w:r>
      <w:r w:rsidRPr="002C734B">
        <w:rPr>
          <w:iCs/>
        </w:rPr>
        <w:t>:</w:t>
      </w:r>
      <w:r>
        <w:t xml:space="preserve"> Systèmes mobiles de radiodiffusion numérique et versions améliorées.</w:t>
      </w:r>
    </w:p>
    <w:p w:rsidR="00FE0045" w:rsidRPr="005E0F01" w:rsidRDefault="00FE0045" w:rsidP="00FE0045">
      <w:pPr>
        <w:pStyle w:val="Heading1"/>
      </w:pPr>
      <w:r>
        <w:t>3</w:t>
      </w:r>
      <w:r w:rsidRPr="005E0F01">
        <w:tab/>
        <w:t>La méthodologie de calcul des exigences de spectre</w:t>
      </w:r>
    </w:p>
    <w:p w:rsidR="00FE0045" w:rsidRDefault="00FE0045" w:rsidP="00F00D23">
      <w:pPr>
        <w:pStyle w:val="Heading2"/>
        <w:rPr>
          <w:kern w:val="28"/>
        </w:rPr>
      </w:pPr>
      <w:r>
        <w:rPr>
          <w:kern w:val="28"/>
        </w:rPr>
        <w:t>3.1</w:t>
      </w:r>
      <w:r>
        <w:rPr>
          <w:kern w:val="28"/>
        </w:rPr>
        <w:tab/>
        <w:t>Portée de la méthodologie de calcul des exigences de spectrepour les IMT</w:t>
      </w:r>
    </w:p>
    <w:p w:rsidR="00FE0045" w:rsidRDefault="00FE0045" w:rsidP="00534C19">
      <w:pPr>
        <w:rPr>
          <w:kern w:val="28"/>
        </w:rPr>
      </w:pPr>
      <w:r>
        <w:rPr>
          <w:kern w:val="28"/>
        </w:rPr>
        <w:t xml:space="preserve">Cette méthodologie tient compte des prévisions de trafic </w:t>
      </w:r>
      <w:r w:rsidR="00534C19">
        <w:rPr>
          <w:kern w:val="28"/>
        </w:rPr>
        <w:t xml:space="preserve">pour tous les RATG (RATG1 à </w:t>
      </w:r>
      <w:r>
        <w:rPr>
          <w:kern w:val="28"/>
        </w:rPr>
        <w:t xml:space="preserve">RATG4). Cependant, elle permet de calculer les </w:t>
      </w:r>
      <w:r w:rsidR="00534C19">
        <w:rPr>
          <w:kern w:val="28"/>
        </w:rPr>
        <w:t xml:space="preserve">besoins en fréquences </w:t>
      </w:r>
      <w:r>
        <w:rPr>
          <w:kern w:val="28"/>
        </w:rPr>
        <w:t>uniquement pour le RATG1 et le RATG2</w:t>
      </w:r>
      <w:r w:rsidR="00534C19">
        <w:rPr>
          <w:kern w:val="28"/>
        </w:rPr>
        <w:t>,</w:t>
      </w:r>
      <w:r>
        <w:rPr>
          <w:kern w:val="28"/>
        </w:rPr>
        <w:t xml:space="preserve"> qui correspondent aux systèmes IMT.</w:t>
      </w:r>
    </w:p>
    <w:p w:rsidR="00FE0045" w:rsidRPr="002403D5" w:rsidRDefault="00FE0045" w:rsidP="00FE0045">
      <w:pPr>
        <w:pStyle w:val="Heading2"/>
        <w:rPr>
          <w:kern w:val="28"/>
        </w:rPr>
      </w:pPr>
      <w:r>
        <w:rPr>
          <w:kern w:val="28"/>
        </w:rPr>
        <w:t>3</w:t>
      </w:r>
      <w:r w:rsidRPr="002403D5">
        <w:rPr>
          <w:kern w:val="28"/>
        </w:rPr>
        <w:t>.2</w:t>
      </w:r>
      <w:r w:rsidRPr="002403D5">
        <w:rPr>
          <w:kern w:val="28"/>
        </w:rPr>
        <w:tab/>
        <w:t>Méthode de calcul du spectre</w:t>
      </w:r>
    </w:p>
    <w:p w:rsidR="00FE0045" w:rsidRDefault="00FE0045" w:rsidP="00FE0045">
      <w:pPr>
        <w:rPr>
          <w:kern w:val="28"/>
        </w:rPr>
      </w:pPr>
      <w:r>
        <w:rPr>
          <w:kern w:val="28"/>
        </w:rPr>
        <w:t>Le processus technique de la détermination des besoins en fréquences des communications mobiles doit s'appuyer sur les quatre éléments essentiels suivants:</w:t>
      </w:r>
    </w:p>
    <w:p w:rsidR="00FE0045" w:rsidRDefault="00FE0045" w:rsidP="00FE0045">
      <w:pPr>
        <w:pStyle w:val="enumlev1"/>
        <w:rPr>
          <w:kern w:val="28"/>
        </w:rPr>
      </w:pPr>
      <w:r>
        <w:rPr>
          <w:kern w:val="28"/>
        </w:rPr>
        <w:t>–</w:t>
      </w:r>
      <w:r>
        <w:rPr>
          <w:kern w:val="28"/>
        </w:rPr>
        <w:tab/>
        <w:t>Définition des services.</w:t>
      </w:r>
    </w:p>
    <w:p w:rsidR="00FE0045" w:rsidRDefault="00FE0045" w:rsidP="00FE0045">
      <w:pPr>
        <w:pStyle w:val="enumlev1"/>
        <w:rPr>
          <w:kern w:val="28"/>
        </w:rPr>
      </w:pPr>
      <w:r>
        <w:rPr>
          <w:kern w:val="28"/>
        </w:rPr>
        <w:t>–</w:t>
      </w:r>
      <w:r>
        <w:rPr>
          <w:kern w:val="28"/>
        </w:rPr>
        <w:tab/>
        <w:t>Attentes des consommateurs.</w:t>
      </w:r>
    </w:p>
    <w:p w:rsidR="00FE0045" w:rsidRDefault="00FE0045" w:rsidP="00FE0045">
      <w:pPr>
        <w:pStyle w:val="enumlev1"/>
        <w:rPr>
          <w:kern w:val="28"/>
        </w:rPr>
      </w:pPr>
      <w:r>
        <w:rPr>
          <w:kern w:val="28"/>
        </w:rPr>
        <w:t>–</w:t>
      </w:r>
      <w:r>
        <w:rPr>
          <w:kern w:val="28"/>
        </w:rPr>
        <w:tab/>
        <w:t>Cadre technique et opérationnel.</w:t>
      </w:r>
    </w:p>
    <w:p w:rsidR="00FE0045" w:rsidRDefault="00FE0045" w:rsidP="00FE0045">
      <w:pPr>
        <w:pStyle w:val="enumlev1"/>
        <w:rPr>
          <w:kern w:val="28"/>
        </w:rPr>
      </w:pPr>
      <w:r>
        <w:rPr>
          <w:kern w:val="28"/>
        </w:rPr>
        <w:t>–</w:t>
      </w:r>
      <w:r>
        <w:rPr>
          <w:kern w:val="28"/>
        </w:rPr>
        <w:tab/>
        <w:t>Algorithme de calcul du spectre.</w:t>
      </w:r>
    </w:p>
    <w:p w:rsidR="00FE0045" w:rsidRPr="002403D5" w:rsidRDefault="00FE0045" w:rsidP="00FE0045">
      <w:pPr>
        <w:pStyle w:val="Heading2"/>
        <w:rPr>
          <w:kern w:val="28"/>
        </w:rPr>
      </w:pPr>
      <w:r>
        <w:rPr>
          <w:kern w:val="28"/>
        </w:rPr>
        <w:t>3</w:t>
      </w:r>
      <w:r w:rsidRPr="002403D5">
        <w:rPr>
          <w:kern w:val="28"/>
        </w:rPr>
        <w:t>.3</w:t>
      </w:r>
      <w:r w:rsidRPr="002403D5">
        <w:rPr>
          <w:kern w:val="28"/>
        </w:rPr>
        <w:tab/>
        <w:t>Organigramme général de la méthodologie</w:t>
      </w:r>
    </w:p>
    <w:p w:rsidR="00FE0045" w:rsidRDefault="00FE0045" w:rsidP="00F00D23">
      <w:pPr>
        <w:rPr>
          <w:kern w:val="28"/>
        </w:rPr>
      </w:pPr>
      <w:r>
        <w:rPr>
          <w:kern w:val="28"/>
        </w:rPr>
        <w:t>L'organigramme général de la méthodologie de calcul des besoins en fréquences est illustré à la Fig. 1.</w:t>
      </w:r>
    </w:p>
    <w:p w:rsidR="00FE0045" w:rsidRDefault="00FE0045" w:rsidP="00F00D23">
      <w:pPr>
        <w:rPr>
          <w:kern w:val="28"/>
        </w:rPr>
      </w:pPr>
      <w:r>
        <w:rPr>
          <w:kern w:val="28"/>
        </w:rPr>
        <w:lastRenderedPageBreak/>
        <w:t xml:space="preserve">Etape </w:t>
      </w:r>
      <w:r w:rsidRPr="008F7665">
        <w:rPr>
          <w:i/>
          <w:kern w:val="28"/>
        </w:rPr>
        <w:t>1</w:t>
      </w:r>
      <w:r>
        <w:rPr>
          <w:kern w:val="28"/>
        </w:rPr>
        <w:t>: Présenter les différentes définitions utilisées dans cette méthodologie, lesquelles sont données au § 3.4.</w:t>
      </w:r>
    </w:p>
    <w:p w:rsidR="00FE0045" w:rsidRDefault="00FE0045" w:rsidP="00F00D23">
      <w:pPr>
        <w:rPr>
          <w:kern w:val="28"/>
        </w:rPr>
      </w:pPr>
      <w:r w:rsidRPr="008F7665">
        <w:rPr>
          <w:i/>
          <w:kern w:val="28"/>
        </w:rPr>
        <w:t>Etape 2</w:t>
      </w:r>
      <w:r>
        <w:rPr>
          <w:kern w:val="28"/>
        </w:rPr>
        <w:t>: Analyser des données commerciales qui peuvent être obtenues en consultant les Rapports UIT-R M.2072 et UIT-R M.2243. L'analyse des données commerciales est décrite au § 3.5.</w:t>
      </w:r>
    </w:p>
    <w:p w:rsidR="00FE0045" w:rsidRDefault="00FE0045" w:rsidP="00F00D23">
      <w:pPr>
        <w:rPr>
          <w:kern w:val="28"/>
        </w:rPr>
      </w:pPr>
      <w:r w:rsidRPr="008F7665">
        <w:rPr>
          <w:i/>
          <w:kern w:val="28"/>
        </w:rPr>
        <w:t>Etape 3</w:t>
      </w:r>
      <w:r>
        <w:rPr>
          <w:kern w:val="28"/>
        </w:rPr>
        <w:t>: Calculer les données de trafic sur lesquelles la méthodologie s'appuiera, de la manière indiquée au § 3.5.2.6.</w:t>
      </w:r>
    </w:p>
    <w:p w:rsidR="00FE0045" w:rsidRDefault="00FE0045" w:rsidP="00F00D23">
      <w:pPr>
        <w:rPr>
          <w:kern w:val="28"/>
        </w:rPr>
      </w:pPr>
      <w:r w:rsidRPr="008F7665">
        <w:rPr>
          <w:i/>
          <w:kern w:val="28"/>
        </w:rPr>
        <w:t>Etape 4</w:t>
      </w:r>
      <w:r>
        <w:rPr>
          <w:kern w:val="28"/>
        </w:rPr>
        <w:t>: Répartir le trafic entre les différents RATG et entre les environnements radioélectriques des RATG et est décrite au § 3.6.</w:t>
      </w:r>
    </w:p>
    <w:p w:rsidR="00FE0045" w:rsidRDefault="00FE0045" w:rsidP="00F00D23">
      <w:pPr>
        <w:rPr>
          <w:kern w:val="28"/>
        </w:rPr>
      </w:pPr>
      <w:r w:rsidRPr="008F7665">
        <w:rPr>
          <w:i/>
          <w:kern w:val="28"/>
        </w:rPr>
        <w:t>Etape 5</w:t>
      </w:r>
      <w:r>
        <w:rPr>
          <w:kern w:val="28"/>
        </w:rPr>
        <w:t>: Déterminer la capacité de système requise pour acheminer le trafic offert. Les algorithmes de calcul de la capacité sont présentés dans des paragraphes distincts selon la catégorie de service à laquelle ils s'appliquent, à savoir au § 4.1 pour les services à commutation de circuits et au § 4.2 pour les services à commutation par paquets.</w:t>
      </w:r>
    </w:p>
    <w:p w:rsidR="00FE0045" w:rsidRDefault="00FE0045" w:rsidP="00F00D23">
      <w:pPr>
        <w:rPr>
          <w:kern w:val="28"/>
        </w:rPr>
      </w:pPr>
      <w:r w:rsidRPr="008F7665">
        <w:rPr>
          <w:i/>
          <w:kern w:val="28"/>
        </w:rPr>
        <w:t>Etape 6</w:t>
      </w:r>
      <w:r>
        <w:rPr>
          <w:kern w:val="28"/>
        </w:rPr>
        <w:t>: Calcul des exigences de spectre du RATG1 et du RATG2 et est exposée au § 4.3.</w:t>
      </w:r>
    </w:p>
    <w:p w:rsidR="00FE0045" w:rsidRDefault="00FE0045" w:rsidP="00F00D23">
      <w:pPr>
        <w:rPr>
          <w:kern w:val="28"/>
        </w:rPr>
      </w:pPr>
      <w:r w:rsidRPr="008F7665">
        <w:rPr>
          <w:i/>
          <w:kern w:val="28"/>
        </w:rPr>
        <w:t>Etape 7</w:t>
      </w:r>
      <w:r>
        <w:rPr>
          <w:kern w:val="28"/>
        </w:rPr>
        <w:t>: Effectuer les ajustements nécessaires pour tenir compte des déploiements concrets de réseaux, de la manière décrite au § 5.</w:t>
      </w:r>
    </w:p>
    <w:p w:rsidR="00FE0045" w:rsidRDefault="00FE0045" w:rsidP="00F00D23">
      <w:pPr>
        <w:rPr>
          <w:kern w:val="28"/>
        </w:rPr>
      </w:pPr>
      <w:r w:rsidRPr="008F7665">
        <w:rPr>
          <w:i/>
          <w:kern w:val="28"/>
        </w:rPr>
        <w:t>Etape 8</w:t>
      </w:r>
      <w:r>
        <w:rPr>
          <w:kern w:val="28"/>
        </w:rPr>
        <w:t>: Calculer les exigences totales de spectre et est expliquée au § 6.</w:t>
      </w:r>
    </w:p>
    <w:p w:rsidR="00FE0045" w:rsidRDefault="00FE0045" w:rsidP="00F00D23">
      <w:r w:rsidRPr="008F7665">
        <w:rPr>
          <w:i/>
        </w:rPr>
        <w:t>Etape 9</w:t>
      </w:r>
      <w:r>
        <w:t xml:space="preserve">: Donner les </w:t>
      </w:r>
      <w:r w:rsidRPr="002403D5">
        <w:rPr>
          <w:kern w:val="28"/>
        </w:rPr>
        <w:t>exigences</w:t>
      </w:r>
      <w:r>
        <w:t xml:space="preserve"> de spectre obtenues pour le RATG1 et le RATG2.</w:t>
      </w:r>
    </w:p>
    <w:p w:rsidR="00FE0045" w:rsidRDefault="00FE0045" w:rsidP="00FE0045">
      <w:pPr>
        <w:pStyle w:val="FigureNo"/>
      </w:pPr>
      <w:r>
        <w:lastRenderedPageBreak/>
        <w:t>FIGURE 1</w:t>
      </w:r>
    </w:p>
    <w:p w:rsidR="00FE0045" w:rsidRDefault="00FE0045" w:rsidP="00FE0045">
      <w:pPr>
        <w:pStyle w:val="Figuretitle"/>
        <w:rPr>
          <w:kern w:val="28"/>
        </w:rPr>
      </w:pPr>
      <w:r>
        <w:rPr>
          <w:kern w:val="28"/>
        </w:rPr>
        <w:t>Organigramme d'une méthodologie générale de calcul du spectre</w:t>
      </w:r>
    </w:p>
    <w:p w:rsidR="00FE0045" w:rsidRDefault="00FE0045" w:rsidP="00FE0045">
      <w:pPr>
        <w:pStyle w:val="Figure"/>
      </w:pPr>
      <w:r>
        <w:object w:dxaOrig="6040" w:dyaOrig="11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3pt;height:595.05pt" o:ole="" o:allowoverlap="f">
            <v:imagedata r:id="rId14" o:title=""/>
          </v:shape>
          <o:OLEObject Type="Embed" ProgID="CorelDraw.Graphic.12" ShapeID="_x0000_i1025" DrawAspect="Content" ObjectID="_1459064067" r:id="rId15"/>
        </w:object>
      </w:r>
    </w:p>
    <w:p w:rsidR="00DE1DED" w:rsidRDefault="00DE1DED" w:rsidP="00DE1DED"/>
    <w:p w:rsidR="00FE0045" w:rsidRDefault="00FE0045" w:rsidP="00FE0045">
      <w:pPr>
        <w:pStyle w:val="Heading2"/>
        <w:rPr>
          <w:kern w:val="28"/>
        </w:rPr>
      </w:pPr>
      <w:r>
        <w:rPr>
          <w:kern w:val="28"/>
        </w:rPr>
        <w:lastRenderedPageBreak/>
        <w:t>3.4</w:t>
      </w:r>
      <w:r>
        <w:rPr>
          <w:kern w:val="28"/>
        </w:rPr>
        <w:tab/>
        <w:t>Définitions</w:t>
      </w:r>
    </w:p>
    <w:p w:rsidR="00FE0045" w:rsidRDefault="00FE0045" w:rsidP="00FE0045">
      <w:pPr>
        <w:rPr>
          <w:kern w:val="28"/>
        </w:rPr>
      </w:pPr>
      <w:r>
        <w:rPr>
          <w:kern w:val="28"/>
        </w:rPr>
        <w:t>Tous les paramètres qui doivent être pris en considération et toutes les catégories correspondantes sont définis dans le présent paragraphe.</w:t>
      </w:r>
    </w:p>
    <w:p w:rsidR="00FE0045" w:rsidRDefault="00FE0045" w:rsidP="00FE0045">
      <w:pPr>
        <w:rPr>
          <w:kern w:val="28"/>
        </w:rPr>
      </w:pPr>
      <w:r>
        <w:rPr>
          <w:kern w:val="28"/>
        </w:rPr>
        <w:t>Des tableaux indiquant les paramètres à utiliser pour la méthodologie figurent dans les alinéas suivants. Les valeurs des paramètres qui sont données dans ces tableaux sont fournies à titre indicatif et devraient être considérées comme telles, comme indiqué dans les tableaux correspondants.</w:t>
      </w:r>
    </w:p>
    <w:p w:rsidR="00FE0045" w:rsidRDefault="00FE0045" w:rsidP="00FE0045">
      <w:pPr>
        <w:rPr>
          <w:kern w:val="28"/>
        </w:rPr>
      </w:pPr>
      <w:r>
        <w:rPr>
          <w:kern w:val="28"/>
        </w:rPr>
        <w:t xml:space="preserve">Les types de services et classes de trafic sont d'abord présentés pour rendre compte des débits de données maximaux qui seront vraisemblablement disponibles et du profil probable du trafic écoulé dans le cadre de ces services. Les catégories de services sont définies comme étant des combinaisons de types de services et de classes de trafic. </w:t>
      </w:r>
    </w:p>
    <w:p w:rsidR="00FE0045" w:rsidRDefault="00FE0045" w:rsidP="00FE0045">
      <w:pPr>
        <w:rPr>
          <w:kern w:val="28"/>
        </w:rPr>
      </w:pPr>
      <w:r>
        <w:rPr>
          <w:kern w:val="28"/>
        </w:rPr>
        <w:t>Les environnements de service sont définis pour déterminer la catégorie de la zone dans laquelle l'usager se trouve lors de l'évaluation d'un service et du profil du trafic de cette zone géographique. Les environnements de service sont définis comme étant une combinaison du profil d'utilisation du service et de la télédensité.</w:t>
      </w:r>
    </w:p>
    <w:p w:rsidR="00FE0045" w:rsidRDefault="00FE0045" w:rsidP="00FE0045">
      <w:pPr>
        <w:rPr>
          <w:kern w:val="28"/>
        </w:rPr>
      </w:pPr>
      <w:r>
        <w:rPr>
          <w:kern w:val="28"/>
        </w:rPr>
        <w:t>L'environnement radioélectrique est défini pour rendre compte de l'infrastructure radioélectrique qui fournit les services aux utilisateurs dans l'environnement de service. Les environnements radioélectriques sont définis pour illustrer les différents principes de déploiement radioélectriques.</w:t>
      </w:r>
    </w:p>
    <w:p w:rsidR="00FE0045" w:rsidRDefault="00FE0045" w:rsidP="00FE0045">
      <w:pPr>
        <w:rPr>
          <w:kern w:val="28"/>
        </w:rPr>
      </w:pPr>
      <w:r>
        <w:rPr>
          <w:kern w:val="28"/>
        </w:rPr>
        <w:t>Les différents RATG sont définis pour tenir compte du vaste marché de communications de Terre disponible pour assurer les services.</w:t>
      </w:r>
    </w:p>
    <w:p w:rsidR="00FE0045" w:rsidRDefault="00FE0045" w:rsidP="00FE0045">
      <w:pPr>
        <w:pStyle w:val="Heading3"/>
        <w:rPr>
          <w:kern w:val="28"/>
        </w:rPr>
      </w:pPr>
      <w:r>
        <w:rPr>
          <w:kern w:val="28"/>
        </w:rPr>
        <w:t>3.4.1</w:t>
      </w:r>
      <w:r>
        <w:rPr>
          <w:kern w:val="28"/>
        </w:rPr>
        <w:tab/>
        <w:t>Catégories de services</w:t>
      </w:r>
    </w:p>
    <w:p w:rsidR="00FE0045" w:rsidRDefault="00FE0045" w:rsidP="00FE0045">
      <w:pPr>
        <w:rPr>
          <w:kern w:val="28"/>
        </w:rPr>
      </w:pPr>
      <w:r>
        <w:rPr>
          <w:kern w:val="28"/>
        </w:rPr>
        <w:t xml:space="preserve">Une catégorie de service (SC, </w:t>
      </w:r>
      <w:r w:rsidRPr="008F7665">
        <w:rPr>
          <w:i/>
          <w:kern w:val="28"/>
        </w:rPr>
        <w:t>service category</w:t>
      </w:r>
      <w:r>
        <w:rPr>
          <w:kern w:val="28"/>
        </w:rPr>
        <w:t>) est définie comme étant une combinaison de type de service et de classe de trafic, comme illustré au Tableau 1.</w:t>
      </w:r>
    </w:p>
    <w:p w:rsidR="00FE0045" w:rsidRDefault="00FE0045" w:rsidP="00FE0045">
      <w:pPr>
        <w:pStyle w:val="TableNo"/>
        <w:rPr>
          <w:kern w:val="28"/>
        </w:rPr>
      </w:pPr>
      <w:r>
        <w:rPr>
          <w:kern w:val="28"/>
        </w:rPr>
        <w:t>TABLEAU 1</w:t>
      </w:r>
    </w:p>
    <w:p w:rsidR="00FE0045" w:rsidRDefault="00FE0045" w:rsidP="00FE0045">
      <w:pPr>
        <w:pStyle w:val="Tabletitle"/>
        <w:rPr>
          <w:kern w:val="28"/>
        </w:rPr>
      </w:pPr>
      <w:r>
        <w:rPr>
          <w:kern w:val="28"/>
        </w:rPr>
        <w:t>Catégories de services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7"/>
        <w:gridCol w:w="1933"/>
        <w:gridCol w:w="1488"/>
        <w:gridCol w:w="1478"/>
        <w:gridCol w:w="1463"/>
      </w:tblGrid>
      <w:tr w:rsidR="00FE0045" w:rsidRPr="002403D5" w:rsidTr="00E12924">
        <w:trPr>
          <w:cantSplit/>
          <w:trHeight w:val="760"/>
          <w:jc w:val="center"/>
        </w:trPr>
        <w:tc>
          <w:tcPr>
            <w:tcW w:w="1704" w:type="pct"/>
            <w:tcBorders>
              <w:top w:val="single" w:sz="4" w:space="0" w:color="auto"/>
              <w:left w:val="single" w:sz="4" w:space="0" w:color="auto"/>
              <w:bottom w:val="single" w:sz="4" w:space="0" w:color="auto"/>
              <w:right w:val="single" w:sz="4" w:space="0" w:color="auto"/>
              <w:tl2br w:val="single" w:sz="4" w:space="0" w:color="auto"/>
            </w:tcBorders>
          </w:tcPr>
          <w:p w:rsidR="00FE0045" w:rsidRPr="002403D5" w:rsidRDefault="00FE0045" w:rsidP="00327ED6">
            <w:pPr>
              <w:pStyle w:val="Tablehead"/>
              <w:jc w:val="right"/>
            </w:pPr>
            <w:r w:rsidRPr="002403D5">
              <w:t>Classe de trafic</w:t>
            </w:r>
          </w:p>
          <w:p w:rsidR="00FE0045" w:rsidRPr="002403D5" w:rsidRDefault="00FE0045" w:rsidP="00327ED6">
            <w:pPr>
              <w:pStyle w:val="Tablehead"/>
              <w:jc w:val="left"/>
            </w:pPr>
            <w:r w:rsidRPr="002403D5">
              <w:t>Type de service</w:t>
            </w:r>
          </w:p>
        </w:tc>
        <w:tc>
          <w:tcPr>
            <w:tcW w:w="1007" w:type="pct"/>
            <w:tcBorders>
              <w:top w:val="single" w:sz="4" w:space="0" w:color="auto"/>
              <w:left w:val="single" w:sz="4" w:space="0" w:color="auto"/>
              <w:bottom w:val="single" w:sz="4" w:space="0" w:color="auto"/>
              <w:right w:val="single" w:sz="4" w:space="0" w:color="auto"/>
            </w:tcBorders>
            <w:vAlign w:val="center"/>
          </w:tcPr>
          <w:p w:rsidR="00FE0045" w:rsidRPr="002403D5" w:rsidRDefault="00FE0045" w:rsidP="00E12924">
            <w:pPr>
              <w:pStyle w:val="Tablehead"/>
            </w:pPr>
            <w:r w:rsidRPr="002403D5">
              <w:t>Conversationnelle</w:t>
            </w:r>
          </w:p>
        </w:tc>
        <w:tc>
          <w:tcPr>
            <w:tcW w:w="755" w:type="pct"/>
            <w:tcBorders>
              <w:top w:val="single" w:sz="4" w:space="0" w:color="auto"/>
              <w:left w:val="single" w:sz="4" w:space="0" w:color="auto"/>
              <w:bottom w:val="single" w:sz="4" w:space="0" w:color="auto"/>
              <w:right w:val="single" w:sz="4" w:space="0" w:color="auto"/>
            </w:tcBorders>
            <w:vAlign w:val="center"/>
          </w:tcPr>
          <w:p w:rsidR="00FE0045" w:rsidRPr="002403D5" w:rsidRDefault="00FE0045" w:rsidP="00E12924">
            <w:pPr>
              <w:pStyle w:val="Tablehead"/>
            </w:pPr>
            <w:r w:rsidRPr="002403D5">
              <w:t>Transmission en continu</w:t>
            </w:r>
          </w:p>
        </w:tc>
        <w:tc>
          <w:tcPr>
            <w:tcW w:w="771" w:type="pct"/>
            <w:tcBorders>
              <w:top w:val="single" w:sz="4" w:space="0" w:color="auto"/>
              <w:left w:val="single" w:sz="4" w:space="0" w:color="auto"/>
              <w:bottom w:val="single" w:sz="4" w:space="0" w:color="auto"/>
              <w:right w:val="single" w:sz="4" w:space="0" w:color="auto"/>
            </w:tcBorders>
            <w:vAlign w:val="center"/>
          </w:tcPr>
          <w:p w:rsidR="00FE0045" w:rsidRPr="002403D5" w:rsidRDefault="00FE0045" w:rsidP="00E12924">
            <w:pPr>
              <w:pStyle w:val="Tablehead"/>
            </w:pPr>
            <w:r w:rsidRPr="002403D5">
              <w:t>Interactive</w:t>
            </w:r>
          </w:p>
        </w:tc>
        <w:tc>
          <w:tcPr>
            <w:tcW w:w="764" w:type="pct"/>
            <w:tcBorders>
              <w:top w:val="single" w:sz="4" w:space="0" w:color="auto"/>
              <w:left w:val="single" w:sz="4" w:space="0" w:color="auto"/>
              <w:bottom w:val="single" w:sz="4" w:space="0" w:color="auto"/>
              <w:right w:val="single" w:sz="4" w:space="0" w:color="auto"/>
            </w:tcBorders>
            <w:vAlign w:val="center"/>
          </w:tcPr>
          <w:p w:rsidR="00FE0045" w:rsidRPr="002403D5" w:rsidRDefault="00FE0045" w:rsidP="00E12924">
            <w:pPr>
              <w:pStyle w:val="Tablehead"/>
            </w:pPr>
            <w:r w:rsidRPr="002403D5">
              <w:t>Arrière-plan</w:t>
            </w:r>
          </w:p>
        </w:tc>
      </w:tr>
      <w:tr w:rsidR="00FE0045" w:rsidTr="00E12924">
        <w:trPr>
          <w:cantSplit/>
          <w:trHeight w:val="20"/>
          <w:jc w:val="center"/>
        </w:trPr>
        <w:tc>
          <w:tcPr>
            <w:tcW w:w="1704" w:type="pct"/>
            <w:tcBorders>
              <w:top w:val="single" w:sz="4" w:space="0" w:color="auto"/>
              <w:left w:val="single" w:sz="4" w:space="0" w:color="auto"/>
              <w:bottom w:val="single" w:sz="4" w:space="0" w:color="auto"/>
              <w:right w:val="single" w:sz="4" w:space="0" w:color="auto"/>
            </w:tcBorders>
          </w:tcPr>
          <w:p w:rsidR="00FE0045" w:rsidRDefault="00FE0045" w:rsidP="00E12924">
            <w:pPr>
              <w:pStyle w:val="Tabletext"/>
              <w:rPr>
                <w:kern w:val="28"/>
              </w:rPr>
            </w:pPr>
            <w:r>
              <w:rPr>
                <w:kern w:val="28"/>
              </w:rPr>
              <w:t xml:space="preserve">Multimédia de débit très élevé </w:t>
            </w:r>
          </w:p>
        </w:tc>
        <w:tc>
          <w:tcPr>
            <w:tcW w:w="1007"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ja-JP"/>
              </w:rPr>
            </w:pPr>
            <w:r>
              <w:rPr>
                <w:lang w:eastAsia="ja-JP"/>
              </w:rPr>
              <w:t>SC1</w:t>
            </w:r>
          </w:p>
        </w:tc>
        <w:tc>
          <w:tcPr>
            <w:tcW w:w="755"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SC6</w:t>
            </w:r>
          </w:p>
        </w:tc>
        <w:tc>
          <w:tcPr>
            <w:tcW w:w="771"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SC11</w:t>
            </w:r>
          </w:p>
        </w:tc>
        <w:tc>
          <w:tcPr>
            <w:tcW w:w="764"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SC16</w:t>
            </w:r>
          </w:p>
        </w:tc>
      </w:tr>
      <w:tr w:rsidR="00FE0045" w:rsidTr="00E12924">
        <w:trPr>
          <w:cantSplit/>
          <w:trHeight w:val="379"/>
          <w:jc w:val="center"/>
        </w:trPr>
        <w:tc>
          <w:tcPr>
            <w:tcW w:w="1704" w:type="pct"/>
            <w:tcBorders>
              <w:top w:val="single" w:sz="4" w:space="0" w:color="auto"/>
              <w:left w:val="single" w:sz="4" w:space="0" w:color="auto"/>
              <w:bottom w:val="single" w:sz="4" w:space="0" w:color="auto"/>
              <w:right w:val="single" w:sz="4" w:space="0" w:color="auto"/>
            </w:tcBorders>
          </w:tcPr>
          <w:p w:rsidR="00FE0045" w:rsidRDefault="00FE0045" w:rsidP="00E12924">
            <w:pPr>
              <w:pStyle w:val="Tabletext"/>
              <w:rPr>
                <w:kern w:val="28"/>
              </w:rPr>
            </w:pPr>
            <w:r>
              <w:rPr>
                <w:kern w:val="28"/>
              </w:rPr>
              <w:t>Multimédia de débit élevé</w:t>
            </w:r>
          </w:p>
        </w:tc>
        <w:tc>
          <w:tcPr>
            <w:tcW w:w="1007"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SC2</w:t>
            </w:r>
          </w:p>
        </w:tc>
        <w:tc>
          <w:tcPr>
            <w:tcW w:w="755"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SC7</w:t>
            </w:r>
          </w:p>
        </w:tc>
        <w:tc>
          <w:tcPr>
            <w:tcW w:w="771"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SC12</w:t>
            </w:r>
          </w:p>
        </w:tc>
        <w:tc>
          <w:tcPr>
            <w:tcW w:w="764"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SC17</w:t>
            </w:r>
          </w:p>
        </w:tc>
      </w:tr>
      <w:tr w:rsidR="00FE0045" w:rsidTr="00E12924">
        <w:trPr>
          <w:cantSplit/>
          <w:trHeight w:val="20"/>
          <w:jc w:val="center"/>
        </w:trPr>
        <w:tc>
          <w:tcPr>
            <w:tcW w:w="1704" w:type="pct"/>
            <w:tcBorders>
              <w:top w:val="single" w:sz="4" w:space="0" w:color="auto"/>
              <w:left w:val="single" w:sz="4" w:space="0" w:color="auto"/>
              <w:bottom w:val="single" w:sz="4" w:space="0" w:color="auto"/>
              <w:right w:val="single" w:sz="4" w:space="0" w:color="auto"/>
            </w:tcBorders>
          </w:tcPr>
          <w:p w:rsidR="00FE0045" w:rsidRDefault="00FE0045" w:rsidP="00E12924">
            <w:pPr>
              <w:pStyle w:val="Tabletext"/>
              <w:rPr>
                <w:kern w:val="28"/>
              </w:rPr>
            </w:pPr>
            <w:r>
              <w:rPr>
                <w:kern w:val="28"/>
              </w:rPr>
              <w:t>Multimédia moyen</w:t>
            </w:r>
          </w:p>
        </w:tc>
        <w:tc>
          <w:tcPr>
            <w:tcW w:w="1007"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SC3</w:t>
            </w:r>
          </w:p>
        </w:tc>
        <w:tc>
          <w:tcPr>
            <w:tcW w:w="755"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SC8</w:t>
            </w:r>
          </w:p>
        </w:tc>
        <w:tc>
          <w:tcPr>
            <w:tcW w:w="771"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SC13</w:t>
            </w:r>
          </w:p>
        </w:tc>
        <w:tc>
          <w:tcPr>
            <w:tcW w:w="764"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SC18</w:t>
            </w:r>
          </w:p>
        </w:tc>
      </w:tr>
      <w:tr w:rsidR="00FE0045" w:rsidTr="00E12924">
        <w:trPr>
          <w:cantSplit/>
          <w:trHeight w:val="20"/>
          <w:jc w:val="center"/>
        </w:trPr>
        <w:tc>
          <w:tcPr>
            <w:tcW w:w="1704" w:type="pct"/>
            <w:tcBorders>
              <w:top w:val="single" w:sz="4" w:space="0" w:color="auto"/>
              <w:left w:val="single" w:sz="4" w:space="0" w:color="auto"/>
              <w:bottom w:val="single" w:sz="4" w:space="0" w:color="auto"/>
              <w:right w:val="single" w:sz="4" w:space="0" w:color="auto"/>
            </w:tcBorders>
          </w:tcPr>
          <w:p w:rsidR="00FE0045" w:rsidRDefault="00FE0045" w:rsidP="00F00D23">
            <w:pPr>
              <w:pStyle w:val="Tabletext"/>
              <w:rPr>
                <w:kern w:val="28"/>
              </w:rPr>
            </w:pPr>
            <w:r>
              <w:rPr>
                <w:kern w:val="28"/>
              </w:rPr>
              <w:t>Faible débit binaire et multimédia de faible débit</w:t>
            </w:r>
          </w:p>
        </w:tc>
        <w:tc>
          <w:tcPr>
            <w:tcW w:w="1007"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SC4</w:t>
            </w:r>
          </w:p>
        </w:tc>
        <w:tc>
          <w:tcPr>
            <w:tcW w:w="755"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SC9</w:t>
            </w:r>
          </w:p>
        </w:tc>
        <w:tc>
          <w:tcPr>
            <w:tcW w:w="771"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SC14</w:t>
            </w:r>
          </w:p>
        </w:tc>
        <w:tc>
          <w:tcPr>
            <w:tcW w:w="764"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SC19</w:t>
            </w:r>
          </w:p>
        </w:tc>
      </w:tr>
      <w:tr w:rsidR="00FE0045" w:rsidTr="00E12924">
        <w:trPr>
          <w:cantSplit/>
          <w:trHeight w:val="20"/>
          <w:jc w:val="center"/>
        </w:trPr>
        <w:tc>
          <w:tcPr>
            <w:tcW w:w="1704" w:type="pct"/>
            <w:tcBorders>
              <w:top w:val="single" w:sz="4" w:space="0" w:color="auto"/>
              <w:left w:val="single" w:sz="4" w:space="0" w:color="auto"/>
              <w:bottom w:val="single" w:sz="4" w:space="0" w:color="auto"/>
              <w:right w:val="single" w:sz="4" w:space="0" w:color="auto"/>
            </w:tcBorders>
          </w:tcPr>
          <w:p w:rsidR="00FE0045" w:rsidRDefault="00FE0045" w:rsidP="00E12924">
            <w:pPr>
              <w:pStyle w:val="Tabletext"/>
              <w:rPr>
                <w:kern w:val="28"/>
              </w:rPr>
            </w:pPr>
            <w:r>
              <w:rPr>
                <w:kern w:val="28"/>
              </w:rPr>
              <w:t>Très faible débit binaire</w:t>
            </w:r>
            <w:r w:rsidRPr="00DE3DF2">
              <w:rPr>
                <w:kern w:val="28"/>
                <w:vertAlign w:val="superscript"/>
              </w:rPr>
              <w:t>(1)</w:t>
            </w:r>
          </w:p>
        </w:tc>
        <w:tc>
          <w:tcPr>
            <w:tcW w:w="1007"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SC5</w:t>
            </w:r>
          </w:p>
        </w:tc>
        <w:tc>
          <w:tcPr>
            <w:tcW w:w="755"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SC10</w:t>
            </w:r>
          </w:p>
        </w:tc>
        <w:tc>
          <w:tcPr>
            <w:tcW w:w="771"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SC15</w:t>
            </w:r>
          </w:p>
        </w:tc>
        <w:tc>
          <w:tcPr>
            <w:tcW w:w="764" w:type="pct"/>
            <w:tcBorders>
              <w:top w:val="single" w:sz="4" w:space="0" w:color="auto"/>
              <w:left w:val="single" w:sz="4" w:space="0" w:color="auto"/>
              <w:bottom w:val="single" w:sz="4" w:space="0" w:color="auto"/>
              <w:right w:val="single" w:sz="4" w:space="0" w:color="auto"/>
            </w:tcBorders>
          </w:tcPr>
          <w:p w:rsidR="00FE0045" w:rsidRDefault="00FE0045" w:rsidP="00327ED6">
            <w:pPr>
              <w:pStyle w:val="Tabletext"/>
              <w:jc w:val="center"/>
              <w:rPr>
                <w:lang w:eastAsia="ko-KR"/>
              </w:rPr>
            </w:pPr>
            <w:r>
              <w:rPr>
                <w:lang w:eastAsia="ko-KR"/>
              </w:rPr>
              <w:t>SC20</w:t>
            </w:r>
          </w:p>
        </w:tc>
      </w:tr>
      <w:tr w:rsidR="00FE0045" w:rsidTr="00E12924">
        <w:trPr>
          <w:cantSplit/>
          <w:trHeight w:val="20"/>
          <w:jc w:val="center"/>
        </w:trPr>
        <w:tc>
          <w:tcPr>
            <w:tcW w:w="5000" w:type="pct"/>
            <w:gridSpan w:val="5"/>
            <w:tcBorders>
              <w:top w:val="single" w:sz="4" w:space="0" w:color="auto"/>
              <w:left w:val="nil"/>
              <w:bottom w:val="nil"/>
              <w:right w:val="nil"/>
            </w:tcBorders>
          </w:tcPr>
          <w:p w:rsidR="00FE0045" w:rsidRPr="00195F87" w:rsidRDefault="00FE0045" w:rsidP="00E12924">
            <w:pPr>
              <w:pStyle w:val="Tabletext"/>
              <w:rPr>
                <w:kern w:val="28"/>
              </w:rPr>
            </w:pPr>
            <w:r w:rsidRPr="00DE3DF2">
              <w:rPr>
                <w:kern w:val="28"/>
                <w:vertAlign w:val="superscript"/>
              </w:rPr>
              <w:t>(1)</w:t>
            </w:r>
            <w:r>
              <w:rPr>
                <w:kern w:val="28"/>
              </w:rPr>
              <w:tab/>
              <w:t>Comprend la téléphonie vocale et le service de messages courts.</w:t>
            </w:r>
          </w:p>
        </w:tc>
      </w:tr>
    </w:tbl>
    <w:p w:rsidR="00FE0045" w:rsidRDefault="00FE0045" w:rsidP="00FE0045">
      <w:pPr>
        <w:pStyle w:val="Tablefin"/>
        <w:rPr>
          <w:kern w:val="28"/>
          <w:lang w:val="fr-FR"/>
        </w:rPr>
      </w:pPr>
    </w:p>
    <w:p w:rsidR="00FE0045" w:rsidRDefault="00FE0045" w:rsidP="00FE0045">
      <w:pPr>
        <w:pStyle w:val="Heading4"/>
        <w:rPr>
          <w:kern w:val="28"/>
        </w:rPr>
      </w:pPr>
      <w:r>
        <w:rPr>
          <w:kern w:val="28"/>
        </w:rPr>
        <w:t>3.4.1.1</w:t>
      </w:r>
      <w:r>
        <w:rPr>
          <w:kern w:val="28"/>
        </w:rPr>
        <w:tab/>
        <w:t>Types de services</w:t>
      </w:r>
    </w:p>
    <w:p w:rsidR="00FE0045" w:rsidRDefault="00FE0045" w:rsidP="00FE0045">
      <w:pPr>
        <w:rPr>
          <w:kern w:val="28"/>
        </w:rPr>
      </w:pPr>
      <w:r>
        <w:rPr>
          <w:kern w:val="28"/>
        </w:rPr>
        <w:t>Les débits binaires maximaux sont utilisés pour déterminer la catégorie des types de services. Les services qui font appel à des débits de données analogues peuvent être regroupés dans la même catégorie. On distingue cinq types de services différents, comme indiqué au Tableau 2.</w:t>
      </w:r>
    </w:p>
    <w:p w:rsidR="00FE0045" w:rsidRDefault="00FE0045" w:rsidP="00FE0045">
      <w:pPr>
        <w:pStyle w:val="TableNo"/>
        <w:rPr>
          <w:kern w:val="28"/>
        </w:rPr>
      </w:pPr>
      <w:r>
        <w:rPr>
          <w:kern w:val="28"/>
        </w:rPr>
        <w:lastRenderedPageBreak/>
        <w:t>TABLEAU 2</w:t>
      </w:r>
    </w:p>
    <w:p w:rsidR="00FE0045" w:rsidRPr="002403D5" w:rsidRDefault="00FE0045" w:rsidP="00FE0045">
      <w:pPr>
        <w:pStyle w:val="Tabletitle"/>
        <w:rPr>
          <w:kern w:val="28"/>
        </w:rPr>
      </w:pPr>
      <w:r w:rsidRPr="002403D5">
        <w:rPr>
          <w:kern w:val="28"/>
        </w:rPr>
        <w:t>Types de servi</w:t>
      </w:r>
      <w:r w:rsidR="00327ED6">
        <w:rPr>
          <w:kern w:val="28"/>
        </w:rPr>
        <w:t>ces et débits binaires maximaux</w:t>
      </w:r>
    </w:p>
    <w:tbl>
      <w:tblPr>
        <w:tblW w:w="43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4678"/>
        <w:gridCol w:w="3828"/>
      </w:tblGrid>
      <w:tr w:rsidR="00FE0045" w:rsidTr="00E12924">
        <w:trPr>
          <w:trHeight w:val="339"/>
          <w:jc w:val="center"/>
        </w:trPr>
        <w:tc>
          <w:tcPr>
            <w:tcW w:w="2750" w:type="pct"/>
          </w:tcPr>
          <w:p w:rsidR="00FE0045" w:rsidRDefault="00FE0045" w:rsidP="00E12924">
            <w:pPr>
              <w:pStyle w:val="Tablehead"/>
              <w:rPr>
                <w:kern w:val="28"/>
              </w:rPr>
            </w:pPr>
            <w:r>
              <w:rPr>
                <w:kern w:val="28"/>
              </w:rPr>
              <w:t>Type de service</w:t>
            </w:r>
          </w:p>
        </w:tc>
        <w:tc>
          <w:tcPr>
            <w:tcW w:w="2250" w:type="pct"/>
          </w:tcPr>
          <w:p w:rsidR="00FE0045" w:rsidRDefault="00FE0045" w:rsidP="00E12924">
            <w:pPr>
              <w:pStyle w:val="Tablehead"/>
              <w:rPr>
                <w:kern w:val="28"/>
              </w:rPr>
            </w:pPr>
            <w:r>
              <w:rPr>
                <w:kern w:val="28"/>
              </w:rPr>
              <w:t>Débit binaire maximal</w:t>
            </w:r>
          </w:p>
        </w:tc>
      </w:tr>
      <w:tr w:rsidR="00FE0045" w:rsidTr="00E12924">
        <w:trPr>
          <w:trHeight w:val="339"/>
          <w:jc w:val="center"/>
        </w:trPr>
        <w:tc>
          <w:tcPr>
            <w:tcW w:w="2750" w:type="pct"/>
          </w:tcPr>
          <w:p w:rsidR="00FE0045" w:rsidRDefault="00FE0045" w:rsidP="00E12924">
            <w:pPr>
              <w:pStyle w:val="Tabletext"/>
              <w:rPr>
                <w:kern w:val="28"/>
              </w:rPr>
            </w:pPr>
            <w:r>
              <w:rPr>
                <w:kern w:val="28"/>
              </w:rPr>
              <w:t>Très faible débit binaire</w:t>
            </w:r>
          </w:p>
        </w:tc>
        <w:tc>
          <w:tcPr>
            <w:tcW w:w="2250" w:type="pct"/>
          </w:tcPr>
          <w:p w:rsidR="00FE0045" w:rsidRDefault="00FE0045" w:rsidP="00327ED6">
            <w:pPr>
              <w:pStyle w:val="Tabletext"/>
              <w:jc w:val="center"/>
              <w:rPr>
                <w:kern w:val="28"/>
              </w:rPr>
            </w:pPr>
            <w:r>
              <w:rPr>
                <w:rFonts w:ascii="Symbol" w:hAnsi="Symbol"/>
                <w:kern w:val="28"/>
              </w:rPr>
              <w:t></w:t>
            </w:r>
            <w:r>
              <w:rPr>
                <w:kern w:val="28"/>
              </w:rPr>
              <w:t xml:space="preserve"> 16 kbit/s</w:t>
            </w:r>
          </w:p>
        </w:tc>
      </w:tr>
      <w:tr w:rsidR="00FE0045" w:rsidTr="00E12924">
        <w:trPr>
          <w:trHeight w:val="339"/>
          <w:jc w:val="center"/>
        </w:trPr>
        <w:tc>
          <w:tcPr>
            <w:tcW w:w="2750" w:type="pct"/>
          </w:tcPr>
          <w:p w:rsidR="00FE0045" w:rsidRDefault="00FE0045" w:rsidP="00E12924">
            <w:pPr>
              <w:pStyle w:val="Tabletext"/>
              <w:rPr>
                <w:kern w:val="28"/>
              </w:rPr>
            </w:pPr>
            <w:r>
              <w:rPr>
                <w:kern w:val="28"/>
              </w:rPr>
              <w:t>Faible débit binaire et multimédia de faible débit</w:t>
            </w:r>
          </w:p>
        </w:tc>
        <w:tc>
          <w:tcPr>
            <w:tcW w:w="2250" w:type="pct"/>
          </w:tcPr>
          <w:p w:rsidR="00FE0045" w:rsidRDefault="00FE0045" w:rsidP="00327ED6">
            <w:pPr>
              <w:pStyle w:val="Tabletext"/>
              <w:jc w:val="center"/>
              <w:rPr>
                <w:kern w:val="28"/>
              </w:rPr>
            </w:pPr>
            <w:r>
              <w:rPr>
                <w:rFonts w:ascii="Symbol" w:hAnsi="Symbol"/>
                <w:kern w:val="28"/>
              </w:rPr>
              <w:t></w:t>
            </w:r>
            <w:r>
              <w:rPr>
                <w:kern w:val="28"/>
              </w:rPr>
              <w:t xml:space="preserve"> 144 kbit/s</w:t>
            </w:r>
          </w:p>
        </w:tc>
      </w:tr>
      <w:tr w:rsidR="00FE0045" w:rsidTr="00E12924">
        <w:trPr>
          <w:trHeight w:val="339"/>
          <w:jc w:val="center"/>
        </w:trPr>
        <w:tc>
          <w:tcPr>
            <w:tcW w:w="2750" w:type="pct"/>
          </w:tcPr>
          <w:p w:rsidR="00FE0045" w:rsidRDefault="00FE0045" w:rsidP="00E12924">
            <w:pPr>
              <w:pStyle w:val="Tabletext"/>
              <w:rPr>
                <w:kern w:val="28"/>
              </w:rPr>
            </w:pPr>
            <w:r>
              <w:rPr>
                <w:kern w:val="28"/>
              </w:rPr>
              <w:t>Multimédia moyen</w:t>
            </w:r>
          </w:p>
        </w:tc>
        <w:tc>
          <w:tcPr>
            <w:tcW w:w="2250" w:type="pct"/>
          </w:tcPr>
          <w:p w:rsidR="00FE0045" w:rsidRDefault="00FE0045" w:rsidP="00327ED6">
            <w:pPr>
              <w:pStyle w:val="Tabletext"/>
              <w:jc w:val="center"/>
              <w:rPr>
                <w:kern w:val="28"/>
              </w:rPr>
            </w:pPr>
            <w:r>
              <w:rPr>
                <w:rFonts w:ascii="Symbol" w:hAnsi="Symbol"/>
                <w:kern w:val="28"/>
              </w:rPr>
              <w:t></w:t>
            </w:r>
            <w:r>
              <w:rPr>
                <w:kern w:val="28"/>
              </w:rPr>
              <w:t xml:space="preserve"> 2 Mbit/s</w:t>
            </w:r>
          </w:p>
        </w:tc>
      </w:tr>
      <w:tr w:rsidR="00FE0045" w:rsidTr="00E12924">
        <w:trPr>
          <w:trHeight w:val="339"/>
          <w:jc w:val="center"/>
        </w:trPr>
        <w:tc>
          <w:tcPr>
            <w:tcW w:w="2750" w:type="pct"/>
          </w:tcPr>
          <w:p w:rsidR="00FE0045" w:rsidRDefault="00FE0045" w:rsidP="00E12924">
            <w:pPr>
              <w:pStyle w:val="Tabletext"/>
              <w:rPr>
                <w:kern w:val="28"/>
              </w:rPr>
            </w:pPr>
            <w:r>
              <w:rPr>
                <w:kern w:val="28"/>
              </w:rPr>
              <w:t>Multimédia de débit élevé</w:t>
            </w:r>
          </w:p>
        </w:tc>
        <w:tc>
          <w:tcPr>
            <w:tcW w:w="2250" w:type="pct"/>
          </w:tcPr>
          <w:p w:rsidR="00FE0045" w:rsidRDefault="00FE0045" w:rsidP="00327ED6">
            <w:pPr>
              <w:pStyle w:val="Tabletext"/>
              <w:jc w:val="center"/>
              <w:rPr>
                <w:kern w:val="28"/>
              </w:rPr>
            </w:pPr>
            <w:r>
              <w:rPr>
                <w:rFonts w:ascii="Symbol" w:hAnsi="Symbol"/>
                <w:kern w:val="28"/>
              </w:rPr>
              <w:t></w:t>
            </w:r>
            <w:r>
              <w:rPr>
                <w:kern w:val="28"/>
              </w:rPr>
              <w:t xml:space="preserve"> 30 Mbit/s</w:t>
            </w:r>
          </w:p>
        </w:tc>
      </w:tr>
      <w:tr w:rsidR="00FE0045" w:rsidTr="00E12924">
        <w:trPr>
          <w:trHeight w:val="339"/>
          <w:jc w:val="center"/>
        </w:trPr>
        <w:tc>
          <w:tcPr>
            <w:tcW w:w="2750" w:type="pct"/>
          </w:tcPr>
          <w:p w:rsidR="00FE0045" w:rsidRDefault="00FE0045" w:rsidP="00E12924">
            <w:pPr>
              <w:pStyle w:val="Tabletext"/>
              <w:rPr>
                <w:kern w:val="28"/>
              </w:rPr>
            </w:pPr>
            <w:r>
              <w:rPr>
                <w:kern w:val="28"/>
              </w:rPr>
              <w:t>Multimédia de débit très élevé</w:t>
            </w:r>
          </w:p>
        </w:tc>
        <w:tc>
          <w:tcPr>
            <w:tcW w:w="2250" w:type="pct"/>
          </w:tcPr>
          <w:p w:rsidR="00FE0045" w:rsidRDefault="00FE0045" w:rsidP="00327ED6">
            <w:pPr>
              <w:pStyle w:val="Tabletext"/>
              <w:jc w:val="center"/>
              <w:rPr>
                <w:kern w:val="28"/>
              </w:rPr>
            </w:pPr>
            <w:r>
              <w:rPr>
                <w:kern w:val="28"/>
              </w:rPr>
              <w:t>entre 30 Mbit/s et 100 Mbit/s/1 Gbit/s</w:t>
            </w:r>
          </w:p>
        </w:tc>
      </w:tr>
    </w:tbl>
    <w:p w:rsidR="00FE0045" w:rsidRDefault="00FE0045" w:rsidP="00FE0045">
      <w:pPr>
        <w:pStyle w:val="Tablefin"/>
        <w:rPr>
          <w:kern w:val="28"/>
        </w:rPr>
      </w:pPr>
    </w:p>
    <w:p w:rsidR="00FE0045" w:rsidRDefault="00FE0045" w:rsidP="00FE0045">
      <w:pPr>
        <w:pStyle w:val="Headingi"/>
        <w:rPr>
          <w:kern w:val="28"/>
        </w:rPr>
      </w:pPr>
      <w:r>
        <w:rPr>
          <w:kern w:val="28"/>
        </w:rPr>
        <w:t>a)</w:t>
      </w:r>
      <w:r>
        <w:rPr>
          <w:kern w:val="28"/>
        </w:rPr>
        <w:tab/>
        <w:t>Très faible débit binaire</w:t>
      </w:r>
    </w:p>
    <w:p w:rsidR="00FE0045" w:rsidRDefault="00FE0045" w:rsidP="00FE0045">
      <w:pPr>
        <w:rPr>
          <w:kern w:val="28"/>
        </w:rPr>
      </w:pPr>
      <w:r>
        <w:rPr>
          <w:kern w:val="28"/>
        </w:rPr>
        <w:t>Ce type de service exige l'utilisation, en période de pointe, de débits binaires pouvant aller jusqu'à 16 kbit/s. L'année 2010 et les années suivantes connaîtront une demande d'applications vocales et de messages simples faisant appel à de très faibles débits binaires. En outre, certaines applications relevant du domaine des communications de détection et/ou de la télémesure à faible débit binaire devraient également entrer dans cette catégorie, au même titre que les communications universelles.</w:t>
      </w:r>
    </w:p>
    <w:p w:rsidR="00FE0045" w:rsidRDefault="00FE0045" w:rsidP="00FE0045">
      <w:pPr>
        <w:pStyle w:val="Headingi"/>
        <w:rPr>
          <w:kern w:val="28"/>
        </w:rPr>
      </w:pPr>
      <w:r w:rsidRPr="002403D5">
        <w:rPr>
          <w:kern w:val="28"/>
        </w:rPr>
        <w:t>b)</w:t>
      </w:r>
      <w:r w:rsidRPr="002403D5">
        <w:rPr>
          <w:kern w:val="28"/>
        </w:rPr>
        <w:tab/>
        <w:t>Faible débit binaire et multimédia de faible débit</w:t>
      </w:r>
      <w:r>
        <w:rPr>
          <w:kern w:val="28"/>
        </w:rPr>
        <w:t xml:space="preserve"> </w:t>
      </w:r>
    </w:p>
    <w:p w:rsidR="00FE0045" w:rsidRDefault="00FE0045" w:rsidP="00FE0045">
      <w:pPr>
        <w:rPr>
          <w:kern w:val="28"/>
        </w:rPr>
      </w:pPr>
      <w:r>
        <w:rPr>
          <w:kern w:val="28"/>
        </w:rPr>
        <w:t>Ce type de service fait appel à des débits binaires allant jusqu'à 144 kbit/s. Il tient compte des applications de communications de données antérieures aux systèmes IMT</w:t>
      </w:r>
      <w:r>
        <w:rPr>
          <w:kern w:val="28"/>
        </w:rPr>
        <w:noBreakHyphen/>
        <w:t>2000.</w:t>
      </w:r>
    </w:p>
    <w:p w:rsidR="00FE0045" w:rsidRPr="002403D5" w:rsidRDefault="00FE0045" w:rsidP="00FE0045">
      <w:pPr>
        <w:pStyle w:val="Headingi"/>
        <w:rPr>
          <w:kern w:val="28"/>
        </w:rPr>
      </w:pPr>
      <w:r w:rsidRPr="002403D5">
        <w:rPr>
          <w:kern w:val="28"/>
        </w:rPr>
        <w:t>c)</w:t>
      </w:r>
      <w:r w:rsidRPr="002403D5">
        <w:rPr>
          <w:kern w:val="28"/>
        </w:rPr>
        <w:tab/>
        <w:t>Multimédia moyen</w:t>
      </w:r>
    </w:p>
    <w:p w:rsidR="00FE0045" w:rsidRDefault="00FE0045" w:rsidP="00F00D23">
      <w:pPr>
        <w:rPr>
          <w:kern w:val="28"/>
        </w:rPr>
      </w:pPr>
      <w:r>
        <w:rPr>
          <w:kern w:val="28"/>
        </w:rPr>
        <w:t>Ce type de service fait appel à un débit binaire maximal de 2 Mbit/s. Il devrait pouvoir être compatible avec les applications des IMT</w:t>
      </w:r>
      <w:r>
        <w:rPr>
          <w:kern w:val="28"/>
        </w:rPr>
        <w:noBreakHyphen/>
        <w:t>2000.</w:t>
      </w:r>
    </w:p>
    <w:p w:rsidR="00FE0045" w:rsidRPr="002403D5" w:rsidRDefault="00FE0045" w:rsidP="00FE0045">
      <w:pPr>
        <w:pStyle w:val="Headingi"/>
        <w:rPr>
          <w:kern w:val="28"/>
        </w:rPr>
      </w:pPr>
      <w:r w:rsidRPr="002403D5">
        <w:rPr>
          <w:kern w:val="28"/>
        </w:rPr>
        <w:t>d)</w:t>
      </w:r>
      <w:r w:rsidRPr="002403D5">
        <w:rPr>
          <w:kern w:val="28"/>
        </w:rPr>
        <w:tab/>
        <w:t>Multimédia de débit élevé</w:t>
      </w:r>
    </w:p>
    <w:p w:rsidR="00FE0045" w:rsidRDefault="00FE0045" w:rsidP="00F00D23">
      <w:pPr>
        <w:rPr>
          <w:kern w:val="28"/>
        </w:rPr>
      </w:pPr>
      <w:r>
        <w:rPr>
          <w:kern w:val="28"/>
        </w:rPr>
        <w:t>Ce type de service prend en charge des applications à débit binaire élevé, dont les services multimédias de transmission en continu de l'image, qui sont assurées au moyen de la technologie de ligne d'abonné numérique en mode filaire dans les systèmes de communication filaires fixes.</w:t>
      </w:r>
    </w:p>
    <w:p w:rsidR="00FE0045" w:rsidRPr="002403D5" w:rsidRDefault="00FE0045" w:rsidP="00FE0045">
      <w:pPr>
        <w:pStyle w:val="Headingi"/>
        <w:rPr>
          <w:kern w:val="28"/>
        </w:rPr>
      </w:pPr>
      <w:r w:rsidRPr="002403D5">
        <w:rPr>
          <w:kern w:val="28"/>
        </w:rPr>
        <w:t>e)</w:t>
      </w:r>
      <w:r w:rsidRPr="002403D5">
        <w:rPr>
          <w:kern w:val="28"/>
        </w:rPr>
        <w:tab/>
        <w:t>Multimédia de débit très élevé</w:t>
      </w:r>
    </w:p>
    <w:p w:rsidR="00FE0045" w:rsidRDefault="00FE0045" w:rsidP="00F00D23">
      <w:pPr>
        <w:rPr>
          <w:kern w:val="28"/>
        </w:rPr>
      </w:pPr>
      <w:r>
        <w:rPr>
          <w:kern w:val="28"/>
        </w:rPr>
        <w:t xml:space="preserve">Ce type de service prend en charge des applications multimédias à débit de données très élevé qui sont actuellement assurées dans le cadre des services fibre jusqu'au domicile (FTTH, </w:t>
      </w:r>
      <w:r w:rsidRPr="008F7665">
        <w:rPr>
          <w:i/>
          <w:kern w:val="28"/>
        </w:rPr>
        <w:t>fibre to the home</w:t>
      </w:r>
      <w:r>
        <w:rPr>
          <w:kern w:val="28"/>
        </w:rPr>
        <w:t>) dans le cas des systèmes de communications filaires.</w:t>
      </w:r>
    </w:p>
    <w:p w:rsidR="00FE0045" w:rsidRDefault="00FE0045" w:rsidP="00FE0045">
      <w:pPr>
        <w:pStyle w:val="Heading4"/>
        <w:rPr>
          <w:kern w:val="28"/>
        </w:rPr>
      </w:pPr>
      <w:r>
        <w:rPr>
          <w:kern w:val="28"/>
        </w:rPr>
        <w:t>3.4.1.2</w:t>
      </w:r>
      <w:r>
        <w:rPr>
          <w:kern w:val="28"/>
        </w:rPr>
        <w:tab/>
        <w:t>Classes de trafic</w:t>
      </w:r>
    </w:p>
    <w:p w:rsidR="00FE0045" w:rsidRDefault="00FE0045" w:rsidP="00FE0045">
      <w:pPr>
        <w:rPr>
          <w:kern w:val="28"/>
        </w:rPr>
      </w:pPr>
      <w:r>
        <w:rPr>
          <w:kern w:val="28"/>
        </w:rPr>
        <w:t>La méthodologie s'appuie sur les classes de trafic présentées dans la Recommandation UIT-R M.1079, qui définit, du point de vue des utilisateurs des IMT</w:t>
      </w:r>
      <w:r>
        <w:rPr>
          <w:kern w:val="28"/>
        </w:rPr>
        <w:noBreakHyphen/>
        <w:t xml:space="preserve">2000, les quatre qualités de service (QoS) suivantes: </w:t>
      </w:r>
    </w:p>
    <w:p w:rsidR="00FE0045" w:rsidRDefault="00FE0045" w:rsidP="00FE0045">
      <w:pPr>
        <w:pStyle w:val="enumlev1"/>
        <w:rPr>
          <w:kern w:val="28"/>
        </w:rPr>
      </w:pPr>
      <w:r>
        <w:rPr>
          <w:kern w:val="28"/>
        </w:rPr>
        <w:t>–</w:t>
      </w:r>
      <w:r>
        <w:rPr>
          <w:kern w:val="28"/>
        </w:rPr>
        <w:tab/>
        <w:t>catégorie de service conversationnelle;</w:t>
      </w:r>
    </w:p>
    <w:p w:rsidR="00FE0045" w:rsidRDefault="00FE0045" w:rsidP="00FE0045">
      <w:pPr>
        <w:pStyle w:val="enumlev1"/>
        <w:rPr>
          <w:kern w:val="28"/>
        </w:rPr>
      </w:pPr>
      <w:r>
        <w:rPr>
          <w:kern w:val="28"/>
        </w:rPr>
        <w:t>–</w:t>
      </w:r>
      <w:r>
        <w:rPr>
          <w:kern w:val="28"/>
        </w:rPr>
        <w:tab/>
        <w:t>catégorie de service interactive;</w:t>
      </w:r>
    </w:p>
    <w:p w:rsidR="00FE0045" w:rsidRDefault="00FE0045" w:rsidP="00FE0045">
      <w:pPr>
        <w:pStyle w:val="enumlev1"/>
        <w:rPr>
          <w:kern w:val="28"/>
        </w:rPr>
      </w:pPr>
      <w:r>
        <w:rPr>
          <w:kern w:val="28"/>
        </w:rPr>
        <w:t>–</w:t>
      </w:r>
      <w:r>
        <w:rPr>
          <w:kern w:val="28"/>
        </w:rPr>
        <w:tab/>
        <w:t>catégorie de service de transmission en continu;</w:t>
      </w:r>
    </w:p>
    <w:p w:rsidR="00FE0045" w:rsidRDefault="00FE0045" w:rsidP="00FE0045">
      <w:pPr>
        <w:pStyle w:val="enumlev1"/>
        <w:rPr>
          <w:kern w:val="28"/>
        </w:rPr>
      </w:pPr>
      <w:r>
        <w:rPr>
          <w:kern w:val="28"/>
        </w:rPr>
        <w:t>–</w:t>
      </w:r>
      <w:r>
        <w:rPr>
          <w:kern w:val="28"/>
        </w:rPr>
        <w:tab/>
        <w:t>catégorie de service d'arrière-plan.</w:t>
      </w:r>
    </w:p>
    <w:p w:rsidR="00FE0045" w:rsidRDefault="00FE0045" w:rsidP="00FE0045">
      <w:pPr>
        <w:rPr>
          <w:kern w:val="28"/>
        </w:rPr>
      </w:pPr>
      <w:r>
        <w:rPr>
          <w:kern w:val="28"/>
        </w:rPr>
        <w:t xml:space="preserve">Ces catégories se distinguent les unes des autres essentiellement par la sensibilité aux retards de l'application. Dans la catégorie conversationnelle entrent des applications qui sont très sensibles aux retards, la QoS la plus affectée par les délais de transmission étant celle qui relève de la catégorie d'arrière-plan. </w:t>
      </w:r>
    </w:p>
    <w:p w:rsidR="00FE0045" w:rsidRDefault="00FE0045" w:rsidP="00FE0045">
      <w:pPr>
        <w:rPr>
          <w:kern w:val="28"/>
        </w:rPr>
      </w:pPr>
      <w:r>
        <w:rPr>
          <w:kern w:val="28"/>
        </w:rPr>
        <w:lastRenderedPageBreak/>
        <w:t>Pour les classes de trafic fondées sur la Recommandation UIT-R M.1079, la catégorie conversationnelle et celle de la transmission en continu sont associées à la commutation de circuits et les catégories d'arrière-plan et interactive à la commutation par paquets.</w:t>
      </w:r>
    </w:p>
    <w:p w:rsidR="00FE0045" w:rsidRPr="002403D5" w:rsidRDefault="00FE0045" w:rsidP="00FE0045">
      <w:pPr>
        <w:pStyle w:val="Headingi"/>
        <w:rPr>
          <w:kern w:val="28"/>
        </w:rPr>
      </w:pPr>
      <w:r w:rsidRPr="002403D5">
        <w:rPr>
          <w:kern w:val="28"/>
        </w:rPr>
        <w:t>a)</w:t>
      </w:r>
      <w:r w:rsidRPr="002403D5">
        <w:rPr>
          <w:kern w:val="28"/>
        </w:rPr>
        <w:tab/>
        <w:t>Catégorie conversationnelle</w:t>
      </w:r>
    </w:p>
    <w:p w:rsidR="00FE0045" w:rsidRDefault="00FE0045" w:rsidP="00FE0045">
      <w:pPr>
        <w:rPr>
          <w:kern w:val="28"/>
        </w:rPr>
      </w:pPr>
      <w:r>
        <w:rPr>
          <w:kern w:val="28"/>
        </w:rPr>
        <w:t xml:space="preserve">L'application la plus connue de ce système est la téléphonie vocale. Or, avec l'internet et le multimédia, un certain nombre d'autres applications devront être prises en charge par le système, comme par exemple, le protocole de la voix sur Internet (IP, </w:t>
      </w:r>
      <w:r w:rsidRPr="008F7665">
        <w:rPr>
          <w:i/>
          <w:kern w:val="28"/>
        </w:rPr>
        <w:t>voice over Internet Protocol</w:t>
      </w:r>
      <w:r>
        <w:rPr>
          <w:kern w:val="28"/>
        </w:rPr>
        <w:t>) et la visioconférence. Les communications en temps réel sont toujours échangées entre des homologues (ou groupes d'utilisateurs) finals vivants (humains). Le système de communication en temps réel est caractérisé par le temps de transfert, lequel doit être court du fait:</w:t>
      </w:r>
    </w:p>
    <w:p w:rsidR="00FE0045" w:rsidRDefault="00FE0045" w:rsidP="00FE0045">
      <w:pPr>
        <w:pStyle w:val="enumlev1"/>
        <w:rPr>
          <w:kern w:val="28"/>
        </w:rPr>
      </w:pPr>
      <w:r>
        <w:rPr>
          <w:kern w:val="28"/>
        </w:rPr>
        <w:t>–</w:t>
      </w:r>
      <w:r>
        <w:rPr>
          <w:kern w:val="28"/>
        </w:rPr>
        <w:tab/>
        <w:t>de la nature conversationnelle du système;</w:t>
      </w:r>
    </w:p>
    <w:p w:rsidR="00FE0045" w:rsidRDefault="00FE0045" w:rsidP="00FE0045">
      <w:pPr>
        <w:pStyle w:val="enumlev1"/>
        <w:rPr>
          <w:kern w:val="28"/>
        </w:rPr>
      </w:pPr>
      <w:r>
        <w:rPr>
          <w:kern w:val="28"/>
        </w:rPr>
        <w:t>–</w:t>
      </w:r>
      <w:r>
        <w:rPr>
          <w:kern w:val="28"/>
        </w:rPr>
        <w:tab/>
        <w:t>parallèlement à cela, la relation (variation) temporelle entre les entités d'information du flux doit être préservée comme pour la transmission en continu en temps réel.</w:t>
      </w:r>
    </w:p>
    <w:p w:rsidR="00FE0045" w:rsidRDefault="00FE0045" w:rsidP="00FE0045">
      <w:pPr>
        <w:rPr>
          <w:kern w:val="28"/>
        </w:rPr>
      </w:pPr>
      <w:r>
        <w:rPr>
          <w:kern w:val="28"/>
        </w:rPr>
        <w:t>Le temps de transfert maximal est fonction de la perception par les êtres humains des images et des communications audio. Le délai de transfert acceptable est donc strictement limité car un transfert trop lent entraînerait une dégradation inacceptable de la qualité. Ce délai doit donc être à la fois considérablement plus court et plus rigoureux que le temps de propagation aller et retour des applications interactives.</w:t>
      </w:r>
    </w:p>
    <w:p w:rsidR="00FE0045" w:rsidRDefault="00FE0045" w:rsidP="00FE0045">
      <w:pPr>
        <w:pStyle w:val="Headingi"/>
        <w:rPr>
          <w:kern w:val="28"/>
        </w:rPr>
      </w:pPr>
      <w:r w:rsidRPr="002403D5">
        <w:rPr>
          <w:kern w:val="28"/>
        </w:rPr>
        <w:t>b)</w:t>
      </w:r>
      <w:r w:rsidRPr="002403D5">
        <w:rPr>
          <w:kern w:val="28"/>
        </w:rPr>
        <w:tab/>
        <w:t>Catégorie interactive</w:t>
      </w:r>
    </w:p>
    <w:p w:rsidR="00FE0045" w:rsidRDefault="00FE0045" w:rsidP="00FE0045">
      <w:pPr>
        <w:rPr>
          <w:kern w:val="28"/>
        </w:rPr>
      </w:pPr>
      <w:r>
        <w:rPr>
          <w:kern w:val="28"/>
        </w:rPr>
        <w:t>La demande de données à un équipement distant (un serveur, par exemple) faite en ligne par un utilisateur final, qui peut être une machine ou un être humain, constitue un système interactif. La navigation sur le web, la consultation de bases de données, l'accès aux serveurs sont des exemples d'interaction humaine avec des équipements distants. L'interrogation à distance pour l'enregistrement de mesures et la consultation automatique de bases de données (télémachines) sont des exemples d'interaction entre une machine et un équipement distant.</w:t>
      </w:r>
    </w:p>
    <w:p w:rsidR="00FE0045" w:rsidRDefault="00FE0045" w:rsidP="00FE0045">
      <w:pPr>
        <w:rPr>
          <w:kern w:val="28"/>
        </w:rPr>
      </w:pPr>
      <w:r>
        <w:rPr>
          <w:kern w:val="28"/>
        </w:rPr>
        <w:t>Le trafic interactif est l'autre système classique de communication de données qui est caractérisé d'une manière générale par le type de réponse donnée par l'utilisateur final aux demandes. Le destinataire du message s'attend à recevoir ce dernier (la réponse) au bout d'un certain laps de temps. Le délai nécessaire à la propagation aller et retour est donc l'un des attributs fondamentaux. Il faut également que le contenu des paquets soit transféré de manière transparente (que le TEB soit faible); il s'agit là d'une autre caractéristique de ce système.</w:t>
      </w:r>
    </w:p>
    <w:p w:rsidR="00FE0045" w:rsidRDefault="00FE0045" w:rsidP="00FE0045">
      <w:pPr>
        <w:rPr>
          <w:kern w:val="28"/>
        </w:rPr>
      </w:pPr>
      <w:r>
        <w:rPr>
          <w:kern w:val="28"/>
        </w:rPr>
        <w:t>Trafic interactif – caractéristiques fondamentales pour la QoS:</w:t>
      </w:r>
    </w:p>
    <w:p w:rsidR="00FE0045" w:rsidRDefault="00FE0045" w:rsidP="00FE0045">
      <w:pPr>
        <w:pStyle w:val="enumlev1"/>
        <w:rPr>
          <w:kern w:val="28"/>
        </w:rPr>
      </w:pPr>
      <w:r>
        <w:rPr>
          <w:kern w:val="28"/>
        </w:rPr>
        <w:t>–</w:t>
      </w:r>
      <w:r>
        <w:rPr>
          <w:kern w:val="28"/>
        </w:rPr>
        <w:tab/>
        <w:t>type de réponse à la demande;</w:t>
      </w:r>
    </w:p>
    <w:p w:rsidR="00FE0045" w:rsidRDefault="00FE0045" w:rsidP="00FE0045">
      <w:pPr>
        <w:pStyle w:val="enumlev1"/>
        <w:rPr>
          <w:kern w:val="28"/>
        </w:rPr>
      </w:pPr>
      <w:r>
        <w:rPr>
          <w:kern w:val="28"/>
        </w:rPr>
        <w:t>–</w:t>
      </w:r>
      <w:r>
        <w:rPr>
          <w:kern w:val="28"/>
        </w:rPr>
        <w:tab/>
        <w:t>préservation du contenu de la charge utile.</w:t>
      </w:r>
    </w:p>
    <w:p w:rsidR="00FE0045" w:rsidRPr="002403D5" w:rsidRDefault="00FE0045" w:rsidP="00FE0045">
      <w:pPr>
        <w:pStyle w:val="Headingi"/>
        <w:rPr>
          <w:kern w:val="28"/>
        </w:rPr>
      </w:pPr>
      <w:r w:rsidRPr="002403D5">
        <w:rPr>
          <w:kern w:val="28"/>
        </w:rPr>
        <w:t>c)</w:t>
      </w:r>
      <w:r w:rsidRPr="002403D5">
        <w:rPr>
          <w:kern w:val="28"/>
        </w:rPr>
        <w:tab/>
        <w:t>Catégorie de service de transmission en continu</w:t>
      </w:r>
    </w:p>
    <w:p w:rsidR="00FE0045" w:rsidRDefault="00FE0045" w:rsidP="00FE0045">
      <w:pPr>
        <w:rPr>
          <w:kern w:val="28"/>
        </w:rPr>
      </w:pPr>
      <w:r>
        <w:rPr>
          <w:kern w:val="28"/>
        </w:rPr>
        <w:t>L'observation d'images (ou l'écoute d'une émission audio) en temps réel par un utilisateur constitue un système de transmission en continu en temps réel. Le flux de données en temps réel s'adresse toujours à un destinataire vivant (un être humain). Il s'agit d'un transport unidirectionnel.</w:t>
      </w:r>
    </w:p>
    <w:p w:rsidR="00FE0045" w:rsidRDefault="00FE0045" w:rsidP="00FE0045">
      <w:pPr>
        <w:rPr>
          <w:kern w:val="28"/>
        </w:rPr>
      </w:pPr>
      <w:r>
        <w:rPr>
          <w:kern w:val="28"/>
        </w:rPr>
        <w:t>L'apparition de ce système, qui est l'une des dernières innovations en matière de communication de données, crée un certain nombre de nouveaux besoins à satisfaire aussi bien dans le domaine des télécommunications que dans celui de la communication de données. La catégorie en question se caractérise par les relations (la variation) temporelles entre les entités d'information (c'est-à-dire les échantillons et les paquets) d'un flux qui doivent être préservées même s'il n'est pas exigé que le temps de transfert soit court.</w:t>
      </w:r>
    </w:p>
    <w:p w:rsidR="00FE0045" w:rsidRDefault="00FE0045" w:rsidP="00FE0045">
      <w:pPr>
        <w:rPr>
          <w:kern w:val="28"/>
        </w:rPr>
      </w:pPr>
      <w:r>
        <w:rPr>
          <w:kern w:val="28"/>
        </w:rPr>
        <w:lastRenderedPageBreak/>
        <w:t>La variation du temps nécessaire à la transmission de bout en bout doit être limitée pour préserver la relation (variation) temporelle qui existe entre les entités d'information du flux. Toutefois, ce flux étant normalement synchronisé à la réception (dans l'équipement de l'usager), la variation temporelle maximale acceptable le long du support de transmission dépend de l'adéquation de la fonction de synchronisation de l'application. La variation temporelle acceptable est donc bien plus élevée que celle qui correspond aux limites de la perception de l'être humain.</w:t>
      </w:r>
    </w:p>
    <w:p w:rsidR="00FE0045" w:rsidRDefault="00FE0045" w:rsidP="00FE0045">
      <w:pPr>
        <w:rPr>
          <w:kern w:val="28"/>
        </w:rPr>
      </w:pPr>
      <w:r>
        <w:rPr>
          <w:kern w:val="28"/>
        </w:rPr>
        <w:t>Transmission en continu en temps réel – caractéristiques fondamentales pour la QoS:</w:t>
      </w:r>
    </w:p>
    <w:p w:rsidR="00FE0045" w:rsidRDefault="00FE0045" w:rsidP="00FE0045">
      <w:pPr>
        <w:pStyle w:val="enumlev1"/>
        <w:rPr>
          <w:kern w:val="28"/>
        </w:rPr>
      </w:pPr>
      <w:r>
        <w:rPr>
          <w:kern w:val="28"/>
        </w:rPr>
        <w:t>–</w:t>
      </w:r>
      <w:r>
        <w:rPr>
          <w:kern w:val="28"/>
        </w:rPr>
        <w:tab/>
        <w:t>transmission unidirectionnelle en continu;</w:t>
      </w:r>
    </w:p>
    <w:p w:rsidR="00FE0045" w:rsidRDefault="00FE0045" w:rsidP="00FE0045">
      <w:pPr>
        <w:pStyle w:val="enumlev1"/>
        <w:rPr>
          <w:kern w:val="28"/>
        </w:rPr>
      </w:pPr>
      <w:r>
        <w:rPr>
          <w:kern w:val="28"/>
        </w:rPr>
        <w:t>–</w:t>
      </w:r>
      <w:r>
        <w:rPr>
          <w:kern w:val="28"/>
        </w:rPr>
        <w:tab/>
        <w:t>préserver la relation (variation) temporelle entre les entités d'information du flux.</w:t>
      </w:r>
    </w:p>
    <w:p w:rsidR="00FE0045" w:rsidRPr="002403D5" w:rsidRDefault="00FE0045" w:rsidP="00FE0045">
      <w:pPr>
        <w:pStyle w:val="Headingi"/>
        <w:rPr>
          <w:kern w:val="28"/>
        </w:rPr>
      </w:pPr>
      <w:r w:rsidRPr="002403D5">
        <w:rPr>
          <w:kern w:val="28"/>
        </w:rPr>
        <w:t>d)</w:t>
      </w:r>
      <w:r w:rsidRPr="002403D5">
        <w:rPr>
          <w:kern w:val="28"/>
        </w:rPr>
        <w:tab/>
        <w:t>Catégorie d'arrière-plan</w:t>
      </w:r>
    </w:p>
    <w:p w:rsidR="00FE0045" w:rsidRDefault="00FE0045" w:rsidP="00FE0045">
      <w:pPr>
        <w:rPr>
          <w:kern w:val="28"/>
        </w:rPr>
      </w:pPr>
      <w:r>
        <w:rPr>
          <w:kern w:val="28"/>
        </w:rPr>
        <w:t>Entrent dans cette catégorie l'envoi et la réception par l'utilisateur final (généralement un ordinateur) de fichiers de données en arrière-plan. La transmission en arrière-plan du courrier électronique, de messages courts, le téléchargement de bases de données et la réception des enregistrements de mesures sont des exemples de services d'arrière-plan.</w:t>
      </w:r>
    </w:p>
    <w:p w:rsidR="00FE0045" w:rsidRDefault="00FE0045" w:rsidP="00FE0045">
      <w:pPr>
        <w:rPr>
          <w:kern w:val="28"/>
        </w:rPr>
      </w:pPr>
      <w:r>
        <w:rPr>
          <w:kern w:val="28"/>
        </w:rPr>
        <w:t xml:space="preserve">Le trafic d'arrière-plan est l'un des systèmes classiques de communication de données; le niveau général est caractérisé par l'absence, au lieu de destination, d'un paramètre correspondant au délai dans lequel les données devraient être reçues, même si le retard doit tout de même être limité car, si elles étaient reçues trop tard, ces données seraient, de fait, inutiles à des fins pratiques. Ce système est donc plus ou moins sensible aux retards de distribution. Il se caractérise également par la transparence (le faible TEB) avec laquelle le transfert des paquets doit être effectué. </w:t>
      </w:r>
    </w:p>
    <w:p w:rsidR="00FE0045" w:rsidRDefault="00FE0045" w:rsidP="00FE0045">
      <w:pPr>
        <w:rPr>
          <w:kern w:val="28"/>
        </w:rPr>
      </w:pPr>
      <w:r>
        <w:rPr>
          <w:kern w:val="28"/>
        </w:rPr>
        <w:t>Trafic d'arrière p</w:t>
      </w:r>
      <w:r w:rsidR="00DE1DED">
        <w:rPr>
          <w:kern w:val="28"/>
        </w:rPr>
        <w:t xml:space="preserve">lan </w:t>
      </w:r>
      <w:r>
        <w:rPr>
          <w:kern w:val="28"/>
        </w:rPr>
        <w:t>– caractéristiques fondamentales pour la QoS:</w:t>
      </w:r>
    </w:p>
    <w:p w:rsidR="00FE0045" w:rsidRDefault="00FE0045" w:rsidP="00327ED6">
      <w:pPr>
        <w:pStyle w:val="enumlev1"/>
      </w:pPr>
      <w:r>
        <w:t>–</w:t>
      </w:r>
      <w:r>
        <w:tab/>
        <w:t>le destinataire ne s'attend pas à recevoir les données dans un délai particulier;</w:t>
      </w:r>
    </w:p>
    <w:p w:rsidR="00FE0045" w:rsidRDefault="00FE0045" w:rsidP="00327ED6">
      <w:pPr>
        <w:pStyle w:val="enumlev1"/>
      </w:pPr>
      <w:r>
        <w:t>–</w:t>
      </w:r>
      <w:r>
        <w:tab/>
        <w:t>le contenu de la charge utile est préservé.</w:t>
      </w:r>
    </w:p>
    <w:p w:rsidR="00FE0045" w:rsidRDefault="00FE0045" w:rsidP="00FE0045">
      <w:pPr>
        <w:rPr>
          <w:kern w:val="28"/>
        </w:rPr>
      </w:pPr>
      <w:r>
        <w:rPr>
          <w:kern w:val="28"/>
        </w:rPr>
        <w:t>Une application d'arrière-plan est une application qui n'achemine pas d'informations sur le temps de transfert. En principe, la seule exigence à laquelle doivent satisfaire les applications de cette catégorie est que l'information devrait être transmise pratiquement sans erreurs. L'accent est toutefois mis sur le fait que ce retard doit malgré tout être limité car si elles étaient reçues trop tard, les données seraient, de fait, inutiles à des fins pratiques.</w:t>
      </w:r>
    </w:p>
    <w:p w:rsidR="00FE0045" w:rsidRDefault="00FE0045" w:rsidP="00FE0045">
      <w:pPr>
        <w:pStyle w:val="Heading4"/>
        <w:rPr>
          <w:kern w:val="28"/>
        </w:rPr>
      </w:pPr>
      <w:r>
        <w:rPr>
          <w:kern w:val="28"/>
        </w:rPr>
        <w:t>3.4.1.3</w:t>
      </w:r>
      <w:r>
        <w:rPr>
          <w:kern w:val="28"/>
        </w:rPr>
        <w:tab/>
        <w:t>Paramètres des catégories de services</w:t>
      </w:r>
    </w:p>
    <w:p w:rsidR="00FE0045" w:rsidRDefault="00FE0045" w:rsidP="00FE0045">
      <w:pPr>
        <w:rPr>
          <w:kern w:val="28"/>
        </w:rPr>
      </w:pPr>
      <w:r>
        <w:rPr>
          <w:kern w:val="28"/>
        </w:rPr>
        <w:t>Les catégories de services sont caractérisées par des paramètres qui sont obtenus soit grâce à des études de marché, soit auprès d'autres sources. Les suivants sont repris du Rapport UIT</w:t>
      </w:r>
      <w:r>
        <w:rPr>
          <w:kern w:val="28"/>
        </w:rPr>
        <w:noBreakHyphen/>
        <w:t>R M.2072:</w:t>
      </w:r>
    </w:p>
    <w:p w:rsidR="00FE0045" w:rsidRDefault="00FE0045" w:rsidP="00FE0045">
      <w:pPr>
        <w:pStyle w:val="enumlev1"/>
        <w:rPr>
          <w:kern w:val="28"/>
        </w:rPr>
      </w:pPr>
      <w:r>
        <w:rPr>
          <w:kern w:val="28"/>
        </w:rPr>
        <w:t>–</w:t>
      </w:r>
      <w:r>
        <w:rPr>
          <w:kern w:val="28"/>
        </w:rPr>
        <w:tab/>
        <w:t>Densité d'utilisateurs (nombre d'utilisateurs par km</w:t>
      </w:r>
      <w:r>
        <w:rPr>
          <w:kern w:val="28"/>
          <w:vertAlign w:val="superscript"/>
        </w:rPr>
        <w:t>2</w:t>
      </w:r>
      <w:r>
        <w:rPr>
          <w:kern w:val="28"/>
        </w:rPr>
        <w:t>).</w:t>
      </w:r>
    </w:p>
    <w:p w:rsidR="00FE0045" w:rsidRDefault="00FE0045" w:rsidP="00FE0045">
      <w:pPr>
        <w:pStyle w:val="enumlev1"/>
        <w:rPr>
          <w:kern w:val="28"/>
        </w:rPr>
      </w:pPr>
      <w:r>
        <w:rPr>
          <w:kern w:val="28"/>
        </w:rPr>
        <w:t>–</w:t>
      </w:r>
      <w:r>
        <w:rPr>
          <w:kern w:val="28"/>
        </w:rPr>
        <w:tab/>
        <w:t>Taux d'arrivée des sessions par utilisateur (nombre de sessions/(s*utilisateur)).</w:t>
      </w:r>
    </w:p>
    <w:p w:rsidR="00FE0045" w:rsidRDefault="00FE0045" w:rsidP="00FE0045">
      <w:pPr>
        <w:pStyle w:val="enumlev1"/>
        <w:rPr>
          <w:kern w:val="28"/>
        </w:rPr>
      </w:pPr>
      <w:r>
        <w:rPr>
          <w:kern w:val="28"/>
        </w:rPr>
        <w:t>–</w:t>
      </w:r>
      <w:r>
        <w:rPr>
          <w:kern w:val="28"/>
        </w:rPr>
        <w:tab/>
        <w:t>Débit binaire moyen du service (bit/s).</w:t>
      </w:r>
    </w:p>
    <w:p w:rsidR="00FE0045" w:rsidRDefault="00FE0045" w:rsidP="00FE0045">
      <w:pPr>
        <w:pStyle w:val="enumlev1"/>
        <w:rPr>
          <w:kern w:val="28"/>
        </w:rPr>
      </w:pPr>
      <w:r>
        <w:rPr>
          <w:kern w:val="28"/>
        </w:rPr>
        <w:t>–</w:t>
      </w:r>
      <w:r>
        <w:rPr>
          <w:kern w:val="28"/>
        </w:rPr>
        <w:tab/>
        <w:t>Durée moyenne des sessions (s/session).</w:t>
      </w:r>
    </w:p>
    <w:p w:rsidR="00FE0045" w:rsidRDefault="00FE0045" w:rsidP="00FE0045">
      <w:pPr>
        <w:pStyle w:val="enumlev1"/>
        <w:rPr>
          <w:kern w:val="28"/>
        </w:rPr>
      </w:pPr>
      <w:r>
        <w:rPr>
          <w:kern w:val="28"/>
        </w:rPr>
        <w:t>–</w:t>
      </w:r>
      <w:r>
        <w:rPr>
          <w:kern w:val="28"/>
        </w:rPr>
        <w:tab/>
        <w:t>Taux de mobilité.</w:t>
      </w:r>
    </w:p>
    <w:p w:rsidR="00FE0045" w:rsidRDefault="00FE0045" w:rsidP="00F00D23">
      <w:pPr>
        <w:rPr>
          <w:kern w:val="28"/>
        </w:rPr>
      </w:pPr>
      <w:r>
        <w:rPr>
          <w:kern w:val="28"/>
        </w:rPr>
        <w:t xml:space="preserve">Les quatre premiers paramètres caractérisent la demande de différentes catégories de services, celui de la mobilité étant utilisé dans la répartition du trafic, au § 3.6. La mobilité des terminaux est étroitement liée aux scénarios d'utilisation des applications. La Recommandation UIT-R M.1390 distingue trois types de mobilité: </w:t>
      </w:r>
    </w:p>
    <w:p w:rsidR="00FE0045" w:rsidRDefault="00FE0045" w:rsidP="00FE0045">
      <w:pPr>
        <w:pStyle w:val="enumlev1"/>
        <w:rPr>
          <w:kern w:val="28"/>
        </w:rPr>
      </w:pPr>
      <w:r>
        <w:rPr>
          <w:kern w:val="28"/>
        </w:rPr>
        <w:t>–</w:t>
      </w:r>
      <w:r>
        <w:rPr>
          <w:kern w:val="28"/>
        </w:rPr>
        <w:tab/>
        <w:t xml:space="preserve">en bâtiment; </w:t>
      </w:r>
    </w:p>
    <w:p w:rsidR="00FE0045" w:rsidRDefault="00FE0045" w:rsidP="00FE0045">
      <w:pPr>
        <w:pStyle w:val="enumlev1"/>
        <w:rPr>
          <w:kern w:val="28"/>
        </w:rPr>
      </w:pPr>
      <w:r>
        <w:rPr>
          <w:kern w:val="28"/>
        </w:rPr>
        <w:t>–</w:t>
      </w:r>
      <w:r>
        <w:rPr>
          <w:kern w:val="28"/>
        </w:rPr>
        <w:tab/>
        <w:t xml:space="preserve">piéton; </w:t>
      </w:r>
    </w:p>
    <w:p w:rsidR="00FE0045" w:rsidRDefault="00FE0045" w:rsidP="00FE0045">
      <w:pPr>
        <w:pStyle w:val="enumlev1"/>
        <w:rPr>
          <w:kern w:val="28"/>
        </w:rPr>
      </w:pPr>
      <w:r>
        <w:rPr>
          <w:kern w:val="28"/>
        </w:rPr>
        <w:t>–</w:t>
      </w:r>
      <w:r>
        <w:rPr>
          <w:kern w:val="28"/>
        </w:rPr>
        <w:tab/>
        <w:t xml:space="preserve">véhicule. </w:t>
      </w:r>
    </w:p>
    <w:p w:rsidR="00FE0045" w:rsidRDefault="00FE0045" w:rsidP="00FE0045">
      <w:pPr>
        <w:rPr>
          <w:kern w:val="28"/>
        </w:rPr>
      </w:pPr>
      <w:r>
        <w:rPr>
          <w:kern w:val="28"/>
        </w:rPr>
        <w:lastRenderedPageBreak/>
        <w:t>Les besoins à satisfaire dépendent de la vitesse à laquelle se déplacent les stations mobiles. Dans les études de marché dont rend compte le Rapport UIT-R M.2072, la mobilité est classée comme suit:</w:t>
      </w:r>
    </w:p>
    <w:p w:rsidR="00FE0045" w:rsidRDefault="00FE0045" w:rsidP="00327ED6">
      <w:pPr>
        <w:pStyle w:val="enumlev1"/>
        <w:rPr>
          <w:kern w:val="28"/>
        </w:rPr>
      </w:pPr>
      <w:r>
        <w:rPr>
          <w:kern w:val="28"/>
        </w:rPr>
        <w:t>–</w:t>
      </w:r>
      <w:r>
        <w:rPr>
          <w:kern w:val="28"/>
        </w:rPr>
        <w:tab/>
        <w:t>Stationnaire</w:t>
      </w:r>
      <w:r>
        <w:rPr>
          <w:kern w:val="28"/>
        </w:rPr>
        <w:tab/>
      </w:r>
      <w:r>
        <w:rPr>
          <w:kern w:val="28"/>
        </w:rPr>
        <w:tab/>
        <w:t>(0 km/h)</w:t>
      </w:r>
    </w:p>
    <w:p w:rsidR="00FE0045" w:rsidRDefault="00FE0045" w:rsidP="00FE0045">
      <w:pPr>
        <w:pStyle w:val="enumlev1"/>
        <w:rPr>
          <w:kern w:val="28"/>
        </w:rPr>
      </w:pPr>
      <w:r>
        <w:rPr>
          <w:kern w:val="28"/>
        </w:rPr>
        <w:t>–</w:t>
      </w:r>
      <w:r>
        <w:rPr>
          <w:kern w:val="28"/>
        </w:rPr>
        <w:tab/>
        <w:t>Faible</w:t>
      </w:r>
      <w:r>
        <w:rPr>
          <w:kern w:val="28"/>
        </w:rPr>
        <w:tab/>
      </w:r>
      <w:r>
        <w:rPr>
          <w:kern w:val="28"/>
        </w:rPr>
        <w:tab/>
      </w:r>
      <w:r>
        <w:rPr>
          <w:kern w:val="28"/>
        </w:rPr>
        <w:tab/>
      </w:r>
      <w:r>
        <w:rPr>
          <w:kern w:val="28"/>
        </w:rPr>
        <w:tab/>
        <w:t>(</w:t>
      </w:r>
      <w:r>
        <w:rPr>
          <w:rFonts w:ascii="Symbol" w:hAnsi="Symbol"/>
          <w:kern w:val="28"/>
        </w:rPr>
        <w:t></w:t>
      </w:r>
      <w:r>
        <w:rPr>
          <w:kern w:val="28"/>
        </w:rPr>
        <w:t xml:space="preserve"> 0 km/h et </w:t>
      </w:r>
      <w:r>
        <w:rPr>
          <w:rFonts w:ascii="Symbol" w:hAnsi="Symbol"/>
          <w:kern w:val="28"/>
        </w:rPr>
        <w:t></w:t>
      </w:r>
      <w:r>
        <w:rPr>
          <w:kern w:val="28"/>
        </w:rPr>
        <w:t xml:space="preserve"> 4 km/h)</w:t>
      </w:r>
    </w:p>
    <w:p w:rsidR="00FE0045" w:rsidRDefault="00FE0045" w:rsidP="00FE0045">
      <w:pPr>
        <w:pStyle w:val="enumlev1"/>
        <w:rPr>
          <w:kern w:val="28"/>
        </w:rPr>
      </w:pPr>
      <w:r>
        <w:rPr>
          <w:kern w:val="28"/>
        </w:rPr>
        <w:t>–</w:t>
      </w:r>
      <w:r>
        <w:rPr>
          <w:kern w:val="28"/>
        </w:rPr>
        <w:tab/>
        <w:t>Forte</w:t>
      </w:r>
      <w:r>
        <w:rPr>
          <w:kern w:val="28"/>
        </w:rPr>
        <w:tab/>
      </w:r>
      <w:r>
        <w:rPr>
          <w:kern w:val="28"/>
        </w:rPr>
        <w:tab/>
      </w:r>
      <w:r>
        <w:rPr>
          <w:kern w:val="28"/>
        </w:rPr>
        <w:tab/>
      </w:r>
      <w:r>
        <w:rPr>
          <w:kern w:val="28"/>
        </w:rPr>
        <w:tab/>
        <w:t>(</w:t>
      </w:r>
      <w:r>
        <w:rPr>
          <w:rFonts w:ascii="Symbol" w:hAnsi="Symbol"/>
          <w:kern w:val="28"/>
        </w:rPr>
        <w:t></w:t>
      </w:r>
      <w:r>
        <w:rPr>
          <w:kern w:val="28"/>
        </w:rPr>
        <w:t xml:space="preserve"> 4 km/h et </w:t>
      </w:r>
      <w:r>
        <w:rPr>
          <w:rFonts w:ascii="Symbol" w:hAnsi="Symbol"/>
          <w:kern w:val="28"/>
        </w:rPr>
        <w:t></w:t>
      </w:r>
      <w:r>
        <w:rPr>
          <w:kern w:val="28"/>
        </w:rPr>
        <w:t xml:space="preserve"> 100 km/h)</w:t>
      </w:r>
    </w:p>
    <w:p w:rsidR="00FE0045" w:rsidRDefault="00FE0045" w:rsidP="00FE0045">
      <w:pPr>
        <w:pStyle w:val="enumlev1"/>
        <w:rPr>
          <w:kern w:val="28"/>
        </w:rPr>
      </w:pPr>
      <w:r>
        <w:rPr>
          <w:kern w:val="28"/>
        </w:rPr>
        <w:t>–</w:t>
      </w:r>
      <w:r>
        <w:rPr>
          <w:kern w:val="28"/>
        </w:rPr>
        <w:tab/>
        <w:t>Très forte</w:t>
      </w:r>
      <w:r>
        <w:rPr>
          <w:kern w:val="28"/>
        </w:rPr>
        <w:tab/>
      </w:r>
      <w:r>
        <w:rPr>
          <w:kern w:val="28"/>
        </w:rPr>
        <w:tab/>
      </w:r>
      <w:r>
        <w:rPr>
          <w:kern w:val="28"/>
        </w:rPr>
        <w:tab/>
        <w:t>(</w:t>
      </w:r>
      <w:r>
        <w:rPr>
          <w:rFonts w:ascii="Symbol" w:hAnsi="Symbol"/>
          <w:kern w:val="28"/>
        </w:rPr>
        <w:t></w:t>
      </w:r>
      <w:r>
        <w:rPr>
          <w:kern w:val="28"/>
        </w:rPr>
        <w:t xml:space="preserve"> 100 km/h et </w:t>
      </w:r>
      <w:r>
        <w:rPr>
          <w:rFonts w:ascii="Symbol" w:hAnsi="Symbol"/>
          <w:kern w:val="28"/>
        </w:rPr>
        <w:t></w:t>
      </w:r>
      <w:r>
        <w:rPr>
          <w:kern w:val="28"/>
        </w:rPr>
        <w:t xml:space="preserve"> 250 km/h).</w:t>
      </w:r>
    </w:p>
    <w:p w:rsidR="00FE0045" w:rsidRDefault="00FE0045" w:rsidP="00FE0045">
      <w:pPr>
        <w:rPr>
          <w:kern w:val="28"/>
        </w:rPr>
      </w:pPr>
      <w:r>
        <w:rPr>
          <w:kern w:val="28"/>
        </w:rPr>
        <w:t>Les vitesses limites de ces catégories devraient correspondre aux caractéristiques des réseaux radioélectriques cellulaires. Dans le cas des petites cellules, le temps minimal passé par un utilisateur à l'intérieur d'une cellule entre les transferts doit être sensiblement plus long que le temps nécessaire à l'amorçage et à l'exécution de ces transferts. La vitesse maximale qui peut être prise en charge par les petites cellules est donc fonction de la taille de ces dernières. Les picocellules ne peuvent donc généralement prendre en charge que les vitesses correspondant au déplacement de piétons (de 3 à 10 km/h maximum), les microcellules ne pouvant prendre en charge que les vitesses auxquelles se déplacent les véhicules en milieu urbain, soit 50 km/h maximum, et les macrocellules des réseaux radioélectriques cellulaires mobiles se chargeant de la gamme restante des vitesses de déplacement des utilisateurs. Aux fins de l'application de la méthodologie, les catégories de mobilité recensées dans les études de marché sont redéfinies comme suit:</w:t>
      </w:r>
    </w:p>
    <w:p w:rsidR="00FE0045" w:rsidRDefault="00FE0045" w:rsidP="00FE0045">
      <w:pPr>
        <w:pStyle w:val="enumlev1"/>
        <w:rPr>
          <w:kern w:val="28"/>
        </w:rPr>
      </w:pPr>
      <w:r>
        <w:rPr>
          <w:kern w:val="28"/>
        </w:rPr>
        <w:t>–</w:t>
      </w:r>
      <w:r>
        <w:rPr>
          <w:kern w:val="28"/>
        </w:rPr>
        <w:tab/>
        <w:t>Stationnaire/Piéton</w:t>
      </w:r>
      <w:r>
        <w:rPr>
          <w:kern w:val="28"/>
        </w:rPr>
        <w:tab/>
      </w:r>
      <w:r>
        <w:rPr>
          <w:kern w:val="28"/>
        </w:rPr>
        <w:tab/>
        <w:t>(0-4 km/h)</w:t>
      </w:r>
    </w:p>
    <w:p w:rsidR="00FE0045" w:rsidRDefault="00FE0045" w:rsidP="00FE0045">
      <w:pPr>
        <w:pStyle w:val="enumlev1"/>
        <w:rPr>
          <w:kern w:val="28"/>
        </w:rPr>
      </w:pPr>
      <w:r>
        <w:rPr>
          <w:kern w:val="28"/>
        </w:rPr>
        <w:t>–</w:t>
      </w:r>
      <w:r>
        <w:rPr>
          <w:kern w:val="28"/>
        </w:rPr>
        <w:tab/>
        <w:t>Faible</w:t>
      </w:r>
      <w:r>
        <w:rPr>
          <w:kern w:val="28"/>
        </w:rPr>
        <w:tab/>
      </w:r>
      <w:r>
        <w:rPr>
          <w:kern w:val="28"/>
        </w:rPr>
        <w:tab/>
      </w:r>
      <w:r>
        <w:rPr>
          <w:kern w:val="28"/>
        </w:rPr>
        <w:tab/>
      </w:r>
      <w:r>
        <w:rPr>
          <w:kern w:val="28"/>
        </w:rPr>
        <w:tab/>
      </w:r>
      <w:r>
        <w:rPr>
          <w:kern w:val="28"/>
        </w:rPr>
        <w:tab/>
        <w:t>(</w:t>
      </w:r>
      <w:r>
        <w:rPr>
          <w:rFonts w:ascii="Symbol" w:hAnsi="Symbol"/>
          <w:kern w:val="28"/>
        </w:rPr>
        <w:t></w:t>
      </w:r>
      <w:r>
        <w:rPr>
          <w:kern w:val="28"/>
        </w:rPr>
        <w:t xml:space="preserve"> 4 km/h et </w:t>
      </w:r>
      <w:r>
        <w:rPr>
          <w:rFonts w:ascii="Symbol" w:hAnsi="Symbol"/>
          <w:kern w:val="28"/>
        </w:rPr>
        <w:t></w:t>
      </w:r>
      <w:r>
        <w:rPr>
          <w:kern w:val="28"/>
        </w:rPr>
        <w:t xml:space="preserve"> 50 km/h)</w:t>
      </w:r>
    </w:p>
    <w:p w:rsidR="00FE0045" w:rsidRDefault="00FE0045" w:rsidP="00FE0045">
      <w:pPr>
        <w:pStyle w:val="enumlev1"/>
        <w:rPr>
          <w:kern w:val="28"/>
        </w:rPr>
      </w:pPr>
      <w:r>
        <w:rPr>
          <w:kern w:val="28"/>
        </w:rPr>
        <w:t>–</w:t>
      </w:r>
      <w:r>
        <w:rPr>
          <w:kern w:val="28"/>
        </w:rPr>
        <w:tab/>
        <w:t>Forte</w:t>
      </w:r>
      <w:r>
        <w:rPr>
          <w:kern w:val="28"/>
        </w:rPr>
        <w:tab/>
      </w:r>
      <w:r>
        <w:rPr>
          <w:kern w:val="28"/>
        </w:rPr>
        <w:tab/>
      </w:r>
      <w:r>
        <w:rPr>
          <w:kern w:val="28"/>
        </w:rPr>
        <w:tab/>
      </w:r>
      <w:r>
        <w:rPr>
          <w:kern w:val="28"/>
        </w:rPr>
        <w:tab/>
      </w:r>
      <w:r>
        <w:rPr>
          <w:kern w:val="28"/>
        </w:rPr>
        <w:tab/>
        <w:t>(</w:t>
      </w:r>
      <w:r>
        <w:rPr>
          <w:rFonts w:ascii="Symbol" w:hAnsi="Symbol"/>
          <w:kern w:val="28"/>
        </w:rPr>
        <w:t></w:t>
      </w:r>
      <w:r>
        <w:rPr>
          <w:kern w:val="28"/>
        </w:rPr>
        <w:t xml:space="preserve"> 50 km/h).</w:t>
      </w:r>
    </w:p>
    <w:p w:rsidR="00FE0045" w:rsidRDefault="00FE0045" w:rsidP="00F00D23">
      <w:pPr>
        <w:rPr>
          <w:kern w:val="28"/>
        </w:rPr>
      </w:pPr>
      <w:r>
        <w:rPr>
          <w:kern w:val="28"/>
        </w:rPr>
        <w:t xml:space="preserve">Aux fins de la méthodologie, le trafic rangé, dans les études de marché, dans la catégorie «forte mobilité» a été réparti entre les catégories de mobilité «faible» et «forte». Cette répartition doit tenir compte des attributs des environnements de service envisagés, qui sont présentés au § 3.4.2, lesquels peuvent donner lieu à des facteurs de répartition </w:t>
      </w:r>
      <w:r>
        <w:rPr>
          <w:i/>
          <w:iCs/>
          <w:kern w:val="28"/>
        </w:rPr>
        <w:t>J</w:t>
      </w:r>
      <w:r>
        <w:rPr>
          <w:i/>
          <w:iCs/>
          <w:kern w:val="28"/>
          <w:vertAlign w:val="subscript"/>
        </w:rPr>
        <w:t>m</w:t>
      </w:r>
      <w:r>
        <w:rPr>
          <w:kern w:val="28"/>
        </w:rPr>
        <w:t xml:space="preserve"> différents dans des environnements de service </w:t>
      </w:r>
      <w:r>
        <w:rPr>
          <w:i/>
          <w:iCs/>
          <w:kern w:val="28"/>
        </w:rPr>
        <w:t>m</w:t>
      </w:r>
      <w:r>
        <w:rPr>
          <w:kern w:val="28"/>
        </w:rPr>
        <w:t xml:space="preserve"> différents. La correspondance de la répartition du trafic entre les différentes catégories de mobilité est présentée aux Tableaux 3 et 4, les valeurs de </w:t>
      </w:r>
      <w:r>
        <w:rPr>
          <w:i/>
          <w:iCs/>
          <w:kern w:val="28"/>
        </w:rPr>
        <w:t>J</w:t>
      </w:r>
      <w:r>
        <w:rPr>
          <w:i/>
          <w:iCs/>
          <w:kern w:val="28"/>
          <w:vertAlign w:val="subscript"/>
        </w:rPr>
        <w:t>m</w:t>
      </w:r>
      <w:r>
        <w:rPr>
          <w:kern w:val="28"/>
        </w:rPr>
        <w:t xml:space="preserve"> étant données uniquement à titre d'exemple.</w:t>
      </w:r>
    </w:p>
    <w:p w:rsidR="00FE0045" w:rsidRDefault="00FE0045" w:rsidP="00FE0045">
      <w:pPr>
        <w:pStyle w:val="TableNo"/>
        <w:rPr>
          <w:kern w:val="28"/>
        </w:rPr>
      </w:pPr>
      <w:r>
        <w:rPr>
          <w:kern w:val="28"/>
        </w:rPr>
        <w:t>TABLEAU 3</w:t>
      </w:r>
    </w:p>
    <w:p w:rsidR="00FE0045" w:rsidRDefault="00FE0045" w:rsidP="00FE0045">
      <w:pPr>
        <w:pStyle w:val="Tabletitle"/>
        <w:rPr>
          <w:kern w:val="28"/>
        </w:rPr>
      </w:pPr>
      <w:r>
        <w:rPr>
          <w:kern w:val="28"/>
        </w:rPr>
        <w:t>Correspondance des catégories de mobilité</w:t>
      </w:r>
    </w:p>
    <w:tbl>
      <w:tblPr>
        <w:tblW w:w="0" w:type="auto"/>
        <w:jc w:val="center"/>
        <w:tblLayout w:type="fixed"/>
        <w:tblLook w:val="0000" w:firstRow="0" w:lastRow="0" w:firstColumn="0" w:lastColumn="0" w:noHBand="0" w:noVBand="0"/>
      </w:tblPr>
      <w:tblGrid>
        <w:gridCol w:w="2841"/>
        <w:gridCol w:w="2841"/>
      </w:tblGrid>
      <w:tr w:rsidR="00FE0045" w:rsidTr="00E12924">
        <w:trPr>
          <w:jc w:val="center"/>
        </w:trPr>
        <w:tc>
          <w:tcPr>
            <w:tcW w:w="2841" w:type="dxa"/>
            <w:tcBorders>
              <w:top w:val="single" w:sz="6" w:space="0" w:color="auto"/>
              <w:left w:val="single" w:sz="6" w:space="0" w:color="auto"/>
              <w:bottom w:val="single" w:sz="6" w:space="0" w:color="auto"/>
              <w:right w:val="single" w:sz="6" w:space="0" w:color="auto"/>
            </w:tcBorders>
          </w:tcPr>
          <w:p w:rsidR="00FE0045" w:rsidRPr="00195F87" w:rsidRDefault="00FE0045" w:rsidP="00E12924">
            <w:pPr>
              <w:pStyle w:val="Tablehead"/>
            </w:pPr>
            <w:r w:rsidRPr="00195F87">
              <w:t xml:space="preserve">Mobilité dans l'étude </w:t>
            </w:r>
            <w:r w:rsidR="00DE1DED">
              <w:br/>
            </w:r>
            <w:r w:rsidRPr="00195F87">
              <w:t>de marché</w:t>
            </w:r>
          </w:p>
        </w:tc>
        <w:tc>
          <w:tcPr>
            <w:tcW w:w="2841" w:type="dxa"/>
            <w:tcBorders>
              <w:top w:val="single" w:sz="6" w:space="0" w:color="auto"/>
              <w:left w:val="single" w:sz="6" w:space="0" w:color="auto"/>
              <w:bottom w:val="single" w:sz="6" w:space="0" w:color="auto"/>
              <w:right w:val="single" w:sz="6" w:space="0" w:color="auto"/>
            </w:tcBorders>
          </w:tcPr>
          <w:p w:rsidR="00FE0045" w:rsidRPr="00195F87" w:rsidRDefault="00FE0045" w:rsidP="00E12924">
            <w:pPr>
              <w:pStyle w:val="Tablehead"/>
            </w:pPr>
            <w:r w:rsidRPr="00195F87">
              <w:t>Mobilité dans la méthodologie</w:t>
            </w:r>
          </w:p>
        </w:tc>
      </w:tr>
      <w:tr w:rsidR="00FE0045" w:rsidTr="00E12924">
        <w:trPr>
          <w:cantSplit/>
          <w:jc w:val="center"/>
        </w:trPr>
        <w:tc>
          <w:tcPr>
            <w:tcW w:w="2841" w:type="dxa"/>
            <w:tcBorders>
              <w:top w:val="single" w:sz="6" w:space="0" w:color="auto"/>
              <w:left w:val="single" w:sz="6" w:space="0" w:color="auto"/>
              <w:bottom w:val="single" w:sz="6" w:space="0" w:color="auto"/>
              <w:right w:val="single" w:sz="6" w:space="0" w:color="auto"/>
            </w:tcBorders>
            <w:vAlign w:val="center"/>
          </w:tcPr>
          <w:p w:rsidR="00FE0045" w:rsidRDefault="00FE0045" w:rsidP="00E12924">
            <w:pPr>
              <w:pStyle w:val="Tabletext"/>
              <w:rPr>
                <w:kern w:val="28"/>
              </w:rPr>
            </w:pPr>
            <w:r>
              <w:rPr>
                <w:kern w:val="28"/>
              </w:rPr>
              <w:t>Stationnaire</w:t>
            </w:r>
          </w:p>
        </w:tc>
        <w:tc>
          <w:tcPr>
            <w:tcW w:w="2841" w:type="dxa"/>
            <w:vMerge w:val="restart"/>
            <w:tcBorders>
              <w:top w:val="single" w:sz="6" w:space="0" w:color="auto"/>
              <w:left w:val="single" w:sz="6" w:space="0" w:color="auto"/>
              <w:bottom w:val="single" w:sz="6" w:space="0" w:color="auto"/>
              <w:right w:val="single" w:sz="6" w:space="0" w:color="auto"/>
            </w:tcBorders>
            <w:vAlign w:val="center"/>
          </w:tcPr>
          <w:p w:rsidR="00FE0045" w:rsidRDefault="00FE0045" w:rsidP="00E12924">
            <w:pPr>
              <w:pStyle w:val="Tabletext"/>
              <w:rPr>
                <w:kern w:val="28"/>
              </w:rPr>
            </w:pPr>
            <w:r>
              <w:rPr>
                <w:kern w:val="28"/>
              </w:rPr>
              <w:t>Stationnaire/piéton</w:t>
            </w:r>
          </w:p>
        </w:tc>
      </w:tr>
      <w:tr w:rsidR="00FE0045" w:rsidTr="00E12924">
        <w:trPr>
          <w:cantSplit/>
          <w:jc w:val="center"/>
        </w:trPr>
        <w:tc>
          <w:tcPr>
            <w:tcW w:w="2841" w:type="dxa"/>
            <w:tcBorders>
              <w:top w:val="single" w:sz="6" w:space="0" w:color="auto"/>
              <w:left w:val="single" w:sz="6" w:space="0" w:color="auto"/>
              <w:bottom w:val="single" w:sz="6" w:space="0" w:color="auto"/>
              <w:right w:val="single" w:sz="6" w:space="0" w:color="auto"/>
            </w:tcBorders>
            <w:vAlign w:val="center"/>
          </w:tcPr>
          <w:p w:rsidR="00FE0045" w:rsidRDefault="00FE0045" w:rsidP="00E12924">
            <w:pPr>
              <w:pStyle w:val="Tabletext"/>
              <w:rPr>
                <w:kern w:val="28"/>
              </w:rPr>
            </w:pPr>
            <w:r>
              <w:rPr>
                <w:kern w:val="28"/>
              </w:rPr>
              <w:t>Faible</w:t>
            </w:r>
          </w:p>
        </w:tc>
        <w:tc>
          <w:tcPr>
            <w:tcW w:w="2841" w:type="dxa"/>
            <w:vMerge/>
            <w:tcBorders>
              <w:top w:val="single" w:sz="6" w:space="0" w:color="auto"/>
              <w:left w:val="single" w:sz="6" w:space="0" w:color="auto"/>
              <w:bottom w:val="single" w:sz="6" w:space="0" w:color="auto"/>
              <w:right w:val="single" w:sz="6" w:space="0" w:color="auto"/>
            </w:tcBorders>
          </w:tcPr>
          <w:p w:rsidR="00FE0045" w:rsidRDefault="00FE0045" w:rsidP="00E12924">
            <w:pPr>
              <w:rPr>
                <w:sz w:val="22"/>
                <w:szCs w:val="22"/>
              </w:rPr>
            </w:pPr>
          </w:p>
        </w:tc>
      </w:tr>
      <w:tr w:rsidR="00FE0045" w:rsidTr="00E12924">
        <w:trPr>
          <w:cantSplit/>
          <w:jc w:val="center"/>
        </w:trPr>
        <w:tc>
          <w:tcPr>
            <w:tcW w:w="2841" w:type="dxa"/>
            <w:vMerge w:val="restart"/>
            <w:tcBorders>
              <w:top w:val="single" w:sz="6" w:space="0" w:color="auto"/>
              <w:left w:val="single" w:sz="6" w:space="0" w:color="auto"/>
              <w:bottom w:val="single" w:sz="6" w:space="0" w:color="auto"/>
              <w:right w:val="single" w:sz="6" w:space="0" w:color="auto"/>
            </w:tcBorders>
            <w:vAlign w:val="center"/>
          </w:tcPr>
          <w:p w:rsidR="00FE0045" w:rsidRDefault="00FE0045" w:rsidP="00E12924">
            <w:pPr>
              <w:pStyle w:val="Tabletext"/>
              <w:rPr>
                <w:szCs w:val="22"/>
              </w:rPr>
            </w:pPr>
            <w:r>
              <w:rPr>
                <w:szCs w:val="22"/>
              </w:rPr>
              <w:t>Forte</w:t>
            </w:r>
          </w:p>
        </w:tc>
        <w:tc>
          <w:tcPr>
            <w:tcW w:w="2841" w:type="dxa"/>
            <w:tcBorders>
              <w:top w:val="single" w:sz="6" w:space="0" w:color="auto"/>
              <w:left w:val="single" w:sz="6" w:space="0" w:color="auto"/>
              <w:bottom w:val="single" w:sz="6" w:space="0" w:color="auto"/>
              <w:right w:val="single" w:sz="6" w:space="0" w:color="auto"/>
            </w:tcBorders>
          </w:tcPr>
          <w:p w:rsidR="00FE0045" w:rsidRDefault="00FE0045" w:rsidP="00E12924">
            <w:pPr>
              <w:pStyle w:val="Tabletext"/>
              <w:rPr>
                <w:kern w:val="28"/>
              </w:rPr>
            </w:pPr>
            <w:r>
              <w:rPr>
                <w:kern w:val="28"/>
              </w:rPr>
              <w:t xml:space="preserve">Faible (fraction de </w:t>
            </w:r>
            <w:r>
              <w:rPr>
                <w:i/>
                <w:iCs/>
                <w:kern w:val="28"/>
              </w:rPr>
              <w:t>J</w:t>
            </w:r>
            <w:r>
              <w:rPr>
                <w:i/>
                <w:iCs/>
                <w:kern w:val="28"/>
                <w:vertAlign w:val="subscript"/>
              </w:rPr>
              <w:t>m</w:t>
            </w:r>
            <w:r>
              <w:rPr>
                <w:kern w:val="28"/>
              </w:rPr>
              <w:t>)</w:t>
            </w:r>
          </w:p>
        </w:tc>
      </w:tr>
      <w:tr w:rsidR="00FE0045" w:rsidTr="00E12924">
        <w:trPr>
          <w:cantSplit/>
          <w:trHeight w:val="396"/>
          <w:jc w:val="center"/>
        </w:trPr>
        <w:tc>
          <w:tcPr>
            <w:tcW w:w="2841" w:type="dxa"/>
            <w:vMerge/>
            <w:tcBorders>
              <w:top w:val="single" w:sz="6" w:space="0" w:color="auto"/>
              <w:left w:val="single" w:sz="6" w:space="0" w:color="auto"/>
              <w:bottom w:val="single" w:sz="6" w:space="0" w:color="auto"/>
              <w:right w:val="single" w:sz="6" w:space="0" w:color="auto"/>
            </w:tcBorders>
            <w:vAlign w:val="center"/>
          </w:tcPr>
          <w:p w:rsidR="00FE0045" w:rsidRDefault="00FE0045" w:rsidP="00E12924">
            <w:pPr>
              <w:pStyle w:val="Tabletext"/>
              <w:rPr>
                <w:szCs w:val="22"/>
              </w:rPr>
            </w:pPr>
          </w:p>
        </w:tc>
        <w:tc>
          <w:tcPr>
            <w:tcW w:w="2841" w:type="dxa"/>
            <w:vMerge w:val="restart"/>
            <w:tcBorders>
              <w:top w:val="single" w:sz="6" w:space="0" w:color="auto"/>
              <w:left w:val="single" w:sz="6" w:space="0" w:color="auto"/>
              <w:bottom w:val="single" w:sz="6" w:space="0" w:color="auto"/>
              <w:right w:val="single" w:sz="6" w:space="0" w:color="auto"/>
            </w:tcBorders>
          </w:tcPr>
          <w:p w:rsidR="00FE0045" w:rsidRDefault="00FE0045" w:rsidP="00E12924">
            <w:pPr>
              <w:pStyle w:val="Tabletext"/>
              <w:rPr>
                <w:kern w:val="28"/>
              </w:rPr>
            </w:pPr>
            <w:r>
              <w:rPr>
                <w:kern w:val="28"/>
              </w:rPr>
              <w:t xml:space="preserve">(fraction 1 – </w:t>
            </w:r>
            <w:r>
              <w:rPr>
                <w:i/>
                <w:iCs/>
                <w:kern w:val="28"/>
              </w:rPr>
              <w:t>J</w:t>
            </w:r>
            <w:r>
              <w:rPr>
                <w:i/>
                <w:iCs/>
                <w:kern w:val="28"/>
                <w:vertAlign w:val="subscript"/>
              </w:rPr>
              <w:t>m</w:t>
            </w:r>
            <w:r>
              <w:rPr>
                <w:kern w:val="28"/>
              </w:rPr>
              <w:t>)</w:t>
            </w:r>
          </w:p>
          <w:p w:rsidR="00FE0045" w:rsidRDefault="00FE0045" w:rsidP="00E12924">
            <w:pPr>
              <w:pStyle w:val="Tabletext"/>
              <w:rPr>
                <w:kern w:val="28"/>
              </w:rPr>
            </w:pPr>
            <w:r>
              <w:rPr>
                <w:kern w:val="28"/>
              </w:rPr>
              <w:t>Forte</w:t>
            </w:r>
          </w:p>
        </w:tc>
      </w:tr>
      <w:tr w:rsidR="00FE0045" w:rsidTr="00E12924">
        <w:trPr>
          <w:cantSplit/>
          <w:jc w:val="center"/>
        </w:trPr>
        <w:tc>
          <w:tcPr>
            <w:tcW w:w="2841" w:type="dxa"/>
            <w:tcBorders>
              <w:top w:val="single" w:sz="6" w:space="0" w:color="auto"/>
              <w:left w:val="single" w:sz="6" w:space="0" w:color="auto"/>
              <w:bottom w:val="single" w:sz="6" w:space="0" w:color="auto"/>
              <w:right w:val="single" w:sz="6" w:space="0" w:color="auto"/>
            </w:tcBorders>
            <w:vAlign w:val="center"/>
          </w:tcPr>
          <w:p w:rsidR="00FE0045" w:rsidRDefault="00FE0045" w:rsidP="00E12924">
            <w:pPr>
              <w:pStyle w:val="Tabletext"/>
              <w:rPr>
                <w:kern w:val="28"/>
              </w:rPr>
            </w:pPr>
            <w:r>
              <w:rPr>
                <w:kern w:val="28"/>
              </w:rPr>
              <w:t>Très forte</w:t>
            </w:r>
          </w:p>
        </w:tc>
        <w:tc>
          <w:tcPr>
            <w:tcW w:w="2841" w:type="dxa"/>
            <w:vMerge/>
            <w:tcBorders>
              <w:top w:val="single" w:sz="6" w:space="0" w:color="auto"/>
              <w:left w:val="single" w:sz="6" w:space="0" w:color="auto"/>
              <w:bottom w:val="single" w:sz="6" w:space="0" w:color="auto"/>
              <w:right w:val="single" w:sz="6" w:space="0" w:color="auto"/>
            </w:tcBorders>
          </w:tcPr>
          <w:p w:rsidR="00FE0045" w:rsidRDefault="00FE0045" w:rsidP="00E12924">
            <w:pPr>
              <w:rPr>
                <w:sz w:val="22"/>
                <w:szCs w:val="22"/>
              </w:rPr>
            </w:pPr>
          </w:p>
        </w:tc>
      </w:tr>
    </w:tbl>
    <w:p w:rsidR="00FE0045" w:rsidRDefault="00FE0045" w:rsidP="00FE0045">
      <w:pPr>
        <w:pStyle w:val="Tablefin"/>
        <w:rPr>
          <w:kern w:val="28"/>
        </w:rPr>
      </w:pPr>
    </w:p>
    <w:p w:rsidR="00FE0045" w:rsidRDefault="00FE0045" w:rsidP="00FE0045">
      <w:pPr>
        <w:pStyle w:val="TableNo"/>
        <w:rPr>
          <w:kern w:val="28"/>
        </w:rPr>
      </w:pPr>
      <w:r>
        <w:rPr>
          <w:kern w:val="28"/>
        </w:rPr>
        <w:lastRenderedPageBreak/>
        <w:t>TABLEAU 4</w:t>
      </w:r>
    </w:p>
    <w:p w:rsidR="00FE0045" w:rsidRPr="00D35985" w:rsidRDefault="00FE0045" w:rsidP="00FE0045">
      <w:pPr>
        <w:pStyle w:val="Tabletitle"/>
        <w:rPr>
          <w:kern w:val="28"/>
        </w:rPr>
      </w:pPr>
      <w:r w:rsidRPr="00D35985">
        <w:rPr>
          <w:kern w:val="28"/>
        </w:rPr>
        <w:t xml:space="preserve">Valeurs de </w:t>
      </w:r>
      <w:r w:rsidRPr="00195F87">
        <w:rPr>
          <w:i/>
          <w:kern w:val="28"/>
        </w:rPr>
        <w:t>J</w:t>
      </w:r>
      <w:r w:rsidRPr="00D35985">
        <w:rPr>
          <w:kern w:val="28"/>
        </w:rPr>
        <w:t xml:space="preserve"> pouvant être utilisées pour mettre en correspondance </w:t>
      </w:r>
      <w:r>
        <w:rPr>
          <w:kern w:val="28"/>
        </w:rPr>
        <w:br/>
      </w:r>
      <w:r w:rsidRPr="00D35985">
        <w:rPr>
          <w:kern w:val="28"/>
        </w:rPr>
        <w:t xml:space="preserve">les catégories de mobilité dans des environnements </w:t>
      </w:r>
      <w:r>
        <w:rPr>
          <w:kern w:val="28"/>
        </w:rPr>
        <w:br/>
      </w:r>
      <w:r w:rsidRPr="00D35985">
        <w:rPr>
          <w:kern w:val="28"/>
        </w:rPr>
        <w:t>de service différents</w:t>
      </w:r>
      <w:r>
        <w:rPr>
          <w:kern w:val="28"/>
        </w:rPr>
        <w:t xml:space="preserve"> </w:t>
      </w:r>
      <w:r w:rsidRPr="00D35985">
        <w:rPr>
          <w:kern w:val="28"/>
        </w:rPr>
        <w:t>(fournies à titre d'exemple)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80" w:type="dxa"/>
          <w:right w:w="180" w:type="dxa"/>
        </w:tblCellMar>
        <w:tblLook w:val="0000" w:firstRow="0" w:lastRow="0" w:firstColumn="0" w:lastColumn="0" w:noHBand="0" w:noVBand="0"/>
      </w:tblPr>
      <w:tblGrid>
        <w:gridCol w:w="4335"/>
        <w:gridCol w:w="2801"/>
      </w:tblGrid>
      <w:tr w:rsidR="00FE0045" w:rsidTr="00E12924">
        <w:trPr>
          <w:trHeight w:val="354"/>
          <w:jc w:val="center"/>
        </w:trPr>
        <w:tc>
          <w:tcPr>
            <w:tcW w:w="4335" w:type="dxa"/>
          </w:tcPr>
          <w:p w:rsidR="00FE0045" w:rsidRDefault="00FE0045" w:rsidP="00E12924">
            <w:pPr>
              <w:pStyle w:val="Tablehead"/>
              <w:rPr>
                <w:kern w:val="28"/>
              </w:rPr>
            </w:pPr>
            <w:r>
              <w:rPr>
                <w:kern w:val="28"/>
              </w:rPr>
              <w:t xml:space="preserve">Environnement de service, </w:t>
            </w:r>
            <w:r>
              <w:rPr>
                <w:i/>
                <w:iCs/>
                <w:kern w:val="28"/>
              </w:rPr>
              <w:t>m</w:t>
            </w:r>
          </w:p>
        </w:tc>
        <w:tc>
          <w:tcPr>
            <w:tcW w:w="2801" w:type="dxa"/>
          </w:tcPr>
          <w:p w:rsidR="00FE0045" w:rsidRDefault="00FE0045" w:rsidP="00E12924">
            <w:pPr>
              <w:pStyle w:val="Tablehead"/>
              <w:rPr>
                <w:kern w:val="28"/>
              </w:rPr>
            </w:pPr>
            <w:r>
              <w:rPr>
                <w:kern w:val="28"/>
              </w:rPr>
              <w:t xml:space="preserve">Valeur de </w:t>
            </w:r>
            <w:r>
              <w:rPr>
                <w:i/>
                <w:iCs/>
                <w:kern w:val="28"/>
              </w:rPr>
              <w:t>J</w:t>
            </w:r>
            <w:r>
              <w:rPr>
                <w:i/>
                <w:iCs/>
                <w:kern w:val="28"/>
                <w:vertAlign w:val="subscript"/>
              </w:rPr>
              <w:t>m</w:t>
            </w:r>
          </w:p>
        </w:tc>
      </w:tr>
      <w:tr w:rsidR="00FE0045" w:rsidTr="00E12924">
        <w:trPr>
          <w:trHeight w:val="339"/>
          <w:jc w:val="center"/>
        </w:trPr>
        <w:tc>
          <w:tcPr>
            <w:tcW w:w="4335" w:type="dxa"/>
          </w:tcPr>
          <w:p w:rsidR="00FE0045" w:rsidRDefault="00FE0045" w:rsidP="00327ED6">
            <w:pPr>
              <w:pStyle w:val="Tabletext"/>
              <w:jc w:val="center"/>
              <w:rPr>
                <w:kern w:val="28"/>
              </w:rPr>
            </w:pPr>
            <w:r>
              <w:rPr>
                <w:kern w:val="28"/>
              </w:rPr>
              <w:t>1</w:t>
            </w:r>
          </w:p>
        </w:tc>
        <w:tc>
          <w:tcPr>
            <w:tcW w:w="2801" w:type="dxa"/>
          </w:tcPr>
          <w:p w:rsidR="00FE0045" w:rsidRDefault="00FE0045" w:rsidP="00327ED6">
            <w:pPr>
              <w:pStyle w:val="Tabletext"/>
              <w:jc w:val="center"/>
              <w:rPr>
                <w:kern w:val="28"/>
              </w:rPr>
            </w:pPr>
            <w:r>
              <w:rPr>
                <w:kern w:val="28"/>
              </w:rPr>
              <w:t>1</w:t>
            </w:r>
          </w:p>
        </w:tc>
      </w:tr>
      <w:tr w:rsidR="00FE0045" w:rsidTr="00E12924">
        <w:trPr>
          <w:trHeight w:val="339"/>
          <w:jc w:val="center"/>
        </w:trPr>
        <w:tc>
          <w:tcPr>
            <w:tcW w:w="4335" w:type="dxa"/>
          </w:tcPr>
          <w:p w:rsidR="00FE0045" w:rsidRDefault="00FE0045" w:rsidP="00327ED6">
            <w:pPr>
              <w:pStyle w:val="Tabletext"/>
              <w:jc w:val="center"/>
              <w:rPr>
                <w:kern w:val="28"/>
              </w:rPr>
            </w:pPr>
            <w:r>
              <w:rPr>
                <w:kern w:val="28"/>
              </w:rPr>
              <w:t>2</w:t>
            </w:r>
          </w:p>
        </w:tc>
        <w:tc>
          <w:tcPr>
            <w:tcW w:w="2801" w:type="dxa"/>
          </w:tcPr>
          <w:p w:rsidR="00FE0045" w:rsidRDefault="00FE0045" w:rsidP="00327ED6">
            <w:pPr>
              <w:pStyle w:val="Tabletext"/>
              <w:jc w:val="center"/>
              <w:rPr>
                <w:kern w:val="28"/>
              </w:rPr>
            </w:pPr>
            <w:r>
              <w:rPr>
                <w:kern w:val="28"/>
              </w:rPr>
              <w:t>1</w:t>
            </w:r>
          </w:p>
        </w:tc>
      </w:tr>
      <w:tr w:rsidR="00FE0045" w:rsidTr="00E12924">
        <w:trPr>
          <w:trHeight w:val="339"/>
          <w:jc w:val="center"/>
        </w:trPr>
        <w:tc>
          <w:tcPr>
            <w:tcW w:w="4335" w:type="dxa"/>
          </w:tcPr>
          <w:p w:rsidR="00FE0045" w:rsidRDefault="00FE0045" w:rsidP="00327ED6">
            <w:pPr>
              <w:pStyle w:val="Tabletext"/>
              <w:jc w:val="center"/>
              <w:rPr>
                <w:kern w:val="28"/>
              </w:rPr>
            </w:pPr>
            <w:r>
              <w:rPr>
                <w:kern w:val="28"/>
              </w:rPr>
              <w:t>3</w:t>
            </w:r>
          </w:p>
        </w:tc>
        <w:tc>
          <w:tcPr>
            <w:tcW w:w="2801" w:type="dxa"/>
          </w:tcPr>
          <w:p w:rsidR="00FE0045" w:rsidRDefault="00FE0045" w:rsidP="00327ED6">
            <w:pPr>
              <w:pStyle w:val="Tabletext"/>
              <w:jc w:val="center"/>
              <w:rPr>
                <w:kern w:val="28"/>
              </w:rPr>
            </w:pPr>
            <w:r>
              <w:rPr>
                <w:kern w:val="28"/>
              </w:rPr>
              <w:t>1</w:t>
            </w:r>
          </w:p>
        </w:tc>
      </w:tr>
      <w:tr w:rsidR="00FE0045" w:rsidTr="00E12924">
        <w:trPr>
          <w:trHeight w:val="339"/>
          <w:jc w:val="center"/>
        </w:trPr>
        <w:tc>
          <w:tcPr>
            <w:tcW w:w="4335" w:type="dxa"/>
          </w:tcPr>
          <w:p w:rsidR="00FE0045" w:rsidRDefault="00FE0045" w:rsidP="00327ED6">
            <w:pPr>
              <w:pStyle w:val="Tabletext"/>
              <w:jc w:val="center"/>
              <w:rPr>
                <w:kern w:val="28"/>
              </w:rPr>
            </w:pPr>
            <w:r>
              <w:rPr>
                <w:kern w:val="28"/>
              </w:rPr>
              <w:t>4</w:t>
            </w:r>
          </w:p>
        </w:tc>
        <w:tc>
          <w:tcPr>
            <w:tcW w:w="2801" w:type="dxa"/>
          </w:tcPr>
          <w:p w:rsidR="00FE0045" w:rsidRDefault="00FE0045" w:rsidP="00327ED6">
            <w:pPr>
              <w:pStyle w:val="Tabletext"/>
              <w:jc w:val="center"/>
              <w:rPr>
                <w:kern w:val="28"/>
              </w:rPr>
            </w:pPr>
            <w:r>
              <w:rPr>
                <w:kern w:val="28"/>
              </w:rPr>
              <w:t>1</w:t>
            </w:r>
          </w:p>
        </w:tc>
      </w:tr>
      <w:tr w:rsidR="00FE0045" w:rsidTr="00E12924">
        <w:trPr>
          <w:trHeight w:val="339"/>
          <w:jc w:val="center"/>
        </w:trPr>
        <w:tc>
          <w:tcPr>
            <w:tcW w:w="4335" w:type="dxa"/>
          </w:tcPr>
          <w:p w:rsidR="00FE0045" w:rsidRDefault="00FE0045" w:rsidP="00327ED6">
            <w:pPr>
              <w:pStyle w:val="Tabletext"/>
              <w:jc w:val="center"/>
              <w:rPr>
                <w:kern w:val="28"/>
              </w:rPr>
            </w:pPr>
            <w:r>
              <w:rPr>
                <w:kern w:val="28"/>
              </w:rPr>
              <w:t>5</w:t>
            </w:r>
          </w:p>
        </w:tc>
        <w:tc>
          <w:tcPr>
            <w:tcW w:w="2801" w:type="dxa"/>
          </w:tcPr>
          <w:p w:rsidR="00FE0045" w:rsidRDefault="00FE0045" w:rsidP="00327ED6">
            <w:pPr>
              <w:pStyle w:val="Tabletext"/>
              <w:jc w:val="center"/>
              <w:rPr>
                <w:kern w:val="28"/>
              </w:rPr>
            </w:pPr>
            <w:r>
              <w:rPr>
                <w:kern w:val="28"/>
              </w:rPr>
              <w:t>0,5</w:t>
            </w:r>
          </w:p>
        </w:tc>
      </w:tr>
      <w:tr w:rsidR="00FE0045" w:rsidTr="00E12924">
        <w:trPr>
          <w:trHeight w:val="339"/>
          <w:jc w:val="center"/>
        </w:trPr>
        <w:tc>
          <w:tcPr>
            <w:tcW w:w="4335" w:type="dxa"/>
          </w:tcPr>
          <w:p w:rsidR="00FE0045" w:rsidRDefault="00FE0045" w:rsidP="00327ED6">
            <w:pPr>
              <w:pStyle w:val="Tabletext"/>
              <w:jc w:val="center"/>
              <w:rPr>
                <w:kern w:val="28"/>
              </w:rPr>
            </w:pPr>
            <w:r>
              <w:rPr>
                <w:kern w:val="28"/>
              </w:rPr>
              <w:t>6</w:t>
            </w:r>
          </w:p>
        </w:tc>
        <w:tc>
          <w:tcPr>
            <w:tcW w:w="2801" w:type="dxa"/>
          </w:tcPr>
          <w:p w:rsidR="00FE0045" w:rsidRDefault="00FE0045" w:rsidP="00327ED6">
            <w:pPr>
              <w:pStyle w:val="Tabletext"/>
              <w:jc w:val="center"/>
              <w:rPr>
                <w:kern w:val="28"/>
              </w:rPr>
            </w:pPr>
            <w:r>
              <w:rPr>
                <w:kern w:val="28"/>
              </w:rPr>
              <w:t>0</w:t>
            </w:r>
          </w:p>
        </w:tc>
      </w:tr>
    </w:tbl>
    <w:p w:rsidR="00FE0045" w:rsidRPr="00575702" w:rsidRDefault="00FE0045" w:rsidP="00FE0045">
      <w:pPr>
        <w:pStyle w:val="Tablefin"/>
        <w:rPr>
          <w:kern w:val="28"/>
          <w:lang w:val="fr-FR"/>
        </w:rPr>
      </w:pPr>
    </w:p>
    <w:p w:rsidR="00FE0045" w:rsidRDefault="00FE0045" w:rsidP="00F00D23">
      <w:pPr>
        <w:rPr>
          <w:kern w:val="28"/>
        </w:rPr>
      </w:pPr>
      <w:r>
        <w:rPr>
          <w:kern w:val="28"/>
        </w:rPr>
        <w:t>En plus des paramètres des catégories de services en rapport avec les études de marché, qui sont calculés au § 3.5.2, d'autres qui ne figurent pas dans le Rapport UIT-R M.2072 sont nécessaires à l'application de la méthodologie. Ces paramètres, dont la liste est dressée au Tableau 5, sont nécessaires au calcul de la capacité, qui fait l'objet du § 4.</w:t>
      </w:r>
    </w:p>
    <w:p w:rsidR="00FE0045" w:rsidRDefault="00FE0045" w:rsidP="00FE0045">
      <w:pPr>
        <w:pStyle w:val="TableNo"/>
        <w:rPr>
          <w:kern w:val="28"/>
        </w:rPr>
      </w:pPr>
      <w:r>
        <w:rPr>
          <w:kern w:val="28"/>
        </w:rPr>
        <w:t>TABLEAU 5</w:t>
      </w:r>
    </w:p>
    <w:p w:rsidR="00FE0045" w:rsidRPr="00D35985" w:rsidRDefault="00FE0045" w:rsidP="00FE0045">
      <w:pPr>
        <w:pStyle w:val="Tabletitle"/>
        <w:rPr>
          <w:kern w:val="28"/>
        </w:rPr>
      </w:pPr>
      <w:r w:rsidRPr="00D35985">
        <w:rPr>
          <w:kern w:val="28"/>
        </w:rPr>
        <w:t xml:space="preserve">Paramètres des catégories de services à prendre en considération </w:t>
      </w:r>
      <w:r>
        <w:rPr>
          <w:kern w:val="28"/>
        </w:rPr>
        <w:br/>
      </w:r>
      <w:r w:rsidRPr="00D35985">
        <w:rPr>
          <w:kern w:val="28"/>
        </w:rPr>
        <w:t>dans l'algorithme de calcul du spectre</w:t>
      </w:r>
    </w:p>
    <w:tbl>
      <w:tblPr>
        <w:tblW w:w="9639" w:type="dxa"/>
        <w:jc w:val="center"/>
        <w:shd w:val="clear" w:color="auto" w:fill="FFFFFF"/>
        <w:tblLayout w:type="fixed"/>
        <w:tblCellMar>
          <w:left w:w="113" w:type="dxa"/>
          <w:right w:w="113" w:type="dxa"/>
        </w:tblCellMar>
        <w:tblLook w:val="0000" w:firstRow="0" w:lastRow="0" w:firstColumn="0" w:lastColumn="0" w:noHBand="0" w:noVBand="0"/>
      </w:tblPr>
      <w:tblGrid>
        <w:gridCol w:w="3960"/>
        <w:gridCol w:w="1080"/>
        <w:gridCol w:w="1080"/>
        <w:gridCol w:w="720"/>
        <w:gridCol w:w="900"/>
        <w:gridCol w:w="900"/>
        <w:gridCol w:w="999"/>
      </w:tblGrid>
      <w:tr w:rsidR="00FE0045" w:rsidTr="00E12924">
        <w:trPr>
          <w:trHeight w:val="284"/>
          <w:jc w:val="center"/>
        </w:trPr>
        <w:tc>
          <w:tcPr>
            <w:tcW w:w="3960" w:type="dxa"/>
            <w:tcBorders>
              <w:top w:val="single" w:sz="6" w:space="0" w:color="auto"/>
              <w:left w:val="single" w:sz="6" w:space="0" w:color="auto"/>
              <w:bottom w:val="single" w:sz="6" w:space="0" w:color="auto"/>
              <w:right w:val="single" w:sz="6" w:space="0" w:color="auto"/>
            </w:tcBorders>
            <w:shd w:val="clear" w:color="auto" w:fill="FFFFFF"/>
            <w:vAlign w:val="bottom"/>
          </w:tcPr>
          <w:p w:rsidR="00FE0045" w:rsidRDefault="00FE0045" w:rsidP="00E12924">
            <w:pPr>
              <w:pStyle w:val="Tablehead"/>
            </w:pPr>
            <w:r>
              <w:t>Catégorie de service</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E12924">
            <w:pPr>
              <w:pStyle w:val="Tablehead"/>
            </w:pPr>
            <w:r>
              <w:t>SC1</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E12924">
            <w:pPr>
              <w:pStyle w:val="Tablehead"/>
            </w:pPr>
            <w:r>
              <w:t>SC2</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E12924">
            <w:pPr>
              <w:pStyle w:val="Tablehead"/>
            </w:pP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E12924">
            <w:pPr>
              <w:pStyle w:val="Tablehead"/>
            </w:pPr>
            <w: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E12924">
            <w:pPr>
              <w:pStyle w:val="Tablehead"/>
            </w:pPr>
          </w:p>
        </w:tc>
        <w:tc>
          <w:tcPr>
            <w:tcW w:w="999"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E12924">
            <w:pPr>
              <w:pStyle w:val="Tablehead"/>
            </w:pPr>
            <w:r>
              <w:t>SC20</w:t>
            </w:r>
          </w:p>
        </w:tc>
      </w:tr>
      <w:tr w:rsidR="00FE0045" w:rsidTr="00E12924">
        <w:trPr>
          <w:trHeight w:val="284"/>
          <w:jc w:val="center"/>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FE0045" w:rsidRDefault="00FE0045" w:rsidP="00327ED6">
            <w:pPr>
              <w:pStyle w:val="Tabletext"/>
              <w:jc w:val="left"/>
              <w:rPr>
                <w:kern w:val="28"/>
              </w:rPr>
            </w:pPr>
            <w:r>
              <w:rPr>
                <w:kern w:val="28"/>
              </w:rPr>
              <w:t>Taille moyenne des paquets (bit/paquet)</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p>
        </w:tc>
        <w:tc>
          <w:tcPr>
            <w:tcW w:w="999"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p>
        </w:tc>
      </w:tr>
      <w:tr w:rsidR="00FE0045" w:rsidTr="00E12924">
        <w:trPr>
          <w:trHeight w:val="284"/>
          <w:jc w:val="center"/>
        </w:trPr>
        <w:tc>
          <w:tcPr>
            <w:tcW w:w="3960" w:type="dxa"/>
            <w:tcBorders>
              <w:top w:val="single" w:sz="6" w:space="0" w:color="auto"/>
              <w:left w:val="single" w:sz="6" w:space="0" w:color="auto"/>
              <w:bottom w:val="single" w:sz="6" w:space="0" w:color="auto"/>
              <w:right w:val="single" w:sz="6" w:space="0" w:color="auto"/>
            </w:tcBorders>
            <w:shd w:val="clear" w:color="auto" w:fill="FFFFFF"/>
            <w:vAlign w:val="bottom"/>
          </w:tcPr>
          <w:p w:rsidR="00FE0045" w:rsidRDefault="00FE0045" w:rsidP="00327ED6">
            <w:pPr>
              <w:pStyle w:val="Tabletext"/>
              <w:jc w:val="left"/>
            </w:pPr>
            <w:r>
              <w:rPr>
                <w:kern w:val="28"/>
              </w:rPr>
              <w:t>Moment du second ordre</w:t>
            </w:r>
            <w:r w:rsidRPr="00575702">
              <w:rPr>
                <w:kern w:val="28"/>
                <w:vertAlign w:val="superscript"/>
              </w:rPr>
              <w:t>(1)</w:t>
            </w:r>
            <w:r>
              <w:rPr>
                <w:kern w:val="28"/>
              </w:rPr>
              <w:t xml:space="preserve"> de la taille des paquets </w:t>
            </w:r>
            <w:r>
              <w:t>(bit/paquet)</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p>
        </w:tc>
        <w:tc>
          <w:tcPr>
            <w:tcW w:w="999"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p>
        </w:tc>
      </w:tr>
      <w:tr w:rsidR="00FE0045" w:rsidTr="00E12924">
        <w:trPr>
          <w:trHeight w:val="284"/>
          <w:jc w:val="center"/>
        </w:trPr>
        <w:tc>
          <w:tcPr>
            <w:tcW w:w="3960" w:type="dxa"/>
            <w:tcBorders>
              <w:top w:val="single" w:sz="6" w:space="0" w:color="auto"/>
              <w:left w:val="single" w:sz="6" w:space="0" w:color="auto"/>
              <w:bottom w:val="single" w:sz="6" w:space="0" w:color="auto"/>
              <w:right w:val="single" w:sz="6" w:space="0" w:color="auto"/>
            </w:tcBorders>
            <w:shd w:val="clear" w:color="auto" w:fill="FFFFFF"/>
            <w:vAlign w:val="bottom"/>
          </w:tcPr>
          <w:p w:rsidR="00FE0045" w:rsidRDefault="00FE0045" w:rsidP="00327ED6">
            <w:pPr>
              <w:pStyle w:val="Tabletext"/>
              <w:jc w:val="left"/>
            </w:pPr>
            <w:r>
              <w:rPr>
                <w:kern w:val="28"/>
              </w:rPr>
              <w:t xml:space="preserve">Retard(s) moyen(s) des paquets </w:t>
            </w:r>
            <w:r>
              <w:t>autorisé(s)</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p>
        </w:tc>
        <w:tc>
          <w:tcPr>
            <w:tcW w:w="999"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p>
        </w:tc>
      </w:tr>
      <w:tr w:rsidR="00FE0045" w:rsidTr="00E12924">
        <w:trPr>
          <w:trHeight w:val="284"/>
          <w:jc w:val="center"/>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FE0045" w:rsidRDefault="00FE0045" w:rsidP="00327ED6">
            <w:pPr>
              <w:pStyle w:val="Tabletext"/>
              <w:jc w:val="left"/>
              <w:rPr>
                <w:kern w:val="28"/>
              </w:rPr>
            </w:pPr>
            <w:r>
              <w:rPr>
                <w:kern w:val="28"/>
              </w:rPr>
              <w:t>Taux de blocage autorisé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r>
              <w:t>–</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p>
        </w:tc>
        <w:tc>
          <w:tcPr>
            <w:tcW w:w="999"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327ED6">
            <w:pPr>
              <w:pStyle w:val="Tabletext"/>
              <w:jc w:val="center"/>
            </w:pPr>
          </w:p>
        </w:tc>
      </w:tr>
      <w:tr w:rsidR="00FE0045" w:rsidTr="00E12924">
        <w:trPr>
          <w:trHeight w:val="284"/>
          <w:jc w:val="center"/>
        </w:trPr>
        <w:tc>
          <w:tcPr>
            <w:tcW w:w="9639" w:type="dxa"/>
            <w:gridSpan w:val="7"/>
            <w:tcBorders>
              <w:top w:val="single" w:sz="6" w:space="0" w:color="auto"/>
            </w:tcBorders>
            <w:shd w:val="clear" w:color="auto" w:fill="FFFFFF"/>
          </w:tcPr>
          <w:p w:rsidR="00FE0045" w:rsidRDefault="00FE0045" w:rsidP="00DE1DED">
            <w:pPr>
              <w:pStyle w:val="Tabletext"/>
              <w:ind w:left="284" w:hanging="284"/>
            </w:pPr>
            <w:r w:rsidRPr="00575702">
              <w:rPr>
                <w:kern w:val="28"/>
                <w:sz w:val="20"/>
                <w:vertAlign w:val="superscript"/>
              </w:rPr>
              <w:t>(1)</w:t>
            </w:r>
            <w:r>
              <w:rPr>
                <w:kern w:val="28"/>
                <w:sz w:val="20"/>
              </w:rPr>
              <w:tab/>
              <w:t>Le moment du second ordre d'une variable aléatoire est une valeur progressive qui varie au même rythme que cette variable.</w:t>
            </w:r>
          </w:p>
        </w:tc>
      </w:tr>
    </w:tbl>
    <w:p w:rsidR="00FE0045" w:rsidRPr="0021786A" w:rsidRDefault="00FE0045" w:rsidP="00FE0045">
      <w:pPr>
        <w:pStyle w:val="Tablefin"/>
        <w:rPr>
          <w:kern w:val="28"/>
          <w:lang w:val="fr-FR"/>
        </w:rPr>
      </w:pPr>
    </w:p>
    <w:p w:rsidR="00FE0045" w:rsidRDefault="00FE0045" w:rsidP="00FE0045">
      <w:pPr>
        <w:pStyle w:val="Heading3"/>
        <w:rPr>
          <w:kern w:val="28"/>
        </w:rPr>
      </w:pPr>
      <w:r>
        <w:rPr>
          <w:kern w:val="28"/>
        </w:rPr>
        <w:t>3.4.2</w:t>
      </w:r>
      <w:r>
        <w:rPr>
          <w:kern w:val="28"/>
        </w:rPr>
        <w:tab/>
        <w:t>Environnement de service</w:t>
      </w:r>
    </w:p>
    <w:p w:rsidR="00FE0045" w:rsidRDefault="00FE0045" w:rsidP="00FE0045">
      <w:pPr>
        <w:rPr>
          <w:kern w:val="28"/>
        </w:rPr>
      </w:pPr>
      <w:r>
        <w:rPr>
          <w:kern w:val="28"/>
        </w:rPr>
        <w:t>Les environnements de service représentent les utilisations communes d'un service et les volumes de trafic.</w:t>
      </w:r>
    </w:p>
    <w:p w:rsidR="00FE0045" w:rsidRDefault="00FE0045" w:rsidP="00FE0045">
      <w:pPr>
        <w:rPr>
          <w:kern w:val="28"/>
        </w:rPr>
      </w:pPr>
      <w:r>
        <w:rPr>
          <w:kern w:val="28"/>
        </w:rPr>
        <w:t>L'environnement de service est défini comme étant une combinaison du profil d'utilisation du service et de la télédensité.</w:t>
      </w:r>
    </w:p>
    <w:p w:rsidR="00FE0045" w:rsidRDefault="00FE0045" w:rsidP="00FE0045">
      <w:pPr>
        <w:pStyle w:val="Heading4"/>
        <w:rPr>
          <w:kern w:val="28"/>
        </w:rPr>
      </w:pPr>
      <w:r>
        <w:rPr>
          <w:kern w:val="28"/>
        </w:rPr>
        <w:t>3.4.2.1</w:t>
      </w:r>
      <w:r>
        <w:rPr>
          <w:kern w:val="28"/>
        </w:rPr>
        <w:tab/>
        <w:t>Profils d'utilisation des services</w:t>
      </w:r>
    </w:p>
    <w:p w:rsidR="00FE0045" w:rsidRDefault="00FE0045" w:rsidP="00FE0045">
      <w:pPr>
        <w:rPr>
          <w:kern w:val="28"/>
        </w:rPr>
      </w:pPr>
      <w:r>
        <w:rPr>
          <w:kern w:val="28"/>
        </w:rPr>
        <w:t>Le profil d'utilisation d'un service est défini comme étant le comportement d'un utilisateur ou le comportement commun à plusieurs utilisateurs dans une zone de service donnée.</w:t>
      </w:r>
    </w:p>
    <w:p w:rsidR="00FE0045" w:rsidRDefault="00FE0045" w:rsidP="00327ED6">
      <w:pPr>
        <w:keepNext/>
        <w:keepLines/>
        <w:rPr>
          <w:kern w:val="28"/>
        </w:rPr>
      </w:pPr>
      <w:r>
        <w:rPr>
          <w:kern w:val="28"/>
        </w:rPr>
        <w:lastRenderedPageBreak/>
        <w:t>Les profils d'utilisation des services sont classés en fonction des zones d'exploitation de services analogues et de même qualité. La méthodologie s'appuie sur les profils suivants:</w:t>
      </w:r>
    </w:p>
    <w:p w:rsidR="00FE0045" w:rsidRDefault="00FE0045" w:rsidP="00327ED6">
      <w:pPr>
        <w:pStyle w:val="enumlev1"/>
        <w:keepNext/>
        <w:keepLines/>
        <w:rPr>
          <w:kern w:val="28"/>
        </w:rPr>
      </w:pPr>
      <w:r>
        <w:rPr>
          <w:kern w:val="28"/>
        </w:rPr>
        <w:t>–</w:t>
      </w:r>
      <w:r>
        <w:rPr>
          <w:kern w:val="28"/>
        </w:rPr>
        <w:tab/>
        <w:t>Domicile</w:t>
      </w:r>
    </w:p>
    <w:p w:rsidR="00FE0045" w:rsidRDefault="00FE0045" w:rsidP="00327ED6">
      <w:pPr>
        <w:pStyle w:val="enumlev1"/>
        <w:keepNext/>
        <w:keepLines/>
        <w:rPr>
          <w:kern w:val="28"/>
        </w:rPr>
      </w:pPr>
      <w:r>
        <w:rPr>
          <w:kern w:val="28"/>
        </w:rPr>
        <w:t>–</w:t>
      </w:r>
      <w:r>
        <w:rPr>
          <w:kern w:val="28"/>
        </w:rPr>
        <w:tab/>
        <w:t>Bureau</w:t>
      </w:r>
    </w:p>
    <w:p w:rsidR="00FE0045" w:rsidRDefault="00FE0045" w:rsidP="00327ED6">
      <w:pPr>
        <w:pStyle w:val="enumlev1"/>
        <w:keepNext/>
        <w:keepLines/>
        <w:rPr>
          <w:kern w:val="28"/>
        </w:rPr>
      </w:pPr>
      <w:r>
        <w:rPr>
          <w:kern w:val="28"/>
        </w:rPr>
        <w:t>–</w:t>
      </w:r>
      <w:r>
        <w:rPr>
          <w:kern w:val="28"/>
        </w:rPr>
        <w:tab/>
        <w:t>Domaine public.</w:t>
      </w:r>
    </w:p>
    <w:p w:rsidR="00FE0045" w:rsidRPr="00D35985" w:rsidRDefault="00FE0045" w:rsidP="00FE0045">
      <w:pPr>
        <w:pStyle w:val="Heading4"/>
        <w:rPr>
          <w:kern w:val="28"/>
        </w:rPr>
      </w:pPr>
      <w:r>
        <w:rPr>
          <w:kern w:val="28"/>
        </w:rPr>
        <w:t>3</w:t>
      </w:r>
      <w:r w:rsidRPr="00D35985">
        <w:rPr>
          <w:kern w:val="28"/>
        </w:rPr>
        <w:t>.4.2.2</w:t>
      </w:r>
      <w:r w:rsidRPr="00D35985">
        <w:rPr>
          <w:kern w:val="28"/>
        </w:rPr>
        <w:tab/>
        <w:t>Télédensité</w:t>
      </w:r>
    </w:p>
    <w:p w:rsidR="00FE0045" w:rsidRDefault="00FE0045" w:rsidP="00FE0045">
      <w:pPr>
        <w:rPr>
          <w:kern w:val="28"/>
        </w:rPr>
      </w:pPr>
      <w:r>
        <w:rPr>
          <w:kern w:val="28"/>
        </w:rPr>
        <w:t>Comme indiqué dans la Recommandation UIT-R M.1390, la densité de population et le nombre de terminaux par personne sont, eux aussi, des facteurs importants qui doivent être pris en considération dans la détermination des environnements de service. La zone géographique est donc divisée en catégories de télédensité en fonction de ces facteurs.</w:t>
      </w:r>
    </w:p>
    <w:p w:rsidR="00FE0045" w:rsidRDefault="00FE0045" w:rsidP="00FE0045">
      <w:pPr>
        <w:rPr>
          <w:kern w:val="28"/>
        </w:rPr>
      </w:pPr>
      <w:r>
        <w:rPr>
          <w:kern w:val="28"/>
        </w:rPr>
        <w:t>Chaque paramètre de télédensité est caractérisé par la densité de population et la densité des terminaux de communication. On distingue trois catégories de télédensité:</w:t>
      </w:r>
    </w:p>
    <w:p w:rsidR="00FE0045" w:rsidRDefault="00FE0045" w:rsidP="00FE0045">
      <w:pPr>
        <w:pStyle w:val="enumlev1"/>
        <w:rPr>
          <w:kern w:val="28"/>
        </w:rPr>
      </w:pPr>
      <w:r>
        <w:rPr>
          <w:kern w:val="28"/>
        </w:rPr>
        <w:t>–</w:t>
      </w:r>
      <w:r>
        <w:rPr>
          <w:kern w:val="28"/>
        </w:rPr>
        <w:tab/>
        <w:t>Urbaine dense</w:t>
      </w:r>
    </w:p>
    <w:p w:rsidR="00FE0045" w:rsidRDefault="00FE0045" w:rsidP="00FE0045">
      <w:pPr>
        <w:pStyle w:val="enumlev1"/>
        <w:rPr>
          <w:kern w:val="28"/>
        </w:rPr>
      </w:pPr>
      <w:r>
        <w:rPr>
          <w:kern w:val="28"/>
        </w:rPr>
        <w:t>–</w:t>
      </w:r>
      <w:r>
        <w:rPr>
          <w:kern w:val="28"/>
        </w:rPr>
        <w:tab/>
        <w:t>Suburbaine</w:t>
      </w:r>
    </w:p>
    <w:p w:rsidR="00FE0045" w:rsidRDefault="00FE0045" w:rsidP="00FE0045">
      <w:pPr>
        <w:pStyle w:val="enumlev1"/>
        <w:rPr>
          <w:kern w:val="28"/>
        </w:rPr>
      </w:pPr>
      <w:r>
        <w:rPr>
          <w:kern w:val="28"/>
        </w:rPr>
        <w:t>–</w:t>
      </w:r>
      <w:r>
        <w:rPr>
          <w:kern w:val="28"/>
        </w:rPr>
        <w:tab/>
        <w:t>Rurale.</w:t>
      </w:r>
    </w:p>
    <w:p w:rsidR="00FE0045" w:rsidRPr="00D35985" w:rsidRDefault="00FE0045" w:rsidP="00FE0045">
      <w:pPr>
        <w:pStyle w:val="Heading4"/>
        <w:rPr>
          <w:kern w:val="28"/>
        </w:rPr>
      </w:pPr>
      <w:r>
        <w:rPr>
          <w:kern w:val="28"/>
        </w:rPr>
        <w:t>3</w:t>
      </w:r>
      <w:r w:rsidRPr="00D35985">
        <w:rPr>
          <w:kern w:val="28"/>
        </w:rPr>
        <w:t>.4.2.3</w:t>
      </w:r>
      <w:r w:rsidRPr="00D35985">
        <w:rPr>
          <w:kern w:val="28"/>
        </w:rPr>
        <w:tab/>
        <w:t>Définition et attributs des environnements de service</w:t>
      </w:r>
    </w:p>
    <w:p w:rsidR="00FE0045" w:rsidRDefault="00FE0045" w:rsidP="00FE0045">
      <w:pPr>
        <w:rPr>
          <w:kern w:val="28"/>
        </w:rPr>
      </w:pPr>
      <w:r>
        <w:rPr>
          <w:kern w:val="28"/>
        </w:rPr>
        <w:t>Les environnements de service, SE, sont définis pour les combinaisons ci-après de télédensité et de profils d'utilisation des services, qui sont illustrées au Tableau 6.</w:t>
      </w:r>
    </w:p>
    <w:p w:rsidR="00FE0045" w:rsidRDefault="00FE0045" w:rsidP="00FE0045">
      <w:pPr>
        <w:rPr>
          <w:kern w:val="28"/>
        </w:rPr>
      </w:pPr>
      <w:r>
        <w:rPr>
          <w:kern w:val="28"/>
        </w:rPr>
        <w:t>Pour permettre au lecteur de se faire une idée plus précise des divers environnements de service, on trouvera au Tableau 7 une illustration des groupes d'usagers possibles et un exemple d'application de chaque environnement de service.</w:t>
      </w:r>
    </w:p>
    <w:p w:rsidR="00FE0045" w:rsidRDefault="00FE0045" w:rsidP="00FE0045">
      <w:pPr>
        <w:rPr>
          <w:kern w:val="28"/>
        </w:rPr>
      </w:pPr>
      <w:r>
        <w:rPr>
          <w:kern w:val="28"/>
        </w:rPr>
        <w:t>Les besoins en fréquences doivent d'abord être calculés séparément pour chaque télédensité. Les besoins totaux sont calculés en prenant la valeur maximale des exigences de spectre pour les trois zones de télédensité (urbaine dense, suburbaine et rurale).</w:t>
      </w:r>
    </w:p>
    <w:p w:rsidR="00FE0045" w:rsidRDefault="00FE0045" w:rsidP="00FE0045">
      <w:pPr>
        <w:pStyle w:val="TableNo"/>
        <w:rPr>
          <w:kern w:val="28"/>
        </w:rPr>
      </w:pPr>
      <w:r>
        <w:rPr>
          <w:kern w:val="28"/>
        </w:rPr>
        <w:t>TABLEAU 6</w:t>
      </w:r>
    </w:p>
    <w:p w:rsidR="00FE0045" w:rsidRDefault="00FE0045" w:rsidP="00FE0045">
      <w:pPr>
        <w:pStyle w:val="Tabletitle"/>
        <w:rPr>
          <w:bCs/>
        </w:rPr>
      </w:pPr>
      <w:r>
        <w:rPr>
          <w:kern w:val="28"/>
        </w:rPr>
        <w:t>Identification des environnements de service</w:t>
      </w:r>
    </w:p>
    <w:tbl>
      <w:tblPr>
        <w:tblW w:w="0" w:type="auto"/>
        <w:jc w:val="center"/>
        <w:tblLayout w:type="fixed"/>
        <w:tblLook w:val="0000" w:firstRow="0" w:lastRow="0" w:firstColumn="0" w:lastColumn="0" w:noHBand="0" w:noVBand="0"/>
      </w:tblPr>
      <w:tblGrid>
        <w:gridCol w:w="3749"/>
        <w:gridCol w:w="1800"/>
        <w:gridCol w:w="1800"/>
        <w:gridCol w:w="1507"/>
      </w:tblGrid>
      <w:tr w:rsidR="00FE0045" w:rsidTr="00327ED6">
        <w:trPr>
          <w:trHeight w:val="284"/>
          <w:jc w:val="center"/>
        </w:trPr>
        <w:tc>
          <w:tcPr>
            <w:tcW w:w="3749" w:type="dxa"/>
            <w:tcBorders>
              <w:top w:val="single" w:sz="6" w:space="0" w:color="auto"/>
              <w:left w:val="single" w:sz="6" w:space="0" w:color="auto"/>
              <w:bottom w:val="single" w:sz="6" w:space="0" w:color="auto"/>
              <w:right w:val="single" w:sz="6" w:space="0" w:color="auto"/>
              <w:tl2br w:val="single" w:sz="6" w:space="0" w:color="auto"/>
            </w:tcBorders>
            <w:tcMar>
              <w:left w:w="28" w:type="dxa"/>
              <w:right w:w="28" w:type="dxa"/>
            </w:tcMar>
          </w:tcPr>
          <w:p w:rsidR="00FE0045" w:rsidRDefault="00DE1DED" w:rsidP="00DE1DED">
            <w:pPr>
              <w:pStyle w:val="Tablehead"/>
            </w:pPr>
            <w:r>
              <w:t xml:space="preserve">                                       </w:t>
            </w:r>
            <w:r w:rsidR="00FE0045">
              <w:t>Télédensité</w:t>
            </w:r>
          </w:p>
          <w:p w:rsidR="00FE0045" w:rsidRDefault="00FE0045" w:rsidP="00327ED6">
            <w:pPr>
              <w:pStyle w:val="Tablehead"/>
              <w:jc w:val="left"/>
            </w:pPr>
            <w:r>
              <w:br/>
            </w:r>
            <w:r w:rsidR="00DE1DED">
              <w:t xml:space="preserve">  </w:t>
            </w:r>
            <w:r>
              <w:t>Profil d'utilisation</w:t>
            </w:r>
            <w:r>
              <w:br/>
            </w:r>
            <w:r w:rsidR="00DE1DED">
              <w:t xml:space="preserve">  </w:t>
            </w:r>
            <w:r>
              <w:t>des services</w:t>
            </w:r>
          </w:p>
        </w:tc>
        <w:tc>
          <w:tcPr>
            <w:tcW w:w="1800" w:type="dxa"/>
            <w:tcBorders>
              <w:top w:val="single" w:sz="6" w:space="0" w:color="auto"/>
              <w:left w:val="single" w:sz="6" w:space="0" w:color="auto"/>
              <w:bottom w:val="single" w:sz="6" w:space="0" w:color="auto"/>
              <w:right w:val="single" w:sz="6" w:space="0" w:color="auto"/>
            </w:tcBorders>
            <w:vAlign w:val="center"/>
          </w:tcPr>
          <w:p w:rsidR="00FE0045" w:rsidRDefault="00FE0045" w:rsidP="00327ED6">
            <w:pPr>
              <w:pStyle w:val="Tablehead"/>
            </w:pPr>
            <w:r>
              <w:t>Urbaine/dense</w:t>
            </w:r>
          </w:p>
        </w:tc>
        <w:tc>
          <w:tcPr>
            <w:tcW w:w="1800" w:type="dxa"/>
            <w:tcBorders>
              <w:top w:val="single" w:sz="6" w:space="0" w:color="auto"/>
              <w:left w:val="single" w:sz="6" w:space="0" w:color="auto"/>
              <w:bottom w:val="single" w:sz="6" w:space="0" w:color="auto"/>
              <w:right w:val="single" w:sz="6" w:space="0" w:color="auto"/>
            </w:tcBorders>
            <w:vAlign w:val="center"/>
          </w:tcPr>
          <w:p w:rsidR="00FE0045" w:rsidRDefault="00FE0045" w:rsidP="00327ED6">
            <w:pPr>
              <w:pStyle w:val="Tablehead"/>
            </w:pPr>
            <w:r>
              <w:t>Suburbaine</w:t>
            </w:r>
          </w:p>
        </w:tc>
        <w:tc>
          <w:tcPr>
            <w:tcW w:w="1507" w:type="dxa"/>
            <w:tcBorders>
              <w:top w:val="single" w:sz="6" w:space="0" w:color="auto"/>
              <w:left w:val="single" w:sz="6" w:space="0" w:color="auto"/>
              <w:bottom w:val="single" w:sz="6" w:space="0" w:color="auto"/>
              <w:right w:val="single" w:sz="6" w:space="0" w:color="auto"/>
            </w:tcBorders>
            <w:vAlign w:val="center"/>
          </w:tcPr>
          <w:p w:rsidR="00FE0045" w:rsidRDefault="00FE0045" w:rsidP="00327ED6">
            <w:pPr>
              <w:pStyle w:val="Tablehead"/>
            </w:pPr>
            <w:r>
              <w:t>Rurale</w:t>
            </w:r>
          </w:p>
        </w:tc>
      </w:tr>
      <w:tr w:rsidR="00FE0045" w:rsidTr="00327ED6">
        <w:trPr>
          <w:trHeight w:val="284"/>
          <w:jc w:val="center"/>
        </w:trPr>
        <w:tc>
          <w:tcPr>
            <w:tcW w:w="3749" w:type="dxa"/>
            <w:tcBorders>
              <w:top w:val="single" w:sz="6" w:space="0" w:color="auto"/>
              <w:left w:val="single" w:sz="6" w:space="0" w:color="auto"/>
              <w:bottom w:val="single" w:sz="6" w:space="0" w:color="auto"/>
              <w:right w:val="single" w:sz="6" w:space="0" w:color="auto"/>
            </w:tcBorders>
            <w:tcMar>
              <w:left w:w="28" w:type="dxa"/>
              <w:right w:w="28" w:type="dxa"/>
            </w:tcMar>
          </w:tcPr>
          <w:p w:rsidR="00FE0045" w:rsidRDefault="00DE1DED" w:rsidP="00E12924">
            <w:pPr>
              <w:pStyle w:val="Tabletext"/>
            </w:pPr>
            <w:r>
              <w:t xml:space="preserve">  </w:t>
            </w:r>
            <w:r w:rsidR="00FE0045">
              <w:t>Domicile</w:t>
            </w:r>
          </w:p>
        </w:tc>
        <w:tc>
          <w:tcPr>
            <w:tcW w:w="1800" w:type="dxa"/>
            <w:tcBorders>
              <w:top w:val="single" w:sz="6" w:space="0" w:color="auto"/>
              <w:left w:val="single" w:sz="6" w:space="0" w:color="auto"/>
              <w:bottom w:val="single" w:sz="6" w:space="0" w:color="auto"/>
              <w:right w:val="single" w:sz="6" w:space="0" w:color="auto"/>
            </w:tcBorders>
          </w:tcPr>
          <w:p w:rsidR="00FE0045" w:rsidRDefault="00FE0045" w:rsidP="00327ED6">
            <w:pPr>
              <w:pStyle w:val="Tabletext"/>
              <w:jc w:val="center"/>
            </w:pPr>
            <w:r>
              <w:t>SE1</w:t>
            </w:r>
          </w:p>
        </w:tc>
        <w:tc>
          <w:tcPr>
            <w:tcW w:w="1800" w:type="dxa"/>
            <w:tcBorders>
              <w:top w:val="single" w:sz="6" w:space="0" w:color="auto"/>
              <w:left w:val="single" w:sz="6" w:space="0" w:color="auto"/>
              <w:bottom w:val="single" w:sz="6" w:space="0" w:color="auto"/>
              <w:right w:val="single" w:sz="6" w:space="0" w:color="auto"/>
            </w:tcBorders>
          </w:tcPr>
          <w:p w:rsidR="00FE0045" w:rsidRDefault="00FE0045" w:rsidP="00327ED6">
            <w:pPr>
              <w:pStyle w:val="Tabletext"/>
              <w:jc w:val="center"/>
            </w:pPr>
            <w:r>
              <w:t>SE4</w:t>
            </w:r>
          </w:p>
        </w:tc>
        <w:tc>
          <w:tcPr>
            <w:tcW w:w="1507" w:type="dxa"/>
            <w:vMerge w:val="restart"/>
            <w:tcBorders>
              <w:top w:val="single" w:sz="6" w:space="0" w:color="auto"/>
              <w:left w:val="single" w:sz="6" w:space="0" w:color="auto"/>
              <w:bottom w:val="single" w:sz="6" w:space="0" w:color="auto"/>
              <w:right w:val="single" w:sz="6" w:space="0" w:color="auto"/>
            </w:tcBorders>
            <w:vAlign w:val="center"/>
          </w:tcPr>
          <w:p w:rsidR="00FE0045" w:rsidRDefault="00FE0045" w:rsidP="00327ED6">
            <w:pPr>
              <w:pStyle w:val="Tabletext"/>
              <w:jc w:val="center"/>
            </w:pPr>
            <w:r>
              <w:t>SE6</w:t>
            </w:r>
          </w:p>
        </w:tc>
      </w:tr>
      <w:tr w:rsidR="00FE0045" w:rsidTr="00327ED6">
        <w:trPr>
          <w:trHeight w:val="284"/>
          <w:jc w:val="center"/>
        </w:trPr>
        <w:tc>
          <w:tcPr>
            <w:tcW w:w="3749" w:type="dxa"/>
            <w:tcBorders>
              <w:top w:val="single" w:sz="6" w:space="0" w:color="auto"/>
              <w:left w:val="single" w:sz="6" w:space="0" w:color="auto"/>
              <w:bottom w:val="single" w:sz="6" w:space="0" w:color="auto"/>
              <w:right w:val="single" w:sz="6" w:space="0" w:color="auto"/>
            </w:tcBorders>
            <w:tcMar>
              <w:left w:w="28" w:type="dxa"/>
              <w:right w:w="28" w:type="dxa"/>
            </w:tcMar>
          </w:tcPr>
          <w:p w:rsidR="00FE0045" w:rsidRDefault="00DE1DED" w:rsidP="00E12924">
            <w:pPr>
              <w:pStyle w:val="Tabletext"/>
            </w:pPr>
            <w:r>
              <w:t xml:space="preserve">  </w:t>
            </w:r>
            <w:r w:rsidR="00FE0045">
              <w:t>Bureau</w:t>
            </w:r>
          </w:p>
        </w:tc>
        <w:tc>
          <w:tcPr>
            <w:tcW w:w="1800" w:type="dxa"/>
            <w:tcBorders>
              <w:top w:val="single" w:sz="6" w:space="0" w:color="auto"/>
              <w:left w:val="single" w:sz="6" w:space="0" w:color="auto"/>
              <w:bottom w:val="single" w:sz="6" w:space="0" w:color="auto"/>
              <w:right w:val="single" w:sz="6" w:space="0" w:color="auto"/>
            </w:tcBorders>
          </w:tcPr>
          <w:p w:rsidR="00FE0045" w:rsidRDefault="00FE0045" w:rsidP="00327ED6">
            <w:pPr>
              <w:pStyle w:val="Tabletext"/>
              <w:jc w:val="center"/>
            </w:pPr>
            <w:r>
              <w:t>SE2</w:t>
            </w:r>
          </w:p>
        </w:tc>
        <w:tc>
          <w:tcPr>
            <w:tcW w:w="1800" w:type="dxa"/>
            <w:vMerge w:val="restart"/>
            <w:tcBorders>
              <w:top w:val="single" w:sz="6" w:space="0" w:color="auto"/>
              <w:left w:val="single" w:sz="6" w:space="0" w:color="auto"/>
              <w:bottom w:val="single" w:sz="6" w:space="0" w:color="auto"/>
              <w:right w:val="single" w:sz="6" w:space="0" w:color="auto"/>
            </w:tcBorders>
            <w:vAlign w:val="center"/>
          </w:tcPr>
          <w:p w:rsidR="00FE0045" w:rsidRDefault="00FE0045" w:rsidP="00327ED6">
            <w:pPr>
              <w:pStyle w:val="Tabletext"/>
              <w:jc w:val="center"/>
            </w:pPr>
            <w:r>
              <w:t>SE5</w:t>
            </w:r>
          </w:p>
        </w:tc>
        <w:tc>
          <w:tcPr>
            <w:tcW w:w="1507" w:type="dxa"/>
            <w:vMerge/>
            <w:tcBorders>
              <w:top w:val="single" w:sz="6" w:space="0" w:color="auto"/>
              <w:left w:val="single" w:sz="6" w:space="0" w:color="auto"/>
              <w:bottom w:val="single" w:sz="6" w:space="0" w:color="auto"/>
              <w:right w:val="single" w:sz="6" w:space="0" w:color="auto"/>
            </w:tcBorders>
          </w:tcPr>
          <w:p w:rsidR="00FE0045" w:rsidRDefault="00FE0045" w:rsidP="00F00D23">
            <w:pPr>
              <w:pStyle w:val="Tabletext"/>
            </w:pPr>
          </w:p>
        </w:tc>
      </w:tr>
      <w:tr w:rsidR="00FE0045" w:rsidTr="00327ED6">
        <w:trPr>
          <w:trHeight w:val="284"/>
          <w:jc w:val="center"/>
        </w:trPr>
        <w:tc>
          <w:tcPr>
            <w:tcW w:w="3749" w:type="dxa"/>
            <w:tcBorders>
              <w:top w:val="single" w:sz="6" w:space="0" w:color="auto"/>
              <w:left w:val="single" w:sz="6" w:space="0" w:color="auto"/>
              <w:bottom w:val="single" w:sz="6" w:space="0" w:color="auto"/>
              <w:right w:val="single" w:sz="6" w:space="0" w:color="auto"/>
            </w:tcBorders>
            <w:tcMar>
              <w:left w:w="28" w:type="dxa"/>
              <w:right w:w="28" w:type="dxa"/>
            </w:tcMar>
          </w:tcPr>
          <w:p w:rsidR="00FE0045" w:rsidRDefault="00DE1DED" w:rsidP="00E12924">
            <w:pPr>
              <w:pStyle w:val="Tabletext"/>
            </w:pPr>
            <w:r>
              <w:t xml:space="preserve">  </w:t>
            </w:r>
            <w:r w:rsidR="00FE0045">
              <w:t>Domaine public</w:t>
            </w:r>
          </w:p>
        </w:tc>
        <w:tc>
          <w:tcPr>
            <w:tcW w:w="1800" w:type="dxa"/>
            <w:tcBorders>
              <w:top w:val="single" w:sz="6" w:space="0" w:color="auto"/>
              <w:left w:val="single" w:sz="6" w:space="0" w:color="auto"/>
              <w:bottom w:val="single" w:sz="6" w:space="0" w:color="auto"/>
              <w:right w:val="single" w:sz="6" w:space="0" w:color="auto"/>
            </w:tcBorders>
          </w:tcPr>
          <w:p w:rsidR="00FE0045" w:rsidRDefault="00FE0045" w:rsidP="00327ED6">
            <w:pPr>
              <w:pStyle w:val="Tabletext"/>
              <w:jc w:val="center"/>
            </w:pPr>
            <w:r>
              <w:t>SE3</w:t>
            </w:r>
          </w:p>
        </w:tc>
        <w:tc>
          <w:tcPr>
            <w:tcW w:w="1800" w:type="dxa"/>
            <w:vMerge/>
            <w:tcBorders>
              <w:top w:val="single" w:sz="6" w:space="0" w:color="auto"/>
              <w:left w:val="single" w:sz="6" w:space="0" w:color="auto"/>
              <w:bottom w:val="single" w:sz="6" w:space="0" w:color="auto"/>
              <w:right w:val="single" w:sz="6" w:space="0" w:color="auto"/>
            </w:tcBorders>
          </w:tcPr>
          <w:p w:rsidR="00FE0045" w:rsidRDefault="00FE0045" w:rsidP="00E12924">
            <w:pPr>
              <w:pStyle w:val="Tabletext"/>
            </w:pPr>
          </w:p>
        </w:tc>
        <w:tc>
          <w:tcPr>
            <w:tcW w:w="1507" w:type="dxa"/>
            <w:vMerge/>
            <w:tcBorders>
              <w:top w:val="single" w:sz="6" w:space="0" w:color="auto"/>
              <w:left w:val="single" w:sz="6" w:space="0" w:color="auto"/>
              <w:bottom w:val="single" w:sz="6" w:space="0" w:color="auto"/>
              <w:right w:val="single" w:sz="6" w:space="0" w:color="auto"/>
            </w:tcBorders>
          </w:tcPr>
          <w:p w:rsidR="00FE0045" w:rsidRDefault="00FE0045" w:rsidP="00E12924">
            <w:pPr>
              <w:pStyle w:val="Tabletext"/>
            </w:pPr>
          </w:p>
        </w:tc>
      </w:tr>
    </w:tbl>
    <w:p w:rsidR="00FE0045" w:rsidRDefault="00FE0045" w:rsidP="00182104">
      <w:pPr>
        <w:pStyle w:val="Tablefin"/>
      </w:pPr>
    </w:p>
    <w:p w:rsidR="000D035C" w:rsidRDefault="000D035C" w:rsidP="000D035C">
      <w:pPr>
        <w:rPr>
          <w:lang w:val="en-GB"/>
        </w:rPr>
      </w:pPr>
    </w:p>
    <w:p w:rsidR="000D035C" w:rsidRPr="000D035C" w:rsidRDefault="000D035C" w:rsidP="000D035C">
      <w:pPr>
        <w:rPr>
          <w:lang w:val="en-GB"/>
        </w:rPr>
      </w:pPr>
    </w:p>
    <w:p w:rsidR="00FE0045" w:rsidRDefault="00FE0045" w:rsidP="00FE0045">
      <w:pPr>
        <w:pStyle w:val="TableNo"/>
        <w:rPr>
          <w:kern w:val="28"/>
        </w:rPr>
      </w:pPr>
      <w:r>
        <w:rPr>
          <w:kern w:val="28"/>
        </w:rPr>
        <w:lastRenderedPageBreak/>
        <w:t>TABLEAU 7</w:t>
      </w:r>
    </w:p>
    <w:p w:rsidR="00FE0045" w:rsidRPr="00D35985" w:rsidRDefault="00FE0045" w:rsidP="00FE0045">
      <w:pPr>
        <w:pStyle w:val="Tabletitle"/>
        <w:rPr>
          <w:kern w:val="28"/>
        </w:rPr>
      </w:pPr>
      <w:r w:rsidRPr="00D35985">
        <w:rPr>
          <w:kern w:val="28"/>
        </w:rPr>
        <w:t>Exemples de groupes d'usagers et d'applications des environnements de service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4057"/>
        <w:gridCol w:w="4574"/>
      </w:tblGrid>
      <w:tr w:rsidR="00FE0045" w:rsidTr="00E12924">
        <w:trPr>
          <w:trHeight w:val="339"/>
          <w:jc w:val="center"/>
        </w:trPr>
        <w:tc>
          <w:tcPr>
            <w:tcW w:w="1008" w:type="dxa"/>
          </w:tcPr>
          <w:p w:rsidR="00FE0045" w:rsidRDefault="00FE0045" w:rsidP="00E12924">
            <w:pPr>
              <w:pStyle w:val="Tablehead"/>
              <w:rPr>
                <w:kern w:val="28"/>
              </w:rPr>
            </w:pPr>
          </w:p>
        </w:tc>
        <w:tc>
          <w:tcPr>
            <w:tcW w:w="4057" w:type="dxa"/>
          </w:tcPr>
          <w:p w:rsidR="00FE0045" w:rsidRDefault="00FE0045" w:rsidP="00E12924">
            <w:pPr>
              <w:pStyle w:val="Tablehead"/>
              <w:rPr>
                <w:kern w:val="28"/>
              </w:rPr>
            </w:pPr>
            <w:r>
              <w:rPr>
                <w:kern w:val="28"/>
              </w:rPr>
              <w:t>Groupes d'usagers</w:t>
            </w:r>
          </w:p>
        </w:tc>
        <w:tc>
          <w:tcPr>
            <w:tcW w:w="4574" w:type="dxa"/>
          </w:tcPr>
          <w:p w:rsidR="00FE0045" w:rsidRDefault="00FE0045" w:rsidP="00E12924">
            <w:pPr>
              <w:pStyle w:val="Tablehead"/>
              <w:rPr>
                <w:kern w:val="28"/>
              </w:rPr>
            </w:pPr>
            <w:r>
              <w:rPr>
                <w:kern w:val="28"/>
              </w:rPr>
              <w:t>Applications</w:t>
            </w:r>
          </w:p>
        </w:tc>
      </w:tr>
      <w:tr w:rsidR="00FE0045" w:rsidTr="00E12924">
        <w:trPr>
          <w:jc w:val="center"/>
        </w:trPr>
        <w:tc>
          <w:tcPr>
            <w:tcW w:w="1008" w:type="dxa"/>
          </w:tcPr>
          <w:p w:rsidR="00FE0045" w:rsidRPr="009B6D5E" w:rsidRDefault="00FE0045" w:rsidP="0032123F">
            <w:pPr>
              <w:pStyle w:val="Tabletext"/>
              <w:jc w:val="center"/>
            </w:pPr>
            <w:r w:rsidRPr="009B6D5E">
              <w:t>SE1</w:t>
            </w:r>
          </w:p>
        </w:tc>
        <w:tc>
          <w:tcPr>
            <w:tcW w:w="4057" w:type="dxa"/>
          </w:tcPr>
          <w:p w:rsidR="00FE0045" w:rsidRPr="009B6D5E" w:rsidRDefault="00FE0045" w:rsidP="0032123F">
            <w:pPr>
              <w:pStyle w:val="Tabletext"/>
              <w:jc w:val="left"/>
            </w:pPr>
            <w:r w:rsidRPr="009B6D5E">
              <w:t>Usager privé, usager professionnel</w:t>
            </w:r>
          </w:p>
        </w:tc>
        <w:tc>
          <w:tcPr>
            <w:tcW w:w="4574" w:type="dxa"/>
          </w:tcPr>
          <w:p w:rsidR="00FE0045" w:rsidRPr="009B6D5E" w:rsidRDefault="00FE0045" w:rsidP="0032123F">
            <w:pPr>
              <w:pStyle w:val="Tabletext"/>
              <w:jc w:val="left"/>
            </w:pPr>
            <w:r w:rsidRPr="009B6D5E">
              <w:t>Téléphonie, accès à l'internet, jeux, commerce électronique, téléenseignement, applications multimédias</w:t>
            </w:r>
          </w:p>
        </w:tc>
      </w:tr>
      <w:tr w:rsidR="00FE0045" w:rsidTr="00E12924">
        <w:trPr>
          <w:jc w:val="center"/>
        </w:trPr>
        <w:tc>
          <w:tcPr>
            <w:tcW w:w="1008" w:type="dxa"/>
          </w:tcPr>
          <w:p w:rsidR="00FE0045" w:rsidRPr="009B6D5E" w:rsidRDefault="00FE0045" w:rsidP="0032123F">
            <w:pPr>
              <w:pStyle w:val="Tabletext"/>
              <w:jc w:val="center"/>
            </w:pPr>
            <w:r w:rsidRPr="009B6D5E">
              <w:t>SE2</w:t>
            </w:r>
          </w:p>
        </w:tc>
        <w:tc>
          <w:tcPr>
            <w:tcW w:w="4057" w:type="dxa"/>
          </w:tcPr>
          <w:p w:rsidR="00FE0045" w:rsidRPr="009B6D5E" w:rsidRDefault="00FE0045" w:rsidP="0032123F">
            <w:pPr>
              <w:pStyle w:val="Tabletext"/>
              <w:jc w:val="left"/>
            </w:pPr>
            <w:r w:rsidRPr="009B6D5E">
              <w:t>Usager professionnel, petites et moyennes entreprises</w:t>
            </w:r>
          </w:p>
        </w:tc>
        <w:tc>
          <w:tcPr>
            <w:tcW w:w="4574" w:type="dxa"/>
          </w:tcPr>
          <w:p w:rsidR="00FE0045" w:rsidRPr="009B6D5E" w:rsidRDefault="00FE0045" w:rsidP="0032123F">
            <w:pPr>
              <w:pStyle w:val="Tabletext"/>
              <w:jc w:val="left"/>
            </w:pPr>
            <w:r w:rsidRPr="009B6D5E">
              <w:t>Téléphonie, accès à l'internet, visioconférence, commerce électronique, applications commerciales mobiles</w:t>
            </w:r>
          </w:p>
        </w:tc>
      </w:tr>
      <w:tr w:rsidR="00FE0045" w:rsidTr="00E12924">
        <w:trPr>
          <w:jc w:val="center"/>
        </w:trPr>
        <w:tc>
          <w:tcPr>
            <w:tcW w:w="1008" w:type="dxa"/>
          </w:tcPr>
          <w:p w:rsidR="00FE0045" w:rsidRPr="009B6D5E" w:rsidRDefault="00FE0045" w:rsidP="0032123F">
            <w:pPr>
              <w:pStyle w:val="Tabletext"/>
              <w:jc w:val="center"/>
            </w:pPr>
            <w:r w:rsidRPr="009B6D5E">
              <w:t>SE3</w:t>
            </w:r>
          </w:p>
        </w:tc>
        <w:tc>
          <w:tcPr>
            <w:tcW w:w="4057" w:type="dxa"/>
          </w:tcPr>
          <w:p w:rsidR="00FE0045" w:rsidRPr="009B6D5E" w:rsidRDefault="00FE0045" w:rsidP="0032123F">
            <w:pPr>
              <w:pStyle w:val="Tabletext"/>
              <w:jc w:val="left"/>
            </w:pPr>
            <w:r w:rsidRPr="009B6D5E">
              <w:t>Usager privé, usager professionnel, usager du service public (conducteur d'autobus, agent des services d'urgence), touriste, vendeurs</w:t>
            </w:r>
          </w:p>
        </w:tc>
        <w:tc>
          <w:tcPr>
            <w:tcW w:w="4574" w:type="dxa"/>
          </w:tcPr>
          <w:p w:rsidR="00FE0045" w:rsidRPr="009B6D5E" w:rsidRDefault="00FE0045" w:rsidP="0032123F">
            <w:pPr>
              <w:pStyle w:val="Tabletext"/>
              <w:jc w:val="left"/>
            </w:pPr>
            <w:r w:rsidRPr="009B6D5E">
              <w:t>Téléphonie, accès à l'internet, visioconférence, applications commerciales mobiles, informations touristiques, commerce électronique</w:t>
            </w:r>
          </w:p>
        </w:tc>
      </w:tr>
      <w:tr w:rsidR="00FE0045" w:rsidTr="00E12924">
        <w:trPr>
          <w:jc w:val="center"/>
        </w:trPr>
        <w:tc>
          <w:tcPr>
            <w:tcW w:w="1008" w:type="dxa"/>
          </w:tcPr>
          <w:p w:rsidR="00FE0045" w:rsidRPr="009B6D5E" w:rsidRDefault="00FE0045" w:rsidP="0032123F">
            <w:pPr>
              <w:pStyle w:val="Tabletext"/>
              <w:jc w:val="center"/>
            </w:pPr>
            <w:r w:rsidRPr="009B6D5E">
              <w:t>SE4</w:t>
            </w:r>
          </w:p>
        </w:tc>
        <w:tc>
          <w:tcPr>
            <w:tcW w:w="4057" w:type="dxa"/>
          </w:tcPr>
          <w:p w:rsidR="00FE0045" w:rsidRPr="009B6D5E" w:rsidRDefault="00FE0045" w:rsidP="0032123F">
            <w:pPr>
              <w:pStyle w:val="Tabletext"/>
              <w:jc w:val="left"/>
            </w:pPr>
            <w:r w:rsidRPr="009B6D5E">
              <w:t>Usager privé, usager professionnel</w:t>
            </w:r>
          </w:p>
        </w:tc>
        <w:tc>
          <w:tcPr>
            <w:tcW w:w="4574" w:type="dxa"/>
          </w:tcPr>
          <w:p w:rsidR="00FE0045" w:rsidRPr="009B6D5E" w:rsidRDefault="00FE0045" w:rsidP="0032123F">
            <w:pPr>
              <w:pStyle w:val="Tabletext"/>
              <w:jc w:val="left"/>
            </w:pPr>
            <w:r w:rsidRPr="009B6D5E">
              <w:t>Téléphonie, accès à l'internet, jeux, commerce électronique, applications multimédias, téléenseignement</w:t>
            </w:r>
          </w:p>
        </w:tc>
      </w:tr>
      <w:tr w:rsidR="00FE0045" w:rsidTr="00E12924">
        <w:trPr>
          <w:jc w:val="center"/>
        </w:trPr>
        <w:tc>
          <w:tcPr>
            <w:tcW w:w="1008" w:type="dxa"/>
          </w:tcPr>
          <w:p w:rsidR="00FE0045" w:rsidRPr="009B6D5E" w:rsidRDefault="00FE0045" w:rsidP="0032123F">
            <w:pPr>
              <w:pStyle w:val="Tabletext"/>
              <w:jc w:val="center"/>
            </w:pPr>
            <w:r w:rsidRPr="009B6D5E">
              <w:t>SE5</w:t>
            </w:r>
          </w:p>
        </w:tc>
        <w:tc>
          <w:tcPr>
            <w:tcW w:w="4057" w:type="dxa"/>
          </w:tcPr>
          <w:p w:rsidR="00FE0045" w:rsidRPr="009B6D5E" w:rsidRDefault="00FE0045" w:rsidP="0032123F">
            <w:pPr>
              <w:pStyle w:val="Tabletext"/>
              <w:jc w:val="left"/>
            </w:pPr>
            <w:r w:rsidRPr="009B6D5E">
              <w:t>Usager professionnel, entreprise</w:t>
            </w:r>
          </w:p>
        </w:tc>
        <w:tc>
          <w:tcPr>
            <w:tcW w:w="4574" w:type="dxa"/>
          </w:tcPr>
          <w:p w:rsidR="00FE0045" w:rsidRPr="009B6D5E" w:rsidRDefault="00FE0045" w:rsidP="0032123F">
            <w:pPr>
              <w:pStyle w:val="Tabletext"/>
              <w:jc w:val="left"/>
            </w:pPr>
            <w:r w:rsidRPr="009B6D5E">
              <w:t>Téléphonie, accès à l'internet, commerce électronique, visioconférence, applications commerciales mobiles</w:t>
            </w:r>
          </w:p>
        </w:tc>
      </w:tr>
      <w:tr w:rsidR="00FE0045" w:rsidTr="00E12924">
        <w:trPr>
          <w:jc w:val="center"/>
        </w:trPr>
        <w:tc>
          <w:tcPr>
            <w:tcW w:w="1008" w:type="dxa"/>
          </w:tcPr>
          <w:p w:rsidR="00FE0045" w:rsidRPr="009B6D5E" w:rsidRDefault="00FE0045" w:rsidP="0032123F">
            <w:pPr>
              <w:pStyle w:val="Tabletext"/>
              <w:jc w:val="center"/>
            </w:pPr>
            <w:r w:rsidRPr="009B6D5E">
              <w:t>SE6</w:t>
            </w:r>
          </w:p>
        </w:tc>
        <w:tc>
          <w:tcPr>
            <w:tcW w:w="4057" w:type="dxa"/>
          </w:tcPr>
          <w:p w:rsidR="00FE0045" w:rsidRPr="009B6D5E" w:rsidRDefault="00FE0045" w:rsidP="0032123F">
            <w:pPr>
              <w:pStyle w:val="Tabletext"/>
              <w:jc w:val="left"/>
            </w:pPr>
            <w:r w:rsidRPr="009B6D5E">
              <w:t>Usager privé, ferme, usager du service public</w:t>
            </w:r>
          </w:p>
        </w:tc>
        <w:tc>
          <w:tcPr>
            <w:tcW w:w="4574" w:type="dxa"/>
          </w:tcPr>
          <w:p w:rsidR="00FE0045" w:rsidRPr="009B6D5E" w:rsidRDefault="00FE0045" w:rsidP="0032123F">
            <w:pPr>
              <w:pStyle w:val="Tabletext"/>
              <w:jc w:val="left"/>
            </w:pPr>
            <w:r w:rsidRPr="009B6D5E">
              <w:t>Téléphonie, application informatique</w:t>
            </w:r>
          </w:p>
        </w:tc>
      </w:tr>
    </w:tbl>
    <w:p w:rsidR="00FE0045" w:rsidRDefault="00FE0045" w:rsidP="00FE0045">
      <w:pPr>
        <w:pStyle w:val="Tablefin"/>
        <w:rPr>
          <w:kern w:val="28"/>
        </w:rPr>
      </w:pPr>
    </w:p>
    <w:p w:rsidR="00FE0045" w:rsidRDefault="00FE0045" w:rsidP="00FE0045">
      <w:pPr>
        <w:pStyle w:val="Heading3"/>
        <w:rPr>
          <w:kern w:val="28"/>
        </w:rPr>
      </w:pPr>
      <w:r>
        <w:rPr>
          <w:kern w:val="28"/>
        </w:rPr>
        <w:t>3.4.3</w:t>
      </w:r>
      <w:r>
        <w:rPr>
          <w:kern w:val="28"/>
        </w:rPr>
        <w:tab/>
        <w:t>Environnement radioélectrique</w:t>
      </w:r>
    </w:p>
    <w:p w:rsidR="00FE0045" w:rsidRDefault="00FE0045" w:rsidP="00FE0045">
      <w:pPr>
        <w:rPr>
          <w:kern w:val="28"/>
        </w:rPr>
      </w:pPr>
      <w:r>
        <w:rPr>
          <w:kern w:val="28"/>
        </w:rPr>
        <w:t>Les environnements radioélectriques (RE) sont définis par les couches de cellules d'un réseau constitué de couches hiérarchiques de macro, micro et picocellules et de cellules «point d'accès public». La superficie des cellules des différents environnements radioélectriques est prise en compte dans les calculs de la méthodologie. La superficie de la cellule a un impact direct sur les exigences de spectre, lesquelles dépendent du volume de trafic. Il faut naturellement trouver un compromis entre les coûts de déploiement d'un réseau et les besoins en fréquences. A part les limites physiques qui sont imposées par ces deux facteurs, il y a également des limites techniques. La limite technique supérieure est déterminée par les conditions de propagation, la puissance d'émission maximale du terminal et, dans une moindre mesure, par l'étalement du temps de propagation.</w:t>
      </w:r>
    </w:p>
    <w:p w:rsidR="00FE0045" w:rsidRDefault="00FE0045" w:rsidP="00FE0045">
      <w:pPr>
        <w:rPr>
          <w:kern w:val="28"/>
        </w:rPr>
      </w:pPr>
      <w:r>
        <w:rPr>
          <w:kern w:val="28"/>
        </w:rPr>
        <w:t xml:space="preserve">Les dimensions minimales de la cellule sont imposées par l'augmentation de conditions défavorables qui font, par exemple, que des cellules sont trop fréquemment en visibilité directe et à portée d'émission les unes des autres, causant des brouillages. La limite inférieure est supposée être négligeable comparée à la contrainte imposée par le coût du déploiement. </w:t>
      </w:r>
    </w:p>
    <w:p w:rsidR="00FE0045" w:rsidRDefault="00FE0045" w:rsidP="00FE0045">
      <w:pPr>
        <w:rPr>
          <w:kern w:val="28"/>
        </w:rPr>
      </w:pPr>
      <w:r>
        <w:rPr>
          <w:kern w:val="28"/>
        </w:rPr>
        <w:t xml:space="preserve">Etant donné que la mise en place de microcellules, de picocellules et de «points d'accès publics» ne diffère pas sensiblement d'une zone de télédensité à une autre, on suppose que l'on peut utiliser, dans la méthode de calcul du spectre, la même superficie «maximale» de cellule pour ces couches cellulaires. Il n'en va toutefois pas de même pour les macrocellules, la télédensité ayant un impact tant sur la zone de cellule ciblée que sur le déploiement des stations de base. Dans les calculs des besoins en fréquences, une corrélation a donc été établie entre la superficie d'une macrocellule et la télédensité. La superficie maximale des cellules pour chaque environnement radioélectrique et pour chaque télédensité est indiquée, à titre d'exemple, au Tableau 8. Les dimensions indiquées sont des valeurs caractéristiques de la zone de cellule pour les télédensités envisagées. </w:t>
      </w:r>
    </w:p>
    <w:p w:rsidR="00FE0045" w:rsidRDefault="00FE0045" w:rsidP="00FE0045">
      <w:pPr>
        <w:pStyle w:val="TableNo"/>
        <w:rPr>
          <w:kern w:val="28"/>
        </w:rPr>
      </w:pPr>
      <w:r>
        <w:rPr>
          <w:kern w:val="28"/>
        </w:rPr>
        <w:lastRenderedPageBreak/>
        <w:t>TABLEAU 8</w:t>
      </w:r>
    </w:p>
    <w:p w:rsidR="00FE0045" w:rsidRDefault="00FE0045" w:rsidP="00FE0045">
      <w:pPr>
        <w:pStyle w:val="Tabletitle"/>
        <w:rPr>
          <w:kern w:val="28"/>
        </w:rPr>
      </w:pPr>
      <w:r>
        <w:rPr>
          <w:kern w:val="28"/>
        </w:rPr>
        <w:t xml:space="preserve">Superficie maximale des cellules en fonction de </w:t>
      </w:r>
      <w:r>
        <w:rPr>
          <w:kern w:val="28"/>
        </w:rPr>
        <w:br/>
        <w:t>l'environnement radioélectrique (km</w:t>
      </w:r>
      <w:r>
        <w:rPr>
          <w:kern w:val="28"/>
          <w:vertAlign w:val="superscript"/>
        </w:rPr>
        <w:t>2</w:t>
      </w:r>
      <w:r>
        <w:rPr>
          <w:kern w:val="28"/>
        </w:rPr>
        <w:t>)*</w:t>
      </w:r>
    </w:p>
    <w:tbl>
      <w:tblPr>
        <w:tblW w:w="0" w:type="auto"/>
        <w:jc w:val="center"/>
        <w:tblLayout w:type="fixed"/>
        <w:tblLook w:val="0000" w:firstRow="0" w:lastRow="0" w:firstColumn="0" w:lastColumn="0" w:noHBand="0" w:noVBand="0"/>
      </w:tblPr>
      <w:tblGrid>
        <w:gridCol w:w="3917"/>
        <w:gridCol w:w="1645"/>
        <w:gridCol w:w="1645"/>
        <w:gridCol w:w="1649"/>
      </w:tblGrid>
      <w:tr w:rsidR="00FE0045" w:rsidTr="00E12924">
        <w:trPr>
          <w:cantSplit/>
          <w:jc w:val="center"/>
        </w:trPr>
        <w:tc>
          <w:tcPr>
            <w:tcW w:w="3917" w:type="dxa"/>
            <w:vMerge w:val="restart"/>
            <w:tcBorders>
              <w:top w:val="single" w:sz="6" w:space="0" w:color="auto"/>
              <w:left w:val="single" w:sz="6" w:space="0" w:color="auto"/>
              <w:bottom w:val="single" w:sz="6" w:space="0" w:color="000000"/>
              <w:right w:val="single" w:sz="6" w:space="0" w:color="auto"/>
            </w:tcBorders>
            <w:shd w:val="clear" w:color="auto" w:fill="FFFFFF"/>
            <w:vAlign w:val="center"/>
          </w:tcPr>
          <w:p w:rsidR="00FE0045" w:rsidRDefault="00FE0045" w:rsidP="00E12924">
            <w:pPr>
              <w:pStyle w:val="Tablehead"/>
            </w:pPr>
            <w:r>
              <w:t>Environment radioélectrique</w:t>
            </w:r>
          </w:p>
        </w:tc>
        <w:tc>
          <w:tcPr>
            <w:tcW w:w="4939" w:type="dxa"/>
            <w:gridSpan w:val="3"/>
            <w:tcBorders>
              <w:top w:val="single" w:sz="6" w:space="0" w:color="auto"/>
              <w:left w:val="nil"/>
              <w:bottom w:val="single" w:sz="6" w:space="0" w:color="auto"/>
              <w:right w:val="single" w:sz="6" w:space="0" w:color="000000"/>
            </w:tcBorders>
            <w:shd w:val="clear" w:color="auto" w:fill="FFFFFF"/>
            <w:vAlign w:val="bottom"/>
          </w:tcPr>
          <w:p w:rsidR="00FE0045" w:rsidRDefault="00FE0045" w:rsidP="00E12924">
            <w:pPr>
              <w:pStyle w:val="Tablehead"/>
            </w:pPr>
            <w:r>
              <w:t>Télédensité</w:t>
            </w:r>
          </w:p>
        </w:tc>
      </w:tr>
      <w:tr w:rsidR="00FE0045" w:rsidTr="00E12924">
        <w:trPr>
          <w:cantSplit/>
          <w:trHeight w:val="292"/>
          <w:jc w:val="center"/>
        </w:trPr>
        <w:tc>
          <w:tcPr>
            <w:tcW w:w="3917" w:type="dxa"/>
            <w:vMerge/>
            <w:tcBorders>
              <w:top w:val="single" w:sz="6" w:space="0" w:color="auto"/>
              <w:left w:val="single" w:sz="6" w:space="0" w:color="auto"/>
              <w:bottom w:val="single" w:sz="6" w:space="0" w:color="000000"/>
              <w:right w:val="single" w:sz="6" w:space="0" w:color="auto"/>
            </w:tcBorders>
            <w:shd w:val="clear" w:color="auto" w:fill="FFFFFF"/>
            <w:vAlign w:val="center"/>
          </w:tcPr>
          <w:p w:rsidR="00FE0045" w:rsidRDefault="00FE0045" w:rsidP="00E12924">
            <w:pPr>
              <w:pStyle w:val="Tablehead"/>
            </w:pPr>
          </w:p>
        </w:tc>
        <w:tc>
          <w:tcPr>
            <w:tcW w:w="1645" w:type="dxa"/>
            <w:tcBorders>
              <w:top w:val="nil"/>
              <w:left w:val="nil"/>
              <w:bottom w:val="single" w:sz="6" w:space="0" w:color="auto"/>
              <w:right w:val="single" w:sz="6" w:space="0" w:color="auto"/>
            </w:tcBorders>
            <w:shd w:val="clear" w:color="auto" w:fill="FFFFFF"/>
            <w:vAlign w:val="bottom"/>
          </w:tcPr>
          <w:p w:rsidR="00FE0045" w:rsidRDefault="00FE0045" w:rsidP="00E12924">
            <w:pPr>
              <w:pStyle w:val="Tablehead"/>
            </w:pPr>
            <w:r>
              <w:t>Urbaine dense</w:t>
            </w:r>
          </w:p>
        </w:tc>
        <w:tc>
          <w:tcPr>
            <w:tcW w:w="1645" w:type="dxa"/>
            <w:tcBorders>
              <w:top w:val="nil"/>
              <w:left w:val="nil"/>
              <w:bottom w:val="single" w:sz="6" w:space="0" w:color="auto"/>
              <w:right w:val="single" w:sz="6" w:space="0" w:color="auto"/>
            </w:tcBorders>
            <w:shd w:val="clear" w:color="auto" w:fill="FFFFFF"/>
            <w:vAlign w:val="bottom"/>
          </w:tcPr>
          <w:p w:rsidR="00FE0045" w:rsidRDefault="00FE0045" w:rsidP="00E12924">
            <w:pPr>
              <w:pStyle w:val="Tablehead"/>
            </w:pPr>
            <w:r>
              <w:t>Suburbaine</w:t>
            </w:r>
          </w:p>
        </w:tc>
        <w:tc>
          <w:tcPr>
            <w:tcW w:w="1649" w:type="dxa"/>
            <w:tcBorders>
              <w:top w:val="nil"/>
              <w:left w:val="nil"/>
              <w:bottom w:val="single" w:sz="6" w:space="0" w:color="auto"/>
              <w:right w:val="single" w:sz="6" w:space="0" w:color="auto"/>
            </w:tcBorders>
            <w:shd w:val="clear" w:color="auto" w:fill="FFFFFF"/>
            <w:vAlign w:val="bottom"/>
          </w:tcPr>
          <w:p w:rsidR="00FE0045" w:rsidRDefault="00FE0045" w:rsidP="00E12924">
            <w:pPr>
              <w:pStyle w:val="Tablehead"/>
            </w:pPr>
            <w:r>
              <w:t>Rurale</w:t>
            </w:r>
          </w:p>
        </w:tc>
      </w:tr>
      <w:tr w:rsidR="00FE0045" w:rsidTr="00E12924">
        <w:trPr>
          <w:trHeight w:val="292"/>
          <w:jc w:val="center"/>
        </w:trPr>
        <w:tc>
          <w:tcPr>
            <w:tcW w:w="3917" w:type="dxa"/>
            <w:tcBorders>
              <w:top w:val="nil"/>
              <w:left w:val="single" w:sz="6" w:space="0" w:color="auto"/>
              <w:bottom w:val="single" w:sz="6" w:space="0" w:color="auto"/>
              <w:right w:val="single" w:sz="6" w:space="0" w:color="auto"/>
            </w:tcBorders>
            <w:shd w:val="clear" w:color="auto" w:fill="FFFFFF"/>
            <w:vAlign w:val="center"/>
          </w:tcPr>
          <w:p w:rsidR="00FE0045" w:rsidRDefault="00FE0045" w:rsidP="00E12924">
            <w:pPr>
              <w:pStyle w:val="Tabletext"/>
            </w:pPr>
            <w:r>
              <w:t>Macrocellule</w:t>
            </w:r>
          </w:p>
        </w:tc>
        <w:tc>
          <w:tcPr>
            <w:tcW w:w="1645" w:type="dxa"/>
            <w:tcBorders>
              <w:top w:val="nil"/>
              <w:left w:val="nil"/>
              <w:bottom w:val="single" w:sz="6" w:space="0" w:color="auto"/>
              <w:right w:val="single" w:sz="6" w:space="0" w:color="auto"/>
            </w:tcBorders>
            <w:shd w:val="clear" w:color="auto" w:fill="FFFFFF"/>
            <w:vAlign w:val="bottom"/>
          </w:tcPr>
          <w:p w:rsidR="00FE0045" w:rsidRDefault="00FE0045" w:rsidP="0032123F">
            <w:pPr>
              <w:pStyle w:val="Tabletext"/>
              <w:jc w:val="center"/>
            </w:pPr>
            <w:r>
              <w:t>0,65</w:t>
            </w:r>
          </w:p>
        </w:tc>
        <w:tc>
          <w:tcPr>
            <w:tcW w:w="1645" w:type="dxa"/>
            <w:tcBorders>
              <w:top w:val="nil"/>
              <w:left w:val="nil"/>
              <w:bottom w:val="single" w:sz="6" w:space="0" w:color="auto"/>
              <w:right w:val="single" w:sz="6" w:space="0" w:color="auto"/>
            </w:tcBorders>
            <w:shd w:val="clear" w:color="auto" w:fill="FFFFFF"/>
            <w:vAlign w:val="bottom"/>
          </w:tcPr>
          <w:p w:rsidR="00FE0045" w:rsidRDefault="00FE0045" w:rsidP="0032123F">
            <w:pPr>
              <w:pStyle w:val="Tabletext"/>
              <w:jc w:val="center"/>
            </w:pPr>
            <w:r>
              <w:t>1,5</w:t>
            </w:r>
          </w:p>
        </w:tc>
        <w:tc>
          <w:tcPr>
            <w:tcW w:w="1649" w:type="dxa"/>
            <w:tcBorders>
              <w:top w:val="nil"/>
              <w:left w:val="nil"/>
              <w:bottom w:val="single" w:sz="6" w:space="0" w:color="auto"/>
              <w:right w:val="single" w:sz="6" w:space="0" w:color="auto"/>
            </w:tcBorders>
            <w:shd w:val="clear" w:color="auto" w:fill="FFFFFF"/>
            <w:vAlign w:val="bottom"/>
          </w:tcPr>
          <w:p w:rsidR="00FE0045" w:rsidRDefault="00FE0045" w:rsidP="0032123F">
            <w:pPr>
              <w:pStyle w:val="Tabletext"/>
              <w:jc w:val="center"/>
            </w:pPr>
            <w:r>
              <w:t>8,0</w:t>
            </w:r>
          </w:p>
        </w:tc>
      </w:tr>
      <w:tr w:rsidR="00FE0045" w:rsidTr="00E12924">
        <w:trPr>
          <w:trHeight w:val="292"/>
          <w:jc w:val="center"/>
        </w:trPr>
        <w:tc>
          <w:tcPr>
            <w:tcW w:w="3917" w:type="dxa"/>
            <w:tcBorders>
              <w:top w:val="nil"/>
              <w:left w:val="single" w:sz="6" w:space="0" w:color="auto"/>
              <w:bottom w:val="single" w:sz="6" w:space="0" w:color="auto"/>
              <w:right w:val="single" w:sz="6" w:space="0" w:color="auto"/>
            </w:tcBorders>
            <w:shd w:val="clear" w:color="auto" w:fill="FFFFFF"/>
            <w:vAlign w:val="center"/>
          </w:tcPr>
          <w:p w:rsidR="00FE0045" w:rsidRDefault="00FE0045" w:rsidP="00E12924">
            <w:pPr>
              <w:pStyle w:val="Tabletext"/>
            </w:pPr>
            <w:r>
              <w:t>Microcellule</w:t>
            </w:r>
            <w:r w:rsidRPr="00B563B1">
              <w:rPr>
                <w:vertAlign w:val="superscript"/>
              </w:rPr>
              <w:t>(1)</w:t>
            </w:r>
          </w:p>
        </w:tc>
        <w:tc>
          <w:tcPr>
            <w:tcW w:w="1645" w:type="dxa"/>
            <w:tcBorders>
              <w:top w:val="nil"/>
              <w:left w:val="nil"/>
              <w:bottom w:val="single" w:sz="6" w:space="0" w:color="auto"/>
              <w:right w:val="single" w:sz="6" w:space="0" w:color="auto"/>
            </w:tcBorders>
            <w:shd w:val="clear" w:color="auto" w:fill="FFFFFF"/>
            <w:vAlign w:val="center"/>
          </w:tcPr>
          <w:p w:rsidR="00FE0045" w:rsidRDefault="00FE0045" w:rsidP="0032123F">
            <w:pPr>
              <w:pStyle w:val="Tabletext"/>
              <w:jc w:val="center"/>
              <w:rPr>
                <w:lang w:val="es-ES"/>
              </w:rPr>
            </w:pPr>
            <w:r>
              <w:rPr>
                <w:lang w:val="es-ES"/>
              </w:rPr>
              <w:t>0,1</w:t>
            </w:r>
          </w:p>
        </w:tc>
        <w:tc>
          <w:tcPr>
            <w:tcW w:w="1645" w:type="dxa"/>
            <w:tcBorders>
              <w:top w:val="nil"/>
              <w:left w:val="nil"/>
              <w:bottom w:val="single" w:sz="6" w:space="0" w:color="auto"/>
              <w:right w:val="single" w:sz="6" w:space="0" w:color="auto"/>
            </w:tcBorders>
            <w:shd w:val="clear" w:color="auto" w:fill="FFFFFF"/>
            <w:vAlign w:val="center"/>
          </w:tcPr>
          <w:p w:rsidR="00FE0045" w:rsidRDefault="00FE0045" w:rsidP="0032123F">
            <w:pPr>
              <w:pStyle w:val="Tabletext"/>
              <w:jc w:val="center"/>
              <w:rPr>
                <w:lang w:val="es-ES"/>
              </w:rPr>
            </w:pPr>
            <w:r>
              <w:rPr>
                <w:lang w:val="es-ES"/>
              </w:rPr>
              <w:t>0,1</w:t>
            </w:r>
          </w:p>
        </w:tc>
        <w:tc>
          <w:tcPr>
            <w:tcW w:w="1649" w:type="dxa"/>
            <w:tcBorders>
              <w:top w:val="nil"/>
              <w:left w:val="nil"/>
              <w:bottom w:val="single" w:sz="6" w:space="0" w:color="auto"/>
              <w:right w:val="single" w:sz="6" w:space="0" w:color="auto"/>
            </w:tcBorders>
            <w:shd w:val="clear" w:color="auto" w:fill="FFFFFF"/>
            <w:vAlign w:val="center"/>
          </w:tcPr>
          <w:p w:rsidR="00FE0045" w:rsidRDefault="00FE0045" w:rsidP="0032123F">
            <w:pPr>
              <w:pStyle w:val="Tabletext"/>
              <w:jc w:val="center"/>
              <w:rPr>
                <w:lang w:val="es-ES"/>
              </w:rPr>
            </w:pPr>
            <w:r>
              <w:rPr>
                <w:lang w:val="es-ES"/>
              </w:rPr>
              <w:t>0,1</w:t>
            </w:r>
          </w:p>
        </w:tc>
      </w:tr>
      <w:tr w:rsidR="00FE0045" w:rsidTr="00E12924">
        <w:trPr>
          <w:trHeight w:val="311"/>
          <w:jc w:val="center"/>
        </w:trPr>
        <w:tc>
          <w:tcPr>
            <w:tcW w:w="3917" w:type="dxa"/>
            <w:tcBorders>
              <w:top w:val="nil"/>
              <w:left w:val="single" w:sz="6" w:space="0" w:color="auto"/>
              <w:bottom w:val="single" w:sz="6" w:space="0" w:color="auto"/>
              <w:right w:val="single" w:sz="6" w:space="0" w:color="auto"/>
            </w:tcBorders>
            <w:shd w:val="clear" w:color="auto" w:fill="FFFFFF"/>
            <w:vAlign w:val="center"/>
          </w:tcPr>
          <w:p w:rsidR="00FE0045" w:rsidRDefault="00FE0045" w:rsidP="00E12924">
            <w:pPr>
              <w:pStyle w:val="Tabletext"/>
              <w:rPr>
                <w:lang w:val="es-ES"/>
              </w:rPr>
            </w:pPr>
            <w:r>
              <w:rPr>
                <w:lang w:val="es-ES"/>
              </w:rPr>
              <w:t>Picocellule</w:t>
            </w:r>
            <w:r w:rsidRPr="00B563B1">
              <w:rPr>
                <w:vertAlign w:val="superscript"/>
                <w:lang w:val="es-ES"/>
              </w:rPr>
              <w:t>(1)</w:t>
            </w:r>
          </w:p>
        </w:tc>
        <w:tc>
          <w:tcPr>
            <w:tcW w:w="1645" w:type="dxa"/>
            <w:tcBorders>
              <w:top w:val="nil"/>
              <w:left w:val="nil"/>
              <w:bottom w:val="single" w:sz="6" w:space="0" w:color="auto"/>
              <w:right w:val="single" w:sz="6" w:space="0" w:color="auto"/>
            </w:tcBorders>
            <w:shd w:val="clear" w:color="auto" w:fill="FFFFFF"/>
            <w:vAlign w:val="center"/>
          </w:tcPr>
          <w:p w:rsidR="00FE0045" w:rsidRDefault="00FE0045" w:rsidP="0032123F">
            <w:pPr>
              <w:pStyle w:val="Tabletext"/>
              <w:jc w:val="center"/>
              <w:rPr>
                <w:lang w:val="es-ES"/>
              </w:rPr>
            </w:pPr>
            <w:r>
              <w:rPr>
                <w:lang w:val="es-ES"/>
              </w:rPr>
              <w:t>1,6E-3</w:t>
            </w:r>
          </w:p>
        </w:tc>
        <w:tc>
          <w:tcPr>
            <w:tcW w:w="1645" w:type="dxa"/>
            <w:tcBorders>
              <w:top w:val="nil"/>
              <w:left w:val="nil"/>
              <w:bottom w:val="single" w:sz="6" w:space="0" w:color="auto"/>
              <w:right w:val="single" w:sz="6" w:space="0" w:color="auto"/>
            </w:tcBorders>
            <w:shd w:val="clear" w:color="auto" w:fill="FFFFFF"/>
            <w:vAlign w:val="center"/>
          </w:tcPr>
          <w:p w:rsidR="00FE0045" w:rsidRDefault="00FE0045" w:rsidP="0032123F">
            <w:pPr>
              <w:pStyle w:val="Tabletext"/>
              <w:jc w:val="center"/>
              <w:rPr>
                <w:lang w:val="es-ES"/>
              </w:rPr>
            </w:pPr>
            <w:r>
              <w:rPr>
                <w:lang w:val="es-ES"/>
              </w:rPr>
              <w:t>1,6E-3</w:t>
            </w:r>
          </w:p>
        </w:tc>
        <w:tc>
          <w:tcPr>
            <w:tcW w:w="1649" w:type="dxa"/>
            <w:tcBorders>
              <w:top w:val="nil"/>
              <w:left w:val="nil"/>
              <w:bottom w:val="single" w:sz="6" w:space="0" w:color="auto"/>
              <w:right w:val="single" w:sz="6" w:space="0" w:color="auto"/>
            </w:tcBorders>
            <w:shd w:val="clear" w:color="auto" w:fill="FFFFFF"/>
            <w:vAlign w:val="center"/>
          </w:tcPr>
          <w:p w:rsidR="00FE0045" w:rsidRDefault="00FE0045" w:rsidP="0032123F">
            <w:pPr>
              <w:pStyle w:val="Tabletext"/>
              <w:jc w:val="center"/>
            </w:pPr>
            <w:r>
              <w:t>1,6E-3</w:t>
            </w:r>
          </w:p>
        </w:tc>
      </w:tr>
      <w:tr w:rsidR="00FE0045" w:rsidTr="00E12924">
        <w:trPr>
          <w:trHeight w:val="292"/>
          <w:jc w:val="center"/>
        </w:trPr>
        <w:tc>
          <w:tcPr>
            <w:tcW w:w="3917"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E12924">
            <w:pPr>
              <w:pStyle w:val="Tabletext"/>
            </w:pPr>
            <w:r>
              <w:t>Point d'accès public</w:t>
            </w:r>
            <w:r w:rsidRPr="00B563B1">
              <w:rPr>
                <w:vertAlign w:val="superscript"/>
              </w:rPr>
              <w:t>(1)</w:t>
            </w:r>
          </w:p>
        </w:tc>
        <w:tc>
          <w:tcPr>
            <w:tcW w:w="1645" w:type="dxa"/>
            <w:tcBorders>
              <w:top w:val="single" w:sz="6" w:space="0" w:color="auto"/>
              <w:left w:val="nil"/>
              <w:bottom w:val="single" w:sz="6" w:space="0" w:color="auto"/>
              <w:right w:val="single" w:sz="6" w:space="0" w:color="auto"/>
            </w:tcBorders>
            <w:shd w:val="clear" w:color="auto" w:fill="FFFFFF"/>
            <w:vAlign w:val="center"/>
          </w:tcPr>
          <w:p w:rsidR="00FE0045" w:rsidRDefault="00FE0045" w:rsidP="0032123F">
            <w:pPr>
              <w:pStyle w:val="Tabletext"/>
              <w:jc w:val="center"/>
              <w:rPr>
                <w:lang w:val="es-ES"/>
              </w:rPr>
            </w:pPr>
            <w:r>
              <w:rPr>
                <w:lang w:val="es-ES"/>
              </w:rPr>
              <w:t>6,5E-5</w:t>
            </w:r>
          </w:p>
        </w:tc>
        <w:tc>
          <w:tcPr>
            <w:tcW w:w="1645" w:type="dxa"/>
            <w:tcBorders>
              <w:top w:val="single" w:sz="6" w:space="0" w:color="auto"/>
              <w:left w:val="nil"/>
              <w:bottom w:val="single" w:sz="6" w:space="0" w:color="auto"/>
              <w:right w:val="single" w:sz="6" w:space="0" w:color="auto"/>
            </w:tcBorders>
            <w:shd w:val="clear" w:color="auto" w:fill="FFFFFF"/>
            <w:vAlign w:val="center"/>
          </w:tcPr>
          <w:p w:rsidR="00FE0045" w:rsidRDefault="00FE0045" w:rsidP="0032123F">
            <w:pPr>
              <w:pStyle w:val="Tabletext"/>
              <w:jc w:val="center"/>
              <w:rPr>
                <w:lang w:val="es-ES"/>
              </w:rPr>
            </w:pPr>
            <w:r>
              <w:rPr>
                <w:lang w:val="es-ES"/>
              </w:rPr>
              <w:t>6,5E-5</w:t>
            </w:r>
          </w:p>
        </w:tc>
        <w:tc>
          <w:tcPr>
            <w:tcW w:w="1649" w:type="dxa"/>
            <w:tcBorders>
              <w:top w:val="single" w:sz="6" w:space="0" w:color="auto"/>
              <w:left w:val="nil"/>
              <w:bottom w:val="single" w:sz="6" w:space="0" w:color="auto"/>
              <w:right w:val="single" w:sz="6" w:space="0" w:color="auto"/>
            </w:tcBorders>
            <w:shd w:val="clear" w:color="auto" w:fill="FFFFFF"/>
            <w:vAlign w:val="center"/>
          </w:tcPr>
          <w:p w:rsidR="00FE0045" w:rsidRDefault="00FE0045" w:rsidP="0032123F">
            <w:pPr>
              <w:pStyle w:val="Tabletext"/>
              <w:jc w:val="center"/>
              <w:rPr>
                <w:lang w:val="es-ES"/>
              </w:rPr>
            </w:pPr>
            <w:r>
              <w:rPr>
                <w:lang w:val="es-ES"/>
              </w:rPr>
              <w:t>6,5E-5</w:t>
            </w:r>
          </w:p>
        </w:tc>
      </w:tr>
      <w:tr w:rsidR="00FE0045" w:rsidRPr="00690870" w:rsidTr="00E12924">
        <w:trPr>
          <w:trHeight w:val="292"/>
          <w:jc w:val="center"/>
        </w:trPr>
        <w:tc>
          <w:tcPr>
            <w:tcW w:w="8856" w:type="dxa"/>
            <w:gridSpan w:val="4"/>
            <w:tcBorders>
              <w:top w:val="single" w:sz="6" w:space="0" w:color="auto"/>
            </w:tcBorders>
            <w:shd w:val="clear" w:color="auto" w:fill="FFFFFF"/>
            <w:vAlign w:val="center"/>
          </w:tcPr>
          <w:p w:rsidR="00FE0045" w:rsidRPr="007319E0" w:rsidRDefault="00FE0045" w:rsidP="00F00D23">
            <w:pPr>
              <w:pStyle w:val="Tabletext"/>
            </w:pPr>
            <w:r>
              <w:rPr>
                <w:kern w:val="28"/>
              </w:rPr>
              <w:t>*</w:t>
            </w:r>
            <w:r>
              <w:rPr>
                <w:kern w:val="28"/>
              </w:rPr>
              <w:tab/>
              <w:t>Cet exemple n'est pas applicable à des zones étendues ayant une faible télédensité.</w:t>
            </w:r>
            <w:r w:rsidRPr="00B563B1">
              <w:rPr>
                <w:bCs/>
                <w:kern w:val="28"/>
                <w:vertAlign w:val="superscript"/>
              </w:rPr>
              <w:t xml:space="preserve"> </w:t>
            </w:r>
          </w:p>
          <w:p w:rsidR="00FE0045" w:rsidRPr="00690870" w:rsidRDefault="00FE0045" w:rsidP="0032123F">
            <w:pPr>
              <w:pStyle w:val="Tabletext"/>
              <w:ind w:left="284" w:hanging="284"/>
            </w:pPr>
            <w:r w:rsidRPr="00B563B1">
              <w:rPr>
                <w:bCs/>
                <w:kern w:val="28"/>
                <w:vertAlign w:val="superscript"/>
              </w:rPr>
              <w:t>(1)</w:t>
            </w:r>
            <w:r>
              <w:rPr>
                <w:b/>
                <w:bCs/>
                <w:kern w:val="28"/>
              </w:rPr>
              <w:tab/>
            </w:r>
            <w:r>
              <w:rPr>
                <w:kern w:val="28"/>
              </w:rPr>
              <w:t>On a supposé que les dimensions des cellules de ces environnements ne dépendaient pas de la télédensité.</w:t>
            </w:r>
          </w:p>
        </w:tc>
      </w:tr>
    </w:tbl>
    <w:p w:rsidR="00FE0045" w:rsidRDefault="00FE0045" w:rsidP="00FE0045">
      <w:pPr>
        <w:pStyle w:val="Tablefin"/>
        <w:rPr>
          <w:kern w:val="28"/>
          <w:lang w:val="fr-FR"/>
        </w:rPr>
      </w:pPr>
    </w:p>
    <w:p w:rsidR="00FE0045" w:rsidRDefault="00FE0045" w:rsidP="00F00D23">
      <w:pPr>
        <w:rPr>
          <w:kern w:val="28"/>
        </w:rPr>
      </w:pPr>
      <w:r>
        <w:rPr>
          <w:kern w:val="28"/>
        </w:rPr>
        <w:t xml:space="preserve">La disponibilité des environnements radioélectriques dépend de l'environnement de service. Dans la pratique, les environnements radioélectriques (les picocellules, par exemple) ne couvrent chacun qu'un certain pourcentage </w:t>
      </w:r>
      <w:r w:rsidRPr="00B563B1">
        <w:rPr>
          <w:i/>
          <w:kern w:val="28"/>
        </w:rPr>
        <w:t>X</w:t>
      </w:r>
      <w:r>
        <w:rPr>
          <w:kern w:val="28"/>
        </w:rPr>
        <w:t xml:space="preserve"> de la surface totale d'un environnement de service particulier. Le Tableau 9 a donc été dressé pour illustrer le pourcentage de la population qui est desservi par chaque environnement radioélectrique dans chaque environnement de service. Les chiffres donnés dans ce Tableau ont valeur d'exemple. Le Tableau 9 illustre également les combinaisons possibles d'environnements de service et d'environnements radioélectriques. Le pourcentage de la population qui est desservi peut être nul pour certaines combinaisons, ce qui revient à dire que tel environnement radioélectrique n'est pas déployé dans tel environnement de service. Les pourcentages de la population desservis sont utilisés, au § 3.6, pour répartir le trafic entre les divers environnements radioélectriques.</w:t>
      </w:r>
    </w:p>
    <w:p w:rsidR="00FE0045" w:rsidRDefault="00FE0045" w:rsidP="00FE0045">
      <w:pPr>
        <w:pStyle w:val="TableNo"/>
        <w:rPr>
          <w:kern w:val="28"/>
        </w:rPr>
      </w:pPr>
      <w:r>
        <w:rPr>
          <w:kern w:val="28"/>
        </w:rPr>
        <w:t>TABLEAU 9</w:t>
      </w:r>
    </w:p>
    <w:p w:rsidR="00FE0045" w:rsidRPr="00D35985" w:rsidRDefault="00FE0045" w:rsidP="00FE0045">
      <w:pPr>
        <w:pStyle w:val="Tabletitle"/>
        <w:rPr>
          <w:kern w:val="28"/>
        </w:rPr>
      </w:pPr>
      <w:r w:rsidRPr="00D35985">
        <w:rPr>
          <w:kern w:val="28"/>
        </w:rPr>
        <w:t xml:space="preserve">Pourcentage de la population desservi par les environnements radioélectriques </w:t>
      </w:r>
      <w:r>
        <w:rPr>
          <w:kern w:val="28"/>
        </w:rPr>
        <w:br/>
      </w:r>
      <w:r w:rsidRPr="00D35985">
        <w:rPr>
          <w:kern w:val="28"/>
        </w:rPr>
        <w:t>déployés dans chaque environnement de service</w:t>
      </w:r>
    </w:p>
    <w:tbl>
      <w:tblPr>
        <w:tblW w:w="8505" w:type="dxa"/>
        <w:jc w:val="center"/>
        <w:tblLook w:val="0000" w:firstRow="0" w:lastRow="0" w:firstColumn="0" w:lastColumn="0" w:noHBand="0" w:noVBand="0"/>
      </w:tblPr>
      <w:tblGrid>
        <w:gridCol w:w="1996"/>
        <w:gridCol w:w="1705"/>
        <w:gridCol w:w="1647"/>
        <w:gridCol w:w="1444"/>
        <w:gridCol w:w="1713"/>
      </w:tblGrid>
      <w:tr w:rsidR="00FE0045" w:rsidTr="00E12924">
        <w:trPr>
          <w:trHeight w:val="448"/>
          <w:jc w:val="center"/>
        </w:trPr>
        <w:tc>
          <w:tcPr>
            <w:tcW w:w="0" w:type="auto"/>
            <w:vMerge w:val="restart"/>
            <w:tcBorders>
              <w:top w:val="single" w:sz="6" w:space="0" w:color="auto"/>
              <w:left w:val="single" w:sz="6" w:space="0" w:color="auto"/>
              <w:right w:val="single" w:sz="6" w:space="0" w:color="auto"/>
            </w:tcBorders>
            <w:shd w:val="clear" w:color="auto" w:fill="FFFFFF"/>
            <w:vAlign w:val="center"/>
          </w:tcPr>
          <w:p w:rsidR="00FE0045" w:rsidRDefault="00FE0045" w:rsidP="00E12924">
            <w:pPr>
              <w:pStyle w:val="Tablehead"/>
              <w:rPr>
                <w:szCs w:val="22"/>
              </w:rPr>
            </w:pPr>
            <w:r>
              <w:rPr>
                <w:szCs w:val="22"/>
              </w:rPr>
              <w:t xml:space="preserve">Environnement </w:t>
            </w:r>
            <w:r>
              <w:rPr>
                <w:szCs w:val="22"/>
              </w:rPr>
              <w:br/>
              <w:t>de service</w:t>
            </w:r>
          </w:p>
        </w:tc>
        <w:tc>
          <w:tcPr>
            <w:tcW w:w="0" w:type="auto"/>
            <w:gridSpan w:val="4"/>
            <w:tcBorders>
              <w:top w:val="single" w:sz="6" w:space="0" w:color="auto"/>
              <w:left w:val="single" w:sz="6" w:space="0" w:color="auto"/>
              <w:bottom w:val="single" w:sz="6" w:space="0" w:color="auto"/>
              <w:right w:val="single" w:sz="6" w:space="0" w:color="auto"/>
            </w:tcBorders>
            <w:shd w:val="clear" w:color="auto" w:fill="FFFFFF"/>
          </w:tcPr>
          <w:p w:rsidR="00FE0045" w:rsidRDefault="00FE0045" w:rsidP="00E12924">
            <w:pPr>
              <w:pStyle w:val="Tablehead"/>
              <w:rPr>
                <w:szCs w:val="22"/>
              </w:rPr>
            </w:pPr>
            <w:r>
              <w:rPr>
                <w:szCs w:val="22"/>
              </w:rPr>
              <w:t>Environnements radioélectriques</w:t>
            </w:r>
          </w:p>
        </w:tc>
      </w:tr>
      <w:tr w:rsidR="00FE0045" w:rsidTr="00E12924">
        <w:trPr>
          <w:trHeight w:val="448"/>
          <w:jc w:val="center"/>
        </w:trPr>
        <w:tc>
          <w:tcPr>
            <w:tcW w:w="0" w:type="auto"/>
            <w:vMerge/>
            <w:tcBorders>
              <w:left w:val="single" w:sz="6" w:space="0" w:color="auto"/>
              <w:bottom w:val="single" w:sz="6" w:space="0" w:color="auto"/>
              <w:right w:val="single" w:sz="6" w:space="0" w:color="auto"/>
            </w:tcBorders>
            <w:shd w:val="clear" w:color="auto" w:fill="FFFFFF"/>
          </w:tcPr>
          <w:p w:rsidR="00FE0045" w:rsidRDefault="00FE0045" w:rsidP="00E12924">
            <w:pPr>
              <w:pStyle w:val="Tablehead"/>
              <w:rPr>
                <w:szCs w:val="22"/>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E12924">
            <w:pPr>
              <w:pStyle w:val="Tablehead"/>
              <w:rPr>
                <w:szCs w:val="22"/>
              </w:rPr>
            </w:pPr>
            <w:r>
              <w:rPr>
                <w:szCs w:val="22"/>
              </w:rPr>
              <w:t>Macrocellule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E12924">
            <w:pPr>
              <w:pStyle w:val="Tablehead"/>
              <w:rPr>
                <w:szCs w:val="22"/>
              </w:rPr>
            </w:pPr>
            <w:r>
              <w:rPr>
                <w:szCs w:val="22"/>
              </w:rPr>
              <w:t>Microcellule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E12924">
            <w:pPr>
              <w:pStyle w:val="Tablehead"/>
              <w:rPr>
                <w:szCs w:val="22"/>
              </w:rPr>
            </w:pPr>
            <w:r>
              <w:rPr>
                <w:szCs w:val="22"/>
              </w:rPr>
              <w:t>Picocellule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E12924">
            <w:pPr>
              <w:pStyle w:val="Tablehead"/>
              <w:rPr>
                <w:szCs w:val="22"/>
              </w:rPr>
            </w:pPr>
            <w:r>
              <w:rPr>
                <w:szCs w:val="22"/>
              </w:rPr>
              <w:t xml:space="preserve">Point d'accès </w:t>
            </w:r>
            <w:r>
              <w:rPr>
                <w:szCs w:val="22"/>
              </w:rPr>
              <w:br/>
              <w:t>public</w:t>
            </w:r>
          </w:p>
        </w:tc>
      </w:tr>
      <w:tr w:rsidR="00FE0045" w:rsidTr="00E12924">
        <w:trPr>
          <w:trHeight w:val="284"/>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SE1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100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80</w:t>
            </w:r>
          </w:p>
        </w:tc>
      </w:tr>
      <w:tr w:rsidR="00FE0045" w:rsidTr="00E12924">
        <w:trPr>
          <w:trHeight w:val="284"/>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SE2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100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80</w:t>
            </w:r>
          </w:p>
        </w:tc>
      </w:tr>
      <w:tr w:rsidR="00FE0045" w:rsidTr="00E12924">
        <w:trPr>
          <w:trHeight w:val="284"/>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SE3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100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80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10</w:t>
            </w:r>
          </w:p>
        </w:tc>
      </w:tr>
      <w:tr w:rsidR="00FE0045" w:rsidTr="00E12924">
        <w:trPr>
          <w:trHeight w:val="284"/>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SE4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100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80</w:t>
            </w:r>
          </w:p>
        </w:tc>
      </w:tr>
      <w:tr w:rsidR="00FE0045" w:rsidTr="00E12924">
        <w:trPr>
          <w:trHeight w:val="284"/>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SE5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100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20</w:t>
            </w:r>
          </w:p>
        </w:tc>
      </w:tr>
      <w:tr w:rsidR="00FE0045" w:rsidTr="00E12924">
        <w:trPr>
          <w:trHeight w:val="284"/>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SE6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100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0F3583">
            <w:pPr>
              <w:pStyle w:val="Tabletext"/>
              <w:jc w:val="center"/>
            </w:pPr>
            <w:r>
              <w:t>50</w:t>
            </w:r>
          </w:p>
        </w:tc>
      </w:tr>
    </w:tbl>
    <w:p w:rsidR="00FE0045" w:rsidRPr="002E45DF" w:rsidRDefault="00FE0045" w:rsidP="002E45DF">
      <w:pPr>
        <w:pStyle w:val="Tablefin"/>
      </w:pPr>
    </w:p>
    <w:p w:rsidR="00FE0045" w:rsidRDefault="00FE0045" w:rsidP="00FE0045">
      <w:pPr>
        <w:pStyle w:val="Heading3"/>
        <w:rPr>
          <w:kern w:val="28"/>
        </w:rPr>
      </w:pPr>
      <w:r>
        <w:rPr>
          <w:kern w:val="28"/>
        </w:rPr>
        <w:t>3.4.4</w:t>
      </w:r>
      <w:r>
        <w:rPr>
          <w:kern w:val="28"/>
        </w:rPr>
        <w:tab/>
        <w:t>RATG</w:t>
      </w:r>
    </w:p>
    <w:p w:rsidR="00FE0045" w:rsidRDefault="00FE0045" w:rsidP="00F00D23">
      <w:pPr>
        <w:rPr>
          <w:kern w:val="28"/>
        </w:rPr>
      </w:pPr>
      <w:r>
        <w:rPr>
          <w:kern w:val="28"/>
        </w:rPr>
        <w:t>La méthodologie tient compte de tous les besoins du marché des télécommunications de Terre qui seront satisfaits par divers moyens de communication, en termes de services et de réseaux, conformément aux Recommandations UIT-R M.1645,</w:t>
      </w:r>
      <w:r w:rsidRPr="008470C6">
        <w:rPr>
          <w:kern w:val="28"/>
        </w:rPr>
        <w:t xml:space="preserve"> </w:t>
      </w:r>
      <w:r>
        <w:rPr>
          <w:kern w:val="28"/>
        </w:rPr>
        <w:t xml:space="preserve">UIT-R M.1457 et UIT-R M.2012. Plusieurs </w:t>
      </w:r>
      <w:r>
        <w:rPr>
          <w:kern w:val="28"/>
        </w:rPr>
        <w:lastRenderedPageBreak/>
        <w:t>RATG peuvent dès lors être définis. La présente méthodologie répartit le trafic total prévu pour l'ensemble du marché des communications de Terre entre les RATG définis, qui sont:</w:t>
      </w:r>
    </w:p>
    <w:p w:rsidR="00FE0045" w:rsidRDefault="00FE0045" w:rsidP="00FE0045">
      <w:pPr>
        <w:rPr>
          <w:kern w:val="28"/>
        </w:rPr>
      </w:pPr>
      <w:r w:rsidRPr="00B563B1">
        <w:rPr>
          <w:i/>
        </w:rPr>
        <w:t>Groupe</w:t>
      </w:r>
      <w:r w:rsidRPr="00B563B1">
        <w:rPr>
          <w:i/>
          <w:kern w:val="28"/>
        </w:rPr>
        <w:t xml:space="preserve"> 1</w:t>
      </w:r>
      <w:r w:rsidRPr="00D02952">
        <w:rPr>
          <w:iCs/>
          <w:kern w:val="28"/>
        </w:rPr>
        <w:t>:</w:t>
      </w:r>
      <w:r>
        <w:rPr>
          <w:kern w:val="28"/>
        </w:rPr>
        <w:t xml:space="preserve"> Systèmes antérieurs aux IMT, IMT</w:t>
      </w:r>
      <w:r>
        <w:rPr>
          <w:kern w:val="28"/>
        </w:rPr>
        <w:noBreakHyphen/>
        <w:t>2000 et IMTévolués.</w:t>
      </w:r>
    </w:p>
    <w:p w:rsidR="00FE0045" w:rsidRDefault="00FE0045" w:rsidP="00FE0045">
      <w:pPr>
        <w:rPr>
          <w:kern w:val="28"/>
        </w:rPr>
      </w:pPr>
      <w:r>
        <w:rPr>
          <w:kern w:val="28"/>
        </w:rPr>
        <w:t>Ce groupe comprend les systèmes mobiles cellulaires numériques, les systèmes IMT</w:t>
      </w:r>
      <w:r>
        <w:rPr>
          <w:kern w:val="28"/>
        </w:rPr>
        <w:noBreakHyphen/>
        <w:t xml:space="preserve">2000 et les </w:t>
      </w:r>
      <w:r w:rsidR="002E45DF">
        <w:rPr>
          <w:kern w:val="28"/>
        </w:rPr>
        <w:t xml:space="preserve">systèmes </w:t>
      </w:r>
      <w:r>
        <w:rPr>
          <w:kern w:val="28"/>
        </w:rPr>
        <w:t>IMT</w:t>
      </w:r>
      <w:r w:rsidR="002E45DF">
        <w:rPr>
          <w:kern w:val="28"/>
        </w:rPr>
        <w:t xml:space="preserve"> </w:t>
      </w:r>
      <w:r>
        <w:rPr>
          <w:kern w:val="28"/>
        </w:rPr>
        <w:t>évolués.</w:t>
      </w:r>
    </w:p>
    <w:p w:rsidR="00FE0045" w:rsidRDefault="00FE0045" w:rsidP="00F00D23">
      <w:pPr>
        <w:rPr>
          <w:kern w:val="28"/>
        </w:rPr>
      </w:pPr>
      <w:r w:rsidRPr="00B563B1">
        <w:rPr>
          <w:i/>
        </w:rPr>
        <w:t>Groupe</w:t>
      </w:r>
      <w:r w:rsidRPr="00B563B1">
        <w:rPr>
          <w:i/>
          <w:kern w:val="28"/>
        </w:rPr>
        <w:t xml:space="preserve"> 2</w:t>
      </w:r>
      <w:r w:rsidRPr="00D02952">
        <w:rPr>
          <w:iCs/>
          <w:kern w:val="28"/>
        </w:rPr>
        <w:t>:</w:t>
      </w:r>
      <w:r>
        <w:rPr>
          <w:kern w:val="28"/>
        </w:rPr>
        <w:t xml:space="preserve"> Systèmes IMTévolués, tels qu'ils sont décritsdans la Recomm</w:t>
      </w:r>
      <w:r>
        <w:t>andation</w:t>
      </w:r>
      <w:r>
        <w:rPr>
          <w:kern w:val="28"/>
        </w:rPr>
        <w:t xml:space="preserve"> UIT-R M.2012</w:t>
      </w:r>
    </w:p>
    <w:p w:rsidR="00FE0045" w:rsidRDefault="00FE0045" w:rsidP="00FE0045">
      <w:pPr>
        <w:rPr>
          <w:kern w:val="28"/>
        </w:rPr>
      </w:pPr>
      <w:r w:rsidRPr="00B563B1">
        <w:rPr>
          <w:i/>
        </w:rPr>
        <w:t>Groupe</w:t>
      </w:r>
      <w:r w:rsidRPr="00B563B1">
        <w:rPr>
          <w:i/>
          <w:kern w:val="28"/>
        </w:rPr>
        <w:t xml:space="preserve"> 3</w:t>
      </w:r>
      <w:r w:rsidRPr="00D02952">
        <w:rPr>
          <w:iCs/>
          <w:kern w:val="28"/>
        </w:rPr>
        <w:t>:</w:t>
      </w:r>
      <w:r>
        <w:rPr>
          <w:kern w:val="28"/>
        </w:rPr>
        <w:t xml:space="preserve"> Réseaux RLAN actuels et RLAN évolués.</w:t>
      </w:r>
    </w:p>
    <w:p w:rsidR="00FE0045" w:rsidRDefault="00FE0045" w:rsidP="00FE0045">
      <w:pPr>
        <w:rPr>
          <w:kern w:val="28"/>
        </w:rPr>
      </w:pPr>
      <w:r w:rsidRPr="00B563B1">
        <w:rPr>
          <w:i/>
        </w:rPr>
        <w:t>Groupe</w:t>
      </w:r>
      <w:r w:rsidRPr="00B563B1">
        <w:rPr>
          <w:i/>
          <w:kern w:val="28"/>
        </w:rPr>
        <w:t xml:space="preserve"> 4</w:t>
      </w:r>
      <w:r w:rsidRPr="00D02952">
        <w:rPr>
          <w:iCs/>
          <w:kern w:val="28"/>
        </w:rPr>
        <w:t>:</w:t>
      </w:r>
      <w:r>
        <w:rPr>
          <w:kern w:val="28"/>
        </w:rPr>
        <w:t xml:space="preserve"> Systèmes mobiles de radiodiffusion numérique et versions améliorées</w:t>
      </w:r>
    </w:p>
    <w:p w:rsidR="00FE0045" w:rsidRDefault="00FE0045" w:rsidP="00F00D23">
      <w:pPr>
        <w:rPr>
          <w:kern w:val="28"/>
        </w:rPr>
      </w:pPr>
      <w:r>
        <w:rPr>
          <w:kern w:val="28"/>
        </w:rPr>
        <w:t>Les quatre RATG sont pris en considération jusqu'à l'Etape 4 de l'organigramme de la méthodologie qui est illustré à la Fig. 1; à partir de l'Etape 5, il n'est plus tenu compte que des RATG1 et RATG2.</w:t>
      </w:r>
    </w:p>
    <w:p w:rsidR="00FE0045" w:rsidRDefault="00FE0045" w:rsidP="00FE0045">
      <w:pPr>
        <w:rPr>
          <w:kern w:val="28"/>
        </w:rPr>
      </w:pPr>
      <w:r>
        <w:rPr>
          <w:kern w:val="28"/>
        </w:rPr>
        <w:t xml:space="preserve">Chaque RATG est caractérisé par des paramètres qui sont indiqués aux Tableaux 10a à 10d. Ces paramètres sont supposés être les mêmes, qu'ils s'appliquent à la liaison montante ou à la liaison descendante; une valeur unique a donc été attribuée à chacun. </w:t>
      </w:r>
    </w:p>
    <w:p w:rsidR="00FE0045" w:rsidRDefault="00FE0045" w:rsidP="00FE0045">
      <w:r>
        <w:t xml:space="preserve">Certaines catégories de services peuvent également bénéficier de l'application, par le RATG concerné, de modes de multidiffusion mobile. Par «multidiffusion mobile», il faut entendre une émission destinée à un groupe de récepteurs. Il faut une liaison montante pour la gestion du groupe, par exemple. Parmi les services qui peuvent être assurés efficacement dans des modes de transmission par multidiffusion mobile, on citera, par exemple, les services de type télévisuel mobiles et les services de messagerie à faible débit de données. Etant donné que l'efficacité avec laquelle ces deux modes de transmission utilisent le spectre peut être très différente, des valeurs distinctes de cette efficacité seront nécessaires. </w:t>
      </w:r>
    </w:p>
    <w:p w:rsidR="00FE0045" w:rsidRDefault="00FE0045" w:rsidP="00FE0045">
      <w:pPr>
        <w:pStyle w:val="TableNo"/>
        <w:rPr>
          <w:kern w:val="28"/>
        </w:rPr>
      </w:pPr>
      <w:r>
        <w:rPr>
          <w:kern w:val="28"/>
        </w:rPr>
        <w:t>TABLEAU 10a</w:t>
      </w:r>
    </w:p>
    <w:p w:rsidR="00FE0045" w:rsidRPr="00D35985" w:rsidRDefault="00FE0045" w:rsidP="00FE0045">
      <w:pPr>
        <w:pStyle w:val="Tabletitle"/>
        <w:rPr>
          <w:kern w:val="28"/>
        </w:rPr>
      </w:pPr>
      <w:r>
        <w:rPr>
          <w:kern w:val="28"/>
        </w:rPr>
        <w:t>Exemples de paramètres radioélectriques requis pour le RATG1</w:t>
      </w:r>
    </w:p>
    <w:tbl>
      <w:tblPr>
        <w:tblW w:w="9639" w:type="dxa"/>
        <w:jc w:val="center"/>
        <w:tblLook w:val="0000" w:firstRow="0" w:lastRow="0" w:firstColumn="0" w:lastColumn="0" w:noHBand="0" w:noVBand="0"/>
      </w:tblPr>
      <w:tblGrid>
        <w:gridCol w:w="2651"/>
        <w:gridCol w:w="1475"/>
        <w:gridCol w:w="1438"/>
        <w:gridCol w:w="1390"/>
        <w:gridCol w:w="1411"/>
        <w:gridCol w:w="1274"/>
      </w:tblGrid>
      <w:tr w:rsidR="00FE0045" w:rsidTr="000F3583">
        <w:trPr>
          <w:jc w:val="center"/>
        </w:trPr>
        <w:tc>
          <w:tcPr>
            <w:tcW w:w="1375" w:type="pct"/>
            <w:vMerge w:val="restart"/>
            <w:tcBorders>
              <w:top w:val="single" w:sz="6" w:space="0" w:color="auto"/>
              <w:left w:val="single" w:sz="6" w:space="0" w:color="auto"/>
              <w:right w:val="nil"/>
            </w:tcBorders>
            <w:shd w:val="clear" w:color="auto" w:fill="FFFFFF"/>
            <w:vAlign w:val="center"/>
          </w:tcPr>
          <w:p w:rsidR="00FE0045" w:rsidRDefault="00FE0045" w:rsidP="00F00D23">
            <w:pPr>
              <w:pStyle w:val="Tablehead"/>
            </w:pPr>
            <w:r>
              <w:t>Attribut</w:t>
            </w:r>
          </w:p>
        </w:tc>
        <w:tc>
          <w:tcPr>
            <w:tcW w:w="3625"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F00D23">
            <w:pPr>
              <w:pStyle w:val="Tablehead"/>
              <w:rPr>
                <w:kern w:val="28"/>
              </w:rPr>
            </w:pPr>
            <w:r>
              <w:rPr>
                <w:kern w:val="28"/>
              </w:rPr>
              <w:t xml:space="preserve">RATG </w:t>
            </w:r>
            <w:r w:rsidRPr="00B20980">
              <w:rPr>
                <w:kern w:val="28"/>
              </w:rPr>
              <w:t>N</w:t>
            </w:r>
            <w:r w:rsidRPr="008F7665">
              <w:rPr>
                <w:rFonts w:ascii="Times New Roman Bold" w:hAnsi="Times New Roman Bold"/>
                <w:kern w:val="28"/>
                <w:szCs w:val="22"/>
                <w:vertAlign w:val="superscript"/>
              </w:rPr>
              <w:t>o</w:t>
            </w:r>
            <w:r>
              <w:rPr>
                <w:kern w:val="28"/>
              </w:rPr>
              <w:t xml:space="preserve"> 1</w:t>
            </w:r>
          </w:p>
        </w:tc>
      </w:tr>
      <w:tr w:rsidR="00FE0045" w:rsidTr="000F3583">
        <w:trPr>
          <w:jc w:val="center"/>
        </w:trPr>
        <w:tc>
          <w:tcPr>
            <w:tcW w:w="1375" w:type="pct"/>
            <w:vMerge/>
            <w:tcBorders>
              <w:left w:val="single" w:sz="6" w:space="0" w:color="auto"/>
              <w:right w:val="nil"/>
            </w:tcBorders>
            <w:shd w:val="clear" w:color="auto" w:fill="FFFFFF"/>
            <w:vAlign w:val="center"/>
          </w:tcPr>
          <w:p w:rsidR="00FE0045" w:rsidRDefault="00FE0045" w:rsidP="00F00D23">
            <w:pPr>
              <w:pStyle w:val="Tablehead"/>
            </w:pPr>
          </w:p>
        </w:tc>
        <w:tc>
          <w:tcPr>
            <w:tcW w:w="3625" w:type="pct"/>
            <w:gridSpan w:val="5"/>
            <w:tcBorders>
              <w:top w:val="single" w:sz="6" w:space="0" w:color="auto"/>
              <w:left w:val="single" w:sz="6" w:space="0" w:color="auto"/>
              <w:bottom w:val="single" w:sz="6" w:space="0" w:color="auto"/>
              <w:right w:val="single" w:sz="6" w:space="0" w:color="000000"/>
            </w:tcBorders>
            <w:shd w:val="clear" w:color="auto" w:fill="FFFFFF"/>
            <w:vAlign w:val="center"/>
          </w:tcPr>
          <w:p w:rsidR="00FE0045" w:rsidRDefault="00FE0045" w:rsidP="00F00D23">
            <w:pPr>
              <w:pStyle w:val="Tablehead"/>
            </w:pPr>
            <w:r>
              <w:t>Valeur</w:t>
            </w:r>
          </w:p>
        </w:tc>
      </w:tr>
      <w:tr w:rsidR="00FE0045" w:rsidTr="000F3583">
        <w:trPr>
          <w:jc w:val="center"/>
        </w:trPr>
        <w:tc>
          <w:tcPr>
            <w:tcW w:w="1375" w:type="pct"/>
            <w:vMerge/>
            <w:tcBorders>
              <w:left w:val="single" w:sz="6" w:space="0" w:color="auto"/>
              <w:bottom w:val="single" w:sz="6" w:space="0" w:color="auto"/>
              <w:right w:val="nil"/>
            </w:tcBorders>
            <w:shd w:val="clear" w:color="auto" w:fill="FFFFFF"/>
            <w:vAlign w:val="center"/>
          </w:tcPr>
          <w:p w:rsidR="00FE0045" w:rsidRDefault="00FE0045" w:rsidP="00F00D23">
            <w:pPr>
              <w:pStyle w:val="Tablehead"/>
            </w:pPr>
          </w:p>
        </w:tc>
        <w:tc>
          <w:tcPr>
            <w:tcW w:w="765" w:type="pct"/>
            <w:tcBorders>
              <w:top w:val="nil"/>
              <w:left w:val="single" w:sz="6" w:space="0" w:color="auto"/>
              <w:bottom w:val="single" w:sz="6" w:space="0" w:color="auto"/>
              <w:right w:val="nil"/>
            </w:tcBorders>
            <w:shd w:val="clear" w:color="auto" w:fill="FFFFFF"/>
            <w:vAlign w:val="center"/>
          </w:tcPr>
          <w:p w:rsidR="00FE0045" w:rsidRDefault="00FE0045" w:rsidP="00F00D23">
            <w:pPr>
              <w:pStyle w:val="Tablehead"/>
            </w:pPr>
            <w:r>
              <w:t>Unité</w:t>
            </w:r>
          </w:p>
        </w:tc>
        <w:tc>
          <w:tcPr>
            <w:tcW w:w="746" w:type="pct"/>
            <w:tcBorders>
              <w:top w:val="nil"/>
              <w:left w:val="single" w:sz="6" w:space="0" w:color="auto"/>
              <w:bottom w:val="single" w:sz="6" w:space="0" w:color="auto"/>
              <w:right w:val="single" w:sz="6" w:space="0" w:color="auto"/>
            </w:tcBorders>
            <w:shd w:val="clear" w:color="auto" w:fill="FFFFFF"/>
            <w:vAlign w:val="center"/>
          </w:tcPr>
          <w:p w:rsidR="00FE0045" w:rsidRDefault="00FE0045" w:rsidP="00F00D23">
            <w:pPr>
              <w:pStyle w:val="Tablehead"/>
            </w:pPr>
            <w:r>
              <w:t>Macrocellule</w:t>
            </w:r>
          </w:p>
        </w:tc>
        <w:tc>
          <w:tcPr>
            <w:tcW w:w="721" w:type="pct"/>
            <w:tcBorders>
              <w:top w:val="nil"/>
              <w:left w:val="nil"/>
              <w:bottom w:val="single" w:sz="6" w:space="0" w:color="auto"/>
              <w:right w:val="single" w:sz="6" w:space="0" w:color="auto"/>
            </w:tcBorders>
            <w:shd w:val="clear" w:color="auto" w:fill="FFFFFF"/>
            <w:vAlign w:val="center"/>
          </w:tcPr>
          <w:p w:rsidR="00FE0045" w:rsidRDefault="00FE0045" w:rsidP="00F00D23">
            <w:pPr>
              <w:pStyle w:val="Tablehead"/>
            </w:pPr>
            <w:r>
              <w:t>Microcellule</w:t>
            </w:r>
          </w:p>
        </w:tc>
        <w:tc>
          <w:tcPr>
            <w:tcW w:w="732" w:type="pct"/>
            <w:tcBorders>
              <w:top w:val="nil"/>
              <w:left w:val="nil"/>
              <w:bottom w:val="single" w:sz="6" w:space="0" w:color="auto"/>
              <w:right w:val="single" w:sz="6" w:space="0" w:color="auto"/>
            </w:tcBorders>
            <w:shd w:val="clear" w:color="auto" w:fill="FFFFFF"/>
            <w:vAlign w:val="center"/>
          </w:tcPr>
          <w:p w:rsidR="00FE0045" w:rsidRDefault="00FE0045" w:rsidP="00F00D23">
            <w:pPr>
              <w:pStyle w:val="Tablehead"/>
            </w:pPr>
            <w:r>
              <w:t>Picocellule</w:t>
            </w:r>
          </w:p>
        </w:tc>
        <w:tc>
          <w:tcPr>
            <w:tcW w:w="661" w:type="pct"/>
            <w:tcBorders>
              <w:top w:val="nil"/>
              <w:left w:val="nil"/>
              <w:bottom w:val="single" w:sz="6" w:space="0" w:color="auto"/>
              <w:right w:val="single" w:sz="6" w:space="0" w:color="auto"/>
            </w:tcBorders>
            <w:shd w:val="clear" w:color="auto" w:fill="FFFFFF"/>
            <w:vAlign w:val="center"/>
          </w:tcPr>
          <w:p w:rsidR="00FE0045" w:rsidRDefault="00FE0045" w:rsidP="00F00D23">
            <w:pPr>
              <w:pStyle w:val="Tablehead"/>
            </w:pPr>
            <w:r>
              <w:t>Point d'accès public</w:t>
            </w:r>
          </w:p>
        </w:tc>
      </w:tr>
      <w:tr w:rsidR="00FE0045" w:rsidTr="000F3583">
        <w:trPr>
          <w:jc w:val="center"/>
        </w:trPr>
        <w:tc>
          <w:tcPr>
            <w:tcW w:w="1375" w:type="pct"/>
            <w:tcBorders>
              <w:top w:val="nil"/>
              <w:left w:val="single" w:sz="6" w:space="0" w:color="auto"/>
              <w:bottom w:val="single" w:sz="6" w:space="0" w:color="auto"/>
              <w:right w:val="single" w:sz="6" w:space="0" w:color="auto"/>
            </w:tcBorders>
            <w:shd w:val="clear" w:color="auto" w:fill="FFFFFF"/>
          </w:tcPr>
          <w:p w:rsidR="00FE0045" w:rsidRDefault="00FE0045" w:rsidP="000F3583">
            <w:pPr>
              <w:pStyle w:val="Tabletext"/>
              <w:jc w:val="left"/>
              <w:rPr>
                <w:szCs w:val="22"/>
              </w:rPr>
            </w:pPr>
            <w:r>
              <w:t>Débit de données des applications</w:t>
            </w:r>
          </w:p>
        </w:tc>
        <w:tc>
          <w:tcPr>
            <w:tcW w:w="765"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Mbit/s</w:t>
            </w:r>
          </w:p>
        </w:tc>
        <w:tc>
          <w:tcPr>
            <w:tcW w:w="746"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1</w:t>
            </w:r>
          </w:p>
        </w:tc>
        <w:tc>
          <w:tcPr>
            <w:tcW w:w="721"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1</w:t>
            </w:r>
          </w:p>
        </w:tc>
        <w:tc>
          <w:tcPr>
            <w:tcW w:w="732"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2,5</w:t>
            </w:r>
          </w:p>
        </w:tc>
        <w:tc>
          <w:tcPr>
            <w:tcW w:w="661"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w:t>
            </w:r>
          </w:p>
        </w:tc>
      </w:tr>
      <w:tr w:rsidR="00FE0045" w:rsidTr="000F3583">
        <w:trPr>
          <w:jc w:val="center"/>
        </w:trPr>
        <w:tc>
          <w:tcPr>
            <w:tcW w:w="1375" w:type="pct"/>
            <w:tcBorders>
              <w:top w:val="nil"/>
              <w:left w:val="single" w:sz="6" w:space="0" w:color="auto"/>
              <w:bottom w:val="single" w:sz="6" w:space="0" w:color="auto"/>
              <w:right w:val="single" w:sz="6" w:space="0" w:color="auto"/>
            </w:tcBorders>
            <w:shd w:val="clear" w:color="auto" w:fill="FFFFFF"/>
          </w:tcPr>
          <w:p w:rsidR="00FE0045" w:rsidRDefault="00FE0045" w:rsidP="000F3583">
            <w:pPr>
              <w:pStyle w:val="Tabletext"/>
              <w:jc w:val="left"/>
              <w:rPr>
                <w:kern w:val="28"/>
              </w:rPr>
            </w:pPr>
            <w:r>
              <w:rPr>
                <w:kern w:val="28"/>
              </w:rPr>
              <w:t>Catégories de mobilité prises en charge</w:t>
            </w:r>
          </w:p>
        </w:tc>
        <w:tc>
          <w:tcPr>
            <w:tcW w:w="765"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p>
        </w:tc>
        <w:tc>
          <w:tcPr>
            <w:tcW w:w="746"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pPr>
            <w:r>
              <w:rPr>
                <w:szCs w:val="22"/>
              </w:rPr>
              <w:t>Stationnaire/</w:t>
            </w:r>
            <w:r>
              <w:rPr>
                <w:szCs w:val="22"/>
              </w:rPr>
              <w:br/>
              <w:t>piéton, faible, forte</w:t>
            </w:r>
          </w:p>
        </w:tc>
        <w:tc>
          <w:tcPr>
            <w:tcW w:w="721"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pPr>
            <w:r>
              <w:rPr>
                <w:szCs w:val="22"/>
              </w:rPr>
              <w:t>Stationnaire/</w:t>
            </w:r>
            <w:r>
              <w:rPr>
                <w:szCs w:val="22"/>
              </w:rPr>
              <w:br/>
              <w:t>piéton, faible</w:t>
            </w:r>
          </w:p>
        </w:tc>
        <w:tc>
          <w:tcPr>
            <w:tcW w:w="732"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pPr>
            <w:r>
              <w:rPr>
                <w:szCs w:val="22"/>
              </w:rPr>
              <w:t>Stationnaire/</w:t>
            </w:r>
            <w:r>
              <w:rPr>
                <w:szCs w:val="22"/>
              </w:rPr>
              <w:br/>
              <w:t>piéton</w:t>
            </w:r>
          </w:p>
        </w:tc>
        <w:tc>
          <w:tcPr>
            <w:tcW w:w="661"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w:t>
            </w:r>
          </w:p>
        </w:tc>
      </w:tr>
      <w:tr w:rsidR="00FE0045" w:rsidTr="000F3583">
        <w:trPr>
          <w:jc w:val="center"/>
        </w:trPr>
        <w:tc>
          <w:tcPr>
            <w:tcW w:w="1375" w:type="pct"/>
            <w:tcBorders>
              <w:top w:val="nil"/>
              <w:left w:val="single" w:sz="6" w:space="0" w:color="auto"/>
              <w:bottom w:val="single" w:sz="6" w:space="0" w:color="auto"/>
              <w:right w:val="single" w:sz="6" w:space="0" w:color="auto"/>
            </w:tcBorders>
            <w:shd w:val="clear" w:color="auto" w:fill="FFFFFF"/>
          </w:tcPr>
          <w:p w:rsidR="00FE0045" w:rsidRDefault="00FE0045" w:rsidP="000F3583">
            <w:pPr>
              <w:pStyle w:val="Tabletext"/>
              <w:jc w:val="left"/>
              <w:rPr>
                <w:szCs w:val="22"/>
              </w:rPr>
            </w:pPr>
            <w:r>
              <w:t>Bandes de garde entre opérateurs</w:t>
            </w:r>
          </w:p>
        </w:tc>
        <w:tc>
          <w:tcPr>
            <w:tcW w:w="765"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MHz</w:t>
            </w:r>
          </w:p>
        </w:tc>
        <w:tc>
          <w:tcPr>
            <w:tcW w:w="746"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0</w:t>
            </w:r>
          </w:p>
        </w:tc>
        <w:tc>
          <w:tcPr>
            <w:tcW w:w="721"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0</w:t>
            </w:r>
          </w:p>
        </w:tc>
        <w:tc>
          <w:tcPr>
            <w:tcW w:w="732"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0</w:t>
            </w:r>
          </w:p>
        </w:tc>
        <w:tc>
          <w:tcPr>
            <w:tcW w:w="661"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w:t>
            </w:r>
          </w:p>
        </w:tc>
      </w:tr>
      <w:tr w:rsidR="00FE0045" w:rsidTr="000F3583">
        <w:trPr>
          <w:jc w:val="center"/>
        </w:trPr>
        <w:tc>
          <w:tcPr>
            <w:tcW w:w="1375" w:type="pct"/>
            <w:tcBorders>
              <w:top w:val="nil"/>
              <w:left w:val="single" w:sz="6" w:space="0" w:color="auto"/>
              <w:bottom w:val="single" w:sz="6" w:space="0" w:color="auto"/>
              <w:right w:val="single" w:sz="6" w:space="0" w:color="auto"/>
            </w:tcBorders>
            <w:shd w:val="clear" w:color="auto" w:fill="FFFFFF"/>
          </w:tcPr>
          <w:p w:rsidR="00FE0045" w:rsidRDefault="00FE0045" w:rsidP="000F3583">
            <w:pPr>
              <w:pStyle w:val="Tabletext"/>
              <w:jc w:val="left"/>
              <w:rPr>
                <w:szCs w:val="22"/>
              </w:rPr>
            </w:pPr>
            <w:r>
              <w:t>Déploiement minimal par opérateur et par environnement radioélectrique</w:t>
            </w:r>
          </w:p>
        </w:tc>
        <w:tc>
          <w:tcPr>
            <w:tcW w:w="765"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MHz</w:t>
            </w:r>
          </w:p>
        </w:tc>
        <w:tc>
          <w:tcPr>
            <w:tcW w:w="746"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20</w:t>
            </w:r>
          </w:p>
        </w:tc>
        <w:tc>
          <w:tcPr>
            <w:tcW w:w="721"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20</w:t>
            </w:r>
          </w:p>
        </w:tc>
        <w:tc>
          <w:tcPr>
            <w:tcW w:w="732"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20</w:t>
            </w:r>
          </w:p>
        </w:tc>
        <w:tc>
          <w:tcPr>
            <w:tcW w:w="661"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w:t>
            </w:r>
          </w:p>
        </w:tc>
      </w:tr>
      <w:tr w:rsidR="00FE0045" w:rsidTr="000F3583">
        <w:trPr>
          <w:jc w:val="center"/>
        </w:trPr>
        <w:tc>
          <w:tcPr>
            <w:tcW w:w="1375" w:type="pct"/>
            <w:tcBorders>
              <w:top w:val="nil"/>
              <w:left w:val="single" w:sz="6" w:space="0" w:color="auto"/>
              <w:bottom w:val="single" w:sz="6" w:space="0" w:color="auto"/>
              <w:right w:val="single" w:sz="6" w:space="0" w:color="auto"/>
            </w:tcBorders>
            <w:shd w:val="clear" w:color="auto" w:fill="FFFFFF"/>
          </w:tcPr>
          <w:p w:rsidR="00FE0045" w:rsidRDefault="00FE0045" w:rsidP="000F3583">
            <w:pPr>
              <w:pStyle w:val="Tabletext"/>
              <w:jc w:val="left"/>
              <w:rPr>
                <w:szCs w:val="22"/>
              </w:rPr>
            </w:pPr>
            <w:r>
              <w:t>Nombre de réseaux déployés en chevauchement</w:t>
            </w:r>
          </w:p>
        </w:tc>
        <w:tc>
          <w:tcPr>
            <w:tcW w:w="765"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Nombre</w:t>
            </w:r>
          </w:p>
        </w:tc>
        <w:tc>
          <w:tcPr>
            <w:tcW w:w="746"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i/>
                <w:iCs/>
                <w:szCs w:val="22"/>
              </w:rPr>
              <w:t>5</w:t>
            </w:r>
          </w:p>
        </w:tc>
        <w:tc>
          <w:tcPr>
            <w:tcW w:w="721"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i/>
                <w:iCs/>
                <w:szCs w:val="22"/>
              </w:rPr>
              <w:t>5</w:t>
            </w:r>
          </w:p>
        </w:tc>
        <w:tc>
          <w:tcPr>
            <w:tcW w:w="732"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i/>
                <w:iCs/>
                <w:szCs w:val="22"/>
              </w:rPr>
              <w:t>5</w:t>
            </w:r>
          </w:p>
        </w:tc>
        <w:tc>
          <w:tcPr>
            <w:tcW w:w="661"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w:t>
            </w:r>
          </w:p>
        </w:tc>
      </w:tr>
    </w:tbl>
    <w:p w:rsidR="00D02952" w:rsidRDefault="00D02952">
      <w:r>
        <w:br w:type="page"/>
      </w:r>
    </w:p>
    <w:p w:rsidR="00D02952" w:rsidRDefault="00D02952" w:rsidP="00D02952">
      <w:pPr>
        <w:pStyle w:val="TableNo"/>
        <w:rPr>
          <w:kern w:val="28"/>
        </w:rPr>
      </w:pPr>
      <w:r>
        <w:rPr>
          <w:kern w:val="28"/>
        </w:rPr>
        <w:lastRenderedPageBreak/>
        <w:t>TABLEAU 10a</w:t>
      </w:r>
      <w:r>
        <w:rPr>
          <w:kern w:val="28"/>
        </w:rPr>
        <w:t xml:space="preserve"> (</w:t>
      </w:r>
      <w:r>
        <w:rPr>
          <w:i/>
          <w:iCs/>
          <w:kern w:val="28"/>
        </w:rPr>
        <w:t>fin</w:t>
      </w:r>
      <w:r>
        <w:rPr>
          <w:kern w:val="28"/>
        </w:rPr>
        <w:t>)</w:t>
      </w:r>
    </w:p>
    <w:tbl>
      <w:tblPr>
        <w:tblW w:w="9639" w:type="dxa"/>
        <w:jc w:val="center"/>
        <w:tblLook w:val="0000" w:firstRow="0" w:lastRow="0" w:firstColumn="0" w:lastColumn="0" w:noHBand="0" w:noVBand="0"/>
      </w:tblPr>
      <w:tblGrid>
        <w:gridCol w:w="2651"/>
        <w:gridCol w:w="1475"/>
        <w:gridCol w:w="1438"/>
        <w:gridCol w:w="1390"/>
        <w:gridCol w:w="1411"/>
        <w:gridCol w:w="1274"/>
      </w:tblGrid>
      <w:tr w:rsidR="00D02952" w:rsidTr="005D1573">
        <w:trPr>
          <w:jc w:val="center"/>
        </w:trPr>
        <w:tc>
          <w:tcPr>
            <w:tcW w:w="1375" w:type="pct"/>
            <w:vMerge w:val="restart"/>
            <w:tcBorders>
              <w:top w:val="single" w:sz="6" w:space="0" w:color="auto"/>
              <w:left w:val="single" w:sz="6" w:space="0" w:color="auto"/>
              <w:right w:val="nil"/>
            </w:tcBorders>
            <w:shd w:val="clear" w:color="auto" w:fill="FFFFFF"/>
            <w:vAlign w:val="center"/>
          </w:tcPr>
          <w:p w:rsidR="00D02952" w:rsidRDefault="00D02952" w:rsidP="005D1573">
            <w:pPr>
              <w:pStyle w:val="Tablehead"/>
            </w:pPr>
            <w:r>
              <w:t>Attribut</w:t>
            </w:r>
          </w:p>
        </w:tc>
        <w:tc>
          <w:tcPr>
            <w:tcW w:w="3625"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D02952" w:rsidRDefault="00D02952" w:rsidP="005D1573">
            <w:pPr>
              <w:pStyle w:val="Tablehead"/>
              <w:rPr>
                <w:kern w:val="28"/>
              </w:rPr>
            </w:pPr>
            <w:r>
              <w:rPr>
                <w:kern w:val="28"/>
              </w:rPr>
              <w:t xml:space="preserve">RATG </w:t>
            </w:r>
            <w:r w:rsidRPr="00B20980">
              <w:rPr>
                <w:kern w:val="28"/>
              </w:rPr>
              <w:t>N</w:t>
            </w:r>
            <w:r w:rsidRPr="008F7665">
              <w:rPr>
                <w:rFonts w:ascii="Times New Roman Bold" w:hAnsi="Times New Roman Bold"/>
                <w:kern w:val="28"/>
                <w:szCs w:val="22"/>
                <w:vertAlign w:val="superscript"/>
              </w:rPr>
              <w:t>o</w:t>
            </w:r>
            <w:r>
              <w:rPr>
                <w:kern w:val="28"/>
              </w:rPr>
              <w:t xml:space="preserve"> 1</w:t>
            </w:r>
          </w:p>
        </w:tc>
      </w:tr>
      <w:tr w:rsidR="00D02952" w:rsidTr="005D1573">
        <w:trPr>
          <w:jc w:val="center"/>
        </w:trPr>
        <w:tc>
          <w:tcPr>
            <w:tcW w:w="1375" w:type="pct"/>
            <w:vMerge/>
            <w:tcBorders>
              <w:left w:val="single" w:sz="6" w:space="0" w:color="auto"/>
              <w:right w:val="nil"/>
            </w:tcBorders>
            <w:shd w:val="clear" w:color="auto" w:fill="FFFFFF"/>
            <w:vAlign w:val="center"/>
          </w:tcPr>
          <w:p w:rsidR="00D02952" w:rsidRDefault="00D02952" w:rsidP="005D1573">
            <w:pPr>
              <w:pStyle w:val="Tablehead"/>
            </w:pPr>
          </w:p>
        </w:tc>
        <w:tc>
          <w:tcPr>
            <w:tcW w:w="3625" w:type="pct"/>
            <w:gridSpan w:val="5"/>
            <w:tcBorders>
              <w:top w:val="single" w:sz="6" w:space="0" w:color="auto"/>
              <w:left w:val="single" w:sz="6" w:space="0" w:color="auto"/>
              <w:bottom w:val="single" w:sz="6" w:space="0" w:color="auto"/>
              <w:right w:val="single" w:sz="6" w:space="0" w:color="000000"/>
            </w:tcBorders>
            <w:shd w:val="clear" w:color="auto" w:fill="FFFFFF"/>
            <w:vAlign w:val="center"/>
          </w:tcPr>
          <w:p w:rsidR="00D02952" w:rsidRDefault="00D02952" w:rsidP="005D1573">
            <w:pPr>
              <w:pStyle w:val="Tablehead"/>
            </w:pPr>
            <w:r>
              <w:t>Valeur</w:t>
            </w:r>
          </w:p>
        </w:tc>
      </w:tr>
      <w:tr w:rsidR="00D02952" w:rsidTr="005D1573">
        <w:trPr>
          <w:jc w:val="center"/>
        </w:trPr>
        <w:tc>
          <w:tcPr>
            <w:tcW w:w="1375" w:type="pct"/>
            <w:vMerge/>
            <w:tcBorders>
              <w:left w:val="single" w:sz="6" w:space="0" w:color="auto"/>
              <w:bottom w:val="single" w:sz="6" w:space="0" w:color="auto"/>
              <w:right w:val="nil"/>
            </w:tcBorders>
            <w:shd w:val="clear" w:color="auto" w:fill="FFFFFF"/>
            <w:vAlign w:val="center"/>
          </w:tcPr>
          <w:p w:rsidR="00D02952" w:rsidRDefault="00D02952" w:rsidP="005D1573">
            <w:pPr>
              <w:pStyle w:val="Tablehead"/>
            </w:pPr>
          </w:p>
        </w:tc>
        <w:tc>
          <w:tcPr>
            <w:tcW w:w="765" w:type="pct"/>
            <w:tcBorders>
              <w:top w:val="nil"/>
              <w:left w:val="single" w:sz="6" w:space="0" w:color="auto"/>
              <w:bottom w:val="single" w:sz="6" w:space="0" w:color="auto"/>
              <w:right w:val="nil"/>
            </w:tcBorders>
            <w:shd w:val="clear" w:color="auto" w:fill="FFFFFF"/>
            <w:vAlign w:val="center"/>
          </w:tcPr>
          <w:p w:rsidR="00D02952" w:rsidRDefault="00D02952" w:rsidP="005D1573">
            <w:pPr>
              <w:pStyle w:val="Tablehead"/>
            </w:pPr>
            <w:r>
              <w:t>Unité</w:t>
            </w:r>
          </w:p>
        </w:tc>
        <w:tc>
          <w:tcPr>
            <w:tcW w:w="746" w:type="pct"/>
            <w:tcBorders>
              <w:top w:val="nil"/>
              <w:left w:val="single" w:sz="6" w:space="0" w:color="auto"/>
              <w:bottom w:val="single" w:sz="6" w:space="0" w:color="auto"/>
              <w:right w:val="single" w:sz="6" w:space="0" w:color="auto"/>
            </w:tcBorders>
            <w:shd w:val="clear" w:color="auto" w:fill="FFFFFF"/>
            <w:vAlign w:val="center"/>
          </w:tcPr>
          <w:p w:rsidR="00D02952" w:rsidRDefault="00D02952" w:rsidP="005D1573">
            <w:pPr>
              <w:pStyle w:val="Tablehead"/>
            </w:pPr>
            <w:r>
              <w:t>Macrocellule</w:t>
            </w:r>
          </w:p>
        </w:tc>
        <w:tc>
          <w:tcPr>
            <w:tcW w:w="721" w:type="pct"/>
            <w:tcBorders>
              <w:top w:val="nil"/>
              <w:left w:val="nil"/>
              <w:bottom w:val="single" w:sz="6" w:space="0" w:color="auto"/>
              <w:right w:val="single" w:sz="6" w:space="0" w:color="auto"/>
            </w:tcBorders>
            <w:shd w:val="clear" w:color="auto" w:fill="FFFFFF"/>
            <w:vAlign w:val="center"/>
          </w:tcPr>
          <w:p w:rsidR="00D02952" w:rsidRDefault="00D02952" w:rsidP="005D1573">
            <w:pPr>
              <w:pStyle w:val="Tablehead"/>
            </w:pPr>
            <w:r>
              <w:t>Microcellule</w:t>
            </w:r>
          </w:p>
        </w:tc>
        <w:tc>
          <w:tcPr>
            <w:tcW w:w="732" w:type="pct"/>
            <w:tcBorders>
              <w:top w:val="nil"/>
              <w:left w:val="nil"/>
              <w:bottom w:val="single" w:sz="6" w:space="0" w:color="auto"/>
              <w:right w:val="single" w:sz="6" w:space="0" w:color="auto"/>
            </w:tcBorders>
            <w:shd w:val="clear" w:color="auto" w:fill="FFFFFF"/>
            <w:vAlign w:val="center"/>
          </w:tcPr>
          <w:p w:rsidR="00D02952" w:rsidRDefault="00D02952" w:rsidP="005D1573">
            <w:pPr>
              <w:pStyle w:val="Tablehead"/>
            </w:pPr>
            <w:r>
              <w:t>Picocellule</w:t>
            </w:r>
          </w:p>
        </w:tc>
        <w:tc>
          <w:tcPr>
            <w:tcW w:w="661" w:type="pct"/>
            <w:tcBorders>
              <w:top w:val="nil"/>
              <w:left w:val="nil"/>
              <w:bottom w:val="single" w:sz="6" w:space="0" w:color="auto"/>
              <w:right w:val="single" w:sz="6" w:space="0" w:color="auto"/>
            </w:tcBorders>
            <w:shd w:val="clear" w:color="auto" w:fill="FFFFFF"/>
            <w:vAlign w:val="center"/>
          </w:tcPr>
          <w:p w:rsidR="00D02952" w:rsidRDefault="00D02952" w:rsidP="005D1573">
            <w:pPr>
              <w:pStyle w:val="Tablehead"/>
            </w:pPr>
            <w:r>
              <w:t>Point d'accès public</w:t>
            </w:r>
          </w:p>
        </w:tc>
      </w:tr>
      <w:tr w:rsidR="00FE0045" w:rsidTr="000F3583">
        <w:trPr>
          <w:jc w:val="center"/>
        </w:trPr>
        <w:tc>
          <w:tcPr>
            <w:tcW w:w="1375" w:type="pct"/>
            <w:tcBorders>
              <w:top w:val="nil"/>
              <w:left w:val="single" w:sz="6" w:space="0" w:color="auto"/>
              <w:bottom w:val="single" w:sz="6" w:space="0" w:color="auto"/>
              <w:right w:val="single" w:sz="6" w:space="0" w:color="auto"/>
            </w:tcBorders>
            <w:shd w:val="clear" w:color="auto" w:fill="FFFFFF"/>
          </w:tcPr>
          <w:p w:rsidR="00FE0045" w:rsidRDefault="00FE0045" w:rsidP="00D02952">
            <w:pPr>
              <w:pStyle w:val="Tabletext"/>
              <w:jc w:val="left"/>
              <w:rPr>
                <w:szCs w:val="22"/>
              </w:rPr>
            </w:pPr>
            <w:r>
              <w:t>Granularité du déploiement</w:t>
            </w:r>
            <w:r w:rsidR="00D02952">
              <w:t xml:space="preserve"> </w:t>
            </w:r>
            <w:r>
              <w:t>par opérateur et par environnement radioélectrique</w:t>
            </w:r>
          </w:p>
        </w:tc>
        <w:tc>
          <w:tcPr>
            <w:tcW w:w="765"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MHz</w:t>
            </w:r>
          </w:p>
        </w:tc>
        <w:tc>
          <w:tcPr>
            <w:tcW w:w="746"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20</w:t>
            </w:r>
          </w:p>
        </w:tc>
        <w:tc>
          <w:tcPr>
            <w:tcW w:w="721"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20</w:t>
            </w:r>
          </w:p>
        </w:tc>
        <w:tc>
          <w:tcPr>
            <w:tcW w:w="732"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20</w:t>
            </w:r>
          </w:p>
        </w:tc>
        <w:tc>
          <w:tcPr>
            <w:tcW w:w="661"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w:t>
            </w:r>
          </w:p>
        </w:tc>
      </w:tr>
      <w:tr w:rsidR="00FE0045" w:rsidTr="000F3583">
        <w:trPr>
          <w:jc w:val="center"/>
        </w:trPr>
        <w:tc>
          <w:tcPr>
            <w:tcW w:w="1375" w:type="pct"/>
            <w:tcBorders>
              <w:top w:val="nil"/>
              <w:left w:val="single" w:sz="6" w:space="0" w:color="auto"/>
              <w:bottom w:val="single" w:sz="6" w:space="0" w:color="auto"/>
              <w:right w:val="single" w:sz="6" w:space="0" w:color="auto"/>
            </w:tcBorders>
            <w:shd w:val="clear" w:color="auto" w:fill="FFFFFF"/>
          </w:tcPr>
          <w:p w:rsidR="00FE0045" w:rsidRDefault="00FE0045" w:rsidP="000F3583">
            <w:pPr>
              <w:pStyle w:val="Tabletext"/>
              <w:jc w:val="left"/>
              <w:rPr>
                <w:szCs w:val="22"/>
              </w:rPr>
            </w:pPr>
            <w:r>
              <w:t xml:space="preserve">Utilisation souple des fréquences (FSU, </w:t>
            </w:r>
            <w:r w:rsidRPr="00293620">
              <w:rPr>
                <w:i/>
              </w:rPr>
              <w:t>flexible spectrum use</w:t>
            </w:r>
            <w:r>
              <w:t>) possible</w:t>
            </w:r>
          </w:p>
        </w:tc>
        <w:tc>
          <w:tcPr>
            <w:tcW w:w="765"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Booléenne</w:t>
            </w:r>
          </w:p>
        </w:tc>
        <w:tc>
          <w:tcPr>
            <w:tcW w:w="746"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Non</w:t>
            </w:r>
          </w:p>
        </w:tc>
        <w:tc>
          <w:tcPr>
            <w:tcW w:w="721"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Non</w:t>
            </w:r>
          </w:p>
        </w:tc>
        <w:tc>
          <w:tcPr>
            <w:tcW w:w="732"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Non</w:t>
            </w:r>
          </w:p>
        </w:tc>
        <w:tc>
          <w:tcPr>
            <w:tcW w:w="661"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w:t>
            </w:r>
          </w:p>
        </w:tc>
      </w:tr>
      <w:tr w:rsidR="00FE0045" w:rsidTr="000F3583">
        <w:trPr>
          <w:jc w:val="center"/>
        </w:trPr>
        <w:tc>
          <w:tcPr>
            <w:tcW w:w="1375" w:type="pct"/>
            <w:tcBorders>
              <w:top w:val="nil"/>
              <w:left w:val="single" w:sz="6" w:space="0" w:color="auto"/>
              <w:bottom w:val="single" w:sz="6" w:space="0" w:color="auto"/>
              <w:right w:val="single" w:sz="6" w:space="0" w:color="auto"/>
            </w:tcBorders>
            <w:shd w:val="clear" w:color="auto" w:fill="FFFFFF"/>
          </w:tcPr>
          <w:p w:rsidR="00FE0045" w:rsidRDefault="00FE0045" w:rsidP="000F3583">
            <w:pPr>
              <w:pStyle w:val="Tabletext"/>
              <w:jc w:val="left"/>
              <w:rPr>
                <w:szCs w:val="22"/>
              </w:rPr>
            </w:pPr>
            <w:r>
              <w:t>Marge FSU</w:t>
            </w:r>
          </w:p>
        </w:tc>
        <w:tc>
          <w:tcPr>
            <w:tcW w:w="765"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Multiplicateur</w:t>
            </w:r>
          </w:p>
        </w:tc>
        <w:tc>
          <w:tcPr>
            <w:tcW w:w="746"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1</w:t>
            </w:r>
          </w:p>
        </w:tc>
        <w:tc>
          <w:tcPr>
            <w:tcW w:w="721"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1</w:t>
            </w:r>
          </w:p>
        </w:tc>
        <w:tc>
          <w:tcPr>
            <w:tcW w:w="732"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1</w:t>
            </w:r>
          </w:p>
        </w:tc>
        <w:tc>
          <w:tcPr>
            <w:tcW w:w="661" w:type="pct"/>
            <w:tcBorders>
              <w:top w:val="nil"/>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p>
        </w:tc>
      </w:tr>
      <w:tr w:rsidR="00FE0045" w:rsidTr="000F3583">
        <w:trPr>
          <w:jc w:val="center"/>
        </w:trPr>
        <w:tc>
          <w:tcPr>
            <w:tcW w:w="1375" w:type="pct"/>
            <w:tcBorders>
              <w:top w:val="single" w:sz="6" w:space="0" w:color="auto"/>
              <w:left w:val="single" w:sz="6" w:space="0" w:color="auto"/>
              <w:bottom w:val="single" w:sz="6" w:space="0" w:color="auto"/>
              <w:right w:val="single" w:sz="6" w:space="0" w:color="auto"/>
            </w:tcBorders>
            <w:shd w:val="clear" w:color="auto" w:fill="FFFFFF"/>
          </w:tcPr>
          <w:p w:rsidR="00FE0045" w:rsidRDefault="00FE0045" w:rsidP="000F3583">
            <w:pPr>
              <w:pStyle w:val="Tabletext"/>
              <w:jc w:val="left"/>
              <w:rPr>
                <w:szCs w:val="22"/>
              </w:rPr>
            </w:pPr>
            <w:r>
              <w:t>Fréquence de fonctionnement type</w:t>
            </w:r>
          </w:p>
        </w:tc>
        <w:tc>
          <w:tcPr>
            <w:tcW w:w="765" w:type="pct"/>
            <w:tcBorders>
              <w:top w:val="single" w:sz="6" w:space="0" w:color="auto"/>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MHz</w:t>
            </w:r>
          </w:p>
        </w:tc>
        <w:tc>
          <w:tcPr>
            <w:tcW w:w="746" w:type="pct"/>
            <w:tcBorders>
              <w:top w:val="single" w:sz="6" w:space="0" w:color="auto"/>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&lt; 2 700</w:t>
            </w:r>
          </w:p>
        </w:tc>
        <w:tc>
          <w:tcPr>
            <w:tcW w:w="721" w:type="pct"/>
            <w:tcBorders>
              <w:top w:val="single" w:sz="6" w:space="0" w:color="auto"/>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&lt; 2 700</w:t>
            </w:r>
          </w:p>
        </w:tc>
        <w:tc>
          <w:tcPr>
            <w:tcW w:w="732" w:type="pct"/>
            <w:tcBorders>
              <w:top w:val="single" w:sz="6" w:space="0" w:color="auto"/>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&lt; 2 700</w:t>
            </w:r>
          </w:p>
        </w:tc>
        <w:tc>
          <w:tcPr>
            <w:tcW w:w="661" w:type="pct"/>
            <w:tcBorders>
              <w:top w:val="single" w:sz="6" w:space="0" w:color="auto"/>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w:t>
            </w:r>
          </w:p>
        </w:tc>
      </w:tr>
      <w:tr w:rsidR="00FE0045" w:rsidTr="000F3583">
        <w:trPr>
          <w:jc w:val="center"/>
        </w:trPr>
        <w:tc>
          <w:tcPr>
            <w:tcW w:w="1375" w:type="pct"/>
            <w:tcBorders>
              <w:top w:val="single" w:sz="6" w:space="0" w:color="auto"/>
              <w:left w:val="single" w:sz="6" w:space="0" w:color="auto"/>
              <w:bottom w:val="single" w:sz="6" w:space="0" w:color="auto"/>
              <w:right w:val="single" w:sz="6" w:space="0" w:color="auto"/>
            </w:tcBorders>
            <w:shd w:val="clear" w:color="auto" w:fill="FFFFFF"/>
          </w:tcPr>
          <w:p w:rsidR="00FE0045" w:rsidRDefault="00FE0045" w:rsidP="000F3583">
            <w:pPr>
              <w:pStyle w:val="Tabletext"/>
              <w:jc w:val="left"/>
              <w:rPr>
                <w:kern w:val="28"/>
              </w:rPr>
            </w:pPr>
            <w:r>
              <w:rPr>
                <w:kern w:val="28"/>
              </w:rPr>
              <w:t>Prise en charge pour la multidiffusion</w:t>
            </w:r>
          </w:p>
        </w:tc>
        <w:tc>
          <w:tcPr>
            <w:tcW w:w="765" w:type="pct"/>
            <w:tcBorders>
              <w:top w:val="single" w:sz="6" w:space="0" w:color="auto"/>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Booléenne</w:t>
            </w:r>
          </w:p>
        </w:tc>
        <w:tc>
          <w:tcPr>
            <w:tcW w:w="746" w:type="pct"/>
            <w:tcBorders>
              <w:top w:val="single" w:sz="6" w:space="0" w:color="auto"/>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Oui</w:t>
            </w:r>
          </w:p>
        </w:tc>
        <w:tc>
          <w:tcPr>
            <w:tcW w:w="721" w:type="pct"/>
            <w:tcBorders>
              <w:top w:val="single" w:sz="6" w:space="0" w:color="auto"/>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Oui</w:t>
            </w:r>
          </w:p>
        </w:tc>
        <w:tc>
          <w:tcPr>
            <w:tcW w:w="732" w:type="pct"/>
            <w:tcBorders>
              <w:top w:val="single" w:sz="6" w:space="0" w:color="auto"/>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Oui</w:t>
            </w:r>
          </w:p>
        </w:tc>
        <w:tc>
          <w:tcPr>
            <w:tcW w:w="661" w:type="pct"/>
            <w:tcBorders>
              <w:top w:val="single" w:sz="6" w:space="0" w:color="auto"/>
              <w:left w:val="nil"/>
              <w:bottom w:val="single" w:sz="6" w:space="0" w:color="auto"/>
              <w:right w:val="single" w:sz="6" w:space="0" w:color="auto"/>
            </w:tcBorders>
            <w:shd w:val="clear" w:color="auto" w:fill="FFFFFF"/>
          </w:tcPr>
          <w:p w:rsidR="00FE0045" w:rsidRDefault="00FE0045" w:rsidP="000F3583">
            <w:pPr>
              <w:pStyle w:val="Tabletext"/>
              <w:jc w:val="center"/>
              <w:rPr>
                <w:szCs w:val="22"/>
              </w:rPr>
            </w:pPr>
            <w:r>
              <w:rPr>
                <w:szCs w:val="22"/>
              </w:rPr>
              <w:t>–</w:t>
            </w:r>
          </w:p>
        </w:tc>
      </w:tr>
    </w:tbl>
    <w:p w:rsidR="00FE0045" w:rsidRDefault="00FE0045" w:rsidP="00FE0045">
      <w:pPr>
        <w:pStyle w:val="Tablefin"/>
        <w:rPr>
          <w:lang w:val="fr-FR"/>
        </w:rPr>
      </w:pPr>
    </w:p>
    <w:p w:rsidR="00FE0045" w:rsidRDefault="00FE0045" w:rsidP="00FE0045">
      <w:r>
        <w:t>Cet exemple n'est pas applicable au scénario qui envisage des zones étendues ayant une faible télédensité.</w:t>
      </w:r>
    </w:p>
    <w:p w:rsidR="00FE0045" w:rsidRDefault="00FE0045" w:rsidP="00FE0045">
      <w:pPr>
        <w:pStyle w:val="TableNo"/>
      </w:pPr>
      <w:r>
        <w:t>TABLEAU 10b</w:t>
      </w:r>
    </w:p>
    <w:p w:rsidR="00FE0045" w:rsidRDefault="00FE0045" w:rsidP="00FE0045">
      <w:pPr>
        <w:pStyle w:val="Tabletitle"/>
        <w:rPr>
          <w:kern w:val="28"/>
        </w:rPr>
      </w:pPr>
      <w:r>
        <w:rPr>
          <w:kern w:val="28"/>
        </w:rPr>
        <w:t>Exemples de paramètres radioélectriques requis pour le RATG2</w:t>
      </w:r>
    </w:p>
    <w:tbl>
      <w:tblPr>
        <w:tblW w:w="9639" w:type="dxa"/>
        <w:jc w:val="center"/>
        <w:shd w:val="clear" w:color="auto" w:fill="FFFFFF"/>
        <w:tblLook w:val="0000" w:firstRow="0" w:lastRow="0" w:firstColumn="0" w:lastColumn="0" w:noHBand="0" w:noVBand="0"/>
      </w:tblPr>
      <w:tblGrid>
        <w:gridCol w:w="2696"/>
        <w:gridCol w:w="1444"/>
        <w:gridCol w:w="1440"/>
        <w:gridCol w:w="1440"/>
        <w:gridCol w:w="1260"/>
        <w:gridCol w:w="1349"/>
        <w:gridCol w:w="10"/>
      </w:tblGrid>
      <w:tr w:rsidR="00FE0045" w:rsidTr="00E12924">
        <w:trPr>
          <w:gridAfter w:val="1"/>
          <w:wAfter w:w="10" w:type="dxa"/>
          <w:jc w:val="center"/>
        </w:trPr>
        <w:tc>
          <w:tcPr>
            <w:tcW w:w="2696" w:type="dxa"/>
            <w:vMerge w:val="restart"/>
            <w:tcBorders>
              <w:top w:val="single" w:sz="6" w:space="0" w:color="auto"/>
              <w:left w:val="single" w:sz="6" w:space="0" w:color="auto"/>
              <w:right w:val="single" w:sz="6" w:space="0" w:color="auto"/>
            </w:tcBorders>
            <w:shd w:val="clear" w:color="auto" w:fill="FFFFFF"/>
            <w:tcMar>
              <w:left w:w="28" w:type="dxa"/>
              <w:right w:w="28" w:type="dxa"/>
            </w:tcMar>
            <w:vAlign w:val="center"/>
          </w:tcPr>
          <w:p w:rsidR="00FE0045" w:rsidRDefault="00FE0045" w:rsidP="00E12924">
            <w:pPr>
              <w:pStyle w:val="Tablehead"/>
            </w:pPr>
            <w:r>
              <w:t>Attribut</w:t>
            </w:r>
          </w:p>
        </w:tc>
        <w:tc>
          <w:tcPr>
            <w:tcW w:w="6933" w:type="dxa"/>
            <w:gridSpan w:val="5"/>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FE0045" w:rsidRDefault="00FE0045" w:rsidP="00F00D23">
            <w:pPr>
              <w:pStyle w:val="Tablehead"/>
            </w:pPr>
            <w:r>
              <w:t>RATG2</w:t>
            </w:r>
          </w:p>
        </w:tc>
      </w:tr>
      <w:tr w:rsidR="00FE0045" w:rsidTr="00E12924">
        <w:trPr>
          <w:gridAfter w:val="1"/>
          <w:wAfter w:w="10" w:type="dxa"/>
          <w:jc w:val="center"/>
        </w:trPr>
        <w:tc>
          <w:tcPr>
            <w:tcW w:w="2696" w:type="dxa"/>
            <w:vMerge/>
            <w:tcBorders>
              <w:left w:val="single" w:sz="6" w:space="0" w:color="auto"/>
              <w:right w:val="single" w:sz="6" w:space="0" w:color="auto"/>
            </w:tcBorders>
            <w:shd w:val="clear" w:color="auto" w:fill="FFFFFF"/>
            <w:tcMar>
              <w:left w:w="28" w:type="dxa"/>
              <w:right w:w="28" w:type="dxa"/>
            </w:tcMar>
            <w:vAlign w:val="center"/>
          </w:tcPr>
          <w:p w:rsidR="00FE0045" w:rsidRDefault="00FE0045" w:rsidP="00E12924">
            <w:pPr>
              <w:pStyle w:val="Tablehead"/>
            </w:pPr>
          </w:p>
        </w:tc>
        <w:tc>
          <w:tcPr>
            <w:tcW w:w="6933" w:type="dxa"/>
            <w:gridSpan w:val="5"/>
            <w:tcBorders>
              <w:top w:val="single" w:sz="6" w:space="0" w:color="auto"/>
              <w:left w:val="single" w:sz="6" w:space="0" w:color="auto"/>
              <w:bottom w:val="single" w:sz="6" w:space="0" w:color="auto"/>
              <w:right w:val="single" w:sz="6" w:space="0" w:color="000000"/>
            </w:tcBorders>
            <w:shd w:val="clear" w:color="auto" w:fill="FFFFFF"/>
            <w:tcMar>
              <w:left w:w="28" w:type="dxa"/>
              <w:right w:w="28" w:type="dxa"/>
            </w:tcMar>
            <w:vAlign w:val="center"/>
          </w:tcPr>
          <w:p w:rsidR="00FE0045" w:rsidRDefault="00FE0045" w:rsidP="00F00D23">
            <w:pPr>
              <w:pStyle w:val="Tablehead"/>
            </w:pPr>
            <w:r>
              <w:t>Valeur</w:t>
            </w:r>
          </w:p>
        </w:tc>
      </w:tr>
      <w:tr w:rsidR="00FE0045" w:rsidTr="00E12924">
        <w:trPr>
          <w:jc w:val="center"/>
        </w:trPr>
        <w:tc>
          <w:tcPr>
            <w:tcW w:w="2696" w:type="dxa"/>
            <w:vMerge/>
            <w:tcBorders>
              <w:left w:val="single" w:sz="6" w:space="0" w:color="auto"/>
              <w:bottom w:val="single" w:sz="6" w:space="0" w:color="auto"/>
              <w:right w:val="single" w:sz="6" w:space="0" w:color="auto"/>
            </w:tcBorders>
            <w:shd w:val="clear" w:color="auto" w:fill="FFFFFF"/>
            <w:tcMar>
              <w:left w:w="28" w:type="dxa"/>
              <w:right w:w="28" w:type="dxa"/>
            </w:tcMar>
            <w:vAlign w:val="center"/>
          </w:tcPr>
          <w:p w:rsidR="00FE0045" w:rsidRDefault="00FE0045" w:rsidP="00F00D23">
            <w:pPr>
              <w:pStyle w:val="Tablehead"/>
            </w:pPr>
          </w:p>
        </w:tc>
        <w:tc>
          <w:tcPr>
            <w:tcW w:w="1444" w:type="dxa"/>
            <w:tcBorders>
              <w:top w:val="single" w:sz="6" w:space="0" w:color="auto"/>
              <w:left w:val="single" w:sz="6" w:space="0" w:color="auto"/>
              <w:bottom w:val="single" w:sz="6" w:space="0" w:color="auto"/>
              <w:right w:val="nil"/>
            </w:tcBorders>
            <w:shd w:val="clear" w:color="auto" w:fill="FFFFFF"/>
            <w:tcMar>
              <w:left w:w="28" w:type="dxa"/>
              <w:right w:w="28" w:type="dxa"/>
            </w:tcMar>
            <w:vAlign w:val="center"/>
          </w:tcPr>
          <w:p w:rsidR="00FE0045" w:rsidRDefault="00FE0045" w:rsidP="00F00D23">
            <w:pPr>
              <w:pStyle w:val="Tablehead"/>
            </w:pPr>
            <w:r>
              <w:t>Unité</w:t>
            </w:r>
          </w:p>
        </w:tc>
        <w:tc>
          <w:tcPr>
            <w:tcW w:w="1440" w:type="dxa"/>
            <w:tcBorders>
              <w:top w:val="nil"/>
              <w:left w:val="single" w:sz="6" w:space="0" w:color="auto"/>
              <w:bottom w:val="single" w:sz="6" w:space="0" w:color="auto"/>
              <w:right w:val="single" w:sz="6" w:space="0" w:color="auto"/>
            </w:tcBorders>
            <w:shd w:val="clear" w:color="auto" w:fill="FFFFFF"/>
            <w:tcMar>
              <w:left w:w="28" w:type="dxa"/>
              <w:right w:w="28" w:type="dxa"/>
            </w:tcMar>
            <w:vAlign w:val="center"/>
          </w:tcPr>
          <w:p w:rsidR="00FE0045" w:rsidRDefault="00FE0045" w:rsidP="00F00D23">
            <w:pPr>
              <w:pStyle w:val="Tablehead"/>
            </w:pPr>
            <w:r>
              <w:t>Macrocellule</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F00D23">
            <w:pPr>
              <w:pStyle w:val="Tablehead"/>
            </w:pPr>
            <w:r>
              <w:t>Microcellule</w:t>
            </w:r>
          </w:p>
        </w:tc>
        <w:tc>
          <w:tcPr>
            <w:tcW w:w="126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F00D23">
            <w:pPr>
              <w:pStyle w:val="Tablehead"/>
            </w:pPr>
            <w:r>
              <w:t>Picocellule</w:t>
            </w:r>
          </w:p>
        </w:tc>
        <w:tc>
          <w:tcPr>
            <w:tcW w:w="1359" w:type="dxa"/>
            <w:gridSpan w:val="2"/>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F00D23">
            <w:pPr>
              <w:pStyle w:val="Tablehead"/>
            </w:pPr>
            <w:r>
              <w:t>Point d'accès public</w:t>
            </w:r>
          </w:p>
        </w:tc>
      </w:tr>
      <w:tr w:rsidR="00FE0045" w:rsidTr="00E12924">
        <w:trPr>
          <w:jc w:val="center"/>
        </w:trPr>
        <w:tc>
          <w:tcPr>
            <w:tcW w:w="2696" w:type="dxa"/>
            <w:tcBorders>
              <w:top w:val="nil"/>
              <w:left w:val="single" w:sz="6" w:space="0" w:color="auto"/>
              <w:bottom w:val="single" w:sz="6" w:space="0" w:color="auto"/>
              <w:right w:val="single" w:sz="6" w:space="0" w:color="auto"/>
            </w:tcBorders>
            <w:shd w:val="clear" w:color="auto" w:fill="FFFFFF"/>
            <w:tcMar>
              <w:left w:w="28" w:type="dxa"/>
              <w:right w:w="28" w:type="dxa"/>
            </w:tcMar>
            <w:vAlign w:val="center"/>
          </w:tcPr>
          <w:p w:rsidR="00FE0045" w:rsidRDefault="00FE0045" w:rsidP="00F00D23">
            <w:pPr>
              <w:pStyle w:val="Tabletext"/>
              <w:rPr>
                <w:szCs w:val="22"/>
              </w:rPr>
            </w:pPr>
            <w:r>
              <w:t>Débit de données des applications</w:t>
            </w:r>
          </w:p>
        </w:tc>
        <w:tc>
          <w:tcPr>
            <w:tcW w:w="1444"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Mbit/s</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50</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100</w:t>
            </w:r>
          </w:p>
        </w:tc>
        <w:tc>
          <w:tcPr>
            <w:tcW w:w="126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1 000</w:t>
            </w:r>
          </w:p>
        </w:tc>
        <w:tc>
          <w:tcPr>
            <w:tcW w:w="1359" w:type="dxa"/>
            <w:gridSpan w:val="2"/>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1 000</w:t>
            </w:r>
          </w:p>
        </w:tc>
      </w:tr>
      <w:tr w:rsidR="00FE0045" w:rsidTr="00E12924">
        <w:trPr>
          <w:jc w:val="center"/>
        </w:trPr>
        <w:tc>
          <w:tcPr>
            <w:tcW w:w="2696" w:type="dxa"/>
            <w:tcBorders>
              <w:top w:val="nil"/>
              <w:left w:val="single" w:sz="6" w:space="0" w:color="auto"/>
              <w:bottom w:val="single" w:sz="6" w:space="0" w:color="auto"/>
              <w:right w:val="single" w:sz="6" w:space="0" w:color="auto"/>
            </w:tcBorders>
            <w:shd w:val="clear" w:color="auto" w:fill="FFFFFF"/>
            <w:tcMar>
              <w:left w:w="28" w:type="dxa"/>
              <w:right w:w="28" w:type="dxa"/>
            </w:tcMar>
          </w:tcPr>
          <w:p w:rsidR="00FE0045" w:rsidRDefault="00FE0045" w:rsidP="00B905E4">
            <w:pPr>
              <w:pStyle w:val="Tabletext"/>
              <w:jc w:val="left"/>
              <w:rPr>
                <w:kern w:val="28"/>
              </w:rPr>
            </w:pPr>
            <w:r>
              <w:rPr>
                <w:kern w:val="28"/>
              </w:rPr>
              <w:t>Catégories de mobilité prises en charge</w:t>
            </w:r>
          </w:p>
        </w:tc>
        <w:tc>
          <w:tcPr>
            <w:tcW w:w="1444"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kern w:val="28"/>
              </w:rPr>
              <w:t>Stationnaire/</w:t>
            </w:r>
            <w:r>
              <w:rPr>
                <w:kern w:val="28"/>
              </w:rPr>
              <w:br/>
            </w:r>
            <w:r>
              <w:t>piéton, faible, forte</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kern w:val="28"/>
              </w:rPr>
              <w:t>Stationnaire/</w:t>
            </w:r>
            <w:r>
              <w:rPr>
                <w:kern w:val="28"/>
              </w:rPr>
              <w:br/>
            </w:r>
            <w:r>
              <w:t>piéton, faible</w:t>
            </w:r>
          </w:p>
        </w:tc>
        <w:tc>
          <w:tcPr>
            <w:tcW w:w="126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kern w:val="28"/>
              </w:rPr>
              <w:t>Stationnaire/</w:t>
            </w:r>
            <w:r>
              <w:rPr>
                <w:kern w:val="28"/>
              </w:rPr>
              <w:br/>
            </w:r>
            <w:r>
              <w:t>piéton</w:t>
            </w:r>
          </w:p>
        </w:tc>
        <w:tc>
          <w:tcPr>
            <w:tcW w:w="1359" w:type="dxa"/>
            <w:gridSpan w:val="2"/>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kern w:val="28"/>
              </w:rPr>
              <w:t>Stationnaire/</w:t>
            </w:r>
            <w:r>
              <w:rPr>
                <w:kern w:val="28"/>
              </w:rPr>
              <w:br/>
            </w:r>
            <w:r>
              <w:t>piéton</w:t>
            </w:r>
          </w:p>
        </w:tc>
      </w:tr>
      <w:tr w:rsidR="00FE0045" w:rsidTr="00E12924">
        <w:trPr>
          <w:jc w:val="center"/>
        </w:trPr>
        <w:tc>
          <w:tcPr>
            <w:tcW w:w="2696" w:type="dxa"/>
            <w:tcBorders>
              <w:top w:val="nil"/>
              <w:left w:val="single" w:sz="6" w:space="0" w:color="auto"/>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left"/>
              <w:rPr>
                <w:szCs w:val="22"/>
              </w:rPr>
            </w:pPr>
            <w:r>
              <w:t>Bandes de garde entre opérateurs</w:t>
            </w:r>
          </w:p>
        </w:tc>
        <w:tc>
          <w:tcPr>
            <w:tcW w:w="1444"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MHz</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0</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0</w:t>
            </w:r>
          </w:p>
        </w:tc>
        <w:tc>
          <w:tcPr>
            <w:tcW w:w="126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0</w:t>
            </w:r>
          </w:p>
        </w:tc>
        <w:tc>
          <w:tcPr>
            <w:tcW w:w="1359" w:type="dxa"/>
            <w:gridSpan w:val="2"/>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0</w:t>
            </w:r>
          </w:p>
        </w:tc>
      </w:tr>
      <w:tr w:rsidR="00FE0045" w:rsidTr="00E12924">
        <w:trPr>
          <w:jc w:val="center"/>
        </w:trPr>
        <w:tc>
          <w:tcPr>
            <w:tcW w:w="2696" w:type="dxa"/>
            <w:tcBorders>
              <w:top w:val="nil"/>
              <w:left w:val="single" w:sz="6" w:space="0" w:color="auto"/>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left"/>
              <w:rPr>
                <w:szCs w:val="22"/>
              </w:rPr>
            </w:pPr>
            <w:r>
              <w:t>Déploiement minimal par opérateur et par environnement radioélectrique</w:t>
            </w:r>
          </w:p>
        </w:tc>
        <w:tc>
          <w:tcPr>
            <w:tcW w:w="1444"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MHz</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50-100</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50-100</w:t>
            </w:r>
          </w:p>
        </w:tc>
        <w:tc>
          <w:tcPr>
            <w:tcW w:w="126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100</w:t>
            </w:r>
          </w:p>
        </w:tc>
        <w:tc>
          <w:tcPr>
            <w:tcW w:w="1359" w:type="dxa"/>
            <w:gridSpan w:val="2"/>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100</w:t>
            </w:r>
          </w:p>
        </w:tc>
      </w:tr>
      <w:tr w:rsidR="00FE0045" w:rsidTr="00E12924">
        <w:trPr>
          <w:jc w:val="center"/>
        </w:trPr>
        <w:tc>
          <w:tcPr>
            <w:tcW w:w="2696" w:type="dxa"/>
            <w:tcBorders>
              <w:top w:val="nil"/>
              <w:left w:val="single" w:sz="6" w:space="0" w:color="auto"/>
              <w:bottom w:val="single" w:sz="6" w:space="0" w:color="auto"/>
              <w:right w:val="single" w:sz="6" w:space="0" w:color="auto"/>
            </w:tcBorders>
            <w:shd w:val="clear" w:color="auto" w:fill="FFFFFF"/>
            <w:tcMar>
              <w:left w:w="28" w:type="dxa"/>
              <w:right w:w="28" w:type="dxa"/>
            </w:tcMar>
            <w:vAlign w:val="center"/>
          </w:tcPr>
          <w:p w:rsidR="00FE0045" w:rsidRPr="00FE0045" w:rsidRDefault="00FE0045" w:rsidP="00B905E4">
            <w:pPr>
              <w:pStyle w:val="Tabletext"/>
              <w:jc w:val="left"/>
              <w:rPr>
                <w:lang w:val="fr-CH"/>
              </w:rPr>
            </w:pPr>
            <w:r>
              <w:t>Granularité du déploiement par opérateur et par environnement radioélectrique</w:t>
            </w:r>
          </w:p>
        </w:tc>
        <w:tc>
          <w:tcPr>
            <w:tcW w:w="1444"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MHz</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20</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20</w:t>
            </w:r>
          </w:p>
        </w:tc>
        <w:tc>
          <w:tcPr>
            <w:tcW w:w="126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20</w:t>
            </w:r>
          </w:p>
        </w:tc>
        <w:tc>
          <w:tcPr>
            <w:tcW w:w="1359" w:type="dxa"/>
            <w:gridSpan w:val="2"/>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20</w:t>
            </w:r>
          </w:p>
        </w:tc>
      </w:tr>
    </w:tbl>
    <w:p w:rsidR="00D02952" w:rsidRDefault="00D02952">
      <w:r>
        <w:br w:type="page"/>
      </w:r>
    </w:p>
    <w:p w:rsidR="00D02952" w:rsidRDefault="00D02952" w:rsidP="00D02952">
      <w:pPr>
        <w:pStyle w:val="TableNo"/>
      </w:pPr>
      <w:r>
        <w:lastRenderedPageBreak/>
        <w:t>TABLEAU 10b</w:t>
      </w:r>
      <w:r>
        <w:t xml:space="preserve"> (</w:t>
      </w:r>
      <w:r>
        <w:rPr>
          <w:i/>
          <w:iCs/>
        </w:rPr>
        <w:t>fin</w:t>
      </w:r>
      <w:r>
        <w:t>)</w:t>
      </w:r>
    </w:p>
    <w:tbl>
      <w:tblPr>
        <w:tblW w:w="9639" w:type="dxa"/>
        <w:jc w:val="center"/>
        <w:shd w:val="clear" w:color="auto" w:fill="FFFFFF"/>
        <w:tblLook w:val="0000" w:firstRow="0" w:lastRow="0" w:firstColumn="0" w:lastColumn="0" w:noHBand="0" w:noVBand="0"/>
      </w:tblPr>
      <w:tblGrid>
        <w:gridCol w:w="2696"/>
        <w:gridCol w:w="1444"/>
        <w:gridCol w:w="1440"/>
        <w:gridCol w:w="1440"/>
        <w:gridCol w:w="1260"/>
        <w:gridCol w:w="1349"/>
        <w:gridCol w:w="10"/>
      </w:tblGrid>
      <w:tr w:rsidR="00D02952" w:rsidTr="005D1573">
        <w:trPr>
          <w:gridAfter w:val="1"/>
          <w:wAfter w:w="10" w:type="dxa"/>
          <w:jc w:val="center"/>
        </w:trPr>
        <w:tc>
          <w:tcPr>
            <w:tcW w:w="2696" w:type="dxa"/>
            <w:vMerge w:val="restart"/>
            <w:tcBorders>
              <w:top w:val="single" w:sz="6" w:space="0" w:color="auto"/>
              <w:left w:val="single" w:sz="6" w:space="0" w:color="auto"/>
              <w:right w:val="single" w:sz="6" w:space="0" w:color="auto"/>
            </w:tcBorders>
            <w:shd w:val="clear" w:color="auto" w:fill="FFFFFF"/>
            <w:tcMar>
              <w:left w:w="28" w:type="dxa"/>
              <w:right w:w="28" w:type="dxa"/>
            </w:tcMar>
            <w:vAlign w:val="center"/>
          </w:tcPr>
          <w:p w:rsidR="00D02952" w:rsidRDefault="00D02952" w:rsidP="005D1573">
            <w:pPr>
              <w:pStyle w:val="Tablehead"/>
            </w:pPr>
            <w:r>
              <w:t>Attribut</w:t>
            </w:r>
          </w:p>
        </w:tc>
        <w:tc>
          <w:tcPr>
            <w:tcW w:w="6933" w:type="dxa"/>
            <w:gridSpan w:val="5"/>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D02952" w:rsidRDefault="00D02952" w:rsidP="005D1573">
            <w:pPr>
              <w:pStyle w:val="Tablehead"/>
            </w:pPr>
            <w:r>
              <w:t>RATG2</w:t>
            </w:r>
          </w:p>
        </w:tc>
      </w:tr>
      <w:tr w:rsidR="00D02952" w:rsidTr="005D1573">
        <w:trPr>
          <w:gridAfter w:val="1"/>
          <w:wAfter w:w="10" w:type="dxa"/>
          <w:jc w:val="center"/>
        </w:trPr>
        <w:tc>
          <w:tcPr>
            <w:tcW w:w="2696" w:type="dxa"/>
            <w:vMerge/>
            <w:tcBorders>
              <w:left w:val="single" w:sz="6" w:space="0" w:color="auto"/>
              <w:right w:val="single" w:sz="6" w:space="0" w:color="auto"/>
            </w:tcBorders>
            <w:shd w:val="clear" w:color="auto" w:fill="FFFFFF"/>
            <w:tcMar>
              <w:left w:w="28" w:type="dxa"/>
              <w:right w:w="28" w:type="dxa"/>
            </w:tcMar>
            <w:vAlign w:val="center"/>
          </w:tcPr>
          <w:p w:rsidR="00D02952" w:rsidRDefault="00D02952" w:rsidP="005D1573">
            <w:pPr>
              <w:pStyle w:val="Tablehead"/>
            </w:pPr>
          </w:p>
        </w:tc>
        <w:tc>
          <w:tcPr>
            <w:tcW w:w="6933" w:type="dxa"/>
            <w:gridSpan w:val="5"/>
            <w:tcBorders>
              <w:top w:val="single" w:sz="6" w:space="0" w:color="auto"/>
              <w:left w:val="single" w:sz="6" w:space="0" w:color="auto"/>
              <w:bottom w:val="single" w:sz="6" w:space="0" w:color="auto"/>
              <w:right w:val="single" w:sz="6" w:space="0" w:color="000000"/>
            </w:tcBorders>
            <w:shd w:val="clear" w:color="auto" w:fill="FFFFFF"/>
            <w:tcMar>
              <w:left w:w="28" w:type="dxa"/>
              <w:right w:w="28" w:type="dxa"/>
            </w:tcMar>
            <w:vAlign w:val="center"/>
          </w:tcPr>
          <w:p w:rsidR="00D02952" w:rsidRDefault="00D02952" w:rsidP="005D1573">
            <w:pPr>
              <w:pStyle w:val="Tablehead"/>
            </w:pPr>
            <w:r>
              <w:t>Valeur</w:t>
            </w:r>
          </w:p>
        </w:tc>
      </w:tr>
      <w:tr w:rsidR="00D02952" w:rsidTr="005D1573">
        <w:trPr>
          <w:jc w:val="center"/>
        </w:trPr>
        <w:tc>
          <w:tcPr>
            <w:tcW w:w="2696" w:type="dxa"/>
            <w:vMerge/>
            <w:tcBorders>
              <w:left w:val="single" w:sz="6" w:space="0" w:color="auto"/>
              <w:bottom w:val="single" w:sz="6" w:space="0" w:color="auto"/>
              <w:right w:val="single" w:sz="6" w:space="0" w:color="auto"/>
            </w:tcBorders>
            <w:shd w:val="clear" w:color="auto" w:fill="FFFFFF"/>
            <w:tcMar>
              <w:left w:w="28" w:type="dxa"/>
              <w:right w:w="28" w:type="dxa"/>
            </w:tcMar>
            <w:vAlign w:val="center"/>
          </w:tcPr>
          <w:p w:rsidR="00D02952" w:rsidRDefault="00D02952" w:rsidP="005D1573">
            <w:pPr>
              <w:pStyle w:val="Tablehead"/>
            </w:pPr>
          </w:p>
        </w:tc>
        <w:tc>
          <w:tcPr>
            <w:tcW w:w="1444" w:type="dxa"/>
            <w:tcBorders>
              <w:top w:val="single" w:sz="6" w:space="0" w:color="auto"/>
              <w:left w:val="single" w:sz="6" w:space="0" w:color="auto"/>
              <w:bottom w:val="single" w:sz="6" w:space="0" w:color="auto"/>
              <w:right w:val="nil"/>
            </w:tcBorders>
            <w:shd w:val="clear" w:color="auto" w:fill="FFFFFF"/>
            <w:tcMar>
              <w:left w:w="28" w:type="dxa"/>
              <w:right w:w="28" w:type="dxa"/>
            </w:tcMar>
            <w:vAlign w:val="center"/>
          </w:tcPr>
          <w:p w:rsidR="00D02952" w:rsidRDefault="00D02952" w:rsidP="005D1573">
            <w:pPr>
              <w:pStyle w:val="Tablehead"/>
            </w:pPr>
            <w:r>
              <w:t>Unité</w:t>
            </w:r>
          </w:p>
        </w:tc>
        <w:tc>
          <w:tcPr>
            <w:tcW w:w="1440" w:type="dxa"/>
            <w:tcBorders>
              <w:top w:val="nil"/>
              <w:left w:val="single" w:sz="6" w:space="0" w:color="auto"/>
              <w:bottom w:val="single" w:sz="6" w:space="0" w:color="auto"/>
              <w:right w:val="single" w:sz="6" w:space="0" w:color="auto"/>
            </w:tcBorders>
            <w:shd w:val="clear" w:color="auto" w:fill="FFFFFF"/>
            <w:tcMar>
              <w:left w:w="28" w:type="dxa"/>
              <w:right w:w="28" w:type="dxa"/>
            </w:tcMar>
            <w:vAlign w:val="center"/>
          </w:tcPr>
          <w:p w:rsidR="00D02952" w:rsidRDefault="00D02952" w:rsidP="005D1573">
            <w:pPr>
              <w:pStyle w:val="Tablehead"/>
            </w:pPr>
            <w:r>
              <w:t>Macrocellule</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D02952" w:rsidRDefault="00D02952" w:rsidP="005D1573">
            <w:pPr>
              <w:pStyle w:val="Tablehead"/>
            </w:pPr>
            <w:r>
              <w:t>Microcellule</w:t>
            </w:r>
          </w:p>
        </w:tc>
        <w:tc>
          <w:tcPr>
            <w:tcW w:w="1260" w:type="dxa"/>
            <w:tcBorders>
              <w:top w:val="nil"/>
              <w:left w:val="nil"/>
              <w:bottom w:val="single" w:sz="6" w:space="0" w:color="auto"/>
              <w:right w:val="single" w:sz="6" w:space="0" w:color="auto"/>
            </w:tcBorders>
            <w:shd w:val="clear" w:color="auto" w:fill="FFFFFF"/>
            <w:tcMar>
              <w:left w:w="28" w:type="dxa"/>
              <w:right w:w="28" w:type="dxa"/>
            </w:tcMar>
            <w:vAlign w:val="center"/>
          </w:tcPr>
          <w:p w:rsidR="00D02952" w:rsidRDefault="00D02952" w:rsidP="005D1573">
            <w:pPr>
              <w:pStyle w:val="Tablehead"/>
            </w:pPr>
            <w:r>
              <w:t>Picocellule</w:t>
            </w:r>
          </w:p>
        </w:tc>
        <w:tc>
          <w:tcPr>
            <w:tcW w:w="1359" w:type="dxa"/>
            <w:gridSpan w:val="2"/>
            <w:tcBorders>
              <w:top w:val="nil"/>
              <w:left w:val="nil"/>
              <w:bottom w:val="single" w:sz="6" w:space="0" w:color="auto"/>
              <w:right w:val="single" w:sz="6" w:space="0" w:color="auto"/>
            </w:tcBorders>
            <w:shd w:val="clear" w:color="auto" w:fill="FFFFFF"/>
            <w:tcMar>
              <w:left w:w="28" w:type="dxa"/>
              <w:right w:w="28" w:type="dxa"/>
            </w:tcMar>
            <w:vAlign w:val="center"/>
          </w:tcPr>
          <w:p w:rsidR="00D02952" w:rsidRDefault="00D02952" w:rsidP="005D1573">
            <w:pPr>
              <w:pStyle w:val="Tablehead"/>
            </w:pPr>
            <w:r>
              <w:t>Point d'accès public</w:t>
            </w:r>
          </w:p>
        </w:tc>
      </w:tr>
      <w:tr w:rsidR="00FE0045" w:rsidTr="00E12924">
        <w:trPr>
          <w:jc w:val="center"/>
        </w:trPr>
        <w:tc>
          <w:tcPr>
            <w:tcW w:w="2696" w:type="dxa"/>
            <w:tcBorders>
              <w:top w:val="nil"/>
              <w:left w:val="single" w:sz="6" w:space="0" w:color="auto"/>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left"/>
              <w:rPr>
                <w:szCs w:val="22"/>
              </w:rPr>
            </w:pPr>
            <w:r>
              <w:t>Nombre de réseaux déployés en chevauchement</w:t>
            </w:r>
          </w:p>
        </w:tc>
        <w:tc>
          <w:tcPr>
            <w:tcW w:w="1444"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Nombre</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1-4</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1-4</w:t>
            </w:r>
          </w:p>
        </w:tc>
        <w:tc>
          <w:tcPr>
            <w:tcW w:w="126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1-4</w:t>
            </w:r>
          </w:p>
        </w:tc>
        <w:tc>
          <w:tcPr>
            <w:tcW w:w="1359" w:type="dxa"/>
            <w:gridSpan w:val="2"/>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1-4</w:t>
            </w:r>
          </w:p>
        </w:tc>
      </w:tr>
      <w:tr w:rsidR="00FE0045" w:rsidTr="00E12924">
        <w:trPr>
          <w:jc w:val="center"/>
        </w:trPr>
        <w:tc>
          <w:tcPr>
            <w:tcW w:w="2696" w:type="dxa"/>
            <w:tcBorders>
              <w:top w:val="nil"/>
              <w:left w:val="single" w:sz="6" w:space="0" w:color="auto"/>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left"/>
              <w:rPr>
                <w:szCs w:val="22"/>
              </w:rPr>
            </w:pPr>
            <w:r>
              <w:t>Utilisation souple des fréquences (FSU) possible</w:t>
            </w:r>
          </w:p>
        </w:tc>
        <w:tc>
          <w:tcPr>
            <w:tcW w:w="1444"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Booléenne</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Oui</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oui</w:t>
            </w:r>
          </w:p>
        </w:tc>
        <w:tc>
          <w:tcPr>
            <w:tcW w:w="126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oui</w:t>
            </w:r>
          </w:p>
        </w:tc>
        <w:tc>
          <w:tcPr>
            <w:tcW w:w="1359" w:type="dxa"/>
            <w:gridSpan w:val="2"/>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Oui</w:t>
            </w:r>
          </w:p>
        </w:tc>
      </w:tr>
      <w:tr w:rsidR="00FE0045" w:rsidTr="00E12924">
        <w:trPr>
          <w:jc w:val="center"/>
        </w:trPr>
        <w:tc>
          <w:tcPr>
            <w:tcW w:w="2696" w:type="dxa"/>
            <w:tcBorders>
              <w:top w:val="nil"/>
              <w:left w:val="single" w:sz="6" w:space="0" w:color="auto"/>
              <w:bottom w:val="single" w:sz="6" w:space="0" w:color="auto"/>
              <w:right w:val="single" w:sz="6" w:space="0" w:color="auto"/>
            </w:tcBorders>
            <w:shd w:val="clear" w:color="auto" w:fill="FFFFFF"/>
            <w:tcMar>
              <w:left w:w="28" w:type="dxa"/>
              <w:right w:w="28" w:type="dxa"/>
            </w:tcMar>
          </w:tcPr>
          <w:p w:rsidR="00FE0045" w:rsidRDefault="00FE0045" w:rsidP="00B905E4">
            <w:pPr>
              <w:pStyle w:val="Tabletext"/>
              <w:jc w:val="left"/>
              <w:rPr>
                <w:kern w:val="28"/>
              </w:rPr>
            </w:pPr>
            <w:r>
              <w:rPr>
                <w:kern w:val="28"/>
              </w:rPr>
              <w:t>Marge FSU</w:t>
            </w:r>
          </w:p>
        </w:tc>
        <w:tc>
          <w:tcPr>
            <w:tcW w:w="1444"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Multiplicateur</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1</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1</w:t>
            </w:r>
          </w:p>
        </w:tc>
        <w:tc>
          <w:tcPr>
            <w:tcW w:w="126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1</w:t>
            </w:r>
          </w:p>
        </w:tc>
        <w:tc>
          <w:tcPr>
            <w:tcW w:w="1359" w:type="dxa"/>
            <w:gridSpan w:val="2"/>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1</w:t>
            </w:r>
          </w:p>
        </w:tc>
      </w:tr>
      <w:tr w:rsidR="00FE0045" w:rsidTr="00E12924">
        <w:trPr>
          <w:jc w:val="center"/>
        </w:trPr>
        <w:tc>
          <w:tcPr>
            <w:tcW w:w="2696" w:type="dxa"/>
            <w:tcBorders>
              <w:top w:val="nil"/>
              <w:left w:val="single" w:sz="6" w:space="0" w:color="auto"/>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left"/>
              <w:rPr>
                <w:szCs w:val="22"/>
              </w:rPr>
            </w:pPr>
            <w:r>
              <w:t>Efficacité spectrale dans la zone</w:t>
            </w:r>
          </w:p>
        </w:tc>
        <w:tc>
          <w:tcPr>
            <w:tcW w:w="1444"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pPr>
            <w:r>
              <w:rPr>
                <w:szCs w:val="22"/>
              </w:rPr>
              <w:t>bit/s/Hz/cellule</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2-4</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2-5</w:t>
            </w:r>
          </w:p>
        </w:tc>
        <w:tc>
          <w:tcPr>
            <w:tcW w:w="126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3-6</w:t>
            </w:r>
          </w:p>
        </w:tc>
        <w:tc>
          <w:tcPr>
            <w:tcW w:w="1359" w:type="dxa"/>
            <w:gridSpan w:val="2"/>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5-10</w:t>
            </w:r>
          </w:p>
        </w:tc>
      </w:tr>
      <w:tr w:rsidR="00FE0045" w:rsidTr="00E12924">
        <w:trPr>
          <w:jc w:val="center"/>
        </w:trPr>
        <w:tc>
          <w:tcPr>
            <w:tcW w:w="2696" w:type="dxa"/>
            <w:tcBorders>
              <w:top w:val="nil"/>
              <w:left w:val="single" w:sz="6" w:space="0" w:color="auto"/>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left"/>
              <w:rPr>
                <w:szCs w:val="22"/>
              </w:rPr>
            </w:pPr>
            <w:r>
              <w:t>Efficacité spectrale dans la zone pour la multidiffusion</w:t>
            </w:r>
          </w:p>
        </w:tc>
        <w:tc>
          <w:tcPr>
            <w:tcW w:w="1444"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pPr>
            <w:r>
              <w:rPr>
                <w:szCs w:val="22"/>
              </w:rPr>
              <w:t>bit/s/Hz/cellule</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1-1,5</w:t>
            </w:r>
          </w:p>
        </w:tc>
        <w:tc>
          <w:tcPr>
            <w:tcW w:w="144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1-2,5</w:t>
            </w:r>
          </w:p>
        </w:tc>
        <w:tc>
          <w:tcPr>
            <w:tcW w:w="1260" w:type="dxa"/>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1,5-3</w:t>
            </w:r>
          </w:p>
        </w:tc>
        <w:tc>
          <w:tcPr>
            <w:tcW w:w="1359" w:type="dxa"/>
            <w:gridSpan w:val="2"/>
            <w:tcBorders>
              <w:top w:val="nil"/>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2,5-5</w:t>
            </w:r>
          </w:p>
        </w:tc>
      </w:tr>
      <w:tr w:rsidR="00FE0045" w:rsidTr="00E12924">
        <w:trPr>
          <w:jc w:val="center"/>
        </w:trPr>
        <w:tc>
          <w:tcPr>
            <w:tcW w:w="269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E0045" w:rsidRDefault="00FE0045" w:rsidP="00B905E4">
            <w:pPr>
              <w:pStyle w:val="Tabletext"/>
              <w:jc w:val="left"/>
              <w:rPr>
                <w:kern w:val="28"/>
              </w:rPr>
            </w:pPr>
            <w:r>
              <w:rPr>
                <w:kern w:val="28"/>
              </w:rPr>
              <w:t>Fréquence de fonctionnement type</w:t>
            </w:r>
          </w:p>
        </w:tc>
        <w:tc>
          <w:tcPr>
            <w:tcW w:w="1444" w:type="dxa"/>
            <w:tcBorders>
              <w:top w:val="single" w:sz="6" w:space="0" w:color="auto"/>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MHz</w:t>
            </w:r>
          </w:p>
        </w:tc>
        <w:tc>
          <w:tcPr>
            <w:tcW w:w="1440" w:type="dxa"/>
            <w:tcBorders>
              <w:top w:val="single" w:sz="6" w:space="0" w:color="auto"/>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&lt; 6 000</w:t>
            </w:r>
          </w:p>
        </w:tc>
        <w:tc>
          <w:tcPr>
            <w:tcW w:w="1440" w:type="dxa"/>
            <w:tcBorders>
              <w:top w:val="single" w:sz="6" w:space="0" w:color="auto"/>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&lt; 6 000</w:t>
            </w:r>
          </w:p>
        </w:tc>
        <w:tc>
          <w:tcPr>
            <w:tcW w:w="1260" w:type="dxa"/>
            <w:tcBorders>
              <w:top w:val="single" w:sz="6" w:space="0" w:color="auto"/>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&lt; 6 000</w:t>
            </w:r>
          </w:p>
        </w:tc>
        <w:tc>
          <w:tcPr>
            <w:tcW w:w="1359" w:type="dxa"/>
            <w:gridSpan w:val="2"/>
            <w:tcBorders>
              <w:top w:val="single" w:sz="6" w:space="0" w:color="auto"/>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&lt; 6 000</w:t>
            </w:r>
          </w:p>
        </w:tc>
      </w:tr>
      <w:tr w:rsidR="00FE0045" w:rsidTr="00E12924">
        <w:trPr>
          <w:jc w:val="center"/>
        </w:trPr>
        <w:tc>
          <w:tcPr>
            <w:tcW w:w="269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E0045" w:rsidRDefault="00FE0045" w:rsidP="00B905E4">
            <w:pPr>
              <w:pStyle w:val="Tabletext"/>
              <w:jc w:val="left"/>
              <w:rPr>
                <w:kern w:val="28"/>
              </w:rPr>
            </w:pPr>
            <w:r>
              <w:rPr>
                <w:kern w:val="28"/>
              </w:rPr>
              <w:t>Prise en charge pour la multidiffusion</w:t>
            </w:r>
          </w:p>
        </w:tc>
        <w:tc>
          <w:tcPr>
            <w:tcW w:w="1444" w:type="dxa"/>
            <w:tcBorders>
              <w:top w:val="single" w:sz="6" w:space="0" w:color="auto"/>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Booléenne</w:t>
            </w:r>
          </w:p>
        </w:tc>
        <w:tc>
          <w:tcPr>
            <w:tcW w:w="1440" w:type="dxa"/>
            <w:tcBorders>
              <w:top w:val="single" w:sz="6" w:space="0" w:color="auto"/>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Oui</w:t>
            </w:r>
          </w:p>
        </w:tc>
        <w:tc>
          <w:tcPr>
            <w:tcW w:w="1440" w:type="dxa"/>
            <w:tcBorders>
              <w:top w:val="single" w:sz="6" w:space="0" w:color="auto"/>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Oui</w:t>
            </w:r>
          </w:p>
        </w:tc>
        <w:tc>
          <w:tcPr>
            <w:tcW w:w="1260" w:type="dxa"/>
            <w:tcBorders>
              <w:top w:val="single" w:sz="6" w:space="0" w:color="auto"/>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Oui</w:t>
            </w:r>
          </w:p>
        </w:tc>
        <w:tc>
          <w:tcPr>
            <w:tcW w:w="1359" w:type="dxa"/>
            <w:gridSpan w:val="2"/>
            <w:tcBorders>
              <w:top w:val="single" w:sz="6" w:space="0" w:color="auto"/>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Oui</w:t>
            </w:r>
          </w:p>
        </w:tc>
      </w:tr>
    </w:tbl>
    <w:p w:rsidR="00FE0045" w:rsidRDefault="00FE0045" w:rsidP="00FE0045">
      <w:pPr>
        <w:pStyle w:val="Tablefin"/>
        <w:rPr>
          <w:kern w:val="28"/>
        </w:rPr>
      </w:pPr>
    </w:p>
    <w:p w:rsidR="00FE0045" w:rsidRDefault="00FE0045" w:rsidP="00FE0045">
      <w:pPr>
        <w:pStyle w:val="TableNo"/>
        <w:rPr>
          <w:kern w:val="28"/>
        </w:rPr>
      </w:pPr>
      <w:r>
        <w:rPr>
          <w:kern w:val="28"/>
        </w:rPr>
        <w:t>TABLEAU 10c</w:t>
      </w:r>
    </w:p>
    <w:p w:rsidR="00FE0045" w:rsidRPr="005F24D3" w:rsidRDefault="00FE0045" w:rsidP="00FE0045">
      <w:pPr>
        <w:pStyle w:val="Tabletitle"/>
        <w:rPr>
          <w:kern w:val="28"/>
        </w:rPr>
      </w:pPr>
      <w:r>
        <w:rPr>
          <w:kern w:val="28"/>
        </w:rPr>
        <w:t>Paramètres radioélectriques requis pour le RATG3</w:t>
      </w:r>
    </w:p>
    <w:tbl>
      <w:tblPr>
        <w:tblW w:w="9639" w:type="dxa"/>
        <w:jc w:val="center"/>
        <w:tblLayout w:type="fixed"/>
        <w:tblLook w:val="0000" w:firstRow="0" w:lastRow="0" w:firstColumn="0" w:lastColumn="0" w:noHBand="0" w:noVBand="0"/>
      </w:tblPr>
      <w:tblGrid>
        <w:gridCol w:w="2701"/>
        <w:gridCol w:w="1438"/>
        <w:gridCol w:w="1442"/>
        <w:gridCol w:w="1440"/>
        <w:gridCol w:w="1259"/>
        <w:gridCol w:w="1359"/>
      </w:tblGrid>
      <w:tr w:rsidR="00FE0045" w:rsidRPr="00263A43" w:rsidTr="00E12924">
        <w:trPr>
          <w:jc w:val="center"/>
        </w:trPr>
        <w:tc>
          <w:tcPr>
            <w:tcW w:w="1401" w:type="pct"/>
            <w:vMerge w:val="restart"/>
            <w:tcBorders>
              <w:top w:val="single" w:sz="6" w:space="0" w:color="auto"/>
              <w:left w:val="single" w:sz="6" w:space="0" w:color="auto"/>
              <w:right w:val="nil"/>
            </w:tcBorders>
            <w:shd w:val="clear" w:color="auto" w:fill="FFFFFF"/>
            <w:tcMar>
              <w:left w:w="28" w:type="dxa"/>
              <w:right w:w="28" w:type="dxa"/>
            </w:tcMar>
            <w:vAlign w:val="center"/>
          </w:tcPr>
          <w:p w:rsidR="00FE0045" w:rsidRPr="00D24907" w:rsidRDefault="00FE0045" w:rsidP="00E12924">
            <w:pPr>
              <w:pStyle w:val="Tablehead"/>
              <w:rPr>
                <w:lang w:val="en-US"/>
              </w:rPr>
            </w:pPr>
            <w:r w:rsidRPr="00263A43">
              <w:t>Attribut</w:t>
            </w:r>
          </w:p>
        </w:tc>
        <w:tc>
          <w:tcPr>
            <w:tcW w:w="3599" w:type="pct"/>
            <w:gridSpan w:val="5"/>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E0045" w:rsidRPr="00263A43" w:rsidRDefault="00FE0045" w:rsidP="00E12924">
            <w:pPr>
              <w:pStyle w:val="Tablehead"/>
            </w:pPr>
            <w:r w:rsidRPr="00263A43">
              <w:t>RATG3</w:t>
            </w:r>
          </w:p>
        </w:tc>
      </w:tr>
      <w:tr w:rsidR="00FE0045" w:rsidRPr="00263A43" w:rsidTr="00E12924">
        <w:trPr>
          <w:jc w:val="center"/>
        </w:trPr>
        <w:tc>
          <w:tcPr>
            <w:tcW w:w="1401" w:type="pct"/>
            <w:vMerge/>
            <w:tcBorders>
              <w:left w:val="single" w:sz="6" w:space="0" w:color="auto"/>
              <w:right w:val="nil"/>
            </w:tcBorders>
            <w:shd w:val="clear" w:color="auto" w:fill="FFFFFF"/>
            <w:tcMar>
              <w:left w:w="28" w:type="dxa"/>
              <w:right w:w="28" w:type="dxa"/>
            </w:tcMar>
          </w:tcPr>
          <w:p w:rsidR="00FE0045" w:rsidRPr="00263A43" w:rsidRDefault="00FE0045" w:rsidP="00E12924">
            <w:pPr>
              <w:pStyle w:val="Tablehead"/>
            </w:pPr>
          </w:p>
        </w:tc>
        <w:tc>
          <w:tcPr>
            <w:tcW w:w="3599" w:type="pct"/>
            <w:gridSpan w:val="5"/>
            <w:tcBorders>
              <w:top w:val="single" w:sz="6" w:space="0" w:color="auto"/>
              <w:left w:val="single" w:sz="6" w:space="0" w:color="auto"/>
              <w:bottom w:val="single" w:sz="6" w:space="0" w:color="auto"/>
              <w:right w:val="single" w:sz="6" w:space="0" w:color="000000"/>
            </w:tcBorders>
            <w:shd w:val="clear" w:color="auto" w:fill="FFFFFF"/>
            <w:tcMar>
              <w:left w:w="28" w:type="dxa"/>
              <w:right w:w="28" w:type="dxa"/>
            </w:tcMar>
          </w:tcPr>
          <w:p w:rsidR="00FE0045" w:rsidRPr="00263A43" w:rsidRDefault="00FE0045" w:rsidP="00E12924">
            <w:pPr>
              <w:pStyle w:val="Tablehead"/>
            </w:pPr>
            <w:r w:rsidRPr="00263A43">
              <w:t>Valeur</w:t>
            </w:r>
          </w:p>
        </w:tc>
      </w:tr>
      <w:tr w:rsidR="00FE0045" w:rsidRPr="00263A43" w:rsidTr="00E12924">
        <w:trPr>
          <w:jc w:val="center"/>
        </w:trPr>
        <w:tc>
          <w:tcPr>
            <w:tcW w:w="1401" w:type="pct"/>
            <w:vMerge/>
            <w:tcBorders>
              <w:left w:val="single" w:sz="6" w:space="0" w:color="auto"/>
              <w:bottom w:val="single" w:sz="6" w:space="0" w:color="auto"/>
              <w:right w:val="nil"/>
            </w:tcBorders>
            <w:shd w:val="clear" w:color="auto" w:fill="FFFFFF"/>
            <w:tcMar>
              <w:left w:w="28" w:type="dxa"/>
              <w:right w:w="28" w:type="dxa"/>
            </w:tcMar>
          </w:tcPr>
          <w:p w:rsidR="00FE0045" w:rsidRPr="00263A43" w:rsidRDefault="00FE0045" w:rsidP="00E12924">
            <w:pPr>
              <w:pStyle w:val="Tablehead"/>
            </w:pPr>
          </w:p>
        </w:tc>
        <w:tc>
          <w:tcPr>
            <w:tcW w:w="746" w:type="pct"/>
            <w:tcBorders>
              <w:top w:val="nil"/>
              <w:left w:val="single" w:sz="6" w:space="0" w:color="auto"/>
              <w:bottom w:val="single" w:sz="6" w:space="0" w:color="auto"/>
              <w:right w:val="nil"/>
            </w:tcBorders>
            <w:shd w:val="clear" w:color="auto" w:fill="FFFFFF"/>
            <w:tcMar>
              <w:left w:w="28" w:type="dxa"/>
              <w:right w:w="28" w:type="dxa"/>
            </w:tcMar>
            <w:vAlign w:val="center"/>
          </w:tcPr>
          <w:p w:rsidR="00FE0045" w:rsidRPr="00263A43" w:rsidRDefault="00FE0045" w:rsidP="00E12924">
            <w:pPr>
              <w:pStyle w:val="Tablehead"/>
            </w:pPr>
            <w:r w:rsidRPr="00263A43">
              <w:t>Unité</w:t>
            </w:r>
          </w:p>
        </w:tc>
        <w:tc>
          <w:tcPr>
            <w:tcW w:w="748" w:type="pct"/>
            <w:tcBorders>
              <w:top w:val="nil"/>
              <w:left w:val="single" w:sz="6" w:space="0" w:color="auto"/>
              <w:bottom w:val="single" w:sz="6" w:space="0" w:color="auto"/>
              <w:right w:val="single" w:sz="6" w:space="0" w:color="auto"/>
            </w:tcBorders>
            <w:shd w:val="clear" w:color="auto" w:fill="FFFFFF"/>
            <w:tcMar>
              <w:left w:w="28" w:type="dxa"/>
              <w:right w:w="28" w:type="dxa"/>
            </w:tcMar>
            <w:vAlign w:val="center"/>
          </w:tcPr>
          <w:p w:rsidR="00FE0045" w:rsidRPr="00263A43" w:rsidRDefault="00FE0045" w:rsidP="00E12924">
            <w:pPr>
              <w:pStyle w:val="Tablehead"/>
            </w:pPr>
            <w:r w:rsidRPr="00263A43">
              <w:t>Macrocellule</w:t>
            </w:r>
          </w:p>
        </w:tc>
        <w:tc>
          <w:tcPr>
            <w:tcW w:w="747" w:type="pct"/>
            <w:tcBorders>
              <w:top w:val="nil"/>
              <w:left w:val="nil"/>
              <w:bottom w:val="single" w:sz="6" w:space="0" w:color="auto"/>
              <w:right w:val="single" w:sz="6" w:space="0" w:color="auto"/>
            </w:tcBorders>
            <w:shd w:val="clear" w:color="auto" w:fill="FFFFFF"/>
            <w:tcMar>
              <w:left w:w="28" w:type="dxa"/>
              <w:right w:w="28" w:type="dxa"/>
            </w:tcMar>
            <w:vAlign w:val="center"/>
          </w:tcPr>
          <w:p w:rsidR="00FE0045" w:rsidRPr="00263A43" w:rsidRDefault="00FE0045" w:rsidP="00E12924">
            <w:pPr>
              <w:pStyle w:val="Tablehead"/>
            </w:pPr>
            <w:r w:rsidRPr="00263A43">
              <w:t>Microcellule</w:t>
            </w:r>
          </w:p>
        </w:tc>
        <w:tc>
          <w:tcPr>
            <w:tcW w:w="653" w:type="pct"/>
            <w:tcBorders>
              <w:top w:val="nil"/>
              <w:left w:val="nil"/>
              <w:bottom w:val="single" w:sz="6" w:space="0" w:color="auto"/>
              <w:right w:val="single" w:sz="6" w:space="0" w:color="auto"/>
            </w:tcBorders>
            <w:shd w:val="clear" w:color="auto" w:fill="FFFFFF"/>
            <w:tcMar>
              <w:left w:w="28" w:type="dxa"/>
              <w:right w:w="28" w:type="dxa"/>
            </w:tcMar>
            <w:vAlign w:val="center"/>
          </w:tcPr>
          <w:p w:rsidR="00FE0045" w:rsidRPr="00263A43" w:rsidRDefault="00FE0045" w:rsidP="00E12924">
            <w:pPr>
              <w:pStyle w:val="Tablehead"/>
            </w:pPr>
            <w:r w:rsidRPr="00263A43">
              <w:t>Picocellule</w:t>
            </w:r>
          </w:p>
        </w:tc>
        <w:tc>
          <w:tcPr>
            <w:tcW w:w="705" w:type="pct"/>
            <w:tcBorders>
              <w:top w:val="nil"/>
              <w:left w:val="nil"/>
              <w:bottom w:val="single" w:sz="6" w:space="0" w:color="auto"/>
              <w:right w:val="single" w:sz="6" w:space="0" w:color="auto"/>
            </w:tcBorders>
            <w:shd w:val="clear" w:color="auto" w:fill="FFFFFF"/>
            <w:tcMar>
              <w:left w:w="28" w:type="dxa"/>
              <w:right w:w="28" w:type="dxa"/>
            </w:tcMar>
            <w:vAlign w:val="center"/>
          </w:tcPr>
          <w:p w:rsidR="00FE0045" w:rsidRPr="00263A43" w:rsidRDefault="00FE0045" w:rsidP="00E12924">
            <w:pPr>
              <w:pStyle w:val="Tablehead"/>
            </w:pPr>
            <w:r w:rsidRPr="00263A43">
              <w:t>Point d'accès public</w:t>
            </w:r>
          </w:p>
        </w:tc>
      </w:tr>
      <w:tr w:rsidR="00FE0045" w:rsidTr="00E12924">
        <w:trPr>
          <w:jc w:val="center"/>
        </w:trPr>
        <w:tc>
          <w:tcPr>
            <w:tcW w:w="1401" w:type="pct"/>
            <w:tcBorders>
              <w:top w:val="nil"/>
              <w:left w:val="single" w:sz="6" w:space="0" w:color="auto"/>
              <w:bottom w:val="single" w:sz="6" w:space="0" w:color="auto"/>
              <w:right w:val="single" w:sz="6" w:space="0" w:color="auto"/>
            </w:tcBorders>
            <w:tcMar>
              <w:left w:w="28" w:type="dxa"/>
              <w:right w:w="28" w:type="dxa"/>
            </w:tcMar>
            <w:vAlign w:val="bottom"/>
          </w:tcPr>
          <w:p w:rsidR="00FE0045" w:rsidRDefault="00FE0045" w:rsidP="00B905E4">
            <w:pPr>
              <w:pStyle w:val="Tabletext"/>
              <w:jc w:val="left"/>
              <w:rPr>
                <w:szCs w:val="22"/>
              </w:rPr>
            </w:pPr>
            <w:r>
              <w:t>Débit de données des applications</w:t>
            </w:r>
          </w:p>
        </w:tc>
        <w:tc>
          <w:tcPr>
            <w:tcW w:w="746" w:type="pct"/>
            <w:tcBorders>
              <w:top w:val="nil"/>
              <w:left w:val="nil"/>
              <w:bottom w:val="single" w:sz="6" w:space="0" w:color="auto"/>
              <w:right w:val="single" w:sz="6" w:space="0" w:color="auto"/>
            </w:tcBorders>
            <w:tcMar>
              <w:left w:w="28" w:type="dxa"/>
              <w:right w:w="28" w:type="dxa"/>
            </w:tcMar>
            <w:vAlign w:val="bottom"/>
          </w:tcPr>
          <w:p w:rsidR="00FE0045" w:rsidRDefault="00FE0045" w:rsidP="00B905E4">
            <w:pPr>
              <w:pStyle w:val="Tabletext"/>
              <w:jc w:val="center"/>
              <w:rPr>
                <w:szCs w:val="22"/>
              </w:rPr>
            </w:pPr>
            <w:r>
              <w:rPr>
                <w:szCs w:val="22"/>
              </w:rPr>
              <w:t>Mbit/s</w:t>
            </w:r>
          </w:p>
        </w:tc>
        <w:tc>
          <w:tcPr>
            <w:tcW w:w="748" w:type="pct"/>
            <w:tcBorders>
              <w:top w:val="nil"/>
              <w:left w:val="nil"/>
              <w:bottom w:val="single" w:sz="6" w:space="0" w:color="auto"/>
              <w:right w:val="single" w:sz="6" w:space="0" w:color="auto"/>
            </w:tcBorders>
            <w:shd w:val="clear" w:color="auto" w:fill="FFFFFF"/>
            <w:tcMar>
              <w:left w:w="28" w:type="dxa"/>
              <w:right w:w="28" w:type="dxa"/>
            </w:tcMar>
            <w:vAlign w:val="bottom"/>
          </w:tcPr>
          <w:p w:rsidR="00FE0045" w:rsidRDefault="00FE0045" w:rsidP="00B905E4">
            <w:pPr>
              <w:pStyle w:val="Tabletext"/>
              <w:jc w:val="center"/>
              <w:rPr>
                <w:szCs w:val="22"/>
              </w:rPr>
            </w:pPr>
            <w:r>
              <w:rPr>
                <w:szCs w:val="22"/>
              </w:rPr>
              <w:t>–</w:t>
            </w:r>
          </w:p>
        </w:tc>
        <w:tc>
          <w:tcPr>
            <w:tcW w:w="747" w:type="pct"/>
            <w:tcBorders>
              <w:top w:val="nil"/>
              <w:left w:val="nil"/>
              <w:bottom w:val="single" w:sz="6" w:space="0" w:color="auto"/>
              <w:right w:val="single" w:sz="6" w:space="0" w:color="auto"/>
            </w:tcBorders>
            <w:shd w:val="clear" w:color="auto" w:fill="FFFFFF"/>
            <w:tcMar>
              <w:left w:w="28" w:type="dxa"/>
              <w:right w:w="28" w:type="dxa"/>
            </w:tcMar>
            <w:vAlign w:val="bottom"/>
          </w:tcPr>
          <w:p w:rsidR="00FE0045" w:rsidRDefault="00FE0045" w:rsidP="00B905E4">
            <w:pPr>
              <w:pStyle w:val="Tabletext"/>
              <w:jc w:val="center"/>
              <w:rPr>
                <w:szCs w:val="22"/>
              </w:rPr>
            </w:pPr>
            <w:r>
              <w:rPr>
                <w:szCs w:val="22"/>
              </w:rPr>
              <w:t>–</w:t>
            </w:r>
          </w:p>
        </w:tc>
        <w:tc>
          <w:tcPr>
            <w:tcW w:w="653" w:type="pct"/>
            <w:tcBorders>
              <w:top w:val="nil"/>
              <w:left w:val="nil"/>
              <w:bottom w:val="single" w:sz="6" w:space="0" w:color="auto"/>
              <w:right w:val="single" w:sz="6" w:space="0" w:color="auto"/>
            </w:tcBorders>
            <w:shd w:val="clear" w:color="auto" w:fill="FFFFFF"/>
            <w:tcMar>
              <w:left w:w="28" w:type="dxa"/>
              <w:right w:w="28" w:type="dxa"/>
            </w:tcMar>
            <w:vAlign w:val="bottom"/>
          </w:tcPr>
          <w:p w:rsidR="00FE0045" w:rsidRDefault="00FE0045" w:rsidP="00B905E4">
            <w:pPr>
              <w:pStyle w:val="Tabletext"/>
              <w:jc w:val="center"/>
              <w:rPr>
                <w:szCs w:val="22"/>
              </w:rPr>
            </w:pPr>
            <w:r>
              <w:rPr>
                <w:szCs w:val="22"/>
              </w:rPr>
              <w:t>50</w:t>
            </w:r>
          </w:p>
        </w:tc>
        <w:tc>
          <w:tcPr>
            <w:tcW w:w="705" w:type="pct"/>
            <w:tcBorders>
              <w:top w:val="single" w:sz="6" w:space="0" w:color="auto"/>
              <w:left w:val="nil"/>
              <w:bottom w:val="single" w:sz="6" w:space="0" w:color="auto"/>
              <w:right w:val="single" w:sz="6" w:space="0" w:color="auto"/>
            </w:tcBorders>
            <w:shd w:val="clear" w:color="auto" w:fill="FFFFFF"/>
            <w:tcMar>
              <w:left w:w="28" w:type="dxa"/>
              <w:right w:w="28" w:type="dxa"/>
            </w:tcMar>
            <w:vAlign w:val="bottom"/>
          </w:tcPr>
          <w:p w:rsidR="00FE0045" w:rsidRDefault="00FE0045" w:rsidP="00B905E4">
            <w:pPr>
              <w:pStyle w:val="Tabletext"/>
              <w:jc w:val="center"/>
              <w:rPr>
                <w:szCs w:val="22"/>
              </w:rPr>
            </w:pPr>
            <w:r>
              <w:rPr>
                <w:szCs w:val="22"/>
              </w:rPr>
              <w:t>100</w:t>
            </w:r>
          </w:p>
        </w:tc>
      </w:tr>
      <w:tr w:rsidR="00FE0045" w:rsidTr="00E12924">
        <w:trPr>
          <w:jc w:val="center"/>
        </w:trPr>
        <w:tc>
          <w:tcPr>
            <w:tcW w:w="1401" w:type="pct"/>
            <w:tcBorders>
              <w:top w:val="single" w:sz="6" w:space="0" w:color="auto"/>
              <w:left w:val="single" w:sz="6" w:space="0" w:color="auto"/>
              <w:bottom w:val="single" w:sz="6" w:space="0" w:color="auto"/>
              <w:right w:val="single" w:sz="6" w:space="0" w:color="auto"/>
            </w:tcBorders>
            <w:tcMar>
              <w:left w:w="28" w:type="dxa"/>
              <w:right w:w="28" w:type="dxa"/>
            </w:tcMar>
            <w:vAlign w:val="bottom"/>
          </w:tcPr>
          <w:p w:rsidR="00FE0045" w:rsidRDefault="00FE0045" w:rsidP="00B905E4">
            <w:pPr>
              <w:pStyle w:val="Tabletext"/>
              <w:jc w:val="left"/>
              <w:rPr>
                <w:szCs w:val="22"/>
              </w:rPr>
            </w:pPr>
            <w:r>
              <w:t>Catégories de mobilité prises en charge</w:t>
            </w:r>
          </w:p>
        </w:tc>
        <w:tc>
          <w:tcPr>
            <w:tcW w:w="746" w:type="pct"/>
            <w:tcBorders>
              <w:top w:val="single" w:sz="6" w:space="0" w:color="auto"/>
              <w:left w:val="nil"/>
              <w:bottom w:val="single" w:sz="6" w:space="0" w:color="auto"/>
              <w:right w:val="single" w:sz="6" w:space="0" w:color="auto"/>
            </w:tcBorders>
            <w:tcMar>
              <w:left w:w="28" w:type="dxa"/>
              <w:right w:w="28" w:type="dxa"/>
            </w:tcMar>
            <w:vAlign w:val="bottom"/>
          </w:tcPr>
          <w:p w:rsidR="00FE0045" w:rsidRDefault="00FE0045" w:rsidP="00B905E4">
            <w:pPr>
              <w:pStyle w:val="Tabletext"/>
              <w:jc w:val="center"/>
              <w:rPr>
                <w:szCs w:val="22"/>
              </w:rPr>
            </w:pPr>
          </w:p>
        </w:tc>
        <w:tc>
          <w:tcPr>
            <w:tcW w:w="748" w:type="pct"/>
            <w:tcBorders>
              <w:top w:val="single" w:sz="6" w:space="0" w:color="auto"/>
              <w:left w:val="nil"/>
              <w:bottom w:val="single" w:sz="6" w:space="0" w:color="auto"/>
              <w:right w:val="single" w:sz="6" w:space="0" w:color="auto"/>
            </w:tcBorders>
            <w:shd w:val="clear" w:color="auto" w:fill="FFFFFF"/>
            <w:tcMar>
              <w:left w:w="28" w:type="dxa"/>
              <w:right w:w="28" w:type="dxa"/>
            </w:tcMar>
            <w:vAlign w:val="bottom"/>
          </w:tcPr>
          <w:p w:rsidR="00FE0045" w:rsidRDefault="00FE0045" w:rsidP="00B905E4">
            <w:pPr>
              <w:pStyle w:val="Tabletext"/>
              <w:jc w:val="center"/>
              <w:rPr>
                <w:szCs w:val="22"/>
              </w:rPr>
            </w:pPr>
            <w:r>
              <w:rPr>
                <w:szCs w:val="22"/>
              </w:rPr>
              <w:t>–</w:t>
            </w:r>
          </w:p>
        </w:tc>
        <w:tc>
          <w:tcPr>
            <w:tcW w:w="747" w:type="pct"/>
            <w:tcBorders>
              <w:top w:val="single" w:sz="6" w:space="0" w:color="auto"/>
              <w:left w:val="nil"/>
              <w:bottom w:val="single" w:sz="6" w:space="0" w:color="auto"/>
              <w:right w:val="single" w:sz="6" w:space="0" w:color="auto"/>
            </w:tcBorders>
            <w:shd w:val="clear" w:color="auto" w:fill="FFFFFF"/>
            <w:tcMar>
              <w:left w:w="28" w:type="dxa"/>
              <w:right w:w="28" w:type="dxa"/>
            </w:tcMar>
            <w:vAlign w:val="bottom"/>
          </w:tcPr>
          <w:p w:rsidR="00FE0045" w:rsidRDefault="00FE0045" w:rsidP="00B905E4">
            <w:pPr>
              <w:pStyle w:val="Tabletext"/>
              <w:jc w:val="center"/>
              <w:rPr>
                <w:szCs w:val="22"/>
              </w:rPr>
            </w:pPr>
            <w:r>
              <w:rPr>
                <w:szCs w:val="22"/>
              </w:rPr>
              <w:t>–</w:t>
            </w:r>
          </w:p>
        </w:tc>
        <w:tc>
          <w:tcPr>
            <w:tcW w:w="653" w:type="pct"/>
            <w:tcBorders>
              <w:top w:val="single" w:sz="6" w:space="0" w:color="auto"/>
              <w:left w:val="nil"/>
              <w:bottom w:val="single" w:sz="6" w:space="0" w:color="auto"/>
              <w:right w:val="single" w:sz="6" w:space="0" w:color="auto"/>
            </w:tcBorders>
            <w:shd w:val="clear" w:color="auto" w:fill="FFFFFF"/>
            <w:tcMar>
              <w:left w:w="28" w:type="dxa"/>
              <w:right w:w="28" w:type="dxa"/>
            </w:tcMar>
            <w:vAlign w:val="bottom"/>
          </w:tcPr>
          <w:p w:rsidR="00FE0045" w:rsidRDefault="00FE0045" w:rsidP="00B905E4">
            <w:pPr>
              <w:pStyle w:val="Tabletext"/>
              <w:jc w:val="center"/>
              <w:rPr>
                <w:szCs w:val="22"/>
              </w:rPr>
            </w:pPr>
            <w:r>
              <w:rPr>
                <w:szCs w:val="22"/>
              </w:rPr>
              <w:t>Stationnaire/piéton</w:t>
            </w:r>
          </w:p>
        </w:tc>
        <w:tc>
          <w:tcPr>
            <w:tcW w:w="705" w:type="pct"/>
            <w:tcBorders>
              <w:top w:val="single" w:sz="6" w:space="0" w:color="auto"/>
              <w:left w:val="nil"/>
              <w:bottom w:val="single" w:sz="6" w:space="0" w:color="auto"/>
              <w:right w:val="single" w:sz="6" w:space="0" w:color="auto"/>
            </w:tcBorders>
            <w:shd w:val="clear" w:color="auto" w:fill="FFFFFF"/>
            <w:tcMar>
              <w:left w:w="28" w:type="dxa"/>
              <w:right w:w="28" w:type="dxa"/>
            </w:tcMar>
            <w:vAlign w:val="bottom"/>
          </w:tcPr>
          <w:p w:rsidR="00FE0045" w:rsidRDefault="00FE0045" w:rsidP="00B905E4">
            <w:pPr>
              <w:pStyle w:val="Tabletext"/>
              <w:jc w:val="center"/>
              <w:rPr>
                <w:szCs w:val="22"/>
              </w:rPr>
            </w:pPr>
            <w:r>
              <w:rPr>
                <w:szCs w:val="22"/>
              </w:rPr>
              <w:t>Stationnaire/ piéton</w:t>
            </w:r>
          </w:p>
        </w:tc>
      </w:tr>
      <w:tr w:rsidR="00FE0045" w:rsidTr="00E12924">
        <w:trPr>
          <w:jc w:val="center"/>
        </w:trPr>
        <w:tc>
          <w:tcPr>
            <w:tcW w:w="1401" w:type="pct"/>
            <w:tcBorders>
              <w:top w:val="single" w:sz="6" w:space="0" w:color="auto"/>
              <w:left w:val="single" w:sz="6" w:space="0" w:color="auto"/>
              <w:bottom w:val="single" w:sz="6" w:space="0" w:color="auto"/>
              <w:right w:val="single" w:sz="6" w:space="0" w:color="auto"/>
            </w:tcBorders>
            <w:tcMar>
              <w:left w:w="28" w:type="dxa"/>
              <w:right w:w="28" w:type="dxa"/>
            </w:tcMar>
          </w:tcPr>
          <w:p w:rsidR="00FE0045" w:rsidRDefault="00FE0045" w:rsidP="00B905E4">
            <w:pPr>
              <w:pStyle w:val="Tabletext"/>
              <w:jc w:val="left"/>
              <w:rPr>
                <w:kern w:val="28"/>
              </w:rPr>
            </w:pPr>
            <w:r>
              <w:rPr>
                <w:kern w:val="28"/>
              </w:rPr>
              <w:t>Prise en charge pour la multidiffusion (oui = 1,</w:t>
            </w:r>
            <w:r>
              <w:rPr>
                <w:kern w:val="28"/>
              </w:rPr>
              <w:br/>
              <w:t>non = 0)</w:t>
            </w:r>
          </w:p>
        </w:tc>
        <w:tc>
          <w:tcPr>
            <w:tcW w:w="746" w:type="pct"/>
            <w:tcBorders>
              <w:top w:val="single" w:sz="6" w:space="0" w:color="auto"/>
              <w:left w:val="nil"/>
              <w:bottom w:val="single" w:sz="6" w:space="0" w:color="auto"/>
              <w:right w:val="single" w:sz="6" w:space="0" w:color="auto"/>
            </w:tcBorders>
            <w:tcMar>
              <w:left w:w="28" w:type="dxa"/>
              <w:right w:w="28" w:type="dxa"/>
            </w:tcMar>
            <w:vAlign w:val="bottom"/>
          </w:tcPr>
          <w:p w:rsidR="00FE0045" w:rsidRDefault="00FE0045" w:rsidP="00B905E4">
            <w:pPr>
              <w:pStyle w:val="Tabletext"/>
              <w:jc w:val="center"/>
              <w:rPr>
                <w:szCs w:val="22"/>
              </w:rPr>
            </w:pPr>
          </w:p>
        </w:tc>
        <w:tc>
          <w:tcPr>
            <w:tcW w:w="2853" w:type="pct"/>
            <w:gridSpan w:val="4"/>
            <w:tcBorders>
              <w:top w:val="single" w:sz="6" w:space="0" w:color="auto"/>
              <w:left w:val="nil"/>
              <w:bottom w:val="single" w:sz="6" w:space="0" w:color="auto"/>
              <w:right w:val="single" w:sz="6" w:space="0" w:color="auto"/>
            </w:tcBorders>
            <w:shd w:val="clear" w:color="auto" w:fill="FFFFFF"/>
            <w:tcMar>
              <w:left w:w="28" w:type="dxa"/>
              <w:right w:w="28" w:type="dxa"/>
            </w:tcMar>
            <w:vAlign w:val="center"/>
          </w:tcPr>
          <w:p w:rsidR="00FE0045" w:rsidRDefault="00FE0045" w:rsidP="00B905E4">
            <w:pPr>
              <w:pStyle w:val="Tabletext"/>
              <w:jc w:val="center"/>
              <w:rPr>
                <w:szCs w:val="22"/>
              </w:rPr>
            </w:pPr>
            <w:r>
              <w:rPr>
                <w:szCs w:val="22"/>
              </w:rPr>
              <w:t>Oui</w:t>
            </w:r>
          </w:p>
        </w:tc>
      </w:tr>
    </w:tbl>
    <w:p w:rsidR="00FE0045" w:rsidRDefault="00FE0045" w:rsidP="00FE0045">
      <w:pPr>
        <w:pStyle w:val="Tablefin"/>
        <w:rPr>
          <w:kern w:val="28"/>
        </w:rPr>
      </w:pPr>
    </w:p>
    <w:p w:rsidR="00C01C1B" w:rsidRDefault="00C01C1B" w:rsidP="00C01C1B">
      <w:pPr>
        <w:rPr>
          <w:lang w:val="en-GB"/>
        </w:rPr>
      </w:pPr>
    </w:p>
    <w:p w:rsidR="00C01C1B" w:rsidRPr="00C01C1B" w:rsidRDefault="00C01C1B" w:rsidP="00C01C1B">
      <w:pPr>
        <w:rPr>
          <w:lang w:val="en-GB"/>
        </w:rPr>
      </w:pPr>
    </w:p>
    <w:p w:rsidR="00FE0045" w:rsidRDefault="00FE0045" w:rsidP="00FE0045">
      <w:pPr>
        <w:pStyle w:val="TableNo"/>
        <w:rPr>
          <w:kern w:val="28"/>
        </w:rPr>
      </w:pPr>
      <w:r>
        <w:rPr>
          <w:kern w:val="28"/>
        </w:rPr>
        <w:lastRenderedPageBreak/>
        <w:t>TABLEAU 10d</w:t>
      </w:r>
    </w:p>
    <w:p w:rsidR="00FE0045" w:rsidRPr="005F24D3" w:rsidRDefault="00FE0045" w:rsidP="00FE0045">
      <w:pPr>
        <w:pStyle w:val="Tabletitle"/>
        <w:rPr>
          <w:kern w:val="28"/>
        </w:rPr>
      </w:pPr>
      <w:r w:rsidRPr="005F24D3">
        <w:rPr>
          <w:kern w:val="28"/>
        </w:rPr>
        <w:t>Paramètres radioélectriques requis pour le RATG4</w:t>
      </w:r>
    </w:p>
    <w:tbl>
      <w:tblPr>
        <w:tblW w:w="0" w:type="auto"/>
        <w:jc w:val="center"/>
        <w:tblLayout w:type="fixed"/>
        <w:tblLook w:val="0000" w:firstRow="0" w:lastRow="0" w:firstColumn="0" w:lastColumn="0" w:noHBand="0" w:noVBand="0"/>
      </w:tblPr>
      <w:tblGrid>
        <w:gridCol w:w="2749"/>
        <w:gridCol w:w="1260"/>
        <w:gridCol w:w="4648"/>
      </w:tblGrid>
      <w:tr w:rsidR="00FE0045" w:rsidRPr="00CB4859" w:rsidTr="00E12924">
        <w:trPr>
          <w:jc w:val="center"/>
        </w:trPr>
        <w:tc>
          <w:tcPr>
            <w:tcW w:w="2749" w:type="dxa"/>
            <w:tcBorders>
              <w:top w:val="single" w:sz="6" w:space="0" w:color="auto"/>
              <w:left w:val="single" w:sz="6" w:space="0" w:color="auto"/>
              <w:bottom w:val="single" w:sz="6" w:space="0" w:color="auto"/>
              <w:right w:val="single" w:sz="6" w:space="0" w:color="auto"/>
            </w:tcBorders>
            <w:shd w:val="clear" w:color="auto" w:fill="FFFFFF"/>
          </w:tcPr>
          <w:p w:rsidR="00FE0045" w:rsidRPr="00CB4859" w:rsidRDefault="00FE0045" w:rsidP="00E12924">
            <w:pPr>
              <w:pStyle w:val="Tablehead"/>
            </w:pPr>
          </w:p>
        </w:tc>
        <w:tc>
          <w:tcPr>
            <w:tcW w:w="5908" w:type="dxa"/>
            <w:gridSpan w:val="2"/>
            <w:tcBorders>
              <w:top w:val="single" w:sz="6" w:space="0" w:color="auto"/>
              <w:left w:val="single" w:sz="6" w:space="0" w:color="auto"/>
              <w:bottom w:val="single" w:sz="6" w:space="0" w:color="auto"/>
              <w:right w:val="single" w:sz="6" w:space="0" w:color="auto"/>
            </w:tcBorders>
            <w:shd w:val="clear" w:color="auto" w:fill="FFFFFF"/>
          </w:tcPr>
          <w:p w:rsidR="00FE0045" w:rsidRPr="00CB4859" w:rsidRDefault="00FE0045" w:rsidP="00E12924">
            <w:pPr>
              <w:pStyle w:val="Tablehead"/>
            </w:pPr>
            <w:r w:rsidRPr="00CB4859">
              <w:t>RATG4</w:t>
            </w:r>
          </w:p>
        </w:tc>
      </w:tr>
      <w:tr w:rsidR="00FE0045" w:rsidRPr="00CB4859" w:rsidTr="00E12924">
        <w:trPr>
          <w:jc w:val="center"/>
        </w:trPr>
        <w:tc>
          <w:tcPr>
            <w:tcW w:w="2749" w:type="dxa"/>
            <w:tcBorders>
              <w:top w:val="single" w:sz="6" w:space="0" w:color="auto"/>
              <w:left w:val="single" w:sz="6" w:space="0" w:color="auto"/>
              <w:bottom w:val="single" w:sz="6" w:space="0" w:color="auto"/>
              <w:right w:val="single" w:sz="6" w:space="0" w:color="auto"/>
            </w:tcBorders>
            <w:shd w:val="clear" w:color="auto" w:fill="FFFFFF"/>
          </w:tcPr>
          <w:p w:rsidR="00FE0045" w:rsidRPr="00CB4859" w:rsidRDefault="00FE0045" w:rsidP="00E12924">
            <w:pPr>
              <w:pStyle w:val="Tablehead"/>
            </w:pPr>
            <w:r w:rsidRPr="00CB4859">
              <w:t>Attribut</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FE0045" w:rsidRPr="00CB4859" w:rsidRDefault="00FE0045" w:rsidP="00E12924">
            <w:pPr>
              <w:pStyle w:val="Tablehead"/>
            </w:pPr>
            <w:r w:rsidRPr="00CB4859">
              <w:t>Unité</w:t>
            </w:r>
          </w:p>
        </w:tc>
        <w:tc>
          <w:tcPr>
            <w:tcW w:w="4648" w:type="dxa"/>
            <w:tcBorders>
              <w:top w:val="single" w:sz="6" w:space="0" w:color="auto"/>
              <w:left w:val="single" w:sz="6" w:space="0" w:color="auto"/>
              <w:bottom w:val="single" w:sz="6" w:space="0" w:color="auto"/>
              <w:right w:val="single" w:sz="6" w:space="0" w:color="auto"/>
            </w:tcBorders>
            <w:shd w:val="clear" w:color="auto" w:fill="FFFFFF"/>
          </w:tcPr>
          <w:p w:rsidR="00FE0045" w:rsidRPr="00CB4859" w:rsidRDefault="00FE0045" w:rsidP="00E12924">
            <w:pPr>
              <w:pStyle w:val="Tablehead"/>
            </w:pPr>
            <w:r w:rsidRPr="00CB4859">
              <w:t>Macrocellule</w:t>
            </w:r>
          </w:p>
        </w:tc>
      </w:tr>
      <w:tr w:rsidR="00FE0045" w:rsidTr="00E12924">
        <w:trPr>
          <w:trHeight w:val="557"/>
          <w:jc w:val="center"/>
        </w:trPr>
        <w:tc>
          <w:tcPr>
            <w:tcW w:w="2749" w:type="dxa"/>
            <w:tcBorders>
              <w:top w:val="single" w:sz="6" w:space="0" w:color="auto"/>
              <w:left w:val="single" w:sz="6" w:space="0" w:color="auto"/>
              <w:bottom w:val="single" w:sz="6" w:space="0" w:color="auto"/>
              <w:right w:val="single" w:sz="6" w:space="0" w:color="auto"/>
            </w:tcBorders>
          </w:tcPr>
          <w:p w:rsidR="00FE0045" w:rsidRPr="005F24D3" w:rsidRDefault="00FE0045" w:rsidP="00B905E4">
            <w:pPr>
              <w:pStyle w:val="Tabletext"/>
              <w:jc w:val="left"/>
              <w:rPr>
                <w:szCs w:val="22"/>
              </w:rPr>
            </w:pPr>
            <w:r w:rsidRPr="005F24D3">
              <w:rPr>
                <w:szCs w:val="22"/>
              </w:rPr>
              <w:t>Débit de données des applications</w:t>
            </w:r>
          </w:p>
        </w:tc>
        <w:tc>
          <w:tcPr>
            <w:tcW w:w="1260" w:type="dxa"/>
            <w:tcBorders>
              <w:top w:val="single" w:sz="6" w:space="0" w:color="auto"/>
              <w:left w:val="single" w:sz="6" w:space="0" w:color="auto"/>
              <w:bottom w:val="single" w:sz="6" w:space="0" w:color="auto"/>
              <w:right w:val="single" w:sz="6" w:space="0" w:color="auto"/>
            </w:tcBorders>
            <w:vAlign w:val="bottom"/>
          </w:tcPr>
          <w:p w:rsidR="00FE0045" w:rsidRDefault="00FE0045" w:rsidP="00B905E4">
            <w:pPr>
              <w:pStyle w:val="Tabletext"/>
              <w:jc w:val="center"/>
              <w:rPr>
                <w:szCs w:val="22"/>
              </w:rPr>
            </w:pPr>
            <w:r>
              <w:rPr>
                <w:szCs w:val="22"/>
              </w:rPr>
              <w:t>Mbit/s</w:t>
            </w:r>
          </w:p>
        </w:tc>
        <w:tc>
          <w:tcPr>
            <w:tcW w:w="4648" w:type="dxa"/>
            <w:tcBorders>
              <w:top w:val="single" w:sz="6" w:space="0" w:color="auto"/>
              <w:left w:val="single" w:sz="6" w:space="0" w:color="auto"/>
              <w:bottom w:val="single" w:sz="6" w:space="0" w:color="auto"/>
              <w:right w:val="single" w:sz="6" w:space="0" w:color="auto"/>
            </w:tcBorders>
            <w:shd w:val="clear" w:color="auto" w:fill="FFFFFF"/>
            <w:vAlign w:val="bottom"/>
          </w:tcPr>
          <w:p w:rsidR="00FE0045" w:rsidRPr="005F24D3" w:rsidRDefault="00FE0045" w:rsidP="00B905E4">
            <w:pPr>
              <w:pStyle w:val="Tabletext"/>
              <w:jc w:val="center"/>
              <w:rPr>
                <w:szCs w:val="22"/>
              </w:rPr>
            </w:pPr>
            <w:r w:rsidRPr="005F24D3">
              <w:rPr>
                <w:szCs w:val="22"/>
              </w:rPr>
              <w:t>2</w:t>
            </w:r>
          </w:p>
        </w:tc>
      </w:tr>
      <w:tr w:rsidR="00FE0045" w:rsidTr="00E12924">
        <w:trPr>
          <w:trHeight w:val="557"/>
          <w:jc w:val="center"/>
        </w:trPr>
        <w:tc>
          <w:tcPr>
            <w:tcW w:w="2749" w:type="dxa"/>
            <w:tcBorders>
              <w:top w:val="single" w:sz="6" w:space="0" w:color="auto"/>
              <w:left w:val="single" w:sz="6" w:space="0" w:color="auto"/>
              <w:bottom w:val="single" w:sz="6" w:space="0" w:color="auto"/>
              <w:right w:val="single" w:sz="6" w:space="0" w:color="auto"/>
            </w:tcBorders>
          </w:tcPr>
          <w:p w:rsidR="00FE0045" w:rsidRPr="005F24D3" w:rsidRDefault="00FE0045" w:rsidP="00B905E4">
            <w:pPr>
              <w:pStyle w:val="Tabletext"/>
              <w:jc w:val="left"/>
              <w:rPr>
                <w:szCs w:val="22"/>
              </w:rPr>
            </w:pPr>
            <w:r w:rsidRPr="005F24D3">
              <w:rPr>
                <w:szCs w:val="22"/>
              </w:rPr>
              <w:t>Catégories de mobilité prises en charge</w:t>
            </w:r>
          </w:p>
        </w:tc>
        <w:tc>
          <w:tcPr>
            <w:tcW w:w="1260" w:type="dxa"/>
            <w:tcBorders>
              <w:top w:val="single" w:sz="6" w:space="0" w:color="auto"/>
              <w:left w:val="single" w:sz="6" w:space="0" w:color="auto"/>
              <w:bottom w:val="single" w:sz="6" w:space="0" w:color="auto"/>
              <w:right w:val="single" w:sz="6" w:space="0" w:color="auto"/>
            </w:tcBorders>
            <w:vAlign w:val="bottom"/>
          </w:tcPr>
          <w:p w:rsidR="00FE0045" w:rsidRDefault="00FE0045" w:rsidP="00B905E4">
            <w:pPr>
              <w:pStyle w:val="Tabletext"/>
              <w:jc w:val="center"/>
              <w:rPr>
                <w:szCs w:val="22"/>
              </w:rPr>
            </w:pPr>
          </w:p>
        </w:tc>
        <w:tc>
          <w:tcPr>
            <w:tcW w:w="4648" w:type="dxa"/>
            <w:tcBorders>
              <w:top w:val="single" w:sz="6" w:space="0" w:color="auto"/>
              <w:left w:val="single" w:sz="6" w:space="0" w:color="auto"/>
              <w:bottom w:val="single" w:sz="6" w:space="0" w:color="auto"/>
              <w:right w:val="single" w:sz="6" w:space="0" w:color="auto"/>
            </w:tcBorders>
            <w:shd w:val="clear" w:color="auto" w:fill="FFFFFF"/>
          </w:tcPr>
          <w:p w:rsidR="00FE0045" w:rsidRPr="005F24D3" w:rsidRDefault="00FE0045" w:rsidP="00B905E4">
            <w:pPr>
              <w:pStyle w:val="Tabletext"/>
              <w:jc w:val="center"/>
              <w:rPr>
                <w:szCs w:val="22"/>
              </w:rPr>
            </w:pPr>
            <w:r w:rsidRPr="005F24D3">
              <w:rPr>
                <w:szCs w:val="22"/>
              </w:rPr>
              <w:t>Toutes (</w:t>
            </w:r>
            <w:r>
              <w:rPr>
                <w:szCs w:val="22"/>
              </w:rPr>
              <w:t>s</w:t>
            </w:r>
            <w:r w:rsidRPr="005F24D3">
              <w:rPr>
                <w:szCs w:val="22"/>
              </w:rPr>
              <w:t>tationnaire/</w:t>
            </w:r>
            <w:r>
              <w:rPr>
                <w:szCs w:val="22"/>
              </w:rPr>
              <w:t>p</w:t>
            </w:r>
            <w:r w:rsidRPr="005F24D3">
              <w:rPr>
                <w:szCs w:val="22"/>
              </w:rPr>
              <w:t>iéton, faible et forte)</w:t>
            </w:r>
          </w:p>
        </w:tc>
      </w:tr>
      <w:tr w:rsidR="00FE0045" w:rsidTr="00E12924">
        <w:trPr>
          <w:jc w:val="center"/>
        </w:trPr>
        <w:tc>
          <w:tcPr>
            <w:tcW w:w="8657" w:type="dxa"/>
            <w:gridSpan w:val="3"/>
            <w:tcBorders>
              <w:top w:val="single" w:sz="6" w:space="0" w:color="auto"/>
            </w:tcBorders>
          </w:tcPr>
          <w:p w:rsidR="00FE0045" w:rsidRPr="005F24D3" w:rsidRDefault="00FE0045" w:rsidP="00E12924">
            <w:pPr>
              <w:pStyle w:val="Tablelegend"/>
            </w:pPr>
            <w:r w:rsidRPr="00CB4859">
              <w:t xml:space="preserve">NOTE </w:t>
            </w:r>
            <w:r>
              <w:t xml:space="preserve">1 </w:t>
            </w:r>
            <w:r w:rsidRPr="00CB4859">
              <w:t>– Seule la macrocellule est prise en considération pour le RATG4.</w:t>
            </w:r>
          </w:p>
        </w:tc>
      </w:tr>
    </w:tbl>
    <w:p w:rsidR="00FE0045" w:rsidRDefault="00FE0045" w:rsidP="00FE0045">
      <w:pPr>
        <w:pStyle w:val="Tablefin"/>
        <w:rPr>
          <w:lang w:val="fr-FR"/>
        </w:rPr>
      </w:pPr>
    </w:p>
    <w:p w:rsidR="00FE0045" w:rsidRDefault="00FE0045" w:rsidP="00FE0045">
      <w:pPr>
        <w:rPr>
          <w:kern w:val="28"/>
        </w:rPr>
      </w:pPr>
      <w:r>
        <w:rPr>
          <w:kern w:val="28"/>
        </w:rPr>
        <w:t>Les valeurs de l'efficacité spectrale correspondant aux différentes zones sont indiquées dans le Tableau 11. Ces valeurs sont utilisées dans les calculs de la méthodologie. Celles qui correspondent à la transmission en mode multidiffusion sont différentes. L'efficacité spectrale d'une zone doit être comprise et utilisée en tant que valeur calculée à partir des débits moyens de données de l'ensemble des utilisateurs, compte tenu d'une répartition homogène de ces derniers dans la zone de déploiement de l'environnement radioélectrique, au niveau de la couche IP pour les services de commutation par paquets et au niveau de la couche application pour les services à commutation de circuits, pour des réseaux radioélectriques à pleine charge. L'efficacité spectrale et les débits de données maximaux qui peuvent être obtenus à la périphérie des cellules devraient correspondre à la fréquence de fonctionnement généralement utilisée. Il est tenu compte, dans les valeurs de l'efficacité spectrale, des éventuelles retransmissions dans les services avec commutation par paquets.</w:t>
      </w:r>
    </w:p>
    <w:p w:rsidR="00FE0045" w:rsidRDefault="00FE0045" w:rsidP="00FE0045">
      <w:pPr>
        <w:pStyle w:val="TableNo"/>
        <w:rPr>
          <w:kern w:val="28"/>
        </w:rPr>
      </w:pPr>
      <w:r>
        <w:rPr>
          <w:kern w:val="28"/>
        </w:rPr>
        <w:t>TABLEAU 11</w:t>
      </w:r>
    </w:p>
    <w:p w:rsidR="00FE0045" w:rsidRDefault="00FE0045" w:rsidP="00FE0045">
      <w:pPr>
        <w:pStyle w:val="Tabletitle"/>
      </w:pPr>
      <w:r>
        <w:t>Matrice illustrant l'efficacité spectrale d'une zone pour un RATG</w:t>
      </w:r>
    </w:p>
    <w:tbl>
      <w:tblPr>
        <w:tblW w:w="9639" w:type="dxa"/>
        <w:jc w:val="center"/>
        <w:tblLayout w:type="fixed"/>
        <w:tblLook w:val="0000" w:firstRow="0" w:lastRow="0" w:firstColumn="0" w:lastColumn="0" w:noHBand="0" w:noVBand="0"/>
      </w:tblPr>
      <w:tblGrid>
        <w:gridCol w:w="2340"/>
        <w:gridCol w:w="2160"/>
        <w:gridCol w:w="1800"/>
        <w:gridCol w:w="1620"/>
        <w:gridCol w:w="1719"/>
      </w:tblGrid>
      <w:tr w:rsidR="00FE0045" w:rsidTr="00E12924">
        <w:trPr>
          <w:trHeight w:val="285"/>
          <w:jc w:val="center"/>
        </w:trPr>
        <w:tc>
          <w:tcPr>
            <w:tcW w:w="2340" w:type="dxa"/>
            <w:vMerge w:val="restart"/>
            <w:tcBorders>
              <w:top w:val="single" w:sz="6" w:space="0" w:color="auto"/>
              <w:left w:val="single" w:sz="6" w:space="0" w:color="auto"/>
              <w:right w:val="single" w:sz="6" w:space="0" w:color="auto"/>
            </w:tcBorders>
            <w:shd w:val="clear" w:color="auto" w:fill="FFFFFF"/>
            <w:vAlign w:val="center"/>
          </w:tcPr>
          <w:p w:rsidR="00FE0045" w:rsidRDefault="00FE0045" w:rsidP="00E12924">
            <w:pPr>
              <w:pStyle w:val="Tablehead"/>
            </w:pPr>
            <w:r>
              <w:t>Télédensité</w:t>
            </w:r>
          </w:p>
        </w:tc>
        <w:tc>
          <w:tcPr>
            <w:tcW w:w="7299" w:type="dxa"/>
            <w:gridSpan w:val="4"/>
            <w:tcBorders>
              <w:top w:val="single" w:sz="6" w:space="0" w:color="auto"/>
              <w:left w:val="single" w:sz="6" w:space="0" w:color="auto"/>
              <w:bottom w:val="single" w:sz="6" w:space="0" w:color="auto"/>
              <w:right w:val="single" w:sz="6" w:space="0" w:color="auto"/>
            </w:tcBorders>
            <w:shd w:val="clear" w:color="auto" w:fill="FFFFFF"/>
            <w:vAlign w:val="bottom"/>
          </w:tcPr>
          <w:p w:rsidR="00FE0045" w:rsidRDefault="00FE0045" w:rsidP="00E12924">
            <w:pPr>
              <w:pStyle w:val="Tablehead"/>
            </w:pPr>
            <w:r>
              <w:t xml:space="preserve">RATG </w:t>
            </w:r>
            <w:r w:rsidRPr="00B725E0">
              <w:rPr>
                <w:iCs/>
              </w:rPr>
              <w:t>N</w:t>
            </w:r>
            <w:r w:rsidRPr="006725EE">
              <w:rPr>
                <w:rFonts w:ascii="Times New Roman Bold" w:hAnsi="Times New Roman Bold"/>
                <w:iCs/>
                <w:szCs w:val="22"/>
                <w:vertAlign w:val="superscript"/>
              </w:rPr>
              <w:t>o</w:t>
            </w:r>
            <w:r w:rsidRPr="00B725E0">
              <w:rPr>
                <w:iCs/>
              </w:rPr>
              <w:t xml:space="preserve"> rat</w:t>
            </w:r>
          </w:p>
        </w:tc>
      </w:tr>
      <w:tr w:rsidR="00FE0045" w:rsidTr="00E12924">
        <w:trPr>
          <w:trHeight w:val="284"/>
          <w:jc w:val="center"/>
        </w:trPr>
        <w:tc>
          <w:tcPr>
            <w:tcW w:w="2340" w:type="dxa"/>
            <w:vMerge/>
            <w:tcBorders>
              <w:left w:val="single" w:sz="6" w:space="0" w:color="auto"/>
              <w:right w:val="single" w:sz="6" w:space="0" w:color="auto"/>
            </w:tcBorders>
            <w:shd w:val="clear" w:color="auto" w:fill="FFFFFF"/>
            <w:vAlign w:val="center"/>
          </w:tcPr>
          <w:p w:rsidR="00FE0045" w:rsidRDefault="00FE0045" w:rsidP="00E12924">
            <w:pPr>
              <w:pStyle w:val="Tablehead"/>
            </w:pPr>
          </w:p>
        </w:tc>
        <w:tc>
          <w:tcPr>
            <w:tcW w:w="7299" w:type="dxa"/>
            <w:gridSpan w:val="4"/>
            <w:tcBorders>
              <w:top w:val="single" w:sz="6" w:space="0" w:color="auto"/>
              <w:left w:val="single" w:sz="6" w:space="0" w:color="auto"/>
              <w:bottom w:val="single" w:sz="6" w:space="0" w:color="auto"/>
              <w:right w:val="single" w:sz="6" w:space="0" w:color="auto"/>
            </w:tcBorders>
            <w:shd w:val="clear" w:color="auto" w:fill="FFFFFF"/>
            <w:vAlign w:val="bottom"/>
          </w:tcPr>
          <w:p w:rsidR="00FE0045" w:rsidRDefault="00FE0045" w:rsidP="00E12924">
            <w:pPr>
              <w:pStyle w:val="Tablehead"/>
            </w:pPr>
            <w:r>
              <w:t>Environnements radioélectriques</w:t>
            </w:r>
          </w:p>
        </w:tc>
      </w:tr>
      <w:tr w:rsidR="00FE0045" w:rsidTr="00E12924">
        <w:trPr>
          <w:trHeight w:val="284"/>
          <w:jc w:val="center"/>
        </w:trPr>
        <w:tc>
          <w:tcPr>
            <w:tcW w:w="2340" w:type="dxa"/>
            <w:vMerge/>
            <w:tcBorders>
              <w:left w:val="single" w:sz="6" w:space="0" w:color="auto"/>
              <w:bottom w:val="single" w:sz="6" w:space="0" w:color="auto"/>
              <w:right w:val="single" w:sz="6" w:space="0" w:color="auto"/>
            </w:tcBorders>
            <w:shd w:val="clear" w:color="auto" w:fill="FFFFFF"/>
            <w:vAlign w:val="bottom"/>
          </w:tcPr>
          <w:p w:rsidR="00FE0045" w:rsidRDefault="00FE0045" w:rsidP="00E12924">
            <w:pPr>
              <w:pStyle w:val="Tablehead"/>
            </w:pP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E12924">
            <w:pPr>
              <w:pStyle w:val="Tablehead"/>
            </w:pPr>
            <w:r>
              <w:t>Macrocellule</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E12924">
            <w:pPr>
              <w:pStyle w:val="Tablehead"/>
            </w:pPr>
            <w:r>
              <w:t>Microcellule</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E12924">
            <w:pPr>
              <w:pStyle w:val="Tablehead"/>
            </w:pPr>
            <w:r>
              <w:t>Picocellule</w:t>
            </w:r>
          </w:p>
        </w:tc>
        <w:tc>
          <w:tcPr>
            <w:tcW w:w="1719" w:type="dxa"/>
            <w:tcBorders>
              <w:top w:val="single" w:sz="6" w:space="0" w:color="auto"/>
              <w:left w:val="single" w:sz="6" w:space="0" w:color="auto"/>
              <w:bottom w:val="single" w:sz="6" w:space="0" w:color="auto"/>
              <w:right w:val="single" w:sz="6" w:space="0" w:color="auto"/>
            </w:tcBorders>
            <w:shd w:val="clear" w:color="auto" w:fill="FFFFFF"/>
            <w:vAlign w:val="center"/>
          </w:tcPr>
          <w:p w:rsidR="00FE0045" w:rsidRDefault="00FE0045" w:rsidP="00E12924">
            <w:pPr>
              <w:pStyle w:val="Tablehead"/>
            </w:pPr>
            <w:r>
              <w:t>Point d'accès public</w:t>
            </w:r>
          </w:p>
        </w:tc>
      </w:tr>
      <w:tr w:rsidR="00FE0045" w:rsidRPr="00866AA5" w:rsidTr="00E12924">
        <w:trPr>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FE0045" w:rsidRDefault="00FE0045" w:rsidP="00E12924">
            <w:pPr>
              <w:pStyle w:val="Tabletext"/>
            </w:pPr>
            <w:r>
              <w:t>Urbaine dense</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FE0045" w:rsidRPr="00866AA5" w:rsidRDefault="00FE0045" w:rsidP="00B905E4">
            <w:pPr>
              <w:pStyle w:val="Tabletext"/>
              <w:jc w:val="center"/>
              <w:rPr>
                <w:lang w:val="en-US"/>
              </w:rPr>
            </w:pPr>
            <w:r w:rsidRPr="001555A0">
              <w:rPr>
                <w:position w:val="-14"/>
                <w:szCs w:val="22"/>
              </w:rPr>
              <w:object w:dxaOrig="600" w:dyaOrig="360">
                <v:shape id="_x0000_i1026" type="#_x0000_t75" style="width:29.75pt;height:17.85pt" o:ole="">
                  <v:imagedata r:id="rId16" o:title=""/>
                </v:shape>
                <o:OLEObject Type="Embed" ProgID="Equation.3" ShapeID="_x0000_i1026" DrawAspect="Content" ObjectID="_1459064068" r:id="rId17"/>
              </w:object>
            </w:r>
            <w:r w:rsidRPr="00367536">
              <w:rPr>
                <w:lang w:val="en-US"/>
              </w:rPr>
              <w:br/>
              <w:t>(bit/</w:t>
            </w:r>
            <w:r w:rsidRPr="00866AA5">
              <w:rPr>
                <w:lang w:val="en-US"/>
              </w:rPr>
              <w:t>s/Hz/cellule</w:t>
            </w:r>
            <w:r>
              <w:rPr>
                <w:lang w:val="en-US"/>
              </w:rPr>
              <w:t>)</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FE0045" w:rsidRPr="00866AA5" w:rsidRDefault="00FE0045" w:rsidP="00B905E4">
            <w:pPr>
              <w:pStyle w:val="Tabletext"/>
              <w:jc w:val="center"/>
              <w:rPr>
                <w:lang w:val="en-US"/>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FE0045" w:rsidRPr="00866AA5" w:rsidRDefault="00FE0045" w:rsidP="00B905E4">
            <w:pPr>
              <w:pStyle w:val="Tabletext"/>
              <w:jc w:val="center"/>
              <w:rPr>
                <w:lang w:val="en-US"/>
              </w:rPr>
            </w:pPr>
          </w:p>
        </w:tc>
        <w:tc>
          <w:tcPr>
            <w:tcW w:w="1719" w:type="dxa"/>
            <w:tcBorders>
              <w:top w:val="single" w:sz="6" w:space="0" w:color="auto"/>
              <w:left w:val="single" w:sz="6" w:space="0" w:color="auto"/>
              <w:bottom w:val="single" w:sz="6" w:space="0" w:color="auto"/>
              <w:right w:val="single" w:sz="6" w:space="0" w:color="auto"/>
            </w:tcBorders>
            <w:shd w:val="clear" w:color="auto" w:fill="FFFFFF"/>
          </w:tcPr>
          <w:p w:rsidR="00FE0045" w:rsidRPr="00866AA5" w:rsidRDefault="00FE0045" w:rsidP="00B905E4">
            <w:pPr>
              <w:pStyle w:val="Tabletext"/>
              <w:jc w:val="center"/>
              <w:rPr>
                <w:lang w:val="en-US"/>
              </w:rPr>
            </w:pPr>
          </w:p>
        </w:tc>
      </w:tr>
      <w:tr w:rsidR="00FE0045" w:rsidTr="00E12924">
        <w:trPr>
          <w:trHeight w:val="285"/>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vAlign w:val="bottom"/>
          </w:tcPr>
          <w:p w:rsidR="00FE0045" w:rsidRDefault="00FE0045" w:rsidP="00E12924">
            <w:pPr>
              <w:pStyle w:val="Tabletext"/>
            </w:pPr>
            <w:r>
              <w:t>Suburbaine</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FE0045" w:rsidRDefault="00FE0045" w:rsidP="00B905E4">
            <w:pPr>
              <w:pStyle w:val="Tabletext"/>
              <w:jc w:val="center"/>
            </w:pPr>
          </w:p>
        </w:tc>
        <w:tc>
          <w:tcPr>
            <w:tcW w:w="1800" w:type="dxa"/>
            <w:tcBorders>
              <w:top w:val="single" w:sz="6" w:space="0" w:color="auto"/>
              <w:left w:val="single" w:sz="6" w:space="0" w:color="auto"/>
              <w:bottom w:val="single" w:sz="6" w:space="0" w:color="auto"/>
              <w:right w:val="single" w:sz="6" w:space="0" w:color="auto"/>
            </w:tcBorders>
            <w:shd w:val="clear" w:color="auto" w:fill="FFFFFF"/>
            <w:vAlign w:val="bottom"/>
          </w:tcPr>
          <w:p w:rsidR="00FE0045" w:rsidRDefault="00FE0045" w:rsidP="00B905E4">
            <w:pPr>
              <w:pStyle w:val="Tabletext"/>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vAlign w:val="bottom"/>
          </w:tcPr>
          <w:p w:rsidR="00FE0045" w:rsidRDefault="00FE0045" w:rsidP="00B905E4">
            <w:pPr>
              <w:pStyle w:val="Tabletext"/>
              <w:jc w:val="center"/>
            </w:pPr>
          </w:p>
        </w:tc>
        <w:tc>
          <w:tcPr>
            <w:tcW w:w="1719" w:type="dxa"/>
            <w:tcBorders>
              <w:top w:val="single" w:sz="6" w:space="0" w:color="auto"/>
              <w:left w:val="single" w:sz="6" w:space="0" w:color="auto"/>
              <w:bottom w:val="single" w:sz="6" w:space="0" w:color="auto"/>
              <w:right w:val="single" w:sz="6" w:space="0" w:color="auto"/>
            </w:tcBorders>
            <w:shd w:val="clear" w:color="auto" w:fill="FFFFFF"/>
            <w:vAlign w:val="bottom"/>
          </w:tcPr>
          <w:p w:rsidR="00FE0045" w:rsidRDefault="00FE0045" w:rsidP="00B905E4">
            <w:pPr>
              <w:pStyle w:val="Tabletext"/>
              <w:jc w:val="center"/>
            </w:pPr>
          </w:p>
        </w:tc>
      </w:tr>
      <w:tr w:rsidR="00FE0045" w:rsidTr="00E12924">
        <w:trPr>
          <w:trHeight w:val="285"/>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vAlign w:val="bottom"/>
          </w:tcPr>
          <w:p w:rsidR="00FE0045" w:rsidRDefault="00FE0045" w:rsidP="00E12924">
            <w:pPr>
              <w:pStyle w:val="Tabletext"/>
            </w:pPr>
            <w:r>
              <w:t>Rurale</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bottom"/>
          </w:tcPr>
          <w:p w:rsidR="00FE0045" w:rsidRDefault="00FE0045" w:rsidP="00B905E4">
            <w:pPr>
              <w:pStyle w:val="Tabletext"/>
              <w:jc w:val="center"/>
            </w:pPr>
          </w:p>
        </w:tc>
        <w:tc>
          <w:tcPr>
            <w:tcW w:w="1800" w:type="dxa"/>
            <w:tcBorders>
              <w:top w:val="single" w:sz="6" w:space="0" w:color="auto"/>
              <w:left w:val="single" w:sz="6" w:space="0" w:color="auto"/>
              <w:bottom w:val="single" w:sz="6" w:space="0" w:color="auto"/>
              <w:right w:val="single" w:sz="6" w:space="0" w:color="auto"/>
            </w:tcBorders>
            <w:shd w:val="clear" w:color="auto" w:fill="FFFFFF"/>
            <w:vAlign w:val="bottom"/>
          </w:tcPr>
          <w:p w:rsidR="00FE0045" w:rsidRDefault="00FE0045" w:rsidP="00B905E4">
            <w:pPr>
              <w:pStyle w:val="Tabletext"/>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vAlign w:val="bottom"/>
          </w:tcPr>
          <w:p w:rsidR="00FE0045" w:rsidRDefault="00FE0045" w:rsidP="00B905E4">
            <w:pPr>
              <w:pStyle w:val="Tabletext"/>
              <w:jc w:val="center"/>
            </w:pPr>
          </w:p>
        </w:tc>
        <w:tc>
          <w:tcPr>
            <w:tcW w:w="1719" w:type="dxa"/>
            <w:tcBorders>
              <w:top w:val="single" w:sz="6" w:space="0" w:color="auto"/>
              <w:left w:val="single" w:sz="6" w:space="0" w:color="auto"/>
              <w:bottom w:val="single" w:sz="6" w:space="0" w:color="auto"/>
              <w:right w:val="single" w:sz="6" w:space="0" w:color="auto"/>
            </w:tcBorders>
            <w:shd w:val="clear" w:color="auto" w:fill="FFFFFF"/>
            <w:vAlign w:val="bottom"/>
          </w:tcPr>
          <w:p w:rsidR="00FE0045" w:rsidRDefault="00FE0045" w:rsidP="00B905E4">
            <w:pPr>
              <w:pStyle w:val="Tabletext"/>
              <w:jc w:val="center"/>
            </w:pPr>
          </w:p>
        </w:tc>
      </w:tr>
    </w:tbl>
    <w:p w:rsidR="00FE0045" w:rsidRDefault="00FE0045" w:rsidP="00FE0045">
      <w:pPr>
        <w:pStyle w:val="Tablefin"/>
        <w:rPr>
          <w:kern w:val="28"/>
        </w:rPr>
      </w:pPr>
    </w:p>
    <w:p w:rsidR="00FE0045" w:rsidRDefault="00FE0045" w:rsidP="00FE0045">
      <w:pPr>
        <w:pStyle w:val="Heading3"/>
        <w:rPr>
          <w:kern w:val="28"/>
        </w:rPr>
      </w:pPr>
      <w:r>
        <w:rPr>
          <w:kern w:val="28"/>
        </w:rPr>
        <w:t>3.4.5</w:t>
      </w:r>
      <w:r>
        <w:rPr>
          <w:kern w:val="28"/>
        </w:rPr>
        <w:tab/>
        <w:t>Relation entre les environnements de service, les RATG et les environnements radioélectriques</w:t>
      </w:r>
    </w:p>
    <w:p w:rsidR="00FE0045" w:rsidRDefault="00FE0045" w:rsidP="00FE0045">
      <w:pPr>
        <w:rPr>
          <w:kern w:val="28"/>
        </w:rPr>
      </w:pPr>
      <w:r>
        <w:rPr>
          <w:kern w:val="28"/>
        </w:rPr>
        <w:t>Les environnements de service et les environnements radioélectriques devraient être pris séparément dans les calculs des exigences de spectre, les prévisions du volume de trafic devant reposer uniquement sur les environnements de service et les besoins totaux en fréquences devant être calculés en tenant compte de différents RATG et des éventuels environnements radioélectriques correspondants. Les exigences de spectre sont calculées pour chaque télédensité mais les besoins totaux en fréquences doivent être choisis de manière à correspondre à la valeur maximale des besoins des différentes télédensités. Dans les environnements de service, le trafic devrait donc être calculé d'abord en fonction de la télédensité correspondante.</w:t>
      </w:r>
    </w:p>
    <w:p w:rsidR="00FE0045" w:rsidRDefault="00FE0045" w:rsidP="00F00D23">
      <w:pPr>
        <w:rPr>
          <w:kern w:val="28"/>
        </w:rPr>
      </w:pPr>
      <w:r>
        <w:rPr>
          <w:kern w:val="28"/>
        </w:rPr>
        <w:lastRenderedPageBreak/>
        <w:t>La Fig. 2 montre une répartition possible du trafic entre six environnements de service, deux RATG et trois environnements radioélectriques. Les volumes de trafic correspondant à chaque environnement de service peuvent être répartis entre les RATG. A la Fig. 2, par exemple, le trafic correspondant à l'environnement de service «urbain dense, domicile» est constitué de deux éléments: le volume de trafic de A1 pour le RATG1 et de B1 pour le RATG2. Les environnements de service «Urbain dense, bureau», Urbain dense, public», «Suburbain domicile/public» et «Rural» ont, eux aussi, des volumes de trafic pour chaque RATG, comme indiqué à la Fig. 2.</w:t>
      </w:r>
    </w:p>
    <w:p w:rsidR="00FE0045" w:rsidRDefault="00FE0045" w:rsidP="00F00D23">
      <w:pPr>
        <w:rPr>
          <w:kern w:val="28"/>
        </w:rPr>
      </w:pPr>
      <w:r>
        <w:rPr>
          <w:kern w:val="28"/>
        </w:rPr>
        <w:t>Etant donné que chaque RATG offre un ou plusieurs environnements radioélectriques, la capacité de trafic demandée pour chaque RATG dans chaque environnement de service peut être répartie entre les environnements radioélectriques offerts, comme l'illustre la troisième rangée de la Fig. 2. Le trafic réparti entre les environnements de service dont la télédensité est la même est cumulé à la quatrième rangée de la Fig. 2. Chaque RATG dispose d'un scénario de déploiement pour les environnements radioélectriques dont il est constitué ainsi que de sa propre efficacité spectrale. Ces scénarios de déploiement (les dimensions des cellules, par exemple), ont eux aussi une incidence sur l'efficacité spectrale. S'ils sont pris en considération, les exigences de spectre pourront être calculées en utilisant le volume de trafic et les coefficients d'efficacité spectrale; elles pourront être calculées aussi séparément en tenant compte de chaque combinaison de télédensité, de RATG et d'environnement radioélectrique. Les rectangles qui apparaissent à la cinquième rangée de la Fig. 2 représentent les exigences de spectre des RATG pour différentes télédensités. Les besoins en fréquences d'un RATG seront la valeur maximale des besoins des différentes télédensités correspondantes.</w:t>
      </w:r>
    </w:p>
    <w:p w:rsidR="00FE0045" w:rsidRDefault="00FE0045" w:rsidP="00FE0045">
      <w:pPr>
        <w:pStyle w:val="FigureNo"/>
      </w:pPr>
      <w:r>
        <w:lastRenderedPageBreak/>
        <w:t>FIGURE 2</w:t>
      </w:r>
    </w:p>
    <w:p w:rsidR="00FE0045" w:rsidRDefault="00FE0045" w:rsidP="00FE0045">
      <w:pPr>
        <w:pStyle w:val="Figuretitle"/>
      </w:pPr>
      <w:r>
        <w:t xml:space="preserve">Répartition du trafic entre les environnements de service, les RTAG </w:t>
      </w:r>
      <w:r>
        <w:br/>
        <w:t>et les environnements radioélectriques</w:t>
      </w:r>
    </w:p>
    <w:p w:rsidR="00FE0045" w:rsidRDefault="00FE0045" w:rsidP="00FE0045">
      <w:pPr>
        <w:pStyle w:val="Figure"/>
      </w:pPr>
      <w:r>
        <w:object w:dxaOrig="8739" w:dyaOrig="7363">
          <v:shape id="_x0000_i1027" type="#_x0000_t75" style="width:437.35pt;height:368.35pt" o:ole="" o:allowoverlap="f">
            <v:imagedata r:id="rId18" o:title=""/>
          </v:shape>
          <o:OLEObject Type="Embed" ProgID="CorelDraw.Graphic.12" ShapeID="_x0000_i1027" DrawAspect="Content" ObjectID="_1459064069" r:id="rId19"/>
        </w:object>
      </w:r>
    </w:p>
    <w:p w:rsidR="00FE0045" w:rsidRDefault="00B905E4" w:rsidP="00FE0045">
      <w:pPr>
        <w:pStyle w:val="Heading2"/>
      </w:pPr>
      <w:r>
        <w:t>3.5</w:t>
      </w:r>
      <w:r w:rsidR="00FE0045">
        <w:tab/>
        <w:t>Analyse des données commerciales rassemblées</w:t>
      </w:r>
    </w:p>
    <w:p w:rsidR="00FE0045" w:rsidRDefault="00FE0045" w:rsidP="00FE0045">
      <w:pPr>
        <w:pStyle w:val="Heading3"/>
      </w:pPr>
      <w:r>
        <w:t>3.5.1</w:t>
      </w:r>
      <w:r>
        <w:tab/>
        <w:t>Collecte des données commerciales</w:t>
      </w:r>
    </w:p>
    <w:p w:rsidR="00FE0045" w:rsidRDefault="00FE0045" w:rsidP="00F00D23">
      <w:pPr>
        <w:rPr>
          <w:szCs w:val="22"/>
        </w:rPr>
      </w:pPr>
      <w:r>
        <w:rPr>
          <w:szCs w:val="22"/>
        </w:rPr>
        <w:t>Les données commerciales ont été obtenues sous forme de réponses aux questionnaires qui figuraient dans le document passant les services en revue (Etape 2 de la Fig. 1).</w:t>
      </w:r>
    </w:p>
    <w:p w:rsidR="00FE0045" w:rsidRDefault="00FE0045" w:rsidP="00FE0045">
      <w:pPr>
        <w:rPr>
          <w:szCs w:val="22"/>
        </w:rPr>
      </w:pPr>
      <w:r>
        <w:rPr>
          <w:szCs w:val="22"/>
        </w:rPr>
        <w:t>Les questionnaires portaient sur les aspects ci-après afin de déterminer l'évolution future du marché et des applications:</w:t>
      </w:r>
    </w:p>
    <w:p w:rsidR="00FE0045" w:rsidRDefault="00FE0045" w:rsidP="00FE0045">
      <w:pPr>
        <w:pStyle w:val="enumlev1"/>
      </w:pPr>
      <w:r>
        <w:t>–</w:t>
      </w:r>
      <w:r>
        <w:tab/>
        <w:t>étude des services et du marché concernant les services mobiles actuels;</w:t>
      </w:r>
    </w:p>
    <w:p w:rsidR="00FE0045" w:rsidRDefault="00FE0045" w:rsidP="00FE0045">
      <w:pPr>
        <w:pStyle w:val="enumlev1"/>
      </w:pPr>
      <w:r>
        <w:t>–</w:t>
      </w:r>
      <w:r>
        <w:tab/>
        <w:t>paramètres commerciaux fondamentaux;</w:t>
      </w:r>
    </w:p>
    <w:p w:rsidR="00FE0045" w:rsidRDefault="00FE0045" w:rsidP="00F00D23">
      <w:pPr>
        <w:pStyle w:val="enumlev1"/>
      </w:pPr>
      <w:r>
        <w:t>–</w:t>
      </w:r>
      <w:r>
        <w:tab/>
        <w:t xml:space="preserve">prévisions en matière de services et de marché pour  les IMT, y compris: </w:t>
      </w:r>
    </w:p>
    <w:p w:rsidR="00FE0045" w:rsidRDefault="00FE0045" w:rsidP="00F00D23">
      <w:pPr>
        <w:pStyle w:val="enumlev2"/>
      </w:pPr>
      <w:r>
        <w:t>–</w:t>
      </w:r>
      <w:r>
        <w:tab/>
        <w:t xml:space="preserve">les problèmes liés aux services; </w:t>
      </w:r>
    </w:p>
    <w:p w:rsidR="00FE0045" w:rsidRDefault="00FE0045" w:rsidP="00FE0045">
      <w:pPr>
        <w:pStyle w:val="enumlev2"/>
      </w:pPr>
      <w:r>
        <w:t>–</w:t>
      </w:r>
      <w:r>
        <w:tab/>
        <w:t xml:space="preserve">les questions commerciales; </w:t>
      </w:r>
    </w:p>
    <w:p w:rsidR="00FE0045" w:rsidRDefault="00FE0045" w:rsidP="00FE0045">
      <w:pPr>
        <w:pStyle w:val="enumlev2"/>
      </w:pPr>
      <w:r>
        <w:t>–</w:t>
      </w:r>
      <w:r>
        <w:tab/>
        <w:t>les prévisions préliminaires de trafic;</w:t>
      </w:r>
    </w:p>
    <w:p w:rsidR="00FE0045" w:rsidRDefault="00FE0045" w:rsidP="00FE0045">
      <w:pPr>
        <w:pStyle w:val="enumlev2"/>
      </w:pPr>
      <w:r>
        <w:t>–</w:t>
      </w:r>
      <w:r>
        <w:tab/>
        <w:t>les renseignements connexes;</w:t>
      </w:r>
    </w:p>
    <w:p w:rsidR="00FE0045" w:rsidRDefault="00FE0045" w:rsidP="00FE0045">
      <w:pPr>
        <w:pStyle w:val="enumlev1"/>
      </w:pPr>
      <w:r>
        <w:t>–</w:t>
      </w:r>
      <w:r>
        <w:tab/>
        <w:t>prévisions en matière de services et de marché concernant d'autres systèmes radioélectriques;</w:t>
      </w:r>
    </w:p>
    <w:p w:rsidR="00FE0045" w:rsidRDefault="00FE0045" w:rsidP="00B905E4">
      <w:pPr>
        <w:pStyle w:val="enumlev1"/>
        <w:keepNext/>
        <w:keepLines/>
      </w:pPr>
      <w:r>
        <w:lastRenderedPageBreak/>
        <w:t>–</w:t>
      </w:r>
      <w:r>
        <w:tab/>
        <w:t>éléments moteurs du futur marché; et</w:t>
      </w:r>
    </w:p>
    <w:p w:rsidR="00FE0045" w:rsidRDefault="00FE0045" w:rsidP="00B905E4">
      <w:pPr>
        <w:pStyle w:val="enumlev1"/>
        <w:keepNext/>
        <w:keepLines/>
      </w:pPr>
      <w:r>
        <w:t>–</w:t>
      </w:r>
      <w:r>
        <w:tab/>
        <w:t>tous autres points de vue sur les futurs services.</w:t>
      </w:r>
    </w:p>
    <w:p w:rsidR="00FE0045" w:rsidRDefault="00FE0045" w:rsidP="00FE0045">
      <w:pPr>
        <w:rPr>
          <w:szCs w:val="22"/>
        </w:rPr>
      </w:pPr>
      <w:r>
        <w:rPr>
          <w:szCs w:val="22"/>
        </w:rPr>
        <w:t>Les réponses aux questionnaires sont résumées et analysées dans le Rapport UIT</w:t>
      </w:r>
      <w:r>
        <w:rPr>
          <w:szCs w:val="22"/>
        </w:rPr>
        <w:noBreakHyphen/>
        <w:t>R M.2072, et une description des valeurs sur lesquelles repose la méthodologie est donnée, notamment, à l'Annexe 8 de ce Rapport. Des données commerciales sont fournies pour les trois années suivantes: 2010, 2015 et 2020.</w:t>
      </w:r>
    </w:p>
    <w:p w:rsidR="00FE0045" w:rsidRPr="00FE0045" w:rsidRDefault="00FE0045" w:rsidP="00FE0045">
      <w:pPr>
        <w:rPr>
          <w:lang w:val="fr-CH" w:eastAsia="ja-JP"/>
        </w:rPr>
      </w:pPr>
      <w:r w:rsidRPr="00FE0045">
        <w:rPr>
          <w:lang w:val="fr-CH" w:eastAsia="ja-JP"/>
        </w:rPr>
        <w:t xml:space="preserve">Des données </w:t>
      </w:r>
      <w:r w:rsidR="002E45DF">
        <w:rPr>
          <w:lang w:val="fr-CH" w:eastAsia="ja-JP"/>
        </w:rPr>
        <w:t xml:space="preserve">commerciales </w:t>
      </w:r>
      <w:r w:rsidRPr="00FE0045">
        <w:rPr>
          <w:lang w:val="fr-CH" w:eastAsia="ja-JP"/>
        </w:rPr>
        <w:t>plus récentes sont présentées dans le Rapport UIT-R M.2243.</w:t>
      </w:r>
    </w:p>
    <w:p w:rsidR="00FE0045" w:rsidRPr="005F24D3" w:rsidRDefault="00FE0045" w:rsidP="00FE0045">
      <w:pPr>
        <w:pStyle w:val="Heading3"/>
      </w:pPr>
      <w:r>
        <w:t>3</w:t>
      </w:r>
      <w:r w:rsidRPr="005F24D3">
        <w:t>.5.2</w:t>
      </w:r>
      <w:r w:rsidRPr="005F24D3">
        <w:tab/>
        <w:t>Analyse des données</w:t>
      </w:r>
    </w:p>
    <w:p w:rsidR="00FE0045" w:rsidRDefault="00FE0045" w:rsidP="00FE0045">
      <w:pPr>
        <w:pStyle w:val="Headingb"/>
      </w:pPr>
      <w:r>
        <w:t>Terminologie utilisée pour l'analyse des données</w:t>
      </w:r>
    </w:p>
    <w:p w:rsidR="00FE0045" w:rsidRDefault="00FE0045" w:rsidP="00FE0045">
      <w:pPr>
        <w:rPr>
          <w:szCs w:val="22"/>
        </w:rPr>
      </w:pPr>
      <w:r>
        <w:rPr>
          <w:i/>
          <w:iCs/>
          <w:szCs w:val="22"/>
        </w:rPr>
        <w:t>Application</w:t>
      </w:r>
      <w:r>
        <w:rPr>
          <w:szCs w:val="22"/>
        </w:rPr>
        <w:t>: Une application suffisamment générale et indispensable pour que tous les services recensés puissent être classés précisément et correctement.</w:t>
      </w:r>
    </w:p>
    <w:p w:rsidR="00FE0045" w:rsidRDefault="00FE0045" w:rsidP="00FE0045">
      <w:pPr>
        <w:rPr>
          <w:szCs w:val="22"/>
        </w:rPr>
      </w:pPr>
      <w:r>
        <w:rPr>
          <w:i/>
          <w:iCs/>
          <w:szCs w:val="22"/>
        </w:rPr>
        <w:t>Service</w:t>
      </w:r>
      <w:r>
        <w:rPr>
          <w:szCs w:val="22"/>
        </w:rPr>
        <w:t xml:space="preserve">: Le service est l'élément de base dont est constituée une application. Les services qui constituent une application sont supposés être indépendants. Par exemple, l'utilisation du service de vidéo à la demande (VoD, </w:t>
      </w:r>
      <w:r w:rsidRPr="00293620">
        <w:rPr>
          <w:i/>
          <w:szCs w:val="22"/>
        </w:rPr>
        <w:t>video on demand</w:t>
      </w:r>
      <w:r>
        <w:rPr>
          <w:szCs w:val="22"/>
        </w:rPr>
        <w:t xml:space="preserve">) ne dépend pas de celle du service d'audio à la demande (AoD, </w:t>
      </w:r>
      <w:r w:rsidRPr="00293620">
        <w:rPr>
          <w:i/>
          <w:szCs w:val="22"/>
        </w:rPr>
        <w:t>audio on demand</w:t>
      </w:r>
      <w:r>
        <w:rPr>
          <w:szCs w:val="22"/>
        </w:rPr>
        <w:t>). La deuxième hypothèse retenue est que tous les services qui sont rangés dans la même catégorie ont des propriétés identiques mais indépendantes en ce qui concerne les attributs commerciaux.</w:t>
      </w:r>
    </w:p>
    <w:p w:rsidR="00FE0045" w:rsidRDefault="00FE0045" w:rsidP="00FE0045">
      <w:pPr>
        <w:rPr>
          <w:szCs w:val="22"/>
        </w:rPr>
      </w:pPr>
      <w:r>
        <w:rPr>
          <w:i/>
          <w:iCs/>
          <w:szCs w:val="22"/>
        </w:rPr>
        <w:t>Paramètres des attributs commerciaux</w:t>
      </w:r>
      <w:r>
        <w:rPr>
          <w:szCs w:val="22"/>
        </w:rPr>
        <w:t>: Dépendent du point de vue des utilisateurs. Ces valeurs sont fondées sur les données commerciales.</w:t>
      </w:r>
    </w:p>
    <w:p w:rsidR="00FE0045" w:rsidRDefault="00FE0045" w:rsidP="00FE0045">
      <w:pPr>
        <w:rPr>
          <w:szCs w:val="22"/>
        </w:rPr>
      </w:pPr>
      <w:r>
        <w:rPr>
          <w:i/>
          <w:iCs/>
          <w:szCs w:val="22"/>
        </w:rPr>
        <w:t>Paramètres des attributs de trafic</w:t>
      </w:r>
      <w:r>
        <w:rPr>
          <w:szCs w:val="22"/>
        </w:rPr>
        <w:t>: Dépendent des caractéristiques du trafic écoulé dans le service. Ces valeurs sont obtenues en analysant les orientations techniques.</w:t>
      </w:r>
    </w:p>
    <w:p w:rsidR="00FE0045" w:rsidRDefault="00FE0045" w:rsidP="00FE0045">
      <w:pPr>
        <w:pStyle w:val="Heading4"/>
      </w:pPr>
      <w:r>
        <w:t>3.5.2.1</w:t>
      </w:r>
      <w:r>
        <w:tab/>
        <w:t>Processus général</w:t>
      </w:r>
    </w:p>
    <w:p w:rsidR="00FE0045" w:rsidRDefault="00FE0045" w:rsidP="00FE0045">
      <w:pPr>
        <w:rPr>
          <w:szCs w:val="22"/>
        </w:rPr>
      </w:pPr>
      <w:r>
        <w:rPr>
          <w:szCs w:val="22"/>
        </w:rPr>
        <w:t>La Fig. 3 illustre le processus général d'analyse des données commerciales.</w:t>
      </w:r>
    </w:p>
    <w:p w:rsidR="00FE0045" w:rsidRDefault="00FE0045" w:rsidP="00FE0045">
      <w:pPr>
        <w:pStyle w:val="FigureNo"/>
      </w:pPr>
      <w:r>
        <w:t>FIGURE 3</w:t>
      </w:r>
    </w:p>
    <w:p w:rsidR="00FE0045" w:rsidRDefault="00FE0045" w:rsidP="00FE0045">
      <w:pPr>
        <w:pStyle w:val="Figuretitle"/>
      </w:pPr>
      <w:r>
        <w:t>Processus général d'analyse des données commerciales</w:t>
      </w:r>
    </w:p>
    <w:p w:rsidR="00FE0045" w:rsidRPr="007E49C3" w:rsidRDefault="00FE0045" w:rsidP="00FE0045">
      <w:pPr>
        <w:pStyle w:val="Figure"/>
      </w:pPr>
      <w:r>
        <w:object w:dxaOrig="7252" w:dyaOrig="2816">
          <v:shape id="_x0000_i1028" type="#_x0000_t75" style="width:361.8pt;height:141pt" o:ole="" o:allowoverlap="f">
            <v:imagedata r:id="rId20" o:title=""/>
          </v:shape>
          <o:OLEObject Type="Embed" ProgID="CorelDraw.Graphic.12" ShapeID="_x0000_i1028" DrawAspect="Content" ObjectID="_1459064070" r:id="rId21"/>
        </w:object>
      </w:r>
    </w:p>
    <w:p w:rsidR="00FE0045" w:rsidRDefault="00FE0045" w:rsidP="00FE0045">
      <w:pPr>
        <w:pStyle w:val="Heading4"/>
      </w:pPr>
      <w:r>
        <w:t>3.5.2.2</w:t>
      </w:r>
      <w:r>
        <w:tab/>
        <w:t>Dresser la liste des applications/services</w:t>
      </w:r>
    </w:p>
    <w:p w:rsidR="00FE0045" w:rsidRDefault="00FE0045" w:rsidP="00FE0045">
      <w:pPr>
        <w:rPr>
          <w:szCs w:val="22"/>
        </w:rPr>
      </w:pPr>
      <w:r>
        <w:t xml:space="preserve">Dresser la liste de toutes les applications/tous les services prévisibles. Etant donné que la liste de ces applications et services est l'un des facteurs importants pour le calcul du spectre, les services devraient être choisis de manière à ne pas se recouper et l'application qu'ils constituent devrait être suffisamment générale et indispensable </w:t>
      </w:r>
      <w:r>
        <w:rPr>
          <w:szCs w:val="22"/>
        </w:rPr>
        <w:t>pour que tous les services recensés puissent être classés précisément et correctement.</w:t>
      </w:r>
    </w:p>
    <w:p w:rsidR="00FE0045" w:rsidRDefault="00FE0045" w:rsidP="00FE0045">
      <w:pPr>
        <w:rPr>
          <w:szCs w:val="22"/>
        </w:rPr>
      </w:pPr>
      <w:r>
        <w:rPr>
          <w:szCs w:val="22"/>
        </w:rPr>
        <w:lastRenderedPageBreak/>
        <w:t>A cette étape, les applications et services doivent être répertoriés définitivement et les premières et deuxièmes colonnes du Tableau 12 remplies. Les applications ainsi répertoriées et rangées dans les catégories applications/services du Tableau 12 devraient être classées en fonction de leurs attributions. Ce classement devrait porter sur toutes les catégories d'applications prévisibles afin de disposer d'estimations fiables.</w:t>
      </w:r>
    </w:p>
    <w:p w:rsidR="00FE0045" w:rsidRDefault="00FE0045" w:rsidP="00FE0045">
      <w:pPr>
        <w:pStyle w:val="TableNo"/>
      </w:pPr>
      <w:r>
        <w:t>TABLEAU 12</w:t>
      </w:r>
    </w:p>
    <w:p w:rsidR="00FE0045" w:rsidRDefault="00FE0045" w:rsidP="00FE0045">
      <w:pPr>
        <w:pStyle w:val="Tabletitle"/>
      </w:pPr>
      <w:r>
        <w:t xml:space="preserve">Exemple de classement en catégories des applications/services et attributs </w:t>
      </w:r>
      <w:r>
        <w:br/>
        <w:t>du trafic correspondants</w:t>
      </w:r>
    </w:p>
    <w:tbl>
      <w:tblPr>
        <w:tblW w:w="9639" w:type="dxa"/>
        <w:jc w:val="center"/>
        <w:tblCellMar>
          <w:left w:w="57" w:type="dxa"/>
          <w:right w:w="57" w:type="dxa"/>
        </w:tblCellMar>
        <w:tblLook w:val="0000" w:firstRow="0" w:lastRow="0" w:firstColumn="0" w:lastColumn="0" w:noHBand="0" w:noVBand="0"/>
      </w:tblPr>
      <w:tblGrid>
        <w:gridCol w:w="1486"/>
        <w:gridCol w:w="974"/>
        <w:gridCol w:w="4029"/>
        <w:gridCol w:w="1527"/>
        <w:gridCol w:w="1623"/>
      </w:tblGrid>
      <w:tr w:rsidR="00FE0045" w:rsidRPr="008B2E92" w:rsidTr="00E12924">
        <w:trPr>
          <w:cantSplit/>
          <w:jc w:val="center"/>
        </w:trPr>
        <w:tc>
          <w:tcPr>
            <w:tcW w:w="771" w:type="pct"/>
            <w:vMerge w:val="restart"/>
            <w:tcBorders>
              <w:top w:val="single" w:sz="6" w:space="0" w:color="auto"/>
              <w:left w:val="single" w:sz="6" w:space="0" w:color="auto"/>
              <w:bottom w:val="single" w:sz="6" w:space="0" w:color="auto"/>
              <w:right w:val="single" w:sz="6" w:space="0" w:color="auto"/>
            </w:tcBorders>
            <w:vAlign w:val="center"/>
          </w:tcPr>
          <w:p w:rsidR="00FE0045" w:rsidRPr="009379D4" w:rsidRDefault="00FE0045" w:rsidP="00E12924">
            <w:pPr>
              <w:pStyle w:val="Tablehead"/>
              <w:rPr>
                <w:bCs/>
                <w:kern w:val="28"/>
                <w:sz w:val="20"/>
              </w:rPr>
            </w:pPr>
            <w:r w:rsidRPr="009379D4">
              <w:rPr>
                <w:bCs/>
                <w:kern w:val="28"/>
                <w:sz w:val="20"/>
              </w:rPr>
              <w:t>Applications</w:t>
            </w:r>
          </w:p>
        </w:tc>
        <w:tc>
          <w:tcPr>
            <w:tcW w:w="2595" w:type="pct"/>
            <w:gridSpan w:val="2"/>
            <w:vMerge w:val="restart"/>
            <w:tcBorders>
              <w:top w:val="single" w:sz="6" w:space="0" w:color="auto"/>
              <w:left w:val="single" w:sz="6" w:space="0" w:color="auto"/>
              <w:bottom w:val="single" w:sz="6" w:space="0" w:color="auto"/>
              <w:right w:val="single" w:sz="6" w:space="0" w:color="auto"/>
            </w:tcBorders>
            <w:vAlign w:val="center"/>
          </w:tcPr>
          <w:p w:rsidR="00FE0045" w:rsidRPr="009379D4" w:rsidRDefault="00FE0045" w:rsidP="00E12924">
            <w:pPr>
              <w:pStyle w:val="Tablehead"/>
              <w:rPr>
                <w:bCs/>
                <w:kern w:val="28"/>
                <w:sz w:val="20"/>
              </w:rPr>
            </w:pPr>
            <w:r w:rsidRPr="009379D4">
              <w:rPr>
                <w:bCs/>
                <w:kern w:val="28"/>
                <w:sz w:val="20"/>
              </w:rPr>
              <w:t>Services</w:t>
            </w:r>
          </w:p>
        </w:tc>
        <w:tc>
          <w:tcPr>
            <w:tcW w:w="1634" w:type="pct"/>
            <w:gridSpan w:val="2"/>
            <w:tcBorders>
              <w:top w:val="single" w:sz="6" w:space="0" w:color="auto"/>
              <w:left w:val="single" w:sz="6" w:space="0" w:color="auto"/>
              <w:bottom w:val="single" w:sz="6" w:space="0" w:color="auto"/>
              <w:right w:val="single" w:sz="6" w:space="0" w:color="auto"/>
            </w:tcBorders>
            <w:vAlign w:val="center"/>
          </w:tcPr>
          <w:p w:rsidR="00FE0045" w:rsidRPr="009379D4" w:rsidRDefault="00FE0045" w:rsidP="00E12924">
            <w:pPr>
              <w:pStyle w:val="Tablehead"/>
              <w:rPr>
                <w:bCs/>
                <w:kern w:val="28"/>
                <w:sz w:val="20"/>
              </w:rPr>
            </w:pPr>
            <w:r w:rsidRPr="009379D4">
              <w:rPr>
                <w:bCs/>
                <w:kern w:val="28"/>
                <w:sz w:val="20"/>
              </w:rPr>
              <w:t>Attributs du trafic</w:t>
            </w:r>
          </w:p>
        </w:tc>
      </w:tr>
      <w:tr w:rsidR="00FE0045" w:rsidRPr="008B2E92" w:rsidTr="00E12924">
        <w:trPr>
          <w:cantSplit/>
          <w:jc w:val="center"/>
        </w:trPr>
        <w:tc>
          <w:tcPr>
            <w:tcW w:w="771" w:type="pct"/>
            <w:vMerge/>
            <w:tcBorders>
              <w:top w:val="single" w:sz="6" w:space="0" w:color="auto"/>
              <w:left w:val="single" w:sz="6" w:space="0" w:color="auto"/>
              <w:bottom w:val="single" w:sz="6" w:space="0" w:color="auto"/>
              <w:right w:val="single" w:sz="6" w:space="0" w:color="auto"/>
            </w:tcBorders>
            <w:vAlign w:val="center"/>
          </w:tcPr>
          <w:p w:rsidR="00FE0045" w:rsidRPr="009379D4" w:rsidRDefault="00FE0045" w:rsidP="00E12924">
            <w:pPr>
              <w:pStyle w:val="Tablehead"/>
              <w:rPr>
                <w:bCs/>
                <w:kern w:val="28"/>
                <w:sz w:val="20"/>
              </w:rPr>
            </w:pPr>
          </w:p>
        </w:tc>
        <w:tc>
          <w:tcPr>
            <w:tcW w:w="2595" w:type="pct"/>
            <w:gridSpan w:val="2"/>
            <w:vMerge/>
            <w:tcBorders>
              <w:top w:val="single" w:sz="6" w:space="0" w:color="auto"/>
              <w:left w:val="single" w:sz="6" w:space="0" w:color="auto"/>
              <w:bottom w:val="single" w:sz="6" w:space="0" w:color="auto"/>
              <w:right w:val="single" w:sz="6" w:space="0" w:color="auto"/>
            </w:tcBorders>
            <w:vAlign w:val="center"/>
          </w:tcPr>
          <w:p w:rsidR="00FE0045" w:rsidRPr="009379D4" w:rsidRDefault="00FE0045" w:rsidP="00E12924">
            <w:pPr>
              <w:pStyle w:val="Tablehead"/>
              <w:rPr>
                <w:bCs/>
                <w:kern w:val="28"/>
                <w:sz w:val="20"/>
              </w:rPr>
            </w:pPr>
          </w:p>
        </w:tc>
        <w:tc>
          <w:tcPr>
            <w:tcW w:w="792" w:type="pct"/>
            <w:tcBorders>
              <w:top w:val="single" w:sz="6" w:space="0" w:color="auto"/>
              <w:left w:val="single" w:sz="6" w:space="0" w:color="auto"/>
              <w:bottom w:val="single" w:sz="6" w:space="0" w:color="auto"/>
              <w:right w:val="single" w:sz="6" w:space="0" w:color="auto"/>
            </w:tcBorders>
            <w:vAlign w:val="center"/>
          </w:tcPr>
          <w:p w:rsidR="00FE0045" w:rsidRPr="009379D4" w:rsidRDefault="00FE0045" w:rsidP="00E12924">
            <w:pPr>
              <w:pStyle w:val="Tablehead"/>
              <w:rPr>
                <w:bCs/>
                <w:kern w:val="28"/>
                <w:sz w:val="20"/>
              </w:rPr>
            </w:pPr>
            <w:r w:rsidRPr="009379D4">
              <w:rPr>
                <w:bCs/>
                <w:kern w:val="28"/>
                <w:sz w:val="20"/>
              </w:rPr>
              <w:t xml:space="preserve">Débit binaire moyen du </w:t>
            </w:r>
            <w:r w:rsidRPr="009379D4">
              <w:rPr>
                <w:bCs/>
                <w:kern w:val="28"/>
                <w:sz w:val="20"/>
              </w:rPr>
              <w:br/>
              <w:t>service</w:t>
            </w:r>
          </w:p>
        </w:tc>
        <w:tc>
          <w:tcPr>
            <w:tcW w:w="842" w:type="pct"/>
            <w:tcBorders>
              <w:top w:val="single" w:sz="6" w:space="0" w:color="auto"/>
              <w:left w:val="single" w:sz="6" w:space="0" w:color="auto"/>
              <w:bottom w:val="single" w:sz="6" w:space="0" w:color="auto"/>
              <w:right w:val="single" w:sz="6" w:space="0" w:color="auto"/>
            </w:tcBorders>
            <w:vAlign w:val="center"/>
          </w:tcPr>
          <w:p w:rsidR="00FE0045" w:rsidRPr="009379D4" w:rsidRDefault="00FE0045" w:rsidP="00E12924">
            <w:pPr>
              <w:pStyle w:val="Tablehead"/>
              <w:rPr>
                <w:bCs/>
                <w:kern w:val="28"/>
                <w:sz w:val="20"/>
              </w:rPr>
            </w:pPr>
            <w:r w:rsidRPr="009379D4">
              <w:rPr>
                <w:bCs/>
                <w:kern w:val="28"/>
                <w:sz w:val="20"/>
              </w:rPr>
              <w:t>Durée moyenne des sessions</w:t>
            </w:r>
          </w:p>
        </w:tc>
      </w:tr>
      <w:tr w:rsidR="00FE0045" w:rsidRPr="009379D4" w:rsidTr="00E12924">
        <w:trPr>
          <w:cantSplit/>
          <w:jc w:val="center"/>
        </w:trPr>
        <w:tc>
          <w:tcPr>
            <w:tcW w:w="771" w:type="pct"/>
            <w:vMerge w:val="restar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r w:rsidRPr="009379D4">
              <w:rPr>
                <w:sz w:val="20"/>
              </w:rPr>
              <w:t>Applications actuelles</w:t>
            </w:r>
          </w:p>
        </w:tc>
        <w:tc>
          <w:tcPr>
            <w:tcW w:w="2595" w:type="pct"/>
            <w:gridSpan w:val="2"/>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r w:rsidRPr="009379D4">
              <w:rPr>
                <w:sz w:val="20"/>
              </w:rPr>
              <w:t>Téléphonique (multimédia et faible débit de données/conversationnel)</w:t>
            </w:r>
          </w:p>
        </w:tc>
        <w:tc>
          <w:tcPr>
            <w:tcW w:w="79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r w:rsidRPr="009379D4">
              <w:rPr>
                <w:sz w:val="20"/>
              </w:rPr>
              <w:t>64 kbit/s</w:t>
            </w:r>
          </w:p>
        </w:tc>
        <w:tc>
          <w:tcPr>
            <w:tcW w:w="84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p>
        </w:tc>
      </w:tr>
      <w:tr w:rsidR="00FE0045" w:rsidRPr="009379D4" w:rsidTr="00E12924">
        <w:trPr>
          <w:cantSplit/>
          <w:jc w:val="center"/>
        </w:trPr>
        <w:tc>
          <w:tcPr>
            <w:tcW w:w="771" w:type="pct"/>
            <w:vMerge/>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p>
        </w:tc>
        <w:tc>
          <w:tcPr>
            <w:tcW w:w="2595" w:type="pct"/>
            <w:gridSpan w:val="2"/>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r w:rsidRPr="009379D4">
              <w:rPr>
                <w:sz w:val="20"/>
              </w:rPr>
              <w:t xml:space="preserve">Visiophonique </w:t>
            </w:r>
            <w:r w:rsidRPr="009379D4">
              <w:rPr>
                <w:sz w:val="20"/>
              </w:rPr>
              <w:br/>
              <w:t>(multimédia moyen/conversationnel)</w:t>
            </w:r>
          </w:p>
        </w:tc>
        <w:tc>
          <w:tcPr>
            <w:tcW w:w="79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r w:rsidRPr="009379D4">
              <w:rPr>
                <w:sz w:val="20"/>
              </w:rPr>
              <w:t>384 kbit/s</w:t>
            </w:r>
          </w:p>
        </w:tc>
        <w:tc>
          <w:tcPr>
            <w:tcW w:w="84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p>
        </w:tc>
      </w:tr>
      <w:tr w:rsidR="00FE0045" w:rsidRPr="009379D4" w:rsidTr="00E12924">
        <w:trPr>
          <w:cantSplit/>
          <w:jc w:val="center"/>
        </w:trPr>
        <w:tc>
          <w:tcPr>
            <w:tcW w:w="771" w:type="pct"/>
            <w:vMerge/>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p>
        </w:tc>
        <w:tc>
          <w:tcPr>
            <w:tcW w:w="505" w:type="pct"/>
            <w:vMerge w:val="restart"/>
            <w:tcBorders>
              <w:top w:val="single" w:sz="6" w:space="0" w:color="auto"/>
              <w:left w:val="single" w:sz="6" w:space="0" w:color="auto"/>
              <w:bottom w:val="single" w:sz="6" w:space="0" w:color="auto"/>
              <w:right w:val="single" w:sz="6" w:space="0" w:color="auto"/>
            </w:tcBorders>
            <w:vAlign w:val="center"/>
          </w:tcPr>
          <w:p w:rsidR="00FE0045" w:rsidRPr="009379D4" w:rsidRDefault="00FE0045" w:rsidP="00B905E4">
            <w:pPr>
              <w:pStyle w:val="Tabletext"/>
              <w:jc w:val="left"/>
              <w:rPr>
                <w:sz w:val="20"/>
              </w:rPr>
            </w:pPr>
            <w:r w:rsidRPr="009379D4">
              <w:rPr>
                <w:sz w:val="20"/>
              </w:rPr>
              <w:t xml:space="preserve">Mode </w:t>
            </w:r>
            <w:r w:rsidRPr="009379D4">
              <w:rPr>
                <w:sz w:val="20"/>
              </w:rPr>
              <w:br/>
              <w:t>paquet</w:t>
            </w:r>
          </w:p>
        </w:tc>
        <w:tc>
          <w:tcPr>
            <w:tcW w:w="2090"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r w:rsidRPr="009379D4">
              <w:rPr>
                <w:sz w:val="20"/>
              </w:rPr>
              <w:t>IM, courrier électronique (très faible débit de données/arrière-plan)</w:t>
            </w:r>
          </w:p>
        </w:tc>
        <w:tc>
          <w:tcPr>
            <w:tcW w:w="79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r w:rsidRPr="009379D4">
              <w:rPr>
                <w:sz w:val="20"/>
              </w:rPr>
              <w:t>1 kbit/s</w:t>
            </w:r>
          </w:p>
        </w:tc>
        <w:tc>
          <w:tcPr>
            <w:tcW w:w="84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p>
        </w:tc>
      </w:tr>
      <w:tr w:rsidR="00FE0045" w:rsidRPr="009379D4" w:rsidTr="00E12924">
        <w:trPr>
          <w:cantSplit/>
          <w:jc w:val="center"/>
        </w:trPr>
        <w:tc>
          <w:tcPr>
            <w:tcW w:w="771" w:type="pct"/>
            <w:vMerge/>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p>
        </w:tc>
        <w:tc>
          <w:tcPr>
            <w:tcW w:w="505" w:type="pct"/>
            <w:vMerge/>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p>
        </w:tc>
        <w:tc>
          <w:tcPr>
            <w:tcW w:w="2090"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r w:rsidRPr="009379D4">
              <w:rPr>
                <w:sz w:val="20"/>
              </w:rPr>
              <w:t xml:space="preserve">Courrier vidéo </w:t>
            </w:r>
            <w:r w:rsidRPr="009379D4">
              <w:rPr>
                <w:sz w:val="20"/>
              </w:rPr>
              <w:br/>
              <w:t>(multimedia moyen/arrière-plan)</w:t>
            </w:r>
          </w:p>
        </w:tc>
        <w:tc>
          <w:tcPr>
            <w:tcW w:w="79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r w:rsidRPr="009379D4">
              <w:rPr>
                <w:sz w:val="20"/>
              </w:rPr>
              <w:t>512 kbit/s</w:t>
            </w:r>
          </w:p>
        </w:tc>
        <w:tc>
          <w:tcPr>
            <w:tcW w:w="84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p>
        </w:tc>
      </w:tr>
      <w:tr w:rsidR="00FE0045" w:rsidRPr="009379D4" w:rsidTr="00E12924">
        <w:trPr>
          <w:cantSplit/>
          <w:jc w:val="center"/>
        </w:trPr>
        <w:tc>
          <w:tcPr>
            <w:tcW w:w="771" w:type="pct"/>
            <w:vMerge/>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p>
        </w:tc>
        <w:tc>
          <w:tcPr>
            <w:tcW w:w="505" w:type="pct"/>
            <w:vMerge/>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p>
        </w:tc>
        <w:tc>
          <w:tcPr>
            <w:tcW w:w="2090"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r w:rsidRPr="009379D4">
              <w:rPr>
                <w:sz w:val="20"/>
              </w:rPr>
              <w:t>Diffusion mobile (multimédia de débit élevé/transmission en continu)</w:t>
            </w:r>
          </w:p>
        </w:tc>
        <w:tc>
          <w:tcPr>
            <w:tcW w:w="79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r w:rsidRPr="009379D4">
              <w:rPr>
                <w:sz w:val="20"/>
              </w:rPr>
              <w:t>5 Mbit/s</w:t>
            </w:r>
          </w:p>
        </w:tc>
        <w:tc>
          <w:tcPr>
            <w:tcW w:w="84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p>
        </w:tc>
      </w:tr>
      <w:tr w:rsidR="00FE0045" w:rsidRPr="009379D4" w:rsidTr="00E12924">
        <w:trPr>
          <w:cantSplit/>
          <w:jc w:val="center"/>
        </w:trPr>
        <w:tc>
          <w:tcPr>
            <w:tcW w:w="771" w:type="pct"/>
            <w:vMerge/>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p>
        </w:tc>
        <w:tc>
          <w:tcPr>
            <w:tcW w:w="505" w:type="pct"/>
            <w:vMerge/>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p>
        </w:tc>
        <w:tc>
          <w:tcPr>
            <w:tcW w:w="2090"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r w:rsidRPr="009379D4">
              <w:rPr>
                <w:sz w:val="20"/>
              </w:rPr>
              <w:t>Accès à l'internet (multimédia de débit élevé)</w:t>
            </w:r>
          </w:p>
        </w:tc>
        <w:tc>
          <w:tcPr>
            <w:tcW w:w="79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r w:rsidRPr="009379D4">
              <w:rPr>
                <w:sz w:val="20"/>
              </w:rPr>
              <w:t>10 Mbit/s</w:t>
            </w:r>
          </w:p>
        </w:tc>
        <w:tc>
          <w:tcPr>
            <w:tcW w:w="84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p>
        </w:tc>
      </w:tr>
      <w:tr w:rsidR="00FE0045" w:rsidRPr="009379D4" w:rsidTr="00E12924">
        <w:trPr>
          <w:cantSplit/>
          <w:jc w:val="center"/>
        </w:trPr>
        <w:tc>
          <w:tcPr>
            <w:tcW w:w="771" w:type="pct"/>
            <w:vMerge w:val="restar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r w:rsidRPr="009379D4">
              <w:rPr>
                <w:sz w:val="20"/>
              </w:rPr>
              <w:t>Systèmes de surveillance des villes</w:t>
            </w:r>
          </w:p>
        </w:tc>
        <w:tc>
          <w:tcPr>
            <w:tcW w:w="2595" w:type="pct"/>
            <w:gridSpan w:val="2"/>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r w:rsidRPr="009379D4">
              <w:rPr>
                <w:sz w:val="20"/>
              </w:rPr>
              <w:t>Téléphonique (multimédia et faible débit de données/conversationnel)</w:t>
            </w:r>
          </w:p>
        </w:tc>
        <w:tc>
          <w:tcPr>
            <w:tcW w:w="79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r w:rsidRPr="009379D4">
              <w:rPr>
                <w:sz w:val="20"/>
              </w:rPr>
              <w:t>64 kbit/s</w:t>
            </w:r>
          </w:p>
        </w:tc>
        <w:tc>
          <w:tcPr>
            <w:tcW w:w="84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p>
        </w:tc>
      </w:tr>
      <w:tr w:rsidR="00FE0045" w:rsidRPr="009379D4" w:rsidTr="00E12924">
        <w:trPr>
          <w:cantSplit/>
          <w:jc w:val="center"/>
        </w:trPr>
        <w:tc>
          <w:tcPr>
            <w:tcW w:w="771" w:type="pct"/>
            <w:vMerge/>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p>
        </w:tc>
        <w:tc>
          <w:tcPr>
            <w:tcW w:w="2595" w:type="pct"/>
            <w:gridSpan w:val="2"/>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r w:rsidRPr="009379D4">
              <w:rPr>
                <w:sz w:val="20"/>
              </w:rPr>
              <w:t>Communication vidéo (multimédia moyen/conversationnel)</w:t>
            </w:r>
          </w:p>
        </w:tc>
        <w:tc>
          <w:tcPr>
            <w:tcW w:w="79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r w:rsidRPr="009379D4">
              <w:rPr>
                <w:sz w:val="20"/>
              </w:rPr>
              <w:t>384 kbit/s</w:t>
            </w:r>
          </w:p>
        </w:tc>
        <w:tc>
          <w:tcPr>
            <w:tcW w:w="84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p>
        </w:tc>
      </w:tr>
      <w:tr w:rsidR="00FE0045" w:rsidRPr="009379D4" w:rsidTr="00E12924">
        <w:trPr>
          <w:cantSplit/>
          <w:jc w:val="center"/>
        </w:trPr>
        <w:tc>
          <w:tcPr>
            <w:tcW w:w="771" w:type="pct"/>
            <w:vMerge/>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p>
        </w:tc>
        <w:tc>
          <w:tcPr>
            <w:tcW w:w="2595" w:type="pct"/>
            <w:gridSpan w:val="2"/>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r w:rsidRPr="009379D4">
              <w:rPr>
                <w:sz w:val="20"/>
              </w:rPr>
              <w:t>Transmission de données à débit moyen pour le contrôle des renseignements concernant les villes (multimédia/interactif)</w:t>
            </w:r>
          </w:p>
        </w:tc>
        <w:tc>
          <w:tcPr>
            <w:tcW w:w="79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r w:rsidRPr="009379D4">
              <w:rPr>
                <w:sz w:val="20"/>
              </w:rPr>
              <w:t>384 kbit/s</w:t>
            </w:r>
          </w:p>
        </w:tc>
        <w:tc>
          <w:tcPr>
            <w:tcW w:w="84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p>
        </w:tc>
      </w:tr>
      <w:tr w:rsidR="00FE0045" w:rsidRPr="009379D4" w:rsidTr="00E12924">
        <w:trPr>
          <w:cantSplit/>
          <w:jc w:val="center"/>
        </w:trPr>
        <w:tc>
          <w:tcPr>
            <w:tcW w:w="771" w:type="pct"/>
            <w:vMerge/>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p>
        </w:tc>
        <w:tc>
          <w:tcPr>
            <w:tcW w:w="2595" w:type="pct"/>
            <w:gridSpan w:val="2"/>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r w:rsidRPr="009379D4">
              <w:rPr>
                <w:sz w:val="20"/>
              </w:rPr>
              <w:t>Transmission de données à faible débit pour la réservation de restaurants, etc. (très faible débit de données/interactif)</w:t>
            </w:r>
          </w:p>
        </w:tc>
        <w:tc>
          <w:tcPr>
            <w:tcW w:w="79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r w:rsidRPr="009379D4">
              <w:rPr>
                <w:sz w:val="20"/>
              </w:rPr>
              <w:t>1 kbit/s</w:t>
            </w:r>
          </w:p>
        </w:tc>
        <w:tc>
          <w:tcPr>
            <w:tcW w:w="84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p>
        </w:tc>
      </w:tr>
      <w:tr w:rsidR="00FE0045" w:rsidRPr="009379D4" w:rsidTr="00E12924">
        <w:trPr>
          <w:cantSplit/>
          <w:jc w:val="center"/>
        </w:trPr>
        <w:tc>
          <w:tcPr>
            <w:tcW w:w="771" w:type="pct"/>
            <w:vMerge/>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left"/>
              <w:rPr>
                <w:sz w:val="20"/>
              </w:rPr>
            </w:pPr>
          </w:p>
        </w:tc>
        <w:tc>
          <w:tcPr>
            <w:tcW w:w="2595" w:type="pct"/>
            <w:gridSpan w:val="2"/>
            <w:tcBorders>
              <w:top w:val="single" w:sz="6" w:space="0" w:color="auto"/>
              <w:left w:val="single" w:sz="6" w:space="0" w:color="auto"/>
              <w:bottom w:val="single" w:sz="6" w:space="0" w:color="auto"/>
              <w:right w:val="single" w:sz="6" w:space="0" w:color="auto"/>
            </w:tcBorders>
          </w:tcPr>
          <w:p w:rsidR="00FE0045" w:rsidRPr="009379D4" w:rsidRDefault="00FE0045" w:rsidP="00C01C1B">
            <w:pPr>
              <w:pStyle w:val="Tabletext"/>
              <w:jc w:val="left"/>
              <w:rPr>
                <w:sz w:val="20"/>
              </w:rPr>
            </w:pPr>
            <w:r w:rsidRPr="009379D4">
              <w:rPr>
                <w:sz w:val="20"/>
              </w:rPr>
              <w:t>Transfert de fichiers (multimedia de débit très élevé/arrière</w:t>
            </w:r>
            <w:r w:rsidR="00C01C1B">
              <w:rPr>
                <w:sz w:val="20"/>
              </w:rPr>
              <w:noBreakHyphen/>
            </w:r>
            <w:r w:rsidRPr="009379D4">
              <w:rPr>
                <w:sz w:val="20"/>
              </w:rPr>
              <w:t>plan)</w:t>
            </w:r>
          </w:p>
        </w:tc>
        <w:tc>
          <w:tcPr>
            <w:tcW w:w="79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r w:rsidRPr="009379D4">
              <w:rPr>
                <w:sz w:val="20"/>
              </w:rPr>
              <w:t>50 Mbit/s</w:t>
            </w:r>
          </w:p>
        </w:tc>
        <w:tc>
          <w:tcPr>
            <w:tcW w:w="842" w:type="pct"/>
            <w:tcBorders>
              <w:top w:val="single" w:sz="6" w:space="0" w:color="auto"/>
              <w:left w:val="single" w:sz="6" w:space="0" w:color="auto"/>
              <w:bottom w:val="single" w:sz="6" w:space="0" w:color="auto"/>
              <w:right w:val="single" w:sz="6" w:space="0" w:color="auto"/>
            </w:tcBorders>
          </w:tcPr>
          <w:p w:rsidR="00FE0045" w:rsidRPr="009379D4" w:rsidRDefault="00FE0045" w:rsidP="00B905E4">
            <w:pPr>
              <w:pStyle w:val="Tabletext"/>
              <w:jc w:val="center"/>
              <w:rPr>
                <w:sz w:val="20"/>
              </w:rPr>
            </w:pPr>
          </w:p>
        </w:tc>
      </w:tr>
    </w:tbl>
    <w:p w:rsidR="00FE0045" w:rsidRDefault="00FE0045" w:rsidP="00FE0045">
      <w:pPr>
        <w:pStyle w:val="Tablefin"/>
        <w:rPr>
          <w:kern w:val="28"/>
          <w:lang w:val="fr-FR"/>
        </w:rPr>
      </w:pPr>
    </w:p>
    <w:p w:rsidR="00FE0045" w:rsidRDefault="00FE0045" w:rsidP="00FE0045">
      <w:pPr>
        <w:pStyle w:val="Heading4"/>
      </w:pPr>
      <w:r>
        <w:t>3.5.2.3</w:t>
      </w:r>
      <w:r>
        <w:tab/>
        <w:t>Indiquer les valeurs des attributs du trafic de chaque service</w:t>
      </w:r>
    </w:p>
    <w:p w:rsidR="00FE0045" w:rsidRDefault="00FE0045" w:rsidP="00F00D23">
      <w:r>
        <w:t>Une fois les listes d'applications et de services établies à l'Etape 1 de la Fig. 3, on passe à l'Etape 2, qui consiste à indiquer les valeurs des paramètres des attributs du trafic, tels que le débit binaire moyen du service et la durée moyenne des sessions pour chaque service.</w:t>
      </w:r>
    </w:p>
    <w:p w:rsidR="00FE0045" w:rsidRDefault="00FE0045" w:rsidP="00FE0045">
      <w:r>
        <w:t>Les attributs du trafic indiqués au Tableau 12 sont déduits de l'examen des services énumérés à l'Etape 1. Les chiffres qui figurent dans ce Tableau représentent les valeurs types:</w:t>
      </w:r>
    </w:p>
    <w:p w:rsidR="00FE0045" w:rsidRDefault="00FE0045" w:rsidP="00FE0045">
      <w:pPr>
        <w:pStyle w:val="enumlev1"/>
      </w:pPr>
      <w:r>
        <w:t>–</w:t>
      </w:r>
      <w:r>
        <w:tab/>
        <w:t xml:space="preserve">du débit binaire moyen du service; </w:t>
      </w:r>
    </w:p>
    <w:p w:rsidR="00FE0045" w:rsidRDefault="00FE0045" w:rsidP="00FE0045">
      <w:pPr>
        <w:pStyle w:val="enumlev1"/>
      </w:pPr>
      <w:r>
        <w:t>–</w:t>
      </w:r>
      <w:r>
        <w:tab/>
        <w:t xml:space="preserve">de la durée moyenne des sessions. </w:t>
      </w:r>
    </w:p>
    <w:p w:rsidR="00FE0045" w:rsidRDefault="00FE0045" w:rsidP="00FE0045">
      <w:r>
        <w:t>Ils sont utilisés pour décomposer les données commerciales rassemblées au sujet des applications si ces données ne donnent pas de valeurs.</w:t>
      </w:r>
    </w:p>
    <w:p w:rsidR="00FE0045" w:rsidRDefault="00FE0045" w:rsidP="00FE0045">
      <w:pPr>
        <w:pStyle w:val="Heading4"/>
        <w:rPr>
          <w:kern w:val="28"/>
        </w:rPr>
      </w:pPr>
      <w:r>
        <w:rPr>
          <w:kern w:val="28"/>
        </w:rPr>
        <w:lastRenderedPageBreak/>
        <w:t>3.5.2.4</w:t>
      </w:r>
      <w:r>
        <w:rPr>
          <w:kern w:val="28"/>
        </w:rPr>
        <w:tab/>
        <w:t>Indiquer les valeurs des attributs commerciaux de chaque service</w:t>
      </w:r>
    </w:p>
    <w:p w:rsidR="00FE0045" w:rsidRDefault="00FE0045" w:rsidP="00FE0045">
      <w:pPr>
        <w:rPr>
          <w:kern w:val="28"/>
        </w:rPr>
      </w:pPr>
      <w:r>
        <w:rPr>
          <w:kern w:val="28"/>
        </w:rPr>
        <w:t>Le volume de trafic écoulé par différents RATG connaît des fluctuations, qui sont fonction de l'heure, de la date et de la région; il est donc possible d'accroître l'efficacité spectrale en utilisant des réseaux coordonnés et en appliquant une méthode FSU. Le principe de base consiste à ne plus attribuer à chaque RATG des quantités égales et fixes de spectre pour chaque zone géographique mais de permettre à ces groupes d'échanger des fréquences entre eux, en libérant au profit d'autres, au cours de périodes creuses, celles qui ne sont pas utilisées. Si la méthode FSU appliquée était parfaite, seule la quantité de spectre nécessaire pour satisfaire la demande de trafic serait attribuée au réseau d'accès radioélectrique (RAN). Les fluctuations horaires sont caractéristiques de la plupart des RAT et sont la conséquence des variations du comportement des utilisateurs en fonction de l'heure de la journée.</w:t>
      </w:r>
    </w:p>
    <w:p w:rsidR="00FE0045" w:rsidRDefault="00FE0045" w:rsidP="00FE0045">
      <w:pPr>
        <w:rPr>
          <w:kern w:val="28"/>
        </w:rPr>
      </w:pPr>
      <w:r>
        <w:rPr>
          <w:kern w:val="28"/>
        </w:rPr>
        <w:t xml:space="preserve">Pour calculer les besoins dynamiques en spectre d'un RATG, les valeurs des attributs commerciaux doivent être indiquées pour chaque intervalle de temps, </w:t>
      </w:r>
      <w:r>
        <w:rPr>
          <w:i/>
          <w:iCs/>
          <w:kern w:val="28"/>
        </w:rPr>
        <w:t>t</w:t>
      </w:r>
      <w:r>
        <w:rPr>
          <w:kern w:val="28"/>
        </w:rPr>
        <w:t xml:space="preserve">. Les économies de spectre qui pourront être réalisées grâce à l'application de la technique FSU augmenteront en fonction de la résolution temporelle qui pourra être fournie avec les valeurs des attributs commerciaux. </w:t>
      </w:r>
    </w:p>
    <w:p w:rsidR="00FE0045" w:rsidRDefault="00FE0045" w:rsidP="00F00D23">
      <w:pPr>
        <w:rPr>
          <w:kern w:val="28"/>
        </w:rPr>
      </w:pPr>
      <w:r>
        <w:rPr>
          <w:kern w:val="28"/>
        </w:rPr>
        <w:t>Pour pouvoir analyser les données commerciales, il faut indiquer les valeurs de la densité d'utilisateurs et du taux d'arrivée des sessions par utilisateur pour chaque service, dans chaque environnement de service et dans chaque intervalle de temps. Il faut également tenir compte, dans la répartition du trafic, des taux de mobilité définis au § 3.4.1.3. Le Tableau 13 illustre, à titre d'exemple, les réponses qui devraient, en principe, être fournies au questionnaire sur le marché et les services.</w:t>
      </w:r>
    </w:p>
    <w:p w:rsidR="00FE0045" w:rsidRDefault="00FE0045" w:rsidP="00FE0045">
      <w:pPr>
        <w:pStyle w:val="Heading4"/>
        <w:rPr>
          <w:kern w:val="28"/>
        </w:rPr>
      </w:pPr>
      <w:r>
        <w:rPr>
          <w:kern w:val="28"/>
        </w:rPr>
        <w:t>3.5.2.5</w:t>
      </w:r>
      <w:r>
        <w:rPr>
          <w:kern w:val="28"/>
        </w:rPr>
        <w:tab/>
        <w:t>Classer les services en catégories pour chaque environnement de service</w:t>
      </w:r>
    </w:p>
    <w:p w:rsidR="00FE0045" w:rsidRDefault="00FE0045" w:rsidP="00FE0045">
      <w:pPr>
        <w:rPr>
          <w:kern w:val="28"/>
        </w:rPr>
      </w:pPr>
      <w:r>
        <w:rPr>
          <w:kern w:val="28"/>
        </w:rPr>
        <w:t xml:space="preserve">D'après le Tableau 13, chaque service peut être représenté sous la forme indiquée au Tableau 1, laquelle rend compte du type de service et de la classe de trafic. Tous les services répertoriés dans le Tableau 13 devraient être mis en correspondance avec ceux du Tableau 1. Un tableau sera établi pour chaque environnement de service, six tableaux étant donc nécessaires pour représenter tous ces environnements. </w:t>
      </w:r>
    </w:p>
    <w:p w:rsidR="00FE0045" w:rsidRPr="002D2304" w:rsidRDefault="00FE0045" w:rsidP="00FE0045">
      <w:pPr>
        <w:pStyle w:val="Heading4"/>
        <w:rPr>
          <w:kern w:val="28"/>
        </w:rPr>
      </w:pPr>
      <w:r>
        <w:rPr>
          <w:kern w:val="28"/>
        </w:rPr>
        <w:t>3</w:t>
      </w:r>
      <w:r w:rsidRPr="002D2304">
        <w:rPr>
          <w:kern w:val="28"/>
        </w:rPr>
        <w:t>.5.2.6</w:t>
      </w:r>
      <w:r w:rsidRPr="002D2304">
        <w:rPr>
          <w:kern w:val="28"/>
        </w:rPr>
        <w:tab/>
        <w:t>Calculer les valeurs des attributs commerciaux pour chaque catégorie et environnement de service et pour chaque intervalle de temps</w:t>
      </w:r>
    </w:p>
    <w:p w:rsidR="00FE0045" w:rsidRDefault="00FE0045" w:rsidP="00FE0045">
      <w:pPr>
        <w:rPr>
          <w:kern w:val="28"/>
        </w:rPr>
      </w:pPr>
      <w:r>
        <w:rPr>
          <w:kern w:val="28"/>
        </w:rPr>
        <w:t>Le Tableau 13 montre les valeurs des attributs commerciaux de chaque service. A cette étape, les valeurs de ces attributs sont calculées pour chaque catégorie de service, chaque environnement de service et chaque intervalle de temps. Les résultats sont présentés au Tableau 14. Les valeurs des attributs du marché sont indiquées séparément selon qu'elles s'appliquent à la liaison montante ou à la liaison descendante.</w:t>
      </w:r>
    </w:p>
    <w:p w:rsidR="00FE0045" w:rsidRDefault="00FE0045" w:rsidP="00FE0045">
      <w:pPr>
        <w:rPr>
          <w:kern w:val="28"/>
        </w:rPr>
      </w:pPr>
      <w:r>
        <w:rPr>
          <w:kern w:val="28"/>
        </w:rPr>
        <w:t xml:space="preserve">Les valeurs requises pour SE </w:t>
      </w:r>
      <w:r>
        <w:rPr>
          <w:i/>
          <w:iCs/>
          <w:kern w:val="28"/>
        </w:rPr>
        <w:t>m</w:t>
      </w:r>
      <w:r>
        <w:rPr>
          <w:kern w:val="28"/>
        </w:rPr>
        <w:t xml:space="preserve">, l'intervalle de temps </w:t>
      </w:r>
      <w:r>
        <w:rPr>
          <w:i/>
          <w:iCs/>
          <w:kern w:val="28"/>
        </w:rPr>
        <w:t>t</w:t>
      </w:r>
      <w:r>
        <w:rPr>
          <w:kern w:val="28"/>
        </w:rPr>
        <w:t xml:space="preserve">, et SC </w:t>
      </w:r>
      <w:r>
        <w:rPr>
          <w:i/>
          <w:iCs/>
          <w:kern w:val="28"/>
        </w:rPr>
        <w:t>n</w:t>
      </w:r>
      <w:r>
        <w:rPr>
          <w:kern w:val="28"/>
        </w:rPr>
        <w:t xml:space="preserve"> sont déduites des valeurs des paramètres de chaque service, de la manière suivante:</w:t>
      </w:r>
    </w:p>
    <w:p w:rsidR="00FE0045" w:rsidRDefault="00FE0045" w:rsidP="00FE0045">
      <w:pPr>
        <w:pStyle w:val="TableNo"/>
      </w:pPr>
      <w:r>
        <w:lastRenderedPageBreak/>
        <w:t xml:space="preserve">TABLEAU 13 </w:t>
      </w:r>
    </w:p>
    <w:p w:rsidR="00FE0045" w:rsidRDefault="00FE0045" w:rsidP="00FE0045">
      <w:pPr>
        <w:pStyle w:val="Tabletitle"/>
      </w:pPr>
      <w:r>
        <w:t>Réponses qui devraient être fournies au questionnaire sur le marché et les services</w:t>
      </w:r>
    </w:p>
    <w:tbl>
      <w:tblPr>
        <w:tblW w:w="9639" w:type="dxa"/>
        <w:tblLayout w:type="fixed"/>
        <w:tblLook w:val="0000" w:firstRow="0" w:lastRow="0" w:firstColumn="0" w:lastColumn="0" w:noHBand="0" w:noVBand="0"/>
      </w:tblPr>
      <w:tblGrid>
        <w:gridCol w:w="1384"/>
        <w:gridCol w:w="1280"/>
        <w:gridCol w:w="605"/>
        <w:gridCol w:w="565"/>
        <w:gridCol w:w="987"/>
        <w:gridCol w:w="1128"/>
        <w:gridCol w:w="1128"/>
        <w:gridCol w:w="950"/>
        <w:gridCol w:w="495"/>
        <w:gridCol w:w="413"/>
        <w:gridCol w:w="334"/>
        <w:gridCol w:w="370"/>
      </w:tblGrid>
      <w:tr w:rsidR="00FE0045" w:rsidRPr="00F73B54" w:rsidTr="001B0E30">
        <w:trPr>
          <w:cantSplit/>
          <w:trHeight w:val="451"/>
        </w:trPr>
        <w:tc>
          <w:tcPr>
            <w:tcW w:w="718" w:type="pct"/>
            <w:tcBorders>
              <w:top w:val="single" w:sz="6" w:space="0" w:color="auto"/>
              <w:left w:val="single" w:sz="6" w:space="0" w:color="auto"/>
              <w:bottom w:val="single" w:sz="6" w:space="0" w:color="auto"/>
              <w:right w:val="single" w:sz="6" w:space="0" w:color="auto"/>
            </w:tcBorders>
          </w:tcPr>
          <w:p w:rsidR="00FE0045" w:rsidRPr="00F73B54" w:rsidRDefault="00FE0045" w:rsidP="00F00D23">
            <w:pPr>
              <w:pStyle w:val="Tablehead"/>
              <w:rPr>
                <w:sz w:val="20"/>
              </w:rPr>
            </w:pPr>
            <w:r w:rsidRPr="00F73B54">
              <w:rPr>
                <w:sz w:val="20"/>
              </w:rPr>
              <w:t>Applications</w:t>
            </w:r>
          </w:p>
        </w:tc>
        <w:tc>
          <w:tcPr>
            <w:tcW w:w="664" w:type="pct"/>
            <w:vMerge w:val="restart"/>
            <w:tcBorders>
              <w:top w:val="single" w:sz="6" w:space="0" w:color="auto"/>
              <w:left w:val="single" w:sz="6" w:space="0" w:color="auto"/>
              <w:bottom w:val="single" w:sz="6" w:space="0" w:color="auto"/>
              <w:right w:val="single" w:sz="6" w:space="0" w:color="auto"/>
            </w:tcBorders>
          </w:tcPr>
          <w:p w:rsidR="00FE0045" w:rsidRPr="00F73B54" w:rsidRDefault="00FE0045" w:rsidP="00E12924">
            <w:pPr>
              <w:pStyle w:val="Tablehead"/>
              <w:rPr>
                <w:sz w:val="20"/>
              </w:rPr>
            </w:pPr>
            <w:r w:rsidRPr="00F73B54">
              <w:rPr>
                <w:sz w:val="20"/>
              </w:rPr>
              <w:t>Services</w:t>
            </w:r>
            <w:r w:rsidRPr="00F73B54">
              <w:rPr>
                <w:sz w:val="20"/>
              </w:rPr>
              <w:br/>
            </w:r>
            <w:r w:rsidRPr="00F73B54">
              <w:rPr>
                <w:i/>
                <w:iCs/>
                <w:sz w:val="20"/>
              </w:rPr>
              <w:t>s</w:t>
            </w:r>
            <w:r w:rsidRPr="00F73B54">
              <w:rPr>
                <w:sz w:val="20"/>
              </w:rPr>
              <w:t>: indice</w:t>
            </w:r>
          </w:p>
        </w:tc>
        <w:tc>
          <w:tcPr>
            <w:tcW w:w="314" w:type="pct"/>
            <w:vMerge w:val="restart"/>
            <w:tcBorders>
              <w:top w:val="single" w:sz="6" w:space="0" w:color="auto"/>
              <w:left w:val="single" w:sz="6" w:space="0" w:color="auto"/>
              <w:bottom w:val="single" w:sz="6" w:space="0" w:color="auto"/>
              <w:right w:val="single" w:sz="6" w:space="0" w:color="auto"/>
            </w:tcBorders>
          </w:tcPr>
          <w:p w:rsidR="00FE0045" w:rsidRPr="00F73B54" w:rsidRDefault="00FE0045" w:rsidP="00E12924">
            <w:pPr>
              <w:pStyle w:val="Tablehead"/>
              <w:rPr>
                <w:i/>
                <w:iCs/>
                <w:sz w:val="20"/>
              </w:rPr>
            </w:pPr>
            <w:r w:rsidRPr="00F73B54">
              <w:rPr>
                <w:sz w:val="20"/>
              </w:rPr>
              <w:t>SC</w:t>
            </w:r>
            <w:r w:rsidRPr="00F73B54">
              <w:rPr>
                <w:sz w:val="20"/>
              </w:rPr>
              <w:br/>
            </w:r>
            <w:r w:rsidRPr="00F73B54">
              <w:rPr>
                <w:i/>
                <w:iCs/>
                <w:sz w:val="20"/>
              </w:rPr>
              <w:t>n</w:t>
            </w:r>
          </w:p>
        </w:tc>
        <w:tc>
          <w:tcPr>
            <w:tcW w:w="293" w:type="pct"/>
            <w:vMerge w:val="restart"/>
            <w:tcBorders>
              <w:top w:val="single" w:sz="6" w:space="0" w:color="auto"/>
              <w:left w:val="single" w:sz="6" w:space="0" w:color="auto"/>
              <w:bottom w:val="single" w:sz="6" w:space="0" w:color="auto"/>
              <w:right w:val="single" w:sz="6" w:space="0" w:color="auto"/>
            </w:tcBorders>
          </w:tcPr>
          <w:p w:rsidR="00FE0045" w:rsidRPr="00F73B54" w:rsidRDefault="00FE0045" w:rsidP="00E12924">
            <w:pPr>
              <w:pStyle w:val="Tablehead"/>
              <w:rPr>
                <w:sz w:val="20"/>
              </w:rPr>
            </w:pPr>
            <w:r w:rsidRPr="00F73B54">
              <w:rPr>
                <w:sz w:val="20"/>
              </w:rPr>
              <w:t>SE</w:t>
            </w:r>
            <w:r w:rsidRPr="00F73B54">
              <w:rPr>
                <w:sz w:val="20"/>
              </w:rPr>
              <w:br/>
            </w:r>
            <w:r w:rsidRPr="00F73B54">
              <w:rPr>
                <w:i/>
                <w:iCs/>
                <w:sz w:val="20"/>
              </w:rPr>
              <w:t>m</w:t>
            </w:r>
          </w:p>
        </w:tc>
        <w:tc>
          <w:tcPr>
            <w:tcW w:w="3011" w:type="pct"/>
            <w:gridSpan w:val="8"/>
            <w:tcBorders>
              <w:top w:val="single" w:sz="6" w:space="0" w:color="auto"/>
              <w:left w:val="single" w:sz="6" w:space="0" w:color="auto"/>
              <w:bottom w:val="single" w:sz="6" w:space="0" w:color="auto"/>
              <w:right w:val="single" w:sz="6" w:space="0" w:color="auto"/>
            </w:tcBorders>
          </w:tcPr>
          <w:p w:rsidR="00FE0045" w:rsidRPr="00F73B54" w:rsidRDefault="00FE0045" w:rsidP="00E12924">
            <w:pPr>
              <w:pStyle w:val="Tablehead"/>
              <w:rPr>
                <w:sz w:val="20"/>
              </w:rPr>
            </w:pPr>
            <w:r w:rsidRPr="00F73B54">
              <w:rPr>
                <w:sz w:val="20"/>
              </w:rPr>
              <w:t>Attributs commerciaux</w:t>
            </w:r>
          </w:p>
        </w:tc>
      </w:tr>
      <w:tr w:rsidR="00FE0045" w:rsidRPr="00F73B54" w:rsidTr="001B0E30">
        <w:trPr>
          <w:cantSplit/>
          <w:trHeight w:val="600"/>
        </w:trPr>
        <w:tc>
          <w:tcPr>
            <w:tcW w:w="718" w:type="pct"/>
            <w:vMerge w:val="restart"/>
            <w:tcBorders>
              <w:top w:val="single" w:sz="6" w:space="0" w:color="auto"/>
              <w:left w:val="single" w:sz="6" w:space="0" w:color="auto"/>
              <w:bottom w:val="single" w:sz="6" w:space="0" w:color="auto"/>
              <w:right w:val="single" w:sz="6" w:space="0" w:color="auto"/>
            </w:tcBorders>
          </w:tcPr>
          <w:p w:rsidR="00FE0045" w:rsidRPr="00F73B54" w:rsidRDefault="00FE0045" w:rsidP="00E12924">
            <w:pPr>
              <w:pStyle w:val="Tablehead"/>
              <w:rPr>
                <w:sz w:val="20"/>
              </w:rPr>
            </w:pPr>
          </w:p>
        </w:tc>
        <w:tc>
          <w:tcPr>
            <w:tcW w:w="664" w:type="pct"/>
            <w:vMerge/>
            <w:tcBorders>
              <w:top w:val="single" w:sz="6" w:space="0" w:color="auto"/>
              <w:left w:val="single" w:sz="6" w:space="0" w:color="auto"/>
              <w:bottom w:val="single" w:sz="6" w:space="0" w:color="auto"/>
              <w:right w:val="single" w:sz="6" w:space="0" w:color="auto"/>
            </w:tcBorders>
          </w:tcPr>
          <w:p w:rsidR="00FE0045" w:rsidRPr="00F73B54" w:rsidRDefault="00FE0045" w:rsidP="00E12924">
            <w:pPr>
              <w:pStyle w:val="Tablehead"/>
              <w:rPr>
                <w:sz w:val="20"/>
              </w:rPr>
            </w:pPr>
          </w:p>
        </w:tc>
        <w:tc>
          <w:tcPr>
            <w:tcW w:w="314" w:type="pct"/>
            <w:vMerge/>
            <w:tcBorders>
              <w:top w:val="single" w:sz="6" w:space="0" w:color="auto"/>
              <w:left w:val="single" w:sz="6" w:space="0" w:color="auto"/>
              <w:bottom w:val="single" w:sz="6" w:space="0" w:color="auto"/>
              <w:right w:val="single" w:sz="6" w:space="0" w:color="auto"/>
            </w:tcBorders>
          </w:tcPr>
          <w:p w:rsidR="00FE0045" w:rsidRPr="00F73B54" w:rsidRDefault="00FE0045" w:rsidP="00E12924">
            <w:pPr>
              <w:pStyle w:val="Tablehead"/>
              <w:rPr>
                <w:sz w:val="20"/>
              </w:rPr>
            </w:pPr>
          </w:p>
        </w:tc>
        <w:tc>
          <w:tcPr>
            <w:tcW w:w="293" w:type="pct"/>
            <w:vMerge/>
            <w:tcBorders>
              <w:top w:val="single" w:sz="6" w:space="0" w:color="auto"/>
              <w:left w:val="single" w:sz="6" w:space="0" w:color="auto"/>
              <w:bottom w:val="single" w:sz="6" w:space="0" w:color="auto"/>
              <w:right w:val="single" w:sz="6" w:space="0" w:color="auto"/>
            </w:tcBorders>
          </w:tcPr>
          <w:p w:rsidR="00FE0045" w:rsidRPr="00F73B54" w:rsidRDefault="00FE0045" w:rsidP="00E12924">
            <w:pPr>
              <w:pStyle w:val="Tablehead"/>
              <w:rPr>
                <w:sz w:val="20"/>
              </w:rPr>
            </w:pPr>
          </w:p>
        </w:tc>
        <w:tc>
          <w:tcPr>
            <w:tcW w:w="512" w:type="pct"/>
            <w:vMerge w:val="restart"/>
            <w:tcBorders>
              <w:top w:val="single" w:sz="6" w:space="0" w:color="auto"/>
              <w:left w:val="single" w:sz="6" w:space="0" w:color="auto"/>
              <w:bottom w:val="single" w:sz="6" w:space="0" w:color="auto"/>
              <w:right w:val="single" w:sz="6" w:space="0" w:color="auto"/>
            </w:tcBorders>
            <w:textDirection w:val="btLr"/>
            <w:vAlign w:val="center"/>
          </w:tcPr>
          <w:p w:rsidR="00FE0045" w:rsidRPr="00F73B54" w:rsidRDefault="00FE0045" w:rsidP="00E12924">
            <w:pPr>
              <w:pStyle w:val="Tablehead"/>
              <w:rPr>
                <w:sz w:val="20"/>
              </w:rPr>
            </w:pPr>
            <w:r w:rsidRPr="00F73B54">
              <w:rPr>
                <w:kern w:val="28"/>
                <w:sz w:val="20"/>
              </w:rPr>
              <w:t xml:space="preserve">Densité d'utilisateurs  </w:t>
            </w:r>
            <w:r w:rsidRPr="00F73B54">
              <w:rPr>
                <w:kern w:val="28"/>
                <w:sz w:val="20"/>
              </w:rPr>
              <w:br/>
            </w:r>
            <w:r w:rsidRPr="001813BB">
              <w:rPr>
                <w:i/>
                <w:kern w:val="28"/>
                <w:sz w:val="20"/>
              </w:rPr>
              <w:t>U</w:t>
            </w:r>
            <w:r w:rsidRPr="001813BB">
              <w:rPr>
                <w:i/>
                <w:kern w:val="28"/>
                <w:sz w:val="20"/>
                <w:vertAlign w:val="subscript"/>
              </w:rPr>
              <w:t>m</w:t>
            </w:r>
            <w:r w:rsidRPr="00F73B54">
              <w:rPr>
                <w:kern w:val="28"/>
                <w:sz w:val="20"/>
                <w:vertAlign w:val="subscript"/>
              </w:rPr>
              <w:t xml:space="preserve">, </w:t>
            </w:r>
            <w:r w:rsidRPr="001813BB">
              <w:rPr>
                <w:i/>
                <w:kern w:val="28"/>
                <w:sz w:val="20"/>
                <w:vertAlign w:val="subscript"/>
              </w:rPr>
              <w:t>t</w:t>
            </w:r>
            <w:r w:rsidRPr="00F73B54">
              <w:rPr>
                <w:kern w:val="28"/>
                <w:sz w:val="20"/>
                <w:vertAlign w:val="subscript"/>
              </w:rPr>
              <w:t>,.</w:t>
            </w:r>
            <w:r w:rsidRPr="001813BB">
              <w:rPr>
                <w:i/>
                <w:kern w:val="28"/>
                <w:sz w:val="20"/>
                <w:vertAlign w:val="subscript"/>
              </w:rPr>
              <w:t>s</w:t>
            </w:r>
            <w:r w:rsidRPr="00F73B54">
              <w:rPr>
                <w:kern w:val="28"/>
                <w:sz w:val="20"/>
                <w:vertAlign w:val="subscript"/>
              </w:rPr>
              <w:t xml:space="preserve"> </w:t>
            </w:r>
            <w:r>
              <w:rPr>
                <w:kern w:val="28"/>
                <w:sz w:val="20"/>
              </w:rPr>
              <w:t>(</w:t>
            </w:r>
            <w:r w:rsidRPr="00F73B54">
              <w:rPr>
                <w:kern w:val="28"/>
                <w:sz w:val="20"/>
              </w:rPr>
              <w:t>nombre d'utilisateurs/km</w:t>
            </w:r>
            <w:r w:rsidRPr="00F73B54">
              <w:rPr>
                <w:kern w:val="28"/>
                <w:sz w:val="20"/>
                <w:vertAlign w:val="superscript"/>
              </w:rPr>
              <w:t>2</w:t>
            </w:r>
            <w:r>
              <w:rPr>
                <w:kern w:val="28"/>
                <w:sz w:val="20"/>
              </w:rPr>
              <w:t>)</w:t>
            </w:r>
          </w:p>
        </w:tc>
        <w:tc>
          <w:tcPr>
            <w:tcW w:w="585" w:type="pct"/>
            <w:vMerge w:val="restart"/>
            <w:tcBorders>
              <w:top w:val="single" w:sz="6" w:space="0" w:color="auto"/>
              <w:left w:val="single" w:sz="6" w:space="0" w:color="auto"/>
              <w:bottom w:val="single" w:sz="6" w:space="0" w:color="auto"/>
              <w:right w:val="single" w:sz="6" w:space="0" w:color="auto"/>
            </w:tcBorders>
            <w:textDirection w:val="btLr"/>
            <w:vAlign w:val="center"/>
          </w:tcPr>
          <w:p w:rsidR="00FE0045" w:rsidRPr="00F73B54" w:rsidRDefault="00FE0045" w:rsidP="00E12924">
            <w:pPr>
              <w:pStyle w:val="Tablehead"/>
              <w:rPr>
                <w:sz w:val="20"/>
              </w:rPr>
            </w:pPr>
            <w:r w:rsidRPr="00F73B54">
              <w:rPr>
                <w:kern w:val="28"/>
                <w:sz w:val="20"/>
              </w:rPr>
              <w:t>Taux d'arrivée des sessions</w:t>
            </w:r>
            <w:r>
              <w:rPr>
                <w:kern w:val="28"/>
                <w:sz w:val="20"/>
              </w:rPr>
              <w:t>/</w:t>
            </w:r>
            <w:r w:rsidRPr="00F73B54">
              <w:rPr>
                <w:kern w:val="28"/>
                <w:sz w:val="20"/>
              </w:rPr>
              <w:t xml:space="preserve"> utilisateur </w:t>
            </w:r>
            <w:r w:rsidRPr="00F73B54">
              <w:rPr>
                <w:i/>
                <w:iCs/>
                <w:kern w:val="28"/>
                <w:sz w:val="20"/>
              </w:rPr>
              <w:t>Q</w:t>
            </w:r>
            <w:r w:rsidRPr="001813BB">
              <w:rPr>
                <w:i/>
                <w:kern w:val="28"/>
                <w:sz w:val="20"/>
                <w:vertAlign w:val="subscript"/>
              </w:rPr>
              <w:t>m</w:t>
            </w:r>
            <w:r w:rsidRPr="00F73B54">
              <w:rPr>
                <w:kern w:val="28"/>
                <w:sz w:val="20"/>
                <w:vertAlign w:val="subscript"/>
              </w:rPr>
              <w:t>,</w:t>
            </w:r>
            <w:r w:rsidRPr="001813BB">
              <w:rPr>
                <w:i/>
                <w:kern w:val="28"/>
                <w:sz w:val="20"/>
                <w:vertAlign w:val="subscript"/>
              </w:rPr>
              <w:t>t</w:t>
            </w:r>
            <w:r w:rsidRPr="00F73B54">
              <w:rPr>
                <w:kern w:val="28"/>
                <w:sz w:val="20"/>
                <w:vertAlign w:val="subscript"/>
              </w:rPr>
              <w:t>,</w:t>
            </w:r>
            <w:r w:rsidRPr="001813BB">
              <w:rPr>
                <w:i/>
                <w:kern w:val="28"/>
                <w:sz w:val="20"/>
                <w:vertAlign w:val="subscript"/>
              </w:rPr>
              <w:t>s</w:t>
            </w:r>
            <w:r w:rsidRPr="00F73B54">
              <w:rPr>
                <w:kern w:val="28"/>
                <w:sz w:val="20"/>
                <w:vertAlign w:val="subscript"/>
              </w:rPr>
              <w:t xml:space="preserve">  </w:t>
            </w:r>
            <w:r>
              <w:rPr>
                <w:kern w:val="28"/>
                <w:sz w:val="20"/>
              </w:rPr>
              <w:t>(</w:t>
            </w:r>
            <w:r w:rsidRPr="00F73B54">
              <w:rPr>
                <w:kern w:val="28"/>
                <w:sz w:val="20"/>
              </w:rPr>
              <w:t>nombre de sessions/(s*utilisateur)</w:t>
            </w:r>
            <w:r>
              <w:rPr>
                <w:kern w:val="28"/>
                <w:sz w:val="20"/>
              </w:rPr>
              <w:t>)</w:t>
            </w:r>
          </w:p>
        </w:tc>
        <w:tc>
          <w:tcPr>
            <w:tcW w:w="585" w:type="pct"/>
            <w:vMerge w:val="restart"/>
            <w:tcBorders>
              <w:top w:val="single" w:sz="6" w:space="0" w:color="auto"/>
              <w:left w:val="single" w:sz="6" w:space="0" w:color="auto"/>
              <w:bottom w:val="single" w:sz="6" w:space="0" w:color="auto"/>
              <w:right w:val="single" w:sz="6" w:space="0" w:color="auto"/>
            </w:tcBorders>
            <w:textDirection w:val="btLr"/>
            <w:vAlign w:val="center"/>
          </w:tcPr>
          <w:p w:rsidR="00FE0045" w:rsidRPr="00F73B54" w:rsidRDefault="00FE0045" w:rsidP="00E12924">
            <w:pPr>
              <w:pStyle w:val="Tablehead"/>
              <w:rPr>
                <w:sz w:val="20"/>
              </w:rPr>
            </w:pPr>
            <w:r w:rsidRPr="00F73B54">
              <w:rPr>
                <w:sz w:val="20"/>
              </w:rPr>
              <w:t xml:space="preserve">Débit binaire moyen </w:t>
            </w:r>
            <w:r w:rsidR="001B0E30">
              <w:rPr>
                <w:sz w:val="20"/>
              </w:rPr>
              <w:br/>
            </w:r>
            <w:r w:rsidRPr="00F73B54">
              <w:rPr>
                <w:sz w:val="20"/>
              </w:rPr>
              <w:t xml:space="preserve">du service </w:t>
            </w:r>
            <w:r w:rsidRPr="001813BB">
              <w:rPr>
                <w:i/>
                <w:sz w:val="20"/>
              </w:rPr>
              <w:t>r</w:t>
            </w:r>
            <w:r w:rsidRPr="001813BB">
              <w:rPr>
                <w:i/>
                <w:sz w:val="20"/>
                <w:vertAlign w:val="subscript"/>
              </w:rPr>
              <w:t>s</w:t>
            </w:r>
            <w:r w:rsidRPr="00F73B54">
              <w:rPr>
                <w:sz w:val="20"/>
                <w:vertAlign w:val="subscript"/>
              </w:rPr>
              <w:t xml:space="preserve">  </w:t>
            </w:r>
            <w:r>
              <w:rPr>
                <w:kern w:val="28"/>
                <w:sz w:val="20"/>
              </w:rPr>
              <w:t>(</w:t>
            </w:r>
            <w:r w:rsidRPr="00F73B54">
              <w:rPr>
                <w:kern w:val="28"/>
                <w:sz w:val="20"/>
              </w:rPr>
              <w:t>bit/s</w:t>
            </w:r>
            <w:r>
              <w:rPr>
                <w:kern w:val="28"/>
                <w:sz w:val="20"/>
              </w:rPr>
              <w:t>)</w:t>
            </w:r>
          </w:p>
        </w:tc>
        <w:tc>
          <w:tcPr>
            <w:tcW w:w="493" w:type="pct"/>
            <w:vMerge w:val="restart"/>
            <w:tcBorders>
              <w:top w:val="single" w:sz="6" w:space="0" w:color="auto"/>
              <w:left w:val="single" w:sz="6" w:space="0" w:color="auto"/>
              <w:bottom w:val="single" w:sz="6" w:space="0" w:color="auto"/>
              <w:right w:val="single" w:sz="6" w:space="0" w:color="auto"/>
            </w:tcBorders>
            <w:textDirection w:val="btLr"/>
            <w:vAlign w:val="center"/>
          </w:tcPr>
          <w:p w:rsidR="00FE0045" w:rsidRPr="00F73B54" w:rsidRDefault="00FE0045" w:rsidP="00E12924">
            <w:pPr>
              <w:pStyle w:val="Tablehead"/>
              <w:rPr>
                <w:sz w:val="20"/>
              </w:rPr>
            </w:pPr>
            <w:r w:rsidRPr="00F73B54">
              <w:rPr>
                <w:sz w:val="20"/>
              </w:rPr>
              <w:t xml:space="preserve">Durée moyenne des </w:t>
            </w:r>
            <w:r w:rsidRPr="00F73B54">
              <w:rPr>
                <w:sz w:val="20"/>
              </w:rPr>
              <w:br/>
              <w:t>sessions  μ</w:t>
            </w:r>
            <w:r w:rsidRPr="001813BB">
              <w:rPr>
                <w:i/>
                <w:sz w:val="20"/>
                <w:vertAlign w:val="subscript"/>
              </w:rPr>
              <w:t>m</w:t>
            </w:r>
            <w:r w:rsidRPr="00F73B54">
              <w:rPr>
                <w:sz w:val="20"/>
                <w:vertAlign w:val="subscript"/>
              </w:rPr>
              <w:t>,</w:t>
            </w:r>
            <w:r w:rsidRPr="001813BB">
              <w:rPr>
                <w:i/>
                <w:sz w:val="20"/>
                <w:vertAlign w:val="subscript"/>
              </w:rPr>
              <w:t>t</w:t>
            </w:r>
            <w:r w:rsidRPr="00F73B54">
              <w:rPr>
                <w:sz w:val="20"/>
                <w:vertAlign w:val="subscript"/>
              </w:rPr>
              <w:t>,</w:t>
            </w:r>
            <w:r w:rsidRPr="001813BB">
              <w:rPr>
                <w:i/>
                <w:sz w:val="20"/>
                <w:vertAlign w:val="subscript"/>
              </w:rPr>
              <w:t>s</w:t>
            </w:r>
            <w:r w:rsidRPr="00F73B54">
              <w:rPr>
                <w:sz w:val="20"/>
              </w:rPr>
              <w:br/>
            </w:r>
            <w:r>
              <w:rPr>
                <w:kern w:val="28"/>
                <w:sz w:val="20"/>
              </w:rPr>
              <w:t>(</w:t>
            </w:r>
            <w:r w:rsidRPr="00F73B54">
              <w:rPr>
                <w:kern w:val="28"/>
                <w:sz w:val="20"/>
              </w:rPr>
              <w:t>seconde/session</w:t>
            </w:r>
            <w:r>
              <w:rPr>
                <w:kern w:val="28"/>
                <w:sz w:val="20"/>
              </w:rPr>
              <w:t>)</w:t>
            </w:r>
          </w:p>
        </w:tc>
        <w:tc>
          <w:tcPr>
            <w:tcW w:w="836" w:type="pct"/>
            <w:gridSpan w:val="4"/>
            <w:tcBorders>
              <w:top w:val="single" w:sz="6" w:space="0" w:color="auto"/>
              <w:left w:val="single" w:sz="6" w:space="0" w:color="auto"/>
              <w:bottom w:val="single" w:sz="6" w:space="0" w:color="auto"/>
              <w:right w:val="single" w:sz="6" w:space="0" w:color="auto"/>
            </w:tcBorders>
          </w:tcPr>
          <w:p w:rsidR="00FE0045" w:rsidRPr="00F73B54" w:rsidRDefault="00FE0045" w:rsidP="00F00D23">
            <w:pPr>
              <w:pStyle w:val="Tablehead"/>
              <w:rPr>
                <w:sz w:val="20"/>
              </w:rPr>
            </w:pPr>
            <w:r w:rsidRPr="00F73B54">
              <w:rPr>
                <w:sz w:val="20"/>
              </w:rPr>
              <w:t>Taux de mobilité</w:t>
            </w:r>
            <w:r>
              <w:rPr>
                <w:sz w:val="20"/>
              </w:rPr>
              <w:br/>
            </w:r>
            <w:r w:rsidRPr="00F73B54">
              <w:rPr>
                <w:sz w:val="20"/>
              </w:rPr>
              <w:t>(%)</w:t>
            </w:r>
            <w:r>
              <w:rPr>
                <w:sz w:val="20"/>
              </w:rPr>
              <w:br/>
            </w:r>
            <w:r w:rsidRPr="00A24CB3">
              <w:rPr>
                <w:b w:val="0"/>
                <w:i/>
                <w:iCs/>
                <w:sz w:val="20"/>
              </w:rPr>
              <w:t>MR</w:t>
            </w:r>
            <w:r w:rsidRPr="00A24CB3">
              <w:rPr>
                <w:b w:val="0"/>
                <w:i/>
                <w:sz w:val="20"/>
                <w:vertAlign w:val="subscript"/>
              </w:rPr>
              <w:t>m</w:t>
            </w:r>
            <w:r w:rsidRPr="00A24CB3">
              <w:rPr>
                <w:b w:val="0"/>
                <w:sz w:val="20"/>
                <w:vertAlign w:val="subscript"/>
              </w:rPr>
              <w:t>,</w:t>
            </w:r>
            <w:r w:rsidRPr="00A24CB3">
              <w:rPr>
                <w:b w:val="0"/>
                <w:i/>
                <w:sz w:val="20"/>
                <w:vertAlign w:val="subscript"/>
              </w:rPr>
              <w:t>s</w:t>
            </w:r>
          </w:p>
        </w:tc>
      </w:tr>
      <w:tr w:rsidR="00FE0045" w:rsidRPr="00F73B54" w:rsidTr="001B0E30">
        <w:trPr>
          <w:cantSplit/>
          <w:trHeight w:val="1585"/>
        </w:trPr>
        <w:tc>
          <w:tcPr>
            <w:tcW w:w="718" w:type="pct"/>
            <w:vMerge/>
            <w:tcBorders>
              <w:top w:val="single" w:sz="6" w:space="0" w:color="auto"/>
              <w:left w:val="single" w:sz="6" w:space="0" w:color="auto"/>
              <w:bottom w:val="single" w:sz="6" w:space="0" w:color="auto"/>
              <w:right w:val="single" w:sz="6" w:space="0" w:color="auto"/>
            </w:tcBorders>
          </w:tcPr>
          <w:p w:rsidR="00FE0045" w:rsidRPr="00F73B54" w:rsidRDefault="00FE0045" w:rsidP="00E12924">
            <w:pPr>
              <w:pStyle w:val="Tablehead"/>
              <w:rPr>
                <w:sz w:val="20"/>
              </w:rPr>
            </w:pPr>
          </w:p>
        </w:tc>
        <w:tc>
          <w:tcPr>
            <w:tcW w:w="664" w:type="pct"/>
            <w:vMerge/>
            <w:tcBorders>
              <w:top w:val="single" w:sz="6" w:space="0" w:color="auto"/>
              <w:left w:val="single" w:sz="6" w:space="0" w:color="auto"/>
              <w:bottom w:val="single" w:sz="6" w:space="0" w:color="auto"/>
              <w:right w:val="single" w:sz="6" w:space="0" w:color="auto"/>
            </w:tcBorders>
          </w:tcPr>
          <w:p w:rsidR="00FE0045" w:rsidRPr="00F73B54" w:rsidRDefault="00FE0045" w:rsidP="00E12924">
            <w:pPr>
              <w:pStyle w:val="Tablehead"/>
              <w:rPr>
                <w:sz w:val="20"/>
              </w:rPr>
            </w:pPr>
          </w:p>
        </w:tc>
        <w:tc>
          <w:tcPr>
            <w:tcW w:w="314" w:type="pct"/>
            <w:vMerge/>
            <w:tcBorders>
              <w:top w:val="single" w:sz="6" w:space="0" w:color="auto"/>
              <w:left w:val="single" w:sz="6" w:space="0" w:color="auto"/>
              <w:bottom w:val="single" w:sz="6" w:space="0" w:color="auto"/>
              <w:right w:val="single" w:sz="6" w:space="0" w:color="auto"/>
            </w:tcBorders>
          </w:tcPr>
          <w:p w:rsidR="00FE0045" w:rsidRPr="00F73B54" w:rsidRDefault="00FE0045" w:rsidP="00E12924">
            <w:pPr>
              <w:pStyle w:val="Tablehead"/>
              <w:rPr>
                <w:sz w:val="20"/>
              </w:rPr>
            </w:pPr>
          </w:p>
        </w:tc>
        <w:tc>
          <w:tcPr>
            <w:tcW w:w="293" w:type="pct"/>
            <w:vMerge/>
            <w:tcBorders>
              <w:top w:val="single" w:sz="6" w:space="0" w:color="auto"/>
              <w:left w:val="single" w:sz="6" w:space="0" w:color="auto"/>
              <w:bottom w:val="single" w:sz="6" w:space="0" w:color="auto"/>
              <w:right w:val="single" w:sz="6" w:space="0" w:color="auto"/>
            </w:tcBorders>
          </w:tcPr>
          <w:p w:rsidR="00FE0045" w:rsidRPr="00F73B54" w:rsidRDefault="00FE0045" w:rsidP="00E12924">
            <w:pPr>
              <w:pStyle w:val="Tablehead"/>
              <w:rPr>
                <w:sz w:val="20"/>
              </w:rPr>
            </w:pPr>
          </w:p>
        </w:tc>
        <w:tc>
          <w:tcPr>
            <w:tcW w:w="512" w:type="pct"/>
            <w:vMerge/>
            <w:tcBorders>
              <w:top w:val="single" w:sz="6" w:space="0" w:color="auto"/>
              <w:left w:val="single" w:sz="6" w:space="0" w:color="auto"/>
              <w:bottom w:val="single" w:sz="6" w:space="0" w:color="auto"/>
              <w:right w:val="single" w:sz="6" w:space="0" w:color="auto"/>
            </w:tcBorders>
          </w:tcPr>
          <w:p w:rsidR="00FE0045" w:rsidRPr="00F73B54" w:rsidRDefault="00FE0045" w:rsidP="00E12924">
            <w:pPr>
              <w:pStyle w:val="Tablehead"/>
              <w:rPr>
                <w:sz w:val="20"/>
              </w:rPr>
            </w:pPr>
          </w:p>
        </w:tc>
        <w:tc>
          <w:tcPr>
            <w:tcW w:w="585" w:type="pct"/>
            <w:vMerge/>
            <w:tcBorders>
              <w:top w:val="single" w:sz="6" w:space="0" w:color="auto"/>
              <w:left w:val="single" w:sz="6" w:space="0" w:color="auto"/>
              <w:bottom w:val="single" w:sz="6" w:space="0" w:color="auto"/>
              <w:right w:val="single" w:sz="6" w:space="0" w:color="auto"/>
            </w:tcBorders>
          </w:tcPr>
          <w:p w:rsidR="00FE0045" w:rsidRPr="00F73B54" w:rsidRDefault="00FE0045" w:rsidP="00E12924">
            <w:pPr>
              <w:pStyle w:val="Tablehead"/>
              <w:rPr>
                <w:sz w:val="20"/>
              </w:rPr>
            </w:pPr>
          </w:p>
        </w:tc>
        <w:tc>
          <w:tcPr>
            <w:tcW w:w="585" w:type="pct"/>
            <w:vMerge/>
            <w:tcBorders>
              <w:top w:val="single" w:sz="6" w:space="0" w:color="auto"/>
              <w:left w:val="single" w:sz="6" w:space="0" w:color="auto"/>
              <w:bottom w:val="single" w:sz="6" w:space="0" w:color="auto"/>
              <w:right w:val="single" w:sz="6" w:space="0" w:color="auto"/>
            </w:tcBorders>
          </w:tcPr>
          <w:p w:rsidR="00FE0045" w:rsidRPr="00F73B54" w:rsidRDefault="00FE0045" w:rsidP="00E12924">
            <w:pPr>
              <w:pStyle w:val="Tablehead"/>
              <w:rPr>
                <w:sz w:val="20"/>
              </w:rPr>
            </w:pPr>
          </w:p>
        </w:tc>
        <w:tc>
          <w:tcPr>
            <w:tcW w:w="493" w:type="pct"/>
            <w:vMerge/>
            <w:tcBorders>
              <w:top w:val="single" w:sz="6" w:space="0" w:color="auto"/>
              <w:left w:val="single" w:sz="6" w:space="0" w:color="auto"/>
              <w:bottom w:val="single" w:sz="6" w:space="0" w:color="auto"/>
              <w:right w:val="single" w:sz="6" w:space="0" w:color="auto"/>
            </w:tcBorders>
          </w:tcPr>
          <w:p w:rsidR="00FE0045" w:rsidRPr="00F73B54" w:rsidRDefault="00FE0045" w:rsidP="00E12924">
            <w:pPr>
              <w:pStyle w:val="Tablehead"/>
              <w:rPr>
                <w:sz w:val="20"/>
              </w:rPr>
            </w:pPr>
          </w:p>
        </w:tc>
        <w:tc>
          <w:tcPr>
            <w:tcW w:w="257" w:type="pct"/>
            <w:tcBorders>
              <w:top w:val="single" w:sz="6" w:space="0" w:color="auto"/>
              <w:left w:val="single" w:sz="6" w:space="0" w:color="auto"/>
              <w:bottom w:val="single" w:sz="6" w:space="0" w:color="auto"/>
              <w:right w:val="single" w:sz="6" w:space="0" w:color="auto"/>
            </w:tcBorders>
            <w:textDirection w:val="btLr"/>
            <w:vAlign w:val="center"/>
          </w:tcPr>
          <w:p w:rsidR="00FE0045" w:rsidRPr="00F73B54" w:rsidRDefault="00FE0045" w:rsidP="00E12924">
            <w:pPr>
              <w:pStyle w:val="Tablehead"/>
              <w:rPr>
                <w:sz w:val="20"/>
              </w:rPr>
            </w:pPr>
            <w:r w:rsidRPr="00F73B54">
              <w:rPr>
                <w:sz w:val="20"/>
              </w:rPr>
              <w:t>Stationnaire</w:t>
            </w:r>
          </w:p>
        </w:tc>
        <w:tc>
          <w:tcPr>
            <w:tcW w:w="214" w:type="pct"/>
            <w:tcBorders>
              <w:top w:val="single" w:sz="6" w:space="0" w:color="auto"/>
              <w:left w:val="single" w:sz="6" w:space="0" w:color="auto"/>
              <w:bottom w:val="single" w:sz="6" w:space="0" w:color="auto"/>
              <w:right w:val="single" w:sz="6" w:space="0" w:color="auto"/>
            </w:tcBorders>
            <w:textDirection w:val="btLr"/>
            <w:vAlign w:val="center"/>
          </w:tcPr>
          <w:p w:rsidR="00FE0045" w:rsidRPr="00F73B54" w:rsidRDefault="00FE0045" w:rsidP="00E12924">
            <w:pPr>
              <w:pStyle w:val="Tablehead"/>
              <w:rPr>
                <w:sz w:val="20"/>
              </w:rPr>
            </w:pPr>
            <w:r w:rsidRPr="00F73B54">
              <w:rPr>
                <w:sz w:val="20"/>
              </w:rPr>
              <w:t>Faible</w:t>
            </w:r>
          </w:p>
        </w:tc>
        <w:tc>
          <w:tcPr>
            <w:tcW w:w="173" w:type="pct"/>
            <w:tcBorders>
              <w:top w:val="single" w:sz="6" w:space="0" w:color="auto"/>
              <w:left w:val="single" w:sz="6" w:space="0" w:color="auto"/>
              <w:bottom w:val="single" w:sz="6" w:space="0" w:color="auto"/>
              <w:right w:val="single" w:sz="6" w:space="0" w:color="auto"/>
            </w:tcBorders>
            <w:textDirection w:val="btLr"/>
            <w:vAlign w:val="center"/>
          </w:tcPr>
          <w:p w:rsidR="00FE0045" w:rsidRPr="00F73B54" w:rsidRDefault="00FE0045" w:rsidP="00E12924">
            <w:pPr>
              <w:pStyle w:val="Tablehead"/>
              <w:rPr>
                <w:sz w:val="20"/>
              </w:rPr>
            </w:pPr>
            <w:r w:rsidRPr="00F73B54">
              <w:rPr>
                <w:sz w:val="20"/>
              </w:rPr>
              <w:t>Fort</w:t>
            </w:r>
          </w:p>
        </w:tc>
        <w:tc>
          <w:tcPr>
            <w:tcW w:w="192" w:type="pct"/>
            <w:tcBorders>
              <w:top w:val="single" w:sz="6" w:space="0" w:color="auto"/>
              <w:left w:val="single" w:sz="6" w:space="0" w:color="auto"/>
              <w:bottom w:val="single" w:sz="6" w:space="0" w:color="auto"/>
              <w:right w:val="single" w:sz="6" w:space="0" w:color="auto"/>
            </w:tcBorders>
            <w:textDirection w:val="btLr"/>
            <w:vAlign w:val="center"/>
          </w:tcPr>
          <w:p w:rsidR="00FE0045" w:rsidRPr="00F73B54" w:rsidRDefault="00FE0045" w:rsidP="00E12924">
            <w:pPr>
              <w:pStyle w:val="Tablehead"/>
              <w:rPr>
                <w:sz w:val="20"/>
              </w:rPr>
            </w:pPr>
            <w:r w:rsidRPr="00F73B54">
              <w:rPr>
                <w:sz w:val="20"/>
              </w:rPr>
              <w:t>Très fort</w:t>
            </w:r>
          </w:p>
        </w:tc>
      </w:tr>
      <w:tr w:rsidR="00FE0045" w:rsidRPr="00F73B54" w:rsidTr="001B0E30">
        <w:trPr>
          <w:cantSplit/>
          <w:trHeight w:val="517"/>
        </w:trPr>
        <w:tc>
          <w:tcPr>
            <w:tcW w:w="718"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left"/>
              <w:rPr>
                <w:sz w:val="20"/>
              </w:rPr>
            </w:pPr>
            <w:r w:rsidRPr="00233FAD">
              <w:rPr>
                <w:sz w:val="20"/>
              </w:rPr>
              <w:t>Systèmes de surveillance des villes</w:t>
            </w:r>
          </w:p>
        </w:tc>
        <w:tc>
          <w:tcPr>
            <w:tcW w:w="664" w:type="pct"/>
            <w:vMerge w:val="restar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left"/>
              <w:rPr>
                <w:sz w:val="20"/>
              </w:rPr>
            </w:pPr>
            <w:r w:rsidRPr="00233FAD">
              <w:rPr>
                <w:sz w:val="20"/>
              </w:rPr>
              <w:t>Surveillance des rensei</w:t>
            </w:r>
            <w:r>
              <w:rPr>
                <w:sz w:val="20"/>
              </w:rPr>
              <w:t>-</w:t>
            </w:r>
            <w:r w:rsidRPr="00233FAD">
              <w:rPr>
                <w:sz w:val="20"/>
              </w:rPr>
              <w:t>gnements concernant les villes</w:t>
            </w:r>
            <w:r>
              <w:rPr>
                <w:sz w:val="20"/>
              </w:rPr>
              <w:br/>
            </w:r>
            <w:r w:rsidRPr="00A24CB3">
              <w:rPr>
                <w:i/>
                <w:sz w:val="20"/>
              </w:rPr>
              <w:t>s</w:t>
            </w:r>
            <w:r w:rsidRPr="00233FAD">
              <w:rPr>
                <w:sz w:val="20"/>
              </w:rPr>
              <w:t xml:space="preserve"> = 1</w:t>
            </w:r>
          </w:p>
        </w:tc>
        <w:tc>
          <w:tcPr>
            <w:tcW w:w="314" w:type="pct"/>
            <w:vMerge w:val="restar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r w:rsidRPr="00233FAD">
              <w:rPr>
                <w:sz w:val="20"/>
              </w:rPr>
              <w:t>18</w:t>
            </w:r>
          </w:p>
        </w:tc>
        <w:tc>
          <w:tcPr>
            <w:tcW w:w="293"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r w:rsidRPr="00233FAD">
              <w:rPr>
                <w:sz w:val="20"/>
              </w:rPr>
              <w:t>1</w:t>
            </w:r>
          </w:p>
        </w:tc>
        <w:tc>
          <w:tcPr>
            <w:tcW w:w="512"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lang w:eastAsia="ja-JP"/>
              </w:rPr>
            </w:pPr>
          </w:p>
        </w:tc>
        <w:tc>
          <w:tcPr>
            <w:tcW w:w="585"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lang w:eastAsia="ja-JP"/>
              </w:rPr>
            </w:pPr>
            <w:r>
              <w:rPr>
                <w:sz w:val="20"/>
                <w:lang w:eastAsia="ja-JP"/>
              </w:rPr>
              <w:t>~</w:t>
            </w:r>
          </w:p>
        </w:tc>
        <w:tc>
          <w:tcPr>
            <w:tcW w:w="585"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lang w:eastAsia="ja-JP"/>
              </w:rPr>
            </w:pPr>
            <w:r>
              <w:rPr>
                <w:sz w:val="20"/>
                <w:lang w:eastAsia="ja-JP"/>
              </w:rPr>
              <w:t>~</w:t>
            </w:r>
          </w:p>
        </w:tc>
        <w:tc>
          <w:tcPr>
            <w:tcW w:w="493"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lang w:eastAsia="ja-JP"/>
              </w:rPr>
            </w:pPr>
            <w:r>
              <w:rPr>
                <w:sz w:val="20"/>
                <w:lang w:eastAsia="ja-JP"/>
              </w:rPr>
              <w:t>~</w:t>
            </w:r>
          </w:p>
        </w:tc>
        <w:tc>
          <w:tcPr>
            <w:tcW w:w="257"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214"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173"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192"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r>
      <w:tr w:rsidR="00FE0045" w:rsidRPr="00F73B54" w:rsidTr="001B0E30">
        <w:trPr>
          <w:cantSplit/>
          <w:trHeight w:val="435"/>
        </w:trPr>
        <w:tc>
          <w:tcPr>
            <w:tcW w:w="718" w:type="pct"/>
            <w:vMerge w:val="restar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left"/>
              <w:rPr>
                <w:sz w:val="20"/>
              </w:rPr>
            </w:pPr>
          </w:p>
        </w:tc>
        <w:tc>
          <w:tcPr>
            <w:tcW w:w="664" w:type="pct"/>
            <w:vMerge/>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left"/>
              <w:rPr>
                <w:sz w:val="20"/>
              </w:rPr>
            </w:pPr>
          </w:p>
        </w:tc>
        <w:tc>
          <w:tcPr>
            <w:tcW w:w="314" w:type="pct"/>
            <w:vMerge/>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293"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r w:rsidRPr="00233FAD">
              <w:rPr>
                <w:sz w:val="20"/>
              </w:rPr>
              <w:t>2</w:t>
            </w:r>
          </w:p>
        </w:tc>
        <w:tc>
          <w:tcPr>
            <w:tcW w:w="512"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585"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lang w:eastAsia="ja-JP"/>
              </w:rPr>
            </w:pPr>
            <w:r>
              <w:rPr>
                <w:sz w:val="20"/>
                <w:lang w:eastAsia="ja-JP"/>
              </w:rPr>
              <w:t>~</w:t>
            </w:r>
          </w:p>
        </w:tc>
        <w:tc>
          <w:tcPr>
            <w:tcW w:w="585"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lang w:eastAsia="ja-JP"/>
              </w:rPr>
            </w:pPr>
            <w:r>
              <w:rPr>
                <w:sz w:val="20"/>
                <w:lang w:eastAsia="ja-JP"/>
              </w:rPr>
              <w:t>~</w:t>
            </w:r>
          </w:p>
        </w:tc>
        <w:tc>
          <w:tcPr>
            <w:tcW w:w="493"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lang w:eastAsia="ja-JP"/>
              </w:rPr>
            </w:pPr>
            <w:r>
              <w:rPr>
                <w:sz w:val="20"/>
                <w:lang w:eastAsia="ja-JP"/>
              </w:rPr>
              <w:t>~</w:t>
            </w:r>
          </w:p>
        </w:tc>
        <w:tc>
          <w:tcPr>
            <w:tcW w:w="257"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214"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173"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192"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r>
      <w:tr w:rsidR="00FE0045" w:rsidRPr="00F73B54" w:rsidTr="001B0E30">
        <w:trPr>
          <w:cantSplit/>
          <w:trHeight w:val="390"/>
        </w:trPr>
        <w:tc>
          <w:tcPr>
            <w:tcW w:w="718" w:type="pct"/>
            <w:vMerge/>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left"/>
              <w:rPr>
                <w:sz w:val="20"/>
              </w:rPr>
            </w:pPr>
          </w:p>
        </w:tc>
        <w:tc>
          <w:tcPr>
            <w:tcW w:w="664" w:type="pct"/>
            <w:vMerge/>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left"/>
              <w:rPr>
                <w:sz w:val="20"/>
              </w:rPr>
            </w:pPr>
          </w:p>
        </w:tc>
        <w:tc>
          <w:tcPr>
            <w:tcW w:w="314" w:type="pct"/>
            <w:vMerge/>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293"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r w:rsidRPr="00233FAD">
              <w:rPr>
                <w:sz w:val="20"/>
              </w:rPr>
              <w:t>3</w:t>
            </w:r>
          </w:p>
        </w:tc>
        <w:tc>
          <w:tcPr>
            <w:tcW w:w="512"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585"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585"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493"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257"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214"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173"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192"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r>
      <w:tr w:rsidR="00FE0045" w:rsidRPr="00F73B54" w:rsidTr="001B0E30">
        <w:trPr>
          <w:cantSplit/>
          <w:trHeight w:val="255"/>
        </w:trPr>
        <w:tc>
          <w:tcPr>
            <w:tcW w:w="718" w:type="pct"/>
            <w:vMerge/>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left"/>
              <w:rPr>
                <w:sz w:val="20"/>
              </w:rPr>
            </w:pPr>
          </w:p>
        </w:tc>
        <w:tc>
          <w:tcPr>
            <w:tcW w:w="664" w:type="pct"/>
            <w:vMerge/>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left"/>
              <w:rPr>
                <w:sz w:val="20"/>
              </w:rPr>
            </w:pPr>
          </w:p>
        </w:tc>
        <w:tc>
          <w:tcPr>
            <w:tcW w:w="314" w:type="pct"/>
            <w:vMerge/>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293"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512"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585"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lang w:eastAsia="ja-JP"/>
              </w:rPr>
            </w:pPr>
            <w:r>
              <w:rPr>
                <w:sz w:val="20"/>
                <w:lang w:eastAsia="ja-JP"/>
              </w:rPr>
              <w:t>~</w:t>
            </w:r>
          </w:p>
        </w:tc>
        <w:tc>
          <w:tcPr>
            <w:tcW w:w="585"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lang w:eastAsia="ja-JP"/>
              </w:rPr>
            </w:pPr>
            <w:r>
              <w:rPr>
                <w:sz w:val="20"/>
                <w:lang w:eastAsia="ja-JP"/>
              </w:rPr>
              <w:t>~</w:t>
            </w:r>
          </w:p>
        </w:tc>
        <w:tc>
          <w:tcPr>
            <w:tcW w:w="493"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lang w:eastAsia="ja-JP"/>
              </w:rPr>
            </w:pPr>
            <w:r>
              <w:rPr>
                <w:sz w:val="20"/>
                <w:lang w:eastAsia="ja-JP"/>
              </w:rPr>
              <w:t>~</w:t>
            </w:r>
          </w:p>
        </w:tc>
        <w:tc>
          <w:tcPr>
            <w:tcW w:w="257"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214"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173"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192"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r>
      <w:tr w:rsidR="00FE0045" w:rsidRPr="00F73B54" w:rsidTr="001B0E30">
        <w:trPr>
          <w:cantSplit/>
          <w:trHeight w:val="301"/>
        </w:trPr>
        <w:tc>
          <w:tcPr>
            <w:tcW w:w="718" w:type="pct"/>
            <w:vMerge/>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left"/>
              <w:rPr>
                <w:sz w:val="20"/>
              </w:rPr>
            </w:pPr>
          </w:p>
        </w:tc>
        <w:tc>
          <w:tcPr>
            <w:tcW w:w="664" w:type="pct"/>
            <w:vMerge/>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left"/>
              <w:rPr>
                <w:sz w:val="20"/>
              </w:rPr>
            </w:pPr>
          </w:p>
        </w:tc>
        <w:tc>
          <w:tcPr>
            <w:tcW w:w="314" w:type="pct"/>
            <w:vMerge/>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293"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512"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585"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lang w:eastAsia="ja-JP"/>
              </w:rPr>
            </w:pPr>
            <w:r>
              <w:rPr>
                <w:sz w:val="20"/>
                <w:lang w:eastAsia="ja-JP"/>
              </w:rPr>
              <w:t>~</w:t>
            </w:r>
          </w:p>
        </w:tc>
        <w:tc>
          <w:tcPr>
            <w:tcW w:w="585"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lang w:eastAsia="ja-JP"/>
              </w:rPr>
            </w:pPr>
            <w:r>
              <w:rPr>
                <w:sz w:val="20"/>
                <w:lang w:eastAsia="ja-JP"/>
              </w:rPr>
              <w:t>~</w:t>
            </w:r>
          </w:p>
        </w:tc>
        <w:tc>
          <w:tcPr>
            <w:tcW w:w="493"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lang w:eastAsia="ja-JP"/>
              </w:rPr>
            </w:pPr>
            <w:r>
              <w:rPr>
                <w:sz w:val="20"/>
                <w:lang w:eastAsia="ja-JP"/>
              </w:rPr>
              <w:t>~</w:t>
            </w:r>
          </w:p>
        </w:tc>
        <w:tc>
          <w:tcPr>
            <w:tcW w:w="257"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214"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173"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192"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r>
      <w:tr w:rsidR="00FE0045" w:rsidRPr="00F73B54" w:rsidTr="001B0E30">
        <w:trPr>
          <w:cantSplit/>
        </w:trPr>
        <w:tc>
          <w:tcPr>
            <w:tcW w:w="718" w:type="pct"/>
            <w:vMerge/>
            <w:tcBorders>
              <w:top w:val="single" w:sz="6" w:space="0" w:color="auto"/>
              <w:left w:val="single" w:sz="6" w:space="0" w:color="auto"/>
              <w:bottom w:val="single" w:sz="6" w:space="0" w:color="auto"/>
              <w:right w:val="single" w:sz="6" w:space="0" w:color="auto"/>
            </w:tcBorders>
            <w:vAlign w:val="center"/>
          </w:tcPr>
          <w:p w:rsidR="00FE0045" w:rsidRPr="00233FAD" w:rsidRDefault="00FE0045" w:rsidP="001B0E30">
            <w:pPr>
              <w:pStyle w:val="Tabletext"/>
              <w:jc w:val="left"/>
              <w:rPr>
                <w:sz w:val="20"/>
              </w:rPr>
            </w:pPr>
          </w:p>
        </w:tc>
        <w:tc>
          <w:tcPr>
            <w:tcW w:w="664"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left"/>
              <w:rPr>
                <w:sz w:val="20"/>
              </w:rPr>
            </w:pPr>
            <w:r w:rsidRPr="00233FAD">
              <w:rPr>
                <w:sz w:val="20"/>
              </w:rPr>
              <w:t>Réservation</w:t>
            </w:r>
            <w:r>
              <w:rPr>
                <w:sz w:val="20"/>
              </w:rPr>
              <w:br/>
            </w:r>
            <w:r w:rsidRPr="00A24CB3">
              <w:rPr>
                <w:i/>
                <w:sz w:val="20"/>
              </w:rPr>
              <w:t>s</w:t>
            </w:r>
            <w:r w:rsidRPr="00233FAD">
              <w:rPr>
                <w:sz w:val="20"/>
              </w:rPr>
              <w:t xml:space="preserve"> = 2</w:t>
            </w:r>
          </w:p>
        </w:tc>
        <w:tc>
          <w:tcPr>
            <w:tcW w:w="314"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293"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512"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585"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585"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493"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257"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214"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173"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c>
          <w:tcPr>
            <w:tcW w:w="192" w:type="pct"/>
            <w:tcBorders>
              <w:top w:val="single" w:sz="6" w:space="0" w:color="auto"/>
              <w:left w:val="single" w:sz="6" w:space="0" w:color="auto"/>
              <w:bottom w:val="single" w:sz="6" w:space="0" w:color="auto"/>
              <w:right w:val="single" w:sz="6" w:space="0" w:color="auto"/>
            </w:tcBorders>
          </w:tcPr>
          <w:p w:rsidR="00FE0045" w:rsidRPr="00233FAD" w:rsidRDefault="00FE0045" w:rsidP="001B0E30">
            <w:pPr>
              <w:pStyle w:val="Tabletext"/>
              <w:jc w:val="center"/>
              <w:rPr>
                <w:sz w:val="20"/>
              </w:rPr>
            </w:pPr>
          </w:p>
        </w:tc>
      </w:tr>
    </w:tbl>
    <w:p w:rsidR="00FE0045" w:rsidRDefault="00FE0045" w:rsidP="00FE0045">
      <w:pPr>
        <w:pStyle w:val="Tablefin"/>
        <w:rPr>
          <w:kern w:val="28"/>
        </w:rPr>
      </w:pPr>
    </w:p>
    <w:p w:rsidR="00FE0045" w:rsidRDefault="00FE0045" w:rsidP="00FE0045">
      <w:pPr>
        <w:rPr>
          <w:kern w:val="28"/>
        </w:rPr>
      </w:pPr>
      <w:r>
        <w:rPr>
          <w:kern w:val="28"/>
        </w:rPr>
        <w:t>La</w:t>
      </w:r>
      <w:r>
        <w:rPr>
          <w:i/>
          <w:iCs/>
          <w:kern w:val="28"/>
        </w:rPr>
        <w:t xml:space="preserve"> densité d'utilisateurs</w:t>
      </w:r>
      <w:r>
        <w:rPr>
          <w:kern w:val="28"/>
        </w:rPr>
        <w:t xml:space="preserve"> (nombre d'utilisateurs/km</w:t>
      </w:r>
      <w:r>
        <w:rPr>
          <w:kern w:val="28"/>
          <w:vertAlign w:val="superscript"/>
        </w:rPr>
        <w:t>2</w:t>
      </w:r>
      <w:r>
        <w:rPr>
          <w:kern w:val="28"/>
        </w:rPr>
        <w:t xml:space="preserve">) d'une catégorie de service donnée est la somme des densités d'utilisateurs de chacun des services de cette catégorie. </w:t>
      </w:r>
    </w:p>
    <w:p w:rsidR="00FE0045" w:rsidRDefault="00FE0045" w:rsidP="00FE0045">
      <w:pPr>
        <w:rPr>
          <w:kern w:val="28"/>
        </w:rPr>
      </w:pPr>
      <w:r>
        <w:rPr>
          <w:kern w:val="28"/>
        </w:rPr>
        <w:t>L'expression mathématique correspondante est la suivante:</w:t>
      </w:r>
    </w:p>
    <w:p w:rsidR="00FE0045" w:rsidRPr="00D80341" w:rsidRDefault="00FE0045" w:rsidP="00FE0045">
      <w:pPr>
        <w:pStyle w:val="Blanc"/>
        <w:rPr>
          <w:lang w:val="fr-CH" w:eastAsia="ko-KR"/>
        </w:rPr>
      </w:pPr>
    </w:p>
    <w:p w:rsidR="00FE0045" w:rsidRPr="001555A0" w:rsidRDefault="00FE0045" w:rsidP="00FE0045">
      <w:pPr>
        <w:pStyle w:val="Equation"/>
        <w:rPr>
          <w:lang w:eastAsia="ko-KR"/>
        </w:rPr>
      </w:pPr>
      <w:r w:rsidRPr="001555A0">
        <w:rPr>
          <w:lang w:eastAsia="ko-KR"/>
        </w:rPr>
        <w:tab/>
      </w:r>
      <w:r w:rsidRPr="001555A0">
        <w:rPr>
          <w:lang w:eastAsia="ko-KR"/>
        </w:rPr>
        <w:tab/>
      </w:r>
      <w:r w:rsidRPr="001555A0">
        <w:rPr>
          <w:position w:val="-34"/>
        </w:rPr>
        <w:object w:dxaOrig="1780" w:dyaOrig="600">
          <v:shape id="_x0000_i1079" type="#_x0000_t75" style="width:89.25pt;height:29.75pt" o:ole="">
            <v:imagedata r:id="rId22" o:title=""/>
          </v:shape>
          <o:OLEObject Type="Embed" ProgID="Equation.3" ShapeID="_x0000_i1079" DrawAspect="Content" ObjectID="_1459064071" r:id="rId23"/>
        </w:object>
      </w:r>
      <w:r w:rsidRPr="001555A0">
        <w:rPr>
          <w:lang w:eastAsia="ko-KR"/>
        </w:rPr>
        <w:tab/>
        <w:t>(1)</w:t>
      </w:r>
    </w:p>
    <w:p w:rsidR="00FE0045" w:rsidRPr="00D80341" w:rsidRDefault="00FE0045" w:rsidP="00FE0045">
      <w:pPr>
        <w:pStyle w:val="Blanc"/>
        <w:rPr>
          <w:lang w:val="fr-CH" w:eastAsia="ko-KR"/>
        </w:rPr>
      </w:pPr>
    </w:p>
    <w:p w:rsidR="00FE0045" w:rsidRDefault="00FE0045" w:rsidP="00FE0045">
      <w:pPr>
        <w:rPr>
          <w:kern w:val="28"/>
        </w:rPr>
      </w:pPr>
      <w:r>
        <w:rPr>
          <w:kern w:val="28"/>
        </w:rPr>
        <w:t xml:space="preserve">Dans cette expression, </w:t>
      </w:r>
      <w:r>
        <w:rPr>
          <w:i/>
          <w:iCs/>
          <w:kern w:val="28"/>
        </w:rPr>
        <w:t>U</w:t>
      </w:r>
      <w:r>
        <w:rPr>
          <w:i/>
          <w:iCs/>
          <w:kern w:val="28"/>
          <w:vertAlign w:val="subscript"/>
        </w:rPr>
        <w:t>m,t,n</w:t>
      </w:r>
      <w:r>
        <w:rPr>
          <w:kern w:val="28"/>
        </w:rPr>
        <w:t xml:space="preserve"> désigne la densité d'utilisateurs de la catégorie de service </w:t>
      </w:r>
      <w:r>
        <w:rPr>
          <w:i/>
          <w:iCs/>
          <w:kern w:val="28"/>
        </w:rPr>
        <w:t>n</w:t>
      </w:r>
      <w:r>
        <w:rPr>
          <w:kern w:val="28"/>
        </w:rPr>
        <w:t xml:space="preserve"> et</w:t>
      </w:r>
      <w:r>
        <w:rPr>
          <w:i/>
          <w:iCs/>
          <w:kern w:val="28"/>
        </w:rPr>
        <w:t xml:space="preserve"> U</w:t>
      </w:r>
      <w:r>
        <w:rPr>
          <w:i/>
          <w:iCs/>
          <w:kern w:val="28"/>
          <w:vertAlign w:val="subscript"/>
        </w:rPr>
        <w:t>m,t,s</w:t>
      </w:r>
      <w:r>
        <w:rPr>
          <w:i/>
          <w:iCs/>
          <w:kern w:val="28"/>
        </w:rPr>
        <w:t xml:space="preserve"> </w:t>
      </w:r>
      <w:r>
        <w:rPr>
          <w:kern w:val="28"/>
        </w:rPr>
        <w:t xml:space="preserve">la densité d'utilisateurs du service </w:t>
      </w:r>
      <w:r>
        <w:rPr>
          <w:i/>
          <w:iCs/>
          <w:kern w:val="28"/>
        </w:rPr>
        <w:t>s</w:t>
      </w:r>
      <w:r>
        <w:rPr>
          <w:kern w:val="28"/>
        </w:rPr>
        <w:t xml:space="preserve"> qui fait partie de la catégorie de service </w:t>
      </w:r>
      <w:r>
        <w:rPr>
          <w:i/>
          <w:iCs/>
          <w:kern w:val="28"/>
        </w:rPr>
        <w:t>n</w:t>
      </w:r>
      <w:r>
        <w:rPr>
          <w:kern w:val="28"/>
        </w:rPr>
        <w:t>.</w:t>
      </w:r>
    </w:p>
    <w:p w:rsidR="00FE0045" w:rsidRDefault="00FE0045" w:rsidP="00FE0045">
      <w:pPr>
        <w:rPr>
          <w:kern w:val="28"/>
        </w:rPr>
      </w:pPr>
      <w:r w:rsidRPr="00CB4859">
        <w:rPr>
          <w:iCs/>
          <w:kern w:val="28"/>
        </w:rPr>
        <w:t xml:space="preserve">Le </w:t>
      </w:r>
      <w:r>
        <w:rPr>
          <w:i/>
          <w:iCs/>
          <w:kern w:val="28"/>
        </w:rPr>
        <w:t xml:space="preserve">taux d'arrivée des sessions par utilisateur </w:t>
      </w:r>
      <w:r>
        <w:rPr>
          <w:kern w:val="28"/>
        </w:rPr>
        <w:t xml:space="preserve">(nombre de sessions/(s*utilisateur)) d'une catégorie de service donnée est la moyenne pondérée du taux d'arrivée des sessions par utilisateur de chacun des services classés dans cette catégorie. Le facteur de pondération de chaque service est la densité d'utilisateurs. </w:t>
      </w:r>
    </w:p>
    <w:p w:rsidR="00FE0045" w:rsidRDefault="00FE0045" w:rsidP="00FE0045">
      <w:pPr>
        <w:rPr>
          <w:kern w:val="28"/>
        </w:rPr>
      </w:pPr>
      <w:r>
        <w:rPr>
          <w:kern w:val="28"/>
        </w:rPr>
        <w:t>L'expression mathématique correspondante est la suivante:</w:t>
      </w:r>
    </w:p>
    <w:p w:rsidR="00FE0045" w:rsidRPr="00D80341" w:rsidRDefault="00FE0045" w:rsidP="00FE0045">
      <w:pPr>
        <w:pStyle w:val="Blanc"/>
        <w:rPr>
          <w:lang w:val="fr-CH" w:eastAsia="ko-KR"/>
        </w:rPr>
      </w:pPr>
    </w:p>
    <w:p w:rsidR="00FE0045" w:rsidRPr="001555A0" w:rsidRDefault="00FE0045" w:rsidP="00FE0045">
      <w:pPr>
        <w:pStyle w:val="Equation"/>
        <w:rPr>
          <w:lang w:eastAsia="ja-JP"/>
        </w:rPr>
      </w:pPr>
      <w:r w:rsidRPr="001555A0">
        <w:tab/>
      </w:r>
      <w:r w:rsidRPr="001555A0">
        <w:tab/>
      </w:r>
      <w:r w:rsidRPr="001555A0">
        <w:rPr>
          <w:position w:val="-34"/>
        </w:rPr>
        <w:object w:dxaOrig="2380" w:dyaOrig="980">
          <v:shape id="_x0000_i1030" type="#_x0000_t75" style="width:119pt;height:48.8pt" o:ole="" o:allowoverlap="f">
            <v:imagedata r:id="rId24" o:title=""/>
          </v:shape>
          <o:OLEObject Type="Embed" ProgID="Equation.3" ShapeID="_x0000_i1030" DrawAspect="Content" ObjectID="_1459064072" r:id="rId25"/>
        </w:object>
      </w:r>
      <w:r w:rsidRPr="001555A0">
        <w:rPr>
          <w:lang w:eastAsia="ja-JP"/>
        </w:rPr>
        <w:tab/>
      </w:r>
      <w:r w:rsidRPr="001555A0">
        <w:rPr>
          <w:lang w:eastAsia="ko-KR"/>
        </w:rPr>
        <w:t>(2)</w:t>
      </w:r>
    </w:p>
    <w:p w:rsidR="00FE0045" w:rsidRPr="00D80341" w:rsidRDefault="00FE0045" w:rsidP="00FE0045">
      <w:pPr>
        <w:pStyle w:val="Blanc"/>
        <w:rPr>
          <w:lang w:val="fr-CH" w:eastAsia="ko-KR"/>
        </w:rPr>
      </w:pPr>
    </w:p>
    <w:p w:rsidR="00FE0045" w:rsidRDefault="00FE0045" w:rsidP="00FE0045">
      <w:pPr>
        <w:rPr>
          <w:kern w:val="28"/>
        </w:rPr>
      </w:pPr>
      <w:r>
        <w:rPr>
          <w:kern w:val="28"/>
        </w:rPr>
        <w:t xml:space="preserve">dans cette expression, </w:t>
      </w:r>
      <w:r>
        <w:rPr>
          <w:i/>
          <w:iCs/>
          <w:kern w:val="28"/>
        </w:rPr>
        <w:t>Q</w:t>
      </w:r>
      <w:r>
        <w:rPr>
          <w:i/>
          <w:iCs/>
          <w:kern w:val="28"/>
          <w:vertAlign w:val="subscript"/>
        </w:rPr>
        <w:t>m,t,n</w:t>
      </w:r>
      <w:r>
        <w:rPr>
          <w:i/>
          <w:iCs/>
          <w:kern w:val="28"/>
        </w:rPr>
        <w:t xml:space="preserve"> </w:t>
      </w:r>
      <w:r>
        <w:rPr>
          <w:kern w:val="28"/>
        </w:rPr>
        <w:t xml:space="preserve">désigne le taux d'arrivée des sessions par utilisateur de la catégorie de service </w:t>
      </w:r>
      <w:r>
        <w:rPr>
          <w:i/>
          <w:iCs/>
          <w:kern w:val="28"/>
        </w:rPr>
        <w:t>n</w:t>
      </w:r>
      <w:r>
        <w:rPr>
          <w:kern w:val="28"/>
        </w:rPr>
        <w:t xml:space="preserve"> et </w:t>
      </w:r>
      <w:r>
        <w:rPr>
          <w:i/>
          <w:iCs/>
          <w:kern w:val="28"/>
        </w:rPr>
        <w:t>Q</w:t>
      </w:r>
      <w:r>
        <w:rPr>
          <w:i/>
          <w:iCs/>
          <w:kern w:val="28"/>
          <w:vertAlign w:val="subscript"/>
        </w:rPr>
        <w:t>m,t,s</w:t>
      </w:r>
      <w:r>
        <w:rPr>
          <w:i/>
          <w:iCs/>
          <w:kern w:val="28"/>
        </w:rPr>
        <w:t xml:space="preserve"> </w:t>
      </w:r>
      <w:r>
        <w:rPr>
          <w:kern w:val="28"/>
        </w:rPr>
        <w:t>le</w:t>
      </w:r>
      <w:r>
        <w:rPr>
          <w:i/>
          <w:iCs/>
          <w:kern w:val="28"/>
        </w:rPr>
        <w:t xml:space="preserve"> </w:t>
      </w:r>
      <w:r>
        <w:rPr>
          <w:kern w:val="28"/>
        </w:rPr>
        <w:t xml:space="preserve">taux d'arrivée des sessions par utilisateur du service </w:t>
      </w:r>
      <w:r>
        <w:rPr>
          <w:i/>
          <w:iCs/>
          <w:kern w:val="28"/>
        </w:rPr>
        <w:t>s</w:t>
      </w:r>
      <w:r>
        <w:rPr>
          <w:kern w:val="28"/>
        </w:rPr>
        <w:t xml:space="preserve"> qui fait partie de la catégorie de service </w:t>
      </w:r>
      <w:r>
        <w:rPr>
          <w:i/>
          <w:iCs/>
          <w:kern w:val="28"/>
        </w:rPr>
        <w:t>n</w:t>
      </w:r>
      <w:r>
        <w:rPr>
          <w:kern w:val="28"/>
        </w:rPr>
        <w:t>.</w:t>
      </w:r>
    </w:p>
    <w:p w:rsidR="00FE0045" w:rsidRDefault="00FE0045" w:rsidP="00FE0045">
      <w:pPr>
        <w:rPr>
          <w:kern w:val="28"/>
        </w:rPr>
      </w:pPr>
      <w:r w:rsidRPr="00AB13A4">
        <w:rPr>
          <w:iCs/>
          <w:kern w:val="28"/>
        </w:rPr>
        <w:lastRenderedPageBreak/>
        <w:t xml:space="preserve">La </w:t>
      </w:r>
      <w:r>
        <w:rPr>
          <w:i/>
          <w:iCs/>
          <w:kern w:val="28"/>
        </w:rPr>
        <w:t xml:space="preserve">durée moyenne des sessions </w:t>
      </w:r>
      <w:r>
        <w:rPr>
          <w:kern w:val="28"/>
        </w:rPr>
        <w:t>(seconde/session) d'une catégorie de service donnée est la moyenne pondérée de la durée moyenne des sessions de chacun des services classés dans cette catégorie. Le facteur de pondération est le taux d'arrivée des sessions par zone. Une distinction est faite entre le terme «seconde» et la lettre «s», qui représentent l'unité de temps utilisée respectivement pour la durée des sessions et pour l'intervalle de temps simple.</w:t>
      </w:r>
    </w:p>
    <w:p w:rsidR="00FE0045" w:rsidRDefault="00FE0045" w:rsidP="00FE0045">
      <w:pPr>
        <w:rPr>
          <w:kern w:val="28"/>
        </w:rPr>
      </w:pPr>
      <w:r>
        <w:rPr>
          <w:kern w:val="28"/>
        </w:rPr>
        <w:t>L'expression mathématique correspondante est la suivante:</w:t>
      </w:r>
    </w:p>
    <w:p w:rsidR="00FE0045" w:rsidRDefault="00FE0045" w:rsidP="00FE0045">
      <w:pPr>
        <w:pStyle w:val="Equation"/>
        <w:rPr>
          <w:lang w:eastAsia="ja-JP"/>
        </w:rPr>
      </w:pPr>
      <w:r w:rsidRPr="001555A0">
        <w:rPr>
          <w:lang w:eastAsia="ko-KR"/>
        </w:rPr>
        <w:tab/>
      </w:r>
      <w:r>
        <w:rPr>
          <w:lang w:eastAsia="ko-KR"/>
        </w:rPr>
        <w:tab/>
      </w:r>
      <w:r w:rsidRPr="001555A0">
        <w:rPr>
          <w:position w:val="-34"/>
        </w:rPr>
        <w:object w:dxaOrig="2280" w:dyaOrig="600">
          <v:shape id="_x0000_i1031" type="#_x0000_t75" style="width:114.25pt;height:29.75pt" o:ole="" o:allowoverlap="f">
            <v:imagedata r:id="rId26" o:title=""/>
          </v:shape>
          <o:OLEObject Type="Embed" ProgID="Equation.3" ShapeID="_x0000_i1031" DrawAspect="Content" ObjectID="_1459064073" r:id="rId27"/>
        </w:object>
      </w:r>
      <w:r w:rsidRPr="001555A0">
        <w:rPr>
          <w:lang w:eastAsia="ja-JP"/>
        </w:rPr>
        <w:tab/>
      </w:r>
      <w:r w:rsidRPr="001555A0">
        <w:rPr>
          <w:lang w:eastAsia="ko-KR"/>
        </w:rPr>
        <w:t>(3)</w:t>
      </w:r>
    </w:p>
    <w:p w:rsidR="00FE0045" w:rsidRPr="001555A0" w:rsidRDefault="00FE0045" w:rsidP="00FE0045">
      <w:pPr>
        <w:pStyle w:val="Equation"/>
        <w:rPr>
          <w:lang w:eastAsia="ja-JP"/>
        </w:rPr>
      </w:pPr>
      <w:r>
        <w:rPr>
          <w:lang w:eastAsia="ja-JP"/>
        </w:rPr>
        <w:t>où</w:t>
      </w:r>
      <w:r w:rsidR="00BB6F16">
        <w:rPr>
          <w:lang w:eastAsia="ja-JP"/>
        </w:rPr>
        <w:t>:</w:t>
      </w:r>
      <w:r>
        <w:rPr>
          <w:lang w:eastAsia="ja-JP"/>
        </w:rPr>
        <w:tab/>
      </w:r>
      <w:r w:rsidR="00BB6F16">
        <w:rPr>
          <w:lang w:eastAsia="ja-JP"/>
        </w:rPr>
        <w:tab/>
      </w:r>
      <w:r w:rsidRPr="001555A0">
        <w:rPr>
          <w:position w:val="-34"/>
        </w:rPr>
        <w:object w:dxaOrig="2100" w:dyaOrig="760">
          <v:shape id="_x0000_i1032" type="#_x0000_t75" style="width:104.75pt;height:38.1pt" o:ole="" o:allowoverlap="f">
            <v:imagedata r:id="rId28" o:title=""/>
          </v:shape>
          <o:OLEObject Type="Embed" ProgID="Equation.3" ShapeID="_x0000_i1032" DrawAspect="Content" ObjectID="_1459064074" r:id="rId29"/>
        </w:object>
      </w:r>
    </w:p>
    <w:p w:rsidR="00FE0045" w:rsidRPr="00673538" w:rsidRDefault="00FE0045" w:rsidP="00FE0045">
      <w:pPr>
        <w:pStyle w:val="Blanc"/>
        <w:rPr>
          <w:lang w:val="fr-FR" w:eastAsia="ko-KR"/>
        </w:rPr>
      </w:pPr>
    </w:p>
    <w:p w:rsidR="00FE0045" w:rsidRDefault="00FE0045" w:rsidP="00FE0045">
      <w:pPr>
        <w:rPr>
          <w:kern w:val="28"/>
        </w:rPr>
      </w:pPr>
      <w:r>
        <w:rPr>
          <w:kern w:val="28"/>
        </w:rPr>
        <w:t>Dans cette expression</w:t>
      </w:r>
      <w:r>
        <w:rPr>
          <w:i/>
          <w:iCs/>
          <w:kern w:val="28"/>
        </w:rPr>
        <w:t>,</w:t>
      </w:r>
      <w:r w:rsidRPr="00C473E5">
        <w:rPr>
          <w:iCs/>
          <w:kern w:val="28"/>
        </w:rPr>
        <w:t xml:space="preserve"> μ</w:t>
      </w:r>
      <w:r>
        <w:rPr>
          <w:i/>
          <w:iCs/>
          <w:kern w:val="28"/>
          <w:vertAlign w:val="subscript"/>
        </w:rPr>
        <w:t>m,t,n</w:t>
      </w:r>
      <w:r>
        <w:rPr>
          <w:i/>
          <w:iCs/>
          <w:kern w:val="28"/>
        </w:rPr>
        <w:t xml:space="preserve"> </w:t>
      </w:r>
      <w:r>
        <w:rPr>
          <w:kern w:val="28"/>
        </w:rPr>
        <w:t xml:space="preserve">désigne la durée moyenne des sessions de la catégorie de service </w:t>
      </w:r>
      <w:r>
        <w:rPr>
          <w:i/>
          <w:iCs/>
          <w:kern w:val="28"/>
        </w:rPr>
        <w:t>n</w:t>
      </w:r>
      <w:r>
        <w:rPr>
          <w:kern w:val="28"/>
        </w:rPr>
        <w:t xml:space="preserve"> et</w:t>
      </w:r>
      <w:r>
        <w:rPr>
          <w:i/>
          <w:iCs/>
          <w:kern w:val="28"/>
        </w:rPr>
        <w:t xml:space="preserve"> </w:t>
      </w:r>
      <w:r w:rsidRPr="00C473E5">
        <w:rPr>
          <w:iCs/>
          <w:kern w:val="28"/>
        </w:rPr>
        <w:t>μ</w:t>
      </w:r>
      <w:r>
        <w:rPr>
          <w:i/>
          <w:iCs/>
          <w:kern w:val="28"/>
          <w:vertAlign w:val="subscript"/>
        </w:rPr>
        <w:t>m,t,s</w:t>
      </w:r>
      <w:r>
        <w:rPr>
          <w:kern w:val="28"/>
          <w:vertAlign w:val="subscript"/>
        </w:rPr>
        <w:t xml:space="preserve"> </w:t>
      </w:r>
      <w:r>
        <w:rPr>
          <w:kern w:val="28"/>
        </w:rPr>
        <w:t>la durée moyenne</w:t>
      </w:r>
      <w:r>
        <w:rPr>
          <w:i/>
          <w:iCs/>
          <w:kern w:val="28"/>
          <w:vertAlign w:val="subscript"/>
        </w:rPr>
        <w:t xml:space="preserve"> </w:t>
      </w:r>
      <w:r>
        <w:rPr>
          <w:kern w:val="28"/>
        </w:rPr>
        <w:t>des sessions du service</w:t>
      </w:r>
      <w:r>
        <w:rPr>
          <w:i/>
          <w:iCs/>
          <w:kern w:val="28"/>
        </w:rPr>
        <w:t xml:space="preserve"> s </w:t>
      </w:r>
      <w:r>
        <w:rPr>
          <w:kern w:val="28"/>
        </w:rPr>
        <w:t>qui fait partie de la catégorie</w:t>
      </w:r>
      <w:r>
        <w:rPr>
          <w:i/>
          <w:iCs/>
          <w:kern w:val="28"/>
        </w:rPr>
        <w:t xml:space="preserve"> n</w:t>
      </w:r>
      <w:r>
        <w:rPr>
          <w:i/>
          <w:iCs/>
          <w:kern w:val="28"/>
          <w:vertAlign w:val="subscript"/>
        </w:rPr>
        <w:t>.</w:t>
      </w:r>
    </w:p>
    <w:p w:rsidR="00FE0045" w:rsidRDefault="00FE0045" w:rsidP="00FE0045">
      <w:pPr>
        <w:rPr>
          <w:kern w:val="28"/>
        </w:rPr>
      </w:pPr>
      <w:r w:rsidRPr="00AB13A4">
        <w:rPr>
          <w:iCs/>
          <w:kern w:val="28"/>
        </w:rPr>
        <w:t xml:space="preserve">Le </w:t>
      </w:r>
      <w:r>
        <w:rPr>
          <w:i/>
          <w:iCs/>
          <w:kern w:val="28"/>
        </w:rPr>
        <w:t xml:space="preserve">débit binaire moyen du service </w:t>
      </w:r>
      <w:r>
        <w:rPr>
          <w:kern w:val="28"/>
        </w:rPr>
        <w:t>(bit/s) d'une catégorie de service donnée est la moyenne pondérée des débits binaires moyens de chacun des services classés dans cette catégorie. Le facteur de pondération est le volume de trafic (somme des durées moyennes de toutes les sessions qui arrivent au cours d'une unité de temps) par zone.</w:t>
      </w:r>
    </w:p>
    <w:p w:rsidR="00FE0045" w:rsidRDefault="00FE0045" w:rsidP="00FE0045">
      <w:pPr>
        <w:rPr>
          <w:kern w:val="28"/>
        </w:rPr>
      </w:pPr>
      <w:r>
        <w:rPr>
          <w:kern w:val="28"/>
        </w:rPr>
        <w:t>L'expression mathématique correspondante est la suivante:</w:t>
      </w:r>
    </w:p>
    <w:p w:rsidR="00FE0045" w:rsidRPr="00D80341" w:rsidRDefault="00FE0045" w:rsidP="00FE0045">
      <w:pPr>
        <w:pStyle w:val="Blanc"/>
        <w:rPr>
          <w:lang w:val="fr-CH" w:eastAsia="ko-KR"/>
        </w:rPr>
      </w:pPr>
    </w:p>
    <w:p w:rsidR="00FE0045" w:rsidRDefault="00FE0045" w:rsidP="00FE0045">
      <w:pPr>
        <w:pStyle w:val="Equation"/>
        <w:rPr>
          <w:lang w:eastAsia="ko-KR"/>
        </w:rPr>
      </w:pPr>
      <w:r w:rsidRPr="001555A0">
        <w:rPr>
          <w:lang w:eastAsia="ko-KR"/>
        </w:rPr>
        <w:tab/>
      </w:r>
      <w:r w:rsidRPr="001555A0">
        <w:rPr>
          <w:lang w:eastAsia="ko-KR"/>
        </w:rPr>
        <w:tab/>
      </w:r>
      <w:r w:rsidRPr="001555A0">
        <w:rPr>
          <w:position w:val="-34"/>
        </w:rPr>
        <w:object w:dxaOrig="2200" w:dyaOrig="620">
          <v:shape id="_x0000_i1033" type="#_x0000_t75" style="width:110.1pt;height:31.55pt" o:ole="">
            <v:imagedata r:id="rId30" o:title=""/>
          </v:shape>
          <o:OLEObject Type="Embed" ProgID="Equation.3" ShapeID="_x0000_i1033" DrawAspect="Content" ObjectID="_1459064075" r:id="rId31"/>
        </w:object>
      </w:r>
      <w:r w:rsidRPr="001555A0">
        <w:rPr>
          <w:lang w:eastAsia="ja-JP"/>
        </w:rPr>
        <w:tab/>
      </w:r>
      <w:r w:rsidRPr="001555A0">
        <w:rPr>
          <w:lang w:eastAsia="ko-KR"/>
        </w:rPr>
        <w:t>(4)</w:t>
      </w:r>
    </w:p>
    <w:p w:rsidR="00FE0045" w:rsidRPr="001555A0" w:rsidRDefault="00FE0045" w:rsidP="00FE0045">
      <w:pPr>
        <w:pStyle w:val="Equation"/>
        <w:rPr>
          <w:lang w:eastAsia="ja-JP"/>
        </w:rPr>
      </w:pPr>
      <w:r>
        <w:rPr>
          <w:lang w:eastAsia="ja-JP"/>
        </w:rPr>
        <w:t>où</w:t>
      </w:r>
      <w:r w:rsidR="00BB6F16">
        <w:rPr>
          <w:lang w:eastAsia="ja-JP"/>
        </w:rPr>
        <w:t>:</w:t>
      </w:r>
      <w:r>
        <w:rPr>
          <w:lang w:eastAsia="ja-JP"/>
        </w:rPr>
        <w:tab/>
      </w:r>
      <w:r w:rsidR="00BB6F16">
        <w:rPr>
          <w:lang w:eastAsia="ja-JP"/>
        </w:rPr>
        <w:tab/>
      </w:r>
      <w:r w:rsidRPr="001555A0">
        <w:rPr>
          <w:position w:val="-34"/>
        </w:rPr>
        <w:object w:dxaOrig="2680" w:dyaOrig="760">
          <v:shape id="_x0000_i1034" type="#_x0000_t75" style="width:133.3pt;height:38.1pt" o:ole="">
            <v:imagedata r:id="rId32" o:title=""/>
          </v:shape>
          <o:OLEObject Type="Embed" ProgID="Equation.3" ShapeID="_x0000_i1034" DrawAspect="Content" ObjectID="_1459064076" r:id="rId33"/>
        </w:object>
      </w:r>
    </w:p>
    <w:p w:rsidR="00FE0045" w:rsidRPr="00673538" w:rsidRDefault="00FE0045" w:rsidP="00FE0045">
      <w:pPr>
        <w:pStyle w:val="Blanc"/>
        <w:rPr>
          <w:lang w:val="fr-FR" w:eastAsia="ko-KR"/>
        </w:rPr>
      </w:pPr>
    </w:p>
    <w:p w:rsidR="00FE0045" w:rsidRDefault="00FE0045" w:rsidP="00FE0045">
      <w:pPr>
        <w:rPr>
          <w:kern w:val="28"/>
        </w:rPr>
      </w:pPr>
      <w:r>
        <w:rPr>
          <w:kern w:val="28"/>
        </w:rPr>
        <w:t xml:space="preserve">Dans cette expression, </w:t>
      </w:r>
      <w:r>
        <w:rPr>
          <w:i/>
          <w:iCs/>
          <w:kern w:val="28"/>
        </w:rPr>
        <w:t>r</w:t>
      </w:r>
      <w:r>
        <w:rPr>
          <w:i/>
          <w:iCs/>
          <w:kern w:val="28"/>
          <w:vertAlign w:val="subscript"/>
        </w:rPr>
        <w:t xml:space="preserve">m,t,n </w:t>
      </w:r>
      <w:r>
        <w:rPr>
          <w:kern w:val="28"/>
        </w:rPr>
        <w:t xml:space="preserve">désigne le débit de données du service de la catégorie </w:t>
      </w:r>
      <w:r>
        <w:rPr>
          <w:i/>
          <w:iCs/>
          <w:kern w:val="28"/>
        </w:rPr>
        <w:t>n</w:t>
      </w:r>
      <w:r>
        <w:rPr>
          <w:kern w:val="28"/>
        </w:rPr>
        <w:t xml:space="preserve"> et </w:t>
      </w:r>
      <w:r>
        <w:rPr>
          <w:i/>
          <w:iCs/>
          <w:kern w:val="28"/>
        </w:rPr>
        <w:t>r</w:t>
      </w:r>
      <w:r>
        <w:rPr>
          <w:i/>
          <w:iCs/>
          <w:kern w:val="28"/>
          <w:vertAlign w:val="subscript"/>
        </w:rPr>
        <w:t xml:space="preserve">m,t,s </w:t>
      </w:r>
      <w:r>
        <w:rPr>
          <w:kern w:val="28"/>
        </w:rPr>
        <w:t>le débit de données du service</w:t>
      </w:r>
      <w:r>
        <w:rPr>
          <w:i/>
          <w:iCs/>
          <w:kern w:val="28"/>
        </w:rPr>
        <w:t xml:space="preserve"> s</w:t>
      </w:r>
      <w:r>
        <w:rPr>
          <w:kern w:val="28"/>
        </w:rPr>
        <w:t xml:space="preserve"> qui fait partie de la catégorie </w:t>
      </w:r>
      <w:r>
        <w:rPr>
          <w:i/>
          <w:iCs/>
          <w:kern w:val="28"/>
        </w:rPr>
        <w:t>n</w:t>
      </w:r>
      <w:r>
        <w:rPr>
          <w:kern w:val="28"/>
        </w:rPr>
        <w:t>.</w:t>
      </w:r>
    </w:p>
    <w:p w:rsidR="00FE0045" w:rsidRDefault="00FE0045" w:rsidP="00FE0045">
      <w:pPr>
        <w:rPr>
          <w:kern w:val="28"/>
        </w:rPr>
      </w:pPr>
      <w:r w:rsidRPr="00AB13A4">
        <w:rPr>
          <w:iCs/>
          <w:kern w:val="28"/>
        </w:rPr>
        <w:t xml:space="preserve">Le </w:t>
      </w:r>
      <w:r>
        <w:rPr>
          <w:i/>
          <w:iCs/>
          <w:kern w:val="28"/>
        </w:rPr>
        <w:t>taux de mobilité</w:t>
      </w:r>
      <w:r>
        <w:rPr>
          <w:kern w:val="28"/>
        </w:rPr>
        <w:t xml:space="preserve"> d'une catégorie de service donnée est la moyenne pondérée des taux de mobilité des utilisateurs de chacun des services classés dans cette catégorie. Le taux de mobilité est pris comme étant indépendant de la date et de l'heure. Le facteur de pondération de chaque service est calculé en divisant le trafic offert d'un service par le trafic total offert de la catégorie de service dans l'environnement de service.</w:t>
      </w:r>
    </w:p>
    <w:p w:rsidR="00FE0045" w:rsidRDefault="00FE0045" w:rsidP="00FE0045">
      <w:pPr>
        <w:rPr>
          <w:kern w:val="28"/>
        </w:rPr>
      </w:pPr>
      <w:r>
        <w:rPr>
          <w:kern w:val="28"/>
        </w:rPr>
        <w:t>L'expression mathématique correspondante est la suivante:</w:t>
      </w:r>
    </w:p>
    <w:p w:rsidR="00FE0045" w:rsidRPr="00D80341" w:rsidRDefault="00FE0045" w:rsidP="00FE0045">
      <w:pPr>
        <w:pStyle w:val="Blanc"/>
        <w:rPr>
          <w:lang w:val="fr-CH" w:eastAsia="ko-KR"/>
        </w:rPr>
      </w:pPr>
    </w:p>
    <w:p w:rsidR="00FE0045" w:rsidRPr="001555A0" w:rsidRDefault="00FE0045" w:rsidP="00FE0045">
      <w:pPr>
        <w:pStyle w:val="Equation"/>
        <w:rPr>
          <w:lang w:eastAsia="ko-KR"/>
        </w:rPr>
      </w:pPr>
      <w:r w:rsidRPr="001555A0">
        <w:rPr>
          <w:lang w:eastAsia="ko-KR"/>
        </w:rPr>
        <w:tab/>
      </w:r>
      <w:r w:rsidRPr="001555A0">
        <w:rPr>
          <w:lang w:eastAsia="ko-KR"/>
        </w:rPr>
        <w:tab/>
      </w:r>
      <w:r w:rsidRPr="001555A0">
        <w:rPr>
          <w:position w:val="-34"/>
        </w:rPr>
        <w:object w:dxaOrig="4300" w:dyaOrig="620">
          <v:shape id="_x0000_i1035" type="#_x0000_t75" style="width:215.4pt;height:31.55pt" o:ole="">
            <v:imagedata r:id="rId34" o:title=""/>
          </v:shape>
          <o:OLEObject Type="Embed" ProgID="Equation.3" ShapeID="_x0000_i1035" DrawAspect="Content" ObjectID="_1459064077" r:id="rId35"/>
        </w:object>
      </w:r>
      <w:r w:rsidRPr="001555A0">
        <w:rPr>
          <w:lang w:eastAsia="ko-KR"/>
        </w:rPr>
        <w:tab/>
        <w:t>(5)</w:t>
      </w:r>
    </w:p>
    <w:p w:rsidR="00FE0045" w:rsidRPr="00D80341" w:rsidRDefault="00FE0045" w:rsidP="00FE0045">
      <w:pPr>
        <w:pStyle w:val="Blanc"/>
        <w:rPr>
          <w:lang w:val="fr-CH" w:eastAsia="ko-KR"/>
        </w:rPr>
      </w:pPr>
    </w:p>
    <w:p w:rsidR="00FE0045" w:rsidRDefault="00FE0045" w:rsidP="00FE0045">
      <w:pPr>
        <w:rPr>
          <w:kern w:val="28"/>
        </w:rPr>
      </w:pPr>
      <w:r>
        <w:rPr>
          <w:kern w:val="28"/>
        </w:rPr>
        <w:t xml:space="preserve">Dans cette expression, </w:t>
      </w:r>
      <w:r>
        <w:rPr>
          <w:i/>
          <w:iCs/>
          <w:kern w:val="28"/>
        </w:rPr>
        <w:t>MR_market</w:t>
      </w:r>
      <w:r>
        <w:rPr>
          <w:i/>
          <w:iCs/>
          <w:kern w:val="28"/>
          <w:vertAlign w:val="subscript"/>
        </w:rPr>
        <w:t>m,t,n</w:t>
      </w:r>
      <w:r>
        <w:rPr>
          <w:i/>
          <w:iCs/>
          <w:kern w:val="28"/>
        </w:rPr>
        <w:t xml:space="preserve"> </w:t>
      </w:r>
      <w:r>
        <w:rPr>
          <w:kern w:val="28"/>
        </w:rPr>
        <w:t xml:space="preserve">désigne le taux de mobilité de la catégorie de service </w:t>
      </w:r>
      <w:r>
        <w:rPr>
          <w:i/>
          <w:iCs/>
          <w:kern w:val="28"/>
        </w:rPr>
        <w:t>n</w:t>
      </w:r>
      <w:r>
        <w:rPr>
          <w:kern w:val="28"/>
        </w:rPr>
        <w:t xml:space="preserve"> et </w:t>
      </w:r>
      <w:r>
        <w:rPr>
          <w:i/>
          <w:iCs/>
          <w:kern w:val="28"/>
        </w:rPr>
        <w:t>MR_market</w:t>
      </w:r>
      <w:r>
        <w:rPr>
          <w:i/>
          <w:iCs/>
          <w:kern w:val="28"/>
          <w:vertAlign w:val="subscript"/>
        </w:rPr>
        <w:t>m,s</w:t>
      </w:r>
      <w:r>
        <w:rPr>
          <w:i/>
          <w:iCs/>
          <w:kern w:val="28"/>
        </w:rPr>
        <w:t xml:space="preserve"> </w:t>
      </w:r>
      <w:r>
        <w:rPr>
          <w:kern w:val="28"/>
        </w:rPr>
        <w:t xml:space="preserve">le taux de mobilité du service </w:t>
      </w:r>
      <w:r>
        <w:rPr>
          <w:i/>
          <w:iCs/>
          <w:kern w:val="28"/>
        </w:rPr>
        <w:t>s</w:t>
      </w:r>
      <w:r>
        <w:rPr>
          <w:kern w:val="28"/>
        </w:rPr>
        <w:t xml:space="preserve"> qui fait partie de la catégorie </w:t>
      </w:r>
      <w:r>
        <w:rPr>
          <w:i/>
          <w:iCs/>
          <w:kern w:val="28"/>
        </w:rPr>
        <w:t>n</w:t>
      </w:r>
      <w:r>
        <w:rPr>
          <w:kern w:val="28"/>
        </w:rPr>
        <w:t>. On notera que cette équation peut être appliquée à tous les cas de mobilité.</w:t>
      </w:r>
    </w:p>
    <w:p w:rsidR="00FE0045" w:rsidRDefault="00FE0045" w:rsidP="00F00D23">
      <w:pPr>
        <w:rPr>
          <w:kern w:val="28"/>
        </w:rPr>
      </w:pPr>
      <w:r>
        <w:rPr>
          <w:kern w:val="28"/>
        </w:rPr>
        <w:t xml:space="preserve">Les taux de mobilité </w:t>
      </w:r>
      <w:r>
        <w:rPr>
          <w:i/>
          <w:iCs/>
          <w:kern w:val="28"/>
        </w:rPr>
        <w:t>MR_market</w:t>
      </w:r>
      <w:r>
        <w:rPr>
          <w:kern w:val="28"/>
        </w:rPr>
        <w:t xml:space="preserve"> obtenus ci-dessus grâce à l'étude de marché, pour les catégories de mobilité stationnaire (</w:t>
      </w:r>
      <w:r>
        <w:rPr>
          <w:i/>
          <w:iCs/>
          <w:kern w:val="28"/>
        </w:rPr>
        <w:t>sm</w:t>
      </w:r>
      <w:r>
        <w:rPr>
          <w:kern w:val="28"/>
        </w:rPr>
        <w:t>), faible (</w:t>
      </w:r>
      <w:r>
        <w:rPr>
          <w:i/>
          <w:iCs/>
          <w:kern w:val="28"/>
        </w:rPr>
        <w:t>lm</w:t>
      </w:r>
      <w:r>
        <w:rPr>
          <w:kern w:val="28"/>
        </w:rPr>
        <w:t>), forte (</w:t>
      </w:r>
      <w:r>
        <w:rPr>
          <w:i/>
          <w:iCs/>
          <w:kern w:val="28"/>
        </w:rPr>
        <w:t>hm</w:t>
      </w:r>
      <w:r>
        <w:rPr>
          <w:kern w:val="28"/>
        </w:rPr>
        <w:t>) et très forte (</w:t>
      </w:r>
      <w:r>
        <w:rPr>
          <w:i/>
          <w:iCs/>
          <w:kern w:val="28"/>
        </w:rPr>
        <w:t>shm</w:t>
      </w:r>
      <w:r>
        <w:rPr>
          <w:kern w:val="28"/>
        </w:rPr>
        <w:t xml:space="preserve">) doivent être adaptés aux taux de mobilité </w:t>
      </w:r>
      <w:r>
        <w:rPr>
          <w:i/>
          <w:iCs/>
          <w:kern w:val="28"/>
        </w:rPr>
        <w:t>MR</w:t>
      </w:r>
      <w:r>
        <w:rPr>
          <w:kern w:val="28"/>
        </w:rPr>
        <w:t xml:space="preserve"> de la méthodologie pour les catégories de mobilité stationnaire/piéton (</w:t>
      </w:r>
      <w:r>
        <w:rPr>
          <w:i/>
          <w:iCs/>
          <w:kern w:val="28"/>
        </w:rPr>
        <w:t>sm</w:t>
      </w:r>
      <w:r>
        <w:rPr>
          <w:kern w:val="28"/>
        </w:rPr>
        <w:t>), faible (</w:t>
      </w:r>
      <w:r>
        <w:rPr>
          <w:i/>
          <w:iCs/>
          <w:kern w:val="28"/>
        </w:rPr>
        <w:t>lm</w:t>
      </w:r>
      <w:r>
        <w:rPr>
          <w:kern w:val="28"/>
        </w:rPr>
        <w:t>) et forte (</w:t>
      </w:r>
      <w:r>
        <w:rPr>
          <w:i/>
          <w:iCs/>
          <w:kern w:val="28"/>
        </w:rPr>
        <w:t>hm</w:t>
      </w:r>
      <w:r>
        <w:rPr>
          <w:kern w:val="28"/>
        </w:rPr>
        <w:t xml:space="preserve">), qui sont utilisées dans la répartition du trafic au § 3.6. Cette adaptation est effectuée de la manière indiquée au § 3.4.1.3 avec les facteurs </w:t>
      </w:r>
      <w:r w:rsidRPr="00C35654">
        <w:rPr>
          <w:i/>
          <w:kern w:val="28"/>
        </w:rPr>
        <w:t>J</w:t>
      </w:r>
      <w:r w:rsidRPr="00C35654">
        <w:rPr>
          <w:i/>
          <w:iCs/>
          <w:kern w:val="28"/>
          <w:vertAlign w:val="subscript"/>
        </w:rPr>
        <w:t>m</w:t>
      </w:r>
      <w:r>
        <w:rPr>
          <w:kern w:val="28"/>
        </w:rPr>
        <w:t xml:space="preserve"> donnés au Tableau 4. Le taux de mobilité correspondant à la mobilité de type stationnaire est obtenu comme suit:</w:t>
      </w:r>
    </w:p>
    <w:p w:rsidR="00FE0045" w:rsidRPr="00C473E5" w:rsidRDefault="00FE0045" w:rsidP="00FE0045">
      <w:pPr>
        <w:pStyle w:val="Equation"/>
        <w:rPr>
          <w:lang w:val="en-US"/>
        </w:rPr>
      </w:pPr>
      <w:r w:rsidRPr="001555A0">
        <w:lastRenderedPageBreak/>
        <w:tab/>
      </w:r>
      <w:r w:rsidRPr="001555A0">
        <w:tab/>
      </w:r>
      <w:r w:rsidRPr="00C473E5">
        <w:rPr>
          <w:i/>
          <w:lang w:val="en-US"/>
        </w:rPr>
        <w:t>MR_sm</w:t>
      </w:r>
      <w:r w:rsidRPr="00C473E5">
        <w:rPr>
          <w:i/>
          <w:vertAlign w:val="subscript"/>
          <w:lang w:val="en-US"/>
        </w:rPr>
        <w:t>m,t,n</w:t>
      </w:r>
      <w:r w:rsidRPr="00C473E5">
        <w:rPr>
          <w:i/>
          <w:lang w:val="en-US"/>
        </w:rPr>
        <w:t xml:space="preserve"> = MR_market_sm</w:t>
      </w:r>
      <w:r w:rsidRPr="00C473E5">
        <w:rPr>
          <w:i/>
          <w:vertAlign w:val="subscript"/>
          <w:lang w:val="en-US"/>
        </w:rPr>
        <w:t>m,t,n</w:t>
      </w:r>
      <w:r w:rsidRPr="00C473E5">
        <w:rPr>
          <w:i/>
          <w:lang w:val="en-US"/>
        </w:rPr>
        <w:t xml:space="preserve"> + MR_market_lm</w:t>
      </w:r>
      <w:r w:rsidRPr="00C473E5">
        <w:rPr>
          <w:i/>
          <w:vertAlign w:val="subscript"/>
          <w:lang w:val="en-US"/>
        </w:rPr>
        <w:t>m,t,n</w:t>
      </w:r>
      <w:r w:rsidRPr="00C473E5">
        <w:rPr>
          <w:lang w:val="en-US"/>
        </w:rPr>
        <w:tab/>
        <w:t>(6)</w:t>
      </w:r>
    </w:p>
    <w:p w:rsidR="00FE0045" w:rsidRDefault="00FE0045" w:rsidP="00FE0045">
      <w:pPr>
        <w:pStyle w:val="Blanc"/>
        <w:rPr>
          <w:lang w:eastAsia="ko-KR"/>
        </w:rPr>
      </w:pPr>
    </w:p>
    <w:p w:rsidR="00FE0045" w:rsidRDefault="00FE0045" w:rsidP="00FE0045">
      <w:pPr>
        <w:rPr>
          <w:kern w:val="28"/>
        </w:rPr>
      </w:pPr>
      <w:r>
        <w:rPr>
          <w:kern w:val="28"/>
        </w:rPr>
        <w:t>Le taux de mobilité correspondant à une mobilité de type faible est déterminé comme suit:</w:t>
      </w:r>
    </w:p>
    <w:p w:rsidR="00FE0045" w:rsidRPr="00D80341" w:rsidRDefault="00FE0045" w:rsidP="00FE0045">
      <w:pPr>
        <w:pStyle w:val="Blanc"/>
        <w:rPr>
          <w:lang w:val="fr-CH" w:eastAsia="ko-KR"/>
        </w:rPr>
      </w:pPr>
    </w:p>
    <w:p w:rsidR="00FE0045" w:rsidRPr="00FE0045" w:rsidRDefault="00FE0045" w:rsidP="00FE0045">
      <w:pPr>
        <w:pStyle w:val="Equation"/>
        <w:rPr>
          <w:lang w:val="en-US"/>
        </w:rPr>
      </w:pPr>
      <w:r w:rsidRPr="001555A0">
        <w:tab/>
      </w:r>
      <w:r w:rsidRPr="001555A0">
        <w:tab/>
      </w:r>
      <w:r w:rsidRPr="00FE0045">
        <w:rPr>
          <w:i/>
          <w:lang w:val="en-US"/>
        </w:rPr>
        <w:t>MR_lm</w:t>
      </w:r>
      <w:r w:rsidRPr="00FE0045">
        <w:rPr>
          <w:i/>
          <w:vertAlign w:val="subscript"/>
          <w:lang w:val="en-US"/>
        </w:rPr>
        <w:t>m,t,n</w:t>
      </w:r>
      <w:r w:rsidRPr="00FE0045">
        <w:rPr>
          <w:i/>
          <w:lang w:val="en-US"/>
        </w:rPr>
        <w:t xml:space="preserve"> = J</w:t>
      </w:r>
      <w:r w:rsidRPr="00FE0045">
        <w:rPr>
          <w:i/>
          <w:vertAlign w:val="subscript"/>
          <w:lang w:val="en-US"/>
        </w:rPr>
        <w:t>m</w:t>
      </w:r>
      <w:r w:rsidRPr="00FE0045">
        <w:rPr>
          <w:i/>
          <w:lang w:val="en-US"/>
        </w:rPr>
        <w:t xml:space="preserve"> </w:t>
      </w:r>
      <w:r w:rsidRPr="001555A0">
        <w:rPr>
          <w:i/>
        </w:rPr>
        <w:sym w:font="Symbol" w:char="F0D7"/>
      </w:r>
      <w:r w:rsidRPr="00FE0045">
        <w:rPr>
          <w:i/>
          <w:lang w:val="en-US"/>
        </w:rPr>
        <w:t xml:space="preserve"> MR_market_hm</w:t>
      </w:r>
      <w:r w:rsidRPr="00FE0045">
        <w:rPr>
          <w:i/>
          <w:vertAlign w:val="subscript"/>
          <w:lang w:val="en-US"/>
        </w:rPr>
        <w:t>m,t,n</w:t>
      </w:r>
      <w:r w:rsidRPr="00FE0045">
        <w:rPr>
          <w:lang w:val="en-US"/>
        </w:rPr>
        <w:tab/>
        <w:t>(7)</w:t>
      </w:r>
    </w:p>
    <w:p w:rsidR="00FE0045" w:rsidRDefault="00FE0045" w:rsidP="00F00D23">
      <w:r>
        <w:t>Le taux de mobilité correspondant à une forte mobilité est obtenu comme suit:</w:t>
      </w:r>
    </w:p>
    <w:p w:rsidR="00FE0045" w:rsidRPr="00C473E5" w:rsidRDefault="00FE0045" w:rsidP="00FE0045">
      <w:pPr>
        <w:pStyle w:val="Equation"/>
        <w:rPr>
          <w:lang w:val="en-US"/>
        </w:rPr>
      </w:pPr>
      <w:r w:rsidRPr="001555A0">
        <w:tab/>
      </w:r>
      <w:r w:rsidRPr="001555A0">
        <w:tab/>
      </w:r>
      <w:r w:rsidRPr="00C473E5">
        <w:rPr>
          <w:i/>
          <w:lang w:val="en-US"/>
        </w:rPr>
        <w:t>MR_hm</w:t>
      </w:r>
      <w:r w:rsidRPr="00C473E5">
        <w:rPr>
          <w:i/>
          <w:vertAlign w:val="subscript"/>
          <w:lang w:val="en-US"/>
        </w:rPr>
        <w:t>m,t,n</w:t>
      </w:r>
      <w:r w:rsidRPr="00C473E5">
        <w:rPr>
          <w:i/>
          <w:lang w:val="en-US"/>
        </w:rPr>
        <w:t xml:space="preserve"> = </w:t>
      </w:r>
      <w:r w:rsidRPr="00C473E5">
        <w:rPr>
          <w:lang w:val="en-US"/>
        </w:rPr>
        <w:t xml:space="preserve">(1 </w:t>
      </w:r>
      <w:r w:rsidRPr="00C473E5">
        <w:rPr>
          <w:i/>
          <w:lang w:val="en-US"/>
        </w:rPr>
        <w:t>– J</w:t>
      </w:r>
      <w:r w:rsidRPr="00C473E5">
        <w:rPr>
          <w:i/>
          <w:vertAlign w:val="subscript"/>
          <w:lang w:val="en-US"/>
        </w:rPr>
        <w:t>m</w:t>
      </w:r>
      <w:r w:rsidRPr="00C473E5">
        <w:rPr>
          <w:lang w:val="en-US"/>
        </w:rPr>
        <w:t>)</w:t>
      </w:r>
      <w:r w:rsidRPr="00C473E5">
        <w:rPr>
          <w:i/>
          <w:lang w:val="en-US"/>
        </w:rPr>
        <w:t xml:space="preserve"> </w:t>
      </w:r>
      <w:r w:rsidRPr="001555A0">
        <w:rPr>
          <w:i/>
        </w:rPr>
        <w:sym w:font="Symbol" w:char="F0D7"/>
      </w:r>
      <w:r w:rsidRPr="00C473E5">
        <w:rPr>
          <w:i/>
          <w:lang w:val="en-US"/>
        </w:rPr>
        <w:t xml:space="preserve"> MR_market_hm</w:t>
      </w:r>
      <w:r w:rsidRPr="00C473E5">
        <w:rPr>
          <w:i/>
          <w:vertAlign w:val="subscript"/>
          <w:lang w:val="en-US"/>
        </w:rPr>
        <w:t>m,t,n</w:t>
      </w:r>
      <w:r w:rsidRPr="00C473E5">
        <w:rPr>
          <w:i/>
          <w:lang w:val="en-US"/>
        </w:rPr>
        <w:t xml:space="preserve"> + MR_market_shm</w:t>
      </w:r>
      <w:r w:rsidRPr="00C473E5">
        <w:rPr>
          <w:i/>
          <w:vertAlign w:val="subscript"/>
          <w:lang w:val="en-US"/>
        </w:rPr>
        <w:t>m,t,n</w:t>
      </w:r>
      <w:r w:rsidRPr="00C473E5">
        <w:rPr>
          <w:i/>
          <w:lang w:val="en-US"/>
        </w:rPr>
        <w:t xml:space="preserve"> </w:t>
      </w:r>
      <w:r w:rsidRPr="00C473E5">
        <w:rPr>
          <w:lang w:val="en-US"/>
        </w:rPr>
        <w:tab/>
        <w:t>(8)</w:t>
      </w:r>
    </w:p>
    <w:p w:rsidR="00FE0045" w:rsidRDefault="00FE0045" w:rsidP="00FE0045">
      <w:pPr>
        <w:pStyle w:val="TableNo"/>
      </w:pPr>
      <w:r>
        <w:t>TABLEAU 14</w:t>
      </w:r>
    </w:p>
    <w:p w:rsidR="00FE0045" w:rsidRDefault="00FE0045" w:rsidP="00FE0045">
      <w:pPr>
        <w:pStyle w:val="Tabletitle"/>
      </w:pPr>
      <w:r>
        <w:t>Données de l'étude de marché concernant la catégorie de service</w:t>
      </w:r>
      <w:r>
        <w:br/>
        <w:t xml:space="preserve"> dans un environnement de service</w:t>
      </w:r>
    </w:p>
    <w:tbl>
      <w:tblPr>
        <w:tblW w:w="9639" w:type="dxa"/>
        <w:jc w:val="center"/>
        <w:tblLayout w:type="fixed"/>
        <w:tblLook w:val="0000" w:firstRow="0" w:lastRow="0" w:firstColumn="0" w:lastColumn="0" w:noHBand="0" w:noVBand="0"/>
      </w:tblPr>
      <w:tblGrid>
        <w:gridCol w:w="2735"/>
        <w:gridCol w:w="1219"/>
        <w:gridCol w:w="1139"/>
        <w:gridCol w:w="1139"/>
        <w:gridCol w:w="1139"/>
        <w:gridCol w:w="1139"/>
        <w:gridCol w:w="1129"/>
      </w:tblGrid>
      <w:tr w:rsidR="00FE0045" w:rsidTr="00E12924">
        <w:trPr>
          <w:jc w:val="center"/>
        </w:trPr>
        <w:tc>
          <w:tcPr>
            <w:tcW w:w="2735" w:type="dxa"/>
            <w:vMerge w:val="restart"/>
            <w:tcBorders>
              <w:top w:val="single" w:sz="6" w:space="0" w:color="auto"/>
              <w:left w:val="single" w:sz="6" w:space="0" w:color="auto"/>
              <w:right w:val="single" w:sz="6" w:space="0" w:color="auto"/>
            </w:tcBorders>
            <w:vAlign w:val="center"/>
          </w:tcPr>
          <w:p w:rsidR="00FE0045" w:rsidRDefault="00FE0045" w:rsidP="00E12924">
            <w:pPr>
              <w:pStyle w:val="Tablehead"/>
            </w:pPr>
            <w:r>
              <w:t>Catégorie de service</w:t>
            </w:r>
          </w:p>
        </w:tc>
        <w:tc>
          <w:tcPr>
            <w:tcW w:w="6904" w:type="dxa"/>
            <w:gridSpan w:val="6"/>
            <w:tcBorders>
              <w:top w:val="single" w:sz="6" w:space="0" w:color="auto"/>
              <w:left w:val="single" w:sz="6" w:space="0" w:color="auto"/>
              <w:bottom w:val="single" w:sz="6" w:space="0" w:color="auto"/>
              <w:right w:val="single" w:sz="6" w:space="0" w:color="auto"/>
            </w:tcBorders>
          </w:tcPr>
          <w:p w:rsidR="00FE0045" w:rsidRDefault="00FE0045" w:rsidP="00E12924">
            <w:pPr>
              <w:pStyle w:val="Tablehead"/>
            </w:pPr>
            <w:r>
              <w:t>Environnement de service</w:t>
            </w:r>
          </w:p>
        </w:tc>
      </w:tr>
      <w:tr w:rsidR="00FE0045" w:rsidTr="00E12924">
        <w:trPr>
          <w:jc w:val="center"/>
        </w:trPr>
        <w:tc>
          <w:tcPr>
            <w:tcW w:w="2735" w:type="dxa"/>
            <w:vMerge/>
            <w:tcBorders>
              <w:left w:val="single" w:sz="6" w:space="0" w:color="auto"/>
              <w:bottom w:val="single" w:sz="6" w:space="0" w:color="auto"/>
              <w:right w:val="single" w:sz="6" w:space="0" w:color="auto"/>
            </w:tcBorders>
          </w:tcPr>
          <w:p w:rsidR="00FE0045" w:rsidRDefault="00FE0045" w:rsidP="00E12924">
            <w:pPr>
              <w:pStyle w:val="Tablehead"/>
            </w:pPr>
          </w:p>
        </w:tc>
        <w:tc>
          <w:tcPr>
            <w:tcW w:w="1219" w:type="dxa"/>
            <w:tcBorders>
              <w:top w:val="single" w:sz="6" w:space="0" w:color="auto"/>
              <w:left w:val="single" w:sz="6" w:space="0" w:color="auto"/>
              <w:bottom w:val="single" w:sz="6" w:space="0" w:color="auto"/>
              <w:right w:val="single" w:sz="6" w:space="0" w:color="auto"/>
            </w:tcBorders>
          </w:tcPr>
          <w:p w:rsidR="00FE0045" w:rsidRDefault="00FE0045" w:rsidP="00E12924">
            <w:pPr>
              <w:pStyle w:val="Tablehead"/>
            </w:pPr>
            <w:r>
              <w:t>SE1</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12924">
            <w:pPr>
              <w:pStyle w:val="Tablehead"/>
            </w:pPr>
            <w:r>
              <w:t>SE2</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12924">
            <w:pPr>
              <w:pStyle w:val="Tablehead"/>
            </w:pPr>
            <w:r>
              <w:t>SE3</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12924">
            <w:pPr>
              <w:pStyle w:val="Tablehead"/>
            </w:pPr>
            <w:r>
              <w:t>SE4</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12924">
            <w:pPr>
              <w:pStyle w:val="Tablehead"/>
            </w:pPr>
            <w:r>
              <w:t>SE5</w:t>
            </w:r>
          </w:p>
        </w:tc>
        <w:tc>
          <w:tcPr>
            <w:tcW w:w="1129" w:type="dxa"/>
            <w:tcBorders>
              <w:top w:val="single" w:sz="6" w:space="0" w:color="auto"/>
              <w:left w:val="single" w:sz="6" w:space="0" w:color="auto"/>
              <w:bottom w:val="single" w:sz="6" w:space="0" w:color="auto"/>
              <w:right w:val="single" w:sz="6" w:space="0" w:color="auto"/>
            </w:tcBorders>
          </w:tcPr>
          <w:p w:rsidR="00FE0045" w:rsidRDefault="00FE0045" w:rsidP="00E12924">
            <w:pPr>
              <w:pStyle w:val="Tablehead"/>
            </w:pPr>
            <w:r>
              <w:t>SE6</w:t>
            </w:r>
          </w:p>
        </w:tc>
      </w:tr>
      <w:tr w:rsidR="00FE0045" w:rsidTr="00E12924">
        <w:trPr>
          <w:jc w:val="center"/>
        </w:trPr>
        <w:tc>
          <w:tcPr>
            <w:tcW w:w="2735"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SC1</w:t>
            </w:r>
          </w:p>
        </w:tc>
        <w:tc>
          <w:tcPr>
            <w:tcW w:w="121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rPr>
                <w:i/>
                <w:iCs/>
              </w:rPr>
              <w:t>U</w:t>
            </w:r>
            <w:r>
              <w:rPr>
                <w:vertAlign w:val="subscript"/>
              </w:rPr>
              <w:t>1,</w:t>
            </w:r>
            <w:r w:rsidRPr="00B77A79">
              <w:rPr>
                <w:i/>
                <w:vertAlign w:val="subscript"/>
              </w:rPr>
              <w:t>t</w:t>
            </w:r>
            <w:r>
              <w:rPr>
                <w:vertAlign w:val="subscript"/>
              </w:rPr>
              <w:t>,1,</w:t>
            </w:r>
          </w:p>
          <w:p w:rsidR="00FE0045" w:rsidRDefault="00FE0045" w:rsidP="00E0147D">
            <w:pPr>
              <w:pStyle w:val="Tabletext"/>
              <w:jc w:val="center"/>
            </w:pPr>
            <w:r>
              <w:rPr>
                <w:i/>
                <w:iCs/>
              </w:rPr>
              <w:t>Q</w:t>
            </w:r>
            <w:r>
              <w:rPr>
                <w:vertAlign w:val="subscript"/>
              </w:rPr>
              <w:t>1,</w:t>
            </w:r>
            <w:r w:rsidRPr="00B77A79">
              <w:rPr>
                <w:i/>
                <w:vertAlign w:val="subscript"/>
              </w:rPr>
              <w:t>t</w:t>
            </w:r>
            <w:r>
              <w:rPr>
                <w:vertAlign w:val="subscript"/>
              </w:rPr>
              <w:t>,1</w:t>
            </w:r>
          </w:p>
          <w:p w:rsidR="00FE0045" w:rsidRDefault="00FE0045" w:rsidP="00E0147D">
            <w:pPr>
              <w:pStyle w:val="Tabletext"/>
              <w:jc w:val="center"/>
            </w:pPr>
            <w:r>
              <w:t>μ</w:t>
            </w:r>
            <w:r>
              <w:rPr>
                <w:vertAlign w:val="subscript"/>
              </w:rPr>
              <w:t>1,</w:t>
            </w:r>
            <w:r w:rsidRPr="00B77A79">
              <w:rPr>
                <w:i/>
                <w:vertAlign w:val="subscript"/>
              </w:rPr>
              <w:t>t</w:t>
            </w:r>
            <w:r>
              <w:rPr>
                <w:vertAlign w:val="subscript"/>
              </w:rPr>
              <w:t>,1</w:t>
            </w:r>
          </w:p>
          <w:p w:rsidR="00FE0045" w:rsidRDefault="00FE0045" w:rsidP="00E0147D">
            <w:pPr>
              <w:pStyle w:val="Tabletext"/>
              <w:jc w:val="center"/>
            </w:pPr>
            <w:r>
              <w:rPr>
                <w:i/>
                <w:iCs/>
              </w:rPr>
              <w:t>r</w:t>
            </w:r>
            <w:r>
              <w:rPr>
                <w:vertAlign w:val="subscript"/>
              </w:rPr>
              <w:t>1,</w:t>
            </w:r>
            <w:r w:rsidRPr="00B77A79">
              <w:rPr>
                <w:i/>
                <w:vertAlign w:val="subscript"/>
              </w:rPr>
              <w:t>t</w:t>
            </w:r>
            <w:r>
              <w:rPr>
                <w:vertAlign w:val="subscript"/>
              </w:rPr>
              <w:t>,1</w:t>
            </w:r>
          </w:p>
          <w:p w:rsidR="00FE0045" w:rsidRDefault="00FE0045" w:rsidP="00E0147D">
            <w:pPr>
              <w:pStyle w:val="Tabletext"/>
              <w:jc w:val="center"/>
            </w:pPr>
            <w:r>
              <w:rPr>
                <w:i/>
                <w:iCs/>
              </w:rPr>
              <w:t>MR</w:t>
            </w:r>
            <w:r>
              <w:rPr>
                <w:vertAlign w:val="subscript"/>
              </w:rPr>
              <w:t>1,</w:t>
            </w:r>
            <w:r w:rsidRPr="00B77A79">
              <w:rPr>
                <w:i/>
                <w:vertAlign w:val="subscript"/>
              </w:rPr>
              <w:t>t</w:t>
            </w:r>
            <w:r>
              <w:rPr>
                <w:vertAlign w:val="subscript"/>
              </w:rPr>
              <w:t>,1</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rPr>
                <w:i/>
                <w:iCs/>
              </w:rPr>
              <w:t>U</w:t>
            </w:r>
            <w:r>
              <w:rPr>
                <w:vertAlign w:val="subscript"/>
              </w:rPr>
              <w:t>2,</w:t>
            </w:r>
            <w:r w:rsidRPr="00B77A79">
              <w:rPr>
                <w:i/>
                <w:vertAlign w:val="subscript"/>
              </w:rPr>
              <w:t>t</w:t>
            </w:r>
            <w:r>
              <w:rPr>
                <w:vertAlign w:val="subscript"/>
              </w:rPr>
              <w:t>,1</w:t>
            </w:r>
          </w:p>
          <w:p w:rsidR="00FE0045" w:rsidRDefault="00FE0045" w:rsidP="00E0147D">
            <w:pPr>
              <w:pStyle w:val="Tabletext"/>
              <w:jc w:val="center"/>
            </w:pPr>
            <w:r>
              <w:rPr>
                <w:i/>
                <w:iCs/>
              </w:rPr>
              <w:t>Q</w:t>
            </w:r>
            <w:r>
              <w:rPr>
                <w:vertAlign w:val="subscript"/>
              </w:rPr>
              <w:t>2,</w:t>
            </w:r>
            <w:r w:rsidRPr="00B77A79">
              <w:rPr>
                <w:i/>
                <w:vertAlign w:val="subscript"/>
              </w:rPr>
              <w:t>t</w:t>
            </w:r>
            <w:r>
              <w:rPr>
                <w:vertAlign w:val="subscript"/>
              </w:rPr>
              <w:t>,1</w:t>
            </w:r>
          </w:p>
          <w:p w:rsidR="00FE0045" w:rsidRDefault="00FE0045" w:rsidP="00E0147D">
            <w:pPr>
              <w:pStyle w:val="Tabletext"/>
              <w:jc w:val="center"/>
            </w:pPr>
            <w:r>
              <w:t>μ</w:t>
            </w:r>
            <w:r>
              <w:rPr>
                <w:vertAlign w:val="subscript"/>
              </w:rPr>
              <w:t>2,</w:t>
            </w:r>
            <w:r w:rsidRPr="00B77A79">
              <w:rPr>
                <w:i/>
                <w:vertAlign w:val="subscript"/>
              </w:rPr>
              <w:t>t</w:t>
            </w:r>
            <w:r>
              <w:rPr>
                <w:vertAlign w:val="subscript"/>
              </w:rPr>
              <w:t>,1</w:t>
            </w:r>
          </w:p>
          <w:p w:rsidR="00FE0045" w:rsidRDefault="00FE0045" w:rsidP="00E0147D">
            <w:pPr>
              <w:pStyle w:val="Tabletext"/>
              <w:jc w:val="center"/>
            </w:pPr>
            <w:r>
              <w:rPr>
                <w:i/>
                <w:iCs/>
              </w:rPr>
              <w:t>r</w:t>
            </w:r>
            <w:r>
              <w:rPr>
                <w:vertAlign w:val="subscript"/>
              </w:rPr>
              <w:t>2,</w:t>
            </w:r>
            <w:r w:rsidRPr="00B77A79">
              <w:rPr>
                <w:i/>
                <w:vertAlign w:val="subscript"/>
              </w:rPr>
              <w:t>t</w:t>
            </w:r>
            <w:r>
              <w:rPr>
                <w:vertAlign w:val="subscript"/>
              </w:rPr>
              <w:t>,1</w:t>
            </w:r>
          </w:p>
          <w:p w:rsidR="00FE0045" w:rsidRDefault="00FE0045" w:rsidP="00E0147D">
            <w:pPr>
              <w:pStyle w:val="Tabletext"/>
              <w:jc w:val="center"/>
            </w:pPr>
            <w:r>
              <w:rPr>
                <w:i/>
                <w:iCs/>
              </w:rPr>
              <w:t>MR</w:t>
            </w:r>
            <w:r>
              <w:rPr>
                <w:vertAlign w:val="subscript"/>
              </w:rPr>
              <w:t>2,</w:t>
            </w:r>
            <w:r w:rsidRPr="00B77A79">
              <w:rPr>
                <w:i/>
                <w:vertAlign w:val="subscript"/>
              </w:rPr>
              <w:t>t</w:t>
            </w:r>
            <w:r>
              <w:rPr>
                <w:vertAlign w:val="subscript"/>
              </w:rPr>
              <w:t>,1</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c>
          <w:tcPr>
            <w:tcW w:w="112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rPr>
                <w:i/>
                <w:iCs/>
              </w:rPr>
              <w:t>U</w:t>
            </w:r>
            <w:r>
              <w:rPr>
                <w:vertAlign w:val="subscript"/>
              </w:rPr>
              <w:t>6,</w:t>
            </w:r>
            <w:r w:rsidRPr="00B77A79">
              <w:rPr>
                <w:i/>
                <w:vertAlign w:val="subscript"/>
              </w:rPr>
              <w:t>t</w:t>
            </w:r>
            <w:r>
              <w:rPr>
                <w:vertAlign w:val="subscript"/>
              </w:rPr>
              <w:t>,1</w:t>
            </w:r>
          </w:p>
          <w:p w:rsidR="00FE0045" w:rsidRDefault="00FE0045" w:rsidP="00E0147D">
            <w:pPr>
              <w:pStyle w:val="Tabletext"/>
              <w:jc w:val="center"/>
            </w:pPr>
            <w:r>
              <w:rPr>
                <w:i/>
                <w:iCs/>
              </w:rPr>
              <w:t>Q</w:t>
            </w:r>
            <w:r>
              <w:rPr>
                <w:vertAlign w:val="subscript"/>
              </w:rPr>
              <w:t>6,</w:t>
            </w:r>
            <w:r w:rsidRPr="00B77A79">
              <w:rPr>
                <w:i/>
                <w:vertAlign w:val="subscript"/>
              </w:rPr>
              <w:t>t</w:t>
            </w:r>
            <w:r>
              <w:rPr>
                <w:vertAlign w:val="subscript"/>
              </w:rPr>
              <w:t>,1</w:t>
            </w:r>
          </w:p>
          <w:p w:rsidR="00FE0045" w:rsidRDefault="00FE0045" w:rsidP="00E0147D">
            <w:pPr>
              <w:pStyle w:val="Tabletext"/>
              <w:jc w:val="center"/>
            </w:pPr>
            <w:r>
              <w:t>μ</w:t>
            </w:r>
            <w:r>
              <w:rPr>
                <w:vertAlign w:val="subscript"/>
              </w:rPr>
              <w:t>6,</w:t>
            </w:r>
            <w:r w:rsidRPr="00B77A79">
              <w:rPr>
                <w:i/>
                <w:vertAlign w:val="subscript"/>
              </w:rPr>
              <w:t>t</w:t>
            </w:r>
            <w:r>
              <w:rPr>
                <w:vertAlign w:val="subscript"/>
              </w:rPr>
              <w:t>,1</w:t>
            </w:r>
          </w:p>
          <w:p w:rsidR="00FE0045" w:rsidRDefault="00FE0045" w:rsidP="00E0147D">
            <w:pPr>
              <w:pStyle w:val="Tabletext"/>
              <w:jc w:val="center"/>
            </w:pPr>
            <w:r>
              <w:rPr>
                <w:i/>
                <w:iCs/>
              </w:rPr>
              <w:t>r</w:t>
            </w:r>
            <w:r>
              <w:rPr>
                <w:vertAlign w:val="subscript"/>
              </w:rPr>
              <w:t>6,</w:t>
            </w:r>
            <w:r w:rsidRPr="00B77A79">
              <w:rPr>
                <w:i/>
                <w:vertAlign w:val="subscript"/>
              </w:rPr>
              <w:t>t</w:t>
            </w:r>
            <w:r>
              <w:rPr>
                <w:vertAlign w:val="subscript"/>
              </w:rPr>
              <w:t>,1</w:t>
            </w:r>
          </w:p>
          <w:p w:rsidR="00FE0045" w:rsidRDefault="00FE0045" w:rsidP="00E0147D">
            <w:pPr>
              <w:pStyle w:val="Tabletext"/>
              <w:jc w:val="center"/>
            </w:pPr>
            <w:r>
              <w:rPr>
                <w:i/>
                <w:iCs/>
              </w:rPr>
              <w:t>MR</w:t>
            </w:r>
            <w:r>
              <w:rPr>
                <w:vertAlign w:val="subscript"/>
              </w:rPr>
              <w:t>6,</w:t>
            </w:r>
            <w:r w:rsidRPr="00B77A79">
              <w:rPr>
                <w:i/>
                <w:vertAlign w:val="subscript"/>
              </w:rPr>
              <w:t>t</w:t>
            </w:r>
            <w:r>
              <w:rPr>
                <w:vertAlign w:val="subscript"/>
              </w:rPr>
              <w:t>,1</w:t>
            </w:r>
          </w:p>
        </w:tc>
      </w:tr>
      <w:tr w:rsidR="00FE0045" w:rsidTr="00E12924">
        <w:trPr>
          <w:jc w:val="center"/>
        </w:trPr>
        <w:tc>
          <w:tcPr>
            <w:tcW w:w="2735"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SC2</w:t>
            </w:r>
          </w:p>
        </w:tc>
        <w:tc>
          <w:tcPr>
            <w:tcW w:w="121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rPr>
                <w:i/>
                <w:iCs/>
              </w:rPr>
              <w:t>U</w:t>
            </w:r>
            <w:r>
              <w:rPr>
                <w:vertAlign w:val="subscript"/>
              </w:rPr>
              <w:t>1,</w:t>
            </w:r>
            <w:r w:rsidRPr="00B77A79">
              <w:rPr>
                <w:i/>
                <w:vertAlign w:val="subscript"/>
              </w:rPr>
              <w:t>t</w:t>
            </w:r>
            <w:r>
              <w:rPr>
                <w:vertAlign w:val="subscript"/>
              </w:rPr>
              <w:t>,2</w:t>
            </w:r>
          </w:p>
          <w:p w:rsidR="00FE0045" w:rsidRDefault="00FE0045" w:rsidP="00E0147D">
            <w:pPr>
              <w:pStyle w:val="Tabletext"/>
              <w:jc w:val="center"/>
              <w:rPr>
                <w:vertAlign w:val="subscript"/>
              </w:rPr>
            </w:pPr>
            <w:r>
              <w:rPr>
                <w:i/>
                <w:iCs/>
              </w:rPr>
              <w:t>Q</w:t>
            </w:r>
            <w:r>
              <w:rPr>
                <w:vertAlign w:val="subscript"/>
              </w:rPr>
              <w:t>1,</w:t>
            </w:r>
            <w:r w:rsidRPr="00B77A79">
              <w:rPr>
                <w:i/>
                <w:vertAlign w:val="subscript"/>
              </w:rPr>
              <w:t>t</w:t>
            </w:r>
            <w:r>
              <w:rPr>
                <w:vertAlign w:val="subscript"/>
              </w:rPr>
              <w:t>,2</w:t>
            </w:r>
          </w:p>
          <w:p w:rsidR="00FE0045" w:rsidRDefault="00FE0045" w:rsidP="00E0147D">
            <w:pPr>
              <w:pStyle w:val="Tabletext"/>
              <w:jc w:val="center"/>
            </w:pPr>
            <w:r>
              <w:t>μ</w:t>
            </w:r>
            <w:r>
              <w:rPr>
                <w:vertAlign w:val="subscript"/>
              </w:rPr>
              <w:t>1,</w:t>
            </w:r>
            <w:r w:rsidRPr="00B77A79">
              <w:rPr>
                <w:i/>
                <w:vertAlign w:val="subscript"/>
              </w:rPr>
              <w:t>t</w:t>
            </w:r>
            <w:r>
              <w:rPr>
                <w:vertAlign w:val="subscript"/>
              </w:rPr>
              <w:t>,2</w:t>
            </w:r>
          </w:p>
          <w:p w:rsidR="00FE0045" w:rsidRDefault="00FE0045" w:rsidP="00E0147D">
            <w:pPr>
              <w:pStyle w:val="Tabletext"/>
              <w:jc w:val="center"/>
            </w:pPr>
            <w:r>
              <w:rPr>
                <w:i/>
                <w:iCs/>
              </w:rPr>
              <w:t>R</w:t>
            </w:r>
            <w:r>
              <w:rPr>
                <w:vertAlign w:val="subscript"/>
              </w:rPr>
              <w:t>1,</w:t>
            </w:r>
            <w:r w:rsidRPr="00B77A79">
              <w:rPr>
                <w:i/>
                <w:vertAlign w:val="subscript"/>
              </w:rPr>
              <w:t>t</w:t>
            </w:r>
            <w:r>
              <w:rPr>
                <w:vertAlign w:val="subscript"/>
              </w:rPr>
              <w:t>,2</w:t>
            </w:r>
          </w:p>
          <w:p w:rsidR="00FE0045" w:rsidRDefault="00FE0045" w:rsidP="00E0147D">
            <w:pPr>
              <w:pStyle w:val="Tabletext"/>
              <w:jc w:val="center"/>
            </w:pPr>
            <w:r>
              <w:rPr>
                <w:i/>
                <w:iCs/>
              </w:rPr>
              <w:t>MR</w:t>
            </w:r>
            <w:r>
              <w:rPr>
                <w:vertAlign w:val="subscript"/>
              </w:rPr>
              <w:t>1,</w:t>
            </w:r>
            <w:r w:rsidRPr="00B77A79">
              <w:rPr>
                <w:i/>
                <w:vertAlign w:val="subscript"/>
              </w:rPr>
              <w:t>t</w:t>
            </w:r>
            <w:r>
              <w:rPr>
                <w:vertAlign w:val="subscript"/>
              </w:rPr>
              <w:t>,2</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c>
          <w:tcPr>
            <w:tcW w:w="112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r>
      <w:tr w:rsidR="00FE0045" w:rsidTr="00E12924">
        <w:trPr>
          <w:jc w:val="center"/>
        </w:trPr>
        <w:tc>
          <w:tcPr>
            <w:tcW w:w="2735"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SC3</w:t>
            </w:r>
          </w:p>
        </w:tc>
        <w:tc>
          <w:tcPr>
            <w:tcW w:w="121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c>
          <w:tcPr>
            <w:tcW w:w="112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r>
      <w:tr w:rsidR="00FE0045" w:rsidTr="00E12924">
        <w:trPr>
          <w:jc w:val="center"/>
        </w:trPr>
        <w:tc>
          <w:tcPr>
            <w:tcW w:w="2735"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c>
          <w:tcPr>
            <w:tcW w:w="121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c>
          <w:tcPr>
            <w:tcW w:w="113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c>
          <w:tcPr>
            <w:tcW w:w="1129" w:type="dxa"/>
            <w:tcBorders>
              <w:top w:val="single" w:sz="6" w:space="0" w:color="auto"/>
              <w:left w:val="single" w:sz="6" w:space="0" w:color="auto"/>
              <w:bottom w:val="single" w:sz="6" w:space="0" w:color="auto"/>
              <w:right w:val="single" w:sz="6" w:space="0" w:color="auto"/>
            </w:tcBorders>
          </w:tcPr>
          <w:p w:rsidR="00FE0045" w:rsidRDefault="00FE0045" w:rsidP="00E0147D">
            <w:pPr>
              <w:pStyle w:val="Tabletext"/>
              <w:jc w:val="center"/>
            </w:pPr>
            <w:r>
              <w:t>...</w:t>
            </w:r>
          </w:p>
        </w:tc>
      </w:tr>
    </w:tbl>
    <w:p w:rsidR="00FE0045" w:rsidRDefault="00FE0045" w:rsidP="00FE0045">
      <w:pPr>
        <w:pStyle w:val="Tablefin"/>
        <w:rPr>
          <w:kern w:val="28"/>
        </w:rPr>
      </w:pPr>
    </w:p>
    <w:p w:rsidR="00FE0045" w:rsidRDefault="00FE0045" w:rsidP="00FE0045">
      <w:pPr>
        <w:pStyle w:val="Heading2"/>
        <w:rPr>
          <w:kern w:val="28"/>
        </w:rPr>
      </w:pPr>
      <w:r>
        <w:rPr>
          <w:kern w:val="28"/>
        </w:rPr>
        <w:t>3.6</w:t>
      </w:r>
      <w:r>
        <w:rPr>
          <w:kern w:val="28"/>
        </w:rPr>
        <w:tab/>
        <w:t>Répartition du trafic entre les techniques d'accès radioélectrique et les environnements radioélectriques au sein de chaque RATG</w:t>
      </w:r>
    </w:p>
    <w:p w:rsidR="00FE0045" w:rsidRDefault="00FE0045" w:rsidP="00F00D23">
      <w:pPr>
        <w:rPr>
          <w:kern w:val="28"/>
        </w:rPr>
      </w:pPr>
      <w:r>
        <w:rPr>
          <w:kern w:val="28"/>
        </w:rPr>
        <w:t>Le trafic obtenu pour chaque environnement de service, intervalle de temps et catégorie de service sera réparti entre les RATG et environnements radioélectriques appropriés. Cette opération correspond à l'étape 4 de l'organigramme général de la méthodologie (Fig. 1).</w:t>
      </w:r>
    </w:p>
    <w:p w:rsidR="00FE0045" w:rsidRDefault="00FE0045" w:rsidP="00FE0045">
      <w:pPr>
        <w:rPr>
          <w:kern w:val="28"/>
        </w:rPr>
      </w:pPr>
      <w:r>
        <w:rPr>
          <w:kern w:val="28"/>
        </w:rPr>
        <w:t>Or, chaque environnement de service est pris en charge par un ou plusieurs RATG. Le trafic correspondant à un environnement de service pourra donc encore être subdivisé et réparti entre les RATG.</w:t>
      </w:r>
    </w:p>
    <w:p w:rsidR="00FE0045" w:rsidRDefault="00FE0045" w:rsidP="00FE0045">
      <w:pPr>
        <w:rPr>
          <w:kern w:val="28"/>
        </w:rPr>
      </w:pPr>
      <w:r>
        <w:rPr>
          <w:kern w:val="28"/>
        </w:rPr>
        <w:t>Les éléments suivants entrent dans la détermination de la répartition du trafic:</w:t>
      </w:r>
    </w:p>
    <w:p w:rsidR="00FE0045" w:rsidRDefault="00FE0045" w:rsidP="00F00D23">
      <w:pPr>
        <w:pStyle w:val="enumlev1"/>
        <w:rPr>
          <w:kern w:val="28"/>
        </w:rPr>
      </w:pPr>
      <w:r>
        <w:rPr>
          <w:kern w:val="28"/>
        </w:rPr>
        <w:t>–</w:t>
      </w:r>
      <w:r>
        <w:rPr>
          <w:kern w:val="28"/>
        </w:rPr>
        <w:tab/>
        <w:t xml:space="preserve">Les valeurs du trafic, par catégorie et environnement de service, qui sont obtenues à l'issue de l'Etape 3 de la Fig. 1 (voir le Tableau 14). </w:t>
      </w:r>
    </w:p>
    <w:p w:rsidR="00FE0045" w:rsidRDefault="00FE0045" w:rsidP="00F00D23">
      <w:pPr>
        <w:pStyle w:val="enumlev1"/>
        <w:rPr>
          <w:kern w:val="28"/>
        </w:rPr>
      </w:pPr>
      <w:r>
        <w:rPr>
          <w:kern w:val="28"/>
        </w:rPr>
        <w:t>–</w:t>
      </w:r>
      <w:r>
        <w:rPr>
          <w:kern w:val="28"/>
        </w:rPr>
        <w:tab/>
        <w:t>La matrice définissant les environnements de service, conformément à l'Etape 1 de la Fig. 1, y compris les environnements radioélectriques réalistes et les pourcentages de la population desservis pour chaque environnement de service (voir le Tableau 9).</w:t>
      </w:r>
    </w:p>
    <w:p w:rsidR="00FE0045" w:rsidRDefault="00FE0045" w:rsidP="001C53A6">
      <w:pPr>
        <w:pStyle w:val="enumlev1"/>
        <w:keepNext/>
        <w:keepLines/>
        <w:rPr>
          <w:kern w:val="28"/>
        </w:rPr>
      </w:pPr>
      <w:r>
        <w:rPr>
          <w:kern w:val="28"/>
        </w:rPr>
        <w:lastRenderedPageBreak/>
        <w:t>–</w:t>
      </w:r>
      <w:r>
        <w:rPr>
          <w:kern w:val="28"/>
        </w:rPr>
        <w:tab/>
        <w:t>Les matrices définissant les RATG, conformément à l'Etape 1 de la Fig. 1 (voir les Tableaux 10a à 10d).</w:t>
      </w:r>
    </w:p>
    <w:p w:rsidR="00FE0045" w:rsidRDefault="00FE0045" w:rsidP="001C53A6">
      <w:pPr>
        <w:pStyle w:val="enumlev1"/>
        <w:keepNext/>
        <w:keepLines/>
        <w:rPr>
          <w:kern w:val="28"/>
        </w:rPr>
      </w:pPr>
      <w:r>
        <w:rPr>
          <w:kern w:val="28"/>
        </w:rPr>
        <w:t>–</w:t>
      </w:r>
      <w:r>
        <w:rPr>
          <w:kern w:val="28"/>
        </w:rPr>
        <w:tab/>
        <w:t>Les taux de répartition entre les RATG disponibles (voir le Tableau 16).</w:t>
      </w:r>
    </w:p>
    <w:p w:rsidR="00FE0045" w:rsidRDefault="00FE0045" w:rsidP="00F00D23">
      <w:pPr>
        <w:rPr>
          <w:kern w:val="28"/>
        </w:rPr>
      </w:pPr>
      <w:r>
        <w:rPr>
          <w:kern w:val="28"/>
        </w:rPr>
        <w:t xml:space="preserve">A l'issue du processus, on obtient le trafic offert par chaque catégorie de service </w:t>
      </w:r>
      <w:r>
        <w:rPr>
          <w:i/>
          <w:iCs/>
          <w:kern w:val="28"/>
        </w:rPr>
        <w:t>n</w:t>
      </w:r>
      <w:r>
        <w:rPr>
          <w:kern w:val="28"/>
        </w:rPr>
        <w:t xml:space="preserve"> dans chaque environnement de service </w:t>
      </w:r>
      <w:r>
        <w:rPr>
          <w:i/>
          <w:iCs/>
          <w:kern w:val="28"/>
        </w:rPr>
        <w:t>m</w:t>
      </w:r>
      <w:r>
        <w:rPr>
          <w:kern w:val="28"/>
        </w:rPr>
        <w:t xml:space="preserve"> et dans chaque intervalle de temps </w:t>
      </w:r>
      <w:r>
        <w:rPr>
          <w:i/>
          <w:iCs/>
          <w:kern w:val="28"/>
        </w:rPr>
        <w:t>t</w:t>
      </w:r>
      <w:r>
        <w:rPr>
          <w:kern w:val="28"/>
        </w:rPr>
        <w:t xml:space="preserve">, et sa répartition entre les RATG et les environnements radioélectriques. Si la catégorie de service est fondée sur la planification de la réservation (commutation de circuits), le résultat sera exprimé sous forme du taux moyen d'arrivée des sessions et du débit binaire moyen du service de la catégorie </w:t>
      </w:r>
      <w:r>
        <w:rPr>
          <w:i/>
          <w:iCs/>
          <w:kern w:val="28"/>
        </w:rPr>
        <w:t>n</w:t>
      </w:r>
      <w:r>
        <w:rPr>
          <w:kern w:val="28"/>
        </w:rPr>
        <w:t xml:space="preserve"> dans un environnement de service </w:t>
      </w:r>
      <w:r>
        <w:rPr>
          <w:i/>
          <w:iCs/>
          <w:kern w:val="28"/>
        </w:rPr>
        <w:t>m</w:t>
      </w:r>
      <w:r>
        <w:rPr>
          <w:kern w:val="28"/>
        </w:rPr>
        <w:t xml:space="preserve"> et dans un intervalle de temps </w:t>
      </w:r>
      <w:r>
        <w:rPr>
          <w:i/>
          <w:iCs/>
          <w:kern w:val="28"/>
        </w:rPr>
        <w:t>t</w:t>
      </w:r>
      <w:r>
        <w:rPr>
          <w:kern w:val="28"/>
        </w:rPr>
        <w:t xml:space="preserve"> par cellule ou secteur de RATG </w:t>
      </w:r>
      <w:r>
        <w:rPr>
          <w:i/>
          <w:iCs/>
          <w:kern w:val="28"/>
        </w:rPr>
        <w:t>rat</w:t>
      </w:r>
      <w:r>
        <w:rPr>
          <w:kern w:val="28"/>
        </w:rPr>
        <w:t xml:space="preserve"> et par environnement radioélectrique </w:t>
      </w:r>
      <w:r>
        <w:rPr>
          <w:i/>
          <w:iCs/>
          <w:kern w:val="28"/>
        </w:rPr>
        <w:t>p</w:t>
      </w:r>
      <w:r>
        <w:rPr>
          <w:kern w:val="28"/>
        </w:rPr>
        <w:t xml:space="preserve">. Ces valeurs sont calculées au § 3.6.3.1. Si la catégorie de service repose sur l'ordonnancement de paquets, le résultat sera exprimé sous forme du débit binaire total de la catégorie de service </w:t>
      </w:r>
      <w:r>
        <w:rPr>
          <w:i/>
          <w:iCs/>
          <w:kern w:val="28"/>
        </w:rPr>
        <w:t>n</w:t>
      </w:r>
      <w:r>
        <w:rPr>
          <w:kern w:val="28"/>
        </w:rPr>
        <w:t xml:space="preserve"> dans l'environnement de service </w:t>
      </w:r>
      <w:r>
        <w:rPr>
          <w:i/>
          <w:iCs/>
          <w:kern w:val="28"/>
        </w:rPr>
        <w:t>m</w:t>
      </w:r>
      <w:r>
        <w:rPr>
          <w:kern w:val="28"/>
        </w:rPr>
        <w:t xml:space="preserve"> et dans l'intervalle de temps </w:t>
      </w:r>
      <w:r>
        <w:rPr>
          <w:i/>
          <w:iCs/>
          <w:kern w:val="28"/>
        </w:rPr>
        <w:t>t</w:t>
      </w:r>
      <w:r>
        <w:rPr>
          <w:kern w:val="28"/>
        </w:rPr>
        <w:t xml:space="preserve"> par cellule ou secteur de RTAG </w:t>
      </w:r>
      <w:r>
        <w:rPr>
          <w:i/>
          <w:iCs/>
          <w:kern w:val="28"/>
        </w:rPr>
        <w:t>rat</w:t>
      </w:r>
      <w:r>
        <w:rPr>
          <w:kern w:val="28"/>
        </w:rPr>
        <w:t xml:space="preserve"> et par environnement radioélectrique </w:t>
      </w:r>
      <w:r>
        <w:rPr>
          <w:i/>
          <w:iCs/>
          <w:kern w:val="28"/>
        </w:rPr>
        <w:t>p</w:t>
      </w:r>
      <w:r>
        <w:rPr>
          <w:kern w:val="28"/>
        </w:rPr>
        <w:t xml:space="preserve">. Cette valeur est calculée au § 3.6.3.2. </w:t>
      </w:r>
    </w:p>
    <w:p w:rsidR="00FE0045" w:rsidRDefault="00FE0045" w:rsidP="00FE0045">
      <w:pPr>
        <w:pStyle w:val="Heading3"/>
        <w:rPr>
          <w:kern w:val="28"/>
        </w:rPr>
      </w:pPr>
      <w:r>
        <w:rPr>
          <w:kern w:val="28"/>
        </w:rPr>
        <w:t>3.6.1</w:t>
      </w:r>
      <w:r>
        <w:rPr>
          <w:kern w:val="28"/>
        </w:rPr>
        <w:tab/>
        <w:t>Taux de distribution</w:t>
      </w:r>
    </w:p>
    <w:p w:rsidR="00FE0045" w:rsidRDefault="00FE0045" w:rsidP="00FE0045">
      <w:pPr>
        <w:rPr>
          <w:kern w:val="28"/>
        </w:rPr>
      </w:pPr>
      <w:r>
        <w:rPr>
          <w:kern w:val="28"/>
        </w:rPr>
        <w:t xml:space="preserve">Les taux d'arrivée des sessions sont répartis entre les RATG et les environnements radioélectriques en appliquant les taux de distribution </w:t>
      </w:r>
      <w:r w:rsidRPr="00B77A79">
        <w:rPr>
          <w:rFonts w:ascii="Symbol" w:hAnsi="Symbol"/>
          <w:iCs/>
          <w:kern w:val="28"/>
        </w:rPr>
        <w:t></w:t>
      </w:r>
      <w:r>
        <w:rPr>
          <w:i/>
          <w:iCs/>
          <w:kern w:val="28"/>
          <w:vertAlign w:val="subscript"/>
        </w:rPr>
        <w:t>m,t,n,rat,p</w:t>
      </w:r>
      <w:r>
        <w:rPr>
          <w:kern w:val="28"/>
        </w:rPr>
        <w:t xml:space="preserve">. Ces derniers sont obtenus séparément pour différentes catégories de services dans des environnements de service et intervalles de temps différents pour le trafic acheminé sur la liaison montante et sur la liaison descendante en raison des différentes valeurs de trafic. </w:t>
      </w:r>
    </w:p>
    <w:p w:rsidR="00FE0045" w:rsidRDefault="00FE0045" w:rsidP="00FE0045">
      <w:pPr>
        <w:rPr>
          <w:kern w:val="28"/>
        </w:rPr>
      </w:pPr>
      <w:r>
        <w:rPr>
          <w:kern w:val="28"/>
        </w:rPr>
        <w:t xml:space="preserve">Les facteurs </w:t>
      </w:r>
      <w:r w:rsidRPr="00B77A79">
        <w:rPr>
          <w:rFonts w:ascii="Symbol" w:hAnsi="Symbol"/>
          <w:iCs/>
          <w:kern w:val="28"/>
        </w:rPr>
        <w:t></w:t>
      </w:r>
      <w:r>
        <w:rPr>
          <w:i/>
          <w:iCs/>
          <w:kern w:val="28"/>
          <w:vertAlign w:val="subscript"/>
        </w:rPr>
        <w:t>m,t,n,rat,p</w:t>
      </w:r>
      <w:r>
        <w:rPr>
          <w:i/>
          <w:iCs/>
          <w:kern w:val="28"/>
        </w:rPr>
        <w:t xml:space="preserve"> </w:t>
      </w:r>
      <w:r>
        <w:rPr>
          <w:kern w:val="28"/>
        </w:rPr>
        <w:t xml:space="preserve">sont obtenus en appliquant les règles suivantes, lesquelles tiennent compte des données d'entrée définies dans le paragraphe précédent. </w:t>
      </w:r>
    </w:p>
    <w:p w:rsidR="00FE0045" w:rsidRDefault="00FE0045" w:rsidP="00FE0045">
      <w:pPr>
        <w:rPr>
          <w:kern w:val="28"/>
        </w:rPr>
      </w:pPr>
      <w:r>
        <w:rPr>
          <w:kern w:val="28"/>
        </w:rPr>
        <w:t>Les taux de distribution sont déterminés en 3 phases.</w:t>
      </w:r>
    </w:p>
    <w:p w:rsidR="00FE0045" w:rsidRDefault="00FE0045" w:rsidP="00FE0045">
      <w:pPr>
        <w:rPr>
          <w:kern w:val="28"/>
        </w:rPr>
      </w:pPr>
      <w:r>
        <w:rPr>
          <w:kern w:val="28"/>
        </w:rPr>
        <w:t xml:space="preserve">Au cours de la </w:t>
      </w:r>
      <w:r w:rsidRPr="00492B60">
        <w:rPr>
          <w:i/>
          <w:kern w:val="28"/>
        </w:rPr>
        <w:t>Phase</w:t>
      </w:r>
      <w:r>
        <w:rPr>
          <w:kern w:val="28"/>
        </w:rPr>
        <w:t xml:space="preserve"> 1, on détermine quelle combinaison de RATG et d'environnement radioélectrique ne peut pas prendre en charge une catégorie de service donnée dans un environnement de service particulier. La valeur 0 est attribuée aux taux de distribution correspondants, la valeur 1 représentant les combinaisons possibles. Au cours de la Phase 1, les taux de distribution ont une valeur nulle pour:</w:t>
      </w:r>
    </w:p>
    <w:p w:rsidR="00FE0045" w:rsidRDefault="00FE0045" w:rsidP="00FE0045">
      <w:pPr>
        <w:pStyle w:val="enumlev1"/>
        <w:rPr>
          <w:kern w:val="28"/>
        </w:rPr>
      </w:pPr>
      <w:r>
        <w:rPr>
          <w:kern w:val="28"/>
        </w:rPr>
        <w:t>–</w:t>
      </w:r>
      <w:r>
        <w:rPr>
          <w:kern w:val="28"/>
        </w:rPr>
        <w:tab/>
        <w:t>les RATG4 pour les catégories de services de monodiffusion;</w:t>
      </w:r>
    </w:p>
    <w:p w:rsidR="00FE0045" w:rsidRDefault="00FE0045" w:rsidP="00FE0045">
      <w:pPr>
        <w:pStyle w:val="enumlev1"/>
        <w:rPr>
          <w:kern w:val="28"/>
        </w:rPr>
      </w:pPr>
      <w:r>
        <w:rPr>
          <w:kern w:val="28"/>
        </w:rPr>
        <w:t>–</w:t>
      </w:r>
      <w:r>
        <w:rPr>
          <w:kern w:val="28"/>
        </w:rPr>
        <w:tab/>
        <w:t>les environnements radioélectriques qui n'existent pas dans l'environnement de service considéré, tel qu'il est défini au Tableau 9;</w:t>
      </w:r>
    </w:p>
    <w:p w:rsidR="00FE0045" w:rsidRDefault="00FE0045" w:rsidP="00FE0045">
      <w:pPr>
        <w:pStyle w:val="enumlev1"/>
        <w:rPr>
          <w:kern w:val="28"/>
        </w:rPr>
      </w:pPr>
      <w:r>
        <w:rPr>
          <w:kern w:val="28"/>
        </w:rPr>
        <w:t>–</w:t>
      </w:r>
      <w:r>
        <w:rPr>
          <w:kern w:val="28"/>
        </w:rPr>
        <w:tab/>
        <w:t>les environnements radioélectriques qui ne sont pas offerts par le RATG considéré, d'après les définitions données de ces groupes aux Tableaux 10a à 10d;</w:t>
      </w:r>
    </w:p>
    <w:p w:rsidR="00FE0045" w:rsidRDefault="00FE0045" w:rsidP="00FE0045">
      <w:pPr>
        <w:pStyle w:val="enumlev1"/>
        <w:rPr>
          <w:kern w:val="28"/>
        </w:rPr>
      </w:pPr>
      <w:r>
        <w:rPr>
          <w:kern w:val="28"/>
        </w:rPr>
        <w:t>–</w:t>
      </w:r>
      <w:r>
        <w:rPr>
          <w:kern w:val="28"/>
        </w:rPr>
        <w:tab/>
        <w:t xml:space="preserve">une combinaison de RATG et d'environnement radioélectrique pour laquelle le débit de données des applications, tel qu'il est défini aux Tableaux 10a à 10d, est plus faible que le débit de données requis pour une catégorie de service particulière, lequel est obtenu en fonction des définitions données des catégories de service au Tableau 14; </w:t>
      </w:r>
    </w:p>
    <w:p w:rsidR="00FE0045" w:rsidRDefault="00FE0045" w:rsidP="00FE0045">
      <w:pPr>
        <w:pStyle w:val="enumlev1"/>
        <w:rPr>
          <w:kern w:val="28"/>
        </w:rPr>
      </w:pPr>
      <w:r>
        <w:rPr>
          <w:kern w:val="28"/>
        </w:rPr>
        <w:t>–</w:t>
      </w:r>
      <w:r>
        <w:rPr>
          <w:kern w:val="28"/>
        </w:rPr>
        <w:tab/>
        <w:t>dans le cas d'un environnement radioélectrique constitué par une macrocellule, pour les RTAG qui n'offrent pas toute la gamme des vitesses associées à la catégorie de «forte mobilité» qui sont indiquées aux Tableaux 10a à 10d.</w:t>
      </w:r>
    </w:p>
    <w:p w:rsidR="00FE0045" w:rsidRDefault="00FE0045" w:rsidP="00FE0045">
      <w:pPr>
        <w:rPr>
          <w:kern w:val="28"/>
        </w:rPr>
      </w:pPr>
      <w:r>
        <w:rPr>
          <w:kern w:val="28"/>
        </w:rPr>
        <w:t>La Phase 1 aboutit à l'établissement d'un tableau des combinaisons possibles auxquelles la valeur 0 ou 1 a été attribuée. Un exemple est fourni au Tableau 15, lequel tient compte uniquement de 3 environnements de service et de 6 catégories de service dans un seul RATG et un seul intervalle de temps. S'il était complet, ce tableau porterait sur les six environnements de service et les 20 catégories de service.</w:t>
      </w:r>
    </w:p>
    <w:p w:rsidR="00FE0045" w:rsidRDefault="00FE0045" w:rsidP="00FE0045">
      <w:pPr>
        <w:pStyle w:val="TableNo"/>
      </w:pPr>
      <w:r>
        <w:lastRenderedPageBreak/>
        <w:t>TABLEAU 15</w:t>
      </w:r>
    </w:p>
    <w:p w:rsidR="00FE0045" w:rsidRDefault="00FE0045" w:rsidP="00FE0045">
      <w:pPr>
        <w:pStyle w:val="Tabletitle"/>
      </w:pPr>
      <w:r>
        <w:t xml:space="preserve">Exemple de combinaisons possibles de catégorie de service, d'environnement </w:t>
      </w:r>
      <w:r>
        <w:br/>
        <w:t xml:space="preserve">de service et d'environnement radioélectrique pour un seul RATG et un seul </w:t>
      </w:r>
      <w:r>
        <w:br/>
        <w:t>intervalle de temps à l'issue de la Phase 1 de la distribution du trafic</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2"/>
        <w:gridCol w:w="653"/>
        <w:gridCol w:w="653"/>
        <w:gridCol w:w="653"/>
        <w:gridCol w:w="724"/>
        <w:gridCol w:w="651"/>
        <w:gridCol w:w="1202"/>
        <w:gridCol w:w="651"/>
        <w:gridCol w:w="830"/>
        <w:gridCol w:w="634"/>
        <w:gridCol w:w="651"/>
        <w:gridCol w:w="651"/>
        <w:gridCol w:w="667"/>
      </w:tblGrid>
      <w:tr w:rsidR="00FE0045" w:rsidRPr="00492B60" w:rsidTr="00E12924">
        <w:trPr>
          <w:trHeight w:val="195"/>
          <w:jc w:val="center"/>
        </w:trPr>
        <w:tc>
          <w:tcPr>
            <w:tcW w:w="507" w:type="pct"/>
            <w:vMerge w:val="restart"/>
            <w:shd w:val="clear" w:color="auto" w:fill="FFFFFF"/>
            <w:vAlign w:val="center"/>
          </w:tcPr>
          <w:p w:rsidR="00FE0045" w:rsidRPr="00492B60" w:rsidRDefault="00FE0045" w:rsidP="00E12924">
            <w:pPr>
              <w:pStyle w:val="Tablehead"/>
              <w:rPr>
                <w:sz w:val="20"/>
              </w:rPr>
            </w:pPr>
            <w:r w:rsidRPr="00492B60">
              <w:rPr>
                <w:sz w:val="20"/>
              </w:rPr>
              <w:t xml:space="preserve">Catégorie </w:t>
            </w:r>
            <w:r w:rsidRPr="00492B60">
              <w:rPr>
                <w:sz w:val="20"/>
              </w:rPr>
              <w:br/>
              <w:t xml:space="preserve">de service </w:t>
            </w:r>
          </w:p>
        </w:tc>
        <w:tc>
          <w:tcPr>
            <w:tcW w:w="1401" w:type="pct"/>
            <w:gridSpan w:val="4"/>
            <w:shd w:val="clear" w:color="auto" w:fill="FFFFFF"/>
            <w:vAlign w:val="bottom"/>
          </w:tcPr>
          <w:p w:rsidR="00FE0045" w:rsidRPr="00BB6F16" w:rsidRDefault="00FE0045" w:rsidP="00E12924">
            <w:pPr>
              <w:pStyle w:val="Tablehead"/>
              <w:rPr>
                <w:sz w:val="20"/>
              </w:rPr>
            </w:pPr>
            <w:r w:rsidRPr="00BB6F16">
              <w:rPr>
                <w:sz w:val="20"/>
              </w:rPr>
              <w:t>SE</w:t>
            </w:r>
            <w:r w:rsidRPr="00BB6F16">
              <w:rPr>
                <w:rFonts w:ascii="Times New Roman Bold" w:hAnsi="Times New Roman Bold"/>
                <w:sz w:val="20"/>
              </w:rPr>
              <w:t>1</w:t>
            </w:r>
          </w:p>
        </w:tc>
        <w:tc>
          <w:tcPr>
            <w:tcW w:w="1739" w:type="pct"/>
            <w:gridSpan w:val="4"/>
            <w:shd w:val="clear" w:color="auto" w:fill="FFFFFF"/>
            <w:vAlign w:val="bottom"/>
          </w:tcPr>
          <w:p w:rsidR="00FE0045" w:rsidRPr="00BB6F16" w:rsidRDefault="00FE0045" w:rsidP="00E12924">
            <w:pPr>
              <w:pStyle w:val="Tablehead"/>
              <w:rPr>
                <w:sz w:val="20"/>
              </w:rPr>
            </w:pPr>
            <w:r w:rsidRPr="00BB6F16">
              <w:rPr>
                <w:sz w:val="20"/>
              </w:rPr>
              <w:t>SE</w:t>
            </w:r>
            <w:r w:rsidRPr="00BB6F16">
              <w:rPr>
                <w:rFonts w:ascii="Times New Roman Bold" w:hAnsi="Times New Roman Bold"/>
                <w:sz w:val="20"/>
              </w:rPr>
              <w:t>2</w:t>
            </w:r>
          </w:p>
        </w:tc>
        <w:tc>
          <w:tcPr>
            <w:tcW w:w="1353" w:type="pct"/>
            <w:gridSpan w:val="4"/>
            <w:shd w:val="clear" w:color="auto" w:fill="FFFFFF"/>
            <w:vAlign w:val="bottom"/>
          </w:tcPr>
          <w:p w:rsidR="00FE0045" w:rsidRPr="00BB6F16" w:rsidRDefault="00FE0045" w:rsidP="00E12924">
            <w:pPr>
              <w:pStyle w:val="Tablehead"/>
              <w:rPr>
                <w:sz w:val="20"/>
              </w:rPr>
            </w:pPr>
            <w:r w:rsidRPr="00BB6F16">
              <w:rPr>
                <w:sz w:val="20"/>
              </w:rPr>
              <w:t>SE</w:t>
            </w:r>
            <w:r w:rsidRPr="00BB6F16">
              <w:rPr>
                <w:rFonts w:ascii="Times New Roman Bold" w:hAnsi="Times New Roman Bold"/>
                <w:sz w:val="20"/>
              </w:rPr>
              <w:t>3</w:t>
            </w:r>
          </w:p>
        </w:tc>
      </w:tr>
      <w:tr w:rsidR="00FE0045" w:rsidRPr="00492B60" w:rsidTr="00E12924">
        <w:trPr>
          <w:trHeight w:val="270"/>
          <w:jc w:val="center"/>
        </w:trPr>
        <w:tc>
          <w:tcPr>
            <w:tcW w:w="507" w:type="pct"/>
            <w:vMerge/>
            <w:shd w:val="clear" w:color="auto" w:fill="FFFFFF"/>
            <w:vAlign w:val="center"/>
          </w:tcPr>
          <w:p w:rsidR="00FE0045" w:rsidRPr="00492B60" w:rsidRDefault="00FE0045" w:rsidP="00E12924">
            <w:pPr>
              <w:pStyle w:val="Tablehead"/>
              <w:rPr>
                <w:sz w:val="20"/>
              </w:rPr>
            </w:pPr>
          </w:p>
        </w:tc>
        <w:tc>
          <w:tcPr>
            <w:tcW w:w="341" w:type="pct"/>
            <w:shd w:val="clear" w:color="auto" w:fill="FFFFFF"/>
            <w:vAlign w:val="center"/>
          </w:tcPr>
          <w:p w:rsidR="00FE0045" w:rsidRPr="00BB6F16" w:rsidRDefault="00FE0045" w:rsidP="00E12924">
            <w:pPr>
              <w:pStyle w:val="Tablehead"/>
              <w:rPr>
                <w:sz w:val="20"/>
              </w:rPr>
            </w:pPr>
            <w:r w:rsidRPr="00BB6F16">
              <w:rPr>
                <w:sz w:val="20"/>
              </w:rPr>
              <w:t>Macro cellule</w:t>
            </w:r>
          </w:p>
        </w:tc>
        <w:tc>
          <w:tcPr>
            <w:tcW w:w="341" w:type="pct"/>
            <w:shd w:val="clear" w:color="auto" w:fill="FFFFFF"/>
            <w:vAlign w:val="center"/>
          </w:tcPr>
          <w:p w:rsidR="00FE0045" w:rsidRPr="00BB6F16" w:rsidRDefault="00FE0045" w:rsidP="00E12924">
            <w:pPr>
              <w:pStyle w:val="Tablehead"/>
              <w:rPr>
                <w:sz w:val="20"/>
              </w:rPr>
            </w:pPr>
            <w:r w:rsidRPr="00BB6F16">
              <w:rPr>
                <w:sz w:val="20"/>
              </w:rPr>
              <w:t>Micro cellule</w:t>
            </w:r>
          </w:p>
        </w:tc>
        <w:tc>
          <w:tcPr>
            <w:tcW w:w="341" w:type="pct"/>
            <w:shd w:val="clear" w:color="auto" w:fill="FFFFFF"/>
            <w:vAlign w:val="center"/>
          </w:tcPr>
          <w:p w:rsidR="00FE0045" w:rsidRPr="00BB6F16" w:rsidRDefault="00FE0045" w:rsidP="00E12924">
            <w:pPr>
              <w:pStyle w:val="Tablehead"/>
              <w:rPr>
                <w:sz w:val="20"/>
              </w:rPr>
            </w:pPr>
            <w:r w:rsidRPr="00BB6F16">
              <w:rPr>
                <w:sz w:val="20"/>
              </w:rPr>
              <w:t>Pico cellule</w:t>
            </w:r>
          </w:p>
        </w:tc>
        <w:tc>
          <w:tcPr>
            <w:tcW w:w="378" w:type="pct"/>
            <w:shd w:val="clear" w:color="auto" w:fill="FFFFFF"/>
            <w:vAlign w:val="center"/>
          </w:tcPr>
          <w:p w:rsidR="00FE0045" w:rsidRPr="00BB6F16" w:rsidRDefault="00FE0045" w:rsidP="00E12924">
            <w:pPr>
              <w:pStyle w:val="Tablehead"/>
              <w:rPr>
                <w:sz w:val="20"/>
              </w:rPr>
            </w:pPr>
            <w:r w:rsidRPr="00BB6F16">
              <w:rPr>
                <w:sz w:val="20"/>
              </w:rPr>
              <w:t>Point d'accès public</w:t>
            </w:r>
          </w:p>
        </w:tc>
        <w:tc>
          <w:tcPr>
            <w:tcW w:w="340" w:type="pct"/>
            <w:shd w:val="clear" w:color="auto" w:fill="FFFFFF"/>
            <w:vAlign w:val="center"/>
          </w:tcPr>
          <w:p w:rsidR="00FE0045" w:rsidRPr="00BB6F16" w:rsidRDefault="00FE0045" w:rsidP="00E12924">
            <w:pPr>
              <w:pStyle w:val="Tablehead"/>
              <w:rPr>
                <w:sz w:val="20"/>
              </w:rPr>
            </w:pPr>
            <w:r w:rsidRPr="00BB6F16">
              <w:rPr>
                <w:sz w:val="20"/>
              </w:rPr>
              <w:t>Macro cellule</w:t>
            </w:r>
          </w:p>
        </w:tc>
        <w:tc>
          <w:tcPr>
            <w:tcW w:w="627" w:type="pct"/>
            <w:shd w:val="clear" w:color="auto" w:fill="FFFFFF"/>
            <w:vAlign w:val="center"/>
          </w:tcPr>
          <w:p w:rsidR="00FE0045" w:rsidRPr="00BB6F16" w:rsidRDefault="00FE0045" w:rsidP="00E12924">
            <w:pPr>
              <w:pStyle w:val="Tablehead"/>
              <w:rPr>
                <w:sz w:val="20"/>
              </w:rPr>
            </w:pPr>
            <w:r w:rsidRPr="00BB6F16">
              <w:rPr>
                <w:sz w:val="20"/>
              </w:rPr>
              <w:t>Microcellule</w:t>
            </w:r>
          </w:p>
        </w:tc>
        <w:tc>
          <w:tcPr>
            <w:tcW w:w="340" w:type="pct"/>
            <w:shd w:val="clear" w:color="auto" w:fill="FFFFFF"/>
            <w:vAlign w:val="center"/>
          </w:tcPr>
          <w:p w:rsidR="00FE0045" w:rsidRPr="00BB6F16" w:rsidRDefault="00FE0045" w:rsidP="00E12924">
            <w:pPr>
              <w:pStyle w:val="Tablehead"/>
              <w:rPr>
                <w:sz w:val="20"/>
              </w:rPr>
            </w:pPr>
            <w:r w:rsidRPr="00BB6F16">
              <w:rPr>
                <w:sz w:val="20"/>
              </w:rPr>
              <w:t>Pico cellule</w:t>
            </w:r>
          </w:p>
        </w:tc>
        <w:tc>
          <w:tcPr>
            <w:tcW w:w="433" w:type="pct"/>
            <w:shd w:val="clear" w:color="auto" w:fill="FFFFFF"/>
            <w:vAlign w:val="center"/>
          </w:tcPr>
          <w:p w:rsidR="00FE0045" w:rsidRPr="00BB6F16" w:rsidRDefault="00FE0045" w:rsidP="00E12924">
            <w:pPr>
              <w:pStyle w:val="Tablehead"/>
              <w:rPr>
                <w:sz w:val="20"/>
              </w:rPr>
            </w:pPr>
            <w:r w:rsidRPr="00BB6F16">
              <w:rPr>
                <w:sz w:val="20"/>
              </w:rPr>
              <w:t>Point d'accès public</w:t>
            </w:r>
          </w:p>
        </w:tc>
        <w:tc>
          <w:tcPr>
            <w:tcW w:w="331" w:type="pct"/>
            <w:shd w:val="clear" w:color="auto" w:fill="FFFFFF"/>
            <w:vAlign w:val="center"/>
          </w:tcPr>
          <w:p w:rsidR="00FE0045" w:rsidRPr="00BB6F16" w:rsidRDefault="00FE0045" w:rsidP="00E12924">
            <w:pPr>
              <w:pStyle w:val="Tablehead"/>
              <w:rPr>
                <w:sz w:val="20"/>
              </w:rPr>
            </w:pPr>
            <w:r w:rsidRPr="00BB6F16">
              <w:rPr>
                <w:sz w:val="20"/>
              </w:rPr>
              <w:t>Macro cellule</w:t>
            </w:r>
          </w:p>
        </w:tc>
        <w:tc>
          <w:tcPr>
            <w:tcW w:w="340" w:type="pct"/>
            <w:shd w:val="clear" w:color="auto" w:fill="FFFFFF"/>
            <w:vAlign w:val="center"/>
          </w:tcPr>
          <w:p w:rsidR="00FE0045" w:rsidRPr="00BB6F16" w:rsidRDefault="00FE0045" w:rsidP="00E12924">
            <w:pPr>
              <w:pStyle w:val="Tablehead"/>
              <w:rPr>
                <w:sz w:val="20"/>
              </w:rPr>
            </w:pPr>
            <w:r w:rsidRPr="00BB6F16">
              <w:rPr>
                <w:sz w:val="20"/>
              </w:rPr>
              <w:t>Micro cellule</w:t>
            </w:r>
          </w:p>
        </w:tc>
        <w:tc>
          <w:tcPr>
            <w:tcW w:w="340" w:type="pct"/>
            <w:shd w:val="clear" w:color="auto" w:fill="FFFFFF"/>
            <w:vAlign w:val="center"/>
          </w:tcPr>
          <w:p w:rsidR="00FE0045" w:rsidRPr="00BB6F16" w:rsidRDefault="00FE0045" w:rsidP="00E12924">
            <w:pPr>
              <w:pStyle w:val="Tablehead"/>
              <w:rPr>
                <w:sz w:val="20"/>
              </w:rPr>
            </w:pPr>
            <w:r w:rsidRPr="00BB6F16">
              <w:rPr>
                <w:sz w:val="20"/>
              </w:rPr>
              <w:t>Pico cellule</w:t>
            </w:r>
          </w:p>
        </w:tc>
        <w:tc>
          <w:tcPr>
            <w:tcW w:w="342" w:type="pct"/>
            <w:shd w:val="clear" w:color="auto" w:fill="FFFFFF"/>
            <w:vAlign w:val="center"/>
          </w:tcPr>
          <w:p w:rsidR="00FE0045" w:rsidRPr="00BB6F16" w:rsidRDefault="00FE0045" w:rsidP="00E12924">
            <w:pPr>
              <w:pStyle w:val="Tablehead"/>
              <w:rPr>
                <w:sz w:val="20"/>
              </w:rPr>
            </w:pPr>
            <w:r w:rsidRPr="00BB6F16">
              <w:rPr>
                <w:sz w:val="20"/>
              </w:rPr>
              <w:t>Point d'accès public</w:t>
            </w:r>
          </w:p>
        </w:tc>
      </w:tr>
      <w:tr w:rsidR="00FE0045" w:rsidRPr="00492B60" w:rsidTr="00E12924">
        <w:trPr>
          <w:trHeight w:val="255"/>
          <w:jc w:val="center"/>
        </w:trPr>
        <w:tc>
          <w:tcPr>
            <w:tcW w:w="507" w:type="pct"/>
            <w:shd w:val="clear" w:color="auto" w:fill="FFFFFF"/>
            <w:vAlign w:val="bottom"/>
          </w:tcPr>
          <w:p w:rsidR="00FE0045" w:rsidRPr="00492B60" w:rsidRDefault="00FE0045" w:rsidP="001C53A6">
            <w:pPr>
              <w:pStyle w:val="Tabletext"/>
              <w:jc w:val="center"/>
            </w:pPr>
            <w:r w:rsidRPr="00492B60">
              <w:t>SC</w:t>
            </w:r>
            <w:r w:rsidRPr="00492B60">
              <w:rPr>
                <w:vertAlign w:val="subscript"/>
              </w:rPr>
              <w:t>1</w:t>
            </w:r>
          </w:p>
        </w:tc>
        <w:tc>
          <w:tcPr>
            <w:tcW w:w="341" w:type="pct"/>
            <w:shd w:val="clear" w:color="auto" w:fill="FFFFFF"/>
            <w:vAlign w:val="bottom"/>
          </w:tcPr>
          <w:p w:rsidR="00FE0045" w:rsidRPr="00492B60" w:rsidRDefault="00FE0045" w:rsidP="001C53A6">
            <w:pPr>
              <w:pStyle w:val="Tabletext"/>
              <w:jc w:val="center"/>
            </w:pPr>
            <w:r w:rsidRPr="00492B60">
              <w:t>1</w:t>
            </w:r>
          </w:p>
        </w:tc>
        <w:tc>
          <w:tcPr>
            <w:tcW w:w="341" w:type="pct"/>
            <w:shd w:val="clear" w:color="auto" w:fill="FFFFFF"/>
            <w:vAlign w:val="bottom"/>
          </w:tcPr>
          <w:p w:rsidR="00FE0045" w:rsidRPr="00492B60" w:rsidRDefault="00FE0045" w:rsidP="001C53A6">
            <w:pPr>
              <w:pStyle w:val="Tabletext"/>
              <w:jc w:val="center"/>
            </w:pPr>
            <w:r w:rsidRPr="00492B60">
              <w:t>1</w:t>
            </w:r>
          </w:p>
        </w:tc>
        <w:tc>
          <w:tcPr>
            <w:tcW w:w="341" w:type="pct"/>
            <w:shd w:val="clear" w:color="auto" w:fill="FFFFFF"/>
            <w:vAlign w:val="bottom"/>
          </w:tcPr>
          <w:p w:rsidR="00FE0045" w:rsidRPr="00492B60" w:rsidRDefault="00FE0045" w:rsidP="001C53A6">
            <w:pPr>
              <w:pStyle w:val="Tabletext"/>
              <w:jc w:val="center"/>
            </w:pPr>
            <w:r w:rsidRPr="00492B60">
              <w:t>1</w:t>
            </w:r>
          </w:p>
        </w:tc>
        <w:tc>
          <w:tcPr>
            <w:tcW w:w="378"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1</w:t>
            </w:r>
          </w:p>
        </w:tc>
        <w:tc>
          <w:tcPr>
            <w:tcW w:w="627" w:type="pct"/>
            <w:shd w:val="clear" w:color="auto" w:fill="FFFFFF"/>
            <w:vAlign w:val="bottom"/>
          </w:tcPr>
          <w:p w:rsidR="00FE0045" w:rsidRPr="00492B60" w:rsidRDefault="00FE0045" w:rsidP="001C53A6">
            <w:pPr>
              <w:pStyle w:val="Tabletext"/>
              <w:jc w:val="center"/>
            </w:pPr>
            <w:r w:rsidRPr="00492B60">
              <w:t>1</w:t>
            </w:r>
          </w:p>
        </w:tc>
        <w:tc>
          <w:tcPr>
            <w:tcW w:w="340" w:type="pct"/>
            <w:shd w:val="clear" w:color="auto" w:fill="FFFFFF"/>
            <w:vAlign w:val="bottom"/>
          </w:tcPr>
          <w:p w:rsidR="00FE0045" w:rsidRPr="00492B60" w:rsidRDefault="00FE0045" w:rsidP="001C53A6">
            <w:pPr>
              <w:pStyle w:val="Tabletext"/>
              <w:jc w:val="center"/>
            </w:pPr>
            <w:r w:rsidRPr="00492B60">
              <w:t>1</w:t>
            </w:r>
          </w:p>
        </w:tc>
        <w:tc>
          <w:tcPr>
            <w:tcW w:w="433" w:type="pct"/>
            <w:shd w:val="clear" w:color="auto" w:fill="FFFFFF"/>
            <w:vAlign w:val="bottom"/>
          </w:tcPr>
          <w:p w:rsidR="00FE0045" w:rsidRPr="00492B60" w:rsidRDefault="00FE0045" w:rsidP="001C53A6">
            <w:pPr>
              <w:pStyle w:val="Tabletext"/>
              <w:jc w:val="center"/>
            </w:pPr>
            <w:r w:rsidRPr="00492B60">
              <w:t>0</w:t>
            </w:r>
          </w:p>
        </w:tc>
        <w:tc>
          <w:tcPr>
            <w:tcW w:w="331" w:type="pct"/>
            <w:shd w:val="clear" w:color="auto" w:fill="FFFFFF"/>
            <w:vAlign w:val="bottom"/>
          </w:tcPr>
          <w:p w:rsidR="00FE0045" w:rsidRPr="00492B60" w:rsidRDefault="00FE0045" w:rsidP="001C53A6">
            <w:pPr>
              <w:pStyle w:val="Tabletext"/>
              <w:jc w:val="center"/>
            </w:pPr>
            <w:r w:rsidRPr="00492B60">
              <w:t>1</w:t>
            </w:r>
          </w:p>
        </w:tc>
        <w:tc>
          <w:tcPr>
            <w:tcW w:w="340" w:type="pct"/>
            <w:shd w:val="clear" w:color="auto" w:fill="FFFFFF"/>
            <w:vAlign w:val="bottom"/>
          </w:tcPr>
          <w:p w:rsidR="00FE0045" w:rsidRPr="00492B60" w:rsidRDefault="00FE0045" w:rsidP="001C53A6">
            <w:pPr>
              <w:pStyle w:val="Tabletext"/>
              <w:jc w:val="center"/>
            </w:pPr>
            <w:r w:rsidRPr="00492B60">
              <w:t>1</w:t>
            </w:r>
          </w:p>
        </w:tc>
        <w:tc>
          <w:tcPr>
            <w:tcW w:w="340" w:type="pct"/>
            <w:shd w:val="clear" w:color="auto" w:fill="FFFFFF"/>
            <w:vAlign w:val="bottom"/>
          </w:tcPr>
          <w:p w:rsidR="00FE0045" w:rsidRPr="00492B60" w:rsidRDefault="00FE0045" w:rsidP="001C53A6">
            <w:pPr>
              <w:pStyle w:val="Tabletext"/>
              <w:jc w:val="center"/>
            </w:pPr>
            <w:r w:rsidRPr="00492B60">
              <w:t>1</w:t>
            </w:r>
          </w:p>
        </w:tc>
        <w:tc>
          <w:tcPr>
            <w:tcW w:w="342" w:type="pct"/>
            <w:shd w:val="clear" w:color="auto" w:fill="FFFFFF"/>
            <w:vAlign w:val="bottom"/>
          </w:tcPr>
          <w:p w:rsidR="00FE0045" w:rsidRPr="00492B60" w:rsidRDefault="00FE0045" w:rsidP="001C53A6">
            <w:pPr>
              <w:pStyle w:val="Tabletext"/>
              <w:jc w:val="center"/>
            </w:pPr>
            <w:r w:rsidRPr="00492B60">
              <w:t>0</w:t>
            </w:r>
          </w:p>
        </w:tc>
      </w:tr>
      <w:tr w:rsidR="00FE0045" w:rsidRPr="00492B60" w:rsidTr="00E12924">
        <w:trPr>
          <w:trHeight w:val="255"/>
          <w:jc w:val="center"/>
        </w:trPr>
        <w:tc>
          <w:tcPr>
            <w:tcW w:w="507" w:type="pct"/>
            <w:shd w:val="clear" w:color="auto" w:fill="FFFFFF"/>
            <w:vAlign w:val="bottom"/>
          </w:tcPr>
          <w:p w:rsidR="00FE0045" w:rsidRPr="00492B60" w:rsidRDefault="00FE0045" w:rsidP="001C53A6">
            <w:pPr>
              <w:pStyle w:val="Tabletext"/>
              <w:jc w:val="center"/>
            </w:pPr>
            <w:r w:rsidRPr="00492B60">
              <w:t>SC</w:t>
            </w:r>
            <w:r w:rsidRPr="00492B60">
              <w:rPr>
                <w:vertAlign w:val="subscript"/>
              </w:rPr>
              <w:t>2</w:t>
            </w:r>
          </w:p>
        </w:tc>
        <w:tc>
          <w:tcPr>
            <w:tcW w:w="341" w:type="pct"/>
            <w:shd w:val="clear" w:color="auto" w:fill="FFFFFF"/>
            <w:vAlign w:val="bottom"/>
          </w:tcPr>
          <w:p w:rsidR="00FE0045" w:rsidRPr="00492B60" w:rsidRDefault="00FE0045" w:rsidP="001C53A6">
            <w:pPr>
              <w:pStyle w:val="Tabletext"/>
              <w:jc w:val="center"/>
            </w:pPr>
            <w:r w:rsidRPr="00492B60">
              <w:t>0</w:t>
            </w:r>
          </w:p>
        </w:tc>
        <w:tc>
          <w:tcPr>
            <w:tcW w:w="341" w:type="pct"/>
            <w:shd w:val="clear" w:color="auto" w:fill="FFFFFF"/>
            <w:vAlign w:val="bottom"/>
          </w:tcPr>
          <w:p w:rsidR="00FE0045" w:rsidRPr="00492B60" w:rsidRDefault="00FE0045" w:rsidP="001C53A6">
            <w:pPr>
              <w:pStyle w:val="Tabletext"/>
              <w:jc w:val="center"/>
            </w:pPr>
            <w:r w:rsidRPr="00492B60">
              <w:t>0</w:t>
            </w:r>
          </w:p>
        </w:tc>
        <w:tc>
          <w:tcPr>
            <w:tcW w:w="341" w:type="pct"/>
            <w:shd w:val="clear" w:color="auto" w:fill="FFFFFF"/>
            <w:vAlign w:val="bottom"/>
          </w:tcPr>
          <w:p w:rsidR="00FE0045" w:rsidRPr="00492B60" w:rsidRDefault="00FE0045" w:rsidP="001C53A6">
            <w:pPr>
              <w:pStyle w:val="Tabletext"/>
              <w:jc w:val="center"/>
            </w:pPr>
            <w:r w:rsidRPr="00492B60">
              <w:t>1</w:t>
            </w:r>
          </w:p>
        </w:tc>
        <w:tc>
          <w:tcPr>
            <w:tcW w:w="378"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0</w:t>
            </w:r>
          </w:p>
        </w:tc>
        <w:tc>
          <w:tcPr>
            <w:tcW w:w="627"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1</w:t>
            </w:r>
          </w:p>
        </w:tc>
        <w:tc>
          <w:tcPr>
            <w:tcW w:w="433" w:type="pct"/>
            <w:shd w:val="clear" w:color="auto" w:fill="FFFFFF"/>
            <w:vAlign w:val="bottom"/>
          </w:tcPr>
          <w:p w:rsidR="00FE0045" w:rsidRPr="00492B60" w:rsidRDefault="00FE0045" w:rsidP="001C53A6">
            <w:pPr>
              <w:pStyle w:val="Tabletext"/>
              <w:jc w:val="center"/>
            </w:pPr>
            <w:r w:rsidRPr="00492B60">
              <w:t>0</w:t>
            </w:r>
          </w:p>
        </w:tc>
        <w:tc>
          <w:tcPr>
            <w:tcW w:w="331"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1</w:t>
            </w:r>
          </w:p>
        </w:tc>
        <w:tc>
          <w:tcPr>
            <w:tcW w:w="342" w:type="pct"/>
            <w:shd w:val="clear" w:color="auto" w:fill="FFFFFF"/>
            <w:vAlign w:val="bottom"/>
          </w:tcPr>
          <w:p w:rsidR="00FE0045" w:rsidRPr="00492B60" w:rsidRDefault="00FE0045" w:rsidP="001C53A6">
            <w:pPr>
              <w:pStyle w:val="Tabletext"/>
              <w:jc w:val="center"/>
            </w:pPr>
            <w:r w:rsidRPr="00492B60">
              <w:t>0</w:t>
            </w:r>
          </w:p>
        </w:tc>
      </w:tr>
      <w:tr w:rsidR="00FE0045" w:rsidRPr="00492B60" w:rsidTr="00E12924">
        <w:trPr>
          <w:trHeight w:val="255"/>
          <w:jc w:val="center"/>
        </w:trPr>
        <w:tc>
          <w:tcPr>
            <w:tcW w:w="507" w:type="pct"/>
            <w:shd w:val="clear" w:color="auto" w:fill="FFFFFF"/>
            <w:vAlign w:val="bottom"/>
          </w:tcPr>
          <w:p w:rsidR="00FE0045" w:rsidRPr="00492B60" w:rsidRDefault="00FE0045" w:rsidP="001C53A6">
            <w:pPr>
              <w:pStyle w:val="Tabletext"/>
              <w:jc w:val="center"/>
            </w:pPr>
            <w:r w:rsidRPr="00492B60">
              <w:t>SC</w:t>
            </w:r>
            <w:r w:rsidRPr="00492B60">
              <w:rPr>
                <w:vertAlign w:val="subscript"/>
              </w:rPr>
              <w:t>3</w:t>
            </w:r>
          </w:p>
        </w:tc>
        <w:tc>
          <w:tcPr>
            <w:tcW w:w="341" w:type="pct"/>
            <w:shd w:val="clear" w:color="auto" w:fill="FFFFFF"/>
            <w:vAlign w:val="bottom"/>
          </w:tcPr>
          <w:p w:rsidR="00FE0045" w:rsidRPr="00492B60" w:rsidRDefault="00FE0045" w:rsidP="001C53A6">
            <w:pPr>
              <w:pStyle w:val="Tabletext"/>
              <w:jc w:val="center"/>
            </w:pPr>
            <w:r w:rsidRPr="00492B60">
              <w:t>0</w:t>
            </w:r>
          </w:p>
        </w:tc>
        <w:tc>
          <w:tcPr>
            <w:tcW w:w="341" w:type="pct"/>
            <w:shd w:val="clear" w:color="auto" w:fill="FFFFFF"/>
            <w:vAlign w:val="bottom"/>
          </w:tcPr>
          <w:p w:rsidR="00FE0045" w:rsidRPr="00492B60" w:rsidRDefault="00FE0045" w:rsidP="001C53A6">
            <w:pPr>
              <w:pStyle w:val="Tabletext"/>
              <w:jc w:val="center"/>
            </w:pPr>
            <w:r w:rsidRPr="00492B60">
              <w:t>0</w:t>
            </w:r>
          </w:p>
        </w:tc>
        <w:tc>
          <w:tcPr>
            <w:tcW w:w="341" w:type="pct"/>
            <w:shd w:val="clear" w:color="auto" w:fill="FFFFFF"/>
            <w:vAlign w:val="bottom"/>
          </w:tcPr>
          <w:p w:rsidR="00FE0045" w:rsidRPr="00492B60" w:rsidRDefault="00FE0045" w:rsidP="001C53A6">
            <w:pPr>
              <w:pStyle w:val="Tabletext"/>
              <w:jc w:val="center"/>
            </w:pPr>
            <w:r w:rsidRPr="00492B60">
              <w:t>0</w:t>
            </w:r>
          </w:p>
        </w:tc>
        <w:tc>
          <w:tcPr>
            <w:tcW w:w="378"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0</w:t>
            </w:r>
          </w:p>
        </w:tc>
        <w:tc>
          <w:tcPr>
            <w:tcW w:w="627"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0</w:t>
            </w:r>
          </w:p>
        </w:tc>
        <w:tc>
          <w:tcPr>
            <w:tcW w:w="433" w:type="pct"/>
            <w:shd w:val="clear" w:color="auto" w:fill="FFFFFF"/>
            <w:vAlign w:val="bottom"/>
          </w:tcPr>
          <w:p w:rsidR="00FE0045" w:rsidRPr="00492B60" w:rsidRDefault="00FE0045" w:rsidP="001C53A6">
            <w:pPr>
              <w:pStyle w:val="Tabletext"/>
              <w:jc w:val="center"/>
            </w:pPr>
            <w:r w:rsidRPr="00492B60">
              <w:t>0</w:t>
            </w:r>
          </w:p>
        </w:tc>
        <w:tc>
          <w:tcPr>
            <w:tcW w:w="331"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0</w:t>
            </w:r>
          </w:p>
        </w:tc>
        <w:tc>
          <w:tcPr>
            <w:tcW w:w="342" w:type="pct"/>
            <w:shd w:val="clear" w:color="auto" w:fill="FFFFFF"/>
            <w:vAlign w:val="bottom"/>
          </w:tcPr>
          <w:p w:rsidR="00FE0045" w:rsidRPr="00492B60" w:rsidRDefault="00FE0045" w:rsidP="001C53A6">
            <w:pPr>
              <w:pStyle w:val="Tabletext"/>
              <w:jc w:val="center"/>
            </w:pPr>
            <w:r w:rsidRPr="00492B60">
              <w:t>0</w:t>
            </w:r>
          </w:p>
        </w:tc>
      </w:tr>
      <w:tr w:rsidR="00FE0045" w:rsidRPr="00492B60" w:rsidTr="00E12924">
        <w:trPr>
          <w:trHeight w:val="255"/>
          <w:jc w:val="center"/>
        </w:trPr>
        <w:tc>
          <w:tcPr>
            <w:tcW w:w="507" w:type="pct"/>
            <w:shd w:val="clear" w:color="auto" w:fill="FFFFFF"/>
            <w:vAlign w:val="bottom"/>
          </w:tcPr>
          <w:p w:rsidR="00FE0045" w:rsidRPr="00492B60" w:rsidRDefault="00FE0045" w:rsidP="001C53A6">
            <w:pPr>
              <w:pStyle w:val="Tabletext"/>
              <w:jc w:val="center"/>
            </w:pPr>
            <w:r w:rsidRPr="00492B60">
              <w:t>SC</w:t>
            </w:r>
            <w:r w:rsidRPr="00492B60">
              <w:rPr>
                <w:vertAlign w:val="subscript"/>
              </w:rPr>
              <w:t>4</w:t>
            </w:r>
          </w:p>
        </w:tc>
        <w:tc>
          <w:tcPr>
            <w:tcW w:w="341" w:type="pct"/>
            <w:shd w:val="clear" w:color="auto" w:fill="FFFFFF"/>
            <w:vAlign w:val="bottom"/>
          </w:tcPr>
          <w:p w:rsidR="00FE0045" w:rsidRPr="00492B60" w:rsidRDefault="00FE0045" w:rsidP="001C53A6">
            <w:pPr>
              <w:pStyle w:val="Tabletext"/>
              <w:jc w:val="center"/>
            </w:pPr>
            <w:r w:rsidRPr="00492B60">
              <w:t>0</w:t>
            </w:r>
          </w:p>
        </w:tc>
        <w:tc>
          <w:tcPr>
            <w:tcW w:w="341" w:type="pct"/>
            <w:shd w:val="clear" w:color="auto" w:fill="FFFFFF"/>
            <w:vAlign w:val="bottom"/>
          </w:tcPr>
          <w:p w:rsidR="00FE0045" w:rsidRPr="00492B60" w:rsidRDefault="00FE0045" w:rsidP="001C53A6">
            <w:pPr>
              <w:pStyle w:val="Tabletext"/>
              <w:jc w:val="center"/>
            </w:pPr>
            <w:r w:rsidRPr="00492B60">
              <w:t>0</w:t>
            </w:r>
          </w:p>
        </w:tc>
        <w:tc>
          <w:tcPr>
            <w:tcW w:w="341" w:type="pct"/>
            <w:shd w:val="clear" w:color="auto" w:fill="FFFFFF"/>
            <w:vAlign w:val="bottom"/>
          </w:tcPr>
          <w:p w:rsidR="00FE0045" w:rsidRPr="00492B60" w:rsidRDefault="00FE0045" w:rsidP="001C53A6">
            <w:pPr>
              <w:pStyle w:val="Tabletext"/>
              <w:jc w:val="center"/>
            </w:pPr>
            <w:r w:rsidRPr="00492B60">
              <w:t>0</w:t>
            </w:r>
          </w:p>
        </w:tc>
        <w:tc>
          <w:tcPr>
            <w:tcW w:w="378"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0</w:t>
            </w:r>
          </w:p>
        </w:tc>
        <w:tc>
          <w:tcPr>
            <w:tcW w:w="627"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0</w:t>
            </w:r>
          </w:p>
        </w:tc>
        <w:tc>
          <w:tcPr>
            <w:tcW w:w="433" w:type="pct"/>
            <w:shd w:val="clear" w:color="auto" w:fill="FFFFFF"/>
            <w:vAlign w:val="bottom"/>
          </w:tcPr>
          <w:p w:rsidR="00FE0045" w:rsidRPr="00492B60" w:rsidRDefault="00FE0045" w:rsidP="001C53A6">
            <w:pPr>
              <w:pStyle w:val="Tabletext"/>
              <w:jc w:val="center"/>
            </w:pPr>
            <w:r w:rsidRPr="00492B60">
              <w:t>0</w:t>
            </w:r>
          </w:p>
        </w:tc>
        <w:tc>
          <w:tcPr>
            <w:tcW w:w="331"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0</w:t>
            </w:r>
          </w:p>
        </w:tc>
        <w:tc>
          <w:tcPr>
            <w:tcW w:w="342" w:type="pct"/>
            <w:shd w:val="clear" w:color="auto" w:fill="FFFFFF"/>
            <w:vAlign w:val="bottom"/>
          </w:tcPr>
          <w:p w:rsidR="00FE0045" w:rsidRPr="00492B60" w:rsidRDefault="00FE0045" w:rsidP="001C53A6">
            <w:pPr>
              <w:pStyle w:val="Tabletext"/>
              <w:jc w:val="center"/>
            </w:pPr>
            <w:r w:rsidRPr="00492B60">
              <w:t>0</w:t>
            </w:r>
          </w:p>
        </w:tc>
      </w:tr>
      <w:tr w:rsidR="00FE0045" w:rsidRPr="00492B60" w:rsidTr="00E12924">
        <w:trPr>
          <w:trHeight w:val="255"/>
          <w:jc w:val="center"/>
        </w:trPr>
        <w:tc>
          <w:tcPr>
            <w:tcW w:w="507" w:type="pct"/>
            <w:shd w:val="clear" w:color="auto" w:fill="FFFFFF"/>
            <w:vAlign w:val="bottom"/>
          </w:tcPr>
          <w:p w:rsidR="00FE0045" w:rsidRPr="00492B60" w:rsidRDefault="00FE0045" w:rsidP="001C53A6">
            <w:pPr>
              <w:pStyle w:val="Tabletext"/>
              <w:jc w:val="center"/>
            </w:pPr>
            <w:r w:rsidRPr="00492B60">
              <w:t>SC</w:t>
            </w:r>
            <w:r w:rsidRPr="00492B60">
              <w:rPr>
                <w:vertAlign w:val="subscript"/>
              </w:rPr>
              <w:t>5</w:t>
            </w:r>
          </w:p>
        </w:tc>
        <w:tc>
          <w:tcPr>
            <w:tcW w:w="341" w:type="pct"/>
            <w:shd w:val="clear" w:color="auto" w:fill="FFFFFF"/>
            <w:vAlign w:val="bottom"/>
          </w:tcPr>
          <w:p w:rsidR="00FE0045" w:rsidRPr="00492B60" w:rsidRDefault="00FE0045" w:rsidP="001C53A6">
            <w:pPr>
              <w:pStyle w:val="Tabletext"/>
              <w:jc w:val="center"/>
            </w:pPr>
            <w:r w:rsidRPr="00492B60">
              <w:t>0</w:t>
            </w:r>
          </w:p>
        </w:tc>
        <w:tc>
          <w:tcPr>
            <w:tcW w:w="341" w:type="pct"/>
            <w:shd w:val="clear" w:color="auto" w:fill="FFFFFF"/>
            <w:vAlign w:val="bottom"/>
          </w:tcPr>
          <w:p w:rsidR="00FE0045" w:rsidRPr="00492B60" w:rsidRDefault="00FE0045" w:rsidP="001C53A6">
            <w:pPr>
              <w:pStyle w:val="Tabletext"/>
              <w:jc w:val="center"/>
            </w:pPr>
            <w:r w:rsidRPr="00492B60">
              <w:t>1</w:t>
            </w:r>
          </w:p>
        </w:tc>
        <w:tc>
          <w:tcPr>
            <w:tcW w:w="341" w:type="pct"/>
            <w:shd w:val="clear" w:color="auto" w:fill="FFFFFF"/>
            <w:vAlign w:val="bottom"/>
          </w:tcPr>
          <w:p w:rsidR="00FE0045" w:rsidRPr="00492B60" w:rsidRDefault="00FE0045" w:rsidP="001C53A6">
            <w:pPr>
              <w:pStyle w:val="Tabletext"/>
              <w:jc w:val="center"/>
            </w:pPr>
            <w:r w:rsidRPr="00492B60">
              <w:t>1</w:t>
            </w:r>
          </w:p>
        </w:tc>
        <w:tc>
          <w:tcPr>
            <w:tcW w:w="378"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0</w:t>
            </w:r>
          </w:p>
        </w:tc>
        <w:tc>
          <w:tcPr>
            <w:tcW w:w="627" w:type="pct"/>
            <w:shd w:val="clear" w:color="auto" w:fill="FFFFFF"/>
            <w:vAlign w:val="bottom"/>
          </w:tcPr>
          <w:p w:rsidR="00FE0045" w:rsidRPr="00492B60" w:rsidRDefault="00FE0045" w:rsidP="001C53A6">
            <w:pPr>
              <w:pStyle w:val="Tabletext"/>
              <w:jc w:val="center"/>
            </w:pPr>
            <w:r w:rsidRPr="00492B60">
              <w:t>1</w:t>
            </w:r>
          </w:p>
        </w:tc>
        <w:tc>
          <w:tcPr>
            <w:tcW w:w="340" w:type="pct"/>
            <w:shd w:val="clear" w:color="auto" w:fill="FFFFFF"/>
            <w:vAlign w:val="bottom"/>
          </w:tcPr>
          <w:p w:rsidR="00FE0045" w:rsidRPr="00492B60" w:rsidRDefault="00FE0045" w:rsidP="001C53A6">
            <w:pPr>
              <w:pStyle w:val="Tabletext"/>
              <w:jc w:val="center"/>
            </w:pPr>
            <w:r w:rsidRPr="00492B60">
              <w:t>1</w:t>
            </w:r>
          </w:p>
        </w:tc>
        <w:tc>
          <w:tcPr>
            <w:tcW w:w="433" w:type="pct"/>
            <w:shd w:val="clear" w:color="auto" w:fill="FFFFFF"/>
            <w:vAlign w:val="bottom"/>
          </w:tcPr>
          <w:p w:rsidR="00FE0045" w:rsidRPr="00492B60" w:rsidRDefault="00FE0045" w:rsidP="001C53A6">
            <w:pPr>
              <w:pStyle w:val="Tabletext"/>
              <w:jc w:val="center"/>
            </w:pPr>
            <w:r w:rsidRPr="00492B60">
              <w:t>0</w:t>
            </w:r>
          </w:p>
        </w:tc>
        <w:tc>
          <w:tcPr>
            <w:tcW w:w="331"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1</w:t>
            </w:r>
          </w:p>
        </w:tc>
        <w:tc>
          <w:tcPr>
            <w:tcW w:w="340" w:type="pct"/>
            <w:shd w:val="clear" w:color="auto" w:fill="FFFFFF"/>
            <w:vAlign w:val="bottom"/>
          </w:tcPr>
          <w:p w:rsidR="00FE0045" w:rsidRPr="00492B60" w:rsidRDefault="00FE0045" w:rsidP="001C53A6">
            <w:pPr>
              <w:pStyle w:val="Tabletext"/>
              <w:jc w:val="center"/>
            </w:pPr>
            <w:r w:rsidRPr="00492B60">
              <w:t>1</w:t>
            </w:r>
          </w:p>
        </w:tc>
        <w:tc>
          <w:tcPr>
            <w:tcW w:w="342" w:type="pct"/>
            <w:shd w:val="clear" w:color="auto" w:fill="FFFFFF"/>
            <w:vAlign w:val="bottom"/>
          </w:tcPr>
          <w:p w:rsidR="00FE0045" w:rsidRPr="00492B60" w:rsidRDefault="00FE0045" w:rsidP="001C53A6">
            <w:pPr>
              <w:pStyle w:val="Tabletext"/>
              <w:jc w:val="center"/>
            </w:pPr>
            <w:r w:rsidRPr="00492B60">
              <w:t>0</w:t>
            </w:r>
          </w:p>
        </w:tc>
      </w:tr>
      <w:tr w:rsidR="00FE0045" w:rsidRPr="00492B60" w:rsidTr="00E12924">
        <w:trPr>
          <w:trHeight w:val="270"/>
          <w:jc w:val="center"/>
        </w:trPr>
        <w:tc>
          <w:tcPr>
            <w:tcW w:w="507" w:type="pct"/>
            <w:shd w:val="clear" w:color="auto" w:fill="FFFFFF"/>
            <w:vAlign w:val="bottom"/>
          </w:tcPr>
          <w:p w:rsidR="00FE0045" w:rsidRPr="00492B60" w:rsidRDefault="00FE0045" w:rsidP="001C53A6">
            <w:pPr>
              <w:pStyle w:val="Tabletext"/>
              <w:jc w:val="center"/>
            </w:pPr>
            <w:r w:rsidRPr="00492B60">
              <w:t>SC</w:t>
            </w:r>
            <w:r w:rsidRPr="00492B60">
              <w:rPr>
                <w:vertAlign w:val="subscript"/>
              </w:rPr>
              <w:t>6</w:t>
            </w:r>
          </w:p>
        </w:tc>
        <w:tc>
          <w:tcPr>
            <w:tcW w:w="341" w:type="pct"/>
            <w:shd w:val="clear" w:color="auto" w:fill="FFFFFF"/>
            <w:vAlign w:val="bottom"/>
          </w:tcPr>
          <w:p w:rsidR="00FE0045" w:rsidRPr="00492B60" w:rsidRDefault="00FE0045" w:rsidP="001C53A6">
            <w:pPr>
              <w:pStyle w:val="Tabletext"/>
              <w:jc w:val="center"/>
            </w:pPr>
            <w:r w:rsidRPr="00492B60">
              <w:t>0</w:t>
            </w:r>
          </w:p>
        </w:tc>
        <w:tc>
          <w:tcPr>
            <w:tcW w:w="341" w:type="pct"/>
            <w:shd w:val="clear" w:color="auto" w:fill="FFFFFF"/>
            <w:vAlign w:val="bottom"/>
          </w:tcPr>
          <w:p w:rsidR="00FE0045" w:rsidRPr="00492B60" w:rsidRDefault="00FE0045" w:rsidP="001C53A6">
            <w:pPr>
              <w:pStyle w:val="Tabletext"/>
              <w:jc w:val="center"/>
            </w:pPr>
            <w:r w:rsidRPr="00492B60">
              <w:t>0</w:t>
            </w:r>
          </w:p>
        </w:tc>
        <w:tc>
          <w:tcPr>
            <w:tcW w:w="341" w:type="pct"/>
            <w:shd w:val="clear" w:color="auto" w:fill="FFFFFF"/>
            <w:vAlign w:val="bottom"/>
          </w:tcPr>
          <w:p w:rsidR="00FE0045" w:rsidRPr="00492B60" w:rsidRDefault="00FE0045" w:rsidP="001C53A6">
            <w:pPr>
              <w:pStyle w:val="Tabletext"/>
              <w:jc w:val="center"/>
            </w:pPr>
            <w:r w:rsidRPr="00492B60">
              <w:t>0</w:t>
            </w:r>
          </w:p>
        </w:tc>
        <w:tc>
          <w:tcPr>
            <w:tcW w:w="378"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0</w:t>
            </w:r>
          </w:p>
        </w:tc>
        <w:tc>
          <w:tcPr>
            <w:tcW w:w="627"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0</w:t>
            </w:r>
          </w:p>
        </w:tc>
        <w:tc>
          <w:tcPr>
            <w:tcW w:w="433" w:type="pct"/>
            <w:shd w:val="clear" w:color="auto" w:fill="FFFFFF"/>
            <w:vAlign w:val="bottom"/>
          </w:tcPr>
          <w:p w:rsidR="00FE0045" w:rsidRPr="00492B60" w:rsidRDefault="00FE0045" w:rsidP="001C53A6">
            <w:pPr>
              <w:pStyle w:val="Tabletext"/>
              <w:jc w:val="center"/>
            </w:pPr>
            <w:r w:rsidRPr="00492B60">
              <w:t>0</w:t>
            </w:r>
          </w:p>
        </w:tc>
        <w:tc>
          <w:tcPr>
            <w:tcW w:w="331"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0</w:t>
            </w:r>
          </w:p>
        </w:tc>
        <w:tc>
          <w:tcPr>
            <w:tcW w:w="340" w:type="pct"/>
            <w:shd w:val="clear" w:color="auto" w:fill="FFFFFF"/>
            <w:vAlign w:val="bottom"/>
          </w:tcPr>
          <w:p w:rsidR="00FE0045" w:rsidRPr="00492B60" w:rsidRDefault="00FE0045" w:rsidP="001C53A6">
            <w:pPr>
              <w:pStyle w:val="Tabletext"/>
              <w:jc w:val="center"/>
            </w:pPr>
            <w:r w:rsidRPr="00492B60">
              <w:t>0</w:t>
            </w:r>
          </w:p>
        </w:tc>
        <w:tc>
          <w:tcPr>
            <w:tcW w:w="342" w:type="pct"/>
            <w:shd w:val="clear" w:color="auto" w:fill="FFFFFF"/>
            <w:vAlign w:val="bottom"/>
          </w:tcPr>
          <w:p w:rsidR="00FE0045" w:rsidRPr="00492B60" w:rsidRDefault="00FE0045" w:rsidP="001C53A6">
            <w:pPr>
              <w:pStyle w:val="Tabletext"/>
              <w:jc w:val="center"/>
            </w:pPr>
            <w:r w:rsidRPr="00492B60">
              <w:t>0</w:t>
            </w:r>
          </w:p>
        </w:tc>
      </w:tr>
    </w:tbl>
    <w:p w:rsidR="00FE0045" w:rsidRDefault="00FE0045" w:rsidP="00FE0045">
      <w:pPr>
        <w:pStyle w:val="Tablefin"/>
        <w:rPr>
          <w:kern w:val="28"/>
        </w:rPr>
      </w:pPr>
    </w:p>
    <w:p w:rsidR="00FE0045" w:rsidRPr="00FE0045" w:rsidRDefault="00FE0045" w:rsidP="00FE0045">
      <w:pPr>
        <w:rPr>
          <w:lang w:val="fr-CH"/>
        </w:rPr>
      </w:pPr>
      <w:r>
        <w:rPr>
          <w:kern w:val="28"/>
        </w:rPr>
        <w:t xml:space="preserve">Au cours de la </w:t>
      </w:r>
      <w:r w:rsidRPr="00492B60">
        <w:rPr>
          <w:i/>
          <w:kern w:val="28"/>
        </w:rPr>
        <w:t>Phase</w:t>
      </w:r>
      <w:r>
        <w:rPr>
          <w:kern w:val="28"/>
        </w:rPr>
        <w:t xml:space="preserve"> 2, le trafic est réparti entre les RATG. Le taux de distribution entre RATG dépend des RATG disponibles dans chaque environnement radioélectrique et dans chaque environnement de service. La phase 1 indique, au Tableau 15, quels RATG sont disponibles dans l'environnement de service donné pour chaque environnement radioélectrique et chaque catégorie de service. La répartition entre les RATG disponibles est effectuée avec les valeurs qui figurent dans le Tableau 16, qui sont celles des paramètres utilisés pour la méthodologie. Le taux de distribution pour chaque combinaison de catégorie de service, d'environnement radioélectrique, d'environnement de service et d'intervalle de temps figure dans la rangée du Tableau 16 qui correspond aux RATG qui, d'après le Tableau 15, sont disponibles pour cette combinaison. Les valeurs indiquées au Tableau 16 sont données à titre indicatif.</w:t>
      </w:r>
    </w:p>
    <w:p w:rsidR="00FE0045" w:rsidRDefault="00FE0045" w:rsidP="00FE0045">
      <w:pPr>
        <w:pStyle w:val="TableNo"/>
      </w:pPr>
      <w:r>
        <w:t>TABLEAU 16</w:t>
      </w:r>
    </w:p>
    <w:p w:rsidR="00FE0045" w:rsidRDefault="00FE0045" w:rsidP="00FE0045">
      <w:pPr>
        <w:pStyle w:val="Tabletitle"/>
      </w:pPr>
      <w:r>
        <w:t>Exemple de taux de distribution entre RATG disponibles</w:t>
      </w:r>
    </w:p>
    <w:tbl>
      <w:tblPr>
        <w:tblW w:w="0" w:type="auto"/>
        <w:jc w:val="center"/>
        <w:tblLayout w:type="fixed"/>
        <w:tblLook w:val="0000" w:firstRow="0" w:lastRow="0" w:firstColumn="0" w:lastColumn="0" w:noHBand="0" w:noVBand="0"/>
      </w:tblPr>
      <w:tblGrid>
        <w:gridCol w:w="1885"/>
        <w:gridCol w:w="982"/>
        <w:gridCol w:w="992"/>
        <w:gridCol w:w="992"/>
        <w:gridCol w:w="1098"/>
        <w:gridCol w:w="6"/>
      </w:tblGrid>
      <w:tr w:rsidR="00FE0045" w:rsidRPr="00C35654" w:rsidTr="001C53A6">
        <w:trPr>
          <w:jc w:val="center"/>
        </w:trPr>
        <w:tc>
          <w:tcPr>
            <w:tcW w:w="1885" w:type="dxa"/>
            <w:vMerge w:val="restart"/>
            <w:tcBorders>
              <w:top w:val="single" w:sz="6" w:space="0" w:color="auto"/>
              <w:left w:val="single" w:sz="6" w:space="0" w:color="auto"/>
              <w:bottom w:val="single" w:sz="6" w:space="0" w:color="auto"/>
              <w:right w:val="single" w:sz="6" w:space="0" w:color="auto"/>
            </w:tcBorders>
          </w:tcPr>
          <w:p w:rsidR="00FE0045" w:rsidRPr="00C35654" w:rsidRDefault="00FE0045" w:rsidP="00E12924">
            <w:pPr>
              <w:pStyle w:val="Tablehead"/>
            </w:pPr>
            <w:r w:rsidRPr="00C35654">
              <w:t>RATG disponibles</w:t>
            </w:r>
          </w:p>
        </w:tc>
        <w:tc>
          <w:tcPr>
            <w:tcW w:w="4070" w:type="dxa"/>
            <w:gridSpan w:val="5"/>
            <w:tcBorders>
              <w:top w:val="single" w:sz="6" w:space="0" w:color="auto"/>
              <w:left w:val="single" w:sz="6" w:space="0" w:color="auto"/>
              <w:bottom w:val="single" w:sz="6" w:space="0" w:color="auto"/>
              <w:right w:val="single" w:sz="6" w:space="0" w:color="auto"/>
            </w:tcBorders>
          </w:tcPr>
          <w:p w:rsidR="00FE0045" w:rsidRPr="00C35654" w:rsidRDefault="00FE0045" w:rsidP="00E12924">
            <w:pPr>
              <w:pStyle w:val="Tablehead"/>
            </w:pPr>
            <w:r w:rsidRPr="00C35654">
              <w:t xml:space="preserve">Taux de distribution </w:t>
            </w:r>
            <w:r>
              <w:t>(</w:t>
            </w:r>
            <w:r w:rsidRPr="00C35654">
              <w:t>%</w:t>
            </w:r>
            <w:r>
              <w:t>)</w:t>
            </w:r>
          </w:p>
        </w:tc>
      </w:tr>
      <w:tr w:rsidR="00FE0045" w:rsidRPr="00C35654" w:rsidTr="001C53A6">
        <w:trPr>
          <w:jc w:val="center"/>
        </w:trPr>
        <w:tc>
          <w:tcPr>
            <w:tcW w:w="1885" w:type="dxa"/>
            <w:vMerge/>
            <w:tcBorders>
              <w:top w:val="single" w:sz="6" w:space="0" w:color="auto"/>
              <w:left w:val="single" w:sz="6" w:space="0" w:color="auto"/>
              <w:bottom w:val="single" w:sz="6" w:space="0" w:color="auto"/>
              <w:right w:val="single" w:sz="6" w:space="0" w:color="auto"/>
            </w:tcBorders>
          </w:tcPr>
          <w:p w:rsidR="00FE0045" w:rsidRPr="00C35654" w:rsidRDefault="00FE0045" w:rsidP="00E12924">
            <w:pPr>
              <w:pStyle w:val="Tablehead"/>
            </w:pPr>
          </w:p>
        </w:tc>
        <w:tc>
          <w:tcPr>
            <w:tcW w:w="982" w:type="dxa"/>
            <w:tcBorders>
              <w:top w:val="single" w:sz="6" w:space="0" w:color="auto"/>
              <w:left w:val="single" w:sz="6" w:space="0" w:color="auto"/>
              <w:bottom w:val="single" w:sz="6" w:space="0" w:color="auto"/>
              <w:right w:val="single" w:sz="6" w:space="0" w:color="auto"/>
            </w:tcBorders>
          </w:tcPr>
          <w:p w:rsidR="00FE0045" w:rsidRPr="00C35654" w:rsidRDefault="00FE0045" w:rsidP="00E12924">
            <w:pPr>
              <w:pStyle w:val="Tablehead"/>
            </w:pPr>
            <w:r w:rsidRPr="00C35654">
              <w:t>RATG1</w:t>
            </w:r>
          </w:p>
        </w:tc>
        <w:tc>
          <w:tcPr>
            <w:tcW w:w="992" w:type="dxa"/>
            <w:tcBorders>
              <w:top w:val="single" w:sz="6" w:space="0" w:color="auto"/>
              <w:left w:val="single" w:sz="6" w:space="0" w:color="auto"/>
              <w:bottom w:val="single" w:sz="6" w:space="0" w:color="auto"/>
              <w:right w:val="single" w:sz="6" w:space="0" w:color="auto"/>
            </w:tcBorders>
          </w:tcPr>
          <w:p w:rsidR="00FE0045" w:rsidRPr="00C35654" w:rsidRDefault="00FE0045" w:rsidP="00E12924">
            <w:pPr>
              <w:pStyle w:val="Tablehead"/>
            </w:pPr>
            <w:r w:rsidRPr="00C35654">
              <w:t>RATG2</w:t>
            </w:r>
          </w:p>
        </w:tc>
        <w:tc>
          <w:tcPr>
            <w:tcW w:w="992" w:type="dxa"/>
            <w:tcBorders>
              <w:top w:val="single" w:sz="6" w:space="0" w:color="auto"/>
              <w:left w:val="single" w:sz="6" w:space="0" w:color="auto"/>
              <w:bottom w:val="single" w:sz="6" w:space="0" w:color="auto"/>
              <w:right w:val="single" w:sz="6" w:space="0" w:color="auto"/>
            </w:tcBorders>
          </w:tcPr>
          <w:p w:rsidR="00FE0045" w:rsidRPr="00C35654" w:rsidRDefault="00FE0045" w:rsidP="00E12924">
            <w:pPr>
              <w:pStyle w:val="Tablehead"/>
            </w:pPr>
            <w:r w:rsidRPr="00C35654">
              <w:t>RATG3</w:t>
            </w:r>
          </w:p>
        </w:tc>
        <w:tc>
          <w:tcPr>
            <w:tcW w:w="1104" w:type="dxa"/>
            <w:gridSpan w:val="2"/>
            <w:tcBorders>
              <w:top w:val="single" w:sz="6" w:space="0" w:color="auto"/>
              <w:left w:val="single" w:sz="6" w:space="0" w:color="auto"/>
              <w:bottom w:val="single" w:sz="6" w:space="0" w:color="auto"/>
              <w:right w:val="single" w:sz="6" w:space="0" w:color="auto"/>
            </w:tcBorders>
          </w:tcPr>
          <w:p w:rsidR="00FE0045" w:rsidRPr="00C35654" w:rsidRDefault="00FE0045" w:rsidP="00E12924">
            <w:pPr>
              <w:pStyle w:val="Tablehead"/>
            </w:pPr>
            <w:r w:rsidRPr="00C35654">
              <w:t>RATG4</w:t>
            </w:r>
          </w:p>
        </w:tc>
      </w:tr>
      <w:tr w:rsidR="00FE0045" w:rsidTr="001C53A6">
        <w:trPr>
          <w:gridAfter w:val="1"/>
          <w:wAfter w:w="6" w:type="dxa"/>
          <w:jc w:val="center"/>
        </w:trPr>
        <w:tc>
          <w:tcPr>
            <w:tcW w:w="1885"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w:t>
            </w:r>
          </w:p>
        </w:tc>
        <w:tc>
          <w:tcPr>
            <w:tcW w:w="98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100</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1098"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r>
      <w:tr w:rsidR="00FE0045" w:rsidTr="001C53A6">
        <w:trPr>
          <w:gridAfter w:val="1"/>
          <w:wAfter w:w="6" w:type="dxa"/>
          <w:jc w:val="center"/>
        </w:trPr>
        <w:tc>
          <w:tcPr>
            <w:tcW w:w="1885"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2</w:t>
            </w:r>
          </w:p>
        </w:tc>
        <w:tc>
          <w:tcPr>
            <w:tcW w:w="98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100</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1098"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r>
      <w:tr w:rsidR="00FE0045" w:rsidTr="001C53A6">
        <w:trPr>
          <w:gridAfter w:val="1"/>
          <w:wAfter w:w="6" w:type="dxa"/>
          <w:jc w:val="center"/>
        </w:trPr>
        <w:tc>
          <w:tcPr>
            <w:tcW w:w="1885"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3</w:t>
            </w:r>
          </w:p>
        </w:tc>
        <w:tc>
          <w:tcPr>
            <w:tcW w:w="98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100</w:t>
            </w:r>
          </w:p>
        </w:tc>
        <w:tc>
          <w:tcPr>
            <w:tcW w:w="1098"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p>
        </w:tc>
      </w:tr>
      <w:tr w:rsidR="00FE0045" w:rsidTr="001C53A6">
        <w:trPr>
          <w:gridAfter w:val="1"/>
          <w:wAfter w:w="6" w:type="dxa"/>
          <w:jc w:val="center"/>
        </w:trPr>
        <w:tc>
          <w:tcPr>
            <w:tcW w:w="1885"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4</w:t>
            </w:r>
          </w:p>
        </w:tc>
        <w:tc>
          <w:tcPr>
            <w:tcW w:w="98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1098"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100</w:t>
            </w:r>
          </w:p>
        </w:tc>
      </w:tr>
      <w:tr w:rsidR="00FE0045" w:rsidTr="001C53A6">
        <w:trPr>
          <w:gridAfter w:val="1"/>
          <w:wAfter w:w="6" w:type="dxa"/>
          <w:jc w:val="center"/>
        </w:trPr>
        <w:tc>
          <w:tcPr>
            <w:tcW w:w="1885"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1, 2</w:t>
            </w:r>
          </w:p>
        </w:tc>
        <w:tc>
          <w:tcPr>
            <w:tcW w:w="98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20</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80</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1098"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p>
        </w:tc>
      </w:tr>
      <w:tr w:rsidR="00FE0045" w:rsidTr="001C53A6">
        <w:trPr>
          <w:gridAfter w:val="1"/>
          <w:wAfter w:w="6" w:type="dxa"/>
          <w:jc w:val="center"/>
        </w:trPr>
        <w:tc>
          <w:tcPr>
            <w:tcW w:w="1885"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1, 3</w:t>
            </w:r>
          </w:p>
        </w:tc>
        <w:tc>
          <w:tcPr>
            <w:tcW w:w="98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20</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80</w:t>
            </w:r>
          </w:p>
        </w:tc>
        <w:tc>
          <w:tcPr>
            <w:tcW w:w="1098"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p>
        </w:tc>
      </w:tr>
      <w:tr w:rsidR="00FE0045" w:rsidTr="001C53A6">
        <w:trPr>
          <w:gridAfter w:val="1"/>
          <w:wAfter w:w="6" w:type="dxa"/>
          <w:jc w:val="center"/>
        </w:trPr>
        <w:tc>
          <w:tcPr>
            <w:tcW w:w="1885"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1, 4</w:t>
            </w:r>
          </w:p>
        </w:tc>
        <w:tc>
          <w:tcPr>
            <w:tcW w:w="98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10</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1098"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90</w:t>
            </w:r>
          </w:p>
        </w:tc>
      </w:tr>
      <w:tr w:rsidR="00FE0045" w:rsidTr="001C53A6">
        <w:trPr>
          <w:gridAfter w:val="1"/>
          <w:wAfter w:w="6" w:type="dxa"/>
          <w:jc w:val="center"/>
        </w:trPr>
        <w:tc>
          <w:tcPr>
            <w:tcW w:w="1885"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2, 3</w:t>
            </w:r>
          </w:p>
        </w:tc>
        <w:tc>
          <w:tcPr>
            <w:tcW w:w="98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20</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80</w:t>
            </w:r>
          </w:p>
        </w:tc>
        <w:tc>
          <w:tcPr>
            <w:tcW w:w="1098"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p>
        </w:tc>
      </w:tr>
      <w:tr w:rsidR="00FE0045" w:rsidTr="001C53A6">
        <w:trPr>
          <w:gridAfter w:val="1"/>
          <w:wAfter w:w="6" w:type="dxa"/>
          <w:jc w:val="center"/>
        </w:trPr>
        <w:tc>
          <w:tcPr>
            <w:tcW w:w="1885"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2, 4</w:t>
            </w:r>
          </w:p>
        </w:tc>
        <w:tc>
          <w:tcPr>
            <w:tcW w:w="98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10</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1098"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90</w:t>
            </w:r>
          </w:p>
        </w:tc>
      </w:tr>
      <w:tr w:rsidR="00FE0045" w:rsidTr="001C53A6">
        <w:trPr>
          <w:gridAfter w:val="1"/>
          <w:wAfter w:w="6" w:type="dxa"/>
          <w:jc w:val="center"/>
        </w:trPr>
        <w:tc>
          <w:tcPr>
            <w:tcW w:w="1885"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3, 4</w:t>
            </w:r>
          </w:p>
        </w:tc>
        <w:tc>
          <w:tcPr>
            <w:tcW w:w="98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10</w:t>
            </w:r>
          </w:p>
        </w:tc>
        <w:tc>
          <w:tcPr>
            <w:tcW w:w="1098"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90</w:t>
            </w:r>
          </w:p>
        </w:tc>
      </w:tr>
      <w:tr w:rsidR="00FE0045" w:rsidTr="001C53A6">
        <w:trPr>
          <w:gridAfter w:val="1"/>
          <w:wAfter w:w="6" w:type="dxa"/>
          <w:jc w:val="center"/>
        </w:trPr>
        <w:tc>
          <w:tcPr>
            <w:tcW w:w="1885"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1, 2, 3</w:t>
            </w:r>
          </w:p>
        </w:tc>
        <w:tc>
          <w:tcPr>
            <w:tcW w:w="98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20</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20</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60</w:t>
            </w:r>
          </w:p>
        </w:tc>
        <w:tc>
          <w:tcPr>
            <w:tcW w:w="1098"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p>
        </w:tc>
      </w:tr>
    </w:tbl>
    <w:p w:rsidR="002B55F3" w:rsidRDefault="002B55F3">
      <w:r>
        <w:br w:type="page"/>
      </w:r>
    </w:p>
    <w:p w:rsidR="002B55F3" w:rsidRDefault="002B55F3" w:rsidP="002B55F3">
      <w:pPr>
        <w:pStyle w:val="TableNo"/>
      </w:pPr>
      <w:r>
        <w:lastRenderedPageBreak/>
        <w:t>TABLEAU 16</w:t>
      </w:r>
      <w:r>
        <w:t xml:space="preserve"> (</w:t>
      </w:r>
      <w:r>
        <w:rPr>
          <w:i/>
          <w:iCs/>
        </w:rPr>
        <w:t>fin</w:t>
      </w:r>
      <w:r>
        <w:t>)</w:t>
      </w:r>
    </w:p>
    <w:tbl>
      <w:tblPr>
        <w:tblW w:w="0" w:type="auto"/>
        <w:jc w:val="center"/>
        <w:tblLayout w:type="fixed"/>
        <w:tblLook w:val="0000" w:firstRow="0" w:lastRow="0" w:firstColumn="0" w:lastColumn="0" w:noHBand="0" w:noVBand="0"/>
      </w:tblPr>
      <w:tblGrid>
        <w:gridCol w:w="1885"/>
        <w:gridCol w:w="982"/>
        <w:gridCol w:w="992"/>
        <w:gridCol w:w="992"/>
        <w:gridCol w:w="1098"/>
        <w:gridCol w:w="6"/>
      </w:tblGrid>
      <w:tr w:rsidR="002B55F3" w:rsidRPr="00C35654" w:rsidTr="005D1573">
        <w:trPr>
          <w:jc w:val="center"/>
        </w:trPr>
        <w:tc>
          <w:tcPr>
            <w:tcW w:w="1885" w:type="dxa"/>
            <w:vMerge w:val="restart"/>
            <w:tcBorders>
              <w:top w:val="single" w:sz="6" w:space="0" w:color="auto"/>
              <w:left w:val="single" w:sz="6" w:space="0" w:color="auto"/>
              <w:bottom w:val="single" w:sz="6" w:space="0" w:color="auto"/>
              <w:right w:val="single" w:sz="6" w:space="0" w:color="auto"/>
            </w:tcBorders>
          </w:tcPr>
          <w:p w:rsidR="002B55F3" w:rsidRPr="00C35654" w:rsidRDefault="002B55F3" w:rsidP="005D1573">
            <w:pPr>
              <w:pStyle w:val="Tablehead"/>
            </w:pPr>
            <w:r w:rsidRPr="00C35654">
              <w:t>RATG disponibles</w:t>
            </w:r>
          </w:p>
        </w:tc>
        <w:tc>
          <w:tcPr>
            <w:tcW w:w="4070" w:type="dxa"/>
            <w:gridSpan w:val="5"/>
            <w:tcBorders>
              <w:top w:val="single" w:sz="6" w:space="0" w:color="auto"/>
              <w:left w:val="single" w:sz="6" w:space="0" w:color="auto"/>
              <w:bottom w:val="single" w:sz="6" w:space="0" w:color="auto"/>
              <w:right w:val="single" w:sz="6" w:space="0" w:color="auto"/>
            </w:tcBorders>
          </w:tcPr>
          <w:p w:rsidR="002B55F3" w:rsidRPr="00C35654" w:rsidRDefault="002B55F3" w:rsidP="005D1573">
            <w:pPr>
              <w:pStyle w:val="Tablehead"/>
            </w:pPr>
            <w:r w:rsidRPr="00C35654">
              <w:t xml:space="preserve">Taux de distribution </w:t>
            </w:r>
            <w:r>
              <w:t>(</w:t>
            </w:r>
            <w:r w:rsidRPr="00C35654">
              <w:t>%</w:t>
            </w:r>
            <w:r>
              <w:t>)</w:t>
            </w:r>
          </w:p>
        </w:tc>
      </w:tr>
      <w:tr w:rsidR="002B55F3" w:rsidRPr="00C35654" w:rsidTr="005D1573">
        <w:trPr>
          <w:jc w:val="center"/>
        </w:trPr>
        <w:tc>
          <w:tcPr>
            <w:tcW w:w="1885" w:type="dxa"/>
            <w:vMerge/>
            <w:tcBorders>
              <w:top w:val="single" w:sz="6" w:space="0" w:color="auto"/>
              <w:left w:val="single" w:sz="6" w:space="0" w:color="auto"/>
              <w:bottom w:val="single" w:sz="6" w:space="0" w:color="auto"/>
              <w:right w:val="single" w:sz="6" w:space="0" w:color="auto"/>
            </w:tcBorders>
          </w:tcPr>
          <w:p w:rsidR="002B55F3" w:rsidRPr="00C35654" w:rsidRDefault="002B55F3" w:rsidP="005D1573">
            <w:pPr>
              <w:pStyle w:val="Tablehead"/>
            </w:pPr>
          </w:p>
        </w:tc>
        <w:tc>
          <w:tcPr>
            <w:tcW w:w="982" w:type="dxa"/>
            <w:tcBorders>
              <w:top w:val="single" w:sz="6" w:space="0" w:color="auto"/>
              <w:left w:val="single" w:sz="6" w:space="0" w:color="auto"/>
              <w:bottom w:val="single" w:sz="6" w:space="0" w:color="auto"/>
              <w:right w:val="single" w:sz="6" w:space="0" w:color="auto"/>
            </w:tcBorders>
          </w:tcPr>
          <w:p w:rsidR="002B55F3" w:rsidRPr="00C35654" w:rsidRDefault="002B55F3" w:rsidP="005D1573">
            <w:pPr>
              <w:pStyle w:val="Tablehead"/>
            </w:pPr>
            <w:r w:rsidRPr="00C35654">
              <w:t>RATG1</w:t>
            </w:r>
          </w:p>
        </w:tc>
        <w:tc>
          <w:tcPr>
            <w:tcW w:w="992" w:type="dxa"/>
            <w:tcBorders>
              <w:top w:val="single" w:sz="6" w:space="0" w:color="auto"/>
              <w:left w:val="single" w:sz="6" w:space="0" w:color="auto"/>
              <w:bottom w:val="single" w:sz="6" w:space="0" w:color="auto"/>
              <w:right w:val="single" w:sz="6" w:space="0" w:color="auto"/>
            </w:tcBorders>
          </w:tcPr>
          <w:p w:rsidR="002B55F3" w:rsidRPr="00C35654" w:rsidRDefault="002B55F3" w:rsidP="005D1573">
            <w:pPr>
              <w:pStyle w:val="Tablehead"/>
            </w:pPr>
            <w:r w:rsidRPr="00C35654">
              <w:t>RATG2</w:t>
            </w:r>
          </w:p>
        </w:tc>
        <w:tc>
          <w:tcPr>
            <w:tcW w:w="992" w:type="dxa"/>
            <w:tcBorders>
              <w:top w:val="single" w:sz="6" w:space="0" w:color="auto"/>
              <w:left w:val="single" w:sz="6" w:space="0" w:color="auto"/>
              <w:bottom w:val="single" w:sz="6" w:space="0" w:color="auto"/>
              <w:right w:val="single" w:sz="6" w:space="0" w:color="auto"/>
            </w:tcBorders>
          </w:tcPr>
          <w:p w:rsidR="002B55F3" w:rsidRPr="00C35654" w:rsidRDefault="002B55F3" w:rsidP="005D1573">
            <w:pPr>
              <w:pStyle w:val="Tablehead"/>
            </w:pPr>
            <w:r w:rsidRPr="00C35654">
              <w:t>RATG3</w:t>
            </w:r>
          </w:p>
        </w:tc>
        <w:tc>
          <w:tcPr>
            <w:tcW w:w="1104" w:type="dxa"/>
            <w:gridSpan w:val="2"/>
            <w:tcBorders>
              <w:top w:val="single" w:sz="6" w:space="0" w:color="auto"/>
              <w:left w:val="single" w:sz="6" w:space="0" w:color="auto"/>
              <w:bottom w:val="single" w:sz="6" w:space="0" w:color="auto"/>
              <w:right w:val="single" w:sz="6" w:space="0" w:color="auto"/>
            </w:tcBorders>
          </w:tcPr>
          <w:p w:rsidR="002B55F3" w:rsidRPr="00C35654" w:rsidRDefault="002B55F3" w:rsidP="005D1573">
            <w:pPr>
              <w:pStyle w:val="Tablehead"/>
            </w:pPr>
            <w:r w:rsidRPr="00C35654">
              <w:t>RATG4</w:t>
            </w:r>
          </w:p>
        </w:tc>
      </w:tr>
      <w:tr w:rsidR="00FE0045" w:rsidTr="001C53A6">
        <w:trPr>
          <w:gridAfter w:val="1"/>
          <w:wAfter w:w="6" w:type="dxa"/>
          <w:jc w:val="center"/>
        </w:trPr>
        <w:tc>
          <w:tcPr>
            <w:tcW w:w="1885"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1, 2, 4</w:t>
            </w:r>
          </w:p>
        </w:tc>
        <w:tc>
          <w:tcPr>
            <w:tcW w:w="98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10</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10</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1098"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80</w:t>
            </w:r>
          </w:p>
        </w:tc>
      </w:tr>
      <w:tr w:rsidR="00FE0045" w:rsidTr="001C53A6">
        <w:trPr>
          <w:gridAfter w:val="1"/>
          <w:wAfter w:w="6" w:type="dxa"/>
          <w:jc w:val="center"/>
        </w:trPr>
        <w:tc>
          <w:tcPr>
            <w:tcW w:w="1885" w:type="dxa"/>
            <w:tcBorders>
              <w:top w:val="single" w:sz="6" w:space="0" w:color="auto"/>
              <w:left w:val="single" w:sz="6" w:space="0" w:color="auto"/>
              <w:bottom w:val="single" w:sz="6" w:space="0" w:color="auto"/>
              <w:right w:val="single" w:sz="6" w:space="0" w:color="auto"/>
            </w:tcBorders>
          </w:tcPr>
          <w:p w:rsidR="00FE0045" w:rsidRDefault="002B55F3" w:rsidP="001C53A6">
            <w:pPr>
              <w:pStyle w:val="Tabletext"/>
              <w:jc w:val="center"/>
            </w:pPr>
            <w:r>
              <w:rPr>
                <w:sz w:val="24"/>
              </w:rPr>
              <w:br w:type="page"/>
            </w:r>
            <w:r w:rsidR="00FE0045">
              <w:t>1, 3, 4</w:t>
            </w:r>
          </w:p>
        </w:tc>
        <w:tc>
          <w:tcPr>
            <w:tcW w:w="98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10</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10</w:t>
            </w:r>
          </w:p>
        </w:tc>
        <w:tc>
          <w:tcPr>
            <w:tcW w:w="1098"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80</w:t>
            </w:r>
          </w:p>
        </w:tc>
      </w:tr>
      <w:tr w:rsidR="00FE0045" w:rsidTr="001C53A6">
        <w:trPr>
          <w:gridAfter w:val="1"/>
          <w:wAfter w:w="6" w:type="dxa"/>
          <w:jc w:val="center"/>
        </w:trPr>
        <w:tc>
          <w:tcPr>
            <w:tcW w:w="1885"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2, 3, 4</w:t>
            </w:r>
          </w:p>
        </w:tc>
        <w:tc>
          <w:tcPr>
            <w:tcW w:w="98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10</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10</w:t>
            </w:r>
          </w:p>
        </w:tc>
        <w:tc>
          <w:tcPr>
            <w:tcW w:w="1098"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80</w:t>
            </w:r>
          </w:p>
        </w:tc>
      </w:tr>
      <w:tr w:rsidR="00FE0045" w:rsidTr="001C53A6">
        <w:trPr>
          <w:gridAfter w:val="1"/>
          <w:wAfter w:w="6" w:type="dxa"/>
          <w:jc w:val="center"/>
        </w:trPr>
        <w:tc>
          <w:tcPr>
            <w:tcW w:w="1885"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1, 2, 3, 4</w:t>
            </w:r>
          </w:p>
        </w:tc>
        <w:tc>
          <w:tcPr>
            <w:tcW w:w="98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10</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10</w:t>
            </w:r>
          </w:p>
        </w:tc>
        <w:tc>
          <w:tcPr>
            <w:tcW w:w="992"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10</w:t>
            </w:r>
          </w:p>
        </w:tc>
        <w:tc>
          <w:tcPr>
            <w:tcW w:w="1098" w:type="dxa"/>
            <w:tcBorders>
              <w:top w:val="single" w:sz="6" w:space="0" w:color="auto"/>
              <w:left w:val="single" w:sz="6" w:space="0" w:color="auto"/>
              <w:bottom w:val="single" w:sz="6" w:space="0" w:color="auto"/>
              <w:right w:val="single" w:sz="6" w:space="0" w:color="auto"/>
            </w:tcBorders>
          </w:tcPr>
          <w:p w:rsidR="00FE0045" w:rsidRDefault="00FE0045" w:rsidP="001C53A6">
            <w:pPr>
              <w:pStyle w:val="Tabletext"/>
              <w:jc w:val="center"/>
            </w:pPr>
            <w:r>
              <w:t>70</w:t>
            </w:r>
          </w:p>
        </w:tc>
      </w:tr>
    </w:tbl>
    <w:p w:rsidR="00FE0045" w:rsidRDefault="00FE0045" w:rsidP="00FE0045">
      <w:pPr>
        <w:pStyle w:val="Tablefin"/>
        <w:rPr>
          <w:kern w:val="28"/>
        </w:rPr>
      </w:pPr>
    </w:p>
    <w:p w:rsidR="00FE0045" w:rsidRDefault="00FE0045" w:rsidP="00FE0045">
      <w:pPr>
        <w:rPr>
          <w:kern w:val="28"/>
        </w:rPr>
      </w:pPr>
      <w:r>
        <w:rPr>
          <w:kern w:val="28"/>
        </w:rPr>
        <w:t xml:space="preserve">Au cours de la </w:t>
      </w:r>
      <w:r w:rsidRPr="00492B60">
        <w:rPr>
          <w:i/>
          <w:kern w:val="28"/>
        </w:rPr>
        <w:t>Phase</w:t>
      </w:r>
      <w:r>
        <w:rPr>
          <w:kern w:val="28"/>
        </w:rPr>
        <w:t xml:space="preserve"> 3, le trafic est réparti entre les environnements radioélectriques en fonction des taux de mobilité et des pourcentages de couverture.</w:t>
      </w:r>
    </w:p>
    <w:p w:rsidR="00FE0045" w:rsidRDefault="00FE0045" w:rsidP="00FE0045">
      <w:r>
        <w:t>La méthodologie définit les catégories de mobilité «stationnaire/piéton», «faible» et «forte». La correspondance entre ces catégories de mobilité et les environnements radioélectriques est la suivante:</w:t>
      </w:r>
    </w:p>
    <w:p w:rsidR="00FE0045" w:rsidRDefault="00FE0045" w:rsidP="00FE0045">
      <w:pPr>
        <w:pStyle w:val="enumlev2"/>
      </w:pPr>
      <w:r>
        <w:t>Forte mobilité:</w:t>
      </w:r>
      <w:r>
        <w:tab/>
      </w:r>
      <w:r>
        <w:tab/>
        <w:t>Macrocellules uniquement</w:t>
      </w:r>
    </w:p>
    <w:p w:rsidR="00FE0045" w:rsidRDefault="00FE0045" w:rsidP="00FE0045">
      <w:pPr>
        <w:pStyle w:val="enumlev2"/>
      </w:pPr>
      <w:r>
        <w:t>Faible mobilité:</w:t>
      </w:r>
      <w:r>
        <w:tab/>
      </w:r>
      <w:r>
        <w:tab/>
        <w:t>Microcellules et macrocellules</w:t>
      </w:r>
    </w:p>
    <w:p w:rsidR="00FE0045" w:rsidRDefault="00FE0045" w:rsidP="00FE0045">
      <w:pPr>
        <w:pStyle w:val="enumlev2"/>
      </w:pPr>
      <w:r>
        <w:t>Stationnaire/piéton:</w:t>
      </w:r>
      <w:r>
        <w:tab/>
      </w:r>
      <w:r>
        <w:tab/>
        <w:t>Tous les environnements radioélectriques.</w:t>
      </w:r>
    </w:p>
    <w:p w:rsidR="00FE0045" w:rsidRDefault="00FE0045" w:rsidP="00FE0045">
      <w:r>
        <w:t xml:space="preserve">Cette correspondance entre les catégories de mobilité et les environnements radioélectriques est supposée être la même pour tous les RATG. Le choix des gammes de vitesses applicables aux catégories de mobilité et de la vitesse maximale que peut offrir chaque environnement radioélectrique est effectué sur cette base. </w:t>
      </w:r>
    </w:p>
    <w:p w:rsidR="00FE0045" w:rsidRDefault="00FE0045" w:rsidP="00FE0045">
      <w:r>
        <w:t>Le trafic est distribué en privilégiant l'environnement radioélectrique qui offre la mobilité la plus faible avec laquelle il soit possible de satisfaire les besoins. L'application de ce principe est due au fait que la capacité et l'efficacité spectrale qu'offrent les points d'accès publics et les picocellules sont généralement supérieures à celles que permettent d'obtenir les microcellules. Il en va de même pour la relation entre microcellules et macrocellules. Si l'on appliquait ce seul principe, la quasi</w:t>
      </w:r>
      <w:r>
        <w:noBreakHyphen/>
        <w:t xml:space="preserve">totalité du trafic stationnaire/piéton serait affecté aux points d'accès publics et aux picocellules, l'ensemble du trafic de faible mobilité aux microcellules et la totalité du trafic de forte mobilité aux macrocellules (à condition toutefois que les environnements radioélectriques correspondants soient disponibles; autrement, le trafic serait affecté à l'environnement radioélectrique qui, après celui-ci, pourrait prendre en charge la catégorie de mobilité supérieure). Toutefois, dans la pratique, les environnements radioélectriques (les picocellules, par exemple) ne couvrent chacun qu'un certain pourcentage </w:t>
      </w:r>
      <w:r w:rsidRPr="00492B60">
        <w:rPr>
          <w:i/>
        </w:rPr>
        <w:t>X</w:t>
      </w:r>
      <w:r>
        <w:t>, de la surface totale d'un environnement de service particulier.</w:t>
      </w:r>
    </w:p>
    <w:p w:rsidR="00FE0045" w:rsidRDefault="00FE0045" w:rsidP="00FE0045">
      <w:r>
        <w:t>Le Tableau 9 indique le pourcentage de la population qui est desservi par chaque environnement radioélectrique dans chaque environnement de service. Ce pourcentage ne dépend pas du RATG. Toutefois, si un RATG donné n'offre pas un environnement radioélectrique particulier, la valeur zéro devra être attribuée au débit de données à la périphérie de la cellule correspondante de cette combinaison RATG/environnement radioélectrique, afin qu'au cours de la Phase 1 de la répartition du trafic, le taux de distribution correspondant puisse, lui aussi, se voir attribuer une valeur nulle.</w:t>
      </w:r>
    </w:p>
    <w:p w:rsidR="00FE0045" w:rsidRDefault="00FE0045" w:rsidP="00FE0045">
      <w:r>
        <w:t xml:space="preserve">Le pourcentage de la population desservi impose une limite à la densité de trafic qui peut être attribuée à cet environnement radioélectrique. Si l'on utilise les pourcentages de la population desservis </w:t>
      </w:r>
      <w:r w:rsidRPr="00492B60">
        <w:rPr>
          <w:i/>
        </w:rPr>
        <w:t>X</w:t>
      </w:r>
      <w:r w:rsidRPr="00492B60">
        <w:rPr>
          <w:i/>
          <w:vertAlign w:val="subscript"/>
        </w:rPr>
        <w:t>hs</w:t>
      </w:r>
      <w:r>
        <w:t xml:space="preserve">, </w:t>
      </w:r>
      <w:r w:rsidRPr="00492B60">
        <w:rPr>
          <w:i/>
        </w:rPr>
        <w:t>X</w:t>
      </w:r>
      <w:r w:rsidRPr="00492B60">
        <w:rPr>
          <w:i/>
          <w:vertAlign w:val="subscript"/>
        </w:rPr>
        <w:t>pico</w:t>
      </w:r>
      <w:r>
        <w:t xml:space="preserve">, </w:t>
      </w:r>
      <w:r w:rsidRPr="00492B60">
        <w:rPr>
          <w:i/>
        </w:rPr>
        <w:t>X</w:t>
      </w:r>
      <w:r w:rsidRPr="00492B60">
        <w:rPr>
          <w:i/>
          <w:vertAlign w:val="subscript"/>
        </w:rPr>
        <w:t>micro</w:t>
      </w:r>
      <w:r>
        <w:t xml:space="preserve"> et </w:t>
      </w:r>
      <w:r w:rsidRPr="00492B60">
        <w:rPr>
          <w:i/>
        </w:rPr>
        <w:t>X</w:t>
      </w:r>
      <w:r w:rsidRPr="00492B60">
        <w:rPr>
          <w:i/>
          <w:vertAlign w:val="subscript"/>
        </w:rPr>
        <w:t>macro</w:t>
      </w:r>
      <w:r>
        <w:t>, qui correspondent respectivement aux points d'accès publics, aux picocellules, aux microcellules et aux macrocellules, l'algorithme répartit le trafic entre ces environnements radioélectriques de la manière suivante:</w:t>
      </w:r>
    </w:p>
    <w:p w:rsidR="00FE0045" w:rsidRPr="00C473E5" w:rsidRDefault="00FE0045" w:rsidP="001534E0">
      <w:pPr>
        <w:pStyle w:val="Equation"/>
        <w:keepNext/>
        <w:keepLines/>
        <w:rPr>
          <w:lang w:val="en-US"/>
        </w:rPr>
      </w:pPr>
      <w:r w:rsidRPr="001555A0">
        <w:lastRenderedPageBreak/>
        <w:tab/>
      </w:r>
      <w:r w:rsidRPr="001555A0">
        <w:tab/>
      </w:r>
      <w:r w:rsidRPr="001555A0">
        <w:sym w:font="Symbol" w:char="F078"/>
      </w:r>
      <w:r w:rsidRPr="00492B60">
        <w:rPr>
          <w:i/>
          <w:vertAlign w:val="subscript"/>
          <w:lang w:val="en-US"/>
        </w:rPr>
        <w:t>pico</w:t>
      </w:r>
      <w:r w:rsidRPr="00C473E5">
        <w:rPr>
          <w:vertAlign w:val="subscript"/>
          <w:lang w:val="en-US"/>
        </w:rPr>
        <w:t>&amp;</w:t>
      </w:r>
      <w:r w:rsidRPr="00492B60">
        <w:rPr>
          <w:i/>
          <w:vertAlign w:val="subscript"/>
          <w:lang w:val="en-US"/>
        </w:rPr>
        <w:t>hs</w:t>
      </w:r>
      <w:r w:rsidRPr="00C473E5">
        <w:rPr>
          <w:lang w:val="en-US"/>
        </w:rPr>
        <w:t xml:space="preserve"> = min(</w:t>
      </w:r>
      <w:r w:rsidRPr="00492B60">
        <w:rPr>
          <w:i/>
          <w:lang w:val="en-US"/>
        </w:rPr>
        <w:t>X</w:t>
      </w:r>
      <w:r w:rsidRPr="00492B60">
        <w:rPr>
          <w:i/>
          <w:vertAlign w:val="subscript"/>
          <w:lang w:val="en-US"/>
        </w:rPr>
        <w:t>pico</w:t>
      </w:r>
      <w:r w:rsidRPr="00C473E5">
        <w:rPr>
          <w:vertAlign w:val="subscript"/>
          <w:lang w:val="en-US"/>
        </w:rPr>
        <w:t xml:space="preserve"> </w:t>
      </w:r>
      <w:r w:rsidRPr="00C473E5">
        <w:rPr>
          <w:lang w:val="en-US"/>
        </w:rPr>
        <w:t xml:space="preserve">+ </w:t>
      </w:r>
      <w:r w:rsidRPr="00492B60">
        <w:rPr>
          <w:i/>
          <w:lang w:val="en-US"/>
        </w:rPr>
        <w:t>X</w:t>
      </w:r>
      <w:r w:rsidRPr="00492B60">
        <w:rPr>
          <w:i/>
          <w:vertAlign w:val="subscript"/>
          <w:lang w:val="en-US"/>
        </w:rPr>
        <w:t>hs</w:t>
      </w:r>
      <w:r w:rsidRPr="00C473E5">
        <w:rPr>
          <w:lang w:val="en-US"/>
        </w:rPr>
        <w:t xml:space="preserve">, </w:t>
      </w:r>
      <w:r w:rsidRPr="00C473E5">
        <w:rPr>
          <w:i/>
          <w:lang w:val="en-US"/>
        </w:rPr>
        <w:t>MR_sm</w:t>
      </w:r>
      <w:r w:rsidRPr="00C473E5">
        <w:rPr>
          <w:lang w:val="en-US"/>
        </w:rPr>
        <w:t>)</w:t>
      </w:r>
      <w:r w:rsidRPr="00C473E5">
        <w:rPr>
          <w:lang w:val="en-US"/>
        </w:rPr>
        <w:tab/>
      </w:r>
      <w:r w:rsidRPr="00C473E5">
        <w:rPr>
          <w:lang w:val="en-US" w:eastAsia="ko-KR"/>
        </w:rPr>
        <w:t>(9)</w:t>
      </w:r>
    </w:p>
    <w:p w:rsidR="00FE0045" w:rsidRPr="00C473E5" w:rsidRDefault="00FE0045" w:rsidP="001534E0">
      <w:pPr>
        <w:pStyle w:val="Equation"/>
        <w:keepNext/>
        <w:keepLines/>
        <w:rPr>
          <w:lang w:val="en-US"/>
        </w:rPr>
      </w:pPr>
      <w:r w:rsidRPr="00C473E5">
        <w:rPr>
          <w:lang w:val="en-US"/>
        </w:rPr>
        <w:tab/>
      </w:r>
      <w:r w:rsidRPr="00C473E5">
        <w:rPr>
          <w:lang w:val="en-US"/>
        </w:rPr>
        <w:tab/>
      </w:r>
      <w:r w:rsidRPr="001555A0">
        <w:sym w:font="Symbol" w:char="F078"/>
      </w:r>
      <w:r w:rsidRPr="00492B60">
        <w:rPr>
          <w:i/>
          <w:vertAlign w:val="subscript"/>
          <w:lang w:val="en-US"/>
        </w:rPr>
        <w:t>micro</w:t>
      </w:r>
      <w:r w:rsidRPr="00C473E5">
        <w:rPr>
          <w:lang w:val="en-US"/>
        </w:rPr>
        <w:t xml:space="preserve"> = min(</w:t>
      </w:r>
      <w:r w:rsidRPr="00492B60">
        <w:rPr>
          <w:i/>
          <w:lang w:val="en-US"/>
        </w:rPr>
        <w:t>X</w:t>
      </w:r>
      <w:r w:rsidRPr="00492B60">
        <w:rPr>
          <w:i/>
          <w:vertAlign w:val="subscript"/>
          <w:lang w:val="en-US"/>
        </w:rPr>
        <w:t>micro</w:t>
      </w:r>
      <w:r w:rsidRPr="00C473E5">
        <w:rPr>
          <w:lang w:val="en-US"/>
        </w:rPr>
        <w:t>, (</w:t>
      </w:r>
      <w:r w:rsidRPr="00C473E5">
        <w:rPr>
          <w:i/>
          <w:lang w:val="en-US"/>
        </w:rPr>
        <w:t>MR_sm</w:t>
      </w:r>
      <w:r w:rsidRPr="00C473E5">
        <w:rPr>
          <w:lang w:val="en-US"/>
        </w:rPr>
        <w:t xml:space="preserve"> + </w:t>
      </w:r>
      <w:r w:rsidRPr="00C473E5">
        <w:rPr>
          <w:i/>
          <w:lang w:val="en-US"/>
        </w:rPr>
        <w:t>MR_lm</w:t>
      </w:r>
      <w:r w:rsidRPr="00C473E5">
        <w:rPr>
          <w:lang w:val="en-US"/>
        </w:rPr>
        <w:t xml:space="preserve">) − </w:t>
      </w:r>
      <w:r w:rsidRPr="001555A0">
        <w:sym w:font="Symbol" w:char="F078"/>
      </w:r>
      <w:r w:rsidRPr="00492B60">
        <w:rPr>
          <w:i/>
          <w:vertAlign w:val="subscript"/>
          <w:lang w:val="en-US"/>
        </w:rPr>
        <w:t>pico</w:t>
      </w:r>
      <w:r w:rsidRPr="00C473E5">
        <w:rPr>
          <w:vertAlign w:val="subscript"/>
          <w:lang w:val="en-US"/>
        </w:rPr>
        <w:t>&amp;</w:t>
      </w:r>
      <w:r w:rsidRPr="00492B60">
        <w:rPr>
          <w:i/>
          <w:vertAlign w:val="subscript"/>
          <w:lang w:val="en-US"/>
        </w:rPr>
        <w:t>hs</w:t>
      </w:r>
      <w:r w:rsidRPr="00C473E5">
        <w:rPr>
          <w:lang w:val="en-US"/>
        </w:rPr>
        <w:t>)</w:t>
      </w:r>
      <w:r w:rsidRPr="00C473E5">
        <w:rPr>
          <w:lang w:val="en-US"/>
        </w:rPr>
        <w:tab/>
      </w:r>
      <w:r w:rsidRPr="00C473E5">
        <w:rPr>
          <w:lang w:val="en-US" w:eastAsia="ko-KR"/>
        </w:rPr>
        <w:t>(10)</w:t>
      </w:r>
    </w:p>
    <w:p w:rsidR="00FE0045" w:rsidRPr="001555A0" w:rsidRDefault="00FE0045" w:rsidP="001534E0">
      <w:pPr>
        <w:pStyle w:val="Equation"/>
        <w:keepNext/>
        <w:keepLines/>
      </w:pPr>
      <w:r w:rsidRPr="00C473E5">
        <w:rPr>
          <w:lang w:val="en-US"/>
        </w:rPr>
        <w:tab/>
      </w:r>
      <w:r w:rsidRPr="00C473E5">
        <w:rPr>
          <w:lang w:val="en-US"/>
        </w:rPr>
        <w:tab/>
      </w:r>
      <w:r w:rsidRPr="001555A0">
        <w:sym w:font="Symbol" w:char="F078"/>
      </w:r>
      <w:r w:rsidRPr="00492B60">
        <w:rPr>
          <w:i/>
          <w:vertAlign w:val="subscript"/>
        </w:rPr>
        <w:t>macro</w:t>
      </w:r>
      <w:r w:rsidRPr="001555A0">
        <w:t xml:space="preserve"> = 1 − </w:t>
      </w:r>
      <w:r w:rsidRPr="001555A0">
        <w:sym w:font="Symbol" w:char="F078"/>
      </w:r>
      <w:r w:rsidRPr="00492B60">
        <w:rPr>
          <w:i/>
          <w:vertAlign w:val="subscript"/>
        </w:rPr>
        <w:t>pico</w:t>
      </w:r>
      <w:r w:rsidRPr="001555A0">
        <w:rPr>
          <w:vertAlign w:val="subscript"/>
        </w:rPr>
        <w:t>&amp;</w:t>
      </w:r>
      <w:r w:rsidRPr="00492B60">
        <w:rPr>
          <w:i/>
          <w:vertAlign w:val="subscript"/>
        </w:rPr>
        <w:t>hs</w:t>
      </w:r>
      <w:r w:rsidRPr="001555A0">
        <w:t xml:space="preserve"> − </w:t>
      </w:r>
      <w:r w:rsidRPr="001555A0">
        <w:sym w:font="Symbol" w:char="F078"/>
      </w:r>
      <w:r w:rsidRPr="00492B60">
        <w:rPr>
          <w:i/>
          <w:vertAlign w:val="subscript"/>
        </w:rPr>
        <w:t>micro</w:t>
      </w:r>
      <w:r w:rsidRPr="001555A0">
        <w:rPr>
          <w:vertAlign w:val="subscript"/>
        </w:rPr>
        <w:tab/>
      </w:r>
      <w:r w:rsidRPr="001555A0">
        <w:rPr>
          <w:lang w:eastAsia="ko-KR"/>
        </w:rPr>
        <w:t>(11)</w:t>
      </w:r>
    </w:p>
    <w:p w:rsidR="00FE0045" w:rsidRPr="00D80341" w:rsidRDefault="00FE0045" w:rsidP="00FE0045">
      <w:pPr>
        <w:pStyle w:val="Blanc"/>
        <w:rPr>
          <w:lang w:val="fr-CH"/>
        </w:rPr>
      </w:pPr>
    </w:p>
    <w:p w:rsidR="00FE0045" w:rsidRDefault="00FE0045" w:rsidP="00FE0045">
      <w:r>
        <w:rPr>
          <w:i/>
          <w:iCs/>
        </w:rPr>
        <w:t xml:space="preserve">MR_sm </w:t>
      </w:r>
      <w:r>
        <w:t xml:space="preserve">et </w:t>
      </w:r>
      <w:r>
        <w:rPr>
          <w:i/>
          <w:iCs/>
        </w:rPr>
        <w:t>MR_lm</w:t>
      </w:r>
      <w:r>
        <w:t xml:space="preserve"> représentent les taux de trafic offert dans les catégories de mobilité stationnaire et faible respectivement. Ces équations reposent sur l'hypothèse suivante:</w:t>
      </w:r>
    </w:p>
    <w:p w:rsidR="00FE0045" w:rsidRPr="00D80341" w:rsidRDefault="00FE0045" w:rsidP="00FE0045">
      <w:pPr>
        <w:pStyle w:val="Equation"/>
        <w:rPr>
          <w:lang w:val="fr-CH"/>
        </w:rPr>
      </w:pPr>
      <w:r w:rsidRPr="001555A0">
        <w:tab/>
      </w:r>
      <w:r w:rsidRPr="001555A0">
        <w:tab/>
      </w:r>
      <w:r w:rsidRPr="00D80341">
        <w:rPr>
          <w:i/>
          <w:lang w:val="fr-CH"/>
        </w:rPr>
        <w:t>MR_sm</w:t>
      </w:r>
      <w:r w:rsidRPr="00D80341">
        <w:rPr>
          <w:lang w:val="fr-CH"/>
        </w:rPr>
        <w:t xml:space="preserve"> + </w:t>
      </w:r>
      <w:r w:rsidRPr="00D80341">
        <w:rPr>
          <w:i/>
          <w:lang w:val="fr-CH"/>
        </w:rPr>
        <w:t>MR_lm</w:t>
      </w:r>
      <w:r w:rsidRPr="00D80341">
        <w:rPr>
          <w:lang w:val="fr-CH"/>
        </w:rPr>
        <w:t xml:space="preserve"> + </w:t>
      </w:r>
      <w:r w:rsidRPr="00D80341">
        <w:rPr>
          <w:i/>
          <w:lang w:val="fr-CH"/>
        </w:rPr>
        <w:t>MR_hm</w:t>
      </w:r>
      <w:r w:rsidRPr="00D80341">
        <w:rPr>
          <w:lang w:val="fr-CH"/>
        </w:rPr>
        <w:t xml:space="preserve"> = 1</w:t>
      </w:r>
      <w:r w:rsidRPr="00D80341">
        <w:rPr>
          <w:lang w:val="fr-CH"/>
        </w:rPr>
        <w:tab/>
      </w:r>
      <w:r w:rsidRPr="00D80341">
        <w:rPr>
          <w:lang w:val="fr-CH" w:eastAsia="ko-KR"/>
        </w:rPr>
        <w:t>(12)</w:t>
      </w:r>
    </w:p>
    <w:p w:rsidR="00FE0045" w:rsidRDefault="00FE0045" w:rsidP="00FE0045">
      <w:r>
        <w:t>Le trafic est réparti entre les points d'accès publics et les picocellules en tenant compte du rapport entre les taux de couverture de la population de ces cellules.</w:t>
      </w:r>
    </w:p>
    <w:p w:rsidR="00FE0045" w:rsidRPr="009B11DE" w:rsidRDefault="00FE0045" w:rsidP="00FE0045">
      <w:pPr>
        <w:pStyle w:val="Equation"/>
        <w:rPr>
          <w:lang w:val="es-ES_tradnl"/>
        </w:rPr>
      </w:pPr>
      <w:r w:rsidRPr="001555A0">
        <w:tab/>
      </w:r>
      <w:r w:rsidRPr="001555A0">
        <w:tab/>
      </w:r>
      <w:r w:rsidRPr="001555A0">
        <w:sym w:font="Symbol" w:char="F078"/>
      </w:r>
      <w:r w:rsidRPr="00492B60">
        <w:rPr>
          <w:i/>
          <w:vertAlign w:val="subscript"/>
          <w:lang w:val="es-ES_tradnl"/>
        </w:rPr>
        <w:t>hs</w:t>
      </w:r>
      <w:r w:rsidRPr="009B11DE">
        <w:rPr>
          <w:lang w:val="es-ES_tradnl"/>
        </w:rPr>
        <w:t xml:space="preserve"> = </w:t>
      </w:r>
      <w:r w:rsidRPr="001555A0">
        <w:sym w:font="Symbol" w:char="F078"/>
      </w:r>
      <w:r w:rsidRPr="00492B60">
        <w:rPr>
          <w:i/>
          <w:vertAlign w:val="subscript"/>
          <w:lang w:val="es-ES_tradnl"/>
        </w:rPr>
        <w:t>pico</w:t>
      </w:r>
      <w:r w:rsidRPr="009B11DE">
        <w:rPr>
          <w:vertAlign w:val="subscript"/>
          <w:lang w:val="es-ES_tradnl"/>
        </w:rPr>
        <w:t>&amp;</w:t>
      </w:r>
      <w:r w:rsidRPr="00492B60">
        <w:rPr>
          <w:i/>
          <w:vertAlign w:val="subscript"/>
          <w:lang w:val="es-ES_tradnl"/>
        </w:rPr>
        <w:t>hs</w:t>
      </w:r>
      <w:r>
        <w:rPr>
          <w:lang w:val="es-ES_tradnl"/>
        </w:rPr>
        <w:t xml:space="preserve"> · </w:t>
      </w:r>
      <w:r w:rsidRPr="00591D43">
        <w:rPr>
          <w:i/>
          <w:lang w:val="es-ES_tradnl"/>
        </w:rPr>
        <w:t>X</w:t>
      </w:r>
      <w:r w:rsidRPr="00591D43">
        <w:rPr>
          <w:i/>
          <w:vertAlign w:val="subscript"/>
          <w:lang w:val="es-ES_tradnl"/>
        </w:rPr>
        <w:t>hs</w:t>
      </w:r>
      <w:r w:rsidRPr="009B11DE">
        <w:rPr>
          <w:lang w:val="es-ES_tradnl"/>
        </w:rPr>
        <w:t>/(</w:t>
      </w:r>
      <w:r w:rsidRPr="00591D43">
        <w:rPr>
          <w:i/>
          <w:lang w:val="es-ES_tradnl"/>
        </w:rPr>
        <w:t>X</w:t>
      </w:r>
      <w:r w:rsidRPr="00591D43">
        <w:rPr>
          <w:i/>
          <w:vertAlign w:val="subscript"/>
          <w:lang w:val="es-ES_tradnl"/>
        </w:rPr>
        <w:t>pico</w:t>
      </w:r>
      <w:r w:rsidRPr="009B11DE">
        <w:rPr>
          <w:vertAlign w:val="subscript"/>
          <w:lang w:val="es-ES_tradnl"/>
        </w:rPr>
        <w:t xml:space="preserve"> </w:t>
      </w:r>
      <w:r w:rsidRPr="009B11DE">
        <w:rPr>
          <w:lang w:val="es-ES_tradnl"/>
        </w:rPr>
        <w:t xml:space="preserve">+ </w:t>
      </w:r>
      <w:r w:rsidRPr="00591D43">
        <w:rPr>
          <w:i/>
          <w:lang w:val="es-ES_tradnl"/>
        </w:rPr>
        <w:t>X</w:t>
      </w:r>
      <w:r w:rsidRPr="00591D43">
        <w:rPr>
          <w:i/>
          <w:vertAlign w:val="subscript"/>
          <w:lang w:val="es-ES_tradnl"/>
        </w:rPr>
        <w:t>hs</w:t>
      </w:r>
      <w:r w:rsidRPr="009B11DE">
        <w:rPr>
          <w:lang w:val="es-ES_tradnl"/>
        </w:rPr>
        <w:t>)</w:t>
      </w:r>
      <w:r w:rsidRPr="009B11DE">
        <w:rPr>
          <w:lang w:val="es-ES_tradnl"/>
        </w:rPr>
        <w:tab/>
      </w:r>
      <w:r w:rsidRPr="009B11DE">
        <w:rPr>
          <w:lang w:val="es-ES_tradnl" w:eastAsia="ko-KR"/>
        </w:rPr>
        <w:t>(13)</w:t>
      </w:r>
    </w:p>
    <w:p w:rsidR="00FE0045" w:rsidRPr="009B11DE" w:rsidRDefault="00FE0045" w:rsidP="00FE0045">
      <w:pPr>
        <w:pStyle w:val="Equation"/>
        <w:rPr>
          <w:lang w:val="es-ES_tradnl"/>
        </w:rPr>
      </w:pPr>
      <w:r w:rsidRPr="009B11DE">
        <w:rPr>
          <w:lang w:val="es-ES_tradnl"/>
        </w:rPr>
        <w:tab/>
      </w:r>
      <w:r w:rsidRPr="009B11DE">
        <w:rPr>
          <w:lang w:val="es-ES_tradnl"/>
        </w:rPr>
        <w:tab/>
      </w:r>
      <w:r w:rsidRPr="001555A0">
        <w:sym w:font="Symbol" w:char="F078"/>
      </w:r>
      <w:r w:rsidRPr="00591D43">
        <w:rPr>
          <w:i/>
          <w:vertAlign w:val="subscript"/>
          <w:lang w:val="es-ES_tradnl"/>
        </w:rPr>
        <w:t>pico</w:t>
      </w:r>
      <w:r w:rsidRPr="009B11DE">
        <w:rPr>
          <w:lang w:val="es-ES_tradnl"/>
        </w:rPr>
        <w:t xml:space="preserve"> = </w:t>
      </w:r>
      <w:r w:rsidRPr="001555A0">
        <w:sym w:font="Symbol" w:char="F078"/>
      </w:r>
      <w:r w:rsidRPr="00591D43">
        <w:rPr>
          <w:i/>
          <w:vertAlign w:val="subscript"/>
          <w:lang w:val="es-ES_tradnl"/>
        </w:rPr>
        <w:t>pico</w:t>
      </w:r>
      <w:r w:rsidRPr="009B11DE">
        <w:rPr>
          <w:vertAlign w:val="subscript"/>
          <w:lang w:val="es-ES_tradnl"/>
        </w:rPr>
        <w:t>&amp;</w:t>
      </w:r>
      <w:r w:rsidRPr="00591D43">
        <w:rPr>
          <w:i/>
          <w:vertAlign w:val="subscript"/>
          <w:lang w:val="es-ES_tradnl"/>
        </w:rPr>
        <w:t>hs</w:t>
      </w:r>
      <w:r>
        <w:rPr>
          <w:lang w:val="es-ES_tradnl"/>
        </w:rPr>
        <w:t xml:space="preserve"> · </w:t>
      </w:r>
      <w:r w:rsidRPr="00591D43">
        <w:rPr>
          <w:i/>
          <w:lang w:val="es-ES_tradnl"/>
        </w:rPr>
        <w:t>X</w:t>
      </w:r>
      <w:r w:rsidRPr="00591D43">
        <w:rPr>
          <w:i/>
          <w:vertAlign w:val="subscript"/>
          <w:lang w:val="es-ES_tradnl"/>
        </w:rPr>
        <w:t>pico</w:t>
      </w:r>
      <w:r w:rsidRPr="009B11DE">
        <w:rPr>
          <w:lang w:val="es-ES_tradnl"/>
        </w:rPr>
        <w:t>/(</w:t>
      </w:r>
      <w:r w:rsidRPr="00591D43">
        <w:rPr>
          <w:i/>
          <w:lang w:val="es-ES_tradnl"/>
        </w:rPr>
        <w:t>X</w:t>
      </w:r>
      <w:r w:rsidRPr="00591D43">
        <w:rPr>
          <w:i/>
          <w:vertAlign w:val="subscript"/>
          <w:lang w:val="es-ES_tradnl"/>
        </w:rPr>
        <w:t>pico</w:t>
      </w:r>
      <w:r w:rsidRPr="009B11DE">
        <w:rPr>
          <w:vertAlign w:val="subscript"/>
          <w:lang w:val="es-ES_tradnl"/>
        </w:rPr>
        <w:t xml:space="preserve"> </w:t>
      </w:r>
      <w:r w:rsidRPr="009B11DE">
        <w:rPr>
          <w:lang w:val="es-ES_tradnl"/>
        </w:rPr>
        <w:t xml:space="preserve">+ </w:t>
      </w:r>
      <w:r w:rsidRPr="00591D43">
        <w:rPr>
          <w:i/>
          <w:lang w:val="es-ES_tradnl"/>
        </w:rPr>
        <w:t>X</w:t>
      </w:r>
      <w:r w:rsidRPr="00591D43">
        <w:rPr>
          <w:i/>
          <w:vertAlign w:val="subscript"/>
          <w:lang w:val="es-ES_tradnl"/>
        </w:rPr>
        <w:t>hs</w:t>
      </w:r>
      <w:r w:rsidRPr="009B11DE">
        <w:rPr>
          <w:lang w:val="es-ES_tradnl"/>
        </w:rPr>
        <w:t>)</w:t>
      </w:r>
      <w:r w:rsidRPr="009B11DE">
        <w:rPr>
          <w:lang w:val="es-ES_tradnl"/>
        </w:rPr>
        <w:tab/>
      </w:r>
      <w:r w:rsidRPr="009B11DE">
        <w:rPr>
          <w:lang w:val="es-ES_tradnl" w:eastAsia="ko-KR"/>
        </w:rPr>
        <w:t>(14)</w:t>
      </w:r>
    </w:p>
    <w:p w:rsidR="001534E0" w:rsidRPr="00D80341" w:rsidRDefault="001534E0" w:rsidP="001534E0">
      <w:pPr>
        <w:pStyle w:val="Blanc"/>
        <w:rPr>
          <w:lang w:val="fr-CH"/>
        </w:rPr>
      </w:pPr>
    </w:p>
    <w:p w:rsidR="00FE0045" w:rsidRDefault="00FE0045" w:rsidP="00FE0045">
      <w:r>
        <w:t>Les catégories de service qui peuvent être assurées au moyen de la multidiffusion font l'objet d'un traitement différent. Elles sont toujours attribuées aux RATG qui offrent ce mode de transmission et la catégorie de service souhaitée et à l'environnement radioélectrique auquel correspondent les plus grandes cellules disponibles; autrement dit, la valeur 1 est attribuée aux taux de distribution pour les cellules les plus vastes correspondant à ces RATG. Il en est ainsi lorsque le service de multidiffusion est assuré simultanément par tous ces RATG. Le taux de la population desservi n'est pas pris en considération dans le cas de la multidiffusion car le trafic acheminé au moyen de cette technique ne tient pas compte de la densité d'utilisateurs. On notera que, de ce fait, une catégorie de service peut être attribuée à plusieurs RATG et que la somme des taux de distribution aux RATG peut être supérieure à l'unité.</w:t>
      </w:r>
    </w:p>
    <w:p w:rsidR="00FE0045" w:rsidRDefault="00FE0045" w:rsidP="00FE0045">
      <w:pPr>
        <w:pStyle w:val="Note"/>
      </w:pPr>
      <w:r>
        <w:t>NOTE 1 – Le fait que le service de multidiffusion de données fournisse le même contenu ou un contenu différent aux différents environnements de service de la même cellule n'est pas pris en ligne de compte dans la méthodologie (les exigences de spectre sont moins grandes lorsque ces données sont les mêmes que lorsqu'elles sont différentes).</w:t>
      </w:r>
    </w:p>
    <w:p w:rsidR="00FE0045" w:rsidRDefault="00FE0045" w:rsidP="00FE0045">
      <w:pPr>
        <w:pStyle w:val="Heading3"/>
      </w:pPr>
      <w:r>
        <w:t>3.6.2</w:t>
      </w:r>
      <w:r>
        <w:tab/>
        <w:t>Répartition des taux d'arrivée des sessions</w:t>
      </w:r>
    </w:p>
    <w:p w:rsidR="00FE0045" w:rsidRDefault="00FE0045" w:rsidP="00FE0045">
      <w:r>
        <w:t xml:space="preserve">Le taux d'arrivée des sessions par unité de surface (sessions/(s </w:t>
      </w:r>
      <w:r>
        <w:sym w:font="Symbol" w:char="F0D7"/>
      </w:r>
      <w:r>
        <w:t xml:space="preserve"> km</w:t>
      </w:r>
      <w:r>
        <w:rPr>
          <w:vertAlign w:val="superscript"/>
        </w:rPr>
        <w:t>2</w:t>
      </w:r>
      <w:r>
        <w:t xml:space="preserve">)) de la catégorie de service </w:t>
      </w:r>
      <w:r>
        <w:rPr>
          <w:i/>
          <w:iCs/>
        </w:rPr>
        <w:t>n</w:t>
      </w:r>
      <w:r>
        <w:t xml:space="preserve"> et de l'environnement de service </w:t>
      </w:r>
      <w:r>
        <w:rPr>
          <w:i/>
          <w:iCs/>
        </w:rPr>
        <w:t>m</w:t>
      </w:r>
      <w:r>
        <w:t xml:space="preserve"> attribué au RATG </w:t>
      </w:r>
      <w:r>
        <w:rPr>
          <w:i/>
          <w:iCs/>
        </w:rPr>
        <w:t>rat</w:t>
      </w:r>
      <w:r>
        <w:t xml:space="preserve"> et à l'environnement radioélectrique </w:t>
      </w:r>
      <w:r>
        <w:rPr>
          <w:i/>
          <w:iCs/>
        </w:rPr>
        <w:t>p</w:t>
      </w:r>
      <w:r>
        <w:t xml:space="preserve"> dans l'intervalle de temps </w:t>
      </w:r>
      <w:r>
        <w:rPr>
          <w:i/>
          <w:iCs/>
        </w:rPr>
        <w:t>t, P</w:t>
      </w:r>
      <w:r>
        <w:rPr>
          <w:i/>
          <w:iCs/>
          <w:vertAlign w:val="subscript"/>
        </w:rPr>
        <w:t>m,t,n,rat,p</w:t>
      </w:r>
      <w:r>
        <w:rPr>
          <w:i/>
          <w:iCs/>
        </w:rPr>
        <w:t>,</w:t>
      </w:r>
      <w:r>
        <w:t xml:space="preserve"> est calculé en fonction du taux de distribution </w:t>
      </w:r>
      <w:r w:rsidRPr="00591D43">
        <w:rPr>
          <w:rFonts w:ascii="Symbol" w:hAnsi="Symbol"/>
          <w:iCs/>
          <w:lang w:val="es-ES"/>
        </w:rPr>
        <w:sym w:font="Symbol" w:char="F078"/>
      </w:r>
      <w:r>
        <w:rPr>
          <w:i/>
          <w:iCs/>
          <w:vertAlign w:val="subscript"/>
        </w:rPr>
        <w:t>m,t,n,rat,p</w:t>
      </w:r>
      <w:r>
        <w:t xml:space="preserve">, de la densité d'utilisateurs </w:t>
      </w:r>
      <w:r>
        <w:rPr>
          <w:i/>
          <w:iCs/>
        </w:rPr>
        <w:t>U</w:t>
      </w:r>
      <w:r>
        <w:rPr>
          <w:i/>
          <w:iCs/>
          <w:vertAlign w:val="subscript"/>
        </w:rPr>
        <w:t>m,t,n</w:t>
      </w:r>
      <w:r>
        <w:rPr>
          <w:i/>
          <w:iCs/>
        </w:rPr>
        <w:t xml:space="preserve"> </w:t>
      </w:r>
      <w:r>
        <w:t xml:space="preserve">et du taux d'arrivée des sessions par utilisateur </w:t>
      </w:r>
      <w:r>
        <w:rPr>
          <w:i/>
          <w:iCs/>
        </w:rPr>
        <w:t>Q</w:t>
      </w:r>
      <w:r>
        <w:rPr>
          <w:i/>
          <w:iCs/>
          <w:vertAlign w:val="subscript"/>
        </w:rPr>
        <w:t>m,t,n</w:t>
      </w:r>
      <w:r>
        <w:t xml:space="preserve"> (qui est donné au § 3.5.2.6), à l'aide de l'équation suivante:</w:t>
      </w:r>
    </w:p>
    <w:p w:rsidR="00FE0045" w:rsidRPr="00673538" w:rsidRDefault="00FE0045" w:rsidP="00FE0045">
      <w:pPr>
        <w:pStyle w:val="Blanc"/>
        <w:rPr>
          <w:lang w:val="fr-FR"/>
        </w:rPr>
      </w:pPr>
    </w:p>
    <w:p w:rsidR="00FE0045" w:rsidRPr="00D80341" w:rsidRDefault="00FE0045" w:rsidP="00FE0045">
      <w:pPr>
        <w:pStyle w:val="Equation"/>
        <w:rPr>
          <w:lang w:val="de-CH" w:eastAsia="ja-JP"/>
        </w:rPr>
      </w:pPr>
      <w:r w:rsidRPr="001555A0">
        <w:tab/>
      </w:r>
      <w:r w:rsidRPr="001555A0">
        <w:tab/>
      </w:r>
      <w:r w:rsidRPr="00D80341">
        <w:rPr>
          <w:i/>
          <w:lang w:val="de-CH"/>
        </w:rPr>
        <w:t>P</w:t>
      </w:r>
      <w:r w:rsidRPr="00D80341">
        <w:rPr>
          <w:i/>
          <w:vertAlign w:val="subscript"/>
          <w:lang w:val="de-CH"/>
        </w:rPr>
        <w:t>m,t,n,rat,p</w:t>
      </w:r>
      <w:r w:rsidRPr="00D80341">
        <w:rPr>
          <w:lang w:val="de-CH"/>
        </w:rPr>
        <w:t xml:space="preserve"> = </w:t>
      </w:r>
      <w:r w:rsidRPr="001555A0">
        <w:rPr>
          <w:lang w:eastAsia="ja-JP"/>
        </w:rPr>
        <w:sym w:font="Symbol" w:char="F078"/>
      </w:r>
      <w:r w:rsidRPr="00D80341">
        <w:rPr>
          <w:i/>
          <w:vertAlign w:val="subscript"/>
          <w:lang w:val="de-CH" w:eastAsia="ja-JP"/>
        </w:rPr>
        <w:t>m,t,n,rat,p</w:t>
      </w:r>
      <w:r w:rsidRPr="00D80341">
        <w:rPr>
          <w:lang w:val="de-CH"/>
        </w:rPr>
        <w:t xml:space="preserve"> </w:t>
      </w:r>
      <w:r w:rsidRPr="001555A0">
        <w:sym w:font="Symbol" w:char="F0D7"/>
      </w:r>
      <w:r w:rsidRPr="00D80341">
        <w:rPr>
          <w:lang w:val="de-CH"/>
        </w:rPr>
        <w:t xml:space="preserve"> </w:t>
      </w:r>
      <w:r w:rsidRPr="00D80341">
        <w:rPr>
          <w:i/>
          <w:lang w:val="de-CH"/>
        </w:rPr>
        <w:t>U</w:t>
      </w:r>
      <w:r w:rsidRPr="00D80341">
        <w:rPr>
          <w:i/>
          <w:vertAlign w:val="subscript"/>
          <w:lang w:val="de-CH"/>
        </w:rPr>
        <w:t>m,t,n</w:t>
      </w:r>
      <w:r w:rsidRPr="00D80341">
        <w:rPr>
          <w:i/>
          <w:lang w:val="de-CH"/>
        </w:rPr>
        <w:t xml:space="preserve"> </w:t>
      </w:r>
      <w:r w:rsidRPr="001555A0">
        <w:sym w:font="Symbol" w:char="F0D7"/>
      </w:r>
      <w:r w:rsidRPr="00D80341">
        <w:rPr>
          <w:lang w:val="de-CH"/>
        </w:rPr>
        <w:t xml:space="preserve"> </w:t>
      </w:r>
      <w:r w:rsidRPr="00D80341">
        <w:rPr>
          <w:i/>
          <w:lang w:val="de-CH"/>
        </w:rPr>
        <w:t>Q</w:t>
      </w:r>
      <w:r w:rsidRPr="00D80341">
        <w:rPr>
          <w:i/>
          <w:vertAlign w:val="subscript"/>
          <w:lang w:val="de-CH"/>
        </w:rPr>
        <w:t>m,t,n</w:t>
      </w:r>
      <w:r w:rsidRPr="00D80341">
        <w:rPr>
          <w:lang w:val="de-CH" w:eastAsia="ja-JP"/>
        </w:rPr>
        <w:tab/>
      </w:r>
      <w:r w:rsidRPr="00D80341">
        <w:rPr>
          <w:lang w:val="de-CH" w:eastAsia="ko-KR"/>
        </w:rPr>
        <w:t>(15)</w:t>
      </w:r>
    </w:p>
    <w:p w:rsidR="00FE0045" w:rsidRPr="00D80341" w:rsidRDefault="00FE0045" w:rsidP="00FE0045">
      <w:pPr>
        <w:pStyle w:val="Blanc"/>
        <w:rPr>
          <w:lang w:val="de-CH"/>
        </w:rPr>
      </w:pPr>
    </w:p>
    <w:p w:rsidR="00FE0045" w:rsidRDefault="00FE0045" w:rsidP="00FE0045">
      <w:pPr>
        <w:rPr>
          <w:lang w:eastAsia="ja-JP"/>
        </w:rPr>
      </w:pPr>
      <w:r>
        <w:t xml:space="preserve">La somme des taux de distribution sur l'indice </w:t>
      </w:r>
      <w:r>
        <w:rPr>
          <w:i/>
          <w:iCs/>
        </w:rPr>
        <w:t>rat</w:t>
      </w:r>
      <w:r>
        <w:t xml:space="preserve"> du RATG et l'indice </w:t>
      </w:r>
      <w:r>
        <w:rPr>
          <w:i/>
          <w:iCs/>
        </w:rPr>
        <w:t>p</w:t>
      </w:r>
      <w:r>
        <w:t xml:space="preserve"> de l'environnement radioélectrique est égale à 1; autrement dit, </w:t>
      </w:r>
      <w:r w:rsidRPr="007B78DF">
        <w:rPr>
          <w:position w:val="-36"/>
        </w:rPr>
        <w:object w:dxaOrig="1939" w:dyaOrig="620">
          <v:shape id="_x0000_i1036" type="#_x0000_t75" style="width:97.6pt;height:31.55pt" o:ole="">
            <v:imagedata r:id="rId36" o:title=""/>
          </v:shape>
          <o:OLEObject Type="Embed" ProgID="Equation.3" ShapeID="_x0000_i1036" DrawAspect="Content" ObjectID="_1459064078" r:id="rId37"/>
        </w:object>
      </w:r>
      <w:r w:rsidRPr="00591D43">
        <w:t>.</w:t>
      </w:r>
    </w:p>
    <w:p w:rsidR="00FE0045" w:rsidRDefault="00FE0045" w:rsidP="00FE0045">
      <w:r w:rsidRPr="0021786A">
        <w:rPr>
          <w:lang w:eastAsia="ja-JP"/>
        </w:rPr>
        <w:t xml:space="preserve">Donc </w:t>
      </w:r>
      <w:r w:rsidRPr="001555A0">
        <w:rPr>
          <w:position w:val="-38"/>
        </w:rPr>
        <w:object w:dxaOrig="3220" w:dyaOrig="639">
          <v:shape id="_x0000_i1037" type="#_x0000_t75" style="width:161.85pt;height:32.15pt" o:ole="">
            <v:imagedata r:id="rId38" o:title=""/>
          </v:shape>
          <o:OLEObject Type="Embed" ProgID="Equation.3" ShapeID="_x0000_i1037" DrawAspect="Content" ObjectID="_1459064079" r:id="rId39"/>
        </w:object>
      </w:r>
      <w:r w:rsidRPr="0021786A">
        <w:t>.</w:t>
      </w:r>
    </w:p>
    <w:p w:rsidR="00FE0045" w:rsidRDefault="00FE0045" w:rsidP="00FE0045">
      <w:r>
        <w:t xml:space="preserve">Le trafic engendré par tous les utilisateurs d'une cellule doit être totalisé. Le taux d'arrivée des sessions/cellule (sessions/(s </w:t>
      </w:r>
      <w:r>
        <w:sym w:font="Symbol" w:char="F0D7"/>
      </w:r>
      <w:r>
        <w:t xml:space="preserve"> cellule)) est calculé comme suit:</w:t>
      </w:r>
    </w:p>
    <w:p w:rsidR="00FE0045" w:rsidRPr="00F62C64" w:rsidRDefault="00FE0045" w:rsidP="00FE0045">
      <w:pPr>
        <w:pStyle w:val="Blanc"/>
        <w:rPr>
          <w:lang w:val="fr-FR"/>
        </w:rPr>
      </w:pPr>
    </w:p>
    <w:p w:rsidR="00FE0045" w:rsidRPr="00114E55" w:rsidRDefault="00FE0045" w:rsidP="00F00D23">
      <w:pPr>
        <w:pStyle w:val="Equation"/>
      </w:pPr>
      <w:r w:rsidRPr="00F62C64">
        <w:rPr>
          <w:lang w:eastAsia="ja-JP"/>
        </w:rPr>
        <w:tab/>
      </w:r>
      <w:r w:rsidRPr="00F62C64">
        <w:rPr>
          <w:lang w:eastAsia="ja-JP"/>
        </w:rPr>
        <w:tab/>
      </w:r>
      <w:r w:rsidRPr="0048734B">
        <w:rPr>
          <w:position w:val="-14"/>
        </w:rPr>
        <w:object w:dxaOrig="2820" w:dyaOrig="380">
          <v:shape id="_x0000_i1038" type="#_x0000_t75" style="width:141pt;height:19.05pt" o:ole="">
            <v:imagedata r:id="rId40" o:title=""/>
          </v:shape>
          <o:OLEObject Type="Embed" ProgID="Equation.3" ShapeID="_x0000_i1038" DrawAspect="Content" ObjectID="_1459064080" r:id="rId41"/>
        </w:object>
      </w:r>
      <w:r w:rsidRPr="00114E55">
        <w:rPr>
          <w:lang w:eastAsia="ja-JP"/>
        </w:rPr>
        <w:tab/>
        <w:t>(16)</w:t>
      </w:r>
    </w:p>
    <w:p w:rsidR="00FE0045" w:rsidRDefault="00FE0045" w:rsidP="00FE0045">
      <w:pPr>
        <w:rPr>
          <w:i/>
          <w:iCs/>
        </w:rPr>
      </w:pPr>
      <w:r>
        <w:lastRenderedPageBreak/>
        <w:t xml:space="preserve">Dans cette relation, </w:t>
      </w:r>
      <w:r>
        <w:rPr>
          <w:i/>
          <w:iCs/>
        </w:rPr>
        <w:t>A</w:t>
      </w:r>
      <w:r>
        <w:rPr>
          <w:i/>
          <w:iCs/>
          <w:vertAlign w:val="subscript"/>
        </w:rPr>
        <w:t>d,p</w:t>
      </w:r>
      <w:r>
        <w:t xml:space="preserve"> est la superficie de la cellule (km</w:t>
      </w:r>
      <w:r>
        <w:rPr>
          <w:vertAlign w:val="superscript"/>
        </w:rPr>
        <w:t>2</w:t>
      </w:r>
      <w:r>
        <w:t xml:space="preserve">) du RATG </w:t>
      </w:r>
      <w:r>
        <w:rPr>
          <w:i/>
          <w:iCs/>
        </w:rPr>
        <w:t>rat</w:t>
      </w:r>
      <w:r>
        <w:t xml:space="preserve"> pour la télédensité, </w:t>
      </w:r>
      <w:r>
        <w:rPr>
          <w:i/>
          <w:iCs/>
        </w:rPr>
        <w:t>d</w:t>
      </w:r>
      <w:r w:rsidRPr="00591D43">
        <w:rPr>
          <w:iCs/>
        </w:rPr>
        <w:t>,</w:t>
      </w:r>
      <w:r>
        <w:rPr>
          <w:i/>
          <w:iCs/>
        </w:rPr>
        <w:t xml:space="preserve"> </w:t>
      </w:r>
      <w:r>
        <w:t>et l'environnement radioélectrique</w:t>
      </w:r>
      <w:r>
        <w:rPr>
          <w:i/>
          <w:iCs/>
        </w:rPr>
        <w:t xml:space="preserve"> p, d </w:t>
      </w:r>
      <w:r>
        <w:t xml:space="preserve">étant déterminée exclusivement par </w:t>
      </w:r>
      <w:r>
        <w:rPr>
          <w:i/>
          <w:iCs/>
        </w:rPr>
        <w:t xml:space="preserve">m </w:t>
      </w:r>
      <w:r>
        <w:t xml:space="preserve">(Tableau 6). </w:t>
      </w:r>
      <w:r w:rsidRPr="00F145C5">
        <w:rPr>
          <w:position w:val="-14"/>
        </w:rPr>
        <w:object w:dxaOrig="1020" w:dyaOrig="380">
          <v:shape id="_x0000_i1039" type="#_x0000_t75" style="width:51.15pt;height:19.05pt" o:ole="">
            <v:imagedata r:id="rId42" o:title=""/>
          </v:shape>
          <o:OLEObject Type="Embed" ProgID="Equation.3" ShapeID="_x0000_i1039" DrawAspect="Content" ObjectID="_1459064081" r:id="rId43"/>
        </w:object>
      </w:r>
      <w:r>
        <w:t xml:space="preserve"> représente le taux d'arrivée des sessions par cellule de catégorie de service </w:t>
      </w:r>
      <w:r>
        <w:rPr>
          <w:i/>
          <w:iCs/>
        </w:rPr>
        <w:t>n</w:t>
      </w:r>
      <w:r>
        <w:t xml:space="preserve"> dans un RATG </w:t>
      </w:r>
      <w:r>
        <w:rPr>
          <w:i/>
          <w:iCs/>
        </w:rPr>
        <w:t xml:space="preserve">rat, </w:t>
      </w:r>
      <w:r>
        <w:t>un environnement de service</w:t>
      </w:r>
      <w:r>
        <w:rPr>
          <w:i/>
          <w:iCs/>
        </w:rPr>
        <w:t xml:space="preserve"> m </w:t>
      </w:r>
      <w:r>
        <w:t>et un environnement radioélectrique</w:t>
      </w:r>
      <w:r>
        <w:rPr>
          <w:i/>
          <w:iCs/>
        </w:rPr>
        <w:t xml:space="preserve"> p</w:t>
      </w:r>
      <w:r w:rsidRPr="00591D43">
        <w:rPr>
          <w:iCs/>
        </w:rPr>
        <w:t>,</w:t>
      </w:r>
      <w:r>
        <w:rPr>
          <w:i/>
          <w:iCs/>
        </w:rPr>
        <w:t xml:space="preserve"> </w:t>
      </w:r>
      <w:r>
        <w:t>dans un intervalle de temps</w:t>
      </w:r>
      <w:r>
        <w:rPr>
          <w:i/>
          <w:iCs/>
        </w:rPr>
        <w:t xml:space="preserve"> t. </w:t>
      </w:r>
    </w:p>
    <w:p w:rsidR="00FE0045" w:rsidRDefault="00FE0045" w:rsidP="00FE0045">
      <w:r>
        <w:t>Pour le mode de transmission par multidiffusion mobile, on utilise une équation différente</w:t>
      </w:r>
      <w:r>
        <w:rPr>
          <w:vertAlign w:val="superscript"/>
          <w:lang w:val="en-US"/>
        </w:rPr>
        <w:footnoteReference w:id="1"/>
      </w:r>
      <w:r>
        <w:t>.</w:t>
      </w:r>
    </w:p>
    <w:p w:rsidR="00FE0045" w:rsidRPr="005B1CE2" w:rsidRDefault="00FE0045" w:rsidP="00FE0045">
      <w:pPr>
        <w:pStyle w:val="Heading3"/>
      </w:pPr>
      <w:r>
        <w:t>3</w:t>
      </w:r>
      <w:r w:rsidRPr="005B1CE2">
        <w:t>.6.3</w:t>
      </w:r>
      <w:r w:rsidRPr="005B1CE2">
        <w:tab/>
        <w:t>Calcul du trafic offert</w:t>
      </w:r>
    </w:p>
    <w:p w:rsidR="00FE0045" w:rsidRDefault="00FE0045" w:rsidP="00FE0045">
      <w:r>
        <w:t xml:space="preserve">Pour calculer les exigences de spectre, il faut connaître le trafic offert correspondant à chaque catégorie de service. Le service conversationnel et celui de la transmission en continu (catégories de 1 à 10) sont assurés au moyen de la commutation de circuits, tandis que les services d'arrière-plan et les services interactifs (catégories de 11 à 20) le sont au moyen de la commutation par paquets. Le trafic offert est donc déterminé en utilisant les valeurs requises par la méthode de calcul applicable à la commutation de circuits ou par celle qui s'applique à la commutation par paquets. Il faut également additionner les quantités de trafic correspondant à des environnements de service qui relèvent de la même catégorie de télédensité, comme indiqué au Tableau 6. </w:t>
      </w:r>
    </w:p>
    <w:p w:rsidR="00FE0045" w:rsidRDefault="00FE0045" w:rsidP="00FE0045">
      <w:pPr>
        <w:pStyle w:val="Heading4"/>
      </w:pPr>
      <w:r>
        <w:t>3.6.3.1</w:t>
      </w:r>
      <w:r>
        <w:tab/>
        <w:t>Trafic à commutation de circuits</w:t>
      </w:r>
    </w:p>
    <w:p w:rsidR="00FE0045" w:rsidRDefault="00FE0045" w:rsidP="00FE0045">
      <w:r>
        <w:t xml:space="preserve">Pour la commutation de circuits, le taux d'arrivée des sessions </w:t>
      </w:r>
      <w:r w:rsidRPr="00F145C5">
        <w:rPr>
          <w:position w:val="-14"/>
        </w:rPr>
        <w:object w:dxaOrig="1020" w:dyaOrig="380">
          <v:shape id="_x0000_i1040" type="#_x0000_t75" style="width:51.15pt;height:19.05pt" o:ole="">
            <v:imagedata r:id="rId42" o:title=""/>
          </v:shape>
          <o:OLEObject Type="Embed" ProgID="Equation.3" ShapeID="_x0000_i1040" DrawAspect="Content" ObjectID="_1459064082" r:id="rId44"/>
        </w:object>
      </w:r>
      <w:r>
        <w:t xml:space="preserve">déduit de la fonctionnalité de répartition et la durée moyenne des sessions </w:t>
      </w:r>
      <w:r w:rsidRPr="00DA76B7">
        <w:rPr>
          <w:rFonts w:ascii="Symbol" w:hAnsi="Symbol"/>
          <w:iCs/>
          <w:lang w:val="es-ES"/>
        </w:rPr>
        <w:sym w:font="Symbol" w:char="F06D"/>
      </w:r>
      <w:r>
        <w:rPr>
          <w:i/>
          <w:iCs/>
          <w:vertAlign w:val="subscript"/>
        </w:rPr>
        <w:t>m,t,n</w:t>
      </w:r>
      <w:r>
        <w:t xml:space="preserve"> est utilisé pour le calcul de la capacité. Le résultat obtenu est équivalent, du point de vue mathématique, au trafic offert mesuré en Erlangs. </w:t>
      </w:r>
    </w:p>
    <w:p w:rsidR="00FE0045" w:rsidRDefault="00FE0045" w:rsidP="00FE0045">
      <w:r>
        <w:t xml:space="preserve">Les valeurs du produit du taux d'arrivée des sessions par cellule et de la durée moyenne des sessions pour différentes télédensités </w:t>
      </w:r>
      <w:r>
        <w:rPr>
          <w:i/>
          <w:iCs/>
        </w:rPr>
        <w:t>d</w:t>
      </w:r>
      <w:r>
        <w:t xml:space="preserve"> sont additionnées pour déterminer le trafic offert </w:t>
      </w:r>
      <w:r w:rsidRPr="001555A0">
        <w:sym w:font="Symbol" w:char="F072"/>
      </w:r>
      <w:r w:rsidRPr="001555A0">
        <w:rPr>
          <w:i/>
          <w:vertAlign w:val="subscript"/>
        </w:rPr>
        <w:t>d,t,n,rat,p</w:t>
      </w:r>
      <w:r>
        <w:rPr>
          <w:i/>
          <w:vertAlign w:val="subscript"/>
        </w:rPr>
        <w:t xml:space="preserve"> </w:t>
      </w:r>
      <w:r>
        <w:t>(seconde/(s </w:t>
      </w:r>
      <w:r>
        <w:sym w:font="Symbol" w:char="F0D7"/>
      </w:r>
      <w:r>
        <w:t xml:space="preserve"> cellule)), lequel est obtenu à l'aide de l'équation suivante:</w:t>
      </w:r>
    </w:p>
    <w:p w:rsidR="00FE0045" w:rsidRPr="00114E55" w:rsidRDefault="00FE0045" w:rsidP="00F00D23">
      <w:pPr>
        <w:pStyle w:val="Equation"/>
        <w:rPr>
          <w:lang w:eastAsia="ja-JP"/>
        </w:rPr>
      </w:pPr>
      <w:r w:rsidRPr="00673538">
        <w:tab/>
      </w:r>
      <w:r w:rsidRPr="00673538">
        <w:tab/>
      </w:r>
      <w:r w:rsidRPr="00A50D47">
        <w:rPr>
          <w:position w:val="-32"/>
        </w:rPr>
        <w:object w:dxaOrig="3040" w:dyaOrig="580">
          <v:shape id="_x0000_i1041" type="#_x0000_t75" style="width:152.35pt;height:29.15pt" o:ole="">
            <v:imagedata r:id="rId45" o:title=""/>
          </v:shape>
          <o:OLEObject Type="Embed" ProgID="Equation.3" ShapeID="_x0000_i1041" DrawAspect="Content" ObjectID="_1459064083" r:id="rId46"/>
        </w:object>
      </w:r>
      <w:r w:rsidRPr="00114E55">
        <w:rPr>
          <w:lang w:eastAsia="ja-JP"/>
        </w:rPr>
        <w:tab/>
        <w:t>(17)</w:t>
      </w:r>
    </w:p>
    <w:p w:rsidR="00FE0045" w:rsidRDefault="00FE0045" w:rsidP="00FE0045">
      <w:r>
        <w:t xml:space="preserve">Cette valeur représente la somme des durées moyennes de toutes les sessions de SC </w:t>
      </w:r>
      <w:r>
        <w:rPr>
          <w:i/>
          <w:iCs/>
        </w:rPr>
        <w:t xml:space="preserve">n </w:t>
      </w:r>
      <w:r>
        <w:t>qui</w:t>
      </w:r>
      <w:r>
        <w:rPr>
          <w:i/>
          <w:iCs/>
        </w:rPr>
        <w:t xml:space="preserve"> </w:t>
      </w:r>
      <w:r>
        <w:t xml:space="preserve">arrivent par unité de temps dans une cellule pour une télédensité </w:t>
      </w:r>
      <w:r>
        <w:rPr>
          <w:i/>
          <w:iCs/>
        </w:rPr>
        <w:t>d</w:t>
      </w:r>
      <w:r>
        <w:t xml:space="preserve">, un RATG </w:t>
      </w:r>
      <w:r>
        <w:rPr>
          <w:i/>
          <w:iCs/>
        </w:rPr>
        <w:t>rat</w:t>
      </w:r>
      <w:r>
        <w:t xml:space="preserve"> et un environnement radioélectrique </w:t>
      </w:r>
      <w:r>
        <w:rPr>
          <w:i/>
          <w:iCs/>
        </w:rPr>
        <w:t>p</w:t>
      </w:r>
      <w:r>
        <w:t xml:space="preserve"> dans un intervalle de temps </w:t>
      </w:r>
      <w:r>
        <w:rPr>
          <w:i/>
          <w:iCs/>
        </w:rPr>
        <w:t xml:space="preserve">t. </w:t>
      </w:r>
      <w:r w:rsidRPr="001555A0">
        <w:sym w:font="Symbol" w:char="F072"/>
      </w:r>
      <w:r w:rsidRPr="001555A0">
        <w:rPr>
          <w:i/>
          <w:vertAlign w:val="subscript"/>
        </w:rPr>
        <w:t>d,t,n,rat,p</w:t>
      </w:r>
      <w:r>
        <w:rPr>
          <w:i/>
          <w:vertAlign w:val="subscript"/>
        </w:rPr>
        <w:t xml:space="preserve"> </w:t>
      </w:r>
      <w:r>
        <w:t xml:space="preserve"> est exprimé également en (Erlang/cellule).</w:t>
      </w:r>
    </w:p>
    <w:p w:rsidR="00FE0045" w:rsidRDefault="00FE0045" w:rsidP="00FE0045">
      <w:r>
        <w:t xml:space="preserve">Les valeurs totales du débit binaire moyen du service </w:t>
      </w:r>
      <w:r w:rsidRPr="001555A0">
        <w:sym w:font="Symbol" w:char="F072"/>
      </w:r>
      <w:r w:rsidRPr="00114E55">
        <w:rPr>
          <w:i/>
          <w:vertAlign w:val="subscript"/>
        </w:rPr>
        <w:t xml:space="preserve">d,t,n,rat,p </w:t>
      </w:r>
      <w:r>
        <w:t xml:space="preserve">(bits/s) pour une télédensité </w:t>
      </w:r>
      <w:r>
        <w:rPr>
          <w:i/>
          <w:iCs/>
        </w:rPr>
        <w:t>d</w:t>
      </w:r>
      <w:r>
        <w:t xml:space="preserve"> sont obtenues comme suit:</w:t>
      </w:r>
    </w:p>
    <w:p w:rsidR="00FE0045" w:rsidRPr="00673538" w:rsidRDefault="00FE0045" w:rsidP="00F00D23">
      <w:pPr>
        <w:pStyle w:val="Equation"/>
        <w:rPr>
          <w:lang w:eastAsia="ja-JP"/>
        </w:rPr>
      </w:pPr>
      <w:r w:rsidRPr="009379D4">
        <w:tab/>
      </w:r>
      <w:r w:rsidRPr="009379D4">
        <w:tab/>
      </w:r>
      <w:r w:rsidRPr="00A50D47">
        <w:rPr>
          <w:position w:val="-32"/>
        </w:rPr>
        <w:object w:dxaOrig="3480" w:dyaOrig="940">
          <v:shape id="_x0000_i1042" type="#_x0000_t75" style="width:173.75pt;height:46.4pt" o:ole="">
            <v:imagedata r:id="rId47" o:title=""/>
          </v:shape>
          <o:OLEObject Type="Embed" ProgID="Equation.3" ShapeID="_x0000_i1042" DrawAspect="Content" ObjectID="_1459064084" r:id="rId48"/>
        </w:object>
      </w:r>
      <w:r w:rsidRPr="00D80341">
        <w:rPr>
          <w:lang w:val="fr-CH" w:eastAsia="ja-JP"/>
        </w:rPr>
        <w:tab/>
      </w:r>
      <w:r w:rsidRPr="00673538">
        <w:rPr>
          <w:lang w:eastAsia="ja-JP"/>
        </w:rPr>
        <w:t>(18)</w:t>
      </w:r>
    </w:p>
    <w:p w:rsidR="00FE0045" w:rsidRDefault="00FE0045" w:rsidP="00FE0045">
      <w:pPr>
        <w:pStyle w:val="Heading4"/>
      </w:pPr>
      <w:r>
        <w:t>3.6.3.2</w:t>
      </w:r>
      <w:r>
        <w:tab/>
        <w:t>Trafic à commutation par paquets</w:t>
      </w:r>
    </w:p>
    <w:p w:rsidR="00FE0045" w:rsidRDefault="00FE0045" w:rsidP="00FE0045">
      <w:r>
        <w:t>Pour les catégories de service à commutation par paquets, le trafic offert doit être exprimé en bit/(s </w:t>
      </w:r>
      <w:r>
        <w:sym w:font="Symbol" w:char="F0D7"/>
      </w:r>
      <w:r>
        <w:t xml:space="preserve"> cellule) dans la formule de calcul de la capacité. Sa valeur doit être celle du trafic total offert des environnements de service qui relèvent de la même catégorie de télédensité. </w:t>
      </w:r>
      <w:r>
        <w:rPr>
          <w:i/>
          <w:iCs/>
        </w:rPr>
        <w:t>T</w:t>
      </w:r>
      <w:r>
        <w:rPr>
          <w:i/>
          <w:iCs/>
          <w:vertAlign w:val="subscript"/>
        </w:rPr>
        <w:t>d,t,n,rat,p</w:t>
      </w:r>
      <w:r>
        <w:t xml:space="preserve"> représente le trafic offert pour la catégorie de service </w:t>
      </w:r>
      <w:r>
        <w:rPr>
          <w:i/>
          <w:iCs/>
        </w:rPr>
        <w:t>n</w:t>
      </w:r>
      <w:r>
        <w:t xml:space="preserve"> et le RATG </w:t>
      </w:r>
      <w:r>
        <w:rPr>
          <w:i/>
          <w:iCs/>
        </w:rPr>
        <w:t>rat</w:t>
      </w:r>
      <w:r>
        <w:t xml:space="preserve"> dans l'environnement radioélectrique </w:t>
      </w:r>
      <w:r>
        <w:rPr>
          <w:i/>
          <w:iCs/>
        </w:rPr>
        <w:t>p</w:t>
      </w:r>
      <w:r>
        <w:t xml:space="preserve"> pour la télédensité </w:t>
      </w:r>
      <w:r>
        <w:rPr>
          <w:i/>
          <w:iCs/>
        </w:rPr>
        <w:t>d</w:t>
      </w:r>
      <w:r>
        <w:t xml:space="preserve"> et l'intervalle de temps différent </w:t>
      </w:r>
      <w:r>
        <w:rPr>
          <w:i/>
          <w:iCs/>
        </w:rPr>
        <w:t>t</w:t>
      </w:r>
      <w:r>
        <w:t>. Il est obtenu comme suit:</w:t>
      </w:r>
    </w:p>
    <w:p w:rsidR="00FE0045" w:rsidRPr="00114E55" w:rsidRDefault="00FE0045" w:rsidP="00F00D23">
      <w:pPr>
        <w:pStyle w:val="Equation"/>
        <w:rPr>
          <w:lang w:eastAsia="ja-JP"/>
        </w:rPr>
      </w:pPr>
      <w:r w:rsidRPr="00D80341">
        <w:rPr>
          <w:lang w:val="fr-CH"/>
        </w:rPr>
        <w:lastRenderedPageBreak/>
        <w:tab/>
      </w:r>
      <w:r w:rsidRPr="001555A0">
        <w:fldChar w:fldCharType="begin"/>
      </w:r>
      <w:r w:rsidRPr="00114E55">
        <w:instrText xml:space="preserve"> EQ </w:instrText>
      </w:r>
      <w:r w:rsidRPr="001555A0">
        <w:fldChar w:fldCharType="end"/>
      </w:r>
      <w:r w:rsidRPr="00114E55">
        <w:tab/>
      </w:r>
      <w:r w:rsidRPr="00A50D47">
        <w:rPr>
          <w:position w:val="-32"/>
        </w:rPr>
        <w:object w:dxaOrig="3480" w:dyaOrig="580">
          <v:shape id="_x0000_i1043" type="#_x0000_t75" style="width:173.75pt;height:29.15pt" o:ole="">
            <v:imagedata r:id="rId49" o:title=""/>
          </v:shape>
          <o:OLEObject Type="Embed" ProgID="Equation.3" ShapeID="_x0000_i1043" DrawAspect="Content" ObjectID="_1459064085" r:id="rId50"/>
        </w:object>
      </w:r>
      <w:r w:rsidRPr="00114E55">
        <w:tab/>
      </w:r>
      <w:r w:rsidRPr="00114E55">
        <w:rPr>
          <w:lang w:eastAsia="ja-JP"/>
        </w:rPr>
        <w:t>(19)</w:t>
      </w:r>
    </w:p>
    <w:p w:rsidR="00FE0045" w:rsidRDefault="00FE0045" w:rsidP="00FE0045">
      <w:r>
        <w:t xml:space="preserve">Cette valeur représente le nombre total de bits contenus dans toutes les sessions de la catégorie de service </w:t>
      </w:r>
      <w:r>
        <w:rPr>
          <w:i/>
          <w:iCs/>
        </w:rPr>
        <w:t>n</w:t>
      </w:r>
      <w:r>
        <w:t xml:space="preserve"> qui arrivent par unité de temps dans une cellule pour une télédensité </w:t>
      </w:r>
      <w:r>
        <w:rPr>
          <w:i/>
          <w:iCs/>
        </w:rPr>
        <w:t>d</w:t>
      </w:r>
      <w:r>
        <w:t xml:space="preserve">, un RATG </w:t>
      </w:r>
      <w:r>
        <w:rPr>
          <w:i/>
          <w:iCs/>
        </w:rPr>
        <w:t>rat</w:t>
      </w:r>
      <w:r>
        <w:t xml:space="preserve"> et un environnement radioélectrique </w:t>
      </w:r>
      <w:r>
        <w:rPr>
          <w:i/>
          <w:iCs/>
        </w:rPr>
        <w:t>p</w:t>
      </w:r>
      <w:r>
        <w:t xml:space="preserve"> dans un intervalle de temps </w:t>
      </w:r>
      <w:r>
        <w:rPr>
          <w:i/>
          <w:iCs/>
        </w:rPr>
        <w:t>t</w:t>
      </w:r>
      <w:r>
        <w:t>.</w:t>
      </w:r>
    </w:p>
    <w:p w:rsidR="00FE0045" w:rsidRDefault="00FE0045" w:rsidP="00FE0045">
      <w:pPr>
        <w:pStyle w:val="Heading1"/>
      </w:pPr>
      <w:r>
        <w:t>4</w:t>
      </w:r>
      <w:r>
        <w:tab/>
        <w:t xml:space="preserve">Détermination de la capacité de système requise et des exigences de spectre </w:t>
      </w:r>
    </w:p>
    <w:p w:rsidR="00FE0045" w:rsidRDefault="00FE0045" w:rsidP="00F00D23">
      <w:r>
        <w:t xml:space="preserve">A l'Etape 6 de la Fig. 1, on détermine la capacité que les systèmes doivent avoir pour écouler le trafic de base offert tout en maintenant la QoS requise par chacune des catégories de service </w:t>
      </w:r>
      <w:r>
        <w:rPr>
          <w:i/>
          <w:iCs/>
        </w:rPr>
        <w:t>n</w:t>
      </w:r>
      <w:r>
        <w:t xml:space="preserve"> pour chaque RATG </w:t>
      </w:r>
      <w:r>
        <w:rPr>
          <w:i/>
          <w:iCs/>
        </w:rPr>
        <w:t>rat</w:t>
      </w:r>
      <w:r>
        <w:t xml:space="preserve"> et chaque environnement radioélectrique </w:t>
      </w:r>
      <w:r>
        <w:rPr>
          <w:i/>
          <w:iCs/>
        </w:rPr>
        <w:t>p</w:t>
      </w:r>
      <w:r>
        <w:t xml:space="preserve"> dans chaque télédensité </w:t>
      </w:r>
      <w:r>
        <w:rPr>
          <w:i/>
          <w:iCs/>
        </w:rPr>
        <w:t>d</w:t>
      </w:r>
      <w:r>
        <w:t xml:space="preserve"> et dans l'intervalle de temps </w:t>
      </w:r>
      <w:r>
        <w:rPr>
          <w:i/>
          <w:iCs/>
        </w:rPr>
        <w:t>t</w:t>
      </w:r>
      <w:r>
        <w:t xml:space="preserve">. La capacité de système requise, exprimée en bit/s, est déterminée séparément selon que le trafic est à commutation de circuits (fondé sur la réservation de ressources) ou à commutation par paquets. Le nombre des catégories de service à commutation de circuits est désigné par le symbole </w:t>
      </w:r>
      <w:r>
        <w:rPr>
          <w:i/>
          <w:iCs/>
        </w:rPr>
        <w:t>N</w:t>
      </w:r>
      <w:r>
        <w:rPr>
          <w:i/>
          <w:iCs/>
          <w:vertAlign w:val="subscript"/>
        </w:rPr>
        <w:t>cs</w:t>
      </w:r>
      <w:r>
        <w:t xml:space="preserve"> et celui des catégories de service à commutation par paquets par </w:t>
      </w:r>
      <w:r>
        <w:rPr>
          <w:i/>
          <w:iCs/>
        </w:rPr>
        <w:t>N</w:t>
      </w:r>
      <w:r>
        <w:rPr>
          <w:i/>
          <w:iCs/>
          <w:vertAlign w:val="subscript"/>
        </w:rPr>
        <w:t>ps</w:t>
      </w:r>
      <w:r>
        <w:rPr>
          <w:i/>
          <w:iCs/>
        </w:rPr>
        <w:t>,</w:t>
      </w:r>
      <w:r>
        <w:t xml:space="preserve"> le nombre total de catégories de service étant </w:t>
      </w:r>
      <w:r>
        <w:rPr>
          <w:i/>
          <w:iCs/>
        </w:rPr>
        <w:t>N</w:t>
      </w:r>
      <w:r>
        <w:t xml:space="preserve"> =  </w:t>
      </w:r>
      <w:r>
        <w:rPr>
          <w:i/>
          <w:iCs/>
        </w:rPr>
        <w:t>N</w:t>
      </w:r>
      <w:r>
        <w:rPr>
          <w:i/>
          <w:iCs/>
          <w:vertAlign w:val="subscript"/>
        </w:rPr>
        <w:t>cs</w:t>
      </w:r>
      <w:r>
        <w:rPr>
          <w:i/>
          <w:iCs/>
        </w:rPr>
        <w:t xml:space="preserve"> + N</w:t>
      </w:r>
      <w:r>
        <w:rPr>
          <w:i/>
          <w:iCs/>
          <w:vertAlign w:val="subscript"/>
        </w:rPr>
        <w:t>ps</w:t>
      </w:r>
      <w:r>
        <w:t xml:space="preserve">. </w:t>
      </w:r>
    </w:p>
    <w:p w:rsidR="00FE0045" w:rsidRDefault="00FE0045" w:rsidP="00FE0045">
      <w:r>
        <w:t xml:space="preserve">Ces calculs permettent d'obtenir la capacité de système requise, </w:t>
      </w:r>
      <w:r>
        <w:rPr>
          <w:i/>
          <w:iCs/>
        </w:rPr>
        <w:t>C</w:t>
      </w:r>
      <w:r>
        <w:rPr>
          <w:i/>
          <w:iCs/>
          <w:vertAlign w:val="subscript"/>
        </w:rPr>
        <w:t>d,t,rat,p,cs</w:t>
      </w:r>
      <w:r>
        <w:t xml:space="preserve"> pour le trafic à commutation de circuits et </w:t>
      </w:r>
      <w:r>
        <w:rPr>
          <w:i/>
          <w:iCs/>
        </w:rPr>
        <w:t>C</w:t>
      </w:r>
      <w:r>
        <w:rPr>
          <w:i/>
          <w:iCs/>
          <w:vertAlign w:val="subscript"/>
        </w:rPr>
        <w:t>d,t,rat,p,ps</w:t>
      </w:r>
      <w:r>
        <w:t xml:space="preserve"> (bit/(s </w:t>
      </w:r>
      <w:r>
        <w:sym w:font="Symbol" w:char="F0D7"/>
      </w:r>
      <w:r>
        <w:t xml:space="preserve"> cellule)) pour le trafic à commutation par paquets.</w:t>
      </w:r>
    </w:p>
    <w:p w:rsidR="00FE0045" w:rsidRPr="0016530D" w:rsidRDefault="00FE0045" w:rsidP="00F00D23">
      <w:pPr>
        <w:rPr>
          <w:iCs/>
        </w:rPr>
      </w:pPr>
      <w:r>
        <w:rPr>
          <w:i/>
          <w:iCs/>
        </w:rPr>
        <w:t>C</w:t>
      </w:r>
      <w:r>
        <w:rPr>
          <w:i/>
          <w:iCs/>
          <w:vertAlign w:val="subscript"/>
        </w:rPr>
        <w:t>d,t,rat,p,cs</w:t>
      </w:r>
      <w:r>
        <w:rPr>
          <w:i/>
          <w:iCs/>
        </w:rPr>
        <w:t xml:space="preserve"> </w:t>
      </w:r>
      <w:r>
        <w:t xml:space="preserve">représente la capacité que les systèmes doivent avoir pour offrir la QoS exigée de toutes les catégories de service à commutation de circuits (fondées sur la réservation de ressources) pour une télédensité </w:t>
      </w:r>
      <w:r>
        <w:rPr>
          <w:i/>
          <w:iCs/>
        </w:rPr>
        <w:t>d</w:t>
      </w:r>
      <w:r>
        <w:t xml:space="preserve">, un intervalle de temps </w:t>
      </w:r>
      <w:r>
        <w:rPr>
          <w:i/>
          <w:iCs/>
        </w:rPr>
        <w:t>t</w:t>
      </w:r>
      <w:r>
        <w:t xml:space="preserve">, un RATG </w:t>
      </w:r>
      <w:r>
        <w:rPr>
          <w:i/>
          <w:iCs/>
        </w:rPr>
        <w:t>rat</w:t>
      </w:r>
      <w:r>
        <w:t xml:space="preserve"> et un environnement radioélectrique </w:t>
      </w:r>
      <w:r>
        <w:rPr>
          <w:i/>
          <w:iCs/>
        </w:rPr>
        <w:t>p</w:t>
      </w:r>
      <w:r>
        <w:t xml:space="preserve">, et </w:t>
      </w:r>
      <w:r>
        <w:rPr>
          <w:i/>
          <w:iCs/>
        </w:rPr>
        <w:t>C</w:t>
      </w:r>
      <w:r>
        <w:rPr>
          <w:i/>
          <w:iCs/>
          <w:vertAlign w:val="subscript"/>
        </w:rPr>
        <w:t>d,t,rat,p,ps</w:t>
      </w:r>
      <w:r>
        <w:rPr>
          <w:i/>
          <w:iCs/>
        </w:rPr>
        <w:t xml:space="preserve"> </w:t>
      </w:r>
      <w:r>
        <w:t xml:space="preserve">représente la capacité que les systèmes doivent avoir pour offrir la QoS exigée de toutes les catégories de service à commutation par paquets pour une télédensité </w:t>
      </w:r>
      <w:r>
        <w:rPr>
          <w:i/>
          <w:iCs/>
        </w:rPr>
        <w:t>d</w:t>
      </w:r>
      <w:r>
        <w:t xml:space="preserve">, un intervalle de temps </w:t>
      </w:r>
      <w:r>
        <w:rPr>
          <w:i/>
          <w:iCs/>
        </w:rPr>
        <w:t>t</w:t>
      </w:r>
      <w:r>
        <w:t xml:space="preserve">, un RATG </w:t>
      </w:r>
      <w:r>
        <w:rPr>
          <w:i/>
          <w:iCs/>
        </w:rPr>
        <w:t>rat</w:t>
      </w:r>
      <w:r>
        <w:t xml:space="preserve"> et un environnement radioélectrique </w:t>
      </w:r>
      <w:r>
        <w:rPr>
          <w:i/>
          <w:iCs/>
        </w:rPr>
        <w:t>p</w:t>
      </w:r>
      <w:r>
        <w:rPr>
          <w:iCs/>
        </w:rPr>
        <w:t>.</w:t>
      </w:r>
    </w:p>
    <w:p w:rsidR="00FE0045" w:rsidRDefault="00FE0045" w:rsidP="00FE0045">
      <w:pPr>
        <w:pStyle w:val="Heading2"/>
      </w:pPr>
      <w:r>
        <w:t>4.1</w:t>
      </w:r>
      <w:r>
        <w:tab/>
        <w:t>Calcul de la capacité de système requise pour le trafic à commutation de circuits</w:t>
      </w:r>
    </w:p>
    <w:p w:rsidR="00FE0045" w:rsidRDefault="00FE0045" w:rsidP="00FE0045">
      <w:r>
        <w:t>La capacité de système requise pour les catégories de service à commutation de circuits (fondées sur la réservation de ressources) est déterminée par le nombre de canaux de service nécessaires pour obtenir une probabilité de blocage donnée et le débit de données des canaux. La théorie bien connue d'Erlang permet de calculer la capacité nécessaire pour obtenir une probabilité de blocage proche d'une valeur donnée [</w:t>
      </w:r>
      <w:r w:rsidRPr="00591D43">
        <w:rPr>
          <w:lang w:eastAsia="ja-JP"/>
        </w:rPr>
        <w:t>Kleinrock, 1975</w:t>
      </w:r>
      <w:r>
        <w:t>]. Les paramètres qui permettent de déterminer le nombre des canaux de service nécessaires aux sessions à commutation de circuits sont les suivants:</w:t>
      </w:r>
    </w:p>
    <w:p w:rsidR="00FE0045" w:rsidRDefault="00FE0045" w:rsidP="00F00D23">
      <w:pPr>
        <w:pStyle w:val="enumlev1"/>
      </w:pPr>
      <w:r>
        <w:t>–</w:t>
      </w:r>
      <w:r>
        <w:tab/>
        <w:t xml:space="preserve">Trafic offert en Erlangs par cellule ou secteur </w:t>
      </w:r>
      <w:r w:rsidRPr="0016530D">
        <w:rPr>
          <w:rFonts w:ascii="Symbol" w:hAnsi="Symbol"/>
          <w:iCs/>
          <w:lang w:val="es-ES"/>
        </w:rPr>
        <w:sym w:font="Symbol" w:char="F072"/>
      </w:r>
      <w:r>
        <w:rPr>
          <w:i/>
          <w:iCs/>
          <w:vertAlign w:val="subscript"/>
        </w:rPr>
        <w:t>d,t,n,rat,p</w:t>
      </w:r>
      <w:r>
        <w:t xml:space="preserve"> (§ 3.6.3.1).</w:t>
      </w:r>
    </w:p>
    <w:p w:rsidR="00FE0045" w:rsidRDefault="00FE0045" w:rsidP="00F00D23">
      <w:pPr>
        <w:pStyle w:val="enumlev1"/>
      </w:pPr>
      <w:r>
        <w:t>–</w:t>
      </w:r>
      <w:r>
        <w:tab/>
        <w:t xml:space="preserve">Débit de données de canal de service, </w:t>
      </w:r>
      <w:r>
        <w:rPr>
          <w:i/>
          <w:iCs/>
        </w:rPr>
        <w:t>r</w:t>
      </w:r>
      <w:r>
        <w:rPr>
          <w:i/>
          <w:iCs/>
          <w:vertAlign w:val="subscript"/>
        </w:rPr>
        <w:t>d,t,n,rat,p</w:t>
      </w:r>
      <w:r>
        <w:t xml:space="preserve"> pour la catégorie de service </w:t>
      </w:r>
      <w:r>
        <w:rPr>
          <w:i/>
          <w:iCs/>
        </w:rPr>
        <w:t>n</w:t>
      </w:r>
      <w:r>
        <w:t xml:space="preserve"> (§ 3.6.3.1).</w:t>
      </w:r>
    </w:p>
    <w:p w:rsidR="00FE0045" w:rsidRDefault="00FE0045" w:rsidP="00F00D23">
      <w:pPr>
        <w:pStyle w:val="enumlev1"/>
      </w:pPr>
      <w:r>
        <w:t>–</w:t>
      </w:r>
      <w:r>
        <w:tab/>
        <w:t xml:space="preserve">Probabilité de blocage maximal admissible, </w:t>
      </w:r>
      <w:r w:rsidRPr="0016530D">
        <w:rPr>
          <w:rFonts w:ascii="Symbol" w:hAnsi="Symbol"/>
          <w:iCs/>
          <w:lang w:val="es-ES"/>
        </w:rPr>
        <w:sym w:font="Symbol" w:char="F070"/>
      </w:r>
      <w:r>
        <w:rPr>
          <w:i/>
          <w:iCs/>
          <w:vertAlign w:val="subscript"/>
        </w:rPr>
        <w:t>n</w:t>
      </w:r>
      <w:r>
        <w:t>, dont les valeurs sont données au Tableau 5 (§ 3.4.1.3).</w:t>
      </w:r>
    </w:p>
    <w:p w:rsidR="00FE0045" w:rsidRDefault="00FE0045" w:rsidP="00FE0045">
      <w:r>
        <w:t xml:space="preserve">Dans les paragraphes qui suivent, les paramètres </w:t>
      </w:r>
      <w:r w:rsidRPr="0016530D">
        <w:rPr>
          <w:rFonts w:ascii="Symbol" w:hAnsi="Symbol"/>
          <w:iCs/>
          <w:lang w:val="es-ES"/>
        </w:rPr>
        <w:sym w:font="Symbol" w:char="F072"/>
      </w:r>
      <w:r>
        <w:rPr>
          <w:i/>
          <w:iCs/>
          <w:vertAlign w:val="subscript"/>
        </w:rPr>
        <w:t>d,t,n,rat,p</w:t>
      </w:r>
      <w:r>
        <w:rPr>
          <w:i/>
          <w:iCs/>
        </w:rPr>
        <w:t xml:space="preserve"> </w:t>
      </w:r>
      <w:r>
        <w:t>et</w:t>
      </w:r>
      <w:r>
        <w:rPr>
          <w:i/>
          <w:iCs/>
        </w:rPr>
        <w:t xml:space="preserve"> r</w:t>
      </w:r>
      <w:r>
        <w:rPr>
          <w:i/>
          <w:iCs/>
          <w:vertAlign w:val="subscript"/>
        </w:rPr>
        <w:t>d,t,n,rat,p</w:t>
      </w:r>
      <w:r>
        <w:rPr>
          <w:i/>
          <w:iCs/>
        </w:rPr>
        <w:t xml:space="preserve"> </w:t>
      </w:r>
      <w:r>
        <w:t>sont représentés sous une forme simplifiée (</w:t>
      </w:r>
      <w:r w:rsidRPr="0016530D">
        <w:rPr>
          <w:rFonts w:ascii="Symbol" w:hAnsi="Symbol"/>
          <w:iCs/>
          <w:lang w:val="es-ES"/>
        </w:rPr>
        <w:sym w:font="Symbol" w:char="F072"/>
      </w:r>
      <w:r>
        <w:rPr>
          <w:i/>
          <w:iCs/>
          <w:vertAlign w:val="subscript"/>
        </w:rPr>
        <w:t>n</w:t>
      </w:r>
      <w:r>
        <w:t xml:space="preserve"> et </w:t>
      </w:r>
      <w:r>
        <w:rPr>
          <w:i/>
          <w:iCs/>
        </w:rPr>
        <w:t>r</w:t>
      </w:r>
      <w:r>
        <w:rPr>
          <w:i/>
          <w:iCs/>
          <w:vertAlign w:val="subscript"/>
        </w:rPr>
        <w:t>n</w:t>
      </w:r>
      <w:r>
        <w:rPr>
          <w:i/>
          <w:iCs/>
        </w:rPr>
        <w:t xml:space="preserve"> </w:t>
      </w:r>
      <w:r>
        <w:t>respectivement</w:t>
      </w:r>
      <w:r>
        <w:rPr>
          <w:i/>
          <w:iCs/>
        </w:rPr>
        <w:t>)</w:t>
      </w:r>
      <w:r>
        <w:t>.</w:t>
      </w:r>
    </w:p>
    <w:p w:rsidR="00FE0045" w:rsidRDefault="00FE0045" w:rsidP="00FE0045">
      <w:r>
        <w:t xml:space="preserve">Si l'on tient compte du gain résultant du partage des ressources, la formule Erlang-B peut être élargie pour être appliquée au cas multidimensionnel qui permet également à chaque appel d'occuper simultanément plusieurs canaux, de la manière suivante: on suppose que des appels relevant des catégories </w:t>
      </w:r>
      <w:r>
        <w:rPr>
          <w:i/>
          <w:iCs/>
        </w:rPr>
        <w:t>N</w:t>
      </w:r>
      <w:r>
        <w:rPr>
          <w:i/>
          <w:iCs/>
          <w:vertAlign w:val="subscript"/>
        </w:rPr>
        <w:t>cs</w:t>
      </w:r>
      <w:r>
        <w:t xml:space="preserve"> partagent le groupe de canaux </w:t>
      </w:r>
      <w:r>
        <w:rPr>
          <w:i/>
          <w:iCs/>
        </w:rPr>
        <w:t>v</w:t>
      </w:r>
      <w:r>
        <w:t xml:space="preserve"> et que chaque appel de la catégorie </w:t>
      </w:r>
      <w:r>
        <w:rPr>
          <w:i/>
          <w:iCs/>
        </w:rPr>
        <w:t>n</w:t>
      </w:r>
      <w:r>
        <w:t xml:space="preserve"> a besoin simultanément de </w:t>
      </w:r>
      <w:r>
        <w:rPr>
          <w:i/>
          <w:iCs/>
        </w:rPr>
        <w:t>v</w:t>
      </w:r>
      <w:r>
        <w:rPr>
          <w:i/>
          <w:iCs/>
          <w:vertAlign w:val="subscript"/>
        </w:rPr>
        <w:t>n</w:t>
      </w:r>
      <w:r>
        <w:t xml:space="preserve"> canaux (1</w:t>
      </w:r>
      <w:r>
        <w:rPr>
          <w:rFonts w:ascii="Symbol" w:hAnsi="Symbol"/>
          <w:noProof/>
          <w:lang w:val="es-ES"/>
        </w:rPr>
        <w:sym w:font="Symbol" w:char="F0A3"/>
      </w:r>
      <w:r>
        <w:t xml:space="preserve"> </w:t>
      </w:r>
      <w:r>
        <w:rPr>
          <w:i/>
          <w:iCs/>
        </w:rPr>
        <w:t>n</w:t>
      </w:r>
      <w:r>
        <w:t xml:space="preserve"> </w:t>
      </w:r>
      <w:r>
        <w:rPr>
          <w:rFonts w:ascii="Symbol" w:hAnsi="Symbol"/>
          <w:noProof/>
          <w:lang w:val="es-ES"/>
        </w:rPr>
        <w:sym w:font="Symbol" w:char="F0A3"/>
      </w:r>
      <w:r>
        <w:t xml:space="preserve"> </w:t>
      </w:r>
      <w:r>
        <w:rPr>
          <w:i/>
          <w:iCs/>
        </w:rPr>
        <w:t>N</w:t>
      </w:r>
      <w:r>
        <w:rPr>
          <w:i/>
          <w:iCs/>
          <w:vertAlign w:val="subscript"/>
        </w:rPr>
        <w:t>cs</w:t>
      </w:r>
      <w:r>
        <w:t xml:space="preserve">). Si un appel entrant de la catégorie </w:t>
      </w:r>
      <w:r>
        <w:rPr>
          <w:i/>
          <w:iCs/>
        </w:rPr>
        <w:t>n</w:t>
      </w:r>
      <w:r>
        <w:t xml:space="preserve"> trouve un nombre de voies au repos inférieur à </w:t>
      </w:r>
      <w:r>
        <w:rPr>
          <w:i/>
          <w:iCs/>
        </w:rPr>
        <w:t>v</w:t>
      </w:r>
      <w:r>
        <w:rPr>
          <w:i/>
          <w:iCs/>
          <w:vertAlign w:val="subscript"/>
        </w:rPr>
        <w:t>n</w:t>
      </w:r>
      <w:r>
        <w:t xml:space="preserve">, il est bloqué et perdu; supposons que </w:t>
      </w:r>
      <w:r w:rsidRPr="00114E55">
        <w:rPr>
          <w:i/>
        </w:rPr>
        <w:t>v</w:t>
      </w:r>
      <w:r w:rsidRPr="00114E55">
        <w:t xml:space="preserve"> ≡ (</w:t>
      </w:r>
      <w:r w:rsidRPr="00114E55">
        <w:rPr>
          <w:i/>
        </w:rPr>
        <w:t>v</w:t>
      </w:r>
      <w:r w:rsidRPr="00114E55">
        <w:rPr>
          <w:vertAlign w:val="subscript"/>
        </w:rPr>
        <w:t>1</w:t>
      </w:r>
      <w:r w:rsidRPr="00114E55">
        <w:t>,</w:t>
      </w:r>
      <w:r w:rsidRPr="00114E55">
        <w:rPr>
          <w:i/>
        </w:rPr>
        <w:t xml:space="preserve"> v</w:t>
      </w:r>
      <w:r w:rsidRPr="00114E55">
        <w:rPr>
          <w:vertAlign w:val="subscript"/>
        </w:rPr>
        <w:t>2</w:t>
      </w:r>
      <w:r w:rsidRPr="00114E55">
        <w:t>,...,</w:t>
      </w:r>
      <w:r w:rsidRPr="00114E55">
        <w:rPr>
          <w:i/>
        </w:rPr>
        <w:t xml:space="preserve"> v</w:t>
      </w:r>
      <w:r w:rsidRPr="00114E55">
        <w:rPr>
          <w:i/>
          <w:vertAlign w:val="subscript"/>
        </w:rPr>
        <w:t>N</w:t>
      </w:r>
      <w:r w:rsidRPr="00114E55">
        <w:rPr>
          <w:vertAlign w:val="subscript"/>
        </w:rPr>
        <w:t>cs</w:t>
      </w:r>
      <w:r w:rsidRPr="00114E55">
        <w:t xml:space="preserve">). </w:t>
      </w:r>
      <w:r>
        <w:t>Les appels de la catégorie</w:t>
      </w:r>
      <w:r>
        <w:rPr>
          <w:i/>
          <w:iCs/>
        </w:rPr>
        <w:t xml:space="preserve"> n </w:t>
      </w:r>
      <w:r>
        <w:t xml:space="preserve">arrivent suivant un processus de Poisson de débit </w:t>
      </w:r>
      <w:r>
        <w:rPr>
          <w:i/>
          <w:iCs/>
        </w:rPr>
        <w:t>P</w:t>
      </w:r>
      <w:r>
        <w:rPr>
          <w:i/>
          <w:iCs/>
          <w:vertAlign w:val="subscript"/>
        </w:rPr>
        <w:t>n</w:t>
      </w:r>
      <w:r>
        <w:t xml:space="preserve">, indépendamment de ceux des autres catégories et ont des durées d'occupation à distribution exponentielle avec une </w:t>
      </w:r>
      <w:r>
        <w:lastRenderedPageBreak/>
        <w:t xml:space="preserve">durée moyenne </w:t>
      </w:r>
      <w:r w:rsidRPr="008E7C23">
        <w:rPr>
          <w:rFonts w:ascii="Symbol" w:hAnsi="Symbol"/>
          <w:iCs/>
          <w:sz w:val="22"/>
          <w:szCs w:val="22"/>
        </w:rPr>
        <w:sym w:font="Symbol" w:char="F06D"/>
      </w:r>
      <w:r>
        <w:rPr>
          <w:i/>
          <w:iCs/>
          <w:vertAlign w:val="subscript"/>
        </w:rPr>
        <w:t>n</w:t>
      </w:r>
      <w:r>
        <w:rPr>
          <w:i/>
          <w:iCs/>
        </w:rPr>
        <w:t xml:space="preserve">, </w:t>
      </w:r>
      <w:r>
        <w:t xml:space="preserve">de sorte que le trafic offert de classe </w:t>
      </w:r>
      <w:r>
        <w:rPr>
          <w:i/>
          <w:iCs/>
        </w:rPr>
        <w:t>n</w:t>
      </w:r>
      <w:r>
        <w:t xml:space="preserve"> est </w:t>
      </w:r>
      <w:r w:rsidRPr="0016530D">
        <w:rPr>
          <w:rFonts w:ascii="Symbol" w:hAnsi="Symbol"/>
          <w:iCs/>
          <w:lang w:val="es-ES"/>
        </w:rPr>
        <w:sym w:font="Symbol" w:char="F072"/>
      </w:r>
      <w:r>
        <w:rPr>
          <w:i/>
          <w:iCs/>
          <w:vertAlign w:val="subscript"/>
        </w:rPr>
        <w:t>n</w:t>
      </w:r>
      <w:r>
        <w:t>. Tous les canaux utilisés par un appel sont libérés à la fin de la durée d'occupation.</w:t>
      </w:r>
    </w:p>
    <w:p w:rsidR="00FE0045" w:rsidRDefault="00FE0045" w:rsidP="00FE0045">
      <w:r>
        <w:t xml:space="preserve">Supposons que l'état du système </w:t>
      </w:r>
      <w:r w:rsidRPr="0016530D">
        <w:rPr>
          <w:bCs/>
          <w:i/>
          <w:iCs/>
        </w:rPr>
        <w:t>i</w:t>
      </w:r>
      <w:r>
        <w:rPr>
          <w:b/>
          <w:bCs/>
          <w:i/>
          <w:iCs/>
        </w:rPr>
        <w:t xml:space="preserve"> </w:t>
      </w:r>
      <w:r>
        <w:t xml:space="preserve">soit </w:t>
      </w:r>
      <w:r w:rsidRPr="00114E55">
        <w:rPr>
          <w:i/>
        </w:rPr>
        <w:t>i</w:t>
      </w:r>
      <w:r w:rsidRPr="00114E55">
        <w:t xml:space="preserve"> ≡ (</w:t>
      </w:r>
      <w:r w:rsidRPr="00114E55">
        <w:rPr>
          <w:i/>
        </w:rPr>
        <w:t>i</w:t>
      </w:r>
      <w:r w:rsidRPr="00114E55">
        <w:rPr>
          <w:vertAlign w:val="subscript"/>
        </w:rPr>
        <w:t>1</w:t>
      </w:r>
      <w:r w:rsidRPr="00114E55">
        <w:t>,</w:t>
      </w:r>
      <w:r w:rsidRPr="00114E55">
        <w:rPr>
          <w:i/>
        </w:rPr>
        <w:t xml:space="preserve"> i</w:t>
      </w:r>
      <w:r w:rsidRPr="00114E55">
        <w:rPr>
          <w:vertAlign w:val="subscript"/>
        </w:rPr>
        <w:t>2</w:t>
      </w:r>
      <w:r w:rsidRPr="00114E55">
        <w:t>,...,</w:t>
      </w:r>
      <w:r w:rsidRPr="00114E55">
        <w:rPr>
          <w:i/>
        </w:rPr>
        <w:t xml:space="preserve"> </w:t>
      </w:r>
      <w:r w:rsidRPr="00841696">
        <w:rPr>
          <w:position w:val="-16"/>
        </w:rPr>
        <w:object w:dxaOrig="460" w:dyaOrig="400">
          <v:shape id="_x0000_i1044" type="#_x0000_t75" style="width:23.2pt;height:20.25pt" o:ole="" o:allowoverlap="f">
            <v:imagedata r:id="rId51" o:title=""/>
          </v:shape>
          <o:OLEObject Type="Embed" ProgID="Equation.3" ShapeID="_x0000_i1044" DrawAspect="Content" ObjectID="_1459064086" r:id="rId52"/>
        </w:object>
      </w:r>
      <w:r w:rsidRPr="00114E55">
        <w:t>)</w:t>
      </w:r>
      <w:r>
        <w:t>,</w:t>
      </w:r>
      <w:r w:rsidRPr="00114E55">
        <w:t xml:space="preserve"> </w:t>
      </w:r>
      <w:r>
        <w:rPr>
          <w:i/>
          <w:iCs/>
        </w:rPr>
        <w:t>i</w:t>
      </w:r>
      <w:r>
        <w:rPr>
          <w:i/>
          <w:iCs/>
          <w:vertAlign w:val="subscript"/>
        </w:rPr>
        <w:t>m</w:t>
      </w:r>
      <w:r>
        <w:t xml:space="preserve"> étant le nombre d'appels de classe </w:t>
      </w:r>
      <w:r>
        <w:rPr>
          <w:i/>
          <w:iCs/>
        </w:rPr>
        <w:t>m</w:t>
      </w:r>
      <w:r>
        <w:t xml:space="preserve"> qui utilisent des canaux à l'instant considéré. La distribution de probabilité en régime permanent a, alors, une </w:t>
      </w:r>
      <w:r w:rsidRPr="00D157DB">
        <w:rPr>
          <w:i/>
        </w:rPr>
        <w:t>forme produit</w:t>
      </w:r>
      <w:r>
        <w:t xml:space="preserve"> simple:</w:t>
      </w:r>
    </w:p>
    <w:p w:rsidR="00FE0045" w:rsidRPr="001555A0" w:rsidRDefault="00FE0045" w:rsidP="00FE0045">
      <w:pPr>
        <w:pStyle w:val="Equation"/>
        <w:rPr>
          <w:sz w:val="22"/>
          <w:szCs w:val="22"/>
        </w:rPr>
      </w:pPr>
      <w:r w:rsidRPr="001555A0">
        <w:tab/>
      </w:r>
      <w:r w:rsidRPr="001555A0">
        <w:tab/>
      </w:r>
      <w:r w:rsidRPr="001555A0">
        <w:rPr>
          <w:position w:val="-34"/>
        </w:rPr>
        <w:object w:dxaOrig="2400" w:dyaOrig="820">
          <v:shape id="_x0000_i1045" type="#_x0000_t75" style="width:120.2pt;height:40.45pt" o:ole="" o:allowoverlap="f">
            <v:imagedata r:id="rId53" o:title=""/>
          </v:shape>
          <o:OLEObject Type="Embed" ProgID="Equation.3" ShapeID="_x0000_i1045" DrawAspect="Content" ObjectID="_1459064087" r:id="rId54"/>
        </w:object>
      </w:r>
      <w:r w:rsidRPr="001555A0">
        <w:tab/>
      </w:r>
      <w:r w:rsidRPr="001555A0">
        <w:rPr>
          <w:sz w:val="22"/>
          <w:szCs w:val="22"/>
        </w:rPr>
        <w:t>(</w:t>
      </w:r>
      <w:r>
        <w:rPr>
          <w:sz w:val="22"/>
          <w:szCs w:val="22"/>
        </w:rPr>
        <w:t>20</w:t>
      </w:r>
      <w:r w:rsidRPr="001555A0">
        <w:rPr>
          <w:sz w:val="22"/>
          <w:szCs w:val="22"/>
        </w:rPr>
        <w:t>)</w:t>
      </w:r>
    </w:p>
    <w:p w:rsidR="00FE0045" w:rsidRDefault="00FE0045" w:rsidP="00F00D23">
      <w:pPr>
        <w:rPr>
          <w:lang w:eastAsia="ja-JP"/>
        </w:rPr>
      </w:pPr>
      <w:r>
        <w:rPr>
          <w:lang w:eastAsia="ja-JP"/>
        </w:rPr>
        <w:t>avec:</w:t>
      </w:r>
    </w:p>
    <w:p w:rsidR="00FE0045" w:rsidRPr="001555A0" w:rsidRDefault="00FE0045" w:rsidP="00FE0045">
      <w:pPr>
        <w:pStyle w:val="Equation"/>
        <w:rPr>
          <w:sz w:val="22"/>
          <w:szCs w:val="22"/>
        </w:rPr>
      </w:pPr>
      <w:r w:rsidRPr="001555A0">
        <w:tab/>
      </w:r>
      <w:r w:rsidRPr="001555A0">
        <w:tab/>
      </w:r>
      <w:r w:rsidRPr="00D157DB">
        <w:rPr>
          <w:position w:val="-36"/>
        </w:rPr>
        <w:object w:dxaOrig="3739" w:dyaOrig="820">
          <v:shape id="_x0000_i1046" type="#_x0000_t75" style="width:187.45pt;height:40.45pt" o:ole="">
            <v:imagedata r:id="rId55" o:title=""/>
          </v:shape>
          <o:OLEObject Type="Embed" ProgID="Equation.3" ShapeID="_x0000_i1046" DrawAspect="Content" ObjectID="_1459064088" r:id="rId56"/>
        </w:object>
      </w:r>
      <w:r w:rsidRPr="001555A0">
        <w:tab/>
      </w:r>
      <w:r w:rsidRPr="001555A0">
        <w:rPr>
          <w:sz w:val="22"/>
          <w:szCs w:val="22"/>
        </w:rPr>
        <w:t>(</w:t>
      </w:r>
      <w:r>
        <w:rPr>
          <w:sz w:val="22"/>
          <w:szCs w:val="22"/>
        </w:rPr>
        <w:t>21</w:t>
      </w:r>
      <w:r w:rsidRPr="001555A0">
        <w:rPr>
          <w:sz w:val="22"/>
          <w:szCs w:val="22"/>
        </w:rPr>
        <w:t>)</w:t>
      </w:r>
    </w:p>
    <w:p w:rsidR="00FE0045" w:rsidRDefault="00FE0045" w:rsidP="00FE0045">
      <w:r>
        <w:t xml:space="preserve">Dans ces équations, </w:t>
      </w:r>
      <w:r w:rsidRPr="001555A0">
        <w:rPr>
          <w:position w:val="-14"/>
        </w:rPr>
        <w:object w:dxaOrig="1680" w:dyaOrig="460">
          <v:shape id="_x0000_i1047" type="#_x0000_t75" style="width:83.9pt;height:23.2pt" o:ole="" o:allowoverlap="f">
            <v:imagedata r:id="rId57" o:title=""/>
          </v:shape>
          <o:OLEObject Type="Embed" ProgID="Equation.3" ShapeID="_x0000_i1047" DrawAspect="Content" ObjectID="_1459064089" r:id="rId58"/>
        </w:object>
      </w:r>
      <w:r>
        <w:t xml:space="preserve"> représente le nombre de canaux utilisés lorsque l'état du système est </w:t>
      </w:r>
      <w:r w:rsidRPr="0016530D">
        <w:rPr>
          <w:bCs/>
          <w:i/>
          <w:iCs/>
        </w:rPr>
        <w:t>i</w:t>
      </w:r>
      <w:r>
        <w:t xml:space="preserve">. </w:t>
      </w:r>
    </w:p>
    <w:p w:rsidR="00FE0045" w:rsidRDefault="00FE0045" w:rsidP="00FE0045">
      <w:r>
        <w:t xml:space="preserve">La probabilité de blocage des appels de classe </w:t>
      </w:r>
      <w:r>
        <w:rPr>
          <w:i/>
          <w:iCs/>
        </w:rPr>
        <w:t>n</w:t>
      </w:r>
      <w:r>
        <w:t xml:space="preserve"> est alors donnée par la relation:</w:t>
      </w:r>
    </w:p>
    <w:p w:rsidR="00FE0045" w:rsidRPr="00D80341" w:rsidRDefault="00FE0045" w:rsidP="00FE0045">
      <w:pPr>
        <w:pStyle w:val="Blanc"/>
        <w:rPr>
          <w:lang w:val="fr-CH"/>
        </w:rPr>
      </w:pPr>
    </w:p>
    <w:p w:rsidR="00FE0045" w:rsidRPr="001555A0" w:rsidRDefault="00FE0045" w:rsidP="00FE0045">
      <w:pPr>
        <w:pStyle w:val="Equation"/>
        <w:rPr>
          <w:sz w:val="22"/>
          <w:szCs w:val="22"/>
        </w:rPr>
      </w:pPr>
      <w:r w:rsidRPr="001555A0">
        <w:tab/>
      </w:r>
      <w:r w:rsidRPr="001555A0">
        <w:tab/>
      </w:r>
      <w:r w:rsidRPr="001555A0">
        <w:rPr>
          <w:position w:val="-40"/>
        </w:rPr>
        <w:object w:dxaOrig="3560" w:dyaOrig="780">
          <v:shape id="_x0000_i1048" type="#_x0000_t75" style="width:177.9pt;height:39.25pt" o:ole="">
            <v:imagedata r:id="rId59" o:title=""/>
          </v:shape>
          <o:OLEObject Type="Embed" ProgID="Equation.3" ShapeID="_x0000_i1048" DrawAspect="Content" ObjectID="_1459064090" r:id="rId60"/>
        </w:object>
      </w:r>
      <w:r w:rsidRPr="001555A0">
        <w:tab/>
      </w:r>
      <w:r w:rsidRPr="00673538">
        <w:rPr>
          <w:szCs w:val="24"/>
        </w:rPr>
        <w:t>(22)</w:t>
      </w:r>
    </w:p>
    <w:p w:rsidR="00FE0045" w:rsidRPr="00D80341" w:rsidRDefault="00FE0045" w:rsidP="00FE0045">
      <w:pPr>
        <w:pStyle w:val="Blanc"/>
        <w:rPr>
          <w:lang w:val="fr-CH"/>
        </w:rPr>
      </w:pPr>
    </w:p>
    <w:p w:rsidR="00FE0045" w:rsidRDefault="00FE0045" w:rsidP="00FE0045">
      <w:r>
        <w:t xml:space="preserve">Il est difficile de calculer </w:t>
      </w:r>
      <w:r w:rsidRPr="00347FB8">
        <w:rPr>
          <w:i/>
        </w:rPr>
        <w:t>G</w:t>
      </w:r>
      <w:r w:rsidRPr="00347FB8">
        <w:t>(</w:t>
      </w:r>
      <w:r w:rsidRPr="00347FB8">
        <w:rPr>
          <w:i/>
        </w:rPr>
        <w:t>k</w:t>
      </w:r>
      <w:r w:rsidRPr="00347FB8">
        <w:t>)</w:t>
      </w:r>
      <w:r>
        <w:t xml:space="preserve"> en force brute à l'aide de l'équation (21); plusieurs algorithmes efficaces ont donc été mis au point, dont l'algorithme récursif unidimensionnel de Kaufman [1981] et Roberts [1981], qui est simple et préférable du point de vue du calcul. Afin de pouvoir l'utiliser de manière répétée pour déterminer la capacité de système requise pour répondre aux besoins de l'utilisateur en matière de probabilités de blocage [</w:t>
      </w:r>
      <w:r w:rsidRPr="00D157DB">
        <w:rPr>
          <w:lang w:eastAsia="ja-JP"/>
        </w:rPr>
        <w:t xml:space="preserve">Takagi </w:t>
      </w:r>
      <w:r w:rsidRPr="00673538">
        <w:rPr>
          <w:lang w:eastAsia="ja-JP"/>
        </w:rPr>
        <w:t xml:space="preserve">et </w:t>
      </w:r>
      <w:r>
        <w:rPr>
          <w:lang w:eastAsia="ja-JP"/>
        </w:rPr>
        <w:t>autres</w:t>
      </w:r>
      <w:r w:rsidRPr="00D157DB">
        <w:rPr>
          <w:lang w:eastAsia="ja-JP"/>
        </w:rPr>
        <w:t>, 2005</w:t>
      </w:r>
      <w:r>
        <w:t>], c'est-à-dire résoudre le problème inverse, cet algorithme a été modifié et est appliqué de la manière suivante.</w:t>
      </w:r>
    </w:p>
    <w:p w:rsidR="00FE0045" w:rsidRDefault="00FE0045" w:rsidP="00FE0045">
      <w:r>
        <w:t xml:space="preserve">On commence par poser </w:t>
      </w:r>
      <w:r>
        <w:rPr>
          <w:i/>
          <w:iCs/>
        </w:rPr>
        <w:t>G</w:t>
      </w:r>
      <w:r w:rsidRPr="00347FB8">
        <w:rPr>
          <w:iCs/>
        </w:rPr>
        <w:t>(0)</w:t>
      </w:r>
      <w:r>
        <w:rPr>
          <w:i/>
          <w:iCs/>
        </w:rPr>
        <w:t xml:space="preserve"> = </w:t>
      </w:r>
      <w:r>
        <w:t xml:space="preserve">1, puis on calcule </w:t>
      </w:r>
      <w:r>
        <w:rPr>
          <w:i/>
          <w:iCs/>
        </w:rPr>
        <w:t>G</w:t>
      </w:r>
      <w:r w:rsidRPr="00347FB8">
        <w:rPr>
          <w:iCs/>
        </w:rPr>
        <w:t>(</w:t>
      </w:r>
      <w:r>
        <w:rPr>
          <w:i/>
          <w:iCs/>
        </w:rPr>
        <w:t>k</w:t>
      </w:r>
      <w:r w:rsidRPr="00347FB8">
        <w:rPr>
          <w:iCs/>
        </w:rPr>
        <w:t>)</w:t>
      </w:r>
      <w:r>
        <w:rPr>
          <w:i/>
          <w:iCs/>
        </w:rPr>
        <w:t>, k</w:t>
      </w:r>
      <w:r>
        <w:t xml:space="preserve"> = 1,2,...,</w:t>
      </w:r>
      <w:r>
        <w:rPr>
          <w:i/>
          <w:iCs/>
        </w:rPr>
        <w:t>v</w:t>
      </w:r>
      <w:r>
        <w:t>, de manière récursive à l'aide de l'équation:</w:t>
      </w:r>
    </w:p>
    <w:p w:rsidR="00FE0045" w:rsidRPr="001555A0" w:rsidRDefault="00FE0045" w:rsidP="00FE0045">
      <w:pPr>
        <w:pStyle w:val="Equation"/>
        <w:rPr>
          <w:lang w:eastAsia="ja-JP"/>
        </w:rPr>
      </w:pPr>
      <w:r w:rsidRPr="001555A0">
        <w:tab/>
      </w:r>
      <w:r w:rsidRPr="001555A0">
        <w:tab/>
      </w:r>
      <w:r w:rsidRPr="001555A0">
        <w:rPr>
          <w:position w:val="-40"/>
        </w:rPr>
        <w:object w:dxaOrig="3940" w:dyaOrig="920">
          <v:shape id="_x0000_i1049" type="#_x0000_t75" style="width:196.95pt;height:45.8pt" o:ole="" o:allowoverlap="f">
            <v:imagedata r:id="rId61" o:title=""/>
          </v:shape>
          <o:OLEObject Type="Embed" ProgID="Equation.3" ShapeID="_x0000_i1049" DrawAspect="Content" ObjectID="_1459064091" r:id="rId62"/>
        </w:object>
      </w:r>
      <w:r w:rsidRPr="001555A0">
        <w:tab/>
      </w:r>
      <w:r w:rsidRPr="00673538">
        <w:rPr>
          <w:szCs w:val="24"/>
        </w:rPr>
        <w:t>(23)</w:t>
      </w:r>
    </w:p>
    <w:p w:rsidR="00FE0045" w:rsidRPr="00D80341" w:rsidRDefault="00FE0045" w:rsidP="00FE0045">
      <w:pPr>
        <w:pStyle w:val="Blanc"/>
        <w:rPr>
          <w:lang w:val="fr-CH"/>
        </w:rPr>
      </w:pPr>
    </w:p>
    <w:p w:rsidR="00FE0045" w:rsidRDefault="00FE0045" w:rsidP="00FE0045">
      <w:r>
        <w:t xml:space="preserve">Dans cette équation, </w:t>
      </w:r>
      <w:r>
        <w:rPr>
          <w:i/>
          <w:iCs/>
        </w:rPr>
        <w:t>G</w:t>
      </w:r>
      <w:r w:rsidRPr="00347FB8">
        <w:rPr>
          <w:iCs/>
        </w:rPr>
        <w:t>(</w:t>
      </w:r>
      <w:r>
        <w:rPr>
          <w:i/>
          <w:iCs/>
        </w:rPr>
        <w:t>k</w:t>
      </w:r>
      <w:r w:rsidRPr="00347FB8">
        <w:rPr>
          <w:iCs/>
        </w:rPr>
        <w:t>)</w:t>
      </w:r>
      <w:r w:rsidRPr="00347FB8">
        <w:t xml:space="preserve"> </w:t>
      </w:r>
      <w:r>
        <w:t xml:space="preserve">= 0 pour </w:t>
      </w:r>
      <w:r>
        <w:rPr>
          <w:i/>
          <w:iCs/>
        </w:rPr>
        <w:t>k</w:t>
      </w:r>
      <w:r>
        <w:t xml:space="preserve"> </w:t>
      </w:r>
      <w:r>
        <w:rPr>
          <w:rFonts w:ascii="Symbol" w:hAnsi="Symbol"/>
          <w:noProof/>
        </w:rPr>
        <w:sym w:font="Symbol" w:char="F03C"/>
      </w:r>
      <w:r>
        <w:t xml:space="preserve"> 0. Cet algorithme permet d'obtenir les probabilités de blocage correspondant aux systèmes dont un nombre maximal </w:t>
      </w:r>
      <w:r>
        <w:rPr>
          <w:i/>
          <w:iCs/>
        </w:rPr>
        <w:t>v</w:t>
      </w:r>
      <w:r>
        <w:t xml:space="preserve"> de canaux sont utilisés en même temps avec un temps de calcul </w:t>
      </w:r>
      <w:r w:rsidRPr="00E55AE2">
        <w:rPr>
          <w:i/>
        </w:rPr>
        <w:t>O</w:t>
      </w:r>
      <w:r w:rsidRPr="00347FB8">
        <w:rPr>
          <w:iCs/>
        </w:rPr>
        <w:t>(</w:t>
      </w:r>
      <w:r>
        <w:rPr>
          <w:i/>
          <w:iCs/>
        </w:rPr>
        <w:t>N</w:t>
      </w:r>
      <w:r>
        <w:rPr>
          <w:i/>
          <w:iCs/>
          <w:vertAlign w:val="subscript"/>
        </w:rPr>
        <w:t>cs</w:t>
      </w:r>
      <w:r>
        <w:rPr>
          <w:i/>
          <w:iCs/>
        </w:rPr>
        <w:t>v</w:t>
      </w:r>
      <w:r w:rsidRPr="00347FB8">
        <w:rPr>
          <w:iCs/>
        </w:rPr>
        <w:t>)</w:t>
      </w:r>
      <w:r>
        <w:t xml:space="preserve"> et des besoins en mémoire de </w:t>
      </w:r>
      <w:r w:rsidRPr="00E55AE2">
        <w:rPr>
          <w:i/>
        </w:rPr>
        <w:t>O</w:t>
      </w:r>
      <w:r w:rsidRPr="00347FB8">
        <w:rPr>
          <w:iCs/>
        </w:rPr>
        <w:t>(</w:t>
      </w:r>
      <w:r>
        <w:rPr>
          <w:i/>
          <w:iCs/>
        </w:rPr>
        <w:t>v</w:t>
      </w:r>
      <w:r w:rsidRPr="00347FB8">
        <w:rPr>
          <w:iCs/>
        </w:rPr>
        <w:t>)</w:t>
      </w:r>
      <w:r>
        <w:t>.</w:t>
      </w:r>
    </w:p>
    <w:p w:rsidR="00FE0045" w:rsidRDefault="00FE0045" w:rsidP="00FE0045">
      <w:r>
        <w:t xml:space="preserve">Le modèle et l'algorithme ci-dessus sont utilisés pour calculer la probabilité de blocage pour chacune des </w:t>
      </w:r>
      <w:r>
        <w:rPr>
          <w:i/>
          <w:iCs/>
        </w:rPr>
        <w:t>N</w:t>
      </w:r>
      <w:r>
        <w:rPr>
          <w:i/>
          <w:iCs/>
          <w:vertAlign w:val="subscript"/>
        </w:rPr>
        <w:t>cs</w:t>
      </w:r>
      <w:r>
        <w:rPr>
          <w:i/>
          <w:iCs/>
        </w:rPr>
        <w:t xml:space="preserve"> </w:t>
      </w:r>
      <w:r>
        <w:t xml:space="preserve">catégories de service lorsqu'on connaît le nombre total de canaux, </w:t>
      </w:r>
      <w:r>
        <w:rPr>
          <w:i/>
          <w:iCs/>
        </w:rPr>
        <w:t>v</w:t>
      </w:r>
      <w:r>
        <w:t xml:space="preserve">. Au moyen de la méthode inverse, on calcule le nombre total de canaux avec lesquels il est possible d'obtenir la probabilité de blocage pour chacune des catégories de service requises par l'utilisateur. On obtient la capacité du système en multipliant le nombre total de canaux par le débit binaire de chacun d'eux. </w:t>
      </w:r>
    </w:p>
    <w:p w:rsidR="00FE0045" w:rsidRDefault="00FE0045" w:rsidP="00FE0045">
      <w:r>
        <w:t xml:space="preserve">Pour des raisons de commodité, supposons que </w:t>
      </w:r>
      <w:r>
        <w:rPr>
          <w:i/>
          <w:iCs/>
        </w:rPr>
        <w:t>r</w:t>
      </w:r>
      <w:r>
        <w:t xml:space="preserve"> (bit/s) soit l'unité de débit de service de chaque canal. Lorsque le débit de service correspondant à la catégorie </w:t>
      </w:r>
      <w:r>
        <w:rPr>
          <w:i/>
          <w:iCs/>
        </w:rPr>
        <w:t>n</w:t>
      </w:r>
      <w:r>
        <w:t xml:space="preserve"> est </w:t>
      </w:r>
      <w:r>
        <w:rPr>
          <w:i/>
          <w:iCs/>
        </w:rPr>
        <w:t>r</w:t>
      </w:r>
      <w:r>
        <w:rPr>
          <w:i/>
          <w:iCs/>
          <w:vertAlign w:val="subscript"/>
        </w:rPr>
        <w:t>n</w:t>
      </w:r>
      <w:r>
        <w:t xml:space="preserve">, le paramètre </w:t>
      </w:r>
      <w:r>
        <w:rPr>
          <w:i/>
          <w:iCs/>
        </w:rPr>
        <w:t>v</w:t>
      </w:r>
      <w:r>
        <w:rPr>
          <w:i/>
          <w:iCs/>
          <w:vertAlign w:val="subscript"/>
        </w:rPr>
        <w:t>n</w:t>
      </w:r>
      <w:r>
        <w:rPr>
          <w:vertAlign w:val="subscript"/>
        </w:rPr>
        <w:t xml:space="preserve"> </w:t>
      </w:r>
      <w:r>
        <w:t>qui doit être utilisé dans la formule ci-dessus est donné par la relation:</w:t>
      </w:r>
    </w:p>
    <w:p w:rsidR="00FE0045" w:rsidRPr="00D80341" w:rsidRDefault="00FE0045" w:rsidP="00FE0045">
      <w:pPr>
        <w:pStyle w:val="Blanc"/>
        <w:rPr>
          <w:lang w:val="fr-CH"/>
        </w:rPr>
      </w:pPr>
    </w:p>
    <w:p w:rsidR="00FE0045" w:rsidRPr="001555A0" w:rsidRDefault="00FE0045" w:rsidP="00FE0045">
      <w:pPr>
        <w:pStyle w:val="Equation"/>
        <w:rPr>
          <w:sz w:val="22"/>
          <w:szCs w:val="22"/>
          <w:lang w:eastAsia="ja-JP"/>
        </w:rPr>
      </w:pPr>
      <w:r w:rsidRPr="001555A0">
        <w:tab/>
      </w:r>
      <w:r w:rsidRPr="001555A0">
        <w:tab/>
      </w:r>
      <w:r w:rsidRPr="00634A38">
        <w:rPr>
          <w:position w:val="-12"/>
        </w:rPr>
        <w:object w:dxaOrig="2260" w:dyaOrig="360">
          <v:shape id="_x0000_i1050" type="#_x0000_t75" style="width:112.45pt;height:17.85pt" o:ole="">
            <v:imagedata r:id="rId63" o:title=""/>
          </v:shape>
          <o:OLEObject Type="Embed" ProgID="Equation.3" ShapeID="_x0000_i1050" DrawAspect="Content" ObjectID="_1459064092" r:id="rId64"/>
        </w:object>
      </w:r>
      <w:r w:rsidRPr="001555A0">
        <w:rPr>
          <w:sz w:val="22"/>
          <w:szCs w:val="22"/>
        </w:rPr>
        <w:tab/>
      </w:r>
      <w:r w:rsidRPr="00673538">
        <w:rPr>
          <w:szCs w:val="24"/>
        </w:rPr>
        <w:t>(24)</w:t>
      </w:r>
    </w:p>
    <w:p w:rsidR="00FE0045" w:rsidRDefault="00FE0045" w:rsidP="00FE0045">
      <w:r>
        <w:lastRenderedPageBreak/>
        <w:t xml:space="preserve">Dans cette formule, </w:t>
      </w:r>
      <w:r w:rsidRPr="001555A0">
        <w:rPr>
          <w:position w:val="-12"/>
        </w:rPr>
        <w:object w:dxaOrig="380" w:dyaOrig="360">
          <v:shape id="_x0000_i1051" type="#_x0000_t75" style="width:19.05pt;height:17.85pt" o:ole="" o:allowoverlap="f">
            <v:imagedata r:id="rId65" o:title=""/>
          </v:shape>
          <o:OLEObject Type="Embed" ProgID="Equation.3" ShapeID="_x0000_i1051" DrawAspect="Content" ObjectID="_1459064093" r:id="rId66"/>
        </w:object>
      </w:r>
      <w:r>
        <w:t xml:space="preserve"> désigne le nombre entier le plus faible qui soit supérieur ou égal à </w:t>
      </w:r>
      <w:r>
        <w:rPr>
          <w:i/>
          <w:iCs/>
        </w:rPr>
        <w:t>x</w:t>
      </w:r>
      <w:r>
        <w:t xml:space="preserve"> (fonction maximale). Autrement dit, le nombre de canaux est calculé en utilisant </w:t>
      </w:r>
      <w:r>
        <w:rPr>
          <w:i/>
          <w:iCs/>
        </w:rPr>
        <w:t>r</w:t>
      </w:r>
      <w:r>
        <w:t xml:space="preserve"> comme unité de débit de données pour chaque catégorie de service.</w:t>
      </w:r>
    </w:p>
    <w:p w:rsidR="00FE0045" w:rsidRDefault="00FE0045" w:rsidP="00FE0045">
      <w:r>
        <w:t xml:space="preserve">Supposons que </w:t>
      </w:r>
      <w:r w:rsidRPr="00347FB8">
        <w:rPr>
          <w:rFonts w:ascii="Symbol" w:hAnsi="Symbol"/>
          <w:iCs/>
        </w:rPr>
        <w:sym w:font="Symbol" w:char="F070"/>
      </w:r>
      <w:r>
        <w:rPr>
          <w:i/>
          <w:iCs/>
          <w:vertAlign w:val="subscript"/>
        </w:rPr>
        <w:t>n</w:t>
      </w:r>
      <w:r>
        <w:t xml:space="preserve"> soit la probabilité de blocage de la catégorie de service </w:t>
      </w:r>
      <w:r>
        <w:rPr>
          <w:i/>
          <w:iCs/>
        </w:rPr>
        <w:t>n</w:t>
      </w:r>
      <w:r>
        <w:t xml:space="preserve"> requise par l'utilisateur. Le nombre de canaux nécessaires par cellule, </w:t>
      </w:r>
      <w:r w:rsidRPr="001555A0">
        <w:rPr>
          <w:position w:val="-4"/>
        </w:rPr>
        <w:object w:dxaOrig="220" w:dyaOrig="200">
          <v:shape id="_x0000_i1052" type="#_x0000_t75" style="width:10.7pt;height:10.7pt" o:ole="" o:allowoverlap="f">
            <v:imagedata r:id="rId67" o:title=""/>
          </v:shape>
          <o:OLEObject Type="Embed" ProgID="Equation.3" ShapeID="_x0000_i1052" DrawAspect="Content" ObjectID="_1459064094" r:id="rId68"/>
        </w:object>
      </w:r>
      <w:r>
        <w:t xml:space="preserve">, qui est alors obtenu est la valeur la plus faible de </w:t>
      </w:r>
      <w:r>
        <w:rPr>
          <w:i/>
          <w:iCs/>
        </w:rPr>
        <w:t xml:space="preserve">v </w:t>
      </w:r>
      <w:r>
        <w:t xml:space="preserve">qui remplit simultanément les conditions suivantes: </w:t>
      </w:r>
    </w:p>
    <w:p w:rsidR="00FE0045" w:rsidRPr="00D80341" w:rsidRDefault="00FE0045" w:rsidP="00FE0045">
      <w:pPr>
        <w:pStyle w:val="Blanc"/>
        <w:rPr>
          <w:lang w:val="fr-CH"/>
        </w:rPr>
      </w:pPr>
    </w:p>
    <w:p w:rsidR="00FE0045" w:rsidRPr="001555A0" w:rsidRDefault="00FE0045" w:rsidP="00FE0045">
      <w:pPr>
        <w:pStyle w:val="Equation"/>
      </w:pPr>
      <w:r w:rsidRPr="001555A0">
        <w:rPr>
          <w:i/>
        </w:rPr>
        <w:tab/>
      </w:r>
      <w:r w:rsidRPr="001555A0">
        <w:rPr>
          <w:i/>
        </w:rPr>
        <w:tab/>
        <w:t>B</w:t>
      </w:r>
      <w:r w:rsidRPr="001555A0">
        <w:rPr>
          <w:i/>
          <w:vertAlign w:val="subscript"/>
        </w:rPr>
        <w:t>n</w:t>
      </w:r>
      <w:r w:rsidRPr="001555A0">
        <w:t>(</w:t>
      </w:r>
      <w:r w:rsidRPr="001555A0">
        <w:rPr>
          <w:i/>
        </w:rPr>
        <w:t>v</w:t>
      </w:r>
      <w:r w:rsidRPr="001555A0">
        <w:t>) &lt; </w:t>
      </w:r>
      <w:r w:rsidRPr="001555A0">
        <w:sym w:font="Symbol" w:char="F070"/>
      </w:r>
      <w:r w:rsidRPr="001555A0">
        <w:rPr>
          <w:vertAlign w:val="subscript"/>
        </w:rPr>
        <w:t>n</w:t>
      </w:r>
      <w:r w:rsidRPr="001555A0">
        <w:t>,     1 </w:t>
      </w:r>
      <w:r w:rsidRPr="001555A0">
        <w:sym w:font="Symbol" w:char="F0A3"/>
      </w:r>
      <w:r w:rsidRPr="001555A0">
        <w:t> </w:t>
      </w:r>
      <w:r w:rsidRPr="001555A0">
        <w:rPr>
          <w:i/>
        </w:rPr>
        <w:t>n</w:t>
      </w:r>
      <w:r w:rsidRPr="001555A0">
        <w:t> </w:t>
      </w:r>
      <w:r w:rsidRPr="001555A0">
        <w:sym w:font="Symbol" w:char="F0A3"/>
      </w:r>
      <w:r w:rsidRPr="001555A0">
        <w:t> </w:t>
      </w:r>
      <w:r w:rsidRPr="001555A0">
        <w:rPr>
          <w:i/>
        </w:rPr>
        <w:t>N</w:t>
      </w:r>
      <w:r w:rsidRPr="001555A0">
        <w:rPr>
          <w:i/>
          <w:vertAlign w:val="subscript"/>
        </w:rPr>
        <w:t>cs</w:t>
      </w:r>
      <w:r w:rsidRPr="001555A0">
        <w:rPr>
          <w:i/>
          <w:vertAlign w:val="subscript"/>
        </w:rPr>
        <w:tab/>
      </w:r>
      <w:r w:rsidRPr="001555A0">
        <w:t>(</w:t>
      </w:r>
      <w:r>
        <w:t>25</w:t>
      </w:r>
      <w:r w:rsidRPr="001555A0">
        <w:t>)</w:t>
      </w:r>
    </w:p>
    <w:p w:rsidR="00FE0045" w:rsidRDefault="00FE0045" w:rsidP="00FE0045">
      <w:r>
        <w:t xml:space="preserve">La capacité de système requise </w:t>
      </w:r>
      <w:r>
        <w:rPr>
          <w:i/>
          <w:iCs/>
        </w:rPr>
        <w:t>C</w:t>
      </w:r>
      <w:r>
        <w:rPr>
          <w:i/>
          <w:iCs/>
          <w:vertAlign w:val="subscript"/>
        </w:rPr>
        <w:t>d,t,rat,p,cs</w:t>
      </w:r>
      <w:r>
        <w:t xml:space="preserve"> (bit/s </w:t>
      </w:r>
      <w:r>
        <w:sym w:font="Symbol" w:char="F0D7"/>
      </w:r>
      <w:r>
        <w:t xml:space="preserve"> (cellule)) pour toutes les catégories de services à commutation de circuits est enfin donnée par la relation:</w:t>
      </w:r>
    </w:p>
    <w:p w:rsidR="00FE0045" w:rsidRPr="001555A0" w:rsidRDefault="00FE0045" w:rsidP="00FE0045">
      <w:pPr>
        <w:pStyle w:val="Equation"/>
        <w:rPr>
          <w:sz w:val="22"/>
          <w:szCs w:val="22"/>
        </w:rPr>
      </w:pPr>
      <w:r w:rsidRPr="001555A0">
        <w:tab/>
      </w:r>
      <w:r w:rsidRPr="001555A0">
        <w:tab/>
      </w:r>
      <w:r w:rsidRPr="001555A0">
        <w:rPr>
          <w:position w:val="-16"/>
        </w:rPr>
        <w:object w:dxaOrig="1820" w:dyaOrig="400">
          <v:shape id="_x0000_i1053" type="#_x0000_t75" style="width:90.45pt;height:20.25pt" o:ole="" o:allowoverlap="f">
            <v:imagedata r:id="rId69" o:title=""/>
          </v:shape>
          <o:OLEObject Type="Embed" ProgID="Equation.3" ShapeID="_x0000_i1053" DrawAspect="Content" ObjectID="_1459064095" r:id="rId70"/>
        </w:object>
      </w:r>
      <w:r w:rsidRPr="001555A0">
        <w:rPr>
          <w:sz w:val="22"/>
          <w:szCs w:val="22"/>
        </w:rPr>
        <w:tab/>
        <w:t>(</w:t>
      </w:r>
      <w:r>
        <w:rPr>
          <w:sz w:val="22"/>
          <w:szCs w:val="22"/>
        </w:rPr>
        <w:t>26</w:t>
      </w:r>
      <w:r w:rsidRPr="001555A0">
        <w:rPr>
          <w:sz w:val="22"/>
          <w:szCs w:val="22"/>
        </w:rPr>
        <w:t>)</w:t>
      </w:r>
    </w:p>
    <w:p w:rsidR="00FE0045" w:rsidRDefault="00FE0045" w:rsidP="00FE0045">
      <w:pPr>
        <w:pStyle w:val="Heading2"/>
      </w:pPr>
      <w:r>
        <w:t>4.2</w:t>
      </w:r>
      <w:r>
        <w:tab/>
        <w:t>Calcul de la capacité de système requise pour le trafic à commutation par paquets</w:t>
      </w:r>
    </w:p>
    <w:p w:rsidR="00FE0045" w:rsidRDefault="00FE0045" w:rsidP="00FE0045">
      <w:pPr>
        <w:rPr>
          <w:szCs w:val="24"/>
        </w:rPr>
      </w:pPr>
      <w:r>
        <w:rPr>
          <w:szCs w:val="24"/>
        </w:rPr>
        <w:t>La capacité de système requise pour satisfaire aux exigences de chaque catégorie de service en matière de retard moyen est déterminée en utilisant un modèle de file d'attente applicable lorsque les temps d'arrivée des paquets sont indépendants et la distribution de la taille des paquets est arbitraire. Dans la théorie de la file d'attente, le modèle est connu sous le nom de modèle M/G/1 avec priorités non préemptives ou de système de mise en attente en tête de file [</w:t>
      </w:r>
      <w:r w:rsidRPr="00D157DB">
        <w:rPr>
          <w:lang w:eastAsia="ja-JP"/>
        </w:rPr>
        <w:t>Klienrock, 1976</w:t>
      </w:r>
      <w:r>
        <w:rPr>
          <w:szCs w:val="24"/>
        </w:rPr>
        <w:t xml:space="preserve">]. Avec la priorité non préemptive, lorsqu'arrive une tâche ayant un degré de priorité plus élevé que la tâche qui est en cours d'exécution, cette dernière n'est pas interrompue; elle est menée à terme avant que commence le service de la nouvelle. Un seul niveau de priorité est utilisé pour la catégorie de service reposant sur la transmission en mode paquet mais il est possible de regrouper plusieurs catégories de service et de leur attribuer un niveau de priorité commun. Pour chaque niveau de priorité, les paquets entrants sont stockés dans une file d'attente distincte. Dans la file d'attente de chaque niveau de priorité, on applique le principe du premier arrivé, premier servi (FCFS, </w:t>
      </w:r>
      <w:r w:rsidRPr="00673538">
        <w:rPr>
          <w:i/>
          <w:szCs w:val="24"/>
        </w:rPr>
        <w:t>first-come-first-served</w:t>
      </w:r>
      <w:r>
        <w:rPr>
          <w:szCs w:val="24"/>
        </w:rPr>
        <w:t>).</w:t>
      </w:r>
    </w:p>
    <w:p w:rsidR="00FE0045" w:rsidRDefault="00FE0045" w:rsidP="00FE0045">
      <w:pPr>
        <w:rPr>
          <w:szCs w:val="24"/>
        </w:rPr>
      </w:pPr>
      <w:r>
        <w:rPr>
          <w:szCs w:val="24"/>
        </w:rPr>
        <w:t xml:space="preserve">Une RAT est modélisée ici comme disposant d'une seule voie de transmission de paquets, quel que soit le nombre de canaux utilisés en parallèle dans une RAT réelle car aucun gain ne peut être conféré par le partage des ressources lorsque des paquets placés dans une file d'attente sont multiplexés afin d'être transmis via une ou plusieurs voies parallèles. Il n'a pas été tenu compte dans le présent calcul d'un léger surdébit résultant de la fragmentation et du bourrage lorsque plusieurs voies parallèles à débit binaire moyen sont utilisées à la place d'une voie unique de capacité égale à débit binaire élevé. Dans le système à file d'attente, la durée du service est déterminée par la taille des paquets et le débit de transmission des données. </w:t>
      </w:r>
    </w:p>
    <w:p w:rsidR="00FE0045" w:rsidRDefault="00FE0045" w:rsidP="00FE0045">
      <w:pPr>
        <w:rPr>
          <w:szCs w:val="24"/>
        </w:rPr>
      </w:pPr>
      <w:r>
        <w:rPr>
          <w:szCs w:val="24"/>
        </w:rPr>
        <w:t>Les paramètres ci-après doivent être utilisés pour déterminer la capacité de système requise pour le trafic en mode paquet:</w:t>
      </w:r>
    </w:p>
    <w:p w:rsidR="00FE0045" w:rsidRDefault="00FE0045" w:rsidP="00FE0045">
      <w:pPr>
        <w:pStyle w:val="enumlev1"/>
      </w:pPr>
      <w:r>
        <w:t>–</w:t>
      </w:r>
      <w:r>
        <w:tab/>
        <w:t xml:space="preserve">Pour chacune des catégories de service, le trafic de base offert par environnement de service et par cellule </w:t>
      </w:r>
      <w:r>
        <w:rPr>
          <w:i/>
          <w:iCs/>
        </w:rPr>
        <w:t>T</w:t>
      </w:r>
      <w:r>
        <w:rPr>
          <w:i/>
          <w:iCs/>
          <w:vertAlign w:val="subscript"/>
        </w:rPr>
        <w:t>d,t,n,rat,p</w:t>
      </w:r>
      <w:r>
        <w:t xml:space="preserve"> (bit/(s </w:t>
      </w:r>
      <w:r>
        <w:sym w:font="Symbol" w:char="F0D7"/>
      </w:r>
      <w:r>
        <w:t xml:space="preserve"> cellule)), tel que décrit au § 3.6.3.2.</w:t>
      </w:r>
    </w:p>
    <w:p w:rsidR="00FE0045" w:rsidRDefault="00FE0045" w:rsidP="00FE0045">
      <w:pPr>
        <w:pStyle w:val="enumlev1"/>
      </w:pPr>
      <w:r>
        <w:t>–</w:t>
      </w:r>
      <w:r>
        <w:tab/>
        <w:t xml:space="preserve">Le </w:t>
      </w:r>
      <w:r>
        <w:rPr>
          <w:i/>
          <w:iCs/>
        </w:rPr>
        <w:t>s</w:t>
      </w:r>
      <w:r>
        <w:rPr>
          <w:i/>
          <w:iCs/>
          <w:vertAlign w:val="subscript"/>
        </w:rPr>
        <w:t>n</w:t>
      </w:r>
      <w:r>
        <w:t xml:space="preserve"> moyen (nombre de bits/paquet) et le moment du second ordre </w:t>
      </w:r>
      <w:r>
        <w:rPr>
          <w:i/>
          <w:iCs/>
        </w:rPr>
        <w:t>s</w:t>
      </w:r>
      <w:r>
        <w:rPr>
          <w:i/>
          <w:iCs/>
          <w:vertAlign w:val="subscript"/>
        </w:rPr>
        <w:t>n</w:t>
      </w:r>
      <w:r>
        <w:rPr>
          <w:vertAlign w:val="superscript"/>
        </w:rPr>
        <w:t>(2)</w:t>
      </w:r>
      <w:r>
        <w:t xml:space="preserve"> (nombre de bits</w:t>
      </w:r>
      <w:r>
        <w:rPr>
          <w:vertAlign w:val="superscript"/>
        </w:rPr>
        <w:t>2</w:t>
      </w:r>
      <w:r>
        <w:t xml:space="preserve">/paquet) de la distribution des tailles de paquets IP de chacune des catégories de service </w:t>
      </w:r>
      <w:r w:rsidRPr="00347FB8">
        <w:rPr>
          <w:i/>
        </w:rPr>
        <w:t>n</w:t>
      </w:r>
      <w:r>
        <w:t xml:space="preserve"> mentionnées dans le Tableau 5.</w:t>
      </w:r>
    </w:p>
    <w:p w:rsidR="00FE0045" w:rsidRDefault="00FE0045" w:rsidP="00FE0045">
      <w:pPr>
        <w:pStyle w:val="enumlev1"/>
      </w:pPr>
      <w:r>
        <w:t>–</w:t>
      </w:r>
      <w:r>
        <w:tab/>
        <w:t xml:space="preserve">Le retard moyen </w:t>
      </w:r>
      <w:r>
        <w:rPr>
          <w:i/>
          <w:iCs/>
        </w:rPr>
        <w:t>D</w:t>
      </w:r>
      <w:r>
        <w:rPr>
          <w:i/>
          <w:iCs/>
          <w:vertAlign w:val="subscript"/>
        </w:rPr>
        <w:t>n</w:t>
      </w:r>
      <w:r>
        <w:t xml:space="preserve"> requis de chacune des catégories de service mentionnées dans le Tableau 5. </w:t>
      </w:r>
    </w:p>
    <w:p w:rsidR="00FE0045" w:rsidRDefault="00FE0045" w:rsidP="00FB430B">
      <w:pPr>
        <w:pStyle w:val="enumlev1"/>
        <w:keepNext/>
        <w:keepLines/>
      </w:pPr>
      <w:r>
        <w:lastRenderedPageBreak/>
        <w:t>–</w:t>
      </w:r>
      <w:r>
        <w:tab/>
        <w:t xml:space="preserve">Le classement par ordre de priorité de toutes les catégories de service </w:t>
      </w:r>
      <w:r>
        <w:rPr>
          <w:i/>
          <w:iCs/>
        </w:rPr>
        <w:t>n</w:t>
      </w:r>
      <w:r>
        <w:t xml:space="preserve"> avec </w:t>
      </w:r>
      <w:r w:rsidRPr="001555A0">
        <w:rPr>
          <w:i/>
          <w:lang w:eastAsia="ja-JP"/>
        </w:rPr>
        <w:t>n</w:t>
      </w:r>
      <w:r>
        <w:rPr>
          <w:i/>
          <w:lang w:eastAsia="ja-JP"/>
        </w:rPr>
        <w:t> </w:t>
      </w:r>
      <w:r w:rsidRPr="001555A0">
        <w:rPr>
          <w:lang w:eastAsia="ja-JP"/>
        </w:rPr>
        <w:t>=</w:t>
      </w:r>
      <w:r>
        <w:rPr>
          <w:lang w:eastAsia="ja-JP"/>
        </w:rPr>
        <w:t> </w:t>
      </w:r>
      <w:r w:rsidRPr="001555A0">
        <w:rPr>
          <w:lang w:eastAsia="ja-JP"/>
        </w:rPr>
        <w:t>1,</w:t>
      </w:r>
      <w:r>
        <w:rPr>
          <w:lang w:eastAsia="ja-JP"/>
        </w:rPr>
        <w:t> </w:t>
      </w:r>
      <w:r w:rsidRPr="001555A0">
        <w:rPr>
          <w:lang w:eastAsia="ja-JP"/>
        </w:rPr>
        <w:t>2,</w:t>
      </w:r>
      <w:r>
        <w:rPr>
          <w:lang w:eastAsia="ja-JP"/>
        </w:rPr>
        <w:t>...</w:t>
      </w:r>
      <w:r w:rsidRPr="001555A0">
        <w:rPr>
          <w:lang w:eastAsia="ja-JP"/>
        </w:rPr>
        <w:t>,</w:t>
      </w:r>
      <w:r>
        <w:rPr>
          <w:lang w:eastAsia="ja-JP"/>
        </w:rPr>
        <w:t> </w:t>
      </w:r>
      <w:r w:rsidRPr="001555A0">
        <w:rPr>
          <w:i/>
          <w:lang w:eastAsia="ja-JP"/>
        </w:rPr>
        <w:t>N</w:t>
      </w:r>
      <w:r w:rsidRPr="001555A0">
        <w:rPr>
          <w:i/>
          <w:vertAlign w:val="subscript"/>
          <w:lang w:eastAsia="ja-JP"/>
        </w:rPr>
        <w:t>ps</w:t>
      </w:r>
      <w:r>
        <w:t xml:space="preserve">. La catégorie de service </w:t>
      </w:r>
      <w:r>
        <w:rPr>
          <w:i/>
          <w:iCs/>
        </w:rPr>
        <w:t xml:space="preserve">n = </w:t>
      </w:r>
      <w:r w:rsidRPr="00347FB8">
        <w:rPr>
          <w:iCs/>
        </w:rPr>
        <w:t>1</w:t>
      </w:r>
      <w:r>
        <w:t xml:space="preserve"> est supposée avoir le degré de priorité le plus élevé, autrement dit les paquets IP de la catégorie de service </w:t>
      </w:r>
      <w:r>
        <w:rPr>
          <w:i/>
          <w:iCs/>
        </w:rPr>
        <w:t xml:space="preserve">n = </w:t>
      </w:r>
      <w:r w:rsidRPr="00347FB8">
        <w:rPr>
          <w:iCs/>
        </w:rPr>
        <w:t>1</w:t>
      </w:r>
      <w:r>
        <w:t xml:space="preserve"> sont acheminés les premiers. La catégorie de service </w:t>
      </w:r>
      <w:r>
        <w:rPr>
          <w:i/>
          <w:iCs/>
        </w:rPr>
        <w:t>n = N</w:t>
      </w:r>
      <w:r>
        <w:rPr>
          <w:i/>
          <w:iCs/>
          <w:vertAlign w:val="subscript"/>
        </w:rPr>
        <w:t>ps</w:t>
      </w:r>
      <w:r>
        <w:t xml:space="preserve"> a le degré de priorité le plus faible. Le classement par ordre de priorité coïncide avec la numérotation des catégories de service. </w:t>
      </w:r>
    </w:p>
    <w:p w:rsidR="00FE0045" w:rsidRDefault="00FE0045" w:rsidP="00FE0045">
      <w:pPr>
        <w:rPr>
          <w:szCs w:val="24"/>
        </w:rPr>
      </w:pPr>
      <w:r>
        <w:rPr>
          <w:szCs w:val="24"/>
        </w:rPr>
        <w:t xml:space="preserve">Le taux d'arrivée des paquets IP par cellule, </w:t>
      </w:r>
      <w:r w:rsidRPr="00347FB8">
        <w:rPr>
          <w:rFonts w:ascii="Symbol" w:hAnsi="Symbol"/>
          <w:iCs/>
          <w:szCs w:val="24"/>
          <w:lang w:val="es-ES"/>
        </w:rPr>
        <w:sym w:font="Symbol" w:char="F06C"/>
      </w:r>
      <w:r>
        <w:rPr>
          <w:i/>
          <w:iCs/>
          <w:szCs w:val="24"/>
          <w:vertAlign w:val="subscript"/>
        </w:rPr>
        <w:t>n</w:t>
      </w:r>
      <w:r>
        <w:rPr>
          <w:szCs w:val="24"/>
        </w:rPr>
        <w:t xml:space="preserve"> (paquets/(s </w:t>
      </w:r>
      <w:r>
        <w:sym w:font="Symbol" w:char="F0D7"/>
      </w:r>
      <w:r>
        <w:t xml:space="preserve"> </w:t>
      </w:r>
      <w:r>
        <w:rPr>
          <w:szCs w:val="24"/>
        </w:rPr>
        <w:t xml:space="preserve">cellule)) de la catégorie de service </w:t>
      </w:r>
      <w:r>
        <w:rPr>
          <w:i/>
          <w:iCs/>
          <w:szCs w:val="24"/>
        </w:rPr>
        <w:t>n</w:t>
      </w:r>
      <w:r>
        <w:rPr>
          <w:szCs w:val="24"/>
        </w:rPr>
        <w:t xml:space="preserve"> est obtenu en divisant le trafic de base offert par la taille moyenne des paquets (Tableau 5): </w:t>
      </w:r>
    </w:p>
    <w:p w:rsidR="00FE0045" w:rsidRPr="001555A0" w:rsidRDefault="00FE0045" w:rsidP="00FE0045">
      <w:pPr>
        <w:pStyle w:val="Equation"/>
        <w:rPr>
          <w:lang w:eastAsia="ja-JP"/>
        </w:rPr>
      </w:pPr>
      <w:r w:rsidRPr="001555A0">
        <w:tab/>
      </w:r>
      <w:r w:rsidRPr="001555A0">
        <w:tab/>
      </w:r>
      <w:r w:rsidRPr="001555A0">
        <w:rPr>
          <w:position w:val="-30"/>
        </w:rPr>
        <w:object w:dxaOrig="2360" w:dyaOrig="720">
          <v:shape id="_x0000_i1054" type="#_x0000_t75" style="width:117.8pt;height:36.9pt" o:ole="">
            <v:imagedata r:id="rId71" o:title=""/>
          </v:shape>
          <o:OLEObject Type="Embed" ProgID="Equation.3" ShapeID="_x0000_i1054" DrawAspect="Content" ObjectID="_1459064096" r:id="rId72"/>
        </w:object>
      </w:r>
      <w:r w:rsidRPr="001555A0">
        <w:tab/>
      </w:r>
      <w:r w:rsidRPr="001555A0">
        <w:rPr>
          <w:lang w:eastAsia="ja-JP"/>
        </w:rPr>
        <w:t>(</w:t>
      </w:r>
      <w:r>
        <w:rPr>
          <w:lang w:eastAsia="ja-JP"/>
        </w:rPr>
        <w:t>27</w:t>
      </w:r>
      <w:r w:rsidRPr="001555A0">
        <w:rPr>
          <w:lang w:eastAsia="ja-JP"/>
        </w:rPr>
        <w:t>)</w:t>
      </w:r>
    </w:p>
    <w:p w:rsidR="00FE0045" w:rsidRDefault="00FE0045" w:rsidP="00FE0045">
      <w:pPr>
        <w:rPr>
          <w:szCs w:val="24"/>
        </w:rPr>
      </w:pPr>
      <w:r>
        <w:rPr>
          <w:szCs w:val="24"/>
        </w:rPr>
        <w:t xml:space="preserve">Pour plus de simplicité, les indices </w:t>
      </w:r>
      <w:r>
        <w:rPr>
          <w:i/>
          <w:iCs/>
          <w:szCs w:val="24"/>
        </w:rPr>
        <w:t xml:space="preserve">d,t,rat </w:t>
      </w:r>
      <w:r>
        <w:rPr>
          <w:szCs w:val="24"/>
        </w:rPr>
        <w:t>et</w:t>
      </w:r>
      <w:r>
        <w:rPr>
          <w:i/>
          <w:iCs/>
          <w:szCs w:val="24"/>
        </w:rPr>
        <w:t xml:space="preserve"> p</w:t>
      </w:r>
      <w:r>
        <w:rPr>
          <w:szCs w:val="24"/>
        </w:rPr>
        <w:t xml:space="preserve"> sont supprimés et </w:t>
      </w:r>
      <w:r w:rsidRPr="00347FB8">
        <w:rPr>
          <w:rFonts w:ascii="Symbol" w:hAnsi="Symbol"/>
          <w:iCs/>
          <w:szCs w:val="24"/>
          <w:lang w:val="es-ES"/>
        </w:rPr>
        <w:sym w:font="Symbol" w:char="F06C"/>
      </w:r>
      <w:r>
        <w:rPr>
          <w:i/>
          <w:iCs/>
          <w:szCs w:val="24"/>
          <w:vertAlign w:val="subscript"/>
        </w:rPr>
        <w:t>d,t,n,rat,p</w:t>
      </w:r>
      <w:r>
        <w:rPr>
          <w:i/>
          <w:iCs/>
          <w:szCs w:val="24"/>
        </w:rPr>
        <w:t xml:space="preserve"> </w:t>
      </w:r>
      <w:r>
        <w:rPr>
          <w:szCs w:val="24"/>
        </w:rPr>
        <w:t xml:space="preserve">est désigné par </w:t>
      </w:r>
      <w:r w:rsidRPr="00347FB8">
        <w:rPr>
          <w:rFonts w:ascii="Symbol" w:hAnsi="Symbol"/>
          <w:iCs/>
          <w:szCs w:val="24"/>
          <w:lang w:val="es-ES"/>
        </w:rPr>
        <w:sym w:font="Symbol" w:char="F06C"/>
      </w:r>
      <w:r>
        <w:rPr>
          <w:i/>
          <w:iCs/>
          <w:szCs w:val="24"/>
          <w:vertAlign w:val="subscript"/>
        </w:rPr>
        <w:t>n</w:t>
      </w:r>
      <w:r>
        <w:rPr>
          <w:i/>
          <w:iCs/>
          <w:szCs w:val="24"/>
        </w:rPr>
        <w:t xml:space="preserve"> </w:t>
      </w:r>
      <w:r>
        <w:rPr>
          <w:szCs w:val="24"/>
        </w:rPr>
        <w:t>jusqu'à la fin de la présente section.</w:t>
      </w:r>
    </w:p>
    <w:p w:rsidR="00FE0045" w:rsidRDefault="00FE0045" w:rsidP="00FE0045">
      <w:pPr>
        <w:rPr>
          <w:szCs w:val="24"/>
        </w:rPr>
      </w:pPr>
      <w:r>
        <w:rPr>
          <w:szCs w:val="24"/>
        </w:rPr>
        <w:t>Le taux d'arrivée global pour toutes les catégories de service est donné par la relation:</w:t>
      </w:r>
    </w:p>
    <w:p w:rsidR="00FE0045" w:rsidRPr="001555A0" w:rsidRDefault="00FE0045" w:rsidP="00FE0045">
      <w:pPr>
        <w:pStyle w:val="Equation"/>
        <w:rPr>
          <w:lang w:eastAsia="ja-JP"/>
        </w:rPr>
      </w:pPr>
      <w:r w:rsidRPr="001555A0">
        <w:tab/>
      </w:r>
      <w:r w:rsidRPr="001555A0">
        <w:tab/>
      </w:r>
      <w:r w:rsidRPr="001555A0">
        <w:rPr>
          <w:position w:val="-34"/>
        </w:rPr>
        <w:object w:dxaOrig="1500" w:dyaOrig="859">
          <v:shape id="_x0000_i1055" type="#_x0000_t75" style="width:75pt;height:42.85pt" o:ole="" o:allowoverlap="f">
            <v:imagedata r:id="rId73" o:title=""/>
          </v:shape>
          <o:OLEObject Type="Embed" ProgID="Equation.3" ShapeID="_x0000_i1055" DrawAspect="Content" ObjectID="_1459064097" r:id="rId74"/>
        </w:object>
      </w:r>
      <w:r w:rsidRPr="001555A0">
        <w:tab/>
      </w:r>
      <w:r w:rsidRPr="001555A0">
        <w:rPr>
          <w:lang w:eastAsia="ja-JP"/>
        </w:rPr>
        <w:t>(</w:t>
      </w:r>
      <w:r>
        <w:rPr>
          <w:lang w:eastAsia="ja-JP"/>
        </w:rPr>
        <w:t>28</w:t>
      </w:r>
      <w:r w:rsidRPr="001555A0">
        <w:rPr>
          <w:lang w:eastAsia="ja-JP"/>
        </w:rPr>
        <w:t>)</w:t>
      </w:r>
    </w:p>
    <w:p w:rsidR="00FE0045" w:rsidRDefault="00FE0045" w:rsidP="00FE0045">
      <w:pPr>
        <w:rPr>
          <w:szCs w:val="24"/>
        </w:rPr>
      </w:pPr>
      <w:r>
        <w:rPr>
          <w:szCs w:val="24"/>
        </w:rPr>
        <w:t xml:space="preserve">La capacité de système </w:t>
      </w:r>
      <w:r>
        <w:rPr>
          <w:i/>
          <w:iCs/>
          <w:szCs w:val="24"/>
        </w:rPr>
        <w:t>C</w:t>
      </w:r>
      <w:r>
        <w:rPr>
          <w:i/>
          <w:iCs/>
          <w:szCs w:val="24"/>
          <w:vertAlign w:val="subscript"/>
        </w:rPr>
        <w:t>n</w:t>
      </w:r>
      <w:r>
        <w:rPr>
          <w:szCs w:val="24"/>
          <w:vertAlign w:val="subscript"/>
        </w:rPr>
        <w:t xml:space="preserve"> </w:t>
      </w:r>
      <w:r>
        <w:rPr>
          <w:szCs w:val="24"/>
        </w:rPr>
        <w:t xml:space="preserve">nécessaire pour obtenir le retard moyen requis par la catégorie de service </w:t>
      </w:r>
      <w:r>
        <w:rPr>
          <w:i/>
          <w:iCs/>
          <w:szCs w:val="24"/>
        </w:rPr>
        <w:t>n</w:t>
      </w:r>
      <w:r>
        <w:rPr>
          <w:szCs w:val="24"/>
        </w:rPr>
        <w:t xml:space="preserve"> peut être calculée de la manière indiquée ci-après. Le niveau de priorité qui exige la capacité maximale est représentatif de la capacité totale de système requise car lorsqu'il est satisfait aux impératifs de qualité de la catégorie de service la plus exigeante, il est amplement satisfait aux besoins des autres catégories. La capacité de système globale requise est donc donnée par la relation:</w:t>
      </w:r>
    </w:p>
    <w:p w:rsidR="00FE0045" w:rsidRPr="001555A0" w:rsidRDefault="00FE0045" w:rsidP="00FE0045">
      <w:pPr>
        <w:pStyle w:val="Equation"/>
        <w:rPr>
          <w:lang w:eastAsia="ja-JP"/>
        </w:rPr>
      </w:pPr>
      <w:r w:rsidRPr="001555A0">
        <w:tab/>
      </w:r>
      <w:r w:rsidRPr="001555A0">
        <w:tab/>
      </w:r>
      <w:r w:rsidRPr="00D157DB">
        <w:rPr>
          <w:position w:val="-18"/>
        </w:rPr>
        <w:object w:dxaOrig="3440" w:dyaOrig="420">
          <v:shape id="_x0000_i1056" type="#_x0000_t75" style="width:171.95pt;height:20.85pt" o:ole="">
            <v:imagedata r:id="rId75" o:title=""/>
          </v:shape>
          <o:OLEObject Type="Embed" ProgID="Equation.3" ShapeID="_x0000_i1056" DrawAspect="Content" ObjectID="_1459064098" r:id="rId76"/>
        </w:object>
      </w:r>
      <w:r w:rsidRPr="001555A0">
        <w:tab/>
      </w:r>
      <w:r w:rsidRPr="001555A0">
        <w:rPr>
          <w:lang w:eastAsia="ja-JP"/>
        </w:rPr>
        <w:t>(</w:t>
      </w:r>
      <w:r>
        <w:rPr>
          <w:lang w:eastAsia="ja-JP"/>
        </w:rPr>
        <w:t>29</w:t>
      </w:r>
      <w:r w:rsidRPr="001555A0">
        <w:rPr>
          <w:lang w:eastAsia="ja-JP"/>
        </w:rPr>
        <w:t>)</w:t>
      </w:r>
    </w:p>
    <w:p w:rsidR="00FE0045" w:rsidRDefault="00FE0045" w:rsidP="00FE0045">
      <w:pPr>
        <w:pStyle w:val="Equation"/>
        <w:rPr>
          <w:kern w:val="28"/>
          <w:szCs w:val="24"/>
        </w:rPr>
      </w:pPr>
      <w:r>
        <w:rPr>
          <w:kern w:val="28"/>
          <w:szCs w:val="24"/>
        </w:rPr>
        <w:t>Une tâche effectuée par le système de file d'attente est définie comme étant un paquet IP. Avec l'utilisation de priorités non préemptives, on suppose que chaque paquet IP est acheminé jusqu'au bout avant que l'attribution en cours des ressources radioélectriques change. Cette hypothèse est fondée car, dans bien des cas, l'interruption de l'acheminement d'un paquet IP provoque la perte de la capacité déjà utilisée pour ce paquet.</w:t>
      </w:r>
    </w:p>
    <w:p w:rsidR="00FE0045" w:rsidRDefault="00FE0045" w:rsidP="00FE0045">
      <w:pPr>
        <w:rPr>
          <w:szCs w:val="24"/>
        </w:rPr>
      </w:pPr>
      <w:r>
        <w:rPr>
          <w:szCs w:val="24"/>
        </w:rPr>
        <w:t xml:space="preserve">Le retard moyen des paquets IP, </w:t>
      </w:r>
      <w:r>
        <w:rPr>
          <w:i/>
          <w:iCs/>
          <w:szCs w:val="24"/>
        </w:rPr>
        <w:t>D</w:t>
      </w:r>
      <w:r>
        <w:rPr>
          <w:i/>
          <w:iCs/>
          <w:szCs w:val="24"/>
          <w:vertAlign w:val="subscript"/>
        </w:rPr>
        <w:t>n</w:t>
      </w:r>
      <w:r>
        <w:rPr>
          <w:szCs w:val="24"/>
        </w:rPr>
        <w:t xml:space="preserve">, c'est-à-dire la somme du temps moyen d'attente et du temps moyen de service, pour une catégorie de service </w:t>
      </w:r>
      <w:r>
        <w:rPr>
          <w:i/>
          <w:iCs/>
          <w:szCs w:val="24"/>
        </w:rPr>
        <w:t>n</w:t>
      </w:r>
      <w:r>
        <w:rPr>
          <w:szCs w:val="24"/>
        </w:rPr>
        <w:t xml:space="preserve"> et un système de capacité </w:t>
      </w:r>
      <w:r>
        <w:rPr>
          <w:i/>
          <w:iCs/>
          <w:szCs w:val="24"/>
        </w:rPr>
        <w:t>C</w:t>
      </w:r>
      <w:r>
        <w:rPr>
          <w:szCs w:val="24"/>
        </w:rPr>
        <w:t xml:space="preserve"> est donné par l'équation: </w:t>
      </w:r>
    </w:p>
    <w:p w:rsidR="00FE0045" w:rsidRPr="001555A0" w:rsidRDefault="00FE0045" w:rsidP="00FE0045">
      <w:pPr>
        <w:pStyle w:val="Equation"/>
        <w:rPr>
          <w:lang w:eastAsia="ja-JP"/>
        </w:rPr>
      </w:pPr>
      <w:r w:rsidRPr="001555A0">
        <w:tab/>
      </w:r>
      <w:r w:rsidRPr="001555A0">
        <w:rPr>
          <w:lang w:eastAsia="ja-JP"/>
        </w:rPr>
        <w:tab/>
      </w:r>
      <w:r w:rsidRPr="001555A0">
        <w:rPr>
          <w:position w:val="-76"/>
        </w:rPr>
        <w:object w:dxaOrig="4060" w:dyaOrig="1660">
          <v:shape id="_x0000_i1057" type="#_x0000_t75" style="width:202.9pt;height:82.7pt" o:ole="" o:allowoverlap="f">
            <v:imagedata r:id="rId77" o:title=""/>
          </v:shape>
          <o:OLEObject Type="Embed" ProgID="Equation.3" ShapeID="_x0000_i1057" DrawAspect="Content" ObjectID="_1459064099" r:id="rId78"/>
        </w:object>
      </w:r>
      <w:r w:rsidRPr="001555A0">
        <w:rPr>
          <w:lang w:eastAsia="ja-JP"/>
        </w:rPr>
        <w:tab/>
        <w:t>(</w:t>
      </w:r>
      <w:r>
        <w:rPr>
          <w:lang w:eastAsia="ja-JP"/>
        </w:rPr>
        <w:t>30</w:t>
      </w:r>
      <w:r w:rsidRPr="001555A0">
        <w:rPr>
          <w:lang w:eastAsia="ja-JP"/>
        </w:rPr>
        <w:t>)</w:t>
      </w:r>
    </w:p>
    <w:p w:rsidR="00FE0045" w:rsidRDefault="00FE0045" w:rsidP="00FE0045">
      <w:pPr>
        <w:rPr>
          <w:szCs w:val="24"/>
        </w:rPr>
      </w:pPr>
      <w:r>
        <w:rPr>
          <w:szCs w:val="24"/>
        </w:rPr>
        <w:t>Cette équation est tirée de la formule de Cobham applicable au temps moyen d'attente dans une seule file de type M/G/1 d'entrants à priorité non préemptive [</w:t>
      </w:r>
      <w:r w:rsidRPr="00D157DB">
        <w:rPr>
          <w:lang w:eastAsia="ja-JP"/>
        </w:rPr>
        <w:t>Cobham, 1954; Irnich and Walke, 2004</w:t>
      </w:r>
      <w:r>
        <w:rPr>
          <w:szCs w:val="24"/>
        </w:rPr>
        <w:t>].</w:t>
      </w:r>
    </w:p>
    <w:p w:rsidR="00FE0045" w:rsidRDefault="00FE0045" w:rsidP="00FE0045">
      <w:pPr>
        <w:rPr>
          <w:szCs w:val="24"/>
        </w:rPr>
      </w:pPr>
      <w:r>
        <w:rPr>
          <w:szCs w:val="24"/>
        </w:rPr>
        <w:t xml:space="preserve">Cette expression est utilisée pour déterminer la capacité de système </w:t>
      </w:r>
      <w:r>
        <w:rPr>
          <w:i/>
          <w:iCs/>
          <w:szCs w:val="24"/>
        </w:rPr>
        <w:t>C</w:t>
      </w:r>
      <w:r>
        <w:rPr>
          <w:i/>
          <w:iCs/>
          <w:szCs w:val="24"/>
          <w:vertAlign w:val="subscript"/>
        </w:rPr>
        <w:t>n</w:t>
      </w:r>
      <w:r>
        <w:rPr>
          <w:szCs w:val="24"/>
        </w:rPr>
        <w:t xml:space="preserve"> requise pour obtenir la QoS voulue </w:t>
      </w:r>
      <w:r>
        <w:rPr>
          <w:i/>
          <w:iCs/>
          <w:szCs w:val="24"/>
        </w:rPr>
        <w:t>D</w:t>
      </w:r>
      <w:r>
        <w:rPr>
          <w:i/>
          <w:iCs/>
          <w:szCs w:val="24"/>
          <w:vertAlign w:val="subscript"/>
        </w:rPr>
        <w:t>n</w:t>
      </w:r>
      <w:r>
        <w:rPr>
          <w:i/>
          <w:iCs/>
          <w:szCs w:val="24"/>
        </w:rPr>
        <w:t>(C</w:t>
      </w:r>
      <w:r>
        <w:rPr>
          <w:i/>
          <w:iCs/>
          <w:szCs w:val="24"/>
          <w:vertAlign w:val="subscript"/>
        </w:rPr>
        <w:t>n</w:t>
      </w:r>
      <w:r>
        <w:rPr>
          <w:i/>
          <w:iCs/>
          <w:szCs w:val="24"/>
        </w:rPr>
        <w:t>) = D</w:t>
      </w:r>
      <w:r>
        <w:rPr>
          <w:i/>
          <w:iCs/>
          <w:szCs w:val="24"/>
          <w:vertAlign w:val="subscript"/>
        </w:rPr>
        <w:t>n</w:t>
      </w:r>
      <w:r>
        <w:rPr>
          <w:i/>
          <w:iCs/>
          <w:szCs w:val="24"/>
        </w:rPr>
        <w:t>.</w:t>
      </w:r>
      <w:r>
        <w:rPr>
          <w:szCs w:val="24"/>
        </w:rPr>
        <w:t xml:space="preserve"> </w:t>
      </w:r>
      <w:r>
        <w:rPr>
          <w:i/>
          <w:iCs/>
          <w:szCs w:val="24"/>
        </w:rPr>
        <w:t>C</w:t>
      </w:r>
      <w:r>
        <w:rPr>
          <w:i/>
          <w:iCs/>
          <w:szCs w:val="24"/>
          <w:vertAlign w:val="subscript"/>
        </w:rPr>
        <w:t>n</w:t>
      </w:r>
      <w:r>
        <w:rPr>
          <w:szCs w:val="24"/>
        </w:rPr>
        <w:t xml:space="preserve"> est alors calculé à l'aide de l'équation cubique suivante:</w:t>
      </w:r>
    </w:p>
    <w:p w:rsidR="00FE0045" w:rsidRPr="00D80341" w:rsidRDefault="00FE0045" w:rsidP="00FE0045">
      <w:pPr>
        <w:pStyle w:val="Equation"/>
        <w:rPr>
          <w:i/>
          <w:lang w:val="de-CH" w:eastAsia="ja-JP"/>
        </w:rPr>
      </w:pPr>
      <w:r w:rsidRPr="001555A0">
        <w:rPr>
          <w:lang w:eastAsia="ja-JP"/>
        </w:rPr>
        <w:tab/>
      </w:r>
      <w:r w:rsidRPr="001555A0">
        <w:rPr>
          <w:lang w:eastAsia="ja-JP"/>
        </w:rPr>
        <w:tab/>
      </w:r>
      <w:r w:rsidRPr="00D80341">
        <w:rPr>
          <w:i/>
          <w:lang w:val="de-CH" w:eastAsia="ja-JP"/>
        </w:rPr>
        <w:t>a</w:t>
      </w:r>
      <w:r w:rsidRPr="00D80341">
        <w:rPr>
          <w:i/>
          <w:vertAlign w:val="subscript"/>
          <w:lang w:val="de-CH" w:eastAsia="ja-JP"/>
        </w:rPr>
        <w:t xml:space="preserve">n </w:t>
      </w:r>
      <w:r w:rsidRPr="00D80341">
        <w:rPr>
          <w:i/>
          <w:lang w:val="de-CH" w:eastAsia="ja-JP"/>
        </w:rPr>
        <w:t>x</w:t>
      </w:r>
      <w:r w:rsidRPr="00D80341">
        <w:rPr>
          <w:vertAlign w:val="superscript"/>
          <w:lang w:val="de-CH" w:eastAsia="ja-JP"/>
        </w:rPr>
        <w:t>3 </w:t>
      </w:r>
      <w:r w:rsidRPr="00D80341">
        <w:rPr>
          <w:lang w:val="de-CH" w:eastAsia="ja-JP"/>
        </w:rPr>
        <w:t>+ </w:t>
      </w:r>
      <w:r w:rsidRPr="00D80341">
        <w:rPr>
          <w:i/>
          <w:lang w:val="de-CH" w:eastAsia="ja-JP"/>
        </w:rPr>
        <w:t>b</w:t>
      </w:r>
      <w:r w:rsidRPr="00D80341">
        <w:rPr>
          <w:i/>
          <w:vertAlign w:val="subscript"/>
          <w:lang w:val="de-CH" w:eastAsia="ja-JP"/>
        </w:rPr>
        <w:t xml:space="preserve">n </w:t>
      </w:r>
      <w:r w:rsidRPr="00D80341">
        <w:rPr>
          <w:i/>
          <w:lang w:val="de-CH" w:eastAsia="ja-JP"/>
        </w:rPr>
        <w:t>x</w:t>
      </w:r>
      <w:r w:rsidRPr="00D80341">
        <w:rPr>
          <w:vertAlign w:val="superscript"/>
          <w:lang w:val="de-CH" w:eastAsia="ja-JP"/>
        </w:rPr>
        <w:t>2</w:t>
      </w:r>
      <w:r w:rsidRPr="00D80341">
        <w:rPr>
          <w:lang w:val="de-CH" w:eastAsia="ja-JP"/>
        </w:rPr>
        <w:t> + </w:t>
      </w:r>
      <w:r w:rsidRPr="00D80341">
        <w:rPr>
          <w:i/>
          <w:lang w:val="de-CH" w:eastAsia="ja-JP"/>
        </w:rPr>
        <w:t>c</w:t>
      </w:r>
      <w:r w:rsidRPr="00D80341">
        <w:rPr>
          <w:i/>
          <w:vertAlign w:val="subscript"/>
          <w:lang w:val="de-CH" w:eastAsia="ja-JP"/>
        </w:rPr>
        <w:t xml:space="preserve">n </w:t>
      </w:r>
      <w:r w:rsidRPr="00D80341">
        <w:rPr>
          <w:i/>
          <w:lang w:val="de-CH" w:eastAsia="ja-JP"/>
        </w:rPr>
        <w:t>x</w:t>
      </w:r>
      <w:r w:rsidRPr="00D80341">
        <w:rPr>
          <w:lang w:val="de-CH" w:eastAsia="ja-JP"/>
        </w:rPr>
        <w:t> + </w:t>
      </w:r>
      <w:r w:rsidRPr="00D80341">
        <w:rPr>
          <w:i/>
          <w:lang w:val="de-CH" w:eastAsia="ja-JP"/>
        </w:rPr>
        <w:t>d</w:t>
      </w:r>
      <w:r w:rsidRPr="00D80341">
        <w:rPr>
          <w:i/>
          <w:vertAlign w:val="subscript"/>
          <w:lang w:val="de-CH" w:eastAsia="ja-JP"/>
        </w:rPr>
        <w:t>n</w:t>
      </w:r>
      <w:r w:rsidRPr="00D80341">
        <w:rPr>
          <w:i/>
          <w:lang w:val="de-CH" w:eastAsia="ja-JP"/>
        </w:rPr>
        <w:t> </w:t>
      </w:r>
      <w:r w:rsidRPr="00D80341">
        <w:rPr>
          <w:lang w:val="de-CH" w:eastAsia="ja-JP"/>
        </w:rPr>
        <w:t>= 0</w:t>
      </w:r>
      <w:r w:rsidRPr="00D80341">
        <w:rPr>
          <w:lang w:val="de-CH" w:eastAsia="ja-JP"/>
        </w:rPr>
        <w:tab/>
        <w:t>(31)</w:t>
      </w:r>
    </w:p>
    <w:p w:rsidR="00FE0045" w:rsidRDefault="00FE0045" w:rsidP="00182104">
      <w:pPr>
        <w:keepNext/>
        <w:keepLines/>
        <w:rPr>
          <w:szCs w:val="24"/>
        </w:rPr>
      </w:pPr>
      <w:r>
        <w:rPr>
          <w:szCs w:val="24"/>
        </w:rPr>
        <w:lastRenderedPageBreak/>
        <w:t xml:space="preserve">Dans cette équation, les coefficients </w:t>
      </w:r>
      <w:r>
        <w:rPr>
          <w:i/>
          <w:iCs/>
          <w:szCs w:val="24"/>
        </w:rPr>
        <w:t>a</w:t>
      </w:r>
      <w:r>
        <w:rPr>
          <w:i/>
          <w:iCs/>
          <w:szCs w:val="24"/>
          <w:vertAlign w:val="subscript"/>
        </w:rPr>
        <w:t>n</w:t>
      </w:r>
      <w:r>
        <w:rPr>
          <w:i/>
          <w:iCs/>
          <w:szCs w:val="24"/>
        </w:rPr>
        <w:t>, b</w:t>
      </w:r>
      <w:r>
        <w:rPr>
          <w:i/>
          <w:iCs/>
          <w:szCs w:val="24"/>
          <w:vertAlign w:val="subscript"/>
        </w:rPr>
        <w:t>n</w:t>
      </w:r>
      <w:r>
        <w:rPr>
          <w:i/>
          <w:iCs/>
          <w:szCs w:val="24"/>
        </w:rPr>
        <w:t>, c</w:t>
      </w:r>
      <w:r>
        <w:rPr>
          <w:i/>
          <w:iCs/>
          <w:szCs w:val="24"/>
          <w:vertAlign w:val="subscript"/>
        </w:rPr>
        <w:t>n</w:t>
      </w:r>
      <w:r>
        <w:rPr>
          <w:i/>
          <w:iCs/>
          <w:szCs w:val="24"/>
        </w:rPr>
        <w:t xml:space="preserve"> </w:t>
      </w:r>
      <w:r>
        <w:rPr>
          <w:szCs w:val="24"/>
        </w:rPr>
        <w:t>et</w:t>
      </w:r>
      <w:r>
        <w:rPr>
          <w:i/>
          <w:iCs/>
          <w:szCs w:val="24"/>
        </w:rPr>
        <w:t xml:space="preserve"> d</w:t>
      </w:r>
      <w:r>
        <w:rPr>
          <w:i/>
          <w:iCs/>
          <w:szCs w:val="24"/>
          <w:vertAlign w:val="subscript"/>
        </w:rPr>
        <w:t>n</w:t>
      </w:r>
      <w:r>
        <w:rPr>
          <w:szCs w:val="24"/>
        </w:rPr>
        <w:t xml:space="preserve"> ont les valeurs suivantes: </w:t>
      </w:r>
    </w:p>
    <w:p w:rsidR="00FE0045" w:rsidRPr="001555A0" w:rsidRDefault="00FE0045" w:rsidP="00182104">
      <w:pPr>
        <w:pStyle w:val="Equation"/>
        <w:keepNext/>
        <w:keepLines/>
        <w:rPr>
          <w:lang w:eastAsia="ja-JP"/>
        </w:rPr>
      </w:pPr>
      <w:r w:rsidRPr="001555A0">
        <w:tab/>
      </w:r>
      <w:r w:rsidRPr="001555A0">
        <w:tab/>
      </w:r>
      <w:r w:rsidRPr="00D157DB">
        <w:rPr>
          <w:position w:val="-140"/>
        </w:rPr>
        <w:object w:dxaOrig="6560" w:dyaOrig="2920">
          <v:shape id="_x0000_i1058" type="#_x0000_t75" style="width:328.45pt;height:146.4pt" o:ole="">
            <v:imagedata r:id="rId79" o:title=""/>
          </v:shape>
          <o:OLEObject Type="Embed" ProgID="Equation.3" ShapeID="_x0000_i1058" DrawAspect="Content" ObjectID="_1459064100" r:id="rId80"/>
        </w:object>
      </w:r>
      <w:r w:rsidRPr="001555A0">
        <w:tab/>
      </w:r>
      <w:r w:rsidRPr="001555A0">
        <w:rPr>
          <w:lang w:eastAsia="ja-JP"/>
        </w:rPr>
        <w:t>(</w:t>
      </w:r>
      <w:r>
        <w:rPr>
          <w:lang w:eastAsia="ja-JP"/>
        </w:rPr>
        <w:t>32</w:t>
      </w:r>
      <w:r w:rsidRPr="001555A0">
        <w:rPr>
          <w:lang w:eastAsia="ja-JP"/>
        </w:rPr>
        <w:t>)</w:t>
      </w:r>
    </w:p>
    <w:p w:rsidR="00FE0045" w:rsidRDefault="00FE0045" w:rsidP="00FE0045">
      <w:pPr>
        <w:rPr>
          <w:szCs w:val="24"/>
        </w:rPr>
      </w:pPr>
      <w:r>
        <w:rPr>
          <w:szCs w:val="24"/>
        </w:rPr>
        <w:t>Pour résoudre les équations cubiques, il existe une bonne solution symbolique qui consiste à utiliser, par exemple, la formule de Cardano. Du point de vue mathématique, l'équation (31) a trois solutions. Pour déterminer laquelle de ces trois solutions est la bonne, il faut prendre en considération la limite de stabilité du système à file d'attente, c'est-à-dire:</w:t>
      </w:r>
    </w:p>
    <w:p w:rsidR="00FE0045" w:rsidRPr="001555A0" w:rsidRDefault="00FE0045" w:rsidP="00FE0045">
      <w:pPr>
        <w:pStyle w:val="Equation"/>
        <w:rPr>
          <w:lang w:eastAsia="ja-JP"/>
        </w:rPr>
      </w:pPr>
      <w:r w:rsidRPr="001555A0">
        <w:tab/>
      </w:r>
      <w:r w:rsidRPr="001555A0">
        <w:tab/>
      </w:r>
      <w:r w:rsidRPr="00D157DB">
        <w:rPr>
          <w:position w:val="-32"/>
        </w:rPr>
        <w:object w:dxaOrig="1320" w:dyaOrig="760">
          <v:shape id="_x0000_i1059" type="#_x0000_t75" style="width:66.65pt;height:38.1pt" o:ole="">
            <v:imagedata r:id="rId81" o:title=""/>
          </v:shape>
          <o:OLEObject Type="Embed" ProgID="Equation.3" ShapeID="_x0000_i1059" DrawAspect="Content" ObjectID="_1459064101" r:id="rId82"/>
        </w:object>
      </w:r>
      <w:r w:rsidRPr="001555A0">
        <w:tab/>
      </w:r>
      <w:r w:rsidRPr="001555A0">
        <w:rPr>
          <w:lang w:eastAsia="ja-JP"/>
        </w:rPr>
        <w:t>(</w:t>
      </w:r>
      <w:r>
        <w:rPr>
          <w:lang w:eastAsia="ja-JP"/>
        </w:rPr>
        <w:t>33</w:t>
      </w:r>
      <w:r w:rsidRPr="001555A0">
        <w:rPr>
          <w:lang w:eastAsia="ja-JP"/>
        </w:rPr>
        <w:t>)</w:t>
      </w:r>
    </w:p>
    <w:p w:rsidR="00FE0045" w:rsidRDefault="00FE0045" w:rsidP="00FE0045">
      <w:pPr>
        <w:rPr>
          <w:szCs w:val="24"/>
        </w:rPr>
      </w:pPr>
      <w:r>
        <w:rPr>
          <w:szCs w:val="24"/>
        </w:rPr>
        <w:t xml:space="preserve">Pour remettre les paquets avec un retard de durée déterminée, la capacité du système ne peut pas être inférieure au taux d'arrivée global. </w:t>
      </w:r>
    </w:p>
    <w:p w:rsidR="00FE0045" w:rsidRDefault="00FE0045" w:rsidP="00FE0045">
      <w:pPr>
        <w:pStyle w:val="Heading2"/>
      </w:pPr>
      <w:r>
        <w:t>4.3</w:t>
      </w:r>
      <w:r>
        <w:tab/>
        <w:t>Détermination des exigences de spectre</w:t>
      </w:r>
    </w:p>
    <w:p w:rsidR="00FE0045" w:rsidRDefault="00FE0045" w:rsidP="00FE0045">
      <w:pPr>
        <w:rPr>
          <w:szCs w:val="24"/>
        </w:rPr>
      </w:pPr>
      <w:r>
        <w:rPr>
          <w:szCs w:val="24"/>
        </w:rPr>
        <w:t>Les étapes de la méthode de calcul des exigences de spectre sont décrites ci-après:</w:t>
      </w:r>
    </w:p>
    <w:p w:rsidR="00FE0045" w:rsidRDefault="00FE0045" w:rsidP="00CB3F49">
      <w:pPr>
        <w:ind w:left="1191" w:hanging="1191"/>
      </w:pPr>
      <w:r w:rsidRPr="00E55AE2">
        <w:rPr>
          <w:i/>
        </w:rPr>
        <w:t>Etape 1:</w:t>
      </w:r>
      <w:r>
        <w:tab/>
        <w:t>Jusqu'ici, on a calculé séparément la capacité de la liaison montante et celle de la liaison descendante. Ces capacités sont maintenant additionnées mais des valeurs distinctes sont calculées selon que les liaisons sont en mode circuit ou en mode paquet:</w:t>
      </w:r>
    </w:p>
    <w:p w:rsidR="00FE0045" w:rsidRPr="00D80341" w:rsidRDefault="00FE0045" w:rsidP="00FE0045">
      <w:pPr>
        <w:pStyle w:val="Blanc"/>
        <w:rPr>
          <w:lang w:val="fr-CH"/>
        </w:rPr>
      </w:pPr>
    </w:p>
    <w:p w:rsidR="00FE0045" w:rsidRPr="009B11DE" w:rsidRDefault="00FE0045" w:rsidP="00FE0045">
      <w:pPr>
        <w:pStyle w:val="Equation"/>
      </w:pPr>
      <w:r w:rsidRPr="001555A0">
        <w:tab/>
      </w:r>
      <w:r w:rsidRPr="001555A0">
        <w:tab/>
      </w:r>
      <w:r w:rsidRPr="009B11DE">
        <w:rPr>
          <w:i/>
        </w:rPr>
        <w:t>C</w:t>
      </w:r>
      <w:r w:rsidRPr="009B11DE">
        <w:rPr>
          <w:i/>
          <w:vertAlign w:val="subscript"/>
        </w:rPr>
        <w:t>d,t,rat,p,cs</w:t>
      </w:r>
      <w:r w:rsidRPr="009B11DE">
        <w:rPr>
          <w:i/>
        </w:rPr>
        <w:t> = C</w:t>
      </w:r>
      <w:r w:rsidRPr="009B11DE">
        <w:rPr>
          <w:i/>
          <w:vertAlign w:val="subscript"/>
        </w:rPr>
        <w:t>d,t,rat,p,cs,UL</w:t>
      </w:r>
      <w:r w:rsidRPr="009B11DE">
        <w:rPr>
          <w:i/>
        </w:rPr>
        <w:t> + C</w:t>
      </w:r>
      <w:r w:rsidRPr="009B11DE">
        <w:rPr>
          <w:i/>
          <w:vertAlign w:val="subscript"/>
        </w:rPr>
        <w:t>d,t,rat,p,cs,DL</w:t>
      </w:r>
      <w:r w:rsidRPr="009B11DE">
        <w:tab/>
        <w:t>(</w:t>
      </w:r>
      <w:r>
        <w:t>34</w:t>
      </w:r>
      <w:r w:rsidRPr="009B11DE">
        <w:t>)</w:t>
      </w:r>
    </w:p>
    <w:p w:rsidR="00FE0045" w:rsidRPr="00D80341" w:rsidRDefault="00FE0045" w:rsidP="00FE0045">
      <w:pPr>
        <w:pStyle w:val="Blanc"/>
        <w:rPr>
          <w:lang w:val="fr-CH"/>
        </w:rPr>
      </w:pPr>
    </w:p>
    <w:p w:rsidR="00FE0045" w:rsidRPr="009B11DE" w:rsidRDefault="00FE0045" w:rsidP="00FE0045">
      <w:pPr>
        <w:pStyle w:val="Equation"/>
      </w:pPr>
      <w:r w:rsidRPr="009B11DE">
        <w:tab/>
      </w:r>
      <w:r w:rsidRPr="009B11DE">
        <w:tab/>
      </w:r>
      <w:r w:rsidRPr="009B11DE">
        <w:rPr>
          <w:i/>
        </w:rPr>
        <w:t>C</w:t>
      </w:r>
      <w:r w:rsidRPr="009B11DE">
        <w:rPr>
          <w:i/>
          <w:vertAlign w:val="subscript"/>
        </w:rPr>
        <w:t>d,t,rat,p,pcs</w:t>
      </w:r>
      <w:r w:rsidRPr="009B11DE">
        <w:rPr>
          <w:i/>
        </w:rPr>
        <w:t> = C</w:t>
      </w:r>
      <w:r w:rsidRPr="009B11DE">
        <w:rPr>
          <w:i/>
          <w:vertAlign w:val="subscript"/>
        </w:rPr>
        <w:t>d,t,rat,p,ps,UL</w:t>
      </w:r>
      <w:r w:rsidRPr="009B11DE">
        <w:rPr>
          <w:i/>
        </w:rPr>
        <w:t> + C</w:t>
      </w:r>
      <w:r w:rsidRPr="009B11DE">
        <w:rPr>
          <w:i/>
          <w:vertAlign w:val="subscript"/>
        </w:rPr>
        <w:t>d,t,rat,p,ps,DL</w:t>
      </w:r>
      <w:r w:rsidRPr="009B11DE">
        <w:tab/>
        <w:t>(</w:t>
      </w:r>
      <w:r>
        <w:t>35</w:t>
      </w:r>
      <w:r w:rsidRPr="009B11DE">
        <w:t>)</w:t>
      </w:r>
    </w:p>
    <w:p w:rsidR="00FE0045" w:rsidRPr="00D80341" w:rsidRDefault="00FE0045" w:rsidP="00FE0045">
      <w:pPr>
        <w:pStyle w:val="Blanc"/>
        <w:rPr>
          <w:lang w:val="fr-CH"/>
        </w:rPr>
      </w:pPr>
    </w:p>
    <w:p w:rsidR="00FE0045" w:rsidRDefault="00FE0045" w:rsidP="00CB3F49">
      <w:pPr>
        <w:ind w:left="1191" w:hanging="1191"/>
      </w:pPr>
      <w:r w:rsidRPr="00E55AE2">
        <w:rPr>
          <w:i/>
        </w:rPr>
        <w:t>Etape 2:</w:t>
      </w:r>
      <w:r>
        <w:tab/>
        <w:t>Les capacités requises pour le trafic à commutation de circuits et celles nécessaires au trafic à commutation par paquets sont additionnées comme suit:</w:t>
      </w:r>
    </w:p>
    <w:p w:rsidR="00FE0045" w:rsidRPr="001555A0" w:rsidRDefault="00FE0045" w:rsidP="00FE0045">
      <w:pPr>
        <w:pStyle w:val="Equation"/>
      </w:pPr>
      <w:r w:rsidRPr="001555A0">
        <w:tab/>
      </w:r>
      <w:r w:rsidRPr="001555A0">
        <w:tab/>
      </w:r>
      <w:r w:rsidRPr="009B11DE">
        <w:rPr>
          <w:i/>
        </w:rPr>
        <w:t>C</w:t>
      </w:r>
      <w:r w:rsidRPr="009B11DE">
        <w:rPr>
          <w:i/>
          <w:vertAlign w:val="subscript"/>
        </w:rPr>
        <w:t>d,t,rat,p</w:t>
      </w:r>
      <w:r w:rsidRPr="009B11DE">
        <w:rPr>
          <w:i/>
        </w:rPr>
        <w:t> = C</w:t>
      </w:r>
      <w:r w:rsidRPr="009B11DE">
        <w:rPr>
          <w:i/>
          <w:vertAlign w:val="subscript"/>
        </w:rPr>
        <w:t>d,t,rat,p,cs</w:t>
      </w:r>
      <w:r w:rsidRPr="009B11DE">
        <w:rPr>
          <w:i/>
        </w:rPr>
        <w:t> + C</w:t>
      </w:r>
      <w:r w:rsidRPr="009B11DE">
        <w:rPr>
          <w:i/>
          <w:vertAlign w:val="subscript"/>
        </w:rPr>
        <w:t>d,t,rat,p,ps</w:t>
      </w:r>
      <w:r w:rsidRPr="009B11DE">
        <w:tab/>
      </w:r>
      <w:r w:rsidRPr="001555A0">
        <w:t>(</w:t>
      </w:r>
      <w:r>
        <w:t>36</w:t>
      </w:r>
      <w:r w:rsidRPr="001555A0">
        <w:t>)</w:t>
      </w:r>
    </w:p>
    <w:p w:rsidR="00FE0045" w:rsidRDefault="00FE0045" w:rsidP="00CB3F49">
      <w:pPr>
        <w:ind w:left="1191" w:hanging="1191"/>
      </w:pPr>
      <w:r>
        <w:tab/>
      </w:r>
      <w:r>
        <w:tab/>
        <w:t xml:space="preserve">Dans cette relation, </w:t>
      </w:r>
      <w:r>
        <w:rPr>
          <w:i/>
          <w:iCs/>
        </w:rPr>
        <w:t>C</w:t>
      </w:r>
      <w:r>
        <w:rPr>
          <w:i/>
          <w:iCs/>
          <w:vertAlign w:val="subscript"/>
        </w:rPr>
        <w:t>d,t,rat,p,cs</w:t>
      </w:r>
      <w:r>
        <w:t xml:space="preserve"> (bit/(s*cellule)) représente la capacité requise pour le trafic à commutation de circuits pour une télédensité </w:t>
      </w:r>
      <w:r>
        <w:rPr>
          <w:i/>
          <w:iCs/>
        </w:rPr>
        <w:t>d</w:t>
      </w:r>
      <w:r>
        <w:t xml:space="preserve">, un intervalle de temps </w:t>
      </w:r>
      <w:r>
        <w:rPr>
          <w:i/>
          <w:iCs/>
        </w:rPr>
        <w:t>t</w:t>
      </w:r>
      <w:r>
        <w:t xml:space="preserve">, un RTAG </w:t>
      </w:r>
      <w:r>
        <w:rPr>
          <w:i/>
          <w:iCs/>
        </w:rPr>
        <w:t>rat</w:t>
      </w:r>
      <w:r>
        <w:t xml:space="preserve"> et un environnement radioélectrique </w:t>
      </w:r>
      <w:r>
        <w:rPr>
          <w:i/>
          <w:iCs/>
        </w:rPr>
        <w:t>p</w:t>
      </w:r>
      <w:r>
        <w:t xml:space="preserve">, et </w:t>
      </w:r>
      <w:r>
        <w:rPr>
          <w:i/>
          <w:iCs/>
        </w:rPr>
        <w:t>C</w:t>
      </w:r>
      <w:r>
        <w:rPr>
          <w:i/>
          <w:iCs/>
          <w:vertAlign w:val="subscript"/>
        </w:rPr>
        <w:t>d,t,rat,p,ps</w:t>
      </w:r>
      <w:r>
        <w:t xml:space="preserve"> (bit/(s </w:t>
      </w:r>
      <w:r>
        <w:sym w:font="Symbol" w:char="F0D7"/>
      </w:r>
      <w:r>
        <w:t xml:space="preserve"> cellule)) la capacité requise correspondante pour le trafic à commutation par paquets.</w:t>
      </w:r>
    </w:p>
    <w:p w:rsidR="00FE0045" w:rsidRDefault="00FE0045" w:rsidP="00CB3F49">
      <w:pPr>
        <w:ind w:left="1191" w:hanging="1191"/>
        <w:rPr>
          <w:szCs w:val="24"/>
        </w:rPr>
      </w:pPr>
      <w:r>
        <w:rPr>
          <w:szCs w:val="24"/>
        </w:rPr>
        <w:tab/>
      </w:r>
      <w:r>
        <w:rPr>
          <w:szCs w:val="24"/>
        </w:rPr>
        <w:tab/>
        <w:t xml:space="preserve">La </w:t>
      </w:r>
      <w:r w:rsidRPr="00564D66">
        <w:t>capacité</w:t>
      </w:r>
      <w:r>
        <w:rPr>
          <w:szCs w:val="24"/>
        </w:rPr>
        <w:t xml:space="preserve"> requise pour la multidiffusion mobile est calculée de la même manière en additionnant la capacité requise pour la multidiffusion en mode paquet et celle nécessaire à la multidiffusion en mode circuit.</w:t>
      </w:r>
    </w:p>
    <w:p w:rsidR="00FE0045" w:rsidRDefault="00FE0045" w:rsidP="00CB3F49">
      <w:pPr>
        <w:ind w:left="1191" w:hanging="1191"/>
        <w:rPr>
          <w:szCs w:val="24"/>
        </w:rPr>
      </w:pPr>
      <w:r w:rsidRPr="00E55AE2">
        <w:rPr>
          <w:i/>
          <w:szCs w:val="24"/>
        </w:rPr>
        <w:t>Etape 3:</w:t>
      </w:r>
      <w:r>
        <w:rPr>
          <w:szCs w:val="24"/>
        </w:rPr>
        <w:tab/>
        <w:t xml:space="preserve">Les exigences de spectre pour un RATG </w:t>
      </w:r>
      <w:r>
        <w:rPr>
          <w:i/>
          <w:iCs/>
          <w:szCs w:val="24"/>
        </w:rPr>
        <w:t>rat</w:t>
      </w:r>
      <w:r>
        <w:rPr>
          <w:szCs w:val="24"/>
        </w:rPr>
        <w:t xml:space="preserve">, une télédensité </w:t>
      </w:r>
      <w:r>
        <w:rPr>
          <w:i/>
          <w:iCs/>
          <w:szCs w:val="24"/>
        </w:rPr>
        <w:t>d</w:t>
      </w:r>
      <w:r>
        <w:rPr>
          <w:szCs w:val="24"/>
        </w:rPr>
        <w:t>, un intervalle de temps</w:t>
      </w:r>
      <w:r w:rsidR="00CB3F49">
        <w:rPr>
          <w:szCs w:val="24"/>
        </w:rPr>
        <w:t> </w:t>
      </w:r>
      <w:r>
        <w:rPr>
          <w:i/>
          <w:iCs/>
          <w:szCs w:val="24"/>
        </w:rPr>
        <w:t>t</w:t>
      </w:r>
      <w:r>
        <w:rPr>
          <w:szCs w:val="24"/>
        </w:rPr>
        <w:t xml:space="preserve"> et un environnement radioélectrique </w:t>
      </w:r>
      <w:r>
        <w:rPr>
          <w:i/>
          <w:iCs/>
          <w:szCs w:val="24"/>
        </w:rPr>
        <w:t>p</w:t>
      </w:r>
      <w:r>
        <w:rPr>
          <w:szCs w:val="24"/>
        </w:rPr>
        <w:t xml:space="preserve"> sont calculées en appliquant les coefficients d'efficacité spectrale du Tableau 11. Les exigences de spectre sont obtenues à l'aide de l'équation:</w:t>
      </w:r>
    </w:p>
    <w:p w:rsidR="00FE0045" w:rsidRPr="001555A0" w:rsidRDefault="00FE0045" w:rsidP="00FE0045">
      <w:pPr>
        <w:pStyle w:val="Equation"/>
        <w:rPr>
          <w:lang w:eastAsia="ja-JP"/>
        </w:rPr>
      </w:pPr>
      <w:r w:rsidRPr="001555A0">
        <w:rPr>
          <w:lang w:eastAsia="ja-JP"/>
        </w:rPr>
        <w:lastRenderedPageBreak/>
        <w:tab/>
      </w:r>
      <w:r w:rsidRPr="001555A0">
        <w:rPr>
          <w:lang w:eastAsia="ja-JP"/>
        </w:rPr>
        <w:tab/>
      </w:r>
      <w:r w:rsidRPr="001555A0">
        <w:rPr>
          <w:position w:val="-34"/>
        </w:rPr>
        <w:object w:dxaOrig="2100" w:dyaOrig="760">
          <v:shape id="_x0000_i1060" type="#_x0000_t75" style="width:104.75pt;height:38.1pt" o:ole="" o:allowoverlap="f">
            <v:imagedata r:id="rId83" o:title=""/>
          </v:shape>
          <o:OLEObject Type="Embed" ProgID="Equation.3" ShapeID="_x0000_i1060" DrawAspect="Content" ObjectID="_1459064102" r:id="rId84"/>
        </w:object>
      </w:r>
      <w:r w:rsidRPr="001555A0">
        <w:tab/>
      </w:r>
      <w:r w:rsidRPr="001555A0">
        <w:rPr>
          <w:lang w:eastAsia="ja-JP"/>
        </w:rPr>
        <w:t>(</w:t>
      </w:r>
      <w:r>
        <w:rPr>
          <w:lang w:eastAsia="ja-JP"/>
        </w:rPr>
        <w:t>37</w:t>
      </w:r>
      <w:r w:rsidRPr="001555A0">
        <w:rPr>
          <w:lang w:eastAsia="ja-JP"/>
        </w:rPr>
        <w:t>)</w:t>
      </w:r>
    </w:p>
    <w:p w:rsidR="00FE0045" w:rsidRDefault="00FE0045" w:rsidP="00CB3F49">
      <w:pPr>
        <w:ind w:left="1191" w:hanging="1191"/>
        <w:rPr>
          <w:szCs w:val="24"/>
        </w:rPr>
      </w:pPr>
      <w:r>
        <w:rPr>
          <w:szCs w:val="24"/>
        </w:rPr>
        <w:tab/>
      </w:r>
      <w:r>
        <w:rPr>
          <w:szCs w:val="24"/>
        </w:rPr>
        <w:tab/>
        <w:t xml:space="preserve">dans cette équation, </w:t>
      </w:r>
      <w:r w:rsidRPr="004C26CD">
        <w:rPr>
          <w:rFonts w:ascii="Symbol" w:hAnsi="Symbol"/>
          <w:iCs/>
          <w:szCs w:val="24"/>
        </w:rPr>
        <w:sym w:font="Symbol" w:char="F068"/>
      </w:r>
      <w:r>
        <w:rPr>
          <w:i/>
          <w:iCs/>
          <w:szCs w:val="24"/>
          <w:vertAlign w:val="subscript"/>
        </w:rPr>
        <w:t>d,rat,p</w:t>
      </w:r>
      <w:r>
        <w:rPr>
          <w:szCs w:val="24"/>
        </w:rPr>
        <w:t xml:space="preserve"> (bit/(s </w:t>
      </w:r>
      <w:r>
        <w:sym w:font="Symbol" w:char="F0D7"/>
      </w:r>
      <w:r>
        <w:t xml:space="preserve"> </w:t>
      </w:r>
      <w:r>
        <w:rPr>
          <w:szCs w:val="24"/>
        </w:rPr>
        <w:t xml:space="preserve">Hz </w:t>
      </w:r>
      <w:r>
        <w:sym w:font="Symbol" w:char="F0D7"/>
      </w:r>
      <w:r>
        <w:t xml:space="preserve"> </w:t>
      </w:r>
      <w:r>
        <w:rPr>
          <w:szCs w:val="24"/>
        </w:rPr>
        <w:t xml:space="preserve">cellule)) est l'efficacité spectrale de la zone pour une télédensité </w:t>
      </w:r>
      <w:r>
        <w:rPr>
          <w:i/>
          <w:iCs/>
          <w:szCs w:val="24"/>
        </w:rPr>
        <w:t>d</w:t>
      </w:r>
      <w:r>
        <w:rPr>
          <w:szCs w:val="24"/>
        </w:rPr>
        <w:t xml:space="preserve">, un RATG </w:t>
      </w:r>
      <w:r>
        <w:rPr>
          <w:i/>
          <w:iCs/>
          <w:szCs w:val="24"/>
        </w:rPr>
        <w:t>rat</w:t>
      </w:r>
      <w:r>
        <w:rPr>
          <w:szCs w:val="24"/>
        </w:rPr>
        <w:t xml:space="preserve"> et un environnement </w:t>
      </w:r>
      <w:r>
        <w:rPr>
          <w:i/>
          <w:iCs/>
          <w:szCs w:val="24"/>
        </w:rPr>
        <w:t>p</w:t>
      </w:r>
      <w:r>
        <w:rPr>
          <w:szCs w:val="24"/>
        </w:rPr>
        <w:t>, telle qu'illustrée au Tableau 11.</w:t>
      </w:r>
    </w:p>
    <w:p w:rsidR="00FE0045" w:rsidRDefault="00FE0045" w:rsidP="00CB3F49">
      <w:pPr>
        <w:ind w:left="1191" w:hanging="1191"/>
        <w:rPr>
          <w:szCs w:val="24"/>
        </w:rPr>
      </w:pPr>
      <w:r>
        <w:rPr>
          <w:szCs w:val="24"/>
        </w:rPr>
        <w:tab/>
      </w:r>
      <w:r>
        <w:rPr>
          <w:szCs w:val="24"/>
        </w:rPr>
        <w:tab/>
        <w:t xml:space="preserve">Pour déterminer la capacité requise pour la multidiffusion mobile, on calcule séparément les exigences de spectre correspondantes </w:t>
      </w:r>
      <w:r>
        <w:rPr>
          <w:i/>
          <w:iCs/>
          <w:szCs w:val="24"/>
        </w:rPr>
        <w:t>F</w:t>
      </w:r>
      <w:r>
        <w:rPr>
          <w:i/>
          <w:iCs/>
          <w:szCs w:val="24"/>
          <w:vertAlign w:val="subscript"/>
        </w:rPr>
        <w:t>d,rat,p,mm</w:t>
      </w:r>
      <w:r>
        <w:rPr>
          <w:i/>
          <w:iCs/>
          <w:szCs w:val="24"/>
        </w:rPr>
        <w:t>,</w:t>
      </w:r>
      <w:r>
        <w:rPr>
          <w:szCs w:val="24"/>
        </w:rPr>
        <w:t xml:space="preserve"> en utilisant la valeur de l'efficacité spectrale appropriée </w:t>
      </w:r>
      <w:r w:rsidRPr="004C26CD">
        <w:rPr>
          <w:rFonts w:ascii="Symbol" w:hAnsi="Symbol"/>
          <w:iCs/>
          <w:szCs w:val="24"/>
        </w:rPr>
        <w:sym w:font="Symbol" w:char="F068"/>
      </w:r>
      <w:r>
        <w:rPr>
          <w:i/>
          <w:iCs/>
          <w:szCs w:val="24"/>
          <w:vertAlign w:val="subscript"/>
        </w:rPr>
        <w:t>d,rat,p</w:t>
      </w:r>
      <w:r>
        <w:rPr>
          <w:szCs w:val="24"/>
        </w:rPr>
        <w:t xml:space="preserve"> qui est donnée au Tableau 11. Ces exigences de spectre sont ensuite ajoutées à celles d'une communication individuelle d'utilisateur, comme suit:</w:t>
      </w:r>
    </w:p>
    <w:p w:rsidR="00FE0045" w:rsidRPr="00D80341" w:rsidRDefault="00FE0045" w:rsidP="00FE0045">
      <w:pPr>
        <w:pStyle w:val="Blanc"/>
        <w:rPr>
          <w:lang w:val="fr-CH"/>
        </w:rPr>
      </w:pPr>
    </w:p>
    <w:p w:rsidR="00FE0045" w:rsidRPr="001555A0" w:rsidRDefault="00FE0045" w:rsidP="00FE0045">
      <w:pPr>
        <w:pStyle w:val="Equation"/>
      </w:pPr>
      <w:r w:rsidRPr="001555A0">
        <w:rPr>
          <w:lang w:eastAsia="ja-JP"/>
        </w:rPr>
        <w:tab/>
      </w:r>
      <w:r w:rsidRPr="001555A0">
        <w:rPr>
          <w:lang w:eastAsia="ja-JP"/>
        </w:rPr>
        <w:tab/>
      </w:r>
      <w:r w:rsidRPr="009B11DE">
        <w:rPr>
          <w:i/>
          <w:lang w:eastAsia="ja-JP"/>
        </w:rPr>
        <w:t>F</w:t>
      </w:r>
      <w:r w:rsidRPr="009B11DE">
        <w:rPr>
          <w:i/>
          <w:vertAlign w:val="subscript"/>
          <w:lang w:eastAsia="ja-JP"/>
        </w:rPr>
        <w:t>d,t,rat,p</w:t>
      </w:r>
      <w:r w:rsidRPr="009B11DE">
        <w:rPr>
          <w:i/>
          <w:lang w:eastAsia="ja-JP"/>
        </w:rPr>
        <w:t xml:space="preserve"> = F</w:t>
      </w:r>
      <w:r w:rsidRPr="009B11DE">
        <w:rPr>
          <w:i/>
          <w:vertAlign w:val="subscript"/>
          <w:lang w:eastAsia="ja-JP"/>
        </w:rPr>
        <w:t>d,t,rat,p</w:t>
      </w:r>
      <w:r w:rsidRPr="009B11DE">
        <w:rPr>
          <w:i/>
          <w:lang w:eastAsia="ja-JP"/>
        </w:rPr>
        <w:t> + F</w:t>
      </w:r>
      <w:r w:rsidRPr="009B11DE">
        <w:rPr>
          <w:i/>
          <w:vertAlign w:val="subscript"/>
          <w:lang w:eastAsia="ja-JP"/>
        </w:rPr>
        <w:t>d,t,rat,p,mm</w:t>
      </w:r>
      <w:r w:rsidRPr="009B11DE">
        <w:tab/>
      </w:r>
      <w:r w:rsidRPr="001555A0">
        <w:rPr>
          <w:lang w:eastAsia="ja-JP"/>
        </w:rPr>
        <w:t>(</w:t>
      </w:r>
      <w:r>
        <w:rPr>
          <w:lang w:eastAsia="ja-JP"/>
        </w:rPr>
        <w:t>38</w:t>
      </w:r>
      <w:r w:rsidRPr="001555A0">
        <w:rPr>
          <w:lang w:eastAsia="ja-JP"/>
        </w:rPr>
        <w:t>)</w:t>
      </w:r>
    </w:p>
    <w:p w:rsidR="00FE0045" w:rsidRDefault="00FE0045" w:rsidP="00FE0045">
      <w:pPr>
        <w:pStyle w:val="Heading1"/>
      </w:pPr>
      <w:r>
        <w:t>5</w:t>
      </w:r>
      <w:r>
        <w:tab/>
        <w:t>Ajustements nécessaires à effectuer</w:t>
      </w:r>
    </w:p>
    <w:p w:rsidR="00FE0045" w:rsidRDefault="00FE0045" w:rsidP="00FE0045">
      <w:pPr>
        <w:rPr>
          <w:szCs w:val="24"/>
        </w:rPr>
      </w:pPr>
      <w:r>
        <w:rPr>
          <w:szCs w:val="24"/>
        </w:rPr>
        <w:t xml:space="preserve">A l'Etape 7 de la Fig. 1, les exigences de spectre correspondant aux environnements radioélectriques sont additionnées. Des ajustements sont effectués pour tenir compte des besoins minimaux en fréquences d'un réseau, des bandes de garde nécessaires et de l'effet du nombre des opérateurs. </w:t>
      </w:r>
    </w:p>
    <w:p w:rsidR="00FE0045" w:rsidRDefault="00FE0045" w:rsidP="00F00D23">
      <w:pPr>
        <w:rPr>
          <w:szCs w:val="24"/>
        </w:rPr>
      </w:pPr>
      <w:r>
        <w:rPr>
          <w:szCs w:val="24"/>
        </w:rPr>
        <w:t xml:space="preserve">Les ajustements nécessaires sont effectués par étapes, en procédant de la manière suivante: </w:t>
      </w:r>
    </w:p>
    <w:p w:rsidR="00FE0045" w:rsidRDefault="00FE0045" w:rsidP="00CB3F49">
      <w:pPr>
        <w:ind w:left="1191" w:hanging="1191"/>
      </w:pPr>
      <w:r w:rsidRPr="00E55AE2">
        <w:rPr>
          <w:i/>
        </w:rPr>
        <w:t>Etape 1:</w:t>
      </w:r>
      <w:r>
        <w:tab/>
        <w:t>On suppose que les bandes ne font pas l'objet d'un partage temporel entre opérateurs désigné «utilisation souple des fréquences (FSU)» au sein d'un même RATG car la charge de trafic ne devrait pas varier énormément d'un opérateur à l'autre pour une même RAT, à moins que les prestations de ces opérateurs ne s'adressent à des secteurs très différents du marché. On suppose donc que la répartition des fréquences entre opérateurs est fixe à l'intérieur d'un même RATG. On suppose également que chaque opérateur reçoit en partage la même portion de spectre. Le spectre non ajusté par opérateur est alors:</w:t>
      </w:r>
    </w:p>
    <w:p w:rsidR="00FE0045" w:rsidRPr="00ED4367" w:rsidRDefault="00FE0045" w:rsidP="00FE0045">
      <w:pPr>
        <w:pStyle w:val="Equation"/>
      </w:pPr>
      <w:r w:rsidRPr="001555A0">
        <w:tab/>
      </w:r>
      <w:r w:rsidRPr="001555A0">
        <w:tab/>
      </w:r>
      <w:r w:rsidRPr="00ED4367">
        <w:rPr>
          <w:i/>
        </w:rPr>
        <w:t>F</w:t>
      </w:r>
      <w:r w:rsidRPr="00ED4367">
        <w:rPr>
          <w:i/>
          <w:vertAlign w:val="subscript"/>
        </w:rPr>
        <w:t>d,t,rat,p</w:t>
      </w:r>
      <w:r w:rsidRPr="00ED4367">
        <w:t>: =</w:t>
      </w:r>
      <w:r w:rsidRPr="00ED4367">
        <w:rPr>
          <w:i/>
        </w:rPr>
        <w:t> F</w:t>
      </w:r>
      <w:r w:rsidRPr="00ED4367">
        <w:rPr>
          <w:i/>
          <w:vertAlign w:val="subscript"/>
        </w:rPr>
        <w:t>d,t,rat,p</w:t>
      </w:r>
      <w:r w:rsidRPr="00ED4367">
        <w:t>/</w:t>
      </w:r>
      <w:r w:rsidRPr="00ED4367">
        <w:rPr>
          <w:i/>
        </w:rPr>
        <w:t>N</w:t>
      </w:r>
      <w:r w:rsidRPr="00ED4367">
        <w:rPr>
          <w:i/>
          <w:vertAlign w:val="subscript"/>
        </w:rPr>
        <w:t>o</w:t>
      </w:r>
      <w:r w:rsidRPr="00ED4367">
        <w:tab/>
        <w:t>(</w:t>
      </w:r>
      <w:r>
        <w:t>39</w:t>
      </w:r>
      <w:r w:rsidRPr="00ED4367">
        <w:t>)</w:t>
      </w:r>
    </w:p>
    <w:p w:rsidR="00FE0045" w:rsidRDefault="00FE0045" w:rsidP="00CB3F49">
      <w:pPr>
        <w:ind w:left="1191" w:hanging="1191"/>
      </w:pPr>
      <w:r>
        <w:tab/>
      </w:r>
      <w:r>
        <w:tab/>
        <w:t xml:space="preserve">dans cette relation, </w:t>
      </w:r>
      <w:r w:rsidRPr="001555A0">
        <w:rPr>
          <w:i/>
        </w:rPr>
        <w:t>N</w:t>
      </w:r>
      <w:r w:rsidRPr="001555A0">
        <w:rPr>
          <w:i/>
          <w:vertAlign w:val="subscript"/>
        </w:rPr>
        <w:t>o</w:t>
      </w:r>
      <w:r>
        <w:t xml:space="preserve"> est le nombre d'opérateurs obtenu d'après les Tableaux 10a et 10b. </w:t>
      </w:r>
    </w:p>
    <w:p w:rsidR="00FE0045" w:rsidRDefault="00FE0045" w:rsidP="00CB3F49">
      <w:pPr>
        <w:ind w:left="1191" w:hanging="1191"/>
        <w:rPr>
          <w:szCs w:val="24"/>
        </w:rPr>
      </w:pPr>
      <w:r w:rsidRPr="00E55AE2">
        <w:rPr>
          <w:i/>
          <w:szCs w:val="24"/>
        </w:rPr>
        <w:t>Etape 2:</w:t>
      </w:r>
      <w:r>
        <w:rPr>
          <w:szCs w:val="24"/>
        </w:rPr>
        <w:tab/>
        <w:t xml:space="preserve">D'une manière générale, le spectre ne peut être utilisé qu'avec la granularisation </w:t>
      </w:r>
      <w:r w:rsidRPr="00FE0045">
        <w:rPr>
          <w:lang w:val="fr-CH" w:eastAsia="ja-JP"/>
        </w:rPr>
        <w:t>Grn</w:t>
      </w:r>
      <w:r w:rsidRPr="00FE0045">
        <w:rPr>
          <w:lang w:val="fr-CH"/>
        </w:rPr>
        <w:t>Spec</w:t>
      </w:r>
      <w:r w:rsidRPr="00FE0045">
        <w:rPr>
          <w:i/>
          <w:vertAlign w:val="subscript"/>
          <w:lang w:val="fr-CH"/>
        </w:rPr>
        <w:t xml:space="preserve">rat,p </w:t>
      </w:r>
      <w:r>
        <w:rPr>
          <w:szCs w:val="24"/>
        </w:rPr>
        <w:t xml:space="preserve">et la largeur de bande minimale </w:t>
      </w:r>
      <w:r w:rsidRPr="00FE0045">
        <w:rPr>
          <w:lang w:val="fr-CH"/>
        </w:rPr>
        <w:t>MinSpec</w:t>
      </w:r>
      <w:r w:rsidRPr="00FE0045">
        <w:rPr>
          <w:i/>
          <w:vertAlign w:val="subscript"/>
          <w:lang w:val="fr-CH"/>
        </w:rPr>
        <w:t xml:space="preserve">rat,p </w:t>
      </w:r>
      <w:r>
        <w:rPr>
          <w:szCs w:val="24"/>
        </w:rPr>
        <w:t>requise pour pouvoir attribuer une porteuse unique à chaque cellule dans un réseau étendu, compte tenu du facteur de réutilisation des fréquences. Les exigences de spectre doivent être ajustées en conséquence:</w:t>
      </w:r>
    </w:p>
    <w:p w:rsidR="00FE0045" w:rsidRDefault="00FE0045" w:rsidP="00CB3F49">
      <w:pPr>
        <w:jc w:val="center"/>
        <w:rPr>
          <w:szCs w:val="24"/>
        </w:rPr>
      </w:pPr>
      <w:r w:rsidRPr="00FE0045">
        <w:rPr>
          <w:i/>
          <w:sz w:val="21"/>
          <w:lang w:val="fr-CH" w:eastAsia="ja-JP"/>
        </w:rPr>
        <w:t>F</w:t>
      </w:r>
      <w:r w:rsidRPr="00FE0045">
        <w:rPr>
          <w:i/>
          <w:sz w:val="21"/>
          <w:vertAlign w:val="subscript"/>
          <w:lang w:val="fr-CH" w:eastAsia="ja-JP"/>
        </w:rPr>
        <w:t>d,t,r</w:t>
      </w:r>
      <w:r w:rsidRPr="00FE0045">
        <w:rPr>
          <w:i/>
          <w:sz w:val="21"/>
          <w:vertAlign w:val="subscript"/>
          <w:lang w:val="fr-CH"/>
        </w:rPr>
        <w:t>at,p</w:t>
      </w:r>
      <w:r w:rsidRPr="00FE0045">
        <w:rPr>
          <w:i/>
          <w:sz w:val="21"/>
          <w:lang w:val="fr-CH"/>
        </w:rPr>
        <w:t xml:space="preserve"> </w:t>
      </w:r>
      <w:r w:rsidRPr="00FE0045">
        <w:rPr>
          <w:b/>
          <w:sz w:val="21"/>
          <w:lang w:val="fr-CH"/>
        </w:rPr>
        <w:t xml:space="preserve">= </w:t>
      </w:r>
      <w:r w:rsidRPr="00FE0045">
        <w:rPr>
          <w:sz w:val="21"/>
          <w:lang w:val="fr-CH" w:eastAsia="ja-JP"/>
        </w:rPr>
        <w:t xml:space="preserve">0   si  </w:t>
      </w:r>
      <w:r w:rsidRPr="00FE0045">
        <w:rPr>
          <w:i/>
          <w:sz w:val="21"/>
          <w:lang w:val="fr-CH" w:eastAsia="ja-JP"/>
        </w:rPr>
        <w:t>F</w:t>
      </w:r>
      <w:r w:rsidRPr="00FE0045">
        <w:rPr>
          <w:i/>
          <w:sz w:val="21"/>
          <w:vertAlign w:val="subscript"/>
          <w:lang w:val="fr-CH" w:eastAsia="ja-JP"/>
        </w:rPr>
        <w:t>d,t,r</w:t>
      </w:r>
      <w:r w:rsidRPr="00FE0045">
        <w:rPr>
          <w:i/>
          <w:sz w:val="21"/>
          <w:vertAlign w:val="subscript"/>
          <w:lang w:val="fr-CH"/>
        </w:rPr>
        <w:t>at,p</w:t>
      </w:r>
      <w:r w:rsidRPr="00FE0045">
        <w:rPr>
          <w:i/>
          <w:sz w:val="21"/>
          <w:vertAlign w:val="subscript"/>
          <w:lang w:val="fr-CH" w:eastAsia="ja-JP"/>
        </w:rPr>
        <w:t xml:space="preserve"> </w:t>
      </w:r>
      <w:r w:rsidRPr="00FE0045">
        <w:rPr>
          <w:sz w:val="21"/>
          <w:lang w:val="fr-CH" w:eastAsia="ja-JP"/>
        </w:rPr>
        <w:t>=0</w:t>
      </w:r>
    </w:p>
    <w:p w:rsidR="00FE0045" w:rsidRDefault="00FE0045" w:rsidP="00FE0045">
      <w:pPr>
        <w:pStyle w:val="Equation"/>
      </w:pPr>
      <w:r w:rsidRPr="001555A0">
        <w:rPr>
          <w:lang w:eastAsia="ja-JP"/>
        </w:rPr>
        <w:tab/>
      </w:r>
      <w:r w:rsidRPr="001555A0">
        <w:rPr>
          <w:lang w:eastAsia="ja-JP"/>
        </w:rPr>
        <w:tab/>
      </w:r>
      <w:r w:rsidRPr="00584E0D">
        <w:rPr>
          <w:i/>
          <w:lang w:eastAsia="ja-JP"/>
        </w:rPr>
        <w:t>F</w:t>
      </w:r>
      <w:r w:rsidRPr="00584E0D">
        <w:rPr>
          <w:i/>
          <w:vertAlign w:val="subscript"/>
          <w:lang w:eastAsia="ja-JP"/>
        </w:rPr>
        <w:t>d,t,r</w:t>
      </w:r>
      <w:r w:rsidRPr="00584E0D">
        <w:rPr>
          <w:i/>
          <w:vertAlign w:val="subscript"/>
        </w:rPr>
        <w:t>at,p</w:t>
      </w:r>
      <w:r w:rsidRPr="00584E0D">
        <w:rPr>
          <w:i/>
        </w:rPr>
        <w:t xml:space="preserve"> </w:t>
      </w:r>
      <w:r w:rsidRPr="00584E0D">
        <w:rPr>
          <w:b/>
        </w:rPr>
        <w:t xml:space="preserve">= </w:t>
      </w:r>
      <w:r w:rsidRPr="00584E0D">
        <w:t>MinSpec</w:t>
      </w:r>
      <w:r w:rsidRPr="00584E0D">
        <w:rPr>
          <w:i/>
          <w:vertAlign w:val="subscript"/>
        </w:rPr>
        <w:t>rat,p</w:t>
      </w:r>
      <w:r w:rsidRPr="001555A0">
        <w:sym w:font="Symbol" w:char="F0D7"/>
      </w:r>
      <w:r>
        <w:t xml:space="preserve"> si </w:t>
      </w:r>
      <w:r w:rsidRPr="00627844">
        <w:rPr>
          <w:rFonts w:hint="eastAsia"/>
          <w:sz w:val="21"/>
          <w:lang w:eastAsia="ja-JP"/>
        </w:rPr>
        <w:t xml:space="preserve">0 &lt;  </w:t>
      </w:r>
      <w:r w:rsidRPr="00584E0D">
        <w:rPr>
          <w:i/>
          <w:lang w:eastAsia="ja-JP"/>
        </w:rPr>
        <w:t>F</w:t>
      </w:r>
      <w:r w:rsidRPr="00584E0D">
        <w:rPr>
          <w:i/>
          <w:vertAlign w:val="subscript"/>
          <w:lang w:eastAsia="ja-JP"/>
        </w:rPr>
        <w:t>d,t,r</w:t>
      </w:r>
      <w:r w:rsidRPr="00584E0D">
        <w:rPr>
          <w:i/>
          <w:vertAlign w:val="subscript"/>
        </w:rPr>
        <w:t>at,p</w:t>
      </w:r>
      <w:r w:rsidRPr="00114586">
        <w:rPr>
          <w:sz w:val="21"/>
        </w:rPr>
        <w:sym w:font="Symbol" w:char="F0A3"/>
      </w:r>
      <w:r w:rsidRPr="00627844">
        <w:rPr>
          <w:rFonts w:eastAsia="MS Mincho" w:hint="eastAsia"/>
          <w:sz w:val="21"/>
          <w:lang w:eastAsia="ja-JP"/>
        </w:rPr>
        <w:t xml:space="preserve"> </w:t>
      </w:r>
      <w:r w:rsidRPr="00584E0D">
        <w:t>MinSpec</w:t>
      </w:r>
      <w:r w:rsidRPr="00584E0D">
        <w:rPr>
          <w:i/>
          <w:vertAlign w:val="subscript"/>
        </w:rPr>
        <w:t>rat,p</w:t>
      </w:r>
      <w:r w:rsidRPr="00584E0D">
        <w:tab/>
      </w:r>
    </w:p>
    <w:p w:rsidR="00FE0045" w:rsidRPr="00F145C5" w:rsidRDefault="00FE0045" w:rsidP="00FE0045">
      <w:pPr>
        <w:pStyle w:val="Equation"/>
        <w:rPr>
          <w:lang w:eastAsia="ja-JP"/>
        </w:rPr>
      </w:pPr>
      <w:r w:rsidRPr="00627844">
        <w:rPr>
          <w:i/>
          <w:sz w:val="21"/>
          <w:lang w:eastAsia="ja-JP"/>
        </w:rPr>
        <w:t>F</w:t>
      </w:r>
      <w:r w:rsidRPr="00627844">
        <w:rPr>
          <w:i/>
          <w:sz w:val="21"/>
          <w:vertAlign w:val="subscript"/>
          <w:lang w:eastAsia="ja-JP"/>
        </w:rPr>
        <w:t>d,t,r</w:t>
      </w:r>
      <w:r w:rsidRPr="00627844">
        <w:rPr>
          <w:i/>
          <w:sz w:val="21"/>
          <w:vertAlign w:val="subscript"/>
        </w:rPr>
        <w:t>at,p</w:t>
      </w:r>
      <w:r w:rsidRPr="00627844">
        <w:rPr>
          <w:i/>
          <w:sz w:val="21"/>
        </w:rPr>
        <w:t xml:space="preserve"> </w:t>
      </w:r>
      <w:r w:rsidRPr="00627844">
        <w:rPr>
          <w:b/>
          <w:sz w:val="21"/>
        </w:rPr>
        <w:t xml:space="preserve">= </w:t>
      </w:r>
      <w:r w:rsidRPr="00627844">
        <w:rPr>
          <w:sz w:val="21"/>
        </w:rPr>
        <w:t>MinSpec</w:t>
      </w:r>
      <w:r w:rsidRPr="00627844">
        <w:rPr>
          <w:i/>
          <w:sz w:val="21"/>
          <w:vertAlign w:val="subscript"/>
        </w:rPr>
        <w:t>rat,p</w:t>
      </w:r>
      <w:r w:rsidRPr="00627844">
        <w:rPr>
          <w:sz w:val="21"/>
        </w:rPr>
        <w:t xml:space="preserve"> </w:t>
      </w:r>
      <w:r w:rsidRPr="00627844">
        <w:rPr>
          <w:rFonts w:hint="eastAsia"/>
          <w:sz w:val="21"/>
          <w:lang w:eastAsia="ja-JP"/>
        </w:rPr>
        <w:t>+ Grn</w:t>
      </w:r>
      <w:r w:rsidRPr="00627844">
        <w:rPr>
          <w:sz w:val="21"/>
        </w:rPr>
        <w:t>Spec</w:t>
      </w:r>
      <w:r w:rsidRPr="00627844">
        <w:rPr>
          <w:i/>
          <w:sz w:val="21"/>
          <w:vertAlign w:val="subscript"/>
        </w:rPr>
        <w:t>rat,p</w:t>
      </w:r>
      <w:r w:rsidRPr="00627844">
        <w:rPr>
          <w:sz w:val="21"/>
        </w:rPr>
        <w:t xml:space="preserve"> </w:t>
      </w:r>
      <w:r w:rsidRPr="00114586">
        <w:rPr>
          <w:sz w:val="21"/>
        </w:rPr>
        <w:sym w:font="Symbol" w:char="F0D7"/>
      </w:r>
      <w:r w:rsidRPr="00627844">
        <w:rPr>
          <w:sz w:val="21"/>
        </w:rPr>
        <w:t xml:space="preserve"> </w:t>
      </w:r>
      <w:r w:rsidRPr="00114586">
        <w:rPr>
          <w:sz w:val="21"/>
        </w:rPr>
        <w:sym w:font="Symbol" w:char="F0E9"/>
      </w:r>
      <w:r w:rsidRPr="00627844">
        <w:rPr>
          <w:sz w:val="21"/>
        </w:rPr>
        <w:t>(</w:t>
      </w:r>
      <w:r w:rsidRPr="00627844">
        <w:rPr>
          <w:i/>
          <w:sz w:val="21"/>
          <w:lang w:eastAsia="ja-JP"/>
        </w:rPr>
        <w:t>F</w:t>
      </w:r>
      <w:r w:rsidRPr="00627844">
        <w:rPr>
          <w:i/>
          <w:sz w:val="21"/>
          <w:vertAlign w:val="subscript"/>
          <w:lang w:eastAsia="ja-JP"/>
        </w:rPr>
        <w:t>d,t,r</w:t>
      </w:r>
      <w:r w:rsidRPr="00627844">
        <w:rPr>
          <w:i/>
          <w:sz w:val="21"/>
          <w:vertAlign w:val="subscript"/>
        </w:rPr>
        <w:t>at,p</w:t>
      </w:r>
      <w:r w:rsidRPr="00627844">
        <w:rPr>
          <w:rFonts w:ascii="SimSun" w:eastAsia="SimSun" w:hAnsi="SimSun" w:cs="SimSun" w:hint="eastAsia"/>
          <w:sz w:val="21"/>
          <w:lang w:eastAsia="ja-JP"/>
        </w:rPr>
        <w:t>－</w:t>
      </w:r>
      <w:r w:rsidRPr="00627844">
        <w:rPr>
          <w:sz w:val="21"/>
        </w:rPr>
        <w:t>MinSpec</w:t>
      </w:r>
      <w:r w:rsidRPr="00627844">
        <w:rPr>
          <w:i/>
          <w:sz w:val="21"/>
          <w:vertAlign w:val="subscript"/>
        </w:rPr>
        <w:t>rat,p</w:t>
      </w:r>
      <w:r w:rsidRPr="00627844">
        <w:rPr>
          <w:rFonts w:ascii="SimSun" w:eastAsia="SimSun" w:hAnsi="SimSun" w:cs="SimSun" w:hint="eastAsia"/>
          <w:sz w:val="21"/>
          <w:lang w:eastAsia="ja-JP"/>
        </w:rPr>
        <w:t>）</w:t>
      </w:r>
      <w:r w:rsidRPr="00627844">
        <w:rPr>
          <w:i/>
          <w:sz w:val="21"/>
          <w:vertAlign w:val="subscript"/>
        </w:rPr>
        <w:t xml:space="preserve">  </w:t>
      </w:r>
      <w:r w:rsidRPr="00627844">
        <w:rPr>
          <w:sz w:val="21"/>
        </w:rPr>
        <w:t>/GrnSpec</w:t>
      </w:r>
      <w:r w:rsidRPr="00627844">
        <w:rPr>
          <w:i/>
          <w:sz w:val="21"/>
          <w:vertAlign w:val="subscript"/>
        </w:rPr>
        <w:t>rat,p</w:t>
      </w:r>
      <w:r w:rsidRPr="00114586">
        <w:rPr>
          <w:sz w:val="21"/>
        </w:rPr>
        <w:sym w:font="Symbol" w:char="F0F9"/>
      </w:r>
      <w:r>
        <w:rPr>
          <w:sz w:val="21"/>
        </w:rPr>
        <w:t>  </w:t>
      </w:r>
      <w:r>
        <w:rPr>
          <w:sz w:val="21"/>
          <w:lang w:eastAsia="ja-JP"/>
        </w:rPr>
        <w:t>si</w:t>
      </w:r>
      <w:r w:rsidRPr="00627844">
        <w:rPr>
          <w:rFonts w:hint="eastAsia"/>
          <w:sz w:val="21"/>
          <w:lang w:eastAsia="ja-JP"/>
        </w:rPr>
        <w:t xml:space="preserve">  </w:t>
      </w:r>
      <w:r w:rsidRPr="00627844">
        <w:rPr>
          <w:sz w:val="21"/>
        </w:rPr>
        <w:t>MinSpec</w:t>
      </w:r>
      <w:r w:rsidRPr="00627844">
        <w:rPr>
          <w:i/>
          <w:sz w:val="21"/>
          <w:vertAlign w:val="subscript"/>
        </w:rPr>
        <w:t>rat,p</w:t>
      </w:r>
      <w:r w:rsidRPr="00627844">
        <w:rPr>
          <w:i/>
          <w:sz w:val="21"/>
          <w:lang w:eastAsia="ja-JP"/>
        </w:rPr>
        <w:t xml:space="preserve"> </w:t>
      </w:r>
      <w:r w:rsidRPr="00627844">
        <w:rPr>
          <w:rFonts w:hint="eastAsia"/>
          <w:i/>
          <w:sz w:val="21"/>
          <w:lang w:eastAsia="ja-JP"/>
        </w:rPr>
        <w:t xml:space="preserve">&lt; </w:t>
      </w:r>
      <w:r w:rsidRPr="00627844">
        <w:rPr>
          <w:i/>
          <w:sz w:val="21"/>
          <w:lang w:eastAsia="ja-JP"/>
        </w:rPr>
        <w:t>F</w:t>
      </w:r>
      <w:r w:rsidRPr="00627844">
        <w:rPr>
          <w:i/>
          <w:sz w:val="21"/>
          <w:vertAlign w:val="subscript"/>
          <w:lang w:eastAsia="ja-JP"/>
        </w:rPr>
        <w:t>d,t,r</w:t>
      </w:r>
      <w:r w:rsidRPr="00627844">
        <w:rPr>
          <w:i/>
          <w:sz w:val="21"/>
          <w:vertAlign w:val="subscript"/>
        </w:rPr>
        <w:t>at,p</w:t>
      </w:r>
      <w:r w:rsidRPr="0022760B">
        <w:rPr>
          <w:i/>
          <w:sz w:val="21"/>
          <w:vertAlign w:val="subscript"/>
        </w:rPr>
        <w:tab/>
      </w:r>
      <w:r w:rsidRPr="00F145C5">
        <w:t>(</w:t>
      </w:r>
      <w:r>
        <w:t>40</w:t>
      </w:r>
      <w:r w:rsidRPr="00F145C5">
        <w:t>)</w:t>
      </w:r>
    </w:p>
    <w:p w:rsidR="00FE0045" w:rsidRDefault="00FE0045" w:rsidP="003066EE">
      <w:pPr>
        <w:ind w:left="1191" w:hanging="1191"/>
        <w:rPr>
          <w:szCs w:val="24"/>
        </w:rPr>
      </w:pPr>
      <w:r>
        <w:rPr>
          <w:szCs w:val="24"/>
        </w:rPr>
        <w:tab/>
      </w:r>
      <w:r>
        <w:rPr>
          <w:szCs w:val="24"/>
        </w:rPr>
        <w:tab/>
        <w:t xml:space="preserve">Dans cette relation, </w:t>
      </w:r>
      <w:r>
        <w:rPr>
          <w:rFonts w:ascii="Symbol" w:hAnsi="Symbol"/>
          <w:szCs w:val="24"/>
        </w:rPr>
        <w:sym w:font="Symbol" w:char="F0E9"/>
      </w:r>
      <w:r>
        <w:rPr>
          <w:rFonts w:ascii="Symbol" w:hAnsi="Symbol"/>
          <w:szCs w:val="24"/>
        </w:rPr>
        <w:sym w:font="Symbol" w:char="F0F9"/>
      </w:r>
      <w:r>
        <w:rPr>
          <w:szCs w:val="24"/>
        </w:rPr>
        <w:t xml:space="preserve"> signifie que la valeur doit être arrondie au nombre entier supérieur, et la valeur de MinSpec</w:t>
      </w:r>
      <w:r>
        <w:rPr>
          <w:i/>
          <w:iCs/>
          <w:szCs w:val="24"/>
          <w:vertAlign w:val="subscript"/>
        </w:rPr>
        <w:t>rat,p</w:t>
      </w:r>
      <w:r>
        <w:rPr>
          <w:szCs w:val="24"/>
        </w:rPr>
        <w:t xml:space="preserve"> et </w:t>
      </w:r>
      <w:r w:rsidRPr="00D80341">
        <w:rPr>
          <w:lang w:val="fr-CH" w:eastAsia="ja-JP"/>
        </w:rPr>
        <w:t>Grn</w:t>
      </w:r>
      <w:r w:rsidRPr="00D80341">
        <w:rPr>
          <w:lang w:val="fr-CH"/>
        </w:rPr>
        <w:t>Spec</w:t>
      </w:r>
      <w:r w:rsidRPr="00D80341">
        <w:rPr>
          <w:i/>
          <w:vertAlign w:val="subscript"/>
          <w:lang w:val="fr-CH"/>
        </w:rPr>
        <w:t>rat,p</w:t>
      </w:r>
      <w:r>
        <w:rPr>
          <w:szCs w:val="24"/>
        </w:rPr>
        <w:t xml:space="preserve"> est obtenue en consultant les Tableaux 10a et 10b. On notera que, pour les futurs RATG, une largeur de bande minimale des porteuses sera également imposée par la nécessité d'offrir le débit de données d'utilisateur maximal ciblé. </w:t>
      </w:r>
    </w:p>
    <w:p w:rsidR="00FE0045" w:rsidRDefault="00FE0045" w:rsidP="00FB430B">
      <w:pPr>
        <w:pStyle w:val="Note"/>
        <w:keepNext/>
        <w:keepLines/>
        <w:tabs>
          <w:tab w:val="left" w:pos="1134"/>
        </w:tabs>
        <w:ind w:left="1134" w:hanging="1134"/>
      </w:pPr>
      <w:r>
        <w:lastRenderedPageBreak/>
        <w:tab/>
        <w:t xml:space="preserve">NOTE 1 – Les paramètres à utiliser avec la présente méthodologie devraient être choisis avec prudence car certains peuvent avoir une influence particulièrement importante sur les estimations de spectre. Il faut notamment bien réfléchir à l'effet du déploiement minimal de spectre par opérateur du RATG2 car une valeur importante de ce paramètre pourrait donner lieu à une estimation des besoins totaux en fréquences supérieure aux besoins correspondant au volume de trafic du marché si l'on choisissait des largeurs de bande de canaux plus étroites. La taille des cellules devrait, elle aussi, être choisie de façon à être en rapport avec le débit de données, la largeur de bande des voies et d'autres paramètres qui affectent le bilan de liaison. En outre, le déploiement minimal de spectre par opérateur doit être compatible avec les débits moyens de service qui sont utilisés dans le calcul. </w:t>
      </w:r>
    </w:p>
    <w:p w:rsidR="00FE0045" w:rsidRDefault="00FE0045" w:rsidP="00DE4CE1">
      <w:pPr>
        <w:ind w:left="1191" w:hanging="1191"/>
      </w:pPr>
      <w:r w:rsidRPr="00E55AE2">
        <w:rPr>
          <w:i/>
        </w:rPr>
        <w:t>Etape 3:</w:t>
      </w:r>
      <w:r>
        <w:tab/>
        <w:t>Pour le RATG1, on suppose que les environnements radioélectriques constitués par les picocellules et les points d'accès publics n'occupent pas le même site. Il faut donc prendre la valeur maximale de ces deux environnements. Les macrocellules sont supposées occuper le même site que les picocellules et les microcellules sont supposées partager un site avec les points d'accès publics. Les exigences de spectre des macrocellules et des microcellules pour le RATG1 doivent donc être ajoutées aux besoins maximaux des picocellules et des points d'accès publics, comme suit:</w:t>
      </w:r>
    </w:p>
    <w:p w:rsidR="00FE0045" w:rsidRDefault="00FE0045" w:rsidP="00FE0045">
      <w:pPr>
        <w:pStyle w:val="Equation"/>
      </w:pPr>
      <w:r w:rsidRPr="001555A0">
        <w:tab/>
      </w:r>
      <w:r w:rsidRPr="001555A0">
        <w:tab/>
      </w:r>
      <w:r w:rsidRPr="009B11DE">
        <w:rPr>
          <w:i/>
        </w:rPr>
        <w:t>F</w:t>
      </w:r>
      <w:r w:rsidRPr="009B11DE">
        <w:rPr>
          <w:i/>
          <w:vertAlign w:val="subscript"/>
        </w:rPr>
        <w:t>d,t,rat</w:t>
      </w:r>
      <w:r w:rsidRPr="009B11DE">
        <w:rPr>
          <w:i/>
        </w:rPr>
        <w:t> = F</w:t>
      </w:r>
      <w:r w:rsidRPr="009B11DE">
        <w:rPr>
          <w:i/>
          <w:vertAlign w:val="subscript"/>
        </w:rPr>
        <w:t>d,rat,macro</w:t>
      </w:r>
      <w:r w:rsidRPr="009B11DE">
        <w:t> + </w:t>
      </w:r>
      <w:r w:rsidRPr="009B11DE">
        <w:rPr>
          <w:i/>
        </w:rPr>
        <w:t>F</w:t>
      </w:r>
      <w:r w:rsidRPr="009B11DE">
        <w:rPr>
          <w:i/>
          <w:vertAlign w:val="subscript"/>
        </w:rPr>
        <w:t>d,t,rat,micro</w:t>
      </w:r>
      <w:r w:rsidRPr="009B11DE">
        <w:t> + max(</w:t>
      </w:r>
      <w:r w:rsidRPr="009B11DE">
        <w:rPr>
          <w:i/>
        </w:rPr>
        <w:t>F</w:t>
      </w:r>
      <w:r w:rsidRPr="009B11DE">
        <w:rPr>
          <w:i/>
          <w:vertAlign w:val="subscript"/>
        </w:rPr>
        <w:t>d,t,rat,pico</w:t>
      </w:r>
      <w:r w:rsidRPr="009B11DE">
        <w:t xml:space="preserve">, </w:t>
      </w:r>
      <w:r w:rsidRPr="009B11DE">
        <w:rPr>
          <w:i/>
        </w:rPr>
        <w:t>F</w:t>
      </w:r>
      <w:r w:rsidRPr="009B11DE">
        <w:rPr>
          <w:i/>
          <w:vertAlign w:val="subscript"/>
        </w:rPr>
        <w:t>d,t,rat,hotspot</w:t>
      </w:r>
      <w:r w:rsidRPr="009B11DE">
        <w:t>)</w:t>
      </w:r>
      <w:r w:rsidRPr="009B11DE">
        <w:tab/>
        <w:t>(</w:t>
      </w:r>
      <w:r>
        <w:t>41a</w:t>
      </w:r>
      <w:r w:rsidRPr="009B11DE">
        <w:t>)</w:t>
      </w:r>
    </w:p>
    <w:p w:rsidR="00FE0045" w:rsidRPr="00FE0045" w:rsidRDefault="00FE0045" w:rsidP="005B4AE7">
      <w:pPr>
        <w:pStyle w:val="enumlev1"/>
        <w:ind w:left="1191" w:hanging="1191"/>
        <w:rPr>
          <w:lang w:val="fr-CH"/>
        </w:rPr>
      </w:pPr>
      <w:r w:rsidRPr="00D80341">
        <w:tab/>
      </w:r>
      <w:r w:rsidR="005B4AE7">
        <w:tab/>
      </w:r>
      <w:r>
        <w:t xml:space="preserve">Pour le </w:t>
      </w:r>
      <w:r w:rsidRPr="00FE0045">
        <w:rPr>
          <w:lang w:val="fr-CH"/>
        </w:rPr>
        <w:t>RATG2, le développement récent des réseaux hétérogènes tend à créer des conditions dans lesquelles les différents types de cellules peuvent être déployées sur le</w:t>
      </w:r>
      <w:r w:rsidR="002E45DF">
        <w:rPr>
          <w:lang w:val="fr-CH"/>
        </w:rPr>
        <w:t>s</w:t>
      </w:r>
      <w:r w:rsidRPr="00FE0045">
        <w:rPr>
          <w:lang w:val="fr-CH"/>
        </w:rPr>
        <w:t xml:space="preserve"> même</w:t>
      </w:r>
      <w:r w:rsidR="002E45DF">
        <w:rPr>
          <w:lang w:val="fr-CH"/>
        </w:rPr>
        <w:t>s</w:t>
      </w:r>
      <w:r w:rsidRPr="00FE0045">
        <w:rPr>
          <w:lang w:val="fr-CH"/>
        </w:rPr>
        <w:t xml:space="preserve"> </w:t>
      </w:r>
      <w:r w:rsidR="002E45DF">
        <w:rPr>
          <w:lang w:val="fr-CH"/>
        </w:rPr>
        <w:t xml:space="preserve">fréquences plus efficacement qu'on ne le prévoyait jusqu'à présent. Les exigences de spectre de la valeur maximale des environnements de macrocellules et de microcellules pour le RATG2 doivent donc être ajoutées à la valeur maximale des environnements radioélectriques constitués par les </w:t>
      </w:r>
      <w:r>
        <w:t xml:space="preserve">picocellules et </w:t>
      </w:r>
      <w:r w:rsidR="002E45DF">
        <w:t>l</w:t>
      </w:r>
      <w:r>
        <w:t>es points d'accès publics, comme suit</w:t>
      </w:r>
      <w:r w:rsidRPr="00FE0045">
        <w:rPr>
          <w:lang w:val="fr-CH"/>
        </w:rPr>
        <w:t xml:space="preserve">: </w:t>
      </w:r>
    </w:p>
    <w:p w:rsidR="00FE0045" w:rsidRPr="00FE0045" w:rsidRDefault="00FE0045" w:rsidP="00FE0045">
      <w:pPr>
        <w:pStyle w:val="Equation"/>
        <w:rPr>
          <w:b/>
          <w:lang w:val="fr-CH"/>
        </w:rPr>
      </w:pPr>
      <w:r w:rsidRPr="00FE0045">
        <w:rPr>
          <w:lang w:val="fr-CH"/>
        </w:rPr>
        <w:tab/>
      </w:r>
      <w:r w:rsidRPr="00FE0045">
        <w:rPr>
          <w:lang w:val="fr-CH"/>
        </w:rPr>
        <w:tab/>
      </w:r>
      <w:r w:rsidRPr="00FE0045">
        <w:rPr>
          <w:i/>
          <w:iCs/>
          <w:lang w:val="fr-CH"/>
        </w:rPr>
        <w:t>F</w:t>
      </w:r>
      <w:r w:rsidRPr="00FE0045">
        <w:rPr>
          <w:i/>
          <w:iCs/>
          <w:vertAlign w:val="subscript"/>
          <w:lang w:val="fr-CH"/>
        </w:rPr>
        <w:t>d,t,rat</w:t>
      </w:r>
      <w:r w:rsidRPr="00FE0045">
        <w:rPr>
          <w:lang w:val="fr-CH"/>
        </w:rPr>
        <w:t> = max (</w:t>
      </w:r>
      <w:r w:rsidRPr="00FE0045">
        <w:rPr>
          <w:i/>
          <w:iCs/>
          <w:lang w:val="fr-CH"/>
        </w:rPr>
        <w:t>F</w:t>
      </w:r>
      <w:r w:rsidRPr="00FE0045">
        <w:rPr>
          <w:i/>
          <w:iCs/>
          <w:vertAlign w:val="subscript"/>
          <w:lang w:val="fr-CH"/>
        </w:rPr>
        <w:t xml:space="preserve">d,t,rat,macro, </w:t>
      </w:r>
      <w:r w:rsidRPr="00FE0045">
        <w:rPr>
          <w:i/>
          <w:iCs/>
          <w:lang w:val="fr-CH"/>
        </w:rPr>
        <w:t>F</w:t>
      </w:r>
      <w:r w:rsidRPr="00FE0045">
        <w:rPr>
          <w:i/>
          <w:iCs/>
          <w:vertAlign w:val="subscript"/>
          <w:lang w:val="fr-CH"/>
        </w:rPr>
        <w:t>d,t,rat,micro</w:t>
      </w:r>
      <w:r w:rsidRPr="00FE0045">
        <w:rPr>
          <w:lang w:val="fr-CH"/>
        </w:rPr>
        <w:t>) + max (</w:t>
      </w:r>
      <w:r w:rsidRPr="00FE0045">
        <w:rPr>
          <w:i/>
          <w:iCs/>
          <w:lang w:val="fr-CH"/>
        </w:rPr>
        <w:t>F</w:t>
      </w:r>
      <w:r w:rsidRPr="00FE0045">
        <w:rPr>
          <w:i/>
          <w:iCs/>
          <w:vertAlign w:val="subscript"/>
          <w:lang w:val="fr-CH"/>
        </w:rPr>
        <w:t>d,t,rat,pico</w:t>
      </w:r>
      <w:r w:rsidRPr="00FE0045">
        <w:rPr>
          <w:i/>
          <w:iCs/>
          <w:lang w:val="fr-CH"/>
        </w:rPr>
        <w:t>, F</w:t>
      </w:r>
      <w:r w:rsidRPr="00FE0045">
        <w:rPr>
          <w:i/>
          <w:iCs/>
          <w:vertAlign w:val="subscript"/>
          <w:lang w:val="fr-CH"/>
        </w:rPr>
        <w:t>d,t,rat,hotspot</w:t>
      </w:r>
      <w:r w:rsidRPr="00FE0045">
        <w:rPr>
          <w:lang w:val="fr-CH"/>
        </w:rPr>
        <w:t>)</w:t>
      </w:r>
      <w:r w:rsidRPr="00FE0045">
        <w:rPr>
          <w:lang w:val="fr-CH"/>
        </w:rPr>
        <w:tab/>
        <w:t>(41b)</w:t>
      </w:r>
    </w:p>
    <w:p w:rsidR="00FE0045" w:rsidRDefault="00FE0045" w:rsidP="00FE0045">
      <w:r w:rsidRPr="00FE0045">
        <w:rPr>
          <w:lang w:val="fr-CH"/>
        </w:rPr>
        <w:tab/>
      </w:r>
      <w:r w:rsidRPr="00FE0045">
        <w:rPr>
          <w:lang w:val="fr-CH"/>
        </w:rPr>
        <w:tab/>
      </w:r>
      <w:r>
        <w:t>Le spectre total requis pour tous les opérateurs est donc:</w:t>
      </w:r>
    </w:p>
    <w:p w:rsidR="00FE0045" w:rsidRPr="009B11DE" w:rsidRDefault="00FE0045" w:rsidP="00FE0045">
      <w:pPr>
        <w:pStyle w:val="Equation"/>
      </w:pPr>
      <w:r w:rsidRPr="001555A0">
        <w:tab/>
      </w:r>
      <w:r w:rsidRPr="001555A0">
        <w:tab/>
      </w:r>
      <w:r w:rsidRPr="009B11DE">
        <w:rPr>
          <w:i/>
        </w:rPr>
        <w:t>F</w:t>
      </w:r>
      <w:r w:rsidRPr="009B11DE">
        <w:rPr>
          <w:i/>
          <w:vertAlign w:val="subscript"/>
        </w:rPr>
        <w:t>d,t,rat</w:t>
      </w:r>
      <w:r w:rsidRPr="009B11DE">
        <w:t>:</w:t>
      </w:r>
      <w:r>
        <w:t> </w:t>
      </w:r>
      <w:r w:rsidRPr="009B11DE">
        <w:t xml:space="preserve">= </w:t>
      </w:r>
      <w:r w:rsidRPr="009B11DE">
        <w:rPr>
          <w:i/>
        </w:rPr>
        <w:t>F</w:t>
      </w:r>
      <w:r w:rsidRPr="009B11DE">
        <w:rPr>
          <w:i/>
          <w:vertAlign w:val="subscript"/>
        </w:rPr>
        <w:t>d,t,rat</w:t>
      </w:r>
      <w:r w:rsidRPr="009B11DE">
        <w:t xml:space="preserve"> </w:t>
      </w:r>
      <w:r w:rsidRPr="001555A0">
        <w:sym w:font="Symbol" w:char="F0D7"/>
      </w:r>
      <w:r w:rsidRPr="009B11DE">
        <w:t xml:space="preserve"> </w:t>
      </w:r>
      <w:r w:rsidRPr="009B11DE">
        <w:rPr>
          <w:i/>
        </w:rPr>
        <w:t>N</w:t>
      </w:r>
      <w:r w:rsidRPr="009B11DE">
        <w:rPr>
          <w:i/>
          <w:vertAlign w:val="subscript"/>
        </w:rPr>
        <w:t>o</w:t>
      </w:r>
      <w:r w:rsidRPr="009B11DE">
        <w:tab/>
        <w:t>(</w:t>
      </w:r>
      <w:r>
        <w:t>42</w:t>
      </w:r>
      <w:r w:rsidRPr="009B11DE">
        <w:t>)</w:t>
      </w:r>
    </w:p>
    <w:p w:rsidR="00FE0045" w:rsidRDefault="00FE0045" w:rsidP="005B4AE7">
      <w:pPr>
        <w:ind w:left="1191" w:hanging="1191"/>
      </w:pPr>
      <w:r w:rsidRPr="00E55AE2">
        <w:rPr>
          <w:i/>
        </w:rPr>
        <w:t>Etape 4:</w:t>
      </w:r>
      <w:r>
        <w:tab/>
        <w:t xml:space="preserve">A l'étape suivante, on examine les bandes de garde. On suppose que les valeurs de l'efficacité spectrale tiennent déjà compte d'une bande de garde requise entre les porteuses d'un même opérateur. Autrement dit, les valeurs de l'efficacité spectrale reposent également sur l'hypothèse selon laquelle une porteuse adjacente a soit une influence nulle, soit une influence dont il est déjà tenu compte dans la valeur de l'efficacité spectrale. La bande de garde </w:t>
      </w:r>
      <w:r>
        <w:rPr>
          <w:i/>
          <w:iCs/>
        </w:rPr>
        <w:t xml:space="preserve">entre </w:t>
      </w:r>
      <w:r>
        <w:t>opérateurs crée des besoins en fréquences supplémentaires:</w:t>
      </w:r>
    </w:p>
    <w:p w:rsidR="00FE0045" w:rsidRPr="004C26CD" w:rsidRDefault="00FE0045" w:rsidP="00FE0045">
      <w:pPr>
        <w:pStyle w:val="Equation"/>
        <w:rPr>
          <w:lang w:eastAsia="ja-JP"/>
        </w:rPr>
      </w:pPr>
      <w:r w:rsidRPr="001555A0">
        <w:tab/>
      </w:r>
      <w:r w:rsidRPr="001555A0">
        <w:tab/>
      </w:r>
      <w:r w:rsidRPr="004C26CD">
        <w:rPr>
          <w:i/>
        </w:rPr>
        <w:t>F</w:t>
      </w:r>
      <w:r w:rsidRPr="004C26CD">
        <w:rPr>
          <w:i/>
          <w:vertAlign w:val="subscript"/>
        </w:rPr>
        <w:t>d,t,ra</w:t>
      </w:r>
      <w:r w:rsidRPr="004C26CD">
        <w:t>: = </w:t>
      </w:r>
      <w:r w:rsidRPr="004C26CD">
        <w:rPr>
          <w:i/>
        </w:rPr>
        <w:t>F</w:t>
      </w:r>
      <w:r w:rsidRPr="004C26CD">
        <w:rPr>
          <w:i/>
          <w:vertAlign w:val="subscript"/>
        </w:rPr>
        <w:t>d,t,rat</w:t>
      </w:r>
      <w:r w:rsidRPr="004C26CD">
        <w:t> + (</w:t>
      </w:r>
      <w:r w:rsidRPr="004C26CD">
        <w:rPr>
          <w:i/>
        </w:rPr>
        <w:t>N</w:t>
      </w:r>
      <w:r w:rsidRPr="004C26CD">
        <w:rPr>
          <w:i/>
          <w:vertAlign w:val="subscript"/>
        </w:rPr>
        <w:t>o</w:t>
      </w:r>
      <w:r w:rsidRPr="004C26CD">
        <w:rPr>
          <w:i/>
        </w:rPr>
        <w:t xml:space="preserve"> </w:t>
      </w:r>
      <w:r w:rsidRPr="004C26CD">
        <w:t xml:space="preserve">– 1) </w:t>
      </w:r>
      <w:r w:rsidRPr="001555A0">
        <w:sym w:font="Symbol" w:char="F0D7"/>
      </w:r>
      <w:r w:rsidRPr="004C26CD">
        <w:t xml:space="preserve"> </w:t>
      </w:r>
      <w:r w:rsidRPr="004C26CD">
        <w:rPr>
          <w:i/>
        </w:rPr>
        <w:t>G</w:t>
      </w:r>
      <w:r w:rsidRPr="004C26CD">
        <w:rPr>
          <w:i/>
          <w:vertAlign w:val="subscript"/>
        </w:rPr>
        <w:t>rat</w:t>
      </w:r>
      <w:r w:rsidRPr="004C26CD">
        <w:tab/>
        <w:t>(</w:t>
      </w:r>
      <w:r>
        <w:t>43</w:t>
      </w:r>
      <w:r w:rsidRPr="004C26CD">
        <w:t>)</w:t>
      </w:r>
    </w:p>
    <w:p w:rsidR="00FE0045" w:rsidRDefault="00FE0045" w:rsidP="005B4AE7">
      <w:pPr>
        <w:ind w:left="1191" w:hanging="1191"/>
      </w:pPr>
      <w:r>
        <w:tab/>
      </w:r>
      <w:r>
        <w:tab/>
        <w:t xml:space="preserve">Dans cette relation, les valeurs de la bande de garde entre opérateurs, </w:t>
      </w:r>
      <w:r>
        <w:rPr>
          <w:i/>
          <w:iCs/>
        </w:rPr>
        <w:t>G</w:t>
      </w:r>
      <w:r>
        <w:rPr>
          <w:i/>
          <w:iCs/>
          <w:vertAlign w:val="subscript"/>
        </w:rPr>
        <w:t>rat</w:t>
      </w:r>
      <w:r>
        <w:t xml:space="preserve"> sont des données d'entrée fournies par les Tableaux 10a et 10b.</w:t>
      </w:r>
    </w:p>
    <w:p w:rsidR="00FE0045" w:rsidRDefault="00FE0045" w:rsidP="00FE0045">
      <w:pPr>
        <w:pStyle w:val="Heading1"/>
      </w:pPr>
      <w:r>
        <w:t>6</w:t>
      </w:r>
      <w:r>
        <w:tab/>
        <w:t>Calcul des exigences totales de spectre</w:t>
      </w:r>
    </w:p>
    <w:p w:rsidR="00FE0045" w:rsidRDefault="00FE0045" w:rsidP="00FE0045">
      <w:pPr>
        <w:rPr>
          <w:szCs w:val="24"/>
        </w:rPr>
      </w:pPr>
      <w:r>
        <w:rPr>
          <w:szCs w:val="24"/>
        </w:rPr>
        <w:t>Dans la dernière phase de calcul, les exigences de spectre sont additionnées pour les intervalles de temps et les télédensités.</w:t>
      </w:r>
    </w:p>
    <w:p w:rsidR="00FE0045" w:rsidRDefault="00FE0045" w:rsidP="005B4AE7">
      <w:pPr>
        <w:ind w:left="1191" w:hanging="1191"/>
      </w:pPr>
      <w:r w:rsidRPr="00E55AE2">
        <w:rPr>
          <w:i/>
        </w:rPr>
        <w:t>Etape 1</w:t>
      </w:r>
      <w:r>
        <w:t>:</w:t>
      </w:r>
      <w:r>
        <w:tab/>
        <w:t xml:space="preserve">La dépendance temporelle des exigences de spectre est prise en considération. Deux options sont offertes ci-dessous, l'option a) étant appliquée pour calculer ces exigences lorsque l'utilisation souple des fréquences (FSU) entre RATG n'est pas possible et l'option b) lorsque cette possibilité existe. L'option a) permet de déterminer les </w:t>
      </w:r>
      <w:r>
        <w:lastRenderedPageBreak/>
        <w:t>exigences de spectre spécifiques aux RATG, l'option b) permettant, elle, d'obtenir le spectre nécessaire à tous les RATG auxquels la FSU peut être appliquée.</w:t>
      </w:r>
    </w:p>
    <w:p w:rsidR="00FE0045" w:rsidRDefault="00FE0045" w:rsidP="005B4AE7">
      <w:pPr>
        <w:pStyle w:val="enumlev2"/>
        <w:ind w:left="1588" w:hanging="794"/>
      </w:pPr>
      <w:r>
        <w:tab/>
        <w:t>a)</w:t>
      </w:r>
      <w:r>
        <w:tab/>
        <w:t xml:space="preserve">Il est rappelé qu'à ce stade du calcul, les exigences de spectre dépendent encore du temps. Sans FSU, les besoins en fréquences du RATG </w:t>
      </w:r>
      <w:r>
        <w:rPr>
          <w:i/>
          <w:iCs/>
        </w:rPr>
        <w:t>rat</w:t>
      </w:r>
      <w:r>
        <w:t xml:space="preserve">, pour une télédensité </w:t>
      </w:r>
      <w:r>
        <w:rPr>
          <w:i/>
          <w:iCs/>
        </w:rPr>
        <w:t>d</w:t>
      </w:r>
      <w:r>
        <w:t xml:space="preserve"> est la valeur maximale dans le temps:</w:t>
      </w:r>
    </w:p>
    <w:p w:rsidR="00FE0045" w:rsidRPr="001555A0" w:rsidRDefault="00FE0045" w:rsidP="00FE0045">
      <w:pPr>
        <w:pStyle w:val="Equation"/>
      </w:pPr>
      <w:r w:rsidRPr="001555A0">
        <w:tab/>
      </w:r>
      <w:r w:rsidRPr="001555A0">
        <w:tab/>
      </w:r>
      <w:r w:rsidRPr="001555A0">
        <w:rPr>
          <w:position w:val="-16"/>
        </w:rPr>
        <w:object w:dxaOrig="2100" w:dyaOrig="480">
          <v:shape id="_x0000_i1061" type="#_x0000_t75" style="width:104.75pt;height:23.8pt" o:ole="">
            <v:imagedata r:id="rId85" o:title=""/>
          </v:shape>
          <o:OLEObject Type="Embed" ProgID="Equation.3" ShapeID="_x0000_i1061" DrawAspect="Content" ObjectID="_1459064103" r:id="rId86"/>
        </w:object>
      </w:r>
      <w:r w:rsidRPr="001555A0">
        <w:tab/>
        <w:t>(</w:t>
      </w:r>
      <w:r>
        <w:t>44</w:t>
      </w:r>
      <w:r w:rsidRPr="001555A0">
        <w:t>)</w:t>
      </w:r>
    </w:p>
    <w:p w:rsidR="00FE0045" w:rsidRDefault="00FE0045" w:rsidP="00FE0045">
      <w:pPr>
        <w:pStyle w:val="enumlev2"/>
        <w:rPr>
          <w:szCs w:val="24"/>
        </w:rPr>
      </w:pPr>
      <w:r>
        <w:tab/>
      </w:r>
      <w:r>
        <w:tab/>
      </w:r>
      <w:r w:rsidRPr="00564D66">
        <w:t>La</w:t>
      </w:r>
      <w:r>
        <w:rPr>
          <w:szCs w:val="24"/>
        </w:rPr>
        <w:t xml:space="preserve"> valeur maximale est prise parmi tous les intervalles de temps </w:t>
      </w:r>
      <w:r>
        <w:rPr>
          <w:i/>
          <w:iCs/>
          <w:szCs w:val="24"/>
        </w:rPr>
        <w:t>t</w:t>
      </w:r>
      <w:r>
        <w:rPr>
          <w:szCs w:val="24"/>
        </w:rPr>
        <w:t xml:space="preserve">. </w:t>
      </w:r>
    </w:p>
    <w:p w:rsidR="00FE0045" w:rsidRDefault="00FE0045" w:rsidP="005B4AE7">
      <w:pPr>
        <w:pStyle w:val="enumlev2"/>
        <w:ind w:left="1588" w:hanging="794"/>
        <w:rPr>
          <w:szCs w:val="24"/>
        </w:rPr>
      </w:pPr>
      <w:r>
        <w:rPr>
          <w:szCs w:val="24"/>
        </w:rPr>
        <w:tab/>
        <w:t>b)</w:t>
      </w:r>
      <w:r>
        <w:rPr>
          <w:szCs w:val="24"/>
        </w:rPr>
        <w:tab/>
        <w:t xml:space="preserve">Lorsque l'utilisation souple des fréquences entre RATG est possible, les exigences </w:t>
      </w:r>
      <w:r w:rsidRPr="00564D66">
        <w:t>totales</w:t>
      </w:r>
      <w:r>
        <w:rPr>
          <w:szCs w:val="24"/>
        </w:rPr>
        <w:t xml:space="preserve"> de spectre des RATG auxquels la FSU peut être appliquée sont calculées en additionnant les exigences de chacun de ces RATG séparément pour chaque télédensité. Un facteur, donné aux Tableaux 10a et 10b est également inclus pour tenir compte de toute imperfection du système de FSU susceptible d'accroître la demande de spectre:</w:t>
      </w:r>
    </w:p>
    <w:p w:rsidR="00FE0045" w:rsidRPr="001555A0" w:rsidRDefault="00FE0045" w:rsidP="00FE0045">
      <w:pPr>
        <w:pStyle w:val="Equation"/>
      </w:pPr>
      <w:r w:rsidRPr="001555A0">
        <w:tab/>
      </w:r>
      <w:r w:rsidRPr="001555A0">
        <w:tab/>
      </w:r>
      <w:r w:rsidRPr="00EA4A12">
        <w:rPr>
          <w:position w:val="-36"/>
        </w:rPr>
        <w:object w:dxaOrig="4120" w:dyaOrig="620">
          <v:shape id="_x0000_i1062" type="#_x0000_t75" style="width:205.9pt;height:31.55pt" o:ole="">
            <v:imagedata r:id="rId87" o:title=""/>
          </v:shape>
          <o:OLEObject Type="Embed" ProgID="Equation.3" ShapeID="_x0000_i1062" DrawAspect="Content" ObjectID="_1459064104" r:id="rId88"/>
        </w:object>
      </w:r>
      <w:r w:rsidRPr="001555A0">
        <w:tab/>
        <w:t>(</w:t>
      </w:r>
      <w:r>
        <w:t>45</w:t>
      </w:r>
      <w:r w:rsidRPr="001555A0">
        <w:t>)</w:t>
      </w:r>
    </w:p>
    <w:p w:rsidR="00FE0045" w:rsidRDefault="00FE0045" w:rsidP="005B4AE7">
      <w:pPr>
        <w:pStyle w:val="enumlev2"/>
        <w:ind w:left="1588" w:hanging="794"/>
        <w:rPr>
          <w:szCs w:val="24"/>
        </w:rPr>
      </w:pPr>
      <w:r>
        <w:rPr>
          <w:szCs w:val="24"/>
        </w:rPr>
        <w:tab/>
      </w:r>
      <w:r w:rsidR="005B4AE7">
        <w:rPr>
          <w:szCs w:val="24"/>
        </w:rPr>
        <w:tab/>
      </w:r>
      <w:r>
        <w:rPr>
          <w:szCs w:val="24"/>
        </w:rPr>
        <w:t>On se sert ensuite de l'opérateur dont les besoins en fréquences sont les plus grands pour déterminer les exigences de spectre maximales à tout moment. Le spectre nécessaire aux RATG auxquels la FSU peut être appliquée est:</w:t>
      </w:r>
    </w:p>
    <w:p w:rsidR="00FE0045" w:rsidRPr="001555A0" w:rsidRDefault="00FE0045" w:rsidP="00FE0045">
      <w:pPr>
        <w:pStyle w:val="Equation"/>
        <w:rPr>
          <w:lang w:eastAsia="ja-JP"/>
        </w:rPr>
      </w:pPr>
      <w:r w:rsidRPr="001555A0">
        <w:tab/>
      </w:r>
      <w:r w:rsidRPr="001555A0">
        <w:tab/>
      </w:r>
      <w:r w:rsidRPr="001555A0">
        <w:rPr>
          <w:position w:val="-16"/>
        </w:rPr>
        <w:object w:dxaOrig="2400" w:dyaOrig="480">
          <v:shape id="_x0000_i1063" type="#_x0000_t75" style="width:119pt;height:23.8pt" o:ole="">
            <v:imagedata r:id="rId89" o:title=""/>
          </v:shape>
          <o:OLEObject Type="Embed" ProgID="Equation.3" ShapeID="_x0000_i1063" DrawAspect="Content" ObjectID="_1459064105" r:id="rId90"/>
        </w:object>
      </w:r>
      <w:r w:rsidRPr="001555A0">
        <w:tab/>
        <w:t>(</w:t>
      </w:r>
      <w:r>
        <w:t>46</w:t>
      </w:r>
      <w:r w:rsidRPr="001555A0">
        <w:t>)</w:t>
      </w:r>
    </w:p>
    <w:p w:rsidR="00FE0045" w:rsidRDefault="00FE0045" w:rsidP="005B4AE7">
      <w:pPr>
        <w:pStyle w:val="enumlev2"/>
        <w:ind w:left="1588" w:hanging="794"/>
        <w:rPr>
          <w:szCs w:val="24"/>
        </w:rPr>
      </w:pPr>
      <w:r>
        <w:rPr>
          <w:szCs w:val="24"/>
        </w:rPr>
        <w:tab/>
      </w:r>
      <w:r w:rsidR="005B4AE7">
        <w:rPr>
          <w:szCs w:val="24"/>
        </w:rPr>
        <w:tab/>
      </w:r>
      <w:r>
        <w:rPr>
          <w:szCs w:val="24"/>
        </w:rPr>
        <w:t>Le spectre nécessaire aux RAT auxquelles il n'est pas possible d'appliquer la FSU est obtenu à l'aide de l'équation:</w:t>
      </w:r>
    </w:p>
    <w:p w:rsidR="00FE0045" w:rsidRPr="001555A0" w:rsidRDefault="00FE0045" w:rsidP="00FE0045">
      <w:pPr>
        <w:pStyle w:val="Equation"/>
        <w:rPr>
          <w:lang w:eastAsia="ja-JP"/>
        </w:rPr>
      </w:pPr>
      <w:r w:rsidRPr="001555A0">
        <w:rPr>
          <w:noProof/>
        </w:rPr>
        <w:tab/>
      </w:r>
      <w:r w:rsidRPr="001555A0">
        <w:rPr>
          <w:noProof/>
        </w:rPr>
        <w:tab/>
      </w:r>
      <w:r w:rsidRPr="001555A0">
        <w:rPr>
          <w:position w:val="-16"/>
        </w:rPr>
        <w:object w:dxaOrig="4900" w:dyaOrig="460">
          <v:shape id="_x0000_i1064" type="#_x0000_t75" style="width:245.15pt;height:23.2pt" o:ole="">
            <v:imagedata r:id="rId91" o:title=""/>
          </v:shape>
          <o:OLEObject Type="Embed" ProgID="Equation.3" ShapeID="_x0000_i1064" DrawAspect="Content" ObjectID="_1459064106" r:id="rId92"/>
        </w:object>
      </w:r>
      <w:r w:rsidRPr="001555A0">
        <w:tab/>
        <w:t>(</w:t>
      </w:r>
      <w:r>
        <w:t>47</w:t>
      </w:r>
      <w:r w:rsidRPr="001555A0">
        <w:t>)</w:t>
      </w:r>
    </w:p>
    <w:p w:rsidR="00FE0045" w:rsidRDefault="00FE0045" w:rsidP="005B4AE7">
      <w:pPr>
        <w:ind w:left="1191" w:hanging="1191"/>
      </w:pPr>
      <w:r w:rsidRPr="00E55AE2">
        <w:rPr>
          <w:i/>
        </w:rPr>
        <w:t>Etape 2:</w:t>
      </w:r>
      <w:r>
        <w:tab/>
      </w:r>
      <w:r w:rsidRPr="00564D66">
        <w:t>Les</w:t>
      </w:r>
      <w:r>
        <w:t xml:space="preserve"> zones de télédensité ne se chevauchent pas dans l'espace; l'environnement de télédensité auquel correspond la demande de spectre la plus forte est donc celui qui détermine les besoins en spectre d'un RATG. </w:t>
      </w:r>
    </w:p>
    <w:p w:rsidR="00FE0045" w:rsidRDefault="00FE0045" w:rsidP="00FE0045">
      <w:pPr>
        <w:pStyle w:val="enumlev2"/>
        <w:rPr>
          <w:szCs w:val="24"/>
        </w:rPr>
      </w:pPr>
      <w:r>
        <w:rPr>
          <w:szCs w:val="24"/>
        </w:rPr>
        <w:tab/>
        <w:t>a)</w:t>
      </w:r>
      <w:r>
        <w:rPr>
          <w:szCs w:val="24"/>
        </w:rPr>
        <w:tab/>
        <w:t xml:space="preserve">Sans FSU, les exigences de spectre d'un RATG </w:t>
      </w:r>
      <w:r>
        <w:rPr>
          <w:i/>
          <w:iCs/>
          <w:szCs w:val="24"/>
        </w:rPr>
        <w:t>rat</w:t>
      </w:r>
      <w:r>
        <w:rPr>
          <w:szCs w:val="24"/>
        </w:rPr>
        <w:t xml:space="preserve"> sont:</w:t>
      </w:r>
    </w:p>
    <w:p w:rsidR="00FE0045" w:rsidRPr="001555A0" w:rsidRDefault="00FE0045" w:rsidP="00FE0045">
      <w:pPr>
        <w:pStyle w:val="Equation"/>
      </w:pPr>
      <w:r w:rsidRPr="001555A0">
        <w:tab/>
      </w:r>
      <w:r w:rsidRPr="001555A0">
        <w:tab/>
      </w:r>
      <w:r w:rsidRPr="00673538">
        <w:rPr>
          <w:position w:val="-16"/>
        </w:rPr>
        <w:object w:dxaOrig="1760" w:dyaOrig="460">
          <v:shape id="_x0000_i1065" type="#_x0000_t75" style="width:88.65pt;height:23.2pt" o:ole="">
            <v:imagedata r:id="rId93" o:title=""/>
          </v:shape>
          <o:OLEObject Type="Embed" ProgID="Equation.3" ShapeID="_x0000_i1065" DrawAspect="Content" ObjectID="_1459064107" r:id="rId94"/>
        </w:object>
      </w:r>
      <w:r w:rsidRPr="001555A0">
        <w:tab/>
        <w:t>(</w:t>
      </w:r>
      <w:r>
        <w:t>48</w:t>
      </w:r>
      <w:r w:rsidRPr="001555A0">
        <w:t>)</w:t>
      </w:r>
    </w:p>
    <w:p w:rsidR="00FE0045" w:rsidRDefault="00FE0045" w:rsidP="00F00D23">
      <w:pPr>
        <w:pStyle w:val="enumlev2"/>
        <w:rPr>
          <w:szCs w:val="24"/>
        </w:rPr>
      </w:pPr>
      <w:r>
        <w:rPr>
          <w:szCs w:val="24"/>
        </w:rPr>
        <w:tab/>
        <w:t>b)</w:t>
      </w:r>
      <w:r>
        <w:rPr>
          <w:szCs w:val="24"/>
        </w:rPr>
        <w:tab/>
        <w:t>Avec FSU, les exigences de spectre sont:</w:t>
      </w:r>
    </w:p>
    <w:p w:rsidR="00FE0045" w:rsidRPr="001555A0" w:rsidRDefault="00FB430B" w:rsidP="00FE0045">
      <w:pPr>
        <w:pStyle w:val="Equation"/>
      </w:pPr>
      <w:r>
        <w:rPr>
          <w:noProof/>
          <w:lang w:eastAsia="zh-CN"/>
        </w:rPr>
        <w:pict>
          <v:shape id="_x0000_s1026" type="#_x0000_t75" style="position:absolute;left:0;text-align:left;margin-left:0;margin-top:0;width:9pt;height:17pt;z-index:251659264" o:allowincell="f">
            <v:imagedata r:id="rId95" o:title=""/>
          </v:shape>
          <o:OLEObject Type="Embed" ProgID="Equation.3" ShapeID="_x0000_s1026" DrawAspect="Content" ObjectID="_1459064115" r:id="rId96"/>
        </w:pict>
      </w:r>
      <w:r w:rsidR="00FE0045" w:rsidRPr="001555A0">
        <w:tab/>
      </w:r>
      <w:r w:rsidR="00FE0045" w:rsidRPr="001555A0">
        <w:tab/>
      </w:r>
      <w:r w:rsidR="00FE0045" w:rsidRPr="001555A0">
        <w:rPr>
          <w:position w:val="-16"/>
        </w:rPr>
        <w:object w:dxaOrig="5620" w:dyaOrig="460">
          <v:shape id="_x0000_i1067" type="#_x0000_t75" style="width:281.45pt;height:23.2pt" o:ole="">
            <v:imagedata r:id="rId97" o:title=""/>
          </v:shape>
          <o:OLEObject Type="Embed" ProgID="Equation.3" ShapeID="_x0000_i1067" DrawAspect="Content" ObjectID="_1459064108" r:id="rId98"/>
        </w:object>
      </w:r>
      <w:r w:rsidR="00FE0045" w:rsidRPr="001555A0">
        <w:tab/>
        <w:t>(</w:t>
      </w:r>
      <w:r w:rsidR="00FE0045">
        <w:t>49</w:t>
      </w:r>
      <w:r w:rsidR="00FE0045" w:rsidRPr="001555A0">
        <w:t>)</w:t>
      </w:r>
    </w:p>
    <w:p w:rsidR="00FE0045" w:rsidRDefault="00FE0045" w:rsidP="005B4AE7">
      <w:pPr>
        <w:ind w:left="1191" w:hanging="1191"/>
      </w:pPr>
      <w:r w:rsidRPr="00E55AE2">
        <w:rPr>
          <w:i/>
        </w:rPr>
        <w:t>Etape 3:</w:t>
      </w:r>
      <w:r>
        <w:tab/>
        <w:t>Il est rappelé qu'à l'intérieur d'une région d'attribution de fréquences, le calcul peut s'être appuyé sur des études de marché différentes dans des zones géographiques différentes. Lorsqu'une estimation commune à plusieurs pays doit être effectuée, il y a lieu de retenir la valeur maximale des besoins en fréquences déterminés par ces différentes études.</w:t>
      </w:r>
    </w:p>
    <w:p w:rsidR="00FE0045" w:rsidRDefault="00FE0045" w:rsidP="005B4AE7">
      <w:pPr>
        <w:pStyle w:val="enumlev2"/>
        <w:ind w:left="1588" w:hanging="794"/>
        <w:rPr>
          <w:szCs w:val="24"/>
        </w:rPr>
      </w:pPr>
      <w:r>
        <w:rPr>
          <w:szCs w:val="24"/>
        </w:rPr>
        <w:tab/>
        <w:t>a)</w:t>
      </w:r>
      <w:r>
        <w:rPr>
          <w:szCs w:val="24"/>
        </w:rPr>
        <w:tab/>
        <w:t xml:space="preserve">Sans FSU, les exigences de spectre d'un RATG </w:t>
      </w:r>
      <w:r>
        <w:rPr>
          <w:i/>
          <w:iCs/>
          <w:szCs w:val="24"/>
        </w:rPr>
        <w:t>rat</w:t>
      </w:r>
      <w:r>
        <w:rPr>
          <w:szCs w:val="24"/>
        </w:rPr>
        <w:t xml:space="preserve"> correspondent à la valeur maximale des exigences de toutes les différentes régions/études de marché: </w:t>
      </w:r>
    </w:p>
    <w:p w:rsidR="00FE0045" w:rsidRPr="001555A0" w:rsidRDefault="00FE0045" w:rsidP="00FE0045">
      <w:pPr>
        <w:pStyle w:val="Equation"/>
      </w:pPr>
      <w:r w:rsidRPr="001555A0">
        <w:tab/>
      </w:r>
      <w:r w:rsidRPr="001555A0">
        <w:tab/>
      </w:r>
      <w:r w:rsidRPr="001555A0">
        <w:rPr>
          <w:i/>
        </w:rPr>
        <w:t>F</w:t>
      </w:r>
      <w:r w:rsidRPr="001555A0">
        <w:rPr>
          <w:i/>
          <w:vertAlign w:val="subscript"/>
        </w:rPr>
        <w:t>rat</w:t>
      </w:r>
      <w:r w:rsidRPr="001555A0">
        <w:rPr>
          <w:i/>
        </w:rPr>
        <w:t> = </w:t>
      </w:r>
      <w:r w:rsidRPr="001555A0">
        <w:t>max(</w:t>
      </w:r>
      <w:r w:rsidRPr="001555A0">
        <w:rPr>
          <w:i/>
        </w:rPr>
        <w:t>F</w:t>
      </w:r>
      <w:r w:rsidRPr="001555A0">
        <w:rPr>
          <w:i/>
          <w:vertAlign w:val="subscript"/>
        </w:rPr>
        <w:t>rat</w:t>
      </w:r>
      <w:r w:rsidRPr="001555A0">
        <w:t>)</w:t>
      </w:r>
      <w:r w:rsidRPr="001555A0">
        <w:tab/>
        <w:t>(</w:t>
      </w:r>
      <w:r>
        <w:t>50</w:t>
      </w:r>
      <w:r w:rsidRPr="001555A0">
        <w:t>)</w:t>
      </w:r>
    </w:p>
    <w:p w:rsidR="00FE0045" w:rsidRDefault="00FE0045" w:rsidP="005B4AE7">
      <w:pPr>
        <w:pStyle w:val="enumlev2"/>
        <w:ind w:left="1588" w:hanging="794"/>
        <w:rPr>
          <w:szCs w:val="24"/>
        </w:rPr>
      </w:pPr>
      <w:r>
        <w:rPr>
          <w:szCs w:val="24"/>
        </w:rPr>
        <w:tab/>
        <w:t>b)</w:t>
      </w:r>
      <w:r>
        <w:rPr>
          <w:szCs w:val="24"/>
        </w:rPr>
        <w:tab/>
        <w:t xml:space="preserve">Avec FSU, les exigences de spectre d'un RATG </w:t>
      </w:r>
      <w:r>
        <w:rPr>
          <w:i/>
          <w:iCs/>
          <w:szCs w:val="24"/>
        </w:rPr>
        <w:t>rat</w:t>
      </w:r>
      <w:r>
        <w:rPr>
          <w:szCs w:val="24"/>
        </w:rPr>
        <w:t xml:space="preserve"> correspondent à la valeur maximale des exigences de toutes les différentes régions/études de marché: </w:t>
      </w:r>
    </w:p>
    <w:p w:rsidR="00FE0045" w:rsidRPr="009B11DE" w:rsidRDefault="00FE0045" w:rsidP="00FE0045">
      <w:pPr>
        <w:pStyle w:val="Equation"/>
      </w:pPr>
      <w:r w:rsidRPr="001555A0">
        <w:tab/>
      </w:r>
      <w:r w:rsidRPr="001555A0">
        <w:tab/>
      </w:r>
      <w:r w:rsidRPr="009B11DE">
        <w:rPr>
          <w:i/>
        </w:rPr>
        <w:t>F</w:t>
      </w:r>
      <w:r w:rsidRPr="009B11DE">
        <w:rPr>
          <w:i/>
          <w:vertAlign w:val="subscript"/>
        </w:rPr>
        <w:t>rat,nonFSU</w:t>
      </w:r>
      <w:r w:rsidRPr="009B11DE">
        <w:rPr>
          <w:i/>
        </w:rPr>
        <w:t> = </w:t>
      </w:r>
      <w:r w:rsidRPr="009B11DE">
        <w:t>max(</w:t>
      </w:r>
      <w:r w:rsidRPr="009B11DE">
        <w:rPr>
          <w:i/>
        </w:rPr>
        <w:t>F</w:t>
      </w:r>
      <w:r w:rsidRPr="009B11DE">
        <w:rPr>
          <w:i/>
          <w:vertAlign w:val="subscript"/>
        </w:rPr>
        <w:t>rat,nonFSU</w:t>
      </w:r>
      <w:r w:rsidRPr="009B11DE">
        <w:t xml:space="preserve">) </w:t>
      </w:r>
      <w:r>
        <w:t>et</w:t>
      </w:r>
      <w:r w:rsidRPr="009B11DE">
        <w:t xml:space="preserve"> </w:t>
      </w:r>
      <w:r w:rsidRPr="009B11DE">
        <w:rPr>
          <w:i/>
        </w:rPr>
        <w:t>F</w:t>
      </w:r>
      <w:r w:rsidRPr="009B11DE">
        <w:rPr>
          <w:i/>
          <w:vertAlign w:val="subscript"/>
        </w:rPr>
        <w:t>FSU</w:t>
      </w:r>
      <w:r w:rsidRPr="009B11DE">
        <w:t> = max(</w:t>
      </w:r>
      <w:r w:rsidRPr="009B11DE">
        <w:rPr>
          <w:i/>
        </w:rPr>
        <w:t>F</w:t>
      </w:r>
      <w:r w:rsidRPr="009B11DE">
        <w:rPr>
          <w:i/>
          <w:vertAlign w:val="subscript"/>
        </w:rPr>
        <w:t>FSU</w:t>
      </w:r>
      <w:r w:rsidRPr="009B11DE">
        <w:t>)</w:t>
      </w:r>
      <w:r w:rsidRPr="009B11DE">
        <w:tab/>
        <w:t>(</w:t>
      </w:r>
      <w:r>
        <w:t>51</w:t>
      </w:r>
      <w:r w:rsidRPr="009B11DE">
        <w:t>)</w:t>
      </w:r>
    </w:p>
    <w:p w:rsidR="00FE0045" w:rsidRDefault="00FE0045" w:rsidP="005B4AE7">
      <w:pPr>
        <w:ind w:left="1191" w:hanging="1191"/>
      </w:pPr>
      <w:r w:rsidRPr="00E55AE2">
        <w:rPr>
          <w:i/>
        </w:rPr>
        <w:lastRenderedPageBreak/>
        <w:t>Etape 4:</w:t>
      </w:r>
      <w:r>
        <w:tab/>
        <w:t>A titre facultatif et en dernier lieu, les exigences totales de spectre sont envisagées à l'Etape 8 de la Fig. 2.</w:t>
      </w:r>
    </w:p>
    <w:p w:rsidR="00FE0045" w:rsidRDefault="00FE0045" w:rsidP="005B4AE7">
      <w:pPr>
        <w:pStyle w:val="enumlev2"/>
        <w:ind w:left="1588" w:hanging="794"/>
        <w:rPr>
          <w:szCs w:val="24"/>
        </w:rPr>
      </w:pPr>
      <w:r>
        <w:rPr>
          <w:szCs w:val="24"/>
        </w:rPr>
        <w:tab/>
        <w:t>a)</w:t>
      </w:r>
      <w:r>
        <w:rPr>
          <w:szCs w:val="24"/>
        </w:rPr>
        <w:tab/>
        <w:t>Lorsque l'utilisation souple des fréquences n'est pas possible, tous les besoins des RATG sont additionnés:</w:t>
      </w:r>
    </w:p>
    <w:p w:rsidR="00FE0045" w:rsidRPr="001555A0" w:rsidRDefault="00FE0045" w:rsidP="00FE0045">
      <w:pPr>
        <w:pStyle w:val="Equation"/>
        <w:rPr>
          <w:noProof/>
          <w:lang w:eastAsia="ja-JP"/>
        </w:rPr>
      </w:pPr>
      <w:r w:rsidRPr="001555A0">
        <w:rPr>
          <w:noProof/>
        </w:rPr>
        <w:tab/>
      </w:r>
      <w:r w:rsidRPr="001555A0">
        <w:rPr>
          <w:noProof/>
        </w:rPr>
        <w:tab/>
      </w:r>
      <w:r w:rsidRPr="001555A0">
        <w:rPr>
          <w:position w:val="-34"/>
        </w:rPr>
        <w:object w:dxaOrig="1140" w:dyaOrig="600">
          <v:shape id="_x0000_i1068" type="#_x0000_t75" style="width:57.1pt;height:29.75pt" o:ole="" o:allowoverlap="f">
            <v:imagedata r:id="rId99" o:title=""/>
          </v:shape>
          <o:OLEObject Type="Embed" ProgID="Equation.3" ShapeID="_x0000_i1068" DrawAspect="Content" ObjectID="_1459064109" r:id="rId100"/>
        </w:object>
      </w:r>
      <w:r w:rsidRPr="001555A0">
        <w:tab/>
        <w:t>(</w:t>
      </w:r>
      <w:r>
        <w:t>52</w:t>
      </w:r>
      <w:r w:rsidRPr="001555A0">
        <w:t>)</w:t>
      </w:r>
    </w:p>
    <w:p w:rsidR="00FE0045" w:rsidRDefault="00FE0045" w:rsidP="005B4AE7">
      <w:pPr>
        <w:pStyle w:val="enumlev2"/>
        <w:ind w:left="1588" w:hanging="794"/>
        <w:rPr>
          <w:szCs w:val="24"/>
        </w:rPr>
      </w:pPr>
      <w:r>
        <w:rPr>
          <w:szCs w:val="24"/>
        </w:rPr>
        <w:tab/>
        <w:t>b)</w:t>
      </w:r>
      <w:r>
        <w:rPr>
          <w:szCs w:val="24"/>
        </w:rPr>
        <w:tab/>
        <w:t>Lorsque cette utilisation est possible, on ajoute aux besoins des RATG auxquels la FSU peut être appliquée ceux des autres RATG.</w:t>
      </w:r>
    </w:p>
    <w:p w:rsidR="00FE0045" w:rsidRPr="001555A0" w:rsidRDefault="00FE0045" w:rsidP="00FE0045">
      <w:pPr>
        <w:pStyle w:val="Equation"/>
        <w:rPr>
          <w:noProof/>
          <w:lang w:eastAsia="ja-JP"/>
        </w:rPr>
      </w:pPr>
      <w:r w:rsidRPr="001555A0">
        <w:tab/>
      </w:r>
      <w:r w:rsidRPr="001555A0">
        <w:tab/>
      </w:r>
      <w:r w:rsidRPr="001555A0">
        <w:rPr>
          <w:position w:val="-38"/>
        </w:rPr>
        <w:object w:dxaOrig="3820" w:dyaOrig="639">
          <v:shape id="_x0000_i1069" type="#_x0000_t75" style="width:190.4pt;height:32.15pt" o:ole="" o:allowoverlap="f">
            <v:imagedata r:id="rId101" o:title=""/>
          </v:shape>
          <o:OLEObject Type="Embed" ProgID="Equation.3" ShapeID="_x0000_i1069" DrawAspect="Content" ObjectID="_1459064110" r:id="rId102"/>
        </w:object>
      </w:r>
      <w:r w:rsidRPr="001555A0">
        <w:rPr>
          <w:lang w:eastAsia="ja-JP"/>
        </w:rPr>
        <w:tab/>
      </w:r>
      <w:r w:rsidRPr="001555A0">
        <w:t>(</w:t>
      </w:r>
      <w:r>
        <w:t>53</w:t>
      </w:r>
      <w:r w:rsidRPr="001555A0">
        <w:t>)</w:t>
      </w:r>
    </w:p>
    <w:p w:rsidR="00FE0045" w:rsidRDefault="00FE0045" w:rsidP="00FE0045">
      <w:pPr>
        <w:pStyle w:val="Heading1"/>
      </w:pPr>
      <w:r>
        <w:t>7</w:t>
      </w:r>
      <w:r>
        <w:tab/>
        <w:t>Résumé</w:t>
      </w:r>
    </w:p>
    <w:p w:rsidR="00FE0045" w:rsidRDefault="00FE0045" w:rsidP="00F00D23">
      <w:pPr>
        <w:rPr>
          <w:szCs w:val="24"/>
        </w:rPr>
      </w:pPr>
      <w:r>
        <w:rPr>
          <w:szCs w:val="24"/>
        </w:rPr>
        <w:t>La présente Recommandation expose la méthodologie de calcul des exigences de spectre pour le développement futur des IMT. Cette méthodologie prend en charge un éventail complexe de services confirmés par des études de marché et appartenant à des catégories différentes du point de vue du volume de trafic et des contraintes de qualité. Elle tient compte des fluctuations du trafic, qui sont fonction de l'heure, de la date et de la région et adopte une approche neutre du point de vue technologique pour prendre en charge aussi bien les nouveaux systèmes que ceux qui sont déjà établis, en appliquant la notion de RATG et un nombre limité de paramètres radioélectriques. Les quatre RATG envisagés couvrent toutes les technologies d'accès radioélectrique pertinentes. La méthodologie répartit le trafic entre différents RATG et environnements radioélectriques en se fondant sur des renseignements techniques et sur des données commerciales. Les exigences de spectre des RATG 3 et 4 ne sont pas calculées. Pour le trafic attribué aux RATG 1 et 2, la méthodologie convertit les volumes résultant des études de marché en capacités requises; elle utilise, pour ce faire, des algorithmes distincts selon que les catégories de service sont à commutation de circuits (</w:t>
      </w:r>
      <w:r>
        <w:t xml:space="preserve">fondées sur la réservation de ressources) </w:t>
      </w:r>
      <w:r>
        <w:rPr>
          <w:szCs w:val="24"/>
        </w:rPr>
        <w:t>ou à commutation par paquets et tient compte du gain résultant du multiplexage des services en mode paquet avec des caractéristiques différentes en matière de qualité. La méthodologie convertit les capacités requises en exigences de spectre en utilisant des valeurs de l'efficacité spectrale. Elle envisage des déploiements pragmatiques de réseaux pour ajuster les exigences de spectre et calcule les besoins globaux en fréquences pour le développement futur des IMT.</w:t>
      </w:r>
    </w:p>
    <w:p w:rsidR="00FE0045" w:rsidRDefault="00FE0045" w:rsidP="000D035C">
      <w:pPr>
        <w:pStyle w:val="Reftitle"/>
        <w:pageBreakBefore/>
        <w:spacing w:before="0"/>
      </w:pPr>
      <w:r w:rsidRPr="0021786A">
        <w:lastRenderedPageBreak/>
        <w:t>Références bibliographiques</w:t>
      </w:r>
    </w:p>
    <w:p w:rsidR="001F47CE" w:rsidRPr="001F47CE" w:rsidRDefault="001F47CE" w:rsidP="001F47CE">
      <w:pPr>
        <w:pStyle w:val="Reftext"/>
      </w:pPr>
    </w:p>
    <w:p w:rsidR="00FE0045" w:rsidRPr="0021786A" w:rsidRDefault="00FE0045" w:rsidP="00FE0045">
      <w:pPr>
        <w:pStyle w:val="Reftext"/>
        <w:rPr>
          <w:lang w:val="en-US" w:eastAsia="ja-JP"/>
        </w:rPr>
      </w:pPr>
      <w:r w:rsidRPr="0021786A">
        <w:rPr>
          <w:lang w:eastAsia="ja-JP"/>
        </w:rPr>
        <w:t xml:space="preserve">KLEINROCK, L. [1975] </w:t>
      </w:r>
      <w:r w:rsidRPr="0021786A">
        <w:rPr>
          <w:i/>
          <w:lang w:eastAsia="ja-JP"/>
        </w:rPr>
        <w:t>Queueing Systems</w:t>
      </w:r>
      <w:r w:rsidRPr="0021786A">
        <w:rPr>
          <w:lang w:eastAsia="ja-JP"/>
        </w:rPr>
        <w:t xml:space="preserve">. </w:t>
      </w:r>
      <w:r w:rsidRPr="00BF1E05">
        <w:rPr>
          <w:lang w:val="en-US"/>
        </w:rPr>
        <w:t>Volume 1:</w:t>
      </w:r>
      <w:r w:rsidRPr="00BF1E05">
        <w:rPr>
          <w:lang w:val="en-US" w:eastAsia="ja-JP"/>
        </w:rPr>
        <w:t xml:space="preserve"> </w:t>
      </w:r>
      <w:r w:rsidRPr="00BF1E05">
        <w:rPr>
          <w:i/>
          <w:lang w:val="en-US" w:eastAsia="ja-JP"/>
        </w:rPr>
        <w:t>Theory</w:t>
      </w:r>
      <w:r>
        <w:rPr>
          <w:lang w:val="en-US" w:eastAsia="ja-JP"/>
        </w:rPr>
        <w:t>.</w:t>
      </w:r>
      <w:r w:rsidRPr="00BF1E05">
        <w:rPr>
          <w:lang w:val="en-US" w:eastAsia="ja-JP"/>
        </w:rPr>
        <w:t xml:space="preserve"> </w:t>
      </w:r>
      <w:r w:rsidRPr="0021786A">
        <w:rPr>
          <w:lang w:val="en-US" w:eastAsia="ja-JP"/>
        </w:rPr>
        <w:t>John Wiley &amp; Sons, New York, Etats-Unis d'Amérique.</w:t>
      </w:r>
    </w:p>
    <w:p w:rsidR="00FE0045" w:rsidRPr="00FE0D53" w:rsidRDefault="00FE0045" w:rsidP="00F00D23">
      <w:pPr>
        <w:pStyle w:val="Reftext"/>
        <w:rPr>
          <w:lang w:val="en-US" w:eastAsia="ja-JP"/>
        </w:rPr>
      </w:pPr>
      <w:r w:rsidRPr="00BF1E05">
        <w:rPr>
          <w:lang w:val="en-US" w:eastAsia="ja-JP"/>
        </w:rPr>
        <w:t>KAUFMAN</w:t>
      </w:r>
      <w:r>
        <w:rPr>
          <w:lang w:val="en-US" w:eastAsia="ja-JP"/>
        </w:rPr>
        <w:t>,</w:t>
      </w:r>
      <w:r w:rsidRPr="00BF1E05">
        <w:rPr>
          <w:lang w:val="en-US" w:eastAsia="ja-JP"/>
        </w:rPr>
        <w:t xml:space="preserve"> J.S.</w:t>
      </w:r>
      <w:r w:rsidRPr="00FE0D53">
        <w:rPr>
          <w:lang w:val="en-US" w:eastAsia="ja-JP"/>
        </w:rPr>
        <w:t xml:space="preserve"> </w:t>
      </w:r>
      <w:r>
        <w:rPr>
          <w:lang w:val="en-US" w:eastAsia="ja-JP"/>
        </w:rPr>
        <w:t>[o</w:t>
      </w:r>
      <w:r w:rsidRPr="00BF1E05">
        <w:rPr>
          <w:lang w:val="en-US" w:eastAsia="ja-JP"/>
        </w:rPr>
        <w:t>ct</w:t>
      </w:r>
      <w:r>
        <w:rPr>
          <w:lang w:val="en-US" w:eastAsia="ja-JP"/>
        </w:rPr>
        <w:t>obre</w:t>
      </w:r>
      <w:r w:rsidRPr="00FE0D53">
        <w:rPr>
          <w:lang w:val="en-US" w:eastAsia="ja-JP"/>
        </w:rPr>
        <w:t xml:space="preserve"> 1981</w:t>
      </w:r>
      <w:r>
        <w:rPr>
          <w:lang w:val="en-US" w:eastAsia="ja-JP"/>
        </w:rPr>
        <w:t>]</w:t>
      </w:r>
      <w:r w:rsidRPr="00BF1E05">
        <w:rPr>
          <w:lang w:val="en-US" w:eastAsia="ja-JP"/>
        </w:rPr>
        <w:t xml:space="preserve"> Blocking in a shared resource environment</w:t>
      </w:r>
      <w:r>
        <w:rPr>
          <w:lang w:val="en-US" w:eastAsia="ja-JP"/>
        </w:rPr>
        <w:t>.</w:t>
      </w:r>
      <w:r w:rsidRPr="00BF1E05">
        <w:rPr>
          <w:lang w:val="en-US" w:eastAsia="ja-JP"/>
        </w:rPr>
        <w:t xml:space="preserve"> </w:t>
      </w:r>
      <w:r w:rsidRPr="00FE0D53">
        <w:rPr>
          <w:i/>
          <w:lang w:val="en-US" w:eastAsia="ja-JP"/>
        </w:rPr>
        <w:t>IEEE Trans. Commun.</w:t>
      </w:r>
      <w:r w:rsidRPr="00BF1E05">
        <w:rPr>
          <w:lang w:val="en-US" w:eastAsia="ja-JP"/>
        </w:rPr>
        <w:t xml:space="preserve">, </w:t>
      </w:r>
      <w:r>
        <w:rPr>
          <w:lang w:val="en-US" w:eastAsia="ja-JP"/>
        </w:rPr>
        <w:t>V</w:t>
      </w:r>
      <w:r w:rsidRPr="00BF1E05">
        <w:rPr>
          <w:lang w:val="en-US" w:eastAsia="ja-JP"/>
        </w:rPr>
        <w:t>ol. COM-29, </w:t>
      </w:r>
      <w:r w:rsidRPr="00FE0D53">
        <w:rPr>
          <w:b/>
          <w:lang w:val="en-US" w:eastAsia="ja-JP"/>
        </w:rPr>
        <w:t>10</w:t>
      </w:r>
      <w:r w:rsidRPr="00BF1E05">
        <w:rPr>
          <w:lang w:val="en-US" w:eastAsia="ja-JP"/>
        </w:rPr>
        <w:t>, p. 1474-1481</w:t>
      </w:r>
      <w:r>
        <w:rPr>
          <w:lang w:val="en-US" w:eastAsia="ja-JP"/>
        </w:rPr>
        <w:t>.</w:t>
      </w:r>
      <w:r w:rsidRPr="00FE0D53">
        <w:rPr>
          <w:lang w:val="en-US" w:eastAsia="ja-JP"/>
        </w:rPr>
        <w:t xml:space="preserve"> </w:t>
      </w:r>
    </w:p>
    <w:p w:rsidR="00FE0045" w:rsidRPr="003F696C" w:rsidRDefault="00FE0045" w:rsidP="00F00D23">
      <w:pPr>
        <w:pStyle w:val="Reftext"/>
        <w:rPr>
          <w:lang w:val="en-US" w:eastAsia="ja-JP"/>
        </w:rPr>
      </w:pPr>
      <w:r w:rsidRPr="00FE0D53">
        <w:rPr>
          <w:lang w:val="en-US" w:eastAsia="ja-JP"/>
        </w:rPr>
        <w:t>ROBERTS</w:t>
      </w:r>
      <w:r>
        <w:rPr>
          <w:lang w:val="en-US" w:eastAsia="ja-JP"/>
        </w:rPr>
        <w:t>,</w:t>
      </w:r>
      <w:r w:rsidRPr="00FE0D53">
        <w:rPr>
          <w:lang w:val="en-US" w:eastAsia="ja-JP"/>
        </w:rPr>
        <w:t xml:space="preserve"> J.W.</w:t>
      </w:r>
      <w:r>
        <w:rPr>
          <w:lang w:val="en-US" w:eastAsia="ja-JP"/>
        </w:rPr>
        <w:t>, [1981]</w:t>
      </w:r>
      <w:r w:rsidRPr="00FE0D53">
        <w:rPr>
          <w:lang w:val="en-US" w:eastAsia="ja-JP"/>
        </w:rPr>
        <w:t xml:space="preserve">, A service system with heterogeneous user requirements. </w:t>
      </w:r>
      <w:r w:rsidRPr="00FE0D53">
        <w:rPr>
          <w:i/>
          <w:lang w:val="en-US" w:eastAsia="ja-JP"/>
        </w:rPr>
        <w:t>Perf. of Data Commun. Sys. and their Applications</w:t>
      </w:r>
      <w:r w:rsidRPr="00FE0D53">
        <w:rPr>
          <w:lang w:val="en-US" w:eastAsia="ja-JP"/>
        </w:rPr>
        <w:t xml:space="preserve">, G. </w:t>
      </w:r>
      <w:r w:rsidRPr="003F696C">
        <w:rPr>
          <w:lang w:val="en-US" w:eastAsia="ja-JP"/>
        </w:rPr>
        <w:t>Pujolle (</w:t>
      </w:r>
      <w:r>
        <w:rPr>
          <w:lang w:val="en-US" w:eastAsia="ja-JP"/>
        </w:rPr>
        <w:t>é</w:t>
      </w:r>
      <w:r w:rsidRPr="003F696C">
        <w:rPr>
          <w:lang w:val="en-US" w:eastAsia="ja-JP"/>
        </w:rPr>
        <w:t>d.), p. 423-431, North-Holland.</w:t>
      </w:r>
    </w:p>
    <w:p w:rsidR="00FE0045" w:rsidRPr="0021786A" w:rsidRDefault="00FE0045" w:rsidP="00F00D23">
      <w:pPr>
        <w:pStyle w:val="Reftext"/>
        <w:rPr>
          <w:lang w:eastAsia="ja-JP"/>
        </w:rPr>
      </w:pPr>
      <w:r w:rsidRPr="00EA4A12">
        <w:rPr>
          <w:lang w:eastAsia="ja-JP"/>
        </w:rPr>
        <w:t xml:space="preserve">TAKAGI, H., YOSHINO, H., MATOBA, N. et AZUMA, M., [2005] «Methodology for calculation of spectrum requirements for the next generation mobile communication systems» </w:t>
      </w:r>
      <w:r>
        <w:rPr>
          <w:szCs w:val="22"/>
        </w:rPr>
        <w:t xml:space="preserve">(Méthodologie de calcul des exigences de spectre de la prochaine génération de systèmes de communications mobiles). </w:t>
      </w:r>
      <w:r w:rsidRPr="00EA4A12">
        <w:rPr>
          <w:lang w:eastAsia="ja-JP"/>
        </w:rPr>
        <w:t xml:space="preserve">Submitted to the </w:t>
      </w:r>
      <w:r w:rsidRPr="00EA4A12">
        <w:rPr>
          <w:i/>
          <w:lang w:eastAsia="ja-JP"/>
        </w:rPr>
        <w:t>IEICE Trans</w:t>
      </w:r>
      <w:r w:rsidRPr="00EA4A12">
        <w:rPr>
          <w:lang w:eastAsia="ja-JP"/>
        </w:rPr>
        <w:t>.</w:t>
      </w:r>
      <w:r>
        <w:rPr>
          <w:lang w:eastAsia="ja-JP"/>
        </w:rPr>
        <w:t>,</w:t>
      </w:r>
      <w:r w:rsidRPr="00EA4A12">
        <w:rPr>
          <w:lang w:eastAsia="ja-JP"/>
        </w:rPr>
        <w:t xml:space="preserve"> </w:t>
      </w:r>
      <w:r w:rsidRPr="0021786A">
        <w:rPr>
          <w:lang w:eastAsia="ja-JP"/>
        </w:rPr>
        <w:t xml:space="preserve">(in Japanese) </w:t>
      </w:r>
      <w:r>
        <w:rPr>
          <w:szCs w:val="22"/>
        </w:rPr>
        <w:t>(soumis à l'IEICE, 2005, en japonais)</w:t>
      </w:r>
      <w:r w:rsidRPr="0021786A">
        <w:rPr>
          <w:lang w:eastAsia="ja-JP"/>
        </w:rPr>
        <w:t>.</w:t>
      </w:r>
    </w:p>
    <w:p w:rsidR="00FE0045" w:rsidRPr="00FE0045" w:rsidRDefault="00FE0045" w:rsidP="00F00D23">
      <w:pPr>
        <w:pStyle w:val="Reftext"/>
        <w:rPr>
          <w:lang w:eastAsia="ja-JP"/>
        </w:rPr>
      </w:pPr>
      <w:r w:rsidRPr="00FE0045">
        <w:t>KLEINROCK, L., [1976],</w:t>
      </w:r>
      <w:r w:rsidRPr="00FE0045">
        <w:rPr>
          <w:lang w:eastAsia="ja-JP"/>
        </w:rPr>
        <w:t xml:space="preserve"> </w:t>
      </w:r>
      <w:r w:rsidRPr="00FE0045">
        <w:rPr>
          <w:i/>
        </w:rPr>
        <w:t xml:space="preserve">Queueing Systems. </w:t>
      </w:r>
      <w:r w:rsidRPr="00FE0045">
        <w:t>Volume 2</w:t>
      </w:r>
      <w:r w:rsidRPr="00FE0045">
        <w:rPr>
          <w:i/>
        </w:rPr>
        <w:t>: Computer Applications</w:t>
      </w:r>
      <w:r w:rsidRPr="00FE0045">
        <w:t>.</w:t>
      </w:r>
      <w:r w:rsidRPr="00FE0045">
        <w:rPr>
          <w:lang w:eastAsia="ja-JP"/>
        </w:rPr>
        <w:t xml:space="preserve"> </w:t>
      </w:r>
      <w:r w:rsidRPr="00FE0045">
        <w:t>John Wiley and Sons, New York, Etats-Unis d'Amérique.</w:t>
      </w:r>
      <w:r w:rsidRPr="00FE0045">
        <w:rPr>
          <w:lang w:eastAsia="ja-JP"/>
        </w:rPr>
        <w:t xml:space="preserve"> </w:t>
      </w:r>
    </w:p>
    <w:p w:rsidR="00FE0045" w:rsidRPr="00907FEF" w:rsidRDefault="00FE0045" w:rsidP="00F00D23">
      <w:pPr>
        <w:pStyle w:val="Reftext"/>
        <w:rPr>
          <w:lang w:val="en-US" w:eastAsia="ja-JP"/>
        </w:rPr>
      </w:pPr>
      <w:r w:rsidRPr="00907FEF">
        <w:rPr>
          <w:lang w:val="en-US" w:eastAsia="ja-JP"/>
        </w:rPr>
        <w:t>COBHAM</w:t>
      </w:r>
      <w:r>
        <w:rPr>
          <w:lang w:val="en-US" w:eastAsia="ja-JP"/>
        </w:rPr>
        <w:t>,</w:t>
      </w:r>
      <w:r w:rsidRPr="00907FEF">
        <w:rPr>
          <w:lang w:val="en-US" w:eastAsia="ja-JP"/>
        </w:rPr>
        <w:t xml:space="preserve"> A.</w:t>
      </w:r>
      <w:r>
        <w:rPr>
          <w:lang w:val="en-US" w:eastAsia="ja-JP"/>
        </w:rPr>
        <w:t xml:space="preserve"> [1954]</w:t>
      </w:r>
      <w:r w:rsidRPr="00907FEF">
        <w:rPr>
          <w:lang w:val="en-US" w:eastAsia="ja-JP"/>
        </w:rPr>
        <w:t xml:space="preserve"> Priority assignments in waiting line problems</w:t>
      </w:r>
      <w:r>
        <w:rPr>
          <w:lang w:val="en-US" w:eastAsia="ja-JP"/>
        </w:rPr>
        <w:t>.</w:t>
      </w:r>
      <w:r w:rsidRPr="00907FEF">
        <w:rPr>
          <w:lang w:val="en-US" w:eastAsia="ja-JP"/>
        </w:rPr>
        <w:t xml:space="preserve"> </w:t>
      </w:r>
      <w:r w:rsidRPr="00907FEF">
        <w:rPr>
          <w:i/>
          <w:lang w:val="en-US" w:eastAsia="ja-JP"/>
        </w:rPr>
        <w:t>Operations Research</w:t>
      </w:r>
      <w:r w:rsidRPr="00907FEF">
        <w:rPr>
          <w:lang w:val="en-US" w:eastAsia="ja-JP"/>
        </w:rPr>
        <w:t xml:space="preserve">, Vol. 2, </w:t>
      </w:r>
      <w:r w:rsidRPr="00181601">
        <w:rPr>
          <w:b/>
          <w:lang w:val="en-US" w:eastAsia="ja-JP"/>
        </w:rPr>
        <w:t>1</w:t>
      </w:r>
      <w:r w:rsidRPr="00907FEF">
        <w:rPr>
          <w:lang w:val="en-US" w:eastAsia="ja-JP"/>
        </w:rPr>
        <w:t xml:space="preserve"> (</w:t>
      </w:r>
      <w:r>
        <w:rPr>
          <w:lang w:val="en-US" w:eastAsia="ja-JP"/>
        </w:rPr>
        <w:t>février</w:t>
      </w:r>
      <w:r w:rsidRPr="00907FEF">
        <w:rPr>
          <w:lang w:val="en-US" w:eastAsia="ja-JP"/>
        </w:rPr>
        <w:t>) p. 70-76.</w:t>
      </w:r>
    </w:p>
    <w:p w:rsidR="00FE0045" w:rsidRDefault="00FE0045" w:rsidP="00F00D23">
      <w:pPr>
        <w:pStyle w:val="Reftext"/>
        <w:rPr>
          <w:lang w:eastAsia="ja-JP"/>
        </w:rPr>
      </w:pPr>
      <w:r w:rsidRPr="00181601">
        <w:rPr>
          <w:lang w:val="en-US" w:eastAsia="ja-JP"/>
        </w:rPr>
        <w:t>IRNICH</w:t>
      </w:r>
      <w:r>
        <w:rPr>
          <w:lang w:val="en-US" w:eastAsia="ja-JP"/>
        </w:rPr>
        <w:t>,</w:t>
      </w:r>
      <w:r w:rsidRPr="00181601">
        <w:rPr>
          <w:lang w:val="en-US" w:eastAsia="ja-JP"/>
        </w:rPr>
        <w:t xml:space="preserve"> T. </w:t>
      </w:r>
      <w:r>
        <w:rPr>
          <w:lang w:val="en-US" w:eastAsia="ja-JP"/>
        </w:rPr>
        <w:t>et</w:t>
      </w:r>
      <w:r w:rsidRPr="00181601">
        <w:rPr>
          <w:lang w:val="en-US" w:eastAsia="ja-JP"/>
        </w:rPr>
        <w:t xml:space="preserve"> WALKE</w:t>
      </w:r>
      <w:r>
        <w:rPr>
          <w:lang w:val="en-US" w:eastAsia="ja-JP"/>
        </w:rPr>
        <w:t>,</w:t>
      </w:r>
      <w:r w:rsidRPr="00181601">
        <w:rPr>
          <w:lang w:val="en-US" w:eastAsia="ja-JP"/>
        </w:rPr>
        <w:t xml:space="preserve"> B.</w:t>
      </w:r>
      <w:r>
        <w:rPr>
          <w:lang w:val="en-US" w:eastAsia="ja-JP"/>
        </w:rPr>
        <w:t xml:space="preserve"> [5-8 septembre 2004]</w:t>
      </w:r>
      <w:r w:rsidRPr="00181601">
        <w:rPr>
          <w:lang w:val="en-US" w:eastAsia="ja-JP"/>
        </w:rPr>
        <w:t>, Spectrum estimation methodology for next generation wireless systems</w:t>
      </w:r>
      <w:r>
        <w:rPr>
          <w:lang w:val="en-US" w:eastAsia="ja-JP"/>
        </w:rPr>
        <w:t xml:space="preserve">. </w:t>
      </w:r>
      <w:r w:rsidRPr="0021786A">
        <w:rPr>
          <w:lang w:eastAsia="ja-JP"/>
        </w:rPr>
        <w:t>PIMRC Barcelone, Espagne.</w:t>
      </w:r>
    </w:p>
    <w:p w:rsidR="00FE0045" w:rsidRDefault="00FE0045" w:rsidP="00FE0045">
      <w:pPr>
        <w:rPr>
          <w:lang w:eastAsia="ja-JP"/>
        </w:rPr>
      </w:pPr>
    </w:p>
    <w:p w:rsidR="00FE0045" w:rsidRDefault="00FE0045" w:rsidP="00F00D23">
      <w:pPr>
        <w:rPr>
          <w:b/>
          <w:sz w:val="28"/>
        </w:rPr>
      </w:pPr>
      <w:r>
        <w:br w:type="page"/>
      </w:r>
    </w:p>
    <w:p w:rsidR="00FE0045" w:rsidRDefault="00FE0045" w:rsidP="00FE0045">
      <w:pPr>
        <w:pStyle w:val="AppendixNoTitle"/>
      </w:pPr>
      <w:r>
        <w:lastRenderedPageBreak/>
        <w:t xml:space="preserve">Appendice 1 </w:t>
      </w:r>
      <w:r>
        <w:br/>
        <w:t>à l'Annexe 1</w:t>
      </w:r>
      <w:r>
        <w:br/>
      </w:r>
      <w:r>
        <w:br/>
        <w:t>Liste d'abréviations et de symboles</w:t>
      </w:r>
    </w:p>
    <w:p w:rsidR="00191CCF" w:rsidRPr="00191CCF" w:rsidRDefault="00191CCF" w:rsidP="00191CCF"/>
    <w:tbl>
      <w:tblPr>
        <w:tblW w:w="9639" w:type="dxa"/>
        <w:tblCellMar>
          <w:left w:w="113" w:type="dxa"/>
          <w:right w:w="113" w:type="dxa"/>
        </w:tblCellMar>
        <w:tblLook w:val="0000" w:firstRow="0" w:lastRow="0" w:firstColumn="0" w:lastColumn="0" w:noHBand="0" w:noVBand="0"/>
      </w:tblPr>
      <w:tblGrid>
        <w:gridCol w:w="2188"/>
        <w:gridCol w:w="7451"/>
      </w:tblGrid>
      <w:tr w:rsidR="00FE0045" w:rsidRPr="00317B20" w:rsidTr="00E12924">
        <w:tc>
          <w:tcPr>
            <w:tcW w:w="1135" w:type="pct"/>
            <w:tcMar>
              <w:left w:w="28" w:type="dxa"/>
            </w:tcMar>
          </w:tcPr>
          <w:p w:rsidR="00FE0045" w:rsidRPr="0022031F" w:rsidRDefault="00FE0045" w:rsidP="0022031F">
            <w:pPr>
              <w:rPr>
                <w:b/>
                <w:bCs/>
              </w:rPr>
            </w:pPr>
            <w:r w:rsidRPr="0022031F">
              <w:rPr>
                <w:b/>
                <w:bCs/>
              </w:rPr>
              <w:t>Abréviation</w:t>
            </w:r>
          </w:p>
        </w:tc>
        <w:tc>
          <w:tcPr>
            <w:tcW w:w="3865" w:type="pct"/>
            <w:tcMar>
              <w:left w:w="28" w:type="dxa"/>
            </w:tcMar>
          </w:tcPr>
          <w:p w:rsidR="00FE0045" w:rsidRPr="0022031F" w:rsidRDefault="00FE0045" w:rsidP="0022031F">
            <w:pPr>
              <w:rPr>
                <w:b/>
                <w:bCs/>
              </w:rPr>
            </w:pPr>
            <w:r w:rsidRPr="0022031F">
              <w:rPr>
                <w:b/>
                <w:bCs/>
              </w:rPr>
              <w:t>Description</w:t>
            </w:r>
          </w:p>
        </w:tc>
      </w:tr>
      <w:tr w:rsidR="00FE0045" w:rsidRPr="00317B20" w:rsidTr="00E12924">
        <w:tc>
          <w:tcPr>
            <w:tcW w:w="1135" w:type="pct"/>
            <w:tcMar>
              <w:left w:w="28" w:type="dxa"/>
            </w:tcMar>
          </w:tcPr>
          <w:p w:rsidR="00FE0045" w:rsidRPr="00317B20" w:rsidRDefault="00FE0045" w:rsidP="0022031F">
            <w:r w:rsidRPr="00317B20">
              <w:t>2G</w:t>
            </w:r>
          </w:p>
        </w:tc>
        <w:tc>
          <w:tcPr>
            <w:tcW w:w="3865" w:type="pct"/>
            <w:tcMar>
              <w:left w:w="28" w:type="dxa"/>
            </w:tcMar>
          </w:tcPr>
          <w:p w:rsidR="00FE0045" w:rsidRPr="00317B20" w:rsidRDefault="00FE0045" w:rsidP="0022031F">
            <w:r w:rsidRPr="00317B20">
              <w:t xml:space="preserve">Deuxième génération </w:t>
            </w:r>
            <w:r w:rsidR="00545A5B" w:rsidRPr="00545A5B">
              <w:rPr>
                <w:iCs/>
              </w:rPr>
              <w:t>(</w:t>
            </w:r>
            <w:r w:rsidRPr="00317B20">
              <w:rPr>
                <w:i/>
                <w:iCs/>
              </w:rPr>
              <w:t>second generation</w:t>
            </w:r>
            <w:r w:rsidR="00545A5B" w:rsidRPr="00545A5B">
              <w:rPr>
                <w:iCs/>
              </w:rPr>
              <w:t>)</w:t>
            </w:r>
          </w:p>
        </w:tc>
      </w:tr>
      <w:tr w:rsidR="00FE0045" w:rsidRPr="00317B20" w:rsidTr="00E12924">
        <w:tc>
          <w:tcPr>
            <w:tcW w:w="1135" w:type="pct"/>
            <w:tcMar>
              <w:left w:w="28" w:type="dxa"/>
            </w:tcMar>
          </w:tcPr>
          <w:p w:rsidR="00FE0045" w:rsidRPr="00317B20" w:rsidRDefault="00FE0045" w:rsidP="0022031F">
            <w:r w:rsidRPr="00317B20">
              <w:t>AoD</w:t>
            </w:r>
          </w:p>
        </w:tc>
        <w:tc>
          <w:tcPr>
            <w:tcW w:w="3865" w:type="pct"/>
            <w:tcMar>
              <w:left w:w="28" w:type="dxa"/>
            </w:tcMar>
          </w:tcPr>
          <w:p w:rsidR="00FE0045" w:rsidRPr="00317B20" w:rsidRDefault="00FE0045" w:rsidP="0022031F">
            <w:r w:rsidRPr="00317B20">
              <w:t xml:space="preserve">Audio à la demande </w:t>
            </w:r>
            <w:r w:rsidR="00545A5B" w:rsidRPr="00545A5B">
              <w:rPr>
                <w:iCs/>
              </w:rPr>
              <w:t>(</w:t>
            </w:r>
            <w:r w:rsidRPr="00317B20">
              <w:rPr>
                <w:i/>
                <w:iCs/>
              </w:rPr>
              <w:t>audio on demand</w:t>
            </w:r>
            <w:r w:rsidR="00545A5B" w:rsidRPr="00545A5B">
              <w:rPr>
                <w:iCs/>
              </w:rPr>
              <w:t>)</w:t>
            </w:r>
          </w:p>
        </w:tc>
      </w:tr>
      <w:tr w:rsidR="00FE0045" w:rsidRPr="00317B20" w:rsidTr="00E12924">
        <w:tc>
          <w:tcPr>
            <w:tcW w:w="1135" w:type="pct"/>
            <w:tcMar>
              <w:left w:w="28" w:type="dxa"/>
            </w:tcMar>
          </w:tcPr>
          <w:p w:rsidR="00FE0045" w:rsidRPr="00317B20" w:rsidRDefault="00FE0045" w:rsidP="0022031F">
            <w:r w:rsidRPr="00317B20">
              <w:t>CS</w:t>
            </w:r>
          </w:p>
        </w:tc>
        <w:tc>
          <w:tcPr>
            <w:tcW w:w="3865" w:type="pct"/>
            <w:tcMar>
              <w:left w:w="28" w:type="dxa"/>
            </w:tcMar>
          </w:tcPr>
          <w:p w:rsidR="00FE0045" w:rsidRPr="00317B20" w:rsidRDefault="00FE0045" w:rsidP="0022031F">
            <w:r w:rsidRPr="00317B20">
              <w:t xml:space="preserve">Commutation de circuits </w:t>
            </w:r>
            <w:r w:rsidR="00545A5B" w:rsidRPr="00545A5B">
              <w:rPr>
                <w:iCs/>
              </w:rPr>
              <w:t>(</w:t>
            </w:r>
            <w:r w:rsidRPr="00317B20">
              <w:rPr>
                <w:i/>
                <w:iCs/>
              </w:rPr>
              <w:t>circuit switching</w:t>
            </w:r>
            <w:r w:rsidR="00545A5B" w:rsidRPr="00545A5B">
              <w:rPr>
                <w:iCs/>
              </w:rPr>
              <w:t>)</w:t>
            </w:r>
            <w:r w:rsidRPr="00317B20">
              <w:t xml:space="preserve"> </w:t>
            </w:r>
          </w:p>
        </w:tc>
      </w:tr>
      <w:tr w:rsidR="00FE0045" w:rsidRPr="005B5E0B" w:rsidTr="00E12924">
        <w:tc>
          <w:tcPr>
            <w:tcW w:w="1135" w:type="pct"/>
            <w:tcMar>
              <w:left w:w="28" w:type="dxa"/>
            </w:tcMar>
          </w:tcPr>
          <w:p w:rsidR="00FE0045" w:rsidRPr="00317B20" w:rsidRDefault="00FE0045" w:rsidP="0022031F">
            <w:r w:rsidRPr="00317B20">
              <w:t>FCFS</w:t>
            </w:r>
          </w:p>
        </w:tc>
        <w:tc>
          <w:tcPr>
            <w:tcW w:w="3865" w:type="pct"/>
            <w:tcMar>
              <w:left w:w="28" w:type="dxa"/>
            </w:tcMar>
          </w:tcPr>
          <w:p w:rsidR="00FE0045" w:rsidRPr="00317B20" w:rsidRDefault="00FE0045" w:rsidP="0022031F">
            <w:pPr>
              <w:rPr>
                <w:lang w:val="en-US"/>
              </w:rPr>
            </w:pPr>
            <w:r w:rsidRPr="00317B20">
              <w:rPr>
                <w:lang w:val="en-US"/>
              </w:rPr>
              <w:t xml:space="preserve">Premier arrivé, premier servi </w:t>
            </w:r>
            <w:r w:rsidR="00545A5B" w:rsidRPr="00545A5B">
              <w:rPr>
                <w:iCs/>
                <w:lang w:val="en-US"/>
              </w:rPr>
              <w:t>(</w:t>
            </w:r>
            <w:r w:rsidRPr="00317B20">
              <w:rPr>
                <w:i/>
                <w:iCs/>
                <w:lang w:val="en-US"/>
              </w:rPr>
              <w:t>first</w:t>
            </w:r>
            <w:r>
              <w:rPr>
                <w:i/>
                <w:iCs/>
                <w:lang w:val="en-US"/>
              </w:rPr>
              <w:t>-</w:t>
            </w:r>
            <w:r w:rsidRPr="00317B20">
              <w:rPr>
                <w:i/>
                <w:iCs/>
                <w:lang w:val="en-US"/>
              </w:rPr>
              <w:t>come</w:t>
            </w:r>
            <w:r>
              <w:rPr>
                <w:i/>
                <w:iCs/>
                <w:lang w:val="en-US"/>
              </w:rPr>
              <w:t>-</w:t>
            </w:r>
            <w:r w:rsidRPr="00317B20">
              <w:rPr>
                <w:i/>
                <w:iCs/>
                <w:lang w:val="en-US"/>
              </w:rPr>
              <w:t>first</w:t>
            </w:r>
            <w:r>
              <w:rPr>
                <w:i/>
                <w:iCs/>
                <w:lang w:val="en-US"/>
              </w:rPr>
              <w:t>-</w:t>
            </w:r>
            <w:r w:rsidRPr="00317B20">
              <w:rPr>
                <w:i/>
                <w:iCs/>
                <w:lang w:val="en-US"/>
              </w:rPr>
              <w:t>served</w:t>
            </w:r>
            <w:r w:rsidR="00545A5B" w:rsidRPr="00545A5B">
              <w:rPr>
                <w:iCs/>
                <w:lang w:val="en-US"/>
              </w:rPr>
              <w:t>)</w:t>
            </w:r>
          </w:p>
        </w:tc>
      </w:tr>
      <w:tr w:rsidR="00FE0045" w:rsidRPr="00317B20" w:rsidTr="00E12924">
        <w:tc>
          <w:tcPr>
            <w:tcW w:w="1135" w:type="pct"/>
            <w:tcMar>
              <w:left w:w="28" w:type="dxa"/>
            </w:tcMar>
          </w:tcPr>
          <w:p w:rsidR="00FE0045" w:rsidRPr="00317B20" w:rsidRDefault="00FE0045" w:rsidP="0022031F">
            <w:r w:rsidRPr="00317B20">
              <w:t>FSU</w:t>
            </w:r>
          </w:p>
        </w:tc>
        <w:tc>
          <w:tcPr>
            <w:tcW w:w="3865" w:type="pct"/>
            <w:tcMar>
              <w:left w:w="28" w:type="dxa"/>
            </w:tcMar>
          </w:tcPr>
          <w:p w:rsidR="00FE0045" w:rsidRPr="00317B20" w:rsidRDefault="00FE0045" w:rsidP="0022031F">
            <w:r w:rsidRPr="00317B20">
              <w:t xml:space="preserve">Utilisation souple des fréquences </w:t>
            </w:r>
            <w:r w:rsidR="00545A5B" w:rsidRPr="00545A5B">
              <w:rPr>
                <w:iCs/>
              </w:rPr>
              <w:t>(</w:t>
            </w:r>
            <w:r w:rsidRPr="00317B20">
              <w:rPr>
                <w:i/>
                <w:iCs/>
              </w:rPr>
              <w:t>flexible spectrum use</w:t>
            </w:r>
            <w:r w:rsidR="00545A5B" w:rsidRPr="00545A5B">
              <w:rPr>
                <w:iCs/>
              </w:rPr>
              <w:t>)</w:t>
            </w:r>
          </w:p>
        </w:tc>
      </w:tr>
      <w:tr w:rsidR="00FE0045" w:rsidRPr="00317B20" w:rsidTr="00E12924">
        <w:tc>
          <w:tcPr>
            <w:tcW w:w="1135" w:type="pct"/>
            <w:tcMar>
              <w:left w:w="28" w:type="dxa"/>
            </w:tcMar>
          </w:tcPr>
          <w:p w:rsidR="00FE0045" w:rsidRPr="00317B20" w:rsidRDefault="00FE0045" w:rsidP="0022031F">
            <w:r w:rsidRPr="00317B20">
              <w:t>FTTH</w:t>
            </w:r>
          </w:p>
        </w:tc>
        <w:tc>
          <w:tcPr>
            <w:tcW w:w="3865" w:type="pct"/>
            <w:tcMar>
              <w:left w:w="28" w:type="dxa"/>
            </w:tcMar>
          </w:tcPr>
          <w:p w:rsidR="00FE0045" w:rsidRPr="00317B20" w:rsidRDefault="00FE0045" w:rsidP="0022031F">
            <w:r w:rsidRPr="00317B20">
              <w:t xml:space="preserve">Fibre jusqu'au domicile </w:t>
            </w:r>
            <w:r w:rsidR="00545A5B" w:rsidRPr="00545A5B">
              <w:rPr>
                <w:iCs/>
              </w:rPr>
              <w:t>(</w:t>
            </w:r>
            <w:r w:rsidRPr="00317B20">
              <w:rPr>
                <w:i/>
                <w:iCs/>
              </w:rPr>
              <w:t>fibre to the home</w:t>
            </w:r>
            <w:r w:rsidR="00545A5B" w:rsidRPr="00545A5B">
              <w:rPr>
                <w:iCs/>
              </w:rPr>
              <w:t>)</w:t>
            </w:r>
          </w:p>
        </w:tc>
      </w:tr>
      <w:tr w:rsidR="00FE0045" w:rsidRPr="00317B20" w:rsidTr="00E12924">
        <w:tc>
          <w:tcPr>
            <w:tcW w:w="1135" w:type="pct"/>
            <w:tcMar>
              <w:left w:w="28" w:type="dxa"/>
            </w:tcMar>
          </w:tcPr>
          <w:p w:rsidR="00FE0045" w:rsidRPr="00317B20" w:rsidRDefault="00FE0045" w:rsidP="0022031F">
            <w:r w:rsidRPr="00317B20">
              <w:t>IMT</w:t>
            </w:r>
            <w:r w:rsidRPr="00317B20">
              <w:noBreakHyphen/>
              <w:t>2000</w:t>
            </w:r>
          </w:p>
        </w:tc>
        <w:tc>
          <w:tcPr>
            <w:tcW w:w="3865" w:type="pct"/>
            <w:tcMar>
              <w:left w:w="28" w:type="dxa"/>
            </w:tcMar>
          </w:tcPr>
          <w:p w:rsidR="00FE0045" w:rsidRPr="00317B20" w:rsidRDefault="00FE0045" w:rsidP="0022031F">
            <w:r w:rsidRPr="00317B20">
              <w:t xml:space="preserve">Télécommunications mobiles internationales-2000 </w:t>
            </w:r>
            <w:r w:rsidR="00545A5B" w:rsidRPr="00545A5B">
              <w:rPr>
                <w:iCs/>
              </w:rPr>
              <w:t>(</w:t>
            </w:r>
            <w:r w:rsidRPr="00317B20">
              <w:rPr>
                <w:i/>
                <w:iCs/>
              </w:rPr>
              <w:t>international mobile telecommunications-2000</w:t>
            </w:r>
            <w:r w:rsidR="00545A5B" w:rsidRPr="00545A5B">
              <w:rPr>
                <w:iCs/>
              </w:rPr>
              <w:t>)</w:t>
            </w:r>
            <w:r w:rsidRPr="00317B20">
              <w:t xml:space="preserve"> </w:t>
            </w:r>
          </w:p>
        </w:tc>
      </w:tr>
      <w:tr w:rsidR="00FE0045" w:rsidRPr="00317B20" w:rsidTr="00E12924">
        <w:tc>
          <w:tcPr>
            <w:tcW w:w="1135" w:type="pct"/>
            <w:tcMar>
              <w:left w:w="28" w:type="dxa"/>
            </w:tcMar>
          </w:tcPr>
          <w:p w:rsidR="00FE0045" w:rsidRPr="00317B20" w:rsidRDefault="00FE0045" w:rsidP="0022031F">
            <w:r w:rsidRPr="00317B20">
              <w:t>IP</w:t>
            </w:r>
          </w:p>
        </w:tc>
        <w:tc>
          <w:tcPr>
            <w:tcW w:w="3865" w:type="pct"/>
            <w:tcMar>
              <w:left w:w="28" w:type="dxa"/>
            </w:tcMar>
          </w:tcPr>
          <w:p w:rsidR="00FE0045" w:rsidRPr="00317B20" w:rsidRDefault="00FE0045" w:rsidP="0022031F">
            <w:r w:rsidRPr="00317B20">
              <w:t xml:space="preserve">Protocole Internet </w:t>
            </w:r>
            <w:r w:rsidR="00545A5B" w:rsidRPr="00545A5B">
              <w:rPr>
                <w:iCs/>
              </w:rPr>
              <w:t>(</w:t>
            </w:r>
            <w:r w:rsidRPr="00317B20">
              <w:rPr>
                <w:i/>
                <w:iCs/>
              </w:rPr>
              <w:t>Internet protocol</w:t>
            </w:r>
            <w:r w:rsidR="00545A5B" w:rsidRPr="00545A5B">
              <w:rPr>
                <w:iCs/>
              </w:rPr>
              <w:t>)</w:t>
            </w:r>
          </w:p>
        </w:tc>
      </w:tr>
      <w:tr w:rsidR="00FE0045" w:rsidRPr="005B5E0B" w:rsidTr="00E12924">
        <w:tc>
          <w:tcPr>
            <w:tcW w:w="1135" w:type="pct"/>
            <w:tcMar>
              <w:left w:w="28" w:type="dxa"/>
            </w:tcMar>
          </w:tcPr>
          <w:p w:rsidR="00FE0045" w:rsidRPr="00317B20" w:rsidRDefault="00FE0045" w:rsidP="0022031F">
            <w:r w:rsidRPr="00317B20">
              <w:t>LAN</w:t>
            </w:r>
          </w:p>
        </w:tc>
        <w:tc>
          <w:tcPr>
            <w:tcW w:w="3865" w:type="pct"/>
            <w:tcMar>
              <w:left w:w="28" w:type="dxa"/>
            </w:tcMar>
          </w:tcPr>
          <w:p w:rsidR="00FE0045" w:rsidRPr="00317B20" w:rsidRDefault="00FE0045" w:rsidP="0022031F">
            <w:pPr>
              <w:rPr>
                <w:lang w:val="en-US"/>
              </w:rPr>
            </w:pPr>
            <w:r w:rsidRPr="00317B20">
              <w:rPr>
                <w:lang w:val="en-US"/>
              </w:rPr>
              <w:t xml:space="preserve">Réseau local </w:t>
            </w:r>
            <w:r w:rsidR="00545A5B" w:rsidRPr="00545A5B">
              <w:rPr>
                <w:iCs/>
                <w:lang w:val="en-US"/>
              </w:rPr>
              <w:t>(</w:t>
            </w:r>
            <w:r w:rsidRPr="00317B20">
              <w:rPr>
                <w:i/>
                <w:iCs/>
                <w:lang w:val="en-US"/>
              </w:rPr>
              <w:t>local area network</w:t>
            </w:r>
            <w:r w:rsidR="00545A5B" w:rsidRPr="00545A5B">
              <w:rPr>
                <w:iCs/>
                <w:lang w:val="en-US"/>
              </w:rPr>
              <w:t>)</w:t>
            </w:r>
          </w:p>
        </w:tc>
      </w:tr>
      <w:tr w:rsidR="00FE0045" w:rsidRPr="00317B20" w:rsidTr="00E12924">
        <w:tc>
          <w:tcPr>
            <w:tcW w:w="1135" w:type="pct"/>
            <w:tcMar>
              <w:left w:w="28" w:type="dxa"/>
            </w:tcMar>
          </w:tcPr>
          <w:p w:rsidR="00FE0045" w:rsidRPr="00317B20" w:rsidRDefault="00FE0045" w:rsidP="0022031F">
            <w:r w:rsidRPr="00317B20">
              <w:t>M/G/1</w:t>
            </w:r>
          </w:p>
        </w:tc>
        <w:tc>
          <w:tcPr>
            <w:tcW w:w="3865" w:type="pct"/>
            <w:tcMar>
              <w:left w:w="28" w:type="dxa"/>
            </w:tcMar>
          </w:tcPr>
          <w:p w:rsidR="00FE0045" w:rsidRPr="00317B20" w:rsidRDefault="00FE0045" w:rsidP="0022031F">
            <w:r w:rsidRPr="00317B20">
              <w:t xml:space="preserve">File d'attente d'entrée poissonnienne à serveur unique et service général </w:t>
            </w:r>
            <w:r w:rsidR="00545A5B" w:rsidRPr="00545A5B">
              <w:rPr>
                <w:iCs/>
              </w:rPr>
              <w:t>(</w:t>
            </w:r>
            <w:r w:rsidRPr="00317B20">
              <w:rPr>
                <w:i/>
                <w:iCs/>
              </w:rPr>
              <w:t>Poisson input general service single server queue</w:t>
            </w:r>
            <w:r w:rsidR="00545A5B" w:rsidRPr="00545A5B">
              <w:rPr>
                <w:iCs/>
              </w:rPr>
              <w:t>)</w:t>
            </w:r>
          </w:p>
        </w:tc>
      </w:tr>
      <w:tr w:rsidR="00FE0045" w:rsidRPr="00317B20" w:rsidTr="00E12924">
        <w:tc>
          <w:tcPr>
            <w:tcW w:w="1135" w:type="pct"/>
            <w:tcMar>
              <w:left w:w="28" w:type="dxa"/>
            </w:tcMar>
          </w:tcPr>
          <w:p w:rsidR="00FE0045" w:rsidRPr="00317B20" w:rsidRDefault="00FE0045" w:rsidP="0022031F">
            <w:r w:rsidRPr="00317B20">
              <w:t>PAN</w:t>
            </w:r>
          </w:p>
        </w:tc>
        <w:tc>
          <w:tcPr>
            <w:tcW w:w="3865" w:type="pct"/>
            <w:tcMar>
              <w:left w:w="28" w:type="dxa"/>
            </w:tcMar>
          </w:tcPr>
          <w:p w:rsidR="00FE0045" w:rsidRPr="00317B20" w:rsidRDefault="00FE0045" w:rsidP="0022031F">
            <w:r w:rsidRPr="00317B20">
              <w:t xml:space="preserve">Réseau personnel </w:t>
            </w:r>
            <w:r w:rsidR="00545A5B" w:rsidRPr="00545A5B">
              <w:rPr>
                <w:iCs/>
              </w:rPr>
              <w:t>(</w:t>
            </w:r>
            <w:r w:rsidRPr="00317B20">
              <w:rPr>
                <w:i/>
                <w:iCs/>
              </w:rPr>
              <w:t>personal area network</w:t>
            </w:r>
            <w:r w:rsidR="00545A5B" w:rsidRPr="00545A5B">
              <w:rPr>
                <w:iCs/>
              </w:rPr>
              <w:t>)</w:t>
            </w:r>
          </w:p>
        </w:tc>
      </w:tr>
      <w:tr w:rsidR="00FE0045" w:rsidRPr="00317B20" w:rsidTr="00E12924">
        <w:tc>
          <w:tcPr>
            <w:tcW w:w="1135" w:type="pct"/>
            <w:tcMar>
              <w:left w:w="28" w:type="dxa"/>
            </w:tcMar>
          </w:tcPr>
          <w:p w:rsidR="00FE0045" w:rsidRPr="00317B20" w:rsidRDefault="00FE0045" w:rsidP="0022031F">
            <w:r w:rsidRPr="00317B20">
              <w:t>PS</w:t>
            </w:r>
          </w:p>
        </w:tc>
        <w:tc>
          <w:tcPr>
            <w:tcW w:w="3865" w:type="pct"/>
            <w:tcMar>
              <w:left w:w="28" w:type="dxa"/>
            </w:tcMar>
          </w:tcPr>
          <w:p w:rsidR="00FE0045" w:rsidRPr="00317B20" w:rsidRDefault="00FE0045" w:rsidP="0022031F">
            <w:r w:rsidRPr="00317B20">
              <w:t xml:space="preserve">Commutation par paquets </w:t>
            </w:r>
            <w:r w:rsidR="00545A5B" w:rsidRPr="00545A5B">
              <w:rPr>
                <w:iCs/>
              </w:rPr>
              <w:t>(</w:t>
            </w:r>
            <w:r w:rsidRPr="00317B20">
              <w:rPr>
                <w:i/>
                <w:iCs/>
              </w:rPr>
              <w:t>packet switching</w:t>
            </w:r>
            <w:r w:rsidR="00545A5B" w:rsidRPr="00545A5B">
              <w:rPr>
                <w:iCs/>
              </w:rPr>
              <w:t>)</w:t>
            </w:r>
          </w:p>
        </w:tc>
      </w:tr>
      <w:tr w:rsidR="00FE0045" w:rsidRPr="00317B20" w:rsidTr="00E12924">
        <w:tc>
          <w:tcPr>
            <w:tcW w:w="1135" w:type="pct"/>
            <w:tcMar>
              <w:left w:w="28" w:type="dxa"/>
            </w:tcMar>
          </w:tcPr>
          <w:p w:rsidR="00FE0045" w:rsidRPr="00317B20" w:rsidRDefault="00FE0045" w:rsidP="0022031F">
            <w:r w:rsidRPr="00317B20">
              <w:t>QoS</w:t>
            </w:r>
          </w:p>
        </w:tc>
        <w:tc>
          <w:tcPr>
            <w:tcW w:w="3865" w:type="pct"/>
            <w:tcMar>
              <w:left w:w="28" w:type="dxa"/>
            </w:tcMar>
          </w:tcPr>
          <w:p w:rsidR="00FE0045" w:rsidRPr="00317B20" w:rsidRDefault="00FE0045" w:rsidP="0022031F">
            <w:r w:rsidRPr="00317B20">
              <w:t xml:space="preserve">Qualité de service </w:t>
            </w:r>
          </w:p>
        </w:tc>
      </w:tr>
      <w:tr w:rsidR="00FE0045" w:rsidRPr="00317B20" w:rsidTr="00E12924">
        <w:tc>
          <w:tcPr>
            <w:tcW w:w="1135" w:type="pct"/>
            <w:tcMar>
              <w:left w:w="28" w:type="dxa"/>
            </w:tcMar>
          </w:tcPr>
          <w:p w:rsidR="00FE0045" w:rsidRPr="00317B20" w:rsidRDefault="00FE0045" w:rsidP="0022031F">
            <w:r w:rsidRPr="00317B20">
              <w:t>RAN</w:t>
            </w:r>
          </w:p>
        </w:tc>
        <w:tc>
          <w:tcPr>
            <w:tcW w:w="3865" w:type="pct"/>
            <w:tcMar>
              <w:left w:w="28" w:type="dxa"/>
            </w:tcMar>
          </w:tcPr>
          <w:p w:rsidR="00FE0045" w:rsidRPr="00317B20" w:rsidRDefault="00FE0045" w:rsidP="0022031F">
            <w:r w:rsidRPr="00317B20">
              <w:t xml:space="preserve">Réseau d'accès radioélectrique </w:t>
            </w:r>
            <w:r w:rsidR="00545A5B" w:rsidRPr="00545A5B">
              <w:rPr>
                <w:iCs/>
              </w:rPr>
              <w:t>(</w:t>
            </w:r>
            <w:r w:rsidRPr="00317B20">
              <w:rPr>
                <w:i/>
                <w:iCs/>
              </w:rPr>
              <w:t>radio access network</w:t>
            </w:r>
            <w:r w:rsidR="00545A5B" w:rsidRPr="00545A5B">
              <w:rPr>
                <w:iCs/>
              </w:rPr>
              <w:t>)</w:t>
            </w:r>
          </w:p>
        </w:tc>
      </w:tr>
      <w:tr w:rsidR="00FE0045" w:rsidRPr="00317B20" w:rsidTr="00E12924">
        <w:tc>
          <w:tcPr>
            <w:tcW w:w="1135" w:type="pct"/>
            <w:tcMar>
              <w:left w:w="28" w:type="dxa"/>
            </w:tcMar>
          </w:tcPr>
          <w:p w:rsidR="00FE0045" w:rsidRPr="00317B20" w:rsidRDefault="00FE0045" w:rsidP="0022031F">
            <w:r w:rsidRPr="00317B20">
              <w:t>RAT</w:t>
            </w:r>
          </w:p>
        </w:tc>
        <w:tc>
          <w:tcPr>
            <w:tcW w:w="3865" w:type="pct"/>
            <w:tcMar>
              <w:left w:w="28" w:type="dxa"/>
            </w:tcMar>
          </w:tcPr>
          <w:p w:rsidR="00FE0045" w:rsidRPr="00317B20" w:rsidRDefault="00FE0045" w:rsidP="0022031F">
            <w:r w:rsidRPr="00317B20">
              <w:t xml:space="preserve">Technique d'accès radioélectrique </w:t>
            </w:r>
            <w:r w:rsidR="00545A5B" w:rsidRPr="00545A5B">
              <w:rPr>
                <w:iCs/>
              </w:rPr>
              <w:t>(</w:t>
            </w:r>
            <w:r w:rsidRPr="00317B20">
              <w:rPr>
                <w:i/>
                <w:iCs/>
              </w:rPr>
              <w:t>radio access technique</w:t>
            </w:r>
            <w:r w:rsidR="00545A5B" w:rsidRPr="00545A5B">
              <w:rPr>
                <w:iCs/>
              </w:rPr>
              <w:t>)</w:t>
            </w:r>
          </w:p>
        </w:tc>
      </w:tr>
      <w:tr w:rsidR="00FE0045" w:rsidRPr="00317B20" w:rsidTr="00E12924">
        <w:tc>
          <w:tcPr>
            <w:tcW w:w="1135" w:type="pct"/>
            <w:tcMar>
              <w:left w:w="28" w:type="dxa"/>
            </w:tcMar>
          </w:tcPr>
          <w:p w:rsidR="00FE0045" w:rsidRPr="00317B20" w:rsidRDefault="00FE0045" w:rsidP="0022031F">
            <w:r w:rsidRPr="00317B20">
              <w:t>RATG</w:t>
            </w:r>
          </w:p>
        </w:tc>
        <w:tc>
          <w:tcPr>
            <w:tcW w:w="3865" w:type="pct"/>
            <w:tcMar>
              <w:left w:w="28" w:type="dxa"/>
            </w:tcMar>
          </w:tcPr>
          <w:p w:rsidR="00FE0045" w:rsidRPr="00317B20" w:rsidRDefault="00FE0045" w:rsidP="0022031F">
            <w:r w:rsidRPr="00317B20">
              <w:t xml:space="preserve">Groupe de techniques d'accès radioélectrique </w:t>
            </w:r>
            <w:r w:rsidR="00545A5B" w:rsidRPr="00545A5B">
              <w:rPr>
                <w:iCs/>
              </w:rPr>
              <w:t>(</w:t>
            </w:r>
            <w:r w:rsidRPr="00317B20">
              <w:rPr>
                <w:i/>
                <w:iCs/>
              </w:rPr>
              <w:t>radio access technique group</w:t>
            </w:r>
            <w:r w:rsidR="00545A5B" w:rsidRPr="00545A5B">
              <w:rPr>
                <w:iCs/>
              </w:rPr>
              <w:t>)</w:t>
            </w:r>
          </w:p>
        </w:tc>
      </w:tr>
      <w:tr w:rsidR="00FE0045" w:rsidRPr="00317B20" w:rsidTr="00E12924">
        <w:tc>
          <w:tcPr>
            <w:tcW w:w="1135" w:type="pct"/>
            <w:tcMar>
              <w:left w:w="28" w:type="dxa"/>
            </w:tcMar>
          </w:tcPr>
          <w:p w:rsidR="00FE0045" w:rsidRPr="00317B20" w:rsidRDefault="00FE0045" w:rsidP="0022031F">
            <w:r w:rsidRPr="00317B20">
              <w:t>RE</w:t>
            </w:r>
          </w:p>
        </w:tc>
        <w:tc>
          <w:tcPr>
            <w:tcW w:w="3865" w:type="pct"/>
            <w:tcMar>
              <w:left w:w="28" w:type="dxa"/>
            </w:tcMar>
          </w:tcPr>
          <w:p w:rsidR="00FE0045" w:rsidRPr="00317B20" w:rsidRDefault="00FE0045" w:rsidP="0022031F">
            <w:r w:rsidRPr="00317B20">
              <w:t xml:space="preserve">Environnement radioélectrique </w:t>
            </w:r>
            <w:r w:rsidR="00545A5B" w:rsidRPr="00545A5B">
              <w:rPr>
                <w:iCs/>
              </w:rPr>
              <w:t>(</w:t>
            </w:r>
            <w:r w:rsidRPr="00317B20">
              <w:rPr>
                <w:i/>
                <w:iCs/>
              </w:rPr>
              <w:t>radio environment</w:t>
            </w:r>
            <w:r w:rsidR="00545A5B" w:rsidRPr="00545A5B">
              <w:rPr>
                <w:iCs/>
              </w:rPr>
              <w:t>)</w:t>
            </w:r>
          </w:p>
        </w:tc>
      </w:tr>
      <w:tr w:rsidR="00FE0045" w:rsidRPr="00317B20" w:rsidTr="00E12924">
        <w:tc>
          <w:tcPr>
            <w:tcW w:w="1135" w:type="pct"/>
            <w:tcMar>
              <w:left w:w="28" w:type="dxa"/>
            </w:tcMar>
          </w:tcPr>
          <w:p w:rsidR="00FE0045" w:rsidRPr="00317B20" w:rsidRDefault="00FE0045" w:rsidP="0022031F">
            <w:r w:rsidRPr="00317B20">
              <w:t>SC</w:t>
            </w:r>
          </w:p>
        </w:tc>
        <w:tc>
          <w:tcPr>
            <w:tcW w:w="3865" w:type="pct"/>
            <w:tcMar>
              <w:left w:w="28" w:type="dxa"/>
            </w:tcMar>
          </w:tcPr>
          <w:p w:rsidR="00FE0045" w:rsidRPr="00317B20" w:rsidRDefault="00FE0045" w:rsidP="0022031F">
            <w:r w:rsidRPr="00317B20">
              <w:t xml:space="preserve">Catégorie de service </w:t>
            </w:r>
            <w:r w:rsidR="00545A5B" w:rsidRPr="00545A5B">
              <w:rPr>
                <w:iCs/>
              </w:rPr>
              <w:t>(</w:t>
            </w:r>
            <w:r w:rsidRPr="00317B20">
              <w:rPr>
                <w:i/>
                <w:iCs/>
              </w:rPr>
              <w:t>service category</w:t>
            </w:r>
            <w:r w:rsidR="00545A5B" w:rsidRPr="00545A5B">
              <w:rPr>
                <w:iCs/>
              </w:rPr>
              <w:t>)</w:t>
            </w:r>
          </w:p>
        </w:tc>
      </w:tr>
      <w:tr w:rsidR="00FE0045" w:rsidRPr="00317B20" w:rsidTr="00E12924">
        <w:tc>
          <w:tcPr>
            <w:tcW w:w="1135" w:type="pct"/>
            <w:tcMar>
              <w:left w:w="28" w:type="dxa"/>
            </w:tcMar>
          </w:tcPr>
          <w:p w:rsidR="00FE0045" w:rsidRPr="00317B20" w:rsidRDefault="00FE0045" w:rsidP="0022031F">
            <w:r w:rsidRPr="00317B20">
              <w:t>SE</w:t>
            </w:r>
          </w:p>
        </w:tc>
        <w:tc>
          <w:tcPr>
            <w:tcW w:w="3865" w:type="pct"/>
            <w:tcMar>
              <w:left w:w="28" w:type="dxa"/>
            </w:tcMar>
          </w:tcPr>
          <w:p w:rsidR="00FE0045" w:rsidRPr="00317B20" w:rsidRDefault="00FE0045" w:rsidP="0022031F">
            <w:r w:rsidRPr="00317B20">
              <w:t xml:space="preserve">Environnement de service </w:t>
            </w:r>
            <w:r w:rsidR="00545A5B" w:rsidRPr="00545A5B">
              <w:rPr>
                <w:iCs/>
              </w:rPr>
              <w:t>(</w:t>
            </w:r>
            <w:r w:rsidRPr="00317B20">
              <w:rPr>
                <w:i/>
                <w:iCs/>
              </w:rPr>
              <w:t>service environment</w:t>
            </w:r>
            <w:r w:rsidR="00545A5B" w:rsidRPr="00545A5B">
              <w:rPr>
                <w:iCs/>
              </w:rPr>
              <w:t>)</w:t>
            </w:r>
          </w:p>
        </w:tc>
      </w:tr>
      <w:tr w:rsidR="00FE0045" w:rsidRPr="00317B20" w:rsidTr="00E12924">
        <w:tc>
          <w:tcPr>
            <w:tcW w:w="1135" w:type="pct"/>
            <w:tcMar>
              <w:left w:w="28" w:type="dxa"/>
            </w:tcMar>
          </w:tcPr>
          <w:p w:rsidR="00FE0045" w:rsidRPr="00317B20" w:rsidRDefault="00FE0045" w:rsidP="0022031F">
            <w:r w:rsidRPr="00317B20">
              <w:t>TEB</w:t>
            </w:r>
          </w:p>
        </w:tc>
        <w:tc>
          <w:tcPr>
            <w:tcW w:w="3865" w:type="pct"/>
            <w:tcMar>
              <w:left w:w="28" w:type="dxa"/>
            </w:tcMar>
          </w:tcPr>
          <w:p w:rsidR="00FE0045" w:rsidRPr="00317B20" w:rsidRDefault="00FE0045" w:rsidP="0022031F">
            <w:r w:rsidRPr="00317B20">
              <w:t xml:space="preserve">Taux d'erreur binaire </w:t>
            </w:r>
          </w:p>
        </w:tc>
      </w:tr>
      <w:tr w:rsidR="00FE0045" w:rsidRPr="00317B20" w:rsidTr="00E12924">
        <w:tc>
          <w:tcPr>
            <w:tcW w:w="1135" w:type="pct"/>
            <w:tcMar>
              <w:left w:w="28" w:type="dxa"/>
            </w:tcMar>
          </w:tcPr>
          <w:p w:rsidR="00FE0045" w:rsidRPr="00317B20" w:rsidRDefault="00FE0045" w:rsidP="0022031F">
            <w:r w:rsidRPr="00317B20">
              <w:t>VoD</w:t>
            </w:r>
          </w:p>
        </w:tc>
        <w:tc>
          <w:tcPr>
            <w:tcW w:w="3865" w:type="pct"/>
            <w:tcMar>
              <w:left w:w="28" w:type="dxa"/>
            </w:tcMar>
          </w:tcPr>
          <w:p w:rsidR="00FE0045" w:rsidRPr="00317B20" w:rsidRDefault="00FE0045" w:rsidP="0022031F">
            <w:r w:rsidRPr="00317B20">
              <w:t xml:space="preserve">Vidéo à la demande </w:t>
            </w:r>
            <w:r w:rsidR="00545A5B" w:rsidRPr="00545A5B">
              <w:rPr>
                <w:iCs/>
              </w:rPr>
              <w:t>(</w:t>
            </w:r>
            <w:r w:rsidRPr="00317B20">
              <w:rPr>
                <w:i/>
                <w:iCs/>
              </w:rPr>
              <w:t>video on demand</w:t>
            </w:r>
            <w:r w:rsidR="00545A5B" w:rsidRPr="00545A5B">
              <w:rPr>
                <w:iCs/>
              </w:rPr>
              <w:t>)</w:t>
            </w:r>
          </w:p>
        </w:tc>
      </w:tr>
      <w:tr w:rsidR="00FE0045" w:rsidRPr="00317B20" w:rsidTr="00E12924">
        <w:tc>
          <w:tcPr>
            <w:tcW w:w="1135" w:type="pct"/>
            <w:tcMar>
              <w:left w:w="28" w:type="dxa"/>
            </w:tcMar>
          </w:tcPr>
          <w:p w:rsidR="00FE0045" w:rsidRPr="00317B20" w:rsidRDefault="00FE0045" w:rsidP="0022031F">
            <w:r w:rsidRPr="00317B20">
              <w:t>VoIP</w:t>
            </w:r>
          </w:p>
        </w:tc>
        <w:tc>
          <w:tcPr>
            <w:tcW w:w="3865" w:type="pct"/>
            <w:tcMar>
              <w:left w:w="28" w:type="dxa"/>
            </w:tcMar>
          </w:tcPr>
          <w:p w:rsidR="00FE0045" w:rsidRPr="00317B20" w:rsidRDefault="00FE0045" w:rsidP="0022031F">
            <w:r w:rsidRPr="00317B20">
              <w:t xml:space="preserve">Protocole de transmission de la voix par Internet </w:t>
            </w:r>
            <w:r w:rsidR="00545A5B" w:rsidRPr="00545A5B">
              <w:rPr>
                <w:iCs/>
              </w:rPr>
              <w:t>(</w:t>
            </w:r>
            <w:r w:rsidRPr="00317B20">
              <w:rPr>
                <w:i/>
                <w:iCs/>
              </w:rPr>
              <w:t>voice over Internet protocol</w:t>
            </w:r>
            <w:r w:rsidR="00545A5B" w:rsidRPr="00545A5B">
              <w:rPr>
                <w:iCs/>
              </w:rPr>
              <w:t>)</w:t>
            </w:r>
          </w:p>
        </w:tc>
      </w:tr>
      <w:tr w:rsidR="00FE0045" w:rsidRPr="00317B20" w:rsidTr="00E12924">
        <w:tc>
          <w:tcPr>
            <w:tcW w:w="1135" w:type="pct"/>
            <w:tcMar>
              <w:left w:w="28" w:type="dxa"/>
            </w:tcMar>
          </w:tcPr>
          <w:p w:rsidR="00FE0045" w:rsidRPr="00317B20" w:rsidRDefault="00FE0045" w:rsidP="0022031F">
            <w:r w:rsidRPr="00317B20">
              <w:t>xDSL</w:t>
            </w:r>
          </w:p>
        </w:tc>
        <w:tc>
          <w:tcPr>
            <w:tcW w:w="3865" w:type="pct"/>
            <w:tcMar>
              <w:left w:w="28" w:type="dxa"/>
            </w:tcMar>
          </w:tcPr>
          <w:p w:rsidR="00FE0045" w:rsidRPr="00317B20" w:rsidRDefault="00FE0045" w:rsidP="0022031F">
            <w:r w:rsidRPr="00317B20">
              <w:t xml:space="preserve">Technologie de ligne d'abonné numérique en mode filaire </w:t>
            </w:r>
            <w:r w:rsidR="00545A5B" w:rsidRPr="00545A5B">
              <w:rPr>
                <w:iCs/>
              </w:rPr>
              <w:t>(</w:t>
            </w:r>
            <w:r w:rsidRPr="00317B20">
              <w:rPr>
                <w:i/>
                <w:iCs/>
              </w:rPr>
              <w:t>x-digital subscriber line</w:t>
            </w:r>
            <w:r w:rsidR="00545A5B" w:rsidRPr="00545A5B">
              <w:rPr>
                <w:iCs/>
              </w:rPr>
              <w:t>)</w:t>
            </w:r>
          </w:p>
        </w:tc>
      </w:tr>
    </w:tbl>
    <w:p w:rsidR="00FE0045" w:rsidRDefault="00FE0045" w:rsidP="00FE0045">
      <w:pPr>
        <w:rPr>
          <w:szCs w:val="24"/>
        </w:rPr>
      </w:pPr>
    </w:p>
    <w:p w:rsidR="00FE0045" w:rsidRDefault="00FE0045" w:rsidP="00F00D23">
      <w:pPr>
        <w:rPr>
          <w:szCs w:val="24"/>
        </w:rPr>
      </w:pPr>
    </w:p>
    <w:p w:rsidR="00191CCF" w:rsidRDefault="00191CCF" w:rsidP="00F00D23">
      <w:pPr>
        <w:rPr>
          <w:szCs w:val="24"/>
        </w:rPr>
      </w:pPr>
    </w:p>
    <w:p w:rsidR="00191CCF" w:rsidRDefault="00191CCF" w:rsidP="00F00D23">
      <w:pPr>
        <w:rPr>
          <w:szCs w:val="24"/>
        </w:rPr>
      </w:pPr>
    </w:p>
    <w:tbl>
      <w:tblPr>
        <w:tblW w:w="9639" w:type="dxa"/>
        <w:tblLayout w:type="fixed"/>
        <w:tblCellMar>
          <w:left w:w="113" w:type="dxa"/>
          <w:right w:w="113" w:type="dxa"/>
        </w:tblCellMar>
        <w:tblLook w:val="0000" w:firstRow="0" w:lastRow="0" w:firstColumn="0" w:lastColumn="0" w:noHBand="0" w:noVBand="0"/>
      </w:tblPr>
      <w:tblGrid>
        <w:gridCol w:w="2165"/>
        <w:gridCol w:w="6057"/>
        <w:gridCol w:w="1417"/>
      </w:tblGrid>
      <w:tr w:rsidR="00FE0045" w:rsidRPr="00317B20" w:rsidTr="00D80DBD">
        <w:tc>
          <w:tcPr>
            <w:tcW w:w="2165" w:type="dxa"/>
            <w:tcMar>
              <w:left w:w="0" w:type="dxa"/>
              <w:right w:w="28" w:type="dxa"/>
            </w:tcMar>
          </w:tcPr>
          <w:p w:rsidR="00FE0045" w:rsidRPr="0022031F" w:rsidRDefault="00FE0045" w:rsidP="0022031F">
            <w:pPr>
              <w:rPr>
                <w:b/>
              </w:rPr>
            </w:pPr>
            <w:r w:rsidRPr="0022031F">
              <w:rPr>
                <w:b/>
              </w:rPr>
              <w:lastRenderedPageBreak/>
              <w:br w:type="page"/>
              <w:t>Symbole</w:t>
            </w:r>
          </w:p>
        </w:tc>
        <w:tc>
          <w:tcPr>
            <w:tcW w:w="6057" w:type="dxa"/>
            <w:tcMar>
              <w:left w:w="0" w:type="dxa"/>
              <w:right w:w="28" w:type="dxa"/>
            </w:tcMar>
          </w:tcPr>
          <w:p w:rsidR="00FE0045" w:rsidRPr="0022031F" w:rsidRDefault="00FE0045" w:rsidP="0022031F">
            <w:pPr>
              <w:rPr>
                <w:b/>
              </w:rPr>
            </w:pPr>
            <w:r w:rsidRPr="0022031F">
              <w:rPr>
                <w:b/>
              </w:rPr>
              <w:t>Description</w:t>
            </w:r>
          </w:p>
        </w:tc>
        <w:tc>
          <w:tcPr>
            <w:tcW w:w="1417" w:type="dxa"/>
            <w:tcMar>
              <w:left w:w="85" w:type="dxa"/>
              <w:right w:w="28" w:type="dxa"/>
            </w:tcMar>
          </w:tcPr>
          <w:p w:rsidR="00FE0045" w:rsidRPr="0022031F" w:rsidRDefault="00FE0045" w:rsidP="009F3AF8">
            <w:pPr>
              <w:jc w:val="left"/>
              <w:rPr>
                <w:b/>
              </w:rPr>
            </w:pPr>
            <w:r w:rsidRPr="0022031F">
              <w:rPr>
                <w:b/>
              </w:rPr>
              <w:t>Unité</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a</w:t>
            </w:r>
            <w:r w:rsidRPr="00317B20">
              <w:rPr>
                <w:i/>
                <w:vertAlign w:val="subscript"/>
              </w:rPr>
              <w:t>n</w:t>
            </w:r>
          </w:p>
        </w:tc>
        <w:tc>
          <w:tcPr>
            <w:tcW w:w="6057" w:type="dxa"/>
            <w:tcMar>
              <w:left w:w="0" w:type="dxa"/>
              <w:right w:w="28" w:type="dxa"/>
            </w:tcMar>
          </w:tcPr>
          <w:p w:rsidR="00FE0045" w:rsidRPr="00317B20" w:rsidRDefault="00FE0045" w:rsidP="00D80DBD">
            <w:pPr>
              <w:jc w:val="left"/>
            </w:pPr>
            <w:r w:rsidRPr="00317B20">
              <w:t>Coefficient</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A</w:t>
            </w:r>
            <w:r w:rsidRPr="00317B20">
              <w:rPr>
                <w:i/>
                <w:vertAlign w:val="subscript"/>
              </w:rPr>
              <w:t>d,p</w:t>
            </w:r>
          </w:p>
        </w:tc>
        <w:tc>
          <w:tcPr>
            <w:tcW w:w="6057" w:type="dxa"/>
            <w:tcMar>
              <w:left w:w="0" w:type="dxa"/>
              <w:right w:w="28" w:type="dxa"/>
            </w:tcMar>
          </w:tcPr>
          <w:p w:rsidR="00FE0045" w:rsidRPr="00317B20" w:rsidRDefault="00FE0045" w:rsidP="00D80DBD">
            <w:pPr>
              <w:jc w:val="left"/>
            </w:pPr>
            <w:r w:rsidRPr="00317B20">
              <w:t xml:space="preserve">Zone de cellule d'environnement radioélectrique </w:t>
            </w:r>
            <w:r w:rsidRPr="00317B20">
              <w:rPr>
                <w:i/>
              </w:rPr>
              <w:t>p</w:t>
            </w:r>
            <w:r w:rsidRPr="00317B20">
              <w:t>, pour une télédensité </w:t>
            </w:r>
            <w:r w:rsidRPr="00317B20">
              <w:rPr>
                <w:i/>
              </w:rPr>
              <w:t>d</w:t>
            </w:r>
          </w:p>
        </w:tc>
        <w:tc>
          <w:tcPr>
            <w:tcW w:w="1417" w:type="dxa"/>
            <w:tcMar>
              <w:left w:w="85" w:type="dxa"/>
              <w:right w:w="28" w:type="dxa"/>
            </w:tcMar>
          </w:tcPr>
          <w:p w:rsidR="00FE0045" w:rsidRPr="00317B20" w:rsidRDefault="00FE0045" w:rsidP="009F3AF8">
            <w:pPr>
              <w:jc w:val="left"/>
            </w:pPr>
            <w:r w:rsidRPr="00317B20">
              <w:t>km</w:t>
            </w:r>
            <w:r w:rsidRPr="00317B20">
              <w:rPr>
                <w:vertAlign w:val="superscript"/>
              </w:rPr>
              <w:t>2</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b</w:t>
            </w:r>
            <w:r w:rsidRPr="00317B20">
              <w:rPr>
                <w:i/>
                <w:vertAlign w:val="subscript"/>
              </w:rPr>
              <w:t>n</w:t>
            </w:r>
          </w:p>
        </w:tc>
        <w:tc>
          <w:tcPr>
            <w:tcW w:w="6057" w:type="dxa"/>
            <w:tcMar>
              <w:left w:w="0" w:type="dxa"/>
              <w:right w:w="28" w:type="dxa"/>
            </w:tcMar>
          </w:tcPr>
          <w:p w:rsidR="00FE0045" w:rsidRPr="00317B20" w:rsidRDefault="00FE0045" w:rsidP="00D80DBD">
            <w:pPr>
              <w:jc w:val="left"/>
            </w:pPr>
            <w:r w:rsidRPr="00317B20">
              <w:t>Coefficient</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B</w:t>
            </w:r>
            <w:r w:rsidRPr="00317B20">
              <w:rPr>
                <w:i/>
                <w:vertAlign w:val="subscript"/>
              </w:rPr>
              <w:t>n</w:t>
            </w:r>
          </w:p>
        </w:tc>
        <w:tc>
          <w:tcPr>
            <w:tcW w:w="6057" w:type="dxa"/>
            <w:tcMar>
              <w:left w:w="0" w:type="dxa"/>
              <w:right w:w="28" w:type="dxa"/>
            </w:tcMar>
          </w:tcPr>
          <w:p w:rsidR="00FE0045" w:rsidRPr="00317B20" w:rsidRDefault="00FE0045" w:rsidP="00D80DBD">
            <w:pPr>
              <w:jc w:val="left"/>
            </w:pPr>
            <w:r w:rsidRPr="00317B20">
              <w:t xml:space="preserve">Probabilité de blocage pour catégorie de service </w:t>
            </w:r>
            <w:r w:rsidRPr="00317B20">
              <w:rPr>
                <w:i/>
              </w:rPr>
              <w:t>n</w:t>
            </w:r>
            <w:r w:rsidRPr="00317B20">
              <w:t>, à commutation de circuits</w:t>
            </w:r>
            <w:r>
              <w:t xml:space="preserve"> (fondée sur la réservation de ressources)</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c</w:t>
            </w:r>
            <w:r w:rsidRPr="00317B20">
              <w:rPr>
                <w:i/>
                <w:vertAlign w:val="subscript"/>
              </w:rPr>
              <w:t>n</w:t>
            </w:r>
          </w:p>
        </w:tc>
        <w:tc>
          <w:tcPr>
            <w:tcW w:w="6057" w:type="dxa"/>
            <w:tcMar>
              <w:left w:w="0" w:type="dxa"/>
              <w:right w:w="28" w:type="dxa"/>
            </w:tcMar>
          </w:tcPr>
          <w:p w:rsidR="00FE0045" w:rsidRPr="00317B20" w:rsidRDefault="00FE0045" w:rsidP="00D80DBD">
            <w:pPr>
              <w:jc w:val="left"/>
            </w:pPr>
            <w:r w:rsidRPr="00317B20">
              <w:t>Coefficient</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C</w:t>
            </w:r>
            <w:r w:rsidRPr="00317B20">
              <w:rPr>
                <w:i/>
                <w:vertAlign w:val="subscript"/>
              </w:rPr>
              <w:t>d,t,rat,p</w:t>
            </w:r>
          </w:p>
        </w:tc>
        <w:tc>
          <w:tcPr>
            <w:tcW w:w="6057" w:type="dxa"/>
            <w:tcMar>
              <w:left w:w="0" w:type="dxa"/>
              <w:right w:w="28" w:type="dxa"/>
            </w:tcMar>
          </w:tcPr>
          <w:p w:rsidR="00FE0045" w:rsidRPr="00317B20" w:rsidRDefault="00FE0045" w:rsidP="00D80DBD">
            <w:pPr>
              <w:jc w:val="left"/>
            </w:pPr>
            <w:r w:rsidRPr="00317B20">
              <w:t xml:space="preserve">Capacité requise pour une télédensité </w:t>
            </w:r>
            <w:r w:rsidRPr="00317B20">
              <w:rPr>
                <w:i/>
              </w:rPr>
              <w:t>d</w:t>
            </w:r>
            <w:r w:rsidRPr="00317B20">
              <w:t>, un intervalle de temps</w:t>
            </w:r>
            <w:r w:rsidRPr="00317B20">
              <w:rPr>
                <w:i/>
              </w:rPr>
              <w:t xml:space="preserve"> t </w:t>
            </w:r>
            <w:r w:rsidRPr="00317B20">
              <w:t>et un RATG</w:t>
            </w:r>
            <w:r w:rsidRPr="00317B20">
              <w:rPr>
                <w:i/>
              </w:rPr>
              <w:t xml:space="preserve"> rat </w:t>
            </w:r>
            <w:r w:rsidRPr="00317B20">
              <w:t xml:space="preserve">dans un environnement radioélectrique </w:t>
            </w:r>
            <w:r w:rsidRPr="00317B20">
              <w:rPr>
                <w:i/>
              </w:rPr>
              <w:t>p</w:t>
            </w:r>
          </w:p>
        </w:tc>
        <w:tc>
          <w:tcPr>
            <w:tcW w:w="1417" w:type="dxa"/>
            <w:tcMar>
              <w:left w:w="85" w:type="dxa"/>
              <w:right w:w="28" w:type="dxa"/>
            </w:tcMar>
          </w:tcPr>
          <w:p w:rsidR="00FE0045" w:rsidRPr="00317B20" w:rsidRDefault="00FE0045" w:rsidP="009F3AF8">
            <w:pPr>
              <w:jc w:val="left"/>
            </w:pPr>
            <w:r w:rsidRPr="00317B20">
              <w:t>bit/s/cellule</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C</w:t>
            </w:r>
            <w:r w:rsidRPr="00317B20">
              <w:rPr>
                <w:i/>
                <w:vertAlign w:val="subscript"/>
              </w:rPr>
              <w:t>d,t,rat,p,cs</w:t>
            </w:r>
          </w:p>
        </w:tc>
        <w:tc>
          <w:tcPr>
            <w:tcW w:w="6057" w:type="dxa"/>
            <w:tcMar>
              <w:left w:w="0" w:type="dxa"/>
              <w:right w:w="28" w:type="dxa"/>
            </w:tcMar>
          </w:tcPr>
          <w:p w:rsidR="00FE0045" w:rsidRPr="00317B20" w:rsidRDefault="00FE0045" w:rsidP="00D80DBD">
            <w:pPr>
              <w:jc w:val="left"/>
            </w:pPr>
            <w:r w:rsidRPr="00317B20">
              <w:t>Capacité requise en mode circuit pour une télédensité</w:t>
            </w:r>
            <w:r w:rsidRPr="00317B20">
              <w:rPr>
                <w:i/>
              </w:rPr>
              <w:t xml:space="preserve"> d,</w:t>
            </w:r>
            <w:r w:rsidRPr="00317B20">
              <w:t xml:space="preserve"> un intervalle de temps</w:t>
            </w:r>
            <w:r w:rsidRPr="00317B20">
              <w:rPr>
                <w:i/>
              </w:rPr>
              <w:t xml:space="preserve"> t </w:t>
            </w:r>
            <w:r w:rsidRPr="00317B20">
              <w:t>et un RATG</w:t>
            </w:r>
            <w:r w:rsidRPr="00317B20">
              <w:rPr>
                <w:i/>
              </w:rPr>
              <w:t xml:space="preserve"> rat </w:t>
            </w:r>
            <w:r w:rsidRPr="00317B20">
              <w:t>dans un environnement radioélectrique</w:t>
            </w:r>
            <w:r w:rsidRPr="00317B20">
              <w:rPr>
                <w:i/>
              </w:rPr>
              <w:t xml:space="preserve"> p </w:t>
            </w:r>
          </w:p>
        </w:tc>
        <w:tc>
          <w:tcPr>
            <w:tcW w:w="1417" w:type="dxa"/>
            <w:tcMar>
              <w:left w:w="85" w:type="dxa"/>
              <w:right w:w="28" w:type="dxa"/>
            </w:tcMar>
          </w:tcPr>
          <w:p w:rsidR="00FE0045" w:rsidRPr="00317B20" w:rsidRDefault="00FE0045" w:rsidP="009F3AF8">
            <w:pPr>
              <w:jc w:val="left"/>
            </w:pPr>
            <w:r w:rsidRPr="00317B20">
              <w:t>bit/s/cellule</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C</w:t>
            </w:r>
            <w:r w:rsidRPr="00317B20">
              <w:rPr>
                <w:i/>
                <w:vertAlign w:val="subscript"/>
              </w:rPr>
              <w:t>d,t,rat,p,cs,DL</w:t>
            </w:r>
          </w:p>
        </w:tc>
        <w:tc>
          <w:tcPr>
            <w:tcW w:w="6057" w:type="dxa"/>
            <w:tcMar>
              <w:left w:w="0" w:type="dxa"/>
              <w:right w:w="28" w:type="dxa"/>
            </w:tcMar>
          </w:tcPr>
          <w:p w:rsidR="00FE0045" w:rsidRPr="00317B20" w:rsidRDefault="00FE0045" w:rsidP="00D80DBD">
            <w:pPr>
              <w:jc w:val="left"/>
            </w:pPr>
            <w:r w:rsidRPr="00317B20">
              <w:t>Capacité requise en mode circuit sur la liaison descendante pour une télédensité</w:t>
            </w:r>
            <w:r w:rsidRPr="00317B20">
              <w:rPr>
                <w:i/>
              </w:rPr>
              <w:t xml:space="preserve"> d,</w:t>
            </w:r>
            <w:r w:rsidRPr="00317B20">
              <w:t xml:space="preserve"> un intervalle de temps</w:t>
            </w:r>
            <w:r w:rsidRPr="00317B20">
              <w:rPr>
                <w:i/>
              </w:rPr>
              <w:t xml:space="preserve"> t </w:t>
            </w:r>
            <w:r w:rsidRPr="00317B20">
              <w:t>et un RATG</w:t>
            </w:r>
            <w:r w:rsidRPr="00317B20">
              <w:rPr>
                <w:i/>
              </w:rPr>
              <w:t xml:space="preserve"> rat </w:t>
            </w:r>
            <w:r w:rsidRPr="00317B20">
              <w:t xml:space="preserve">dans un environnement radioélectrique </w:t>
            </w:r>
            <w:r w:rsidRPr="00317B20">
              <w:rPr>
                <w:i/>
              </w:rPr>
              <w:t>p</w:t>
            </w:r>
          </w:p>
        </w:tc>
        <w:tc>
          <w:tcPr>
            <w:tcW w:w="1417" w:type="dxa"/>
            <w:tcMar>
              <w:left w:w="85" w:type="dxa"/>
              <w:right w:w="28" w:type="dxa"/>
            </w:tcMar>
          </w:tcPr>
          <w:p w:rsidR="00FE0045" w:rsidRPr="00317B20" w:rsidRDefault="00FE0045" w:rsidP="009F3AF8">
            <w:pPr>
              <w:jc w:val="left"/>
            </w:pPr>
            <w:r w:rsidRPr="00317B20">
              <w:t>bit/s/cellule</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C</w:t>
            </w:r>
            <w:r w:rsidRPr="00317B20">
              <w:rPr>
                <w:i/>
                <w:vertAlign w:val="subscript"/>
              </w:rPr>
              <w:t>d,t,rat,p,cs,UL</w:t>
            </w:r>
          </w:p>
        </w:tc>
        <w:tc>
          <w:tcPr>
            <w:tcW w:w="6057" w:type="dxa"/>
            <w:tcMar>
              <w:left w:w="0" w:type="dxa"/>
              <w:right w:w="28" w:type="dxa"/>
            </w:tcMar>
          </w:tcPr>
          <w:p w:rsidR="00FE0045" w:rsidRPr="00317B20" w:rsidRDefault="00FE0045" w:rsidP="00D80DBD">
            <w:pPr>
              <w:jc w:val="left"/>
            </w:pPr>
            <w:r w:rsidRPr="00317B20">
              <w:t>Capacité requise en mode circuit sur la liaison montante pour une télédensité</w:t>
            </w:r>
            <w:r w:rsidRPr="00317B20">
              <w:rPr>
                <w:i/>
              </w:rPr>
              <w:t xml:space="preserve"> d,</w:t>
            </w:r>
            <w:r w:rsidRPr="00317B20">
              <w:t xml:space="preserve"> un intervalle de temps</w:t>
            </w:r>
            <w:r w:rsidRPr="00317B20">
              <w:rPr>
                <w:i/>
              </w:rPr>
              <w:t xml:space="preserve"> t </w:t>
            </w:r>
            <w:r w:rsidRPr="00317B20">
              <w:t>et un RATG</w:t>
            </w:r>
            <w:r w:rsidRPr="00317B20">
              <w:rPr>
                <w:i/>
              </w:rPr>
              <w:t xml:space="preserve"> rat </w:t>
            </w:r>
            <w:r w:rsidRPr="00317B20">
              <w:t xml:space="preserve">dans un environnement radioélectrique </w:t>
            </w:r>
            <w:r w:rsidRPr="00317B20">
              <w:rPr>
                <w:i/>
              </w:rPr>
              <w:t>p</w:t>
            </w:r>
          </w:p>
        </w:tc>
        <w:tc>
          <w:tcPr>
            <w:tcW w:w="1417" w:type="dxa"/>
            <w:tcMar>
              <w:left w:w="85" w:type="dxa"/>
              <w:right w:w="28" w:type="dxa"/>
            </w:tcMar>
          </w:tcPr>
          <w:p w:rsidR="00FE0045" w:rsidRPr="00317B20" w:rsidRDefault="00FE0045" w:rsidP="009F3AF8">
            <w:pPr>
              <w:jc w:val="left"/>
            </w:pPr>
            <w:r w:rsidRPr="00317B20">
              <w:t>bit/s/cellule</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C</w:t>
            </w:r>
            <w:r w:rsidRPr="00317B20">
              <w:rPr>
                <w:i/>
                <w:vertAlign w:val="subscript"/>
              </w:rPr>
              <w:t>d,t,rat,p,ps</w:t>
            </w:r>
          </w:p>
        </w:tc>
        <w:tc>
          <w:tcPr>
            <w:tcW w:w="6057" w:type="dxa"/>
            <w:tcMar>
              <w:left w:w="0" w:type="dxa"/>
              <w:right w:w="28" w:type="dxa"/>
            </w:tcMar>
          </w:tcPr>
          <w:p w:rsidR="00FE0045" w:rsidRPr="00317B20" w:rsidRDefault="00FE0045" w:rsidP="00D80DBD">
            <w:pPr>
              <w:jc w:val="left"/>
            </w:pPr>
            <w:r w:rsidRPr="00317B20">
              <w:t>Capacité requise en mode paquet pour une télédensité</w:t>
            </w:r>
            <w:r w:rsidRPr="00317B20">
              <w:rPr>
                <w:i/>
              </w:rPr>
              <w:t xml:space="preserve"> d,</w:t>
            </w:r>
            <w:r w:rsidRPr="00317B20">
              <w:t xml:space="preserve"> un intervalle de temps</w:t>
            </w:r>
            <w:r w:rsidRPr="00317B20">
              <w:rPr>
                <w:i/>
              </w:rPr>
              <w:t xml:space="preserve"> t </w:t>
            </w:r>
            <w:r w:rsidRPr="00317B20">
              <w:t>et un RATG</w:t>
            </w:r>
            <w:r w:rsidRPr="00317B20">
              <w:rPr>
                <w:i/>
              </w:rPr>
              <w:t xml:space="preserve"> rat </w:t>
            </w:r>
            <w:r w:rsidRPr="00317B20">
              <w:t xml:space="preserve">dans un environnement radioélectrique </w:t>
            </w:r>
            <w:r w:rsidRPr="00317B20">
              <w:rPr>
                <w:i/>
              </w:rPr>
              <w:t>p</w:t>
            </w:r>
          </w:p>
        </w:tc>
        <w:tc>
          <w:tcPr>
            <w:tcW w:w="1417" w:type="dxa"/>
            <w:tcMar>
              <w:left w:w="85" w:type="dxa"/>
              <w:right w:w="28" w:type="dxa"/>
            </w:tcMar>
          </w:tcPr>
          <w:p w:rsidR="00FE0045" w:rsidRPr="00317B20" w:rsidRDefault="00FE0045" w:rsidP="009F3AF8">
            <w:pPr>
              <w:jc w:val="left"/>
            </w:pPr>
            <w:r w:rsidRPr="00317B20">
              <w:t>bit/s/cellule</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C</w:t>
            </w:r>
            <w:r w:rsidRPr="00317B20">
              <w:rPr>
                <w:i/>
                <w:vertAlign w:val="subscript"/>
              </w:rPr>
              <w:t>d,t,rat,p,ps,DL</w:t>
            </w:r>
          </w:p>
        </w:tc>
        <w:tc>
          <w:tcPr>
            <w:tcW w:w="6057" w:type="dxa"/>
            <w:tcMar>
              <w:left w:w="0" w:type="dxa"/>
              <w:right w:w="28" w:type="dxa"/>
            </w:tcMar>
          </w:tcPr>
          <w:p w:rsidR="00FE0045" w:rsidRPr="00317B20" w:rsidRDefault="00FE0045" w:rsidP="00D80DBD">
            <w:pPr>
              <w:jc w:val="left"/>
            </w:pPr>
            <w:r w:rsidRPr="00317B20">
              <w:t>Capacité requise en mode paquet sur la liaison descendante pour une télédensité</w:t>
            </w:r>
            <w:r w:rsidRPr="00317B20">
              <w:rPr>
                <w:i/>
              </w:rPr>
              <w:t xml:space="preserve"> d,</w:t>
            </w:r>
            <w:r w:rsidRPr="00317B20">
              <w:t xml:space="preserve"> un intervalle de temps</w:t>
            </w:r>
            <w:r w:rsidRPr="00317B20">
              <w:rPr>
                <w:i/>
              </w:rPr>
              <w:t xml:space="preserve"> t </w:t>
            </w:r>
            <w:r w:rsidRPr="00317B20">
              <w:t>et un RATG</w:t>
            </w:r>
            <w:r w:rsidRPr="00317B20">
              <w:rPr>
                <w:i/>
              </w:rPr>
              <w:t xml:space="preserve"> rat </w:t>
            </w:r>
            <w:r w:rsidRPr="00317B20">
              <w:t xml:space="preserve">dans un environnement radioélectrique </w:t>
            </w:r>
            <w:r w:rsidRPr="00317B20">
              <w:rPr>
                <w:i/>
              </w:rPr>
              <w:t>p</w:t>
            </w:r>
          </w:p>
        </w:tc>
        <w:tc>
          <w:tcPr>
            <w:tcW w:w="1417" w:type="dxa"/>
            <w:tcMar>
              <w:left w:w="85" w:type="dxa"/>
              <w:right w:w="28" w:type="dxa"/>
            </w:tcMar>
          </w:tcPr>
          <w:p w:rsidR="00FE0045" w:rsidRPr="00317B20" w:rsidRDefault="00FE0045" w:rsidP="009F3AF8">
            <w:pPr>
              <w:jc w:val="left"/>
            </w:pPr>
            <w:r w:rsidRPr="00317B20">
              <w:t>bit/s/cellule</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C</w:t>
            </w:r>
            <w:r w:rsidRPr="00317B20">
              <w:rPr>
                <w:i/>
                <w:vertAlign w:val="subscript"/>
              </w:rPr>
              <w:t>d,t,rat,p,ps,UL</w:t>
            </w:r>
          </w:p>
        </w:tc>
        <w:tc>
          <w:tcPr>
            <w:tcW w:w="6057" w:type="dxa"/>
            <w:tcMar>
              <w:left w:w="0" w:type="dxa"/>
              <w:right w:w="28" w:type="dxa"/>
            </w:tcMar>
          </w:tcPr>
          <w:p w:rsidR="00FE0045" w:rsidRPr="00317B20" w:rsidRDefault="00FE0045" w:rsidP="00D80DBD">
            <w:pPr>
              <w:jc w:val="left"/>
            </w:pPr>
            <w:r w:rsidRPr="00317B20">
              <w:t>Capacité requise en mode paquet sur la liaison montante pour une télédensité</w:t>
            </w:r>
            <w:r w:rsidRPr="00317B20">
              <w:rPr>
                <w:i/>
              </w:rPr>
              <w:t xml:space="preserve"> d,</w:t>
            </w:r>
            <w:r w:rsidRPr="00317B20">
              <w:t xml:space="preserve"> un intervalle de temps</w:t>
            </w:r>
            <w:r w:rsidRPr="00317B20">
              <w:rPr>
                <w:i/>
              </w:rPr>
              <w:t xml:space="preserve"> t </w:t>
            </w:r>
            <w:r w:rsidRPr="00317B20">
              <w:t>et un RATG</w:t>
            </w:r>
            <w:r w:rsidRPr="00317B20">
              <w:rPr>
                <w:i/>
              </w:rPr>
              <w:t xml:space="preserve"> rat </w:t>
            </w:r>
            <w:r w:rsidRPr="00317B20">
              <w:t xml:space="preserve">dans un environnement radioélectrique </w:t>
            </w:r>
            <w:r w:rsidRPr="00317B20">
              <w:rPr>
                <w:i/>
              </w:rPr>
              <w:t>p</w:t>
            </w:r>
          </w:p>
        </w:tc>
        <w:tc>
          <w:tcPr>
            <w:tcW w:w="1417" w:type="dxa"/>
            <w:tcMar>
              <w:left w:w="85" w:type="dxa"/>
              <w:right w:w="28" w:type="dxa"/>
            </w:tcMar>
          </w:tcPr>
          <w:p w:rsidR="00FE0045" w:rsidRPr="00317B20" w:rsidRDefault="00FE0045" w:rsidP="009F3AF8">
            <w:pPr>
              <w:jc w:val="left"/>
            </w:pPr>
            <w:r w:rsidRPr="00317B20">
              <w:t>bit/s/cellule</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d</w:t>
            </w:r>
          </w:p>
        </w:tc>
        <w:tc>
          <w:tcPr>
            <w:tcW w:w="6057" w:type="dxa"/>
            <w:tcMar>
              <w:left w:w="0" w:type="dxa"/>
              <w:right w:w="28" w:type="dxa"/>
            </w:tcMar>
          </w:tcPr>
          <w:p w:rsidR="00FE0045" w:rsidRPr="00317B20" w:rsidRDefault="00FE0045" w:rsidP="00D80DBD">
            <w:pPr>
              <w:jc w:val="left"/>
            </w:pPr>
            <w:r w:rsidRPr="00317B20">
              <w:t>Indice de télédensité</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d</w:t>
            </w:r>
            <w:r w:rsidRPr="00317B20">
              <w:rPr>
                <w:i/>
                <w:vertAlign w:val="subscript"/>
              </w:rPr>
              <w:t>n</w:t>
            </w:r>
          </w:p>
        </w:tc>
        <w:tc>
          <w:tcPr>
            <w:tcW w:w="6057" w:type="dxa"/>
            <w:tcMar>
              <w:left w:w="0" w:type="dxa"/>
              <w:right w:w="28" w:type="dxa"/>
            </w:tcMar>
          </w:tcPr>
          <w:p w:rsidR="00FE0045" w:rsidRPr="00317B20" w:rsidRDefault="00FE0045" w:rsidP="00D80DBD">
            <w:pPr>
              <w:jc w:val="left"/>
            </w:pPr>
            <w:r w:rsidRPr="00317B20">
              <w:t>Coefficient</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D</w:t>
            </w:r>
            <w:r w:rsidRPr="00317B20">
              <w:rPr>
                <w:i/>
                <w:vertAlign w:val="subscript"/>
              </w:rPr>
              <w:t>n</w:t>
            </w:r>
          </w:p>
        </w:tc>
        <w:tc>
          <w:tcPr>
            <w:tcW w:w="6057" w:type="dxa"/>
            <w:tcMar>
              <w:left w:w="0" w:type="dxa"/>
              <w:right w:w="28" w:type="dxa"/>
            </w:tcMar>
          </w:tcPr>
          <w:p w:rsidR="00FE0045" w:rsidRPr="00317B20" w:rsidRDefault="00FE0045" w:rsidP="00D80DBD">
            <w:pPr>
              <w:jc w:val="left"/>
            </w:pPr>
            <w:r w:rsidRPr="00317B20">
              <w:t xml:space="preserve">Retard moyen requis d'une catégorie de service </w:t>
            </w:r>
            <w:r w:rsidRPr="00317B20">
              <w:rPr>
                <w:i/>
              </w:rPr>
              <w:t>n</w:t>
            </w:r>
          </w:p>
        </w:tc>
        <w:tc>
          <w:tcPr>
            <w:tcW w:w="1417" w:type="dxa"/>
            <w:tcMar>
              <w:left w:w="85" w:type="dxa"/>
              <w:right w:w="28" w:type="dxa"/>
            </w:tcMar>
          </w:tcPr>
          <w:p w:rsidR="00FE0045" w:rsidRPr="00317B20" w:rsidRDefault="00FE0045" w:rsidP="009F3AF8">
            <w:pPr>
              <w:jc w:val="left"/>
            </w:pPr>
            <w:r w:rsidRPr="00317B20">
              <w:t>s/paquet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F</w:t>
            </w:r>
            <w:r w:rsidRPr="00317B20">
              <w:rPr>
                <w:i/>
                <w:vertAlign w:val="subscript"/>
              </w:rPr>
              <w:t>d,rat</w:t>
            </w:r>
          </w:p>
        </w:tc>
        <w:tc>
          <w:tcPr>
            <w:tcW w:w="6057" w:type="dxa"/>
            <w:tcMar>
              <w:left w:w="0" w:type="dxa"/>
              <w:right w:w="28" w:type="dxa"/>
            </w:tcMar>
          </w:tcPr>
          <w:p w:rsidR="00FE0045" w:rsidRPr="00317B20" w:rsidRDefault="00FE0045" w:rsidP="00D80DBD">
            <w:pPr>
              <w:jc w:val="left"/>
            </w:pPr>
            <w:r w:rsidRPr="00317B20">
              <w:t>Exigences totales de spectre pour un RATG</w:t>
            </w:r>
            <w:r w:rsidRPr="00317B20">
              <w:rPr>
                <w:i/>
              </w:rPr>
              <w:t xml:space="preserve"> rat </w:t>
            </w:r>
            <w:r w:rsidRPr="00317B20">
              <w:t>et une télédensité</w:t>
            </w:r>
            <w:r w:rsidRPr="00317B20">
              <w:rPr>
                <w:i/>
              </w:rPr>
              <w:t xml:space="preserve"> d </w:t>
            </w:r>
          </w:p>
        </w:tc>
        <w:tc>
          <w:tcPr>
            <w:tcW w:w="1417" w:type="dxa"/>
            <w:tcMar>
              <w:left w:w="85" w:type="dxa"/>
              <w:right w:w="28" w:type="dxa"/>
            </w:tcMar>
          </w:tcPr>
          <w:p w:rsidR="00FE0045" w:rsidRPr="00317B20" w:rsidRDefault="00FE0045" w:rsidP="009F3AF8">
            <w:pPr>
              <w:jc w:val="left"/>
              <w:rPr>
                <w:lang w:val="es-ES"/>
              </w:rPr>
            </w:pPr>
            <w:r w:rsidRPr="00317B20">
              <w:rPr>
                <w:lang w:val="es-ES"/>
              </w:rPr>
              <w:t>Hz</w:t>
            </w:r>
          </w:p>
        </w:tc>
      </w:tr>
      <w:tr w:rsidR="00FE0045" w:rsidRPr="00317B20" w:rsidTr="00D80DBD">
        <w:tc>
          <w:tcPr>
            <w:tcW w:w="2165" w:type="dxa"/>
            <w:tcMar>
              <w:left w:w="0" w:type="dxa"/>
              <w:right w:w="28" w:type="dxa"/>
            </w:tcMar>
          </w:tcPr>
          <w:p w:rsidR="00FE0045" w:rsidRPr="00317B20" w:rsidRDefault="00FE0045" w:rsidP="0022031F">
            <w:pPr>
              <w:rPr>
                <w:i/>
                <w:lang w:val="es-ES"/>
              </w:rPr>
            </w:pPr>
            <w:r w:rsidRPr="00317B20">
              <w:rPr>
                <w:i/>
                <w:lang w:val="es-ES"/>
              </w:rPr>
              <w:t>F</w:t>
            </w:r>
            <w:r w:rsidRPr="00317B20">
              <w:rPr>
                <w:i/>
                <w:vertAlign w:val="subscript"/>
                <w:lang w:val="es-ES"/>
              </w:rPr>
              <w:t>d,FSU</w:t>
            </w:r>
          </w:p>
        </w:tc>
        <w:tc>
          <w:tcPr>
            <w:tcW w:w="6057" w:type="dxa"/>
            <w:tcMar>
              <w:left w:w="0" w:type="dxa"/>
              <w:right w:w="28" w:type="dxa"/>
            </w:tcMar>
          </w:tcPr>
          <w:p w:rsidR="00FE0045" w:rsidRPr="00317B20" w:rsidRDefault="00FE0045" w:rsidP="00D80DBD">
            <w:pPr>
              <w:jc w:val="left"/>
            </w:pPr>
            <w:r w:rsidRPr="00317B20">
              <w:t>Exigences totales de spectre pour les RATG</w:t>
            </w:r>
            <w:r w:rsidRPr="00317B20">
              <w:rPr>
                <w:i/>
              </w:rPr>
              <w:t xml:space="preserve"> rat </w:t>
            </w:r>
            <w:r w:rsidRPr="00317B20">
              <w:t>avec FSU et une télédensité</w:t>
            </w:r>
            <w:r w:rsidRPr="00317B20">
              <w:rPr>
                <w:i/>
              </w:rPr>
              <w:t xml:space="preserve"> d </w:t>
            </w:r>
          </w:p>
        </w:tc>
        <w:tc>
          <w:tcPr>
            <w:tcW w:w="1417" w:type="dxa"/>
            <w:tcMar>
              <w:left w:w="85" w:type="dxa"/>
              <w:right w:w="28" w:type="dxa"/>
            </w:tcMar>
          </w:tcPr>
          <w:p w:rsidR="00FE0045" w:rsidRPr="00317B20" w:rsidRDefault="00FE0045" w:rsidP="009F3AF8">
            <w:pPr>
              <w:jc w:val="left"/>
            </w:pPr>
            <w:r w:rsidRPr="00317B20">
              <w:t>Hz</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F</w:t>
            </w:r>
            <w:r w:rsidRPr="00317B20">
              <w:rPr>
                <w:i/>
                <w:vertAlign w:val="subscript"/>
              </w:rPr>
              <w:t>d,rat,non FSU</w:t>
            </w:r>
          </w:p>
        </w:tc>
        <w:tc>
          <w:tcPr>
            <w:tcW w:w="6057" w:type="dxa"/>
            <w:tcMar>
              <w:left w:w="0" w:type="dxa"/>
              <w:right w:w="28" w:type="dxa"/>
            </w:tcMar>
          </w:tcPr>
          <w:p w:rsidR="00FE0045" w:rsidRPr="00317B20" w:rsidRDefault="00FE0045" w:rsidP="00D80DBD">
            <w:pPr>
              <w:jc w:val="left"/>
            </w:pPr>
            <w:r w:rsidRPr="00317B20">
              <w:t>Exigences totales de spectre pour un RATG</w:t>
            </w:r>
            <w:r w:rsidRPr="00317B20">
              <w:rPr>
                <w:i/>
              </w:rPr>
              <w:t xml:space="preserve"> rat </w:t>
            </w:r>
            <w:r w:rsidRPr="00317B20">
              <w:t>sans FSU et une télédensité</w:t>
            </w:r>
            <w:r w:rsidRPr="00317B20">
              <w:rPr>
                <w:i/>
              </w:rPr>
              <w:t xml:space="preserve"> d </w:t>
            </w:r>
          </w:p>
        </w:tc>
        <w:tc>
          <w:tcPr>
            <w:tcW w:w="1417" w:type="dxa"/>
            <w:tcMar>
              <w:left w:w="85" w:type="dxa"/>
              <w:right w:w="28" w:type="dxa"/>
            </w:tcMar>
          </w:tcPr>
          <w:p w:rsidR="00FE0045" w:rsidRPr="00317B20" w:rsidRDefault="00FE0045" w:rsidP="009F3AF8">
            <w:pPr>
              <w:jc w:val="left"/>
            </w:pPr>
            <w:r w:rsidRPr="00317B20">
              <w:t>Hz</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F</w:t>
            </w:r>
            <w:r w:rsidRPr="00317B20">
              <w:rPr>
                <w:i/>
                <w:vertAlign w:val="subscript"/>
              </w:rPr>
              <w:t>d,t,FSU</w:t>
            </w:r>
          </w:p>
        </w:tc>
        <w:tc>
          <w:tcPr>
            <w:tcW w:w="6057" w:type="dxa"/>
            <w:tcMar>
              <w:left w:w="0" w:type="dxa"/>
              <w:right w:w="28" w:type="dxa"/>
            </w:tcMar>
          </w:tcPr>
          <w:p w:rsidR="00FE0045" w:rsidRPr="00317B20" w:rsidRDefault="00FE0045" w:rsidP="00D80DBD">
            <w:pPr>
              <w:jc w:val="left"/>
            </w:pPr>
            <w:r w:rsidRPr="00317B20">
              <w:t>Exigences totales de spectre pour les RATG</w:t>
            </w:r>
            <w:r w:rsidRPr="00317B20">
              <w:rPr>
                <w:i/>
              </w:rPr>
              <w:t xml:space="preserve"> rat </w:t>
            </w:r>
            <w:r w:rsidRPr="00317B20">
              <w:t>avec FSU et une télédensité</w:t>
            </w:r>
            <w:r w:rsidRPr="00317B20">
              <w:rPr>
                <w:i/>
              </w:rPr>
              <w:t xml:space="preserve"> d </w:t>
            </w:r>
            <w:r w:rsidRPr="00317B20">
              <w:t xml:space="preserve">dans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t>Hz</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F</w:t>
            </w:r>
            <w:r w:rsidRPr="00317B20">
              <w:rPr>
                <w:i/>
                <w:vertAlign w:val="subscript"/>
              </w:rPr>
              <w:t>d,t,rat</w:t>
            </w:r>
          </w:p>
        </w:tc>
        <w:tc>
          <w:tcPr>
            <w:tcW w:w="6057" w:type="dxa"/>
            <w:tcMar>
              <w:left w:w="0" w:type="dxa"/>
              <w:right w:w="28" w:type="dxa"/>
            </w:tcMar>
          </w:tcPr>
          <w:p w:rsidR="00FE0045" w:rsidRPr="00317B20" w:rsidRDefault="00FE0045" w:rsidP="00D80DBD">
            <w:pPr>
              <w:jc w:val="left"/>
              <w:rPr>
                <w:i/>
              </w:rPr>
            </w:pPr>
            <w:r w:rsidRPr="00317B20">
              <w:t>Exigences totales de spectre pour un RATG</w:t>
            </w:r>
            <w:r w:rsidRPr="00317B20">
              <w:rPr>
                <w:i/>
              </w:rPr>
              <w:t xml:space="preserve"> rat </w:t>
            </w:r>
            <w:r w:rsidRPr="00317B20">
              <w:t>et une télédensité</w:t>
            </w:r>
            <w:r w:rsidRPr="00317B20">
              <w:rPr>
                <w:i/>
              </w:rPr>
              <w:t xml:space="preserve"> d </w:t>
            </w:r>
            <w:r w:rsidRPr="00317B20">
              <w:t xml:space="preserve">dans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t>Hz</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lastRenderedPageBreak/>
              <w:t>F</w:t>
            </w:r>
            <w:r w:rsidRPr="00317B20">
              <w:rPr>
                <w:i/>
                <w:vertAlign w:val="subscript"/>
              </w:rPr>
              <w:t>d,t,rat,p</w:t>
            </w:r>
          </w:p>
        </w:tc>
        <w:tc>
          <w:tcPr>
            <w:tcW w:w="6057" w:type="dxa"/>
            <w:tcMar>
              <w:left w:w="0" w:type="dxa"/>
              <w:right w:w="28" w:type="dxa"/>
            </w:tcMar>
          </w:tcPr>
          <w:p w:rsidR="00FE0045" w:rsidRPr="00317B20" w:rsidRDefault="00FE0045" w:rsidP="00D80DBD">
            <w:pPr>
              <w:jc w:val="left"/>
            </w:pPr>
            <w:r w:rsidRPr="00317B20">
              <w:t>Exigences de spectre pour un RATG</w:t>
            </w:r>
            <w:r w:rsidRPr="00317B20">
              <w:rPr>
                <w:i/>
              </w:rPr>
              <w:t xml:space="preserve"> rat </w:t>
            </w:r>
            <w:r w:rsidRPr="00317B20">
              <w:t>et une télédensité</w:t>
            </w:r>
            <w:r w:rsidRPr="00317B20">
              <w:rPr>
                <w:i/>
              </w:rPr>
              <w:t xml:space="preserve"> d,</w:t>
            </w:r>
            <w:r w:rsidRPr="00317B20">
              <w:t xml:space="preserve"> dans un intervalle de temps</w:t>
            </w:r>
            <w:r w:rsidRPr="00317B20">
              <w:rPr>
                <w:i/>
              </w:rPr>
              <w:t xml:space="preserve"> t </w:t>
            </w:r>
            <w:r w:rsidRPr="00317B20">
              <w:t xml:space="preserve">et un environnement radioélectrique </w:t>
            </w:r>
            <w:r w:rsidRPr="00317B20">
              <w:rPr>
                <w:i/>
              </w:rPr>
              <w:t>p</w:t>
            </w:r>
          </w:p>
        </w:tc>
        <w:tc>
          <w:tcPr>
            <w:tcW w:w="1417" w:type="dxa"/>
            <w:tcMar>
              <w:left w:w="85" w:type="dxa"/>
              <w:right w:w="28" w:type="dxa"/>
            </w:tcMar>
          </w:tcPr>
          <w:p w:rsidR="00FE0045" w:rsidRPr="00317B20" w:rsidRDefault="00FE0045" w:rsidP="009F3AF8">
            <w:pPr>
              <w:jc w:val="left"/>
            </w:pPr>
            <w:r w:rsidRPr="00317B20">
              <w:t>Hz</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F</w:t>
            </w:r>
            <w:r w:rsidRPr="00317B20">
              <w:rPr>
                <w:i/>
                <w:vertAlign w:val="subscript"/>
              </w:rPr>
              <w:t>d,t,rat,p,mm</w:t>
            </w:r>
          </w:p>
        </w:tc>
        <w:tc>
          <w:tcPr>
            <w:tcW w:w="6057" w:type="dxa"/>
            <w:tcMar>
              <w:left w:w="0" w:type="dxa"/>
              <w:right w:w="28" w:type="dxa"/>
            </w:tcMar>
          </w:tcPr>
          <w:p w:rsidR="00FE0045" w:rsidRPr="00317B20" w:rsidRDefault="00FE0045" w:rsidP="00D80DBD">
            <w:pPr>
              <w:jc w:val="left"/>
            </w:pPr>
            <w:r w:rsidRPr="00317B20">
              <w:t>Exigences de spectre pour la multidiffusion mobile pour un RATG</w:t>
            </w:r>
            <w:r w:rsidRPr="00317B20">
              <w:rPr>
                <w:i/>
              </w:rPr>
              <w:t xml:space="preserve"> rat </w:t>
            </w:r>
            <w:r w:rsidRPr="00317B20">
              <w:t>et une télédensité</w:t>
            </w:r>
            <w:r w:rsidRPr="00317B20">
              <w:rPr>
                <w:i/>
              </w:rPr>
              <w:t xml:space="preserve"> d,</w:t>
            </w:r>
            <w:r w:rsidRPr="00317B20">
              <w:t xml:space="preserve"> dans un intervalle de temps</w:t>
            </w:r>
            <w:r>
              <w:rPr>
                <w:i/>
              </w:rPr>
              <w:t> </w:t>
            </w:r>
            <w:r w:rsidRPr="00317B20">
              <w:rPr>
                <w:i/>
              </w:rPr>
              <w:t xml:space="preserve">t </w:t>
            </w:r>
            <w:r w:rsidRPr="00317B20">
              <w:t xml:space="preserve">et un environnement radioélectrique </w:t>
            </w:r>
            <w:r w:rsidRPr="00317B20">
              <w:rPr>
                <w:i/>
              </w:rPr>
              <w:t>p</w:t>
            </w:r>
          </w:p>
        </w:tc>
        <w:tc>
          <w:tcPr>
            <w:tcW w:w="1417" w:type="dxa"/>
            <w:tcMar>
              <w:left w:w="85" w:type="dxa"/>
              <w:right w:w="28" w:type="dxa"/>
            </w:tcMar>
          </w:tcPr>
          <w:p w:rsidR="00FE0045" w:rsidRPr="00317B20" w:rsidRDefault="00FE0045" w:rsidP="009F3AF8">
            <w:pPr>
              <w:jc w:val="left"/>
            </w:pPr>
            <w:r w:rsidRPr="00317B20">
              <w:t>Hz</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F</w:t>
            </w:r>
          </w:p>
        </w:tc>
        <w:tc>
          <w:tcPr>
            <w:tcW w:w="6057" w:type="dxa"/>
            <w:tcMar>
              <w:left w:w="0" w:type="dxa"/>
              <w:right w:w="28" w:type="dxa"/>
            </w:tcMar>
          </w:tcPr>
          <w:p w:rsidR="00FE0045" w:rsidRPr="00317B20" w:rsidRDefault="00FE0045" w:rsidP="00D80DBD">
            <w:pPr>
              <w:jc w:val="left"/>
            </w:pPr>
            <w:r w:rsidRPr="00317B20">
              <w:t xml:space="preserve">Exigences totales de spectre pour tous les RATG </w:t>
            </w:r>
          </w:p>
        </w:tc>
        <w:tc>
          <w:tcPr>
            <w:tcW w:w="1417" w:type="dxa"/>
            <w:tcMar>
              <w:left w:w="85" w:type="dxa"/>
              <w:right w:w="28" w:type="dxa"/>
            </w:tcMar>
          </w:tcPr>
          <w:p w:rsidR="00FE0045" w:rsidRPr="00317B20" w:rsidRDefault="00FE0045" w:rsidP="009F3AF8">
            <w:pPr>
              <w:jc w:val="left"/>
            </w:pPr>
            <w:r w:rsidRPr="00317B20">
              <w:t>Hz</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F</w:t>
            </w:r>
            <w:r w:rsidRPr="00317B20">
              <w:rPr>
                <w:i/>
                <w:vertAlign w:val="subscript"/>
              </w:rPr>
              <w:t>FSU</w:t>
            </w:r>
          </w:p>
        </w:tc>
        <w:tc>
          <w:tcPr>
            <w:tcW w:w="6057" w:type="dxa"/>
            <w:tcMar>
              <w:left w:w="0" w:type="dxa"/>
              <w:right w:w="28" w:type="dxa"/>
            </w:tcMar>
          </w:tcPr>
          <w:p w:rsidR="00FE0045" w:rsidRPr="00317B20" w:rsidRDefault="00FE0045" w:rsidP="00D80DBD">
            <w:pPr>
              <w:jc w:val="left"/>
            </w:pPr>
            <w:r w:rsidRPr="00317B20">
              <w:t>Exigences de spectre de tous les RATG avec FSU</w:t>
            </w:r>
          </w:p>
        </w:tc>
        <w:tc>
          <w:tcPr>
            <w:tcW w:w="1417" w:type="dxa"/>
            <w:tcMar>
              <w:left w:w="85" w:type="dxa"/>
              <w:right w:w="28" w:type="dxa"/>
            </w:tcMar>
          </w:tcPr>
          <w:p w:rsidR="00FE0045" w:rsidRPr="00317B20" w:rsidRDefault="00FE0045" w:rsidP="009F3AF8">
            <w:pPr>
              <w:jc w:val="left"/>
            </w:pPr>
            <w:r w:rsidRPr="00317B20">
              <w:t>Hz</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F</w:t>
            </w:r>
            <w:r w:rsidRPr="00317B20">
              <w:rPr>
                <w:i/>
                <w:vertAlign w:val="subscript"/>
              </w:rPr>
              <w:t>rat</w:t>
            </w:r>
          </w:p>
        </w:tc>
        <w:tc>
          <w:tcPr>
            <w:tcW w:w="6057" w:type="dxa"/>
            <w:tcMar>
              <w:left w:w="0" w:type="dxa"/>
              <w:right w:w="28" w:type="dxa"/>
            </w:tcMar>
          </w:tcPr>
          <w:p w:rsidR="00FE0045" w:rsidRPr="00317B20" w:rsidRDefault="00FE0045" w:rsidP="00D80DBD">
            <w:pPr>
              <w:jc w:val="left"/>
            </w:pPr>
            <w:r w:rsidRPr="00317B20">
              <w:t>Exigences de spectre d'un RATG</w:t>
            </w:r>
            <w:r w:rsidRPr="00317B20">
              <w:rPr>
                <w:i/>
              </w:rPr>
              <w:t xml:space="preserve"> rat </w:t>
            </w:r>
            <w:r w:rsidRPr="00317B20">
              <w:t>sans FSU</w:t>
            </w:r>
          </w:p>
        </w:tc>
        <w:tc>
          <w:tcPr>
            <w:tcW w:w="1417" w:type="dxa"/>
            <w:tcMar>
              <w:left w:w="85" w:type="dxa"/>
              <w:right w:w="28" w:type="dxa"/>
            </w:tcMar>
          </w:tcPr>
          <w:p w:rsidR="00FE0045" w:rsidRPr="00317B20" w:rsidRDefault="00FE0045" w:rsidP="009F3AF8">
            <w:pPr>
              <w:jc w:val="left"/>
            </w:pPr>
            <w:r w:rsidRPr="00317B20">
              <w:t>Hz</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F</w:t>
            </w:r>
            <w:r w:rsidRPr="00317B20">
              <w:rPr>
                <w:i/>
                <w:vertAlign w:val="subscript"/>
              </w:rPr>
              <w:t>rat,non FSU</w:t>
            </w:r>
          </w:p>
        </w:tc>
        <w:tc>
          <w:tcPr>
            <w:tcW w:w="6057" w:type="dxa"/>
            <w:tcMar>
              <w:left w:w="0" w:type="dxa"/>
              <w:right w:w="28" w:type="dxa"/>
            </w:tcMar>
          </w:tcPr>
          <w:p w:rsidR="00FE0045" w:rsidRPr="00317B20" w:rsidRDefault="00FE0045" w:rsidP="00D80DBD">
            <w:pPr>
              <w:jc w:val="left"/>
            </w:pPr>
            <w:r w:rsidRPr="00317B20">
              <w:t>Exigences de spectre d'un RATG</w:t>
            </w:r>
            <w:r w:rsidRPr="00317B20">
              <w:rPr>
                <w:i/>
              </w:rPr>
              <w:t xml:space="preserve"> rat </w:t>
            </w:r>
            <w:r w:rsidRPr="00317B20">
              <w:t>sans FSU</w:t>
            </w:r>
          </w:p>
        </w:tc>
        <w:tc>
          <w:tcPr>
            <w:tcW w:w="1417" w:type="dxa"/>
            <w:tcMar>
              <w:left w:w="85" w:type="dxa"/>
              <w:right w:w="28" w:type="dxa"/>
            </w:tcMar>
          </w:tcPr>
          <w:p w:rsidR="00FE0045" w:rsidRPr="00317B20" w:rsidRDefault="00FE0045" w:rsidP="009F3AF8">
            <w:pPr>
              <w:jc w:val="left"/>
            </w:pPr>
            <w:r w:rsidRPr="00317B20">
              <w:t>Hz</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FSU</w:t>
            </w:r>
            <w:r w:rsidRPr="00317B20">
              <w:rPr>
                <w:i/>
                <w:vertAlign w:val="subscript"/>
              </w:rPr>
              <w:t>marg</w:t>
            </w:r>
          </w:p>
        </w:tc>
        <w:tc>
          <w:tcPr>
            <w:tcW w:w="6057" w:type="dxa"/>
            <w:tcMar>
              <w:left w:w="0" w:type="dxa"/>
              <w:right w:w="28" w:type="dxa"/>
            </w:tcMar>
          </w:tcPr>
          <w:p w:rsidR="00FE0045" w:rsidRPr="00317B20" w:rsidRDefault="00FE0045" w:rsidP="00D80DBD">
            <w:pPr>
              <w:jc w:val="left"/>
            </w:pPr>
            <w:r w:rsidRPr="00317B20">
              <w:t>Marge d'imperfection de la FSU (multiplicateur)</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G</w:t>
            </w:r>
          </w:p>
        </w:tc>
        <w:tc>
          <w:tcPr>
            <w:tcW w:w="6057" w:type="dxa"/>
            <w:tcMar>
              <w:left w:w="0" w:type="dxa"/>
              <w:right w:w="28" w:type="dxa"/>
            </w:tcMar>
          </w:tcPr>
          <w:p w:rsidR="00FE0045" w:rsidRPr="00317B20" w:rsidRDefault="00FE0045" w:rsidP="00D80DBD">
            <w:pPr>
              <w:jc w:val="left"/>
              <w:rPr>
                <w:kern w:val="28"/>
              </w:rPr>
            </w:pPr>
            <w:r w:rsidRPr="00317B20">
              <w:rPr>
                <w:kern w:val="28"/>
              </w:rPr>
              <w:t>Fonction intermédiaire pour le calcul de la probabilité de blocage</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G</w:t>
            </w:r>
            <w:r w:rsidRPr="00317B20">
              <w:rPr>
                <w:i/>
                <w:vertAlign w:val="subscript"/>
              </w:rPr>
              <w:t>rat</w:t>
            </w:r>
          </w:p>
        </w:tc>
        <w:tc>
          <w:tcPr>
            <w:tcW w:w="6057" w:type="dxa"/>
            <w:tcMar>
              <w:left w:w="0" w:type="dxa"/>
              <w:right w:w="28" w:type="dxa"/>
            </w:tcMar>
          </w:tcPr>
          <w:p w:rsidR="00FE0045" w:rsidRPr="00317B20" w:rsidRDefault="00FE0045" w:rsidP="00D80DBD">
            <w:pPr>
              <w:jc w:val="left"/>
            </w:pPr>
            <w:r w:rsidRPr="00317B20">
              <w:t xml:space="preserve">Bande de garde entre opérateurs pour un RATG </w:t>
            </w:r>
            <w:r w:rsidRPr="00317B20">
              <w:rPr>
                <w:i/>
              </w:rPr>
              <w:t>rat</w:t>
            </w:r>
          </w:p>
        </w:tc>
        <w:tc>
          <w:tcPr>
            <w:tcW w:w="1417" w:type="dxa"/>
            <w:tcMar>
              <w:left w:w="85" w:type="dxa"/>
              <w:right w:w="28" w:type="dxa"/>
            </w:tcMar>
          </w:tcPr>
          <w:p w:rsidR="00FE0045" w:rsidRPr="00317B20" w:rsidRDefault="00FE0045" w:rsidP="009F3AF8">
            <w:pPr>
              <w:jc w:val="left"/>
            </w:pPr>
            <w:r w:rsidRPr="00317B20">
              <w:t>Hz</w:t>
            </w:r>
          </w:p>
        </w:tc>
      </w:tr>
      <w:tr w:rsidR="00FE0045" w:rsidRPr="00317B20" w:rsidTr="00D80DBD">
        <w:tc>
          <w:tcPr>
            <w:tcW w:w="2165" w:type="dxa"/>
            <w:tcMar>
              <w:left w:w="0" w:type="dxa"/>
              <w:right w:w="28" w:type="dxa"/>
            </w:tcMar>
          </w:tcPr>
          <w:p w:rsidR="00FE0045" w:rsidRPr="00961302" w:rsidRDefault="00FE0045" w:rsidP="0022031F">
            <w:pPr>
              <w:rPr>
                <w:i/>
              </w:rPr>
            </w:pPr>
            <w:r>
              <w:rPr>
                <w:rFonts w:hint="eastAsia"/>
                <w:lang w:eastAsia="ja-JP"/>
              </w:rPr>
              <w:t>Grn</w:t>
            </w:r>
            <w:r w:rsidRPr="00F145C5">
              <w:t>Spec</w:t>
            </w:r>
            <w:r w:rsidRPr="00F145C5">
              <w:rPr>
                <w:i/>
                <w:vertAlign w:val="subscript"/>
              </w:rPr>
              <w:t>rat,p</w:t>
            </w:r>
          </w:p>
        </w:tc>
        <w:tc>
          <w:tcPr>
            <w:tcW w:w="6057" w:type="dxa"/>
            <w:tcMar>
              <w:left w:w="0" w:type="dxa"/>
              <w:right w:w="28" w:type="dxa"/>
            </w:tcMar>
          </w:tcPr>
          <w:p w:rsidR="00FE0045" w:rsidRPr="00FE0045" w:rsidRDefault="00FE0045" w:rsidP="00D80DBD">
            <w:pPr>
              <w:jc w:val="left"/>
              <w:rPr>
                <w:lang w:val="fr-CH"/>
              </w:rPr>
            </w:pPr>
            <w:r>
              <w:t>Granularité par opérateur pour un</w:t>
            </w:r>
            <w:r w:rsidRPr="00FE0045">
              <w:rPr>
                <w:lang w:val="fr-CH"/>
              </w:rPr>
              <w:t xml:space="preserve"> RATG </w:t>
            </w:r>
            <w:r w:rsidRPr="00FE0045">
              <w:rPr>
                <w:i/>
                <w:lang w:val="fr-CH"/>
              </w:rPr>
              <w:t>rat</w:t>
            </w:r>
            <w:r w:rsidRPr="00FE0045">
              <w:rPr>
                <w:lang w:val="fr-CH"/>
              </w:rPr>
              <w:t xml:space="preserve"> </w:t>
            </w:r>
            <w:r>
              <w:t>dans un environnement radioélectrique</w:t>
            </w:r>
            <w:r w:rsidRPr="00FE0045">
              <w:rPr>
                <w:lang w:val="fr-CH"/>
              </w:rPr>
              <w:t xml:space="preserve"> </w:t>
            </w:r>
            <w:r w:rsidRPr="00FE0045">
              <w:rPr>
                <w:i/>
                <w:lang w:val="fr-CH"/>
              </w:rPr>
              <w:t>p</w:t>
            </w:r>
            <w:r w:rsidRPr="00FE0045">
              <w:rPr>
                <w:lang w:val="fr-CH"/>
              </w:rPr>
              <w:t xml:space="preserve"> </w:t>
            </w:r>
          </w:p>
        </w:tc>
        <w:tc>
          <w:tcPr>
            <w:tcW w:w="1417" w:type="dxa"/>
            <w:tcMar>
              <w:left w:w="85" w:type="dxa"/>
              <w:right w:w="28" w:type="dxa"/>
            </w:tcMar>
          </w:tcPr>
          <w:p w:rsidR="00FE0045" w:rsidRPr="00961302" w:rsidRDefault="00FE0045" w:rsidP="009F3AF8">
            <w:pPr>
              <w:jc w:val="left"/>
            </w:pPr>
            <w:r>
              <w:t>Hz</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i</w:t>
            </w:r>
            <w:r w:rsidRPr="00317B20">
              <w:rPr>
                <w:i/>
                <w:vertAlign w:val="subscript"/>
              </w:rPr>
              <w:t>m</w:t>
            </w:r>
          </w:p>
        </w:tc>
        <w:tc>
          <w:tcPr>
            <w:tcW w:w="6057" w:type="dxa"/>
            <w:tcMar>
              <w:left w:w="0" w:type="dxa"/>
              <w:right w:w="28" w:type="dxa"/>
            </w:tcMar>
          </w:tcPr>
          <w:p w:rsidR="00FE0045" w:rsidRPr="00317B20" w:rsidRDefault="00FE0045" w:rsidP="00D80DBD">
            <w:pPr>
              <w:jc w:val="left"/>
            </w:pPr>
            <w:r w:rsidRPr="00317B20">
              <w:t>Nombre d'appels de classe</w:t>
            </w:r>
            <w:r w:rsidRPr="00317B20">
              <w:rPr>
                <w:i/>
              </w:rPr>
              <w:t xml:space="preserve"> m </w:t>
            </w:r>
            <w:r w:rsidRPr="00317B20">
              <w:t xml:space="preserve">utilisant des canaux à l'instant considéré dans le calcul de la capacité en mode circuit </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673538" w:rsidRDefault="00FE0045" w:rsidP="0022031F">
            <w:pPr>
              <w:rPr>
                <w:b/>
                <w:i/>
              </w:rPr>
            </w:pPr>
            <w:r>
              <w:rPr>
                <w:b/>
                <w:i/>
              </w:rPr>
              <w:t>i</w:t>
            </w:r>
          </w:p>
        </w:tc>
        <w:tc>
          <w:tcPr>
            <w:tcW w:w="6057" w:type="dxa"/>
            <w:tcMar>
              <w:left w:w="0" w:type="dxa"/>
              <w:right w:w="28" w:type="dxa"/>
            </w:tcMar>
          </w:tcPr>
          <w:p w:rsidR="00FE0045" w:rsidRPr="00317B20" w:rsidRDefault="00FE0045" w:rsidP="00D80DBD">
            <w:pPr>
              <w:jc w:val="left"/>
            </w:pPr>
            <w:r w:rsidRPr="00317B20">
              <w:t>Vecteur de l'état du système dans le calcul de la capacité en mode circuit</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J</w:t>
            </w:r>
            <w:r w:rsidRPr="00317B20">
              <w:rPr>
                <w:i/>
                <w:vertAlign w:val="subscript"/>
              </w:rPr>
              <w:t>m</w:t>
            </w:r>
          </w:p>
        </w:tc>
        <w:tc>
          <w:tcPr>
            <w:tcW w:w="6057" w:type="dxa"/>
            <w:tcMar>
              <w:left w:w="0" w:type="dxa"/>
              <w:right w:w="28" w:type="dxa"/>
            </w:tcMar>
          </w:tcPr>
          <w:p w:rsidR="00FE0045" w:rsidRPr="00317B20" w:rsidRDefault="00FE0045" w:rsidP="00D80DBD">
            <w:pPr>
              <w:jc w:val="left"/>
            </w:pPr>
            <w:r w:rsidRPr="00317B20">
              <w:t>Paramètre utilisé pour établir la correspondance entre les catégories de mobilité</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bCs/>
                <w:i/>
              </w:rPr>
            </w:pPr>
            <w:r w:rsidRPr="00317B20">
              <w:rPr>
                <w:bCs/>
                <w:i/>
              </w:rPr>
              <w:t>k</w:t>
            </w:r>
          </w:p>
        </w:tc>
        <w:tc>
          <w:tcPr>
            <w:tcW w:w="6057" w:type="dxa"/>
            <w:tcMar>
              <w:left w:w="0" w:type="dxa"/>
              <w:right w:w="28" w:type="dxa"/>
            </w:tcMar>
          </w:tcPr>
          <w:p w:rsidR="00FE0045" w:rsidRPr="00317B20" w:rsidRDefault="00FE0045" w:rsidP="00D80DBD">
            <w:pPr>
              <w:jc w:val="left"/>
            </w:pPr>
            <w:r w:rsidRPr="00317B20">
              <w:t>Indice de canal dans le calcul de la capacité en mode circuit</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Pr>
                <w:i/>
              </w:rPr>
              <w:t>m</w:t>
            </w:r>
          </w:p>
        </w:tc>
        <w:tc>
          <w:tcPr>
            <w:tcW w:w="6057" w:type="dxa"/>
            <w:tcMar>
              <w:left w:w="0" w:type="dxa"/>
              <w:right w:w="28" w:type="dxa"/>
            </w:tcMar>
          </w:tcPr>
          <w:p w:rsidR="00FE0045" w:rsidRPr="00317B20" w:rsidRDefault="00FE0045" w:rsidP="00D80DBD">
            <w:pPr>
              <w:jc w:val="left"/>
            </w:pPr>
            <w:r w:rsidRPr="00317B20">
              <w:t>Indice représentant l'environnement de service</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MR_sm</w:t>
            </w:r>
            <w:r w:rsidRPr="00317B20">
              <w:rPr>
                <w:i/>
                <w:vertAlign w:val="subscript"/>
              </w:rPr>
              <w:t>m,t,n</w:t>
            </w:r>
          </w:p>
        </w:tc>
        <w:tc>
          <w:tcPr>
            <w:tcW w:w="6057" w:type="dxa"/>
            <w:tcMar>
              <w:left w:w="0" w:type="dxa"/>
              <w:right w:w="28" w:type="dxa"/>
            </w:tcMar>
          </w:tcPr>
          <w:p w:rsidR="00FE0045" w:rsidRPr="00317B20" w:rsidRDefault="00FE0045" w:rsidP="00D80DBD">
            <w:pPr>
              <w:jc w:val="left"/>
            </w:pPr>
            <w:r w:rsidRPr="00317B20">
              <w:t>Taux de mobilité stationnaire/piéton de la méthodologie pour une catégorie de service</w:t>
            </w:r>
            <w:r w:rsidRPr="00317B20">
              <w:rPr>
                <w:i/>
              </w:rPr>
              <w:t xml:space="preserve"> n </w:t>
            </w:r>
            <w:r w:rsidRPr="00317B20">
              <w:t>dans un environnement de service</w:t>
            </w:r>
            <w:r w:rsidRPr="00317B20">
              <w:rPr>
                <w:i/>
              </w:rPr>
              <w:t xml:space="preserve"> m </w:t>
            </w:r>
            <w:r w:rsidRPr="00317B20">
              <w:t xml:space="preserve">et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MR_lm</w:t>
            </w:r>
            <w:r w:rsidRPr="00317B20">
              <w:rPr>
                <w:i/>
                <w:vertAlign w:val="subscript"/>
              </w:rPr>
              <w:t>m,t,n</w:t>
            </w:r>
          </w:p>
        </w:tc>
        <w:tc>
          <w:tcPr>
            <w:tcW w:w="6057" w:type="dxa"/>
            <w:tcMar>
              <w:left w:w="0" w:type="dxa"/>
              <w:right w:w="28" w:type="dxa"/>
            </w:tcMar>
          </w:tcPr>
          <w:p w:rsidR="00FE0045" w:rsidRPr="00317B20" w:rsidRDefault="00FE0045" w:rsidP="00D80DBD">
            <w:pPr>
              <w:jc w:val="left"/>
            </w:pPr>
            <w:r w:rsidRPr="00317B20">
              <w:t>Taux de mobilité faible de la méthodologie pour une catégorie de service</w:t>
            </w:r>
            <w:r w:rsidRPr="00317B20">
              <w:rPr>
                <w:i/>
              </w:rPr>
              <w:t xml:space="preserve"> n </w:t>
            </w:r>
            <w:r w:rsidRPr="00317B20">
              <w:t>dans un environnement de service</w:t>
            </w:r>
            <w:r w:rsidRPr="00317B20">
              <w:rPr>
                <w:i/>
              </w:rPr>
              <w:t xml:space="preserve"> m </w:t>
            </w:r>
            <w:r w:rsidRPr="00317B20">
              <w:t>et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lang w:val="en-GB"/>
              </w:rPr>
            </w:pPr>
            <w:r w:rsidRPr="00317B20">
              <w:rPr>
                <w:i/>
                <w:lang w:val="en-GB"/>
              </w:rPr>
              <w:t>MR_hm</w:t>
            </w:r>
            <w:r w:rsidRPr="00317B20">
              <w:rPr>
                <w:i/>
                <w:vertAlign w:val="subscript"/>
                <w:lang w:val="en-GB"/>
              </w:rPr>
              <w:t>m,t,n</w:t>
            </w:r>
          </w:p>
        </w:tc>
        <w:tc>
          <w:tcPr>
            <w:tcW w:w="6057" w:type="dxa"/>
            <w:tcMar>
              <w:left w:w="0" w:type="dxa"/>
              <w:right w:w="28" w:type="dxa"/>
            </w:tcMar>
          </w:tcPr>
          <w:p w:rsidR="00FE0045" w:rsidRPr="00317B20" w:rsidRDefault="00FE0045" w:rsidP="00D80DBD">
            <w:pPr>
              <w:jc w:val="left"/>
            </w:pPr>
            <w:r w:rsidRPr="00317B20">
              <w:t>Taux de mobilité élevé de la méthodologie pour une catégorie de service</w:t>
            </w:r>
            <w:r w:rsidRPr="00317B20">
              <w:rPr>
                <w:i/>
              </w:rPr>
              <w:t xml:space="preserve"> n </w:t>
            </w:r>
            <w:r w:rsidRPr="00317B20">
              <w:t>dans un environnement de service</w:t>
            </w:r>
            <w:r w:rsidRPr="00317B20">
              <w:rPr>
                <w:i/>
              </w:rPr>
              <w:t xml:space="preserve"> m </w:t>
            </w:r>
            <w:r w:rsidRPr="00317B20">
              <w:t>et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MR_market</w:t>
            </w:r>
            <w:r w:rsidRPr="00317B20">
              <w:rPr>
                <w:i/>
                <w:vertAlign w:val="subscript"/>
              </w:rPr>
              <w:t>m,s</w:t>
            </w:r>
          </w:p>
        </w:tc>
        <w:tc>
          <w:tcPr>
            <w:tcW w:w="6057" w:type="dxa"/>
            <w:tcMar>
              <w:left w:w="0" w:type="dxa"/>
              <w:right w:w="28" w:type="dxa"/>
            </w:tcMar>
          </w:tcPr>
          <w:p w:rsidR="00FE0045" w:rsidRPr="00317B20" w:rsidRDefault="00FE0045" w:rsidP="00D80DBD">
            <w:pPr>
              <w:jc w:val="left"/>
            </w:pPr>
            <w:r w:rsidRPr="00317B20">
              <w:t>Taux de mobilité résultant de l'étude de marché pour un service</w:t>
            </w:r>
            <w:r w:rsidRPr="00317B20">
              <w:rPr>
                <w:i/>
              </w:rPr>
              <w:t xml:space="preserve"> s </w:t>
            </w:r>
            <w:r w:rsidRPr="00317B20">
              <w:t>dans un environnement de service</w:t>
            </w:r>
            <w:r w:rsidRPr="00317B20">
              <w:rPr>
                <w:i/>
              </w:rPr>
              <w:t xml:space="preserve"> m </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MR_market</w:t>
            </w:r>
            <w:r w:rsidRPr="00317B20">
              <w:rPr>
                <w:i/>
                <w:vertAlign w:val="subscript"/>
              </w:rPr>
              <w:t>m,t,n</w:t>
            </w:r>
          </w:p>
        </w:tc>
        <w:tc>
          <w:tcPr>
            <w:tcW w:w="6057" w:type="dxa"/>
            <w:tcMar>
              <w:left w:w="0" w:type="dxa"/>
              <w:right w:w="28" w:type="dxa"/>
            </w:tcMar>
          </w:tcPr>
          <w:p w:rsidR="00FE0045" w:rsidRPr="00317B20" w:rsidRDefault="00FE0045" w:rsidP="00D80DBD">
            <w:pPr>
              <w:jc w:val="left"/>
            </w:pPr>
            <w:r w:rsidRPr="00317B20">
              <w:t>Taux de mobilité résultant de l'étude de marché pour une catégorie de service</w:t>
            </w:r>
            <w:r w:rsidRPr="00317B20">
              <w:rPr>
                <w:i/>
              </w:rPr>
              <w:t xml:space="preserve"> n </w:t>
            </w:r>
            <w:r w:rsidRPr="00317B20">
              <w:t>dans un environnement de service</w:t>
            </w:r>
            <w:r w:rsidRPr="00317B20">
              <w:rPr>
                <w:i/>
              </w:rPr>
              <w:t xml:space="preserve"> m </w:t>
            </w:r>
            <w:r w:rsidRPr="00317B20">
              <w:t>et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lang w:val="en-US"/>
              </w:rPr>
            </w:pPr>
            <w:r w:rsidRPr="00317B20">
              <w:rPr>
                <w:i/>
                <w:lang w:val="en-US"/>
              </w:rPr>
              <w:t>MR-market_sm</w:t>
            </w:r>
            <w:r w:rsidRPr="00317B20">
              <w:rPr>
                <w:i/>
                <w:vertAlign w:val="subscript"/>
                <w:lang w:val="en-US"/>
              </w:rPr>
              <w:t>m,t,n</w:t>
            </w:r>
          </w:p>
        </w:tc>
        <w:tc>
          <w:tcPr>
            <w:tcW w:w="6057" w:type="dxa"/>
            <w:tcMar>
              <w:left w:w="0" w:type="dxa"/>
              <w:right w:w="28" w:type="dxa"/>
            </w:tcMar>
          </w:tcPr>
          <w:p w:rsidR="00FE0045" w:rsidRPr="00317B20" w:rsidRDefault="00FE0045" w:rsidP="00D80DBD">
            <w:pPr>
              <w:jc w:val="left"/>
            </w:pPr>
            <w:r w:rsidRPr="00317B20">
              <w:t>Taux de mobilité stationnaire résultant de l'étude de marché pour une catégorie de service</w:t>
            </w:r>
            <w:r w:rsidRPr="00317B20">
              <w:rPr>
                <w:i/>
              </w:rPr>
              <w:t xml:space="preserve"> n </w:t>
            </w:r>
            <w:r w:rsidRPr="00317B20">
              <w:t>dans un environnement de service</w:t>
            </w:r>
            <w:r w:rsidRPr="00317B20">
              <w:rPr>
                <w:i/>
              </w:rPr>
              <w:t xml:space="preserve"> m </w:t>
            </w:r>
            <w:r w:rsidRPr="00317B20">
              <w:t xml:space="preserve">et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FB430B">
            <w:pPr>
              <w:keepNext/>
              <w:keepLines/>
              <w:rPr>
                <w:i/>
                <w:lang w:val="en-GB"/>
              </w:rPr>
            </w:pPr>
            <w:r w:rsidRPr="00317B20">
              <w:rPr>
                <w:i/>
                <w:lang w:val="en-GB"/>
              </w:rPr>
              <w:t>MR-market_lm</w:t>
            </w:r>
            <w:r w:rsidRPr="00317B20">
              <w:rPr>
                <w:i/>
                <w:vertAlign w:val="subscript"/>
                <w:lang w:val="en-GB"/>
              </w:rPr>
              <w:t>m,t,n</w:t>
            </w:r>
          </w:p>
        </w:tc>
        <w:tc>
          <w:tcPr>
            <w:tcW w:w="6057" w:type="dxa"/>
            <w:tcMar>
              <w:left w:w="0" w:type="dxa"/>
              <w:right w:w="28" w:type="dxa"/>
            </w:tcMar>
          </w:tcPr>
          <w:p w:rsidR="00FE0045" w:rsidRPr="00317B20" w:rsidRDefault="00FE0045" w:rsidP="00FB430B">
            <w:pPr>
              <w:keepNext/>
              <w:keepLines/>
              <w:jc w:val="left"/>
            </w:pPr>
            <w:r w:rsidRPr="00317B20">
              <w:t>Taux de m</w:t>
            </w:r>
            <w:bookmarkStart w:id="3" w:name="_GoBack"/>
            <w:bookmarkEnd w:id="3"/>
            <w:r w:rsidRPr="00317B20">
              <w:t xml:space="preserve">obilité faible résultant de l'étude de marché pour </w:t>
            </w:r>
            <w:r w:rsidRPr="00317B20">
              <w:lastRenderedPageBreak/>
              <w:t>une catégorie de service</w:t>
            </w:r>
            <w:r w:rsidRPr="00317B20">
              <w:rPr>
                <w:i/>
              </w:rPr>
              <w:t xml:space="preserve"> n </w:t>
            </w:r>
            <w:r w:rsidRPr="00317B20">
              <w:t>dans un environnement de service</w:t>
            </w:r>
            <w:r w:rsidRPr="00317B20">
              <w:rPr>
                <w:i/>
              </w:rPr>
              <w:t xml:space="preserve"> m </w:t>
            </w:r>
            <w:r w:rsidRPr="00317B20">
              <w:t xml:space="preserve">et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lastRenderedPageBreak/>
              <w:t>%</w:t>
            </w:r>
          </w:p>
        </w:tc>
      </w:tr>
      <w:tr w:rsidR="00FE0045" w:rsidRPr="00317B20" w:rsidTr="00D80DBD">
        <w:tc>
          <w:tcPr>
            <w:tcW w:w="2165" w:type="dxa"/>
            <w:tcMar>
              <w:left w:w="0" w:type="dxa"/>
              <w:right w:w="28" w:type="dxa"/>
            </w:tcMar>
          </w:tcPr>
          <w:p w:rsidR="00FE0045" w:rsidRPr="00317B20" w:rsidRDefault="00FE0045" w:rsidP="0022031F">
            <w:pPr>
              <w:rPr>
                <w:i/>
                <w:lang w:val="en-GB"/>
              </w:rPr>
            </w:pPr>
            <w:r w:rsidRPr="00317B20">
              <w:rPr>
                <w:i/>
                <w:lang w:val="en-GB"/>
              </w:rPr>
              <w:lastRenderedPageBreak/>
              <w:t>MR-market_hm</w:t>
            </w:r>
            <w:r w:rsidRPr="00317B20">
              <w:rPr>
                <w:i/>
                <w:vertAlign w:val="subscript"/>
                <w:lang w:val="en-GB"/>
              </w:rPr>
              <w:t>m,t,n</w:t>
            </w:r>
          </w:p>
        </w:tc>
        <w:tc>
          <w:tcPr>
            <w:tcW w:w="6057" w:type="dxa"/>
            <w:tcMar>
              <w:left w:w="0" w:type="dxa"/>
              <w:right w:w="28" w:type="dxa"/>
            </w:tcMar>
          </w:tcPr>
          <w:p w:rsidR="00FE0045" w:rsidRPr="00317B20" w:rsidRDefault="00FE0045" w:rsidP="00D80DBD">
            <w:pPr>
              <w:jc w:val="left"/>
            </w:pPr>
            <w:r w:rsidRPr="00317B20">
              <w:t>Taux de mobilité élevé résultant de l'étude de marché pour une catégorie de service</w:t>
            </w:r>
            <w:r w:rsidRPr="00317B20">
              <w:rPr>
                <w:i/>
              </w:rPr>
              <w:t xml:space="preserve"> n </w:t>
            </w:r>
            <w:r w:rsidRPr="00317B20">
              <w:t>dans un environnement de service</w:t>
            </w:r>
            <w:r w:rsidRPr="00317B20">
              <w:rPr>
                <w:i/>
              </w:rPr>
              <w:t xml:space="preserve"> m </w:t>
            </w:r>
            <w:r w:rsidRPr="00317B20">
              <w:t xml:space="preserve">et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lang w:val="en-GB"/>
              </w:rPr>
            </w:pPr>
            <w:r w:rsidRPr="00317B20">
              <w:rPr>
                <w:i/>
                <w:lang w:val="en-GB"/>
              </w:rPr>
              <w:t>MR_market_shm</w:t>
            </w:r>
            <w:r w:rsidRPr="00317B20">
              <w:rPr>
                <w:i/>
                <w:vertAlign w:val="subscript"/>
                <w:lang w:val="en-GB"/>
              </w:rPr>
              <w:t>m,t,n</w:t>
            </w:r>
          </w:p>
        </w:tc>
        <w:tc>
          <w:tcPr>
            <w:tcW w:w="6057" w:type="dxa"/>
            <w:tcMar>
              <w:left w:w="0" w:type="dxa"/>
              <w:right w:w="28" w:type="dxa"/>
            </w:tcMar>
          </w:tcPr>
          <w:p w:rsidR="00FE0045" w:rsidRPr="00317B20" w:rsidRDefault="00FE0045" w:rsidP="00D80DBD">
            <w:pPr>
              <w:jc w:val="left"/>
            </w:pPr>
            <w:r w:rsidRPr="00317B20">
              <w:t>Taux de mobilité très élevé résultant de l'étude de marché pour une catégorie de service</w:t>
            </w:r>
            <w:r w:rsidRPr="00317B20">
              <w:rPr>
                <w:i/>
              </w:rPr>
              <w:t xml:space="preserve"> n </w:t>
            </w:r>
            <w:r w:rsidRPr="00317B20">
              <w:t>dans un environnement de service</w:t>
            </w:r>
            <w:r w:rsidRPr="00317B20">
              <w:rPr>
                <w:i/>
              </w:rPr>
              <w:t xml:space="preserve"> m </w:t>
            </w:r>
            <w:r w:rsidRPr="00317B20">
              <w:t xml:space="preserve">et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MinSpec</w:t>
            </w:r>
            <w:r w:rsidRPr="00317B20">
              <w:rPr>
                <w:i/>
                <w:vertAlign w:val="subscript"/>
              </w:rPr>
              <w:t>rat,p</w:t>
            </w:r>
          </w:p>
        </w:tc>
        <w:tc>
          <w:tcPr>
            <w:tcW w:w="6057" w:type="dxa"/>
            <w:tcMar>
              <w:left w:w="0" w:type="dxa"/>
              <w:right w:w="28" w:type="dxa"/>
            </w:tcMar>
          </w:tcPr>
          <w:p w:rsidR="00FE0045" w:rsidRPr="00317B20" w:rsidRDefault="00FE0045" w:rsidP="00D80DBD">
            <w:pPr>
              <w:jc w:val="left"/>
            </w:pPr>
            <w:r w:rsidRPr="00317B20">
              <w:t>Minimum par opérateur pour un RATG</w:t>
            </w:r>
            <w:r w:rsidRPr="00317B20">
              <w:rPr>
                <w:i/>
              </w:rPr>
              <w:t xml:space="preserve"> rat </w:t>
            </w:r>
            <w:r w:rsidRPr="00317B20">
              <w:t xml:space="preserve">dans un environnement radioélectrique </w:t>
            </w:r>
            <w:r w:rsidRPr="00317B20">
              <w:rPr>
                <w:i/>
              </w:rPr>
              <w:t>p</w:t>
            </w:r>
          </w:p>
        </w:tc>
        <w:tc>
          <w:tcPr>
            <w:tcW w:w="1417" w:type="dxa"/>
            <w:tcMar>
              <w:left w:w="85" w:type="dxa"/>
              <w:right w:w="28" w:type="dxa"/>
            </w:tcMar>
          </w:tcPr>
          <w:p w:rsidR="00FE0045" w:rsidRPr="00317B20" w:rsidRDefault="00FE0045" w:rsidP="009F3AF8">
            <w:pPr>
              <w:jc w:val="left"/>
            </w:pPr>
            <w:r w:rsidRPr="00317B20">
              <w:t>Hz</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n</w:t>
            </w:r>
          </w:p>
        </w:tc>
        <w:tc>
          <w:tcPr>
            <w:tcW w:w="6057" w:type="dxa"/>
            <w:tcMar>
              <w:left w:w="0" w:type="dxa"/>
              <w:right w:w="28" w:type="dxa"/>
            </w:tcMar>
          </w:tcPr>
          <w:p w:rsidR="00FE0045" w:rsidRPr="00317B20" w:rsidRDefault="00FE0045" w:rsidP="00D80DBD">
            <w:pPr>
              <w:jc w:val="left"/>
            </w:pPr>
            <w:r w:rsidRPr="00317B20">
              <w:t>Indice représentant la catégorie de service</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N</w:t>
            </w:r>
          </w:p>
        </w:tc>
        <w:tc>
          <w:tcPr>
            <w:tcW w:w="6057" w:type="dxa"/>
            <w:tcMar>
              <w:left w:w="0" w:type="dxa"/>
              <w:right w:w="28" w:type="dxa"/>
            </w:tcMar>
          </w:tcPr>
          <w:p w:rsidR="00FE0045" w:rsidRPr="00317B20" w:rsidRDefault="00FE0045" w:rsidP="00D80DBD">
            <w:pPr>
              <w:jc w:val="left"/>
            </w:pPr>
            <w:r w:rsidRPr="00317B20">
              <w:t>Nombre total de catégories de service</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N</w:t>
            </w:r>
            <w:r w:rsidRPr="00317B20">
              <w:rPr>
                <w:i/>
                <w:vertAlign w:val="subscript"/>
              </w:rPr>
              <w:t>cs</w:t>
            </w:r>
          </w:p>
        </w:tc>
        <w:tc>
          <w:tcPr>
            <w:tcW w:w="6057" w:type="dxa"/>
            <w:tcMar>
              <w:left w:w="0" w:type="dxa"/>
              <w:right w:w="28" w:type="dxa"/>
            </w:tcMar>
          </w:tcPr>
          <w:p w:rsidR="00FE0045" w:rsidRPr="00317B20" w:rsidRDefault="00FE0045" w:rsidP="00D80DBD">
            <w:pPr>
              <w:jc w:val="left"/>
            </w:pPr>
            <w:r w:rsidRPr="00317B20">
              <w:t>Nombre de catégories de service à commutation de circuits</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N</w:t>
            </w:r>
            <w:r w:rsidRPr="00317B20">
              <w:rPr>
                <w:i/>
                <w:vertAlign w:val="subscript"/>
              </w:rPr>
              <w:t>o</w:t>
            </w:r>
          </w:p>
        </w:tc>
        <w:tc>
          <w:tcPr>
            <w:tcW w:w="6057" w:type="dxa"/>
            <w:tcMar>
              <w:left w:w="0" w:type="dxa"/>
              <w:right w:w="28" w:type="dxa"/>
            </w:tcMar>
          </w:tcPr>
          <w:p w:rsidR="00FE0045" w:rsidRPr="00317B20" w:rsidRDefault="00FE0045" w:rsidP="00D80DBD">
            <w:pPr>
              <w:jc w:val="left"/>
            </w:pPr>
            <w:r w:rsidRPr="00317B20">
              <w:t>Nombre d'opérateurs</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N</w:t>
            </w:r>
            <w:r w:rsidRPr="00317B20">
              <w:rPr>
                <w:i/>
                <w:vertAlign w:val="subscript"/>
              </w:rPr>
              <w:t>ps</w:t>
            </w:r>
            <w:r>
              <w:rPr>
                <w:i/>
                <w:vertAlign w:val="subscript"/>
              </w:rPr>
              <w:sym w:font="Symbol" w:char="F0A2"/>
            </w:r>
          </w:p>
        </w:tc>
        <w:tc>
          <w:tcPr>
            <w:tcW w:w="6057" w:type="dxa"/>
            <w:tcMar>
              <w:left w:w="0" w:type="dxa"/>
              <w:right w:w="28" w:type="dxa"/>
            </w:tcMar>
          </w:tcPr>
          <w:p w:rsidR="00FE0045" w:rsidRPr="00317B20" w:rsidRDefault="00FE0045" w:rsidP="00D80DBD">
            <w:pPr>
              <w:jc w:val="left"/>
            </w:pPr>
            <w:r w:rsidRPr="00317B20">
              <w:t>Nombre de catégories de service à commutation par paquets</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p</w:t>
            </w:r>
          </w:p>
        </w:tc>
        <w:tc>
          <w:tcPr>
            <w:tcW w:w="6057" w:type="dxa"/>
            <w:tcMar>
              <w:left w:w="0" w:type="dxa"/>
              <w:right w:w="28" w:type="dxa"/>
            </w:tcMar>
          </w:tcPr>
          <w:p w:rsidR="00FE0045" w:rsidRPr="00317B20" w:rsidRDefault="00FE0045" w:rsidP="00D80DBD">
            <w:pPr>
              <w:jc w:val="left"/>
            </w:pPr>
            <w:r w:rsidRPr="00317B20">
              <w:t>Indice représentant l'environnement radioélectrique</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P</w:t>
            </w:r>
          </w:p>
        </w:tc>
        <w:tc>
          <w:tcPr>
            <w:tcW w:w="6057" w:type="dxa"/>
            <w:tcMar>
              <w:left w:w="0" w:type="dxa"/>
              <w:right w:w="28" w:type="dxa"/>
            </w:tcMar>
          </w:tcPr>
          <w:p w:rsidR="00FE0045" w:rsidRPr="00317B20" w:rsidRDefault="00FE0045" w:rsidP="00D80DBD">
            <w:pPr>
              <w:jc w:val="left"/>
            </w:pPr>
            <w:r w:rsidRPr="00317B20">
              <w:t>Fonction intermédiaire pour le calcul de la probabilité de blocage</w:t>
            </w:r>
          </w:p>
        </w:tc>
        <w:tc>
          <w:tcPr>
            <w:tcW w:w="1417" w:type="dxa"/>
            <w:tcMar>
              <w:left w:w="85" w:type="dxa"/>
              <w:right w:w="28" w:type="dxa"/>
            </w:tcMar>
          </w:tcPr>
          <w:p w:rsidR="00FE0045" w:rsidRPr="00317B20" w:rsidRDefault="00FE0045" w:rsidP="009F3AF8">
            <w:pPr>
              <w:jc w:val="left"/>
            </w:pP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P</w:t>
            </w:r>
            <w:r w:rsidRPr="00317B20">
              <w:rPr>
                <w:i/>
                <w:vertAlign w:val="subscript"/>
              </w:rPr>
              <w:t>m,t,n,rat,p</w:t>
            </w:r>
          </w:p>
        </w:tc>
        <w:tc>
          <w:tcPr>
            <w:tcW w:w="6057" w:type="dxa"/>
            <w:tcMar>
              <w:left w:w="0" w:type="dxa"/>
              <w:right w:w="28" w:type="dxa"/>
            </w:tcMar>
          </w:tcPr>
          <w:p w:rsidR="00FE0045" w:rsidRPr="00317B20" w:rsidRDefault="00FE0045" w:rsidP="00D80DBD">
            <w:pPr>
              <w:jc w:val="left"/>
            </w:pPr>
            <w:r w:rsidRPr="00317B20">
              <w:t xml:space="preserve">Taux d'arrivée des sessions par unité de surface pour une catégorie de service </w:t>
            </w:r>
            <w:r w:rsidRPr="00317B20">
              <w:rPr>
                <w:i/>
              </w:rPr>
              <w:t>n</w:t>
            </w:r>
            <w:r w:rsidRPr="00317B20">
              <w:t>, dans un environnement de service</w:t>
            </w:r>
            <w:r w:rsidRPr="00317B20">
              <w:rPr>
                <w:i/>
              </w:rPr>
              <w:t xml:space="preserve"> m </w:t>
            </w:r>
            <w:r w:rsidRPr="00317B20">
              <w:t>et un intervalle de temps</w:t>
            </w:r>
            <w:r w:rsidRPr="00317B20">
              <w:rPr>
                <w:i/>
              </w:rPr>
              <w:t xml:space="preserve"> t </w:t>
            </w:r>
            <w:r w:rsidRPr="00317B20">
              <w:t>pour un RATG</w:t>
            </w:r>
            <w:r w:rsidRPr="00317B20">
              <w:rPr>
                <w:i/>
              </w:rPr>
              <w:t xml:space="preserve"> rat </w:t>
            </w:r>
            <w:r w:rsidRPr="00317B20">
              <w:t xml:space="preserve">dans un environnement radioélectrique </w:t>
            </w:r>
            <w:r w:rsidRPr="00317B20">
              <w:rPr>
                <w:i/>
              </w:rPr>
              <w:t>p</w:t>
            </w:r>
          </w:p>
        </w:tc>
        <w:tc>
          <w:tcPr>
            <w:tcW w:w="1417" w:type="dxa"/>
            <w:tcMar>
              <w:left w:w="85" w:type="dxa"/>
              <w:right w:w="28" w:type="dxa"/>
            </w:tcMar>
          </w:tcPr>
          <w:p w:rsidR="00FE0045" w:rsidRPr="00317B20" w:rsidRDefault="00FE0045" w:rsidP="009F3AF8">
            <w:pPr>
              <w:jc w:val="left"/>
            </w:pPr>
            <w:r w:rsidRPr="00317B20">
              <w:t>Arrivées de sessions/s/</w:t>
            </w:r>
            <w:r w:rsidR="009F3AF8">
              <w:br/>
            </w:r>
            <w:r w:rsidRPr="00317B20">
              <w:t>km</w:t>
            </w:r>
            <w:r w:rsidRPr="00317B20">
              <w:rPr>
                <w:vertAlign w:val="superscript"/>
              </w:rPr>
              <w:t>2</w:t>
            </w:r>
          </w:p>
        </w:tc>
      </w:tr>
      <w:tr w:rsidR="00FE0045" w:rsidRPr="00317B20" w:rsidTr="00D80DBD">
        <w:tc>
          <w:tcPr>
            <w:tcW w:w="2165" w:type="dxa"/>
            <w:tcMar>
              <w:left w:w="0" w:type="dxa"/>
              <w:right w:w="28" w:type="dxa"/>
            </w:tcMar>
          </w:tcPr>
          <w:p w:rsidR="00FE0045" w:rsidRPr="00317B20" w:rsidRDefault="00FE0045" w:rsidP="0022031F">
            <w:pPr>
              <w:rPr>
                <w:i/>
              </w:rPr>
            </w:pPr>
            <w:r w:rsidRPr="00F62C64">
              <w:rPr>
                <w:position w:val="-14"/>
              </w:rPr>
              <w:object w:dxaOrig="1020" w:dyaOrig="380">
                <v:shape id="_x0000_i1070" type="#_x0000_t75" style="width:51.15pt;height:19.05pt" o:ole="">
                  <v:imagedata r:id="rId103" o:title=""/>
                </v:shape>
                <o:OLEObject Type="Embed" ProgID="Equation.3" ShapeID="_x0000_i1070" DrawAspect="Content" ObjectID="_1459064111" r:id="rId104"/>
              </w:object>
            </w:r>
          </w:p>
        </w:tc>
        <w:tc>
          <w:tcPr>
            <w:tcW w:w="6057" w:type="dxa"/>
            <w:tcMar>
              <w:left w:w="0" w:type="dxa"/>
              <w:right w:w="28" w:type="dxa"/>
            </w:tcMar>
          </w:tcPr>
          <w:p w:rsidR="00FE0045" w:rsidRPr="00317B20" w:rsidRDefault="00FE0045" w:rsidP="00D80DBD">
            <w:pPr>
              <w:jc w:val="left"/>
            </w:pPr>
            <w:r w:rsidRPr="00317B20">
              <w:t xml:space="preserve">Taux d'arrivée des sessions par cellule pour une catégorie de service </w:t>
            </w:r>
            <w:r w:rsidRPr="00317B20">
              <w:rPr>
                <w:i/>
              </w:rPr>
              <w:t>n</w:t>
            </w:r>
            <w:r w:rsidRPr="00317B20">
              <w:t>, dans un environnement de service</w:t>
            </w:r>
            <w:r w:rsidRPr="00317B20">
              <w:rPr>
                <w:i/>
              </w:rPr>
              <w:t xml:space="preserve"> m </w:t>
            </w:r>
            <w:r w:rsidRPr="00317B20">
              <w:t>et un intervalle de temps</w:t>
            </w:r>
            <w:r w:rsidRPr="00317B20">
              <w:rPr>
                <w:i/>
              </w:rPr>
              <w:t xml:space="preserve"> t </w:t>
            </w:r>
            <w:r w:rsidRPr="00317B20">
              <w:t>pour un RATG</w:t>
            </w:r>
            <w:r w:rsidRPr="00317B20">
              <w:rPr>
                <w:i/>
              </w:rPr>
              <w:t xml:space="preserve"> rat </w:t>
            </w:r>
            <w:r w:rsidRPr="00317B20">
              <w:t>dans un environnement radioélectrique </w:t>
            </w:r>
            <w:r w:rsidRPr="00317B20">
              <w:rPr>
                <w:i/>
              </w:rPr>
              <w:t>p</w:t>
            </w:r>
          </w:p>
        </w:tc>
        <w:tc>
          <w:tcPr>
            <w:tcW w:w="1417" w:type="dxa"/>
            <w:tcMar>
              <w:left w:w="85" w:type="dxa"/>
              <w:right w:w="28" w:type="dxa"/>
            </w:tcMar>
          </w:tcPr>
          <w:p w:rsidR="00FE0045" w:rsidRPr="00317B20" w:rsidRDefault="00FE0045" w:rsidP="009F3AF8">
            <w:pPr>
              <w:jc w:val="left"/>
            </w:pPr>
            <w:r w:rsidRPr="00317B20">
              <w:t>Arrivées de sessions/s/</w:t>
            </w:r>
            <w:r>
              <w:t xml:space="preserve"> </w:t>
            </w:r>
            <w:r w:rsidRPr="00317B20">
              <w:t>cellule</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Q</w:t>
            </w:r>
            <w:r w:rsidRPr="00317B20">
              <w:rPr>
                <w:i/>
                <w:vertAlign w:val="subscript"/>
              </w:rPr>
              <w:t>m,t,s</w:t>
            </w:r>
          </w:p>
        </w:tc>
        <w:tc>
          <w:tcPr>
            <w:tcW w:w="6057" w:type="dxa"/>
            <w:tcMar>
              <w:left w:w="0" w:type="dxa"/>
              <w:right w:w="28" w:type="dxa"/>
            </w:tcMar>
          </w:tcPr>
          <w:p w:rsidR="00FE0045" w:rsidRPr="00317B20" w:rsidRDefault="00FE0045" w:rsidP="00D80DBD">
            <w:pPr>
              <w:jc w:val="left"/>
            </w:pPr>
            <w:r w:rsidRPr="00317B20">
              <w:t>Taux d'arrivée des sessions par utilisateur pour un service</w:t>
            </w:r>
            <w:r w:rsidRPr="00317B20">
              <w:rPr>
                <w:i/>
              </w:rPr>
              <w:t xml:space="preserve"> s </w:t>
            </w:r>
            <w:r w:rsidRPr="00317B20">
              <w:t>dans un environnement de service</w:t>
            </w:r>
            <w:r w:rsidRPr="00317B20">
              <w:rPr>
                <w:i/>
              </w:rPr>
              <w:t xml:space="preserve"> m </w:t>
            </w:r>
            <w:r w:rsidRPr="00317B20">
              <w:t xml:space="preserve">et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t>Arrivées de sessions/s/</w:t>
            </w:r>
            <w:r>
              <w:t xml:space="preserve"> </w:t>
            </w:r>
            <w:r w:rsidRPr="00317B20">
              <w:t>utilisateur</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Q</w:t>
            </w:r>
            <w:r w:rsidRPr="00317B20">
              <w:rPr>
                <w:i/>
                <w:vertAlign w:val="subscript"/>
              </w:rPr>
              <w:t>m,t,n</w:t>
            </w:r>
          </w:p>
        </w:tc>
        <w:tc>
          <w:tcPr>
            <w:tcW w:w="6057" w:type="dxa"/>
            <w:tcMar>
              <w:left w:w="0" w:type="dxa"/>
              <w:right w:w="28" w:type="dxa"/>
            </w:tcMar>
          </w:tcPr>
          <w:p w:rsidR="00FE0045" w:rsidRPr="00317B20" w:rsidRDefault="00FE0045" w:rsidP="00D80DBD">
            <w:pPr>
              <w:jc w:val="left"/>
            </w:pPr>
            <w:r w:rsidRPr="00317B20">
              <w:t>Taux d'arrivée des sessions par utilisateur pour une catégorie de service</w:t>
            </w:r>
            <w:r w:rsidRPr="00317B20">
              <w:rPr>
                <w:i/>
              </w:rPr>
              <w:t xml:space="preserve"> n </w:t>
            </w:r>
            <w:r w:rsidRPr="00317B20">
              <w:t>dans un environnement de service</w:t>
            </w:r>
            <w:r w:rsidRPr="00317B20">
              <w:rPr>
                <w:i/>
              </w:rPr>
              <w:t xml:space="preserve"> m </w:t>
            </w:r>
            <w:r w:rsidRPr="00317B20">
              <w:t xml:space="preserve">et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t>Arrivées de sessions/s/</w:t>
            </w:r>
            <w:r>
              <w:t xml:space="preserve"> </w:t>
            </w:r>
            <w:r w:rsidRPr="00317B20">
              <w:t>utilisateur</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r</w:t>
            </w:r>
          </w:p>
        </w:tc>
        <w:tc>
          <w:tcPr>
            <w:tcW w:w="6057" w:type="dxa"/>
            <w:tcMar>
              <w:left w:w="0" w:type="dxa"/>
              <w:right w:w="28" w:type="dxa"/>
            </w:tcMar>
          </w:tcPr>
          <w:p w:rsidR="00FE0045" w:rsidRPr="00317B20" w:rsidRDefault="00FE0045" w:rsidP="00D80DBD">
            <w:pPr>
              <w:jc w:val="left"/>
            </w:pPr>
            <w:r w:rsidRPr="00317B20">
              <w:t xml:space="preserve">Débit de données des unités dans le calcul de la capacité pour le trafic à commutation de circuits </w:t>
            </w:r>
          </w:p>
        </w:tc>
        <w:tc>
          <w:tcPr>
            <w:tcW w:w="1417" w:type="dxa"/>
            <w:tcMar>
              <w:left w:w="85" w:type="dxa"/>
              <w:right w:w="28" w:type="dxa"/>
            </w:tcMar>
          </w:tcPr>
          <w:p w:rsidR="00FE0045" w:rsidRPr="00317B20" w:rsidRDefault="00FE0045" w:rsidP="009F3AF8">
            <w:pPr>
              <w:jc w:val="left"/>
            </w:pPr>
            <w:r w:rsidRPr="00317B20">
              <w:t>bit/s</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r</w:t>
            </w:r>
            <w:r w:rsidRPr="00317B20">
              <w:rPr>
                <w:i/>
                <w:vertAlign w:val="subscript"/>
              </w:rPr>
              <w:t>d,t,n,rat,p</w:t>
            </w:r>
          </w:p>
        </w:tc>
        <w:tc>
          <w:tcPr>
            <w:tcW w:w="6057" w:type="dxa"/>
            <w:tcMar>
              <w:left w:w="0" w:type="dxa"/>
              <w:right w:w="28" w:type="dxa"/>
            </w:tcMar>
          </w:tcPr>
          <w:p w:rsidR="00FE0045" w:rsidRPr="00317B20" w:rsidRDefault="00FE0045" w:rsidP="00D80DBD">
            <w:pPr>
              <w:jc w:val="left"/>
            </w:pPr>
            <w:r w:rsidRPr="00317B20">
              <w:t>Débit binaire moyen du service de la catégorie</w:t>
            </w:r>
            <w:r w:rsidRPr="00317B20">
              <w:rPr>
                <w:i/>
              </w:rPr>
              <w:t xml:space="preserve"> n </w:t>
            </w:r>
            <w:r w:rsidRPr="00317B20">
              <w:t>pour une télédensité </w:t>
            </w:r>
            <w:r w:rsidRPr="00317B20">
              <w:rPr>
                <w:i/>
              </w:rPr>
              <w:t>d</w:t>
            </w:r>
            <w:r w:rsidRPr="00317B20">
              <w:t>, un intervalle de temps</w:t>
            </w:r>
            <w:r w:rsidRPr="00317B20">
              <w:rPr>
                <w:i/>
              </w:rPr>
              <w:t xml:space="preserve"> t </w:t>
            </w:r>
            <w:r w:rsidRPr="00317B20">
              <w:t>et un RATG</w:t>
            </w:r>
            <w:r w:rsidRPr="00317B20">
              <w:rPr>
                <w:i/>
              </w:rPr>
              <w:t xml:space="preserve"> rat </w:t>
            </w:r>
            <w:r w:rsidRPr="00317B20">
              <w:t xml:space="preserve">dans un environnement radioélectrique </w:t>
            </w:r>
            <w:r w:rsidRPr="00317B20">
              <w:rPr>
                <w:i/>
              </w:rPr>
              <w:t>p</w:t>
            </w:r>
          </w:p>
        </w:tc>
        <w:tc>
          <w:tcPr>
            <w:tcW w:w="1417" w:type="dxa"/>
            <w:tcMar>
              <w:left w:w="85" w:type="dxa"/>
              <w:right w:w="28" w:type="dxa"/>
            </w:tcMar>
          </w:tcPr>
          <w:p w:rsidR="00FE0045" w:rsidRPr="00317B20" w:rsidRDefault="00FE0045" w:rsidP="009F3AF8">
            <w:pPr>
              <w:jc w:val="left"/>
            </w:pPr>
            <w:r w:rsidRPr="00317B20">
              <w:t>bit/s</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r</w:t>
            </w:r>
            <w:r w:rsidRPr="00317B20">
              <w:rPr>
                <w:i/>
                <w:vertAlign w:val="subscript"/>
              </w:rPr>
              <w:t>m,t,n</w:t>
            </w:r>
          </w:p>
        </w:tc>
        <w:tc>
          <w:tcPr>
            <w:tcW w:w="6057" w:type="dxa"/>
            <w:tcMar>
              <w:left w:w="0" w:type="dxa"/>
              <w:right w:w="28" w:type="dxa"/>
            </w:tcMar>
          </w:tcPr>
          <w:p w:rsidR="00FE0045" w:rsidRPr="00317B20" w:rsidRDefault="00FE0045" w:rsidP="00D80DBD">
            <w:pPr>
              <w:jc w:val="left"/>
            </w:pPr>
            <w:r w:rsidRPr="00317B20">
              <w:t>Débit binaire moyen du service de la catégorie</w:t>
            </w:r>
            <w:r w:rsidRPr="00317B20">
              <w:rPr>
                <w:i/>
              </w:rPr>
              <w:t xml:space="preserve"> n </w:t>
            </w:r>
            <w:r w:rsidRPr="00317B20">
              <w:t>dans un environnement de service</w:t>
            </w:r>
            <w:r w:rsidRPr="00317B20">
              <w:rPr>
                <w:i/>
              </w:rPr>
              <w:t xml:space="preserve"> m </w:t>
            </w:r>
            <w:r w:rsidRPr="00317B20">
              <w:t xml:space="preserve">et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t>bit/s</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r</w:t>
            </w:r>
            <w:r w:rsidRPr="00317B20">
              <w:rPr>
                <w:i/>
                <w:vertAlign w:val="subscript"/>
              </w:rPr>
              <w:t>m,t,s</w:t>
            </w:r>
          </w:p>
        </w:tc>
        <w:tc>
          <w:tcPr>
            <w:tcW w:w="6057" w:type="dxa"/>
            <w:tcMar>
              <w:left w:w="0" w:type="dxa"/>
              <w:right w:w="28" w:type="dxa"/>
            </w:tcMar>
          </w:tcPr>
          <w:p w:rsidR="00FE0045" w:rsidRPr="00317B20" w:rsidRDefault="00FE0045" w:rsidP="00D80DBD">
            <w:pPr>
              <w:jc w:val="left"/>
            </w:pPr>
            <w:r w:rsidRPr="00317B20">
              <w:t>Débit binaire moyen du service</w:t>
            </w:r>
            <w:r w:rsidRPr="00317B20">
              <w:rPr>
                <w:i/>
              </w:rPr>
              <w:t xml:space="preserve"> n </w:t>
            </w:r>
            <w:r w:rsidRPr="00317B20">
              <w:t>dans un environnement de service </w:t>
            </w:r>
            <w:r w:rsidRPr="00317B20">
              <w:rPr>
                <w:i/>
              </w:rPr>
              <w:t>m</w:t>
            </w:r>
          </w:p>
        </w:tc>
        <w:tc>
          <w:tcPr>
            <w:tcW w:w="1417" w:type="dxa"/>
            <w:tcMar>
              <w:left w:w="85" w:type="dxa"/>
              <w:right w:w="28" w:type="dxa"/>
            </w:tcMar>
          </w:tcPr>
          <w:p w:rsidR="00FE0045" w:rsidRPr="00317B20" w:rsidRDefault="00FE0045" w:rsidP="009F3AF8">
            <w:pPr>
              <w:jc w:val="left"/>
            </w:pPr>
            <w:r w:rsidRPr="00317B20">
              <w:t>bit/s</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rat</w:t>
            </w:r>
          </w:p>
        </w:tc>
        <w:tc>
          <w:tcPr>
            <w:tcW w:w="6057" w:type="dxa"/>
            <w:tcMar>
              <w:left w:w="0" w:type="dxa"/>
              <w:right w:w="28" w:type="dxa"/>
            </w:tcMar>
          </w:tcPr>
          <w:p w:rsidR="00FE0045" w:rsidRPr="00317B20" w:rsidRDefault="00FE0045" w:rsidP="00D80DBD">
            <w:pPr>
              <w:jc w:val="left"/>
            </w:pPr>
            <w:r w:rsidRPr="00317B20">
              <w:t>Indice représentant le groupe de techniques d'accès radioélectrique</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lastRenderedPageBreak/>
              <w:t>s</w:t>
            </w:r>
          </w:p>
        </w:tc>
        <w:tc>
          <w:tcPr>
            <w:tcW w:w="6057" w:type="dxa"/>
            <w:tcMar>
              <w:left w:w="0" w:type="dxa"/>
              <w:right w:w="28" w:type="dxa"/>
            </w:tcMar>
          </w:tcPr>
          <w:p w:rsidR="00FE0045" w:rsidRPr="00317B20" w:rsidRDefault="00FE0045" w:rsidP="00D80DBD">
            <w:pPr>
              <w:jc w:val="left"/>
            </w:pPr>
            <w:r w:rsidRPr="00317B20">
              <w:t>Indice représentant le service</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s</w:t>
            </w:r>
            <w:r w:rsidRPr="00317B20">
              <w:rPr>
                <w:i/>
                <w:vertAlign w:val="subscript"/>
              </w:rPr>
              <w:t>n</w:t>
            </w:r>
          </w:p>
        </w:tc>
        <w:tc>
          <w:tcPr>
            <w:tcW w:w="6057" w:type="dxa"/>
            <w:tcMar>
              <w:left w:w="0" w:type="dxa"/>
              <w:right w:w="28" w:type="dxa"/>
            </w:tcMar>
          </w:tcPr>
          <w:p w:rsidR="00FE0045" w:rsidRPr="00317B20" w:rsidRDefault="00FE0045" w:rsidP="00D80DBD">
            <w:pPr>
              <w:jc w:val="left"/>
            </w:pPr>
            <w:r w:rsidRPr="00317B20">
              <w:t xml:space="preserve">Moyenne de la distribution des tailles de paquets pour une catégorie de service </w:t>
            </w:r>
            <w:r w:rsidRPr="00317B20">
              <w:rPr>
                <w:i/>
              </w:rPr>
              <w:t>n</w:t>
            </w:r>
          </w:p>
        </w:tc>
        <w:tc>
          <w:tcPr>
            <w:tcW w:w="1417" w:type="dxa"/>
            <w:tcMar>
              <w:left w:w="85" w:type="dxa"/>
              <w:right w:w="28" w:type="dxa"/>
            </w:tcMar>
          </w:tcPr>
          <w:p w:rsidR="00FE0045" w:rsidRPr="00317B20" w:rsidRDefault="00FE0045" w:rsidP="009F3AF8">
            <w:pPr>
              <w:jc w:val="left"/>
            </w:pPr>
            <w:r w:rsidRPr="00317B20">
              <w:t>bit/paquet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s</w:t>
            </w:r>
            <w:r w:rsidRPr="00317B20">
              <w:rPr>
                <w:i/>
                <w:vertAlign w:val="subscript"/>
              </w:rPr>
              <w:t>n</w:t>
            </w:r>
            <w:r w:rsidRPr="00317B20">
              <w:rPr>
                <w:i/>
                <w:vertAlign w:val="superscript"/>
              </w:rPr>
              <w:t>(2)</w:t>
            </w:r>
          </w:p>
        </w:tc>
        <w:tc>
          <w:tcPr>
            <w:tcW w:w="6057" w:type="dxa"/>
            <w:tcMar>
              <w:left w:w="0" w:type="dxa"/>
              <w:right w:w="28" w:type="dxa"/>
            </w:tcMar>
          </w:tcPr>
          <w:p w:rsidR="00FE0045" w:rsidRPr="00317B20" w:rsidRDefault="00FE0045" w:rsidP="00D80DBD">
            <w:pPr>
              <w:jc w:val="left"/>
            </w:pPr>
            <w:r w:rsidRPr="00317B20">
              <w:t xml:space="preserve">Moment du second ordre de la distribution des tailles de paquets pour une catégorie de service </w:t>
            </w:r>
            <w:r w:rsidRPr="00317B20">
              <w:rPr>
                <w:i/>
              </w:rPr>
              <w:t>n</w:t>
            </w:r>
          </w:p>
        </w:tc>
        <w:tc>
          <w:tcPr>
            <w:tcW w:w="1417" w:type="dxa"/>
            <w:tcMar>
              <w:left w:w="85" w:type="dxa"/>
              <w:right w:w="28" w:type="dxa"/>
            </w:tcMar>
          </w:tcPr>
          <w:p w:rsidR="00FE0045" w:rsidRPr="00317B20" w:rsidRDefault="00FE0045" w:rsidP="009F3AF8">
            <w:pPr>
              <w:jc w:val="left"/>
            </w:pPr>
            <w:r w:rsidRPr="00317B20">
              <w:t>(bit/paquet)</w:t>
            </w:r>
            <w:r w:rsidRPr="00317B20">
              <w:rPr>
                <w:vertAlign w:val="superscript"/>
              </w:rPr>
              <w:t>2</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t</w:t>
            </w:r>
          </w:p>
        </w:tc>
        <w:tc>
          <w:tcPr>
            <w:tcW w:w="6057" w:type="dxa"/>
            <w:tcMar>
              <w:left w:w="0" w:type="dxa"/>
              <w:right w:w="28" w:type="dxa"/>
            </w:tcMar>
          </w:tcPr>
          <w:p w:rsidR="00FE0045" w:rsidRPr="00317B20" w:rsidRDefault="00FE0045" w:rsidP="00D80DBD">
            <w:pPr>
              <w:jc w:val="left"/>
            </w:pPr>
            <w:r w:rsidRPr="00317B20">
              <w:t>Indice de l'intervalle de temps</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T</w:t>
            </w:r>
            <w:r w:rsidRPr="00317B20">
              <w:rPr>
                <w:i/>
                <w:vertAlign w:val="subscript"/>
              </w:rPr>
              <w:t>d,t,n,rat,p</w:t>
            </w:r>
          </w:p>
        </w:tc>
        <w:tc>
          <w:tcPr>
            <w:tcW w:w="6057" w:type="dxa"/>
            <w:tcMar>
              <w:left w:w="0" w:type="dxa"/>
              <w:right w:w="28" w:type="dxa"/>
            </w:tcMar>
          </w:tcPr>
          <w:p w:rsidR="00FE0045" w:rsidRPr="00317B20" w:rsidRDefault="00FE0045" w:rsidP="00D80DBD">
            <w:pPr>
              <w:jc w:val="left"/>
            </w:pPr>
            <w:r w:rsidRPr="00317B20">
              <w:t xml:space="preserve">Volume total de trafic pour une catégorie de service </w:t>
            </w:r>
            <w:r w:rsidRPr="00317B20">
              <w:rPr>
                <w:i/>
              </w:rPr>
              <w:t>n</w:t>
            </w:r>
            <w:r w:rsidRPr="00317B20">
              <w:t>, une télédensité </w:t>
            </w:r>
            <w:r w:rsidRPr="00317B20">
              <w:rPr>
                <w:i/>
              </w:rPr>
              <w:t>d</w:t>
            </w:r>
            <w:r w:rsidRPr="00317B20">
              <w:t>, un intervalle de temps</w:t>
            </w:r>
            <w:r w:rsidRPr="00317B20">
              <w:rPr>
                <w:i/>
              </w:rPr>
              <w:t xml:space="preserve"> t </w:t>
            </w:r>
            <w:r w:rsidRPr="00317B20">
              <w:t>et un RATG</w:t>
            </w:r>
            <w:r w:rsidRPr="00317B20">
              <w:rPr>
                <w:i/>
              </w:rPr>
              <w:t xml:space="preserve"> rat </w:t>
            </w:r>
            <w:r w:rsidRPr="00317B20">
              <w:t>dans un environnement radioélectrique</w:t>
            </w:r>
            <w:r w:rsidRPr="00317B20">
              <w:rPr>
                <w:i/>
              </w:rPr>
              <w:t xml:space="preserve"> p </w:t>
            </w:r>
          </w:p>
        </w:tc>
        <w:tc>
          <w:tcPr>
            <w:tcW w:w="1417" w:type="dxa"/>
            <w:tcMar>
              <w:left w:w="85" w:type="dxa"/>
              <w:right w:w="28" w:type="dxa"/>
            </w:tcMar>
          </w:tcPr>
          <w:p w:rsidR="00FE0045" w:rsidRPr="00317B20" w:rsidRDefault="00FE0045" w:rsidP="009F3AF8">
            <w:pPr>
              <w:jc w:val="left"/>
            </w:pPr>
            <w:r w:rsidRPr="00317B20">
              <w:t>bit/s/cellule</w:t>
            </w:r>
          </w:p>
        </w:tc>
      </w:tr>
      <w:tr w:rsidR="00FE0045" w:rsidRPr="00317B20" w:rsidTr="00D80DBD">
        <w:tc>
          <w:tcPr>
            <w:tcW w:w="2165" w:type="dxa"/>
            <w:tcMar>
              <w:left w:w="0" w:type="dxa"/>
              <w:right w:w="28" w:type="dxa"/>
            </w:tcMar>
          </w:tcPr>
          <w:p w:rsidR="00FE0045" w:rsidRPr="00317B20" w:rsidRDefault="00FE0045" w:rsidP="0022031F">
            <w:pPr>
              <w:rPr>
                <w:b/>
                <w:bCs/>
                <w:i/>
                <w:lang w:val="en-GB"/>
              </w:rPr>
            </w:pPr>
            <w:r w:rsidRPr="00317B20">
              <w:rPr>
                <w:bCs/>
                <w:i/>
                <w:lang w:val="en-GB"/>
              </w:rPr>
              <w:t>U</w:t>
            </w:r>
            <w:r w:rsidRPr="00317B20">
              <w:rPr>
                <w:bCs/>
                <w:i/>
                <w:vertAlign w:val="subscript"/>
                <w:lang w:val="en-GB"/>
              </w:rPr>
              <w:t>m,t,</w:t>
            </w:r>
            <w:r w:rsidRPr="00317B20">
              <w:rPr>
                <w:b/>
                <w:bCs/>
                <w:i/>
                <w:vertAlign w:val="subscript"/>
                <w:lang w:val="en-GB"/>
              </w:rPr>
              <w:t>s</w:t>
            </w:r>
          </w:p>
        </w:tc>
        <w:tc>
          <w:tcPr>
            <w:tcW w:w="6057" w:type="dxa"/>
            <w:tcMar>
              <w:left w:w="0" w:type="dxa"/>
              <w:right w:w="28" w:type="dxa"/>
            </w:tcMar>
          </w:tcPr>
          <w:p w:rsidR="00FE0045" w:rsidRPr="00317B20" w:rsidRDefault="00FE0045" w:rsidP="00D80DBD">
            <w:pPr>
              <w:jc w:val="left"/>
            </w:pPr>
            <w:r w:rsidRPr="00317B20">
              <w:t>Densité d'utilisateurs pour un service</w:t>
            </w:r>
            <w:r w:rsidRPr="00317B20">
              <w:rPr>
                <w:i/>
              </w:rPr>
              <w:t xml:space="preserve"> s </w:t>
            </w:r>
            <w:r w:rsidRPr="00317B20">
              <w:t>dans un environnement de service</w:t>
            </w:r>
            <w:r w:rsidRPr="00317B20">
              <w:rPr>
                <w:i/>
              </w:rPr>
              <w:t xml:space="preserve"> m </w:t>
            </w:r>
            <w:r w:rsidRPr="00317B20">
              <w:t xml:space="preserve">et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t>nombre d'utilisateurs/km</w:t>
            </w:r>
            <w:r w:rsidRPr="00317B20">
              <w:rPr>
                <w:vertAlign w:val="superscript"/>
              </w:rPr>
              <w:t>2</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U</w:t>
            </w:r>
            <w:r w:rsidRPr="00317B20">
              <w:rPr>
                <w:i/>
                <w:vertAlign w:val="subscript"/>
              </w:rPr>
              <w:t>m,t,n</w:t>
            </w:r>
          </w:p>
        </w:tc>
        <w:tc>
          <w:tcPr>
            <w:tcW w:w="6057" w:type="dxa"/>
            <w:tcMar>
              <w:left w:w="0" w:type="dxa"/>
              <w:right w:w="28" w:type="dxa"/>
            </w:tcMar>
          </w:tcPr>
          <w:p w:rsidR="00FE0045" w:rsidRPr="00317B20" w:rsidRDefault="00FE0045" w:rsidP="00D80DBD">
            <w:pPr>
              <w:jc w:val="left"/>
            </w:pPr>
            <w:r w:rsidRPr="00317B20">
              <w:t>Densité d'utilisateurs pour une catégorie de service</w:t>
            </w:r>
            <w:r w:rsidRPr="00317B20">
              <w:rPr>
                <w:i/>
              </w:rPr>
              <w:t xml:space="preserve"> n </w:t>
            </w:r>
            <w:r w:rsidRPr="00317B20">
              <w:t>dans un environnement de service</w:t>
            </w:r>
            <w:r w:rsidRPr="00317B20">
              <w:rPr>
                <w:i/>
              </w:rPr>
              <w:t xml:space="preserve"> m </w:t>
            </w:r>
            <w:r w:rsidRPr="00317B20">
              <w:t xml:space="preserve">et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t>Nombre d'utilisateurs/km</w:t>
            </w:r>
            <w:r w:rsidRPr="00317B20">
              <w:rPr>
                <w:vertAlign w:val="superscript"/>
              </w:rPr>
              <w:t>2</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w</w:t>
            </w:r>
            <w:r w:rsidRPr="00317B20">
              <w:rPr>
                <w:i/>
                <w:vertAlign w:val="subscript"/>
              </w:rPr>
              <w:t>m,t,s</w:t>
            </w:r>
          </w:p>
        </w:tc>
        <w:tc>
          <w:tcPr>
            <w:tcW w:w="6057" w:type="dxa"/>
            <w:tcMar>
              <w:left w:w="0" w:type="dxa"/>
              <w:right w:w="28" w:type="dxa"/>
            </w:tcMar>
          </w:tcPr>
          <w:p w:rsidR="00FE0045" w:rsidRPr="00317B20" w:rsidRDefault="00FE0045" w:rsidP="00D80DBD">
            <w:pPr>
              <w:jc w:val="left"/>
            </w:pPr>
            <w:r w:rsidRPr="00317B20">
              <w:t>Pondération appliquée à la durée moyenne des sessions pour un service</w:t>
            </w:r>
            <w:r w:rsidRPr="00317B20">
              <w:rPr>
                <w:i/>
              </w:rPr>
              <w:t xml:space="preserve"> s </w:t>
            </w:r>
            <w:r w:rsidRPr="00317B20">
              <w:t>dans un environnement de service</w:t>
            </w:r>
            <w:r w:rsidRPr="00317B20">
              <w:rPr>
                <w:i/>
              </w:rPr>
              <w:t xml:space="preserve"> m </w:t>
            </w:r>
            <w:r w:rsidRPr="00317B20">
              <w:t>et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bCs/>
                <w:i/>
                <w:lang w:val="en-US"/>
              </w:rPr>
            </w:pPr>
            <w:r w:rsidRPr="00317B20">
              <w:rPr>
                <w:position w:val="-12"/>
              </w:rPr>
              <w:object w:dxaOrig="639" w:dyaOrig="400">
                <v:shape id="_x0000_i1071" type="#_x0000_t75" style="width:32.15pt;height:20.25pt" o:ole="" o:allowoverlap="f">
                  <v:imagedata r:id="rId105" o:title=""/>
                </v:shape>
                <o:OLEObject Type="Embed" ProgID="Equation.3" ShapeID="_x0000_i1071" DrawAspect="Content" ObjectID="_1459064112" r:id="rId106"/>
              </w:object>
            </w:r>
          </w:p>
        </w:tc>
        <w:tc>
          <w:tcPr>
            <w:tcW w:w="6057" w:type="dxa"/>
            <w:tcMar>
              <w:left w:w="0" w:type="dxa"/>
              <w:right w:w="28" w:type="dxa"/>
            </w:tcMar>
          </w:tcPr>
          <w:p w:rsidR="00FE0045" w:rsidRPr="00317B20" w:rsidRDefault="00FE0045" w:rsidP="00D80DBD">
            <w:pPr>
              <w:jc w:val="left"/>
            </w:pPr>
            <w:r w:rsidRPr="00317B20">
              <w:t>Pondération appliquée au débit binaire moyen du service ou au taux de mobilité pour un service</w:t>
            </w:r>
            <w:r w:rsidRPr="00317B20">
              <w:rPr>
                <w:i/>
              </w:rPr>
              <w:t xml:space="preserve"> s </w:t>
            </w:r>
            <w:r w:rsidRPr="00317B20">
              <w:t>dans un environnement de service</w:t>
            </w:r>
            <w:r w:rsidRPr="00317B20">
              <w:rPr>
                <w:i/>
              </w:rPr>
              <w:t xml:space="preserve"> m </w:t>
            </w:r>
            <w:r w:rsidRPr="00317B20">
              <w:t xml:space="preserve">et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X</w:t>
            </w:r>
            <w:r w:rsidRPr="00317B20">
              <w:rPr>
                <w:i/>
                <w:vertAlign w:val="subscript"/>
              </w:rPr>
              <w:t>hs</w:t>
            </w:r>
          </w:p>
        </w:tc>
        <w:tc>
          <w:tcPr>
            <w:tcW w:w="6057" w:type="dxa"/>
            <w:tcMar>
              <w:left w:w="0" w:type="dxa"/>
              <w:right w:w="28" w:type="dxa"/>
            </w:tcMar>
          </w:tcPr>
          <w:p w:rsidR="00FE0045" w:rsidRPr="00317B20" w:rsidRDefault="00FE0045" w:rsidP="00D80DBD">
            <w:pPr>
              <w:jc w:val="left"/>
            </w:pPr>
            <w:r w:rsidRPr="00317B20">
              <w:t>Pourcentage de couverture assuré par un point d'accès public</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X</w:t>
            </w:r>
            <w:r w:rsidRPr="00317B20">
              <w:rPr>
                <w:i/>
                <w:vertAlign w:val="subscript"/>
              </w:rPr>
              <w:t>macro</w:t>
            </w:r>
          </w:p>
        </w:tc>
        <w:tc>
          <w:tcPr>
            <w:tcW w:w="6057" w:type="dxa"/>
            <w:tcMar>
              <w:left w:w="0" w:type="dxa"/>
              <w:right w:w="28" w:type="dxa"/>
            </w:tcMar>
          </w:tcPr>
          <w:p w:rsidR="00FE0045" w:rsidRPr="00317B20" w:rsidRDefault="00FE0045" w:rsidP="00D80DBD">
            <w:pPr>
              <w:jc w:val="left"/>
            </w:pPr>
            <w:r w:rsidRPr="00317B20">
              <w:t xml:space="preserve">Pourcentage de couverture assuré par une macrocellule </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X</w:t>
            </w:r>
            <w:r w:rsidRPr="00317B20">
              <w:rPr>
                <w:i/>
                <w:vertAlign w:val="subscript"/>
              </w:rPr>
              <w:t>micro</w:t>
            </w:r>
          </w:p>
        </w:tc>
        <w:tc>
          <w:tcPr>
            <w:tcW w:w="6057" w:type="dxa"/>
            <w:tcMar>
              <w:left w:w="0" w:type="dxa"/>
              <w:right w:w="28" w:type="dxa"/>
            </w:tcMar>
          </w:tcPr>
          <w:p w:rsidR="00FE0045" w:rsidRPr="00317B20" w:rsidRDefault="00FE0045" w:rsidP="00D80DBD">
            <w:pPr>
              <w:jc w:val="left"/>
            </w:pPr>
            <w:r w:rsidRPr="00317B20">
              <w:t>Pourcentage de couverture assuré par une microcellule</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t>X</w:t>
            </w:r>
            <w:r w:rsidRPr="00317B20">
              <w:rPr>
                <w:i/>
                <w:vertAlign w:val="subscript"/>
              </w:rPr>
              <w:t>pico</w:t>
            </w:r>
          </w:p>
        </w:tc>
        <w:tc>
          <w:tcPr>
            <w:tcW w:w="6057" w:type="dxa"/>
            <w:tcMar>
              <w:left w:w="0" w:type="dxa"/>
              <w:right w:w="28" w:type="dxa"/>
            </w:tcMar>
          </w:tcPr>
          <w:p w:rsidR="00FE0045" w:rsidRPr="00317B20" w:rsidRDefault="00FE0045" w:rsidP="00D80DBD">
            <w:pPr>
              <w:jc w:val="left"/>
            </w:pPr>
            <w:r w:rsidRPr="00317B20">
              <w:t>Pourcentage de couverture assuré par une picocellule</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
              </w:rPr>
              <w:sym w:font="Symbol" w:char="F068"/>
            </w:r>
            <w:r w:rsidRPr="00317B20">
              <w:rPr>
                <w:i/>
                <w:vertAlign w:val="subscript"/>
              </w:rPr>
              <w:t>d,rat,p</w:t>
            </w:r>
          </w:p>
        </w:tc>
        <w:tc>
          <w:tcPr>
            <w:tcW w:w="6057" w:type="dxa"/>
            <w:tcMar>
              <w:left w:w="0" w:type="dxa"/>
              <w:right w:w="28" w:type="dxa"/>
            </w:tcMar>
          </w:tcPr>
          <w:p w:rsidR="00FE0045" w:rsidRPr="00317B20" w:rsidRDefault="00FE0045" w:rsidP="00D80DBD">
            <w:pPr>
              <w:jc w:val="left"/>
            </w:pPr>
            <w:r w:rsidRPr="00317B20">
              <w:t>Efficacité spectrale d'un RATG</w:t>
            </w:r>
            <w:r w:rsidRPr="00317B20">
              <w:rPr>
                <w:i/>
              </w:rPr>
              <w:t xml:space="preserve"> rat </w:t>
            </w:r>
            <w:r w:rsidRPr="00317B20">
              <w:t xml:space="preserve">dans une télédensité </w:t>
            </w:r>
            <w:r w:rsidRPr="00317B20">
              <w:rPr>
                <w:i/>
              </w:rPr>
              <w:t>d</w:t>
            </w:r>
            <w:r w:rsidRPr="00317B20">
              <w:t xml:space="preserve"> et un environnement radioélectrique </w:t>
            </w:r>
            <w:r w:rsidRPr="00317B20">
              <w:rPr>
                <w:i/>
              </w:rPr>
              <w:t>p</w:t>
            </w:r>
          </w:p>
        </w:tc>
        <w:tc>
          <w:tcPr>
            <w:tcW w:w="1417" w:type="dxa"/>
            <w:tcMar>
              <w:left w:w="85" w:type="dxa"/>
              <w:right w:w="28" w:type="dxa"/>
            </w:tcMar>
          </w:tcPr>
          <w:p w:rsidR="00FE0045" w:rsidRPr="00317B20" w:rsidRDefault="00FE0045" w:rsidP="009F3AF8">
            <w:pPr>
              <w:jc w:val="left"/>
            </w:pPr>
            <w:r w:rsidRPr="00317B20">
              <w:t>bit/s/Hz/</w:t>
            </w:r>
            <w:r w:rsidR="009F3AF8">
              <w:br/>
            </w:r>
            <w:r w:rsidRPr="00317B20">
              <w:t>cellule</w:t>
            </w:r>
          </w:p>
        </w:tc>
      </w:tr>
      <w:tr w:rsidR="00FE0045" w:rsidRPr="00317B20" w:rsidTr="00D80DBD">
        <w:tc>
          <w:tcPr>
            <w:tcW w:w="2165" w:type="dxa"/>
            <w:tcMar>
              <w:left w:w="0" w:type="dxa"/>
              <w:right w:w="28" w:type="dxa"/>
            </w:tcMar>
          </w:tcPr>
          <w:p w:rsidR="00FE0045" w:rsidRPr="00317B20" w:rsidRDefault="008F76BA" w:rsidP="0022031F">
            <w:pPr>
              <w:rPr>
                <w:i/>
              </w:rPr>
            </w:pPr>
            <w:r>
              <w:rPr>
                <w:i/>
              </w:rPr>
              <w:t>k</w:t>
            </w:r>
          </w:p>
        </w:tc>
        <w:tc>
          <w:tcPr>
            <w:tcW w:w="6057" w:type="dxa"/>
            <w:tcMar>
              <w:left w:w="0" w:type="dxa"/>
              <w:right w:w="28" w:type="dxa"/>
            </w:tcMar>
          </w:tcPr>
          <w:p w:rsidR="00FE0045" w:rsidRPr="00317B20" w:rsidRDefault="00FE0045" w:rsidP="00D80DBD">
            <w:pPr>
              <w:jc w:val="left"/>
            </w:pPr>
            <w:r w:rsidRPr="00317B20">
              <w:t>Nombre de canaux requis par cellule</w:t>
            </w:r>
          </w:p>
        </w:tc>
        <w:tc>
          <w:tcPr>
            <w:tcW w:w="1417" w:type="dxa"/>
            <w:tcMar>
              <w:left w:w="85" w:type="dxa"/>
              <w:right w:w="28" w:type="dxa"/>
            </w:tcMar>
          </w:tcPr>
          <w:p w:rsidR="00FE0045" w:rsidRPr="00317B20" w:rsidRDefault="00FE0045" w:rsidP="009F3AF8">
            <w:pPr>
              <w:jc w:val="left"/>
            </w:pPr>
          </w:p>
        </w:tc>
      </w:tr>
      <w:tr w:rsidR="00FE0045" w:rsidRPr="00317B20" w:rsidTr="00D80DBD">
        <w:tc>
          <w:tcPr>
            <w:tcW w:w="2165" w:type="dxa"/>
            <w:tcMar>
              <w:left w:w="0" w:type="dxa"/>
              <w:right w:w="28" w:type="dxa"/>
            </w:tcMar>
          </w:tcPr>
          <w:p w:rsidR="00FE0045" w:rsidRPr="00317B20" w:rsidRDefault="00FE0045" w:rsidP="0022031F">
            <w:pPr>
              <w:rPr>
                <w:i/>
              </w:rPr>
            </w:pPr>
            <w:r w:rsidRPr="00317B20">
              <w:rPr>
                <w:lang w:val="es-ES"/>
              </w:rPr>
              <w:sym w:font="Symbol" w:char="F06C"/>
            </w:r>
            <w:r w:rsidRPr="00317B20">
              <w:rPr>
                <w:i/>
                <w:vertAlign w:val="subscript"/>
              </w:rPr>
              <w:t>d,t,n,rat,p</w:t>
            </w:r>
          </w:p>
        </w:tc>
        <w:tc>
          <w:tcPr>
            <w:tcW w:w="6057" w:type="dxa"/>
            <w:tcMar>
              <w:left w:w="0" w:type="dxa"/>
              <w:right w:w="28" w:type="dxa"/>
            </w:tcMar>
          </w:tcPr>
          <w:p w:rsidR="00FE0045" w:rsidRPr="00317B20" w:rsidRDefault="00FE0045" w:rsidP="00D80DBD">
            <w:pPr>
              <w:jc w:val="left"/>
            </w:pPr>
            <w:r w:rsidRPr="00317B20">
              <w:t>Taux d'arrivée des paquets d'une catégorie de service</w:t>
            </w:r>
            <w:r w:rsidRPr="00317B20">
              <w:rPr>
                <w:i/>
              </w:rPr>
              <w:t xml:space="preserve"> n </w:t>
            </w:r>
            <w:r w:rsidRPr="00317B20">
              <w:t xml:space="preserve">pour une télédensité </w:t>
            </w:r>
            <w:r w:rsidRPr="00317B20">
              <w:rPr>
                <w:i/>
              </w:rPr>
              <w:t>d</w:t>
            </w:r>
            <w:r w:rsidRPr="00317B20">
              <w:t xml:space="preserve"> et un intervalle de temps</w:t>
            </w:r>
            <w:r w:rsidRPr="00317B20">
              <w:rPr>
                <w:i/>
              </w:rPr>
              <w:t xml:space="preserve"> t </w:t>
            </w:r>
            <w:r w:rsidRPr="00317B20">
              <w:t>pour un RTAG</w:t>
            </w:r>
            <w:r w:rsidRPr="00317B20">
              <w:rPr>
                <w:i/>
              </w:rPr>
              <w:t xml:space="preserve"> rat </w:t>
            </w:r>
            <w:r w:rsidRPr="00317B20">
              <w:t xml:space="preserve">dans un environnement radioélectrique </w:t>
            </w:r>
            <w:r w:rsidRPr="00317B20">
              <w:rPr>
                <w:i/>
              </w:rPr>
              <w:t>p</w:t>
            </w:r>
          </w:p>
        </w:tc>
        <w:tc>
          <w:tcPr>
            <w:tcW w:w="1417" w:type="dxa"/>
            <w:tcMar>
              <w:left w:w="85" w:type="dxa"/>
              <w:right w:w="28" w:type="dxa"/>
            </w:tcMar>
          </w:tcPr>
          <w:p w:rsidR="00FE0045" w:rsidRPr="00317B20" w:rsidRDefault="00FE0045" w:rsidP="009F3AF8">
            <w:pPr>
              <w:jc w:val="left"/>
            </w:pPr>
            <w:r w:rsidRPr="00317B20">
              <w:t>Paquet/s</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lang w:val="es-ES"/>
              </w:rPr>
              <w:sym w:font="Symbol" w:char="F06C"/>
            </w:r>
            <w:r w:rsidRPr="00317B20">
              <w:rPr>
                <w:i/>
                <w:vertAlign w:val="subscript"/>
              </w:rPr>
              <w:t>n</w:t>
            </w:r>
          </w:p>
        </w:tc>
        <w:tc>
          <w:tcPr>
            <w:tcW w:w="6057" w:type="dxa"/>
            <w:tcMar>
              <w:left w:w="0" w:type="dxa"/>
              <w:right w:w="28" w:type="dxa"/>
            </w:tcMar>
          </w:tcPr>
          <w:p w:rsidR="00FE0045" w:rsidRPr="00317B20" w:rsidRDefault="00FE0045" w:rsidP="00D80DBD">
            <w:pPr>
              <w:jc w:val="left"/>
            </w:pPr>
            <w:r w:rsidRPr="00317B20">
              <w:t xml:space="preserve">Taux d'arrivée des paquets d'une catégorie de service </w:t>
            </w:r>
            <w:r w:rsidRPr="00317B20">
              <w:rPr>
                <w:i/>
              </w:rPr>
              <w:t>n</w:t>
            </w:r>
          </w:p>
        </w:tc>
        <w:tc>
          <w:tcPr>
            <w:tcW w:w="1417" w:type="dxa"/>
            <w:tcMar>
              <w:left w:w="85" w:type="dxa"/>
              <w:right w:w="28" w:type="dxa"/>
            </w:tcMar>
          </w:tcPr>
          <w:p w:rsidR="00FE0045" w:rsidRPr="00317B20" w:rsidRDefault="00FE0045" w:rsidP="009F3AF8">
            <w:pPr>
              <w:jc w:val="left"/>
            </w:pPr>
            <w:r w:rsidRPr="00317B20">
              <w:t>Paquet/s</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position w:val="-20"/>
              </w:rPr>
              <w:object w:dxaOrig="680" w:dyaOrig="440">
                <v:shape id="_x0000_i1072" type="#_x0000_t75" style="width:33.9pt;height:22pt" o:ole="" o:allowoverlap="f">
                  <v:imagedata r:id="rId107" o:title=""/>
                </v:shape>
                <o:OLEObject Type="Embed" ProgID="Equation.3" ShapeID="_x0000_i1072" DrawAspect="Content" ObjectID="_1459064113" r:id="rId108"/>
              </w:object>
            </w:r>
          </w:p>
        </w:tc>
        <w:tc>
          <w:tcPr>
            <w:tcW w:w="6057" w:type="dxa"/>
            <w:tcMar>
              <w:left w:w="0" w:type="dxa"/>
              <w:right w:w="28" w:type="dxa"/>
            </w:tcMar>
          </w:tcPr>
          <w:p w:rsidR="00FE0045" w:rsidRPr="00317B20" w:rsidRDefault="00FE0045" w:rsidP="00D80DBD">
            <w:pPr>
              <w:jc w:val="left"/>
            </w:pPr>
            <w:r w:rsidRPr="00317B20">
              <w:t>Taux d'arrivée global des paquets de toutes les catégories de service</w:t>
            </w:r>
          </w:p>
        </w:tc>
        <w:tc>
          <w:tcPr>
            <w:tcW w:w="1417" w:type="dxa"/>
            <w:tcMar>
              <w:left w:w="85" w:type="dxa"/>
              <w:right w:w="28" w:type="dxa"/>
            </w:tcMar>
          </w:tcPr>
          <w:p w:rsidR="00FE0045" w:rsidRPr="00317B20" w:rsidRDefault="00FE0045" w:rsidP="009F3AF8">
            <w:pPr>
              <w:jc w:val="left"/>
            </w:pPr>
            <w:r w:rsidRPr="00317B20">
              <w:t>Paquet/s</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lang w:val="es-ES"/>
              </w:rPr>
              <w:sym w:font="Symbol" w:char="F06D"/>
            </w:r>
            <w:r w:rsidRPr="00317B20">
              <w:rPr>
                <w:i/>
                <w:vertAlign w:val="subscript"/>
              </w:rPr>
              <w:t>m,t,s</w:t>
            </w:r>
          </w:p>
        </w:tc>
        <w:tc>
          <w:tcPr>
            <w:tcW w:w="6057" w:type="dxa"/>
            <w:tcMar>
              <w:left w:w="0" w:type="dxa"/>
              <w:right w:w="28" w:type="dxa"/>
            </w:tcMar>
          </w:tcPr>
          <w:p w:rsidR="00FE0045" w:rsidRPr="00317B20" w:rsidRDefault="00FE0045" w:rsidP="00D80DBD">
            <w:pPr>
              <w:jc w:val="left"/>
            </w:pPr>
            <w:r w:rsidRPr="00317B20">
              <w:t>Durée moyenne des sessions d'un service</w:t>
            </w:r>
            <w:r w:rsidRPr="00317B20">
              <w:rPr>
                <w:i/>
              </w:rPr>
              <w:t xml:space="preserve"> s </w:t>
            </w:r>
            <w:r w:rsidRPr="00317B20">
              <w:t>dans un environnement de service</w:t>
            </w:r>
            <w:r w:rsidRPr="00317B20">
              <w:rPr>
                <w:i/>
              </w:rPr>
              <w:t xml:space="preserve"> m </w:t>
            </w:r>
            <w:r w:rsidRPr="00317B20">
              <w:t xml:space="preserve">et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t>s/session</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lang w:val="es-ES"/>
              </w:rPr>
              <w:sym w:font="Symbol" w:char="F06D"/>
            </w:r>
            <w:r w:rsidRPr="00317B20">
              <w:rPr>
                <w:i/>
                <w:vertAlign w:val="subscript"/>
              </w:rPr>
              <w:t>m,t,n</w:t>
            </w:r>
          </w:p>
        </w:tc>
        <w:tc>
          <w:tcPr>
            <w:tcW w:w="6057" w:type="dxa"/>
            <w:tcMar>
              <w:left w:w="0" w:type="dxa"/>
              <w:right w:w="28" w:type="dxa"/>
            </w:tcMar>
          </w:tcPr>
          <w:p w:rsidR="00FE0045" w:rsidRPr="00317B20" w:rsidRDefault="00FE0045" w:rsidP="00D80DBD">
            <w:pPr>
              <w:jc w:val="left"/>
            </w:pPr>
            <w:r w:rsidRPr="00317B20">
              <w:t>Durée moyenne des sessions d'une catégorie de service</w:t>
            </w:r>
            <w:r w:rsidRPr="00317B20">
              <w:rPr>
                <w:i/>
              </w:rPr>
              <w:t xml:space="preserve"> n </w:t>
            </w:r>
            <w:r w:rsidRPr="00317B20">
              <w:t>dans un environnement de service</w:t>
            </w:r>
            <w:r w:rsidRPr="00317B20">
              <w:rPr>
                <w:i/>
              </w:rPr>
              <w:t xml:space="preserve"> m </w:t>
            </w:r>
            <w:r w:rsidRPr="00317B20">
              <w:t xml:space="preserve">et un intervalle de temps </w:t>
            </w:r>
            <w:r w:rsidRPr="00317B20">
              <w:rPr>
                <w:i/>
              </w:rPr>
              <w:t>t</w:t>
            </w:r>
          </w:p>
        </w:tc>
        <w:tc>
          <w:tcPr>
            <w:tcW w:w="1417" w:type="dxa"/>
            <w:tcMar>
              <w:left w:w="85" w:type="dxa"/>
              <w:right w:w="28" w:type="dxa"/>
            </w:tcMar>
          </w:tcPr>
          <w:p w:rsidR="00FE0045" w:rsidRPr="00317B20" w:rsidRDefault="00FE0045" w:rsidP="009F3AF8">
            <w:pPr>
              <w:jc w:val="left"/>
            </w:pPr>
            <w:r w:rsidRPr="00317B20">
              <w:t>s/session</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iCs/>
                <w:lang w:eastAsia="ja-JP"/>
              </w:rPr>
              <w:sym w:font="Symbol" w:char="F06E"/>
            </w:r>
            <w:r w:rsidRPr="00317B20">
              <w:rPr>
                <w:i/>
                <w:vertAlign w:val="subscript"/>
                <w:lang w:eastAsia="ja-JP"/>
              </w:rPr>
              <w:t>n</w:t>
            </w:r>
          </w:p>
        </w:tc>
        <w:tc>
          <w:tcPr>
            <w:tcW w:w="6057" w:type="dxa"/>
            <w:tcMar>
              <w:left w:w="0" w:type="dxa"/>
              <w:right w:w="28" w:type="dxa"/>
            </w:tcMar>
          </w:tcPr>
          <w:p w:rsidR="00FE0045" w:rsidRPr="00317B20" w:rsidRDefault="00FE0045" w:rsidP="00D80DBD">
            <w:pPr>
              <w:jc w:val="left"/>
            </w:pPr>
            <w:r w:rsidRPr="00317B20">
              <w:t>Nombre de canaux requis pour une catégorie de service</w:t>
            </w:r>
            <w:r w:rsidRPr="00317B20">
              <w:rPr>
                <w:i/>
              </w:rPr>
              <w:t xml:space="preserve"> n </w:t>
            </w:r>
            <w:r w:rsidRPr="00317B20">
              <w:t>à commutation de circuits</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r w:rsidRPr="00317B20">
              <w:rPr>
                <w:bCs/>
                <w:iCs/>
                <w:lang w:eastAsia="ja-JP"/>
              </w:rPr>
              <w:sym w:font="Symbol" w:char="F06E"/>
            </w:r>
          </w:p>
        </w:tc>
        <w:tc>
          <w:tcPr>
            <w:tcW w:w="6057" w:type="dxa"/>
            <w:tcMar>
              <w:left w:w="0" w:type="dxa"/>
              <w:right w:w="28" w:type="dxa"/>
            </w:tcMar>
          </w:tcPr>
          <w:p w:rsidR="00FE0045" w:rsidRPr="00317B20" w:rsidRDefault="00FE0045" w:rsidP="00D80DBD">
            <w:pPr>
              <w:jc w:val="left"/>
            </w:pPr>
            <w:r w:rsidRPr="00317B20">
              <w:t>Vecteur avec nombre de canaux requis pour les catégories de service à commutation de circuits</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lang w:val="es-ES"/>
              </w:rPr>
              <w:lastRenderedPageBreak/>
              <w:sym w:font="Symbol" w:char="F078"/>
            </w:r>
            <w:r w:rsidRPr="00317B20">
              <w:rPr>
                <w:i/>
                <w:vertAlign w:val="subscript"/>
              </w:rPr>
              <w:t>hs</w:t>
            </w:r>
          </w:p>
        </w:tc>
        <w:tc>
          <w:tcPr>
            <w:tcW w:w="6057" w:type="dxa"/>
            <w:tcMar>
              <w:left w:w="0" w:type="dxa"/>
              <w:right w:w="28" w:type="dxa"/>
            </w:tcMar>
          </w:tcPr>
          <w:p w:rsidR="00FE0045" w:rsidRPr="00317B20" w:rsidRDefault="00FE0045" w:rsidP="00D80DBD">
            <w:pPr>
              <w:jc w:val="left"/>
            </w:pPr>
            <w:r w:rsidRPr="00317B20">
              <w:t>Taux de distribution intermédiaire pour point d'accès public</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lang w:val="es-ES"/>
              </w:rPr>
              <w:sym w:font="Symbol" w:char="F078"/>
            </w:r>
            <w:r w:rsidRPr="00317B20">
              <w:rPr>
                <w:i/>
                <w:vertAlign w:val="subscript"/>
              </w:rPr>
              <w:t>macro</w:t>
            </w:r>
          </w:p>
        </w:tc>
        <w:tc>
          <w:tcPr>
            <w:tcW w:w="6057" w:type="dxa"/>
            <w:tcMar>
              <w:left w:w="0" w:type="dxa"/>
              <w:right w:w="28" w:type="dxa"/>
            </w:tcMar>
          </w:tcPr>
          <w:p w:rsidR="00FE0045" w:rsidRPr="00317B20" w:rsidRDefault="00FE0045" w:rsidP="00D80DBD">
            <w:pPr>
              <w:jc w:val="left"/>
            </w:pPr>
            <w:r w:rsidRPr="00317B20">
              <w:t>Taux de distribution intermédiaire pour macrocellule</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lang w:val="es-ES"/>
              </w:rPr>
              <w:sym w:font="Symbol" w:char="F078"/>
            </w:r>
            <w:r w:rsidRPr="00317B20">
              <w:rPr>
                <w:i/>
                <w:vertAlign w:val="subscript"/>
              </w:rPr>
              <w:t>micro</w:t>
            </w:r>
          </w:p>
        </w:tc>
        <w:tc>
          <w:tcPr>
            <w:tcW w:w="6057" w:type="dxa"/>
            <w:tcMar>
              <w:left w:w="0" w:type="dxa"/>
              <w:right w:w="28" w:type="dxa"/>
            </w:tcMar>
          </w:tcPr>
          <w:p w:rsidR="00FE0045" w:rsidRPr="00317B20" w:rsidRDefault="00FE0045" w:rsidP="00D80DBD">
            <w:pPr>
              <w:jc w:val="left"/>
            </w:pPr>
            <w:r w:rsidRPr="00317B20">
              <w:t>Taux de distribution intermédiaire pour microcellule</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lang w:val="es-ES"/>
              </w:rPr>
              <w:sym w:font="Symbol" w:char="F078"/>
            </w:r>
            <w:r w:rsidRPr="00317B20">
              <w:rPr>
                <w:i/>
                <w:vertAlign w:val="subscript"/>
              </w:rPr>
              <w:t>pico</w:t>
            </w:r>
          </w:p>
        </w:tc>
        <w:tc>
          <w:tcPr>
            <w:tcW w:w="6057" w:type="dxa"/>
            <w:tcMar>
              <w:left w:w="0" w:type="dxa"/>
              <w:right w:w="28" w:type="dxa"/>
            </w:tcMar>
          </w:tcPr>
          <w:p w:rsidR="00FE0045" w:rsidRPr="00317B20" w:rsidRDefault="00FE0045" w:rsidP="00D80DBD">
            <w:pPr>
              <w:jc w:val="left"/>
            </w:pPr>
            <w:r w:rsidRPr="00317B20">
              <w:t>Taux de distribution intermédiaire pour picocellule</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lang w:val="es-ES"/>
              </w:rPr>
              <w:sym w:font="Symbol" w:char="F078"/>
            </w:r>
            <w:r w:rsidRPr="00317B20">
              <w:rPr>
                <w:i/>
                <w:vertAlign w:val="subscript"/>
              </w:rPr>
              <w:t>pico</w:t>
            </w:r>
            <w:r w:rsidRPr="00317B20">
              <w:rPr>
                <w:vertAlign w:val="subscript"/>
              </w:rPr>
              <w:t>&amp;</w:t>
            </w:r>
            <w:r w:rsidRPr="00317B20">
              <w:rPr>
                <w:i/>
                <w:vertAlign w:val="subscript"/>
              </w:rPr>
              <w:t>hs</w:t>
            </w:r>
          </w:p>
        </w:tc>
        <w:tc>
          <w:tcPr>
            <w:tcW w:w="6057" w:type="dxa"/>
            <w:tcMar>
              <w:left w:w="0" w:type="dxa"/>
              <w:right w:w="28" w:type="dxa"/>
            </w:tcMar>
          </w:tcPr>
          <w:p w:rsidR="00FE0045" w:rsidRPr="00317B20" w:rsidRDefault="00FE0045" w:rsidP="00D80DBD">
            <w:pPr>
              <w:jc w:val="left"/>
            </w:pPr>
            <w:r w:rsidRPr="00317B20">
              <w:t>Taux de distribution intermédiaire pour picocellule et points d'accès public</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lang w:val="es-ES"/>
              </w:rPr>
              <w:sym w:font="Symbol" w:char="F078"/>
            </w:r>
            <w:r w:rsidRPr="00317B20">
              <w:rPr>
                <w:i/>
                <w:vertAlign w:val="subscript"/>
              </w:rPr>
              <w:t>m,t,n,rat,p</w:t>
            </w:r>
          </w:p>
        </w:tc>
        <w:tc>
          <w:tcPr>
            <w:tcW w:w="6057" w:type="dxa"/>
            <w:tcMar>
              <w:left w:w="0" w:type="dxa"/>
              <w:right w:w="28" w:type="dxa"/>
            </w:tcMar>
          </w:tcPr>
          <w:p w:rsidR="00FE0045" w:rsidRPr="00317B20" w:rsidRDefault="00FE0045" w:rsidP="00D80DBD">
            <w:pPr>
              <w:jc w:val="left"/>
            </w:pPr>
            <w:r w:rsidRPr="00317B20">
              <w:t>Taux de distribution pour une catégorie de service</w:t>
            </w:r>
            <w:r w:rsidRPr="00317B20">
              <w:rPr>
                <w:i/>
              </w:rPr>
              <w:t xml:space="preserve"> n </w:t>
            </w:r>
            <w:r w:rsidRPr="00317B20">
              <w:t>dans un environnement de service</w:t>
            </w:r>
            <w:r w:rsidRPr="00317B20">
              <w:rPr>
                <w:i/>
              </w:rPr>
              <w:t xml:space="preserve"> m </w:t>
            </w:r>
            <w:r w:rsidRPr="00317B20">
              <w:t>et un intervalle de temps</w:t>
            </w:r>
            <w:r w:rsidRPr="00317B20">
              <w:rPr>
                <w:i/>
              </w:rPr>
              <w:t xml:space="preserve"> t </w:t>
            </w:r>
            <w:r w:rsidRPr="00317B20">
              <w:t>pour un RATG</w:t>
            </w:r>
            <w:r w:rsidRPr="00317B20">
              <w:rPr>
                <w:i/>
              </w:rPr>
              <w:t xml:space="preserve"> rat </w:t>
            </w:r>
            <w:r w:rsidRPr="00317B20">
              <w:t>dans un environnement radioélectrique</w:t>
            </w:r>
            <w:r>
              <w:t> </w:t>
            </w:r>
            <w:r w:rsidRPr="00317B20">
              <w:rPr>
                <w:i/>
              </w:rPr>
              <w:t>p</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lang w:val="es-ES"/>
              </w:rPr>
              <w:sym w:font="Symbol" w:char="F070"/>
            </w:r>
            <w:r w:rsidRPr="00317B20">
              <w:rPr>
                <w:i/>
                <w:vertAlign w:val="subscript"/>
              </w:rPr>
              <w:t>n</w:t>
            </w:r>
          </w:p>
        </w:tc>
        <w:tc>
          <w:tcPr>
            <w:tcW w:w="6057" w:type="dxa"/>
            <w:tcMar>
              <w:left w:w="0" w:type="dxa"/>
              <w:right w:w="28" w:type="dxa"/>
            </w:tcMar>
          </w:tcPr>
          <w:p w:rsidR="00FE0045" w:rsidRPr="00317B20" w:rsidRDefault="00FE0045" w:rsidP="00D80DBD">
            <w:pPr>
              <w:jc w:val="left"/>
            </w:pPr>
            <w:r w:rsidRPr="00317B20">
              <w:t>Probabilité de blocage maximal admissible pour une catégorie de service</w:t>
            </w:r>
            <w:r w:rsidRPr="00317B20">
              <w:rPr>
                <w:i/>
              </w:rPr>
              <w:t xml:space="preserve"> n </w:t>
            </w:r>
            <w:r w:rsidRPr="00317B20">
              <w:t>en mode circuit</w:t>
            </w:r>
          </w:p>
        </w:tc>
        <w:tc>
          <w:tcPr>
            <w:tcW w:w="1417" w:type="dxa"/>
            <w:tcMar>
              <w:left w:w="85" w:type="dxa"/>
              <w:right w:w="28" w:type="dxa"/>
            </w:tcMar>
          </w:tcPr>
          <w:p w:rsidR="00FE0045" w:rsidRPr="00317B20" w:rsidRDefault="00FE0045" w:rsidP="009F3AF8">
            <w:pPr>
              <w:jc w:val="left"/>
            </w:pPr>
            <w:r w:rsidRPr="00317B20">
              <w:t>–</w:t>
            </w:r>
          </w:p>
        </w:tc>
      </w:tr>
      <w:tr w:rsidR="00FE0045" w:rsidRPr="00317B20" w:rsidTr="00D80DBD">
        <w:tc>
          <w:tcPr>
            <w:tcW w:w="2165" w:type="dxa"/>
            <w:tcMar>
              <w:left w:w="0" w:type="dxa"/>
              <w:right w:w="28" w:type="dxa"/>
            </w:tcMar>
          </w:tcPr>
          <w:p w:rsidR="00FE0045" w:rsidRPr="00317B20" w:rsidRDefault="00FE0045" w:rsidP="0022031F">
            <w:pPr>
              <w:rPr>
                <w:i/>
              </w:rPr>
            </w:pPr>
            <w:r w:rsidRPr="00317B20">
              <w:rPr>
                <w:lang w:val="es-ES"/>
              </w:rPr>
              <w:sym w:font="Symbol" w:char="F072"/>
            </w:r>
            <w:r w:rsidRPr="00317B20">
              <w:rPr>
                <w:i/>
                <w:vertAlign w:val="subscript"/>
              </w:rPr>
              <w:t>d,t,n,rat,p</w:t>
            </w:r>
          </w:p>
        </w:tc>
        <w:tc>
          <w:tcPr>
            <w:tcW w:w="6057" w:type="dxa"/>
            <w:tcMar>
              <w:left w:w="0" w:type="dxa"/>
              <w:right w:w="28" w:type="dxa"/>
            </w:tcMar>
          </w:tcPr>
          <w:p w:rsidR="00FE0045" w:rsidRPr="00317B20" w:rsidRDefault="00FE0045" w:rsidP="00D80DBD">
            <w:pPr>
              <w:jc w:val="left"/>
            </w:pPr>
            <w:r w:rsidRPr="00317B20">
              <w:t xml:space="preserve">Trafic offert par cellule pour une catégorie de service </w:t>
            </w:r>
            <w:r w:rsidRPr="00317B20">
              <w:rPr>
                <w:i/>
              </w:rPr>
              <w:t>n</w:t>
            </w:r>
            <w:r w:rsidRPr="00317B20">
              <w:t xml:space="preserve">, une télédensité </w:t>
            </w:r>
            <w:r w:rsidRPr="00317B20">
              <w:rPr>
                <w:i/>
              </w:rPr>
              <w:t>d</w:t>
            </w:r>
            <w:r w:rsidRPr="00317B20">
              <w:t xml:space="preserve"> et un intervalle de temps</w:t>
            </w:r>
            <w:r w:rsidRPr="00317B20">
              <w:rPr>
                <w:i/>
              </w:rPr>
              <w:t xml:space="preserve"> t </w:t>
            </w:r>
            <w:r w:rsidRPr="00317B20">
              <w:t>pour un RATG</w:t>
            </w:r>
            <w:r w:rsidRPr="00317B20">
              <w:rPr>
                <w:i/>
              </w:rPr>
              <w:t xml:space="preserve"> rat </w:t>
            </w:r>
            <w:r w:rsidRPr="00317B20">
              <w:t xml:space="preserve">et un environnement radioélectrique </w:t>
            </w:r>
            <w:r w:rsidRPr="00317B20">
              <w:rPr>
                <w:i/>
              </w:rPr>
              <w:t>p</w:t>
            </w:r>
          </w:p>
        </w:tc>
        <w:tc>
          <w:tcPr>
            <w:tcW w:w="1417" w:type="dxa"/>
            <w:tcMar>
              <w:left w:w="85" w:type="dxa"/>
              <w:right w:w="28" w:type="dxa"/>
            </w:tcMar>
          </w:tcPr>
          <w:p w:rsidR="00FE0045" w:rsidRPr="00317B20" w:rsidRDefault="00FE0045" w:rsidP="009F3AF8">
            <w:pPr>
              <w:jc w:val="left"/>
            </w:pPr>
            <w:r w:rsidRPr="00317B20">
              <w:t>Erlang/</w:t>
            </w:r>
            <w:r w:rsidR="009F3AF8">
              <w:br/>
            </w:r>
            <w:r w:rsidRPr="00317B20">
              <w:t>cellule</w:t>
            </w:r>
          </w:p>
        </w:tc>
      </w:tr>
    </w:tbl>
    <w:p w:rsidR="00FE0045" w:rsidRDefault="00FE0045" w:rsidP="00FE0045">
      <w:pPr>
        <w:rPr>
          <w:lang w:val="en-US"/>
        </w:rPr>
      </w:pPr>
    </w:p>
    <w:p w:rsidR="00182104" w:rsidRDefault="00182104" w:rsidP="00FE0045">
      <w:pPr>
        <w:rPr>
          <w:lang w:val="en-US"/>
        </w:rPr>
      </w:pPr>
    </w:p>
    <w:p w:rsidR="00182104" w:rsidRDefault="00182104" w:rsidP="00182104">
      <w:pPr>
        <w:jc w:val="center"/>
        <w:rPr>
          <w:lang w:val="en-US"/>
        </w:rPr>
      </w:pPr>
      <w:r>
        <w:rPr>
          <w:lang w:val="en-US"/>
        </w:rPr>
        <w:t>_____________</w:t>
      </w:r>
    </w:p>
    <w:p w:rsidR="00A6617B" w:rsidRPr="00A6617B" w:rsidRDefault="00A6617B" w:rsidP="00242AEE">
      <w:pPr>
        <w:pStyle w:val="HeadingSum"/>
      </w:pPr>
    </w:p>
    <w:sectPr w:rsidR="00A6617B" w:rsidRPr="00A6617B" w:rsidSect="00F00D23">
      <w:headerReference w:type="even" r:id="rId109"/>
      <w:headerReference w:type="default" r:id="rId11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ED6" w:rsidRDefault="00327ED6">
      <w:r>
        <w:separator/>
      </w:r>
    </w:p>
  </w:endnote>
  <w:endnote w:type="continuationSeparator" w:id="0">
    <w:p w:rsidR="00327ED6" w:rsidRDefault="00327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ED6" w:rsidRDefault="00327ED6">
      <w:r>
        <w:separator/>
      </w:r>
    </w:p>
  </w:footnote>
  <w:footnote w:type="continuationSeparator" w:id="0">
    <w:p w:rsidR="00327ED6" w:rsidRDefault="00327ED6">
      <w:r>
        <w:continuationSeparator/>
      </w:r>
    </w:p>
  </w:footnote>
  <w:footnote w:id="1">
    <w:p w:rsidR="00327ED6" w:rsidRPr="008B2E92" w:rsidRDefault="00327ED6" w:rsidP="00FE0045">
      <w:pPr>
        <w:pStyle w:val="FootnoteText"/>
        <w:rPr>
          <w:i/>
        </w:rPr>
      </w:pPr>
      <w:r>
        <w:rPr>
          <w:vertAlign w:val="superscript"/>
          <w:lang w:val="en-US"/>
        </w:rPr>
        <w:footnoteRef/>
      </w:r>
      <w:r>
        <w:t xml:space="preserve"> </w:t>
      </w:r>
      <w:r>
        <w:tab/>
        <w:t xml:space="preserve">Les services de multidiffusion sont supposés être fournis simultanément à de multiples utilisateurs au moyen d'une ressource radioélectrique partagée. L'effet de la densité d'utilisateurs est donc considéré comme étant négligeable. La répartition du trafic entre des groupes de techniques d'accès radioélectrique qui offrent la multidiffusion mobile et entre les environnements radioélectriques est donc effectuée en attribuant le taux d'arrivée des sessions </w:t>
      </w:r>
      <w:r w:rsidRPr="00F145C5">
        <w:rPr>
          <w:position w:val="-14"/>
        </w:rPr>
        <w:object w:dxaOrig="2760" w:dyaOrig="360">
          <v:shape id="_x0000_i1074" type="#_x0000_t75" style="width:138.65pt;height:17.85pt" o:ole="">
            <v:imagedata r:id="rId1" o:title=""/>
          </v:shape>
          <o:OLEObject Type="Embed" ProgID="Equation.3" ShapeID="_x0000_i1074" DrawAspect="Content" ObjectID="_1459064114" r:id="rId2"/>
        </w:objec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ED6" w:rsidRDefault="00327ED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ED6" w:rsidRDefault="00327ED6" w:rsidP="00E12924">
    <w:pPr>
      <w:pStyle w:val="Header"/>
      <w:ind w:right="360" w:firstLine="360"/>
    </w:pPr>
    <w:r>
      <w:rPr>
        <w:noProof/>
        <w:lang w:val="en-US" w:eastAsia="zh-CN"/>
      </w:rPr>
      <w:drawing>
        <wp:anchor distT="0" distB="0" distL="114300" distR="114300" simplePos="0" relativeHeight="251659264" behindDoc="1" locked="0" layoutInCell="1" allowOverlap="1" wp14:anchorId="334B09AD" wp14:editId="60BF0F2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ED6" w:rsidRPr="00837CB5" w:rsidRDefault="00327ED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B55F3">
      <w:rPr>
        <w:rStyle w:val="PageNumber"/>
        <w:b/>
        <w:bCs/>
        <w:noProof/>
      </w:rPr>
      <w:t>ii</w:t>
    </w:r>
    <w:r>
      <w:rPr>
        <w:rStyle w:val="PageNumber"/>
        <w:b/>
        <w:bCs/>
      </w:rPr>
      <w:fldChar w:fldCharType="end"/>
    </w:r>
    <w:r w:rsidRPr="00837CB5">
      <w:tab/>
    </w:r>
    <w:r w:rsidR="00FB430B">
      <w:fldChar w:fldCharType="begin"/>
    </w:r>
    <w:r w:rsidR="00FB430B">
      <w:instrText xml:space="preserve"> DOCPROPERTY "H</w:instrText>
    </w:r>
    <w:r w:rsidR="00FB430B">
      <w:instrText xml:space="preserve">eader" \* MERGEFORMAT </w:instrText>
    </w:r>
    <w:r w:rsidR="00FB430B">
      <w:fldChar w:fldCharType="separate"/>
    </w:r>
    <w:r w:rsidR="00FB430B" w:rsidRPr="00FB430B">
      <w:rPr>
        <w:b/>
        <w:bCs/>
      </w:rPr>
      <w:t xml:space="preserve">Rec. </w:t>
    </w:r>
    <w:r w:rsidR="00FB430B">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B430B">
      <w:rPr>
        <w:b/>
        <w:bCs/>
        <w:noProof/>
      </w:rPr>
      <w:t>UIT-R  M.1768-1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ED6" w:rsidRDefault="00327ED6">
    <w:pPr>
      <w:pStyle w:val="Header"/>
    </w:pPr>
    <w:r>
      <w:tab/>
    </w:r>
    <w:r w:rsidR="00FB430B">
      <w:fldChar w:fldCharType="begin"/>
    </w:r>
    <w:r w:rsidR="00FB430B">
      <w:instrText xml:space="preserve"> DOCPROPERTY "Header" \* MERGEFORMAT </w:instrText>
    </w:r>
    <w:r w:rsidR="00FB430B">
      <w:fldChar w:fldCharType="separate"/>
    </w:r>
    <w:r w:rsidR="00FB430B" w:rsidRPr="00FB430B">
      <w:rPr>
        <w:b/>
        <w:bCs/>
      </w:rPr>
      <w:t xml:space="preserve">Rec. </w:t>
    </w:r>
    <w:r w:rsidR="00FB430B">
      <w:rPr>
        <w:b/>
        <w:bCs/>
      </w:rPr>
      <w:fldChar w:fldCharType="end"/>
    </w:r>
    <w:r>
      <w:rPr>
        <w:b/>
        <w:bCs/>
      </w:rPr>
      <w:t xml:space="preserve"> </w:t>
    </w:r>
    <w:r>
      <w:rPr>
        <w:b/>
        <w:bCs/>
      </w:rPr>
      <w:fldChar w:fldCharType="begin"/>
    </w:r>
    <w:r>
      <w:rPr>
        <w:b/>
        <w:bCs/>
      </w:rPr>
      <w:instrText>styleref href</w:instrText>
    </w:r>
    <w:r>
      <w:rPr>
        <w:b/>
        <w:bCs/>
      </w:rPr>
      <w:fldChar w:fldCharType="separate"/>
    </w:r>
    <w:r w:rsidR="00FB430B">
      <w:rPr>
        <w:b/>
        <w:bCs/>
        <w:noProof/>
      </w:rPr>
      <w:t>UIT-R  M.1768-1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ED6" w:rsidRDefault="00327ED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B430B">
      <w:rPr>
        <w:rStyle w:val="PageNumber"/>
        <w:b/>
        <w:bCs/>
        <w:noProof/>
        <w:lang w:val="en-US"/>
      </w:rPr>
      <w:t>46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B430B" w:rsidRPr="00FB430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B430B">
      <w:rPr>
        <w:b/>
        <w:bCs/>
        <w:noProof/>
      </w:rPr>
      <w:t>UIT-R  M.1768-1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ED6" w:rsidRDefault="00327ED6">
    <w:pPr>
      <w:pStyle w:val="Header"/>
    </w:pPr>
    <w:r>
      <w:tab/>
    </w:r>
    <w:r w:rsidR="00FB430B">
      <w:fldChar w:fldCharType="begin"/>
    </w:r>
    <w:r w:rsidR="00FB430B">
      <w:instrText xml:space="preserve"> DOCPROPERTY "Header" \* MERGEFORMAT </w:instrText>
    </w:r>
    <w:r w:rsidR="00FB430B">
      <w:fldChar w:fldCharType="separate"/>
    </w:r>
    <w:r w:rsidR="00FB430B" w:rsidRPr="00FB430B">
      <w:rPr>
        <w:b/>
        <w:bCs/>
      </w:rPr>
      <w:t xml:space="preserve">Rec. </w:t>
    </w:r>
    <w:r w:rsidR="00FB430B">
      <w:rPr>
        <w:b/>
        <w:bCs/>
      </w:rPr>
      <w:fldChar w:fldCharType="end"/>
    </w:r>
    <w:r>
      <w:rPr>
        <w:b/>
        <w:bCs/>
      </w:rPr>
      <w:t xml:space="preserve"> </w:t>
    </w:r>
    <w:r>
      <w:rPr>
        <w:b/>
        <w:bCs/>
      </w:rPr>
      <w:fldChar w:fldCharType="begin"/>
    </w:r>
    <w:r>
      <w:rPr>
        <w:b/>
        <w:bCs/>
      </w:rPr>
      <w:instrText>styleref href</w:instrText>
    </w:r>
    <w:r>
      <w:rPr>
        <w:b/>
        <w:bCs/>
      </w:rPr>
      <w:fldChar w:fldCharType="separate"/>
    </w:r>
    <w:r w:rsidR="00FB430B">
      <w:rPr>
        <w:b/>
        <w:bCs/>
        <w:noProof/>
      </w:rPr>
      <w:t>UIT-R  M.1768-1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B430B">
      <w:rPr>
        <w:rStyle w:val="PageNumber"/>
        <w:b/>
        <w:bCs/>
        <w:noProof/>
      </w:rPr>
      <w:t>45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045"/>
    <w:rsid w:val="000D035C"/>
    <w:rsid w:val="000F3583"/>
    <w:rsid w:val="001439A7"/>
    <w:rsid w:val="001534E0"/>
    <w:rsid w:val="00182104"/>
    <w:rsid w:val="00191CCF"/>
    <w:rsid w:val="001B0E30"/>
    <w:rsid w:val="001C53A6"/>
    <w:rsid w:val="001F47CE"/>
    <w:rsid w:val="00217EBF"/>
    <w:rsid w:val="0022031F"/>
    <w:rsid w:val="00242AEE"/>
    <w:rsid w:val="002B55F3"/>
    <w:rsid w:val="002C734B"/>
    <w:rsid w:val="002D76C4"/>
    <w:rsid w:val="002E45DF"/>
    <w:rsid w:val="002E7256"/>
    <w:rsid w:val="003066EE"/>
    <w:rsid w:val="0032123F"/>
    <w:rsid w:val="00327ED6"/>
    <w:rsid w:val="0052529D"/>
    <w:rsid w:val="00534C19"/>
    <w:rsid w:val="00545A5B"/>
    <w:rsid w:val="005B4AE7"/>
    <w:rsid w:val="005B5E0B"/>
    <w:rsid w:val="00607D68"/>
    <w:rsid w:val="007468DA"/>
    <w:rsid w:val="008B5F10"/>
    <w:rsid w:val="008C7D38"/>
    <w:rsid w:val="008F76BA"/>
    <w:rsid w:val="00950968"/>
    <w:rsid w:val="00951985"/>
    <w:rsid w:val="009E00A8"/>
    <w:rsid w:val="009F3AF8"/>
    <w:rsid w:val="00A6617B"/>
    <w:rsid w:val="00AB0DC8"/>
    <w:rsid w:val="00AB44DF"/>
    <w:rsid w:val="00B44E24"/>
    <w:rsid w:val="00B905E4"/>
    <w:rsid w:val="00BB6F16"/>
    <w:rsid w:val="00C01C1B"/>
    <w:rsid w:val="00C038C1"/>
    <w:rsid w:val="00CB3F49"/>
    <w:rsid w:val="00D02952"/>
    <w:rsid w:val="00D15243"/>
    <w:rsid w:val="00D46C61"/>
    <w:rsid w:val="00D80DBD"/>
    <w:rsid w:val="00DE1DED"/>
    <w:rsid w:val="00DE4CE1"/>
    <w:rsid w:val="00DF4176"/>
    <w:rsid w:val="00E0147D"/>
    <w:rsid w:val="00E0735D"/>
    <w:rsid w:val="00E12924"/>
    <w:rsid w:val="00F00D23"/>
    <w:rsid w:val="00F409CD"/>
    <w:rsid w:val="00F41AA0"/>
    <w:rsid w:val="00FB430B"/>
    <w:rsid w:val="00FB7945"/>
    <w:rsid w:val="00FE00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04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C038C1"/>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FE004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04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C038C1"/>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FE00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0.wmf"/><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07" Type="http://schemas.openxmlformats.org/officeDocument/2006/relationships/image" Target="media/image49.wmf"/><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5.wmf"/><Relationship Id="rId87" Type="http://schemas.openxmlformats.org/officeDocument/2006/relationships/image" Target="media/image39.wmf"/><Relationship Id="rId102" Type="http://schemas.openxmlformats.org/officeDocument/2006/relationships/oleObject" Target="embeddings/oleObject46.bin"/><Relationship Id="rId110"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oleObject" Target="embeddings/oleObject36.bin"/><Relationship Id="rId90" Type="http://schemas.openxmlformats.org/officeDocument/2006/relationships/oleObject" Target="embeddings/oleObject40.bin"/><Relationship Id="rId95" Type="http://schemas.openxmlformats.org/officeDocument/2006/relationships/image" Target="media/image43.w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oleObject" Target="embeddings/oleObject45.bin"/><Relationship Id="rId105" Type="http://schemas.openxmlformats.org/officeDocument/2006/relationships/image" Target="media/image48.wmf"/><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oleObject" Target="embeddings/oleObject44.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oleObject" Target="embeddings/oleObject18.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7.wmf"/><Relationship Id="rId108" Type="http://schemas.openxmlformats.org/officeDocument/2006/relationships/oleObject" Target="embeddings/oleObject49.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9.bin"/><Relationship Id="rId91" Type="http://schemas.openxmlformats.org/officeDocument/2006/relationships/image" Target="media/image41.wmf"/><Relationship Id="rId96" Type="http://schemas.openxmlformats.org/officeDocument/2006/relationships/oleObject" Target="embeddings/oleObject43.bin"/><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8.bin"/><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4.bin"/><Relationship Id="rId81" Type="http://schemas.openxmlformats.org/officeDocument/2006/relationships/image" Target="media/image36.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5.wmf"/><Relationship Id="rId101" Type="http://schemas.openxmlformats.org/officeDocument/2006/relationships/image" Target="media/image46.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header" Target="header5.xml"/><Relationship Id="rId34" Type="http://schemas.openxmlformats.org/officeDocument/2006/relationships/image" Target="media/image12.wmf"/><Relationship Id="rId50" Type="http://schemas.openxmlformats.org/officeDocument/2006/relationships/oleObject" Target="embeddings/oleObject20.bin"/><Relationship Id="rId55" Type="http://schemas.openxmlformats.org/officeDocument/2006/relationships/image" Target="media/image23.wmf"/><Relationship Id="rId76" Type="http://schemas.openxmlformats.org/officeDocument/2006/relationships/oleObject" Target="embeddings/oleObject33.bin"/><Relationship Id="rId97" Type="http://schemas.openxmlformats.org/officeDocument/2006/relationships/image" Target="media/image44.wmf"/><Relationship Id="rId104"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1.bin"/></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image" Target="media/image1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75314-9BE9-48F6-A847-5B2E24E7D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411</TotalTime>
  <Pages>50</Pages>
  <Words>17179</Words>
  <Characters>97267</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114218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46</cp:revision>
  <cp:lastPrinted>2005-02-10T15:54:00Z</cp:lastPrinted>
  <dcterms:created xsi:type="dcterms:W3CDTF">2014-04-14T08:33:00Z</dcterms:created>
  <dcterms:modified xsi:type="dcterms:W3CDTF">2014-04-15T08:40:00Z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