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381" w:rsidRDefault="001C0381" w:rsidP="001C0381"/>
    <w:p w:rsidR="001C0381" w:rsidRDefault="001C0381" w:rsidP="001C0381"/>
    <w:p w:rsidR="001C0381" w:rsidRDefault="001C0381" w:rsidP="001C0381"/>
    <w:p w:rsidR="001C0381" w:rsidRDefault="001C0381" w:rsidP="001C0381"/>
    <w:p w:rsidR="001C0381" w:rsidRDefault="001C0381" w:rsidP="001C0381"/>
    <w:p w:rsidR="001C0381" w:rsidRDefault="001C0381" w:rsidP="001C0381"/>
    <w:p w:rsidR="001C0381" w:rsidRDefault="001C0381" w:rsidP="001C0381"/>
    <w:p w:rsidR="001C0381" w:rsidRDefault="001C0381" w:rsidP="001C0381"/>
    <w:p w:rsidR="001C0381" w:rsidRDefault="001C0381" w:rsidP="001C0381"/>
    <w:tbl>
      <w:tblPr>
        <w:tblW w:w="10089" w:type="dxa"/>
        <w:tblLook w:val="01E0" w:firstRow="1" w:lastRow="1" w:firstColumn="1" w:lastColumn="1" w:noHBand="0" w:noVBand="0"/>
      </w:tblPr>
      <w:tblGrid>
        <w:gridCol w:w="10089"/>
      </w:tblGrid>
      <w:tr w:rsidR="001C0381" w:rsidRPr="00A443C2" w:rsidTr="00624E78">
        <w:tc>
          <w:tcPr>
            <w:tcW w:w="10089" w:type="dxa"/>
          </w:tcPr>
          <w:p w:rsidR="001C0381" w:rsidRPr="00B033C8" w:rsidRDefault="001C0381" w:rsidP="00624E78">
            <w:pPr>
              <w:spacing w:before="380" w:line="280" w:lineRule="exact"/>
              <w:jc w:val="right"/>
              <w:rPr>
                <w:rFonts w:ascii="Tahoma" w:hAnsi="Tahoma" w:cs="Tahoma"/>
                <w:b/>
                <w:bCs/>
                <w:iCs/>
                <w:color w:val="243285"/>
                <w:sz w:val="32"/>
                <w:szCs w:val="32"/>
                <w:lang w:val="en-US"/>
              </w:rPr>
            </w:pPr>
          </w:p>
          <w:p w:rsidR="001C0381" w:rsidRPr="00A443C2" w:rsidRDefault="001C0381" w:rsidP="00624E7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1646</w:t>
            </w:r>
          </w:p>
          <w:p w:rsidR="001C0381" w:rsidRPr="00A443C2" w:rsidRDefault="001C0381" w:rsidP="00624E7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2003</w:t>
            </w:r>
            <w:r w:rsidRPr="00A443C2">
              <w:rPr>
                <w:rFonts w:ascii="Tahoma" w:hAnsi="Tahoma" w:cs="Tahoma"/>
                <w:b/>
                <w:bCs/>
                <w:iCs/>
                <w:color w:val="243285"/>
                <w:szCs w:val="24"/>
              </w:rPr>
              <w:t>)</w:t>
            </w:r>
          </w:p>
        </w:tc>
      </w:tr>
      <w:tr w:rsidR="001C0381" w:rsidRPr="00F54FBD" w:rsidTr="00624E78">
        <w:tc>
          <w:tcPr>
            <w:tcW w:w="10089" w:type="dxa"/>
          </w:tcPr>
          <w:p w:rsidR="001C0381" w:rsidRDefault="001C0381" w:rsidP="00624E78">
            <w:pPr>
              <w:spacing w:before="80" w:line="500" w:lineRule="exact"/>
              <w:jc w:val="right"/>
              <w:rPr>
                <w:rFonts w:ascii="Tahoma" w:hAnsi="Tahoma" w:cs="Tahoma"/>
                <w:b/>
                <w:bCs/>
                <w:iCs/>
                <w:color w:val="243285"/>
                <w:sz w:val="44"/>
                <w:szCs w:val="44"/>
              </w:rPr>
            </w:pPr>
          </w:p>
          <w:p w:rsidR="001C0381" w:rsidRPr="003642AD" w:rsidRDefault="001C0381" w:rsidP="00624E78">
            <w:pPr>
              <w:spacing w:before="80" w:line="500" w:lineRule="exact"/>
              <w:jc w:val="right"/>
              <w:rPr>
                <w:rFonts w:ascii="Tahoma" w:hAnsi="Tahoma" w:cs="Tahoma"/>
                <w:b/>
                <w:bCs/>
                <w:iCs/>
                <w:color w:val="243285"/>
                <w:sz w:val="44"/>
                <w:szCs w:val="44"/>
              </w:rPr>
            </w:pPr>
            <w:r w:rsidRPr="003642AD">
              <w:rPr>
                <w:rFonts w:ascii="Tahoma" w:hAnsi="Tahoma" w:cs="Tahoma"/>
                <w:b/>
                <w:bCs/>
                <w:color w:val="243285"/>
                <w:sz w:val="44"/>
                <w:szCs w:val="44"/>
              </w:rPr>
              <w:t>Paramètres à utiliser dans les études</w:t>
            </w:r>
            <w:r>
              <w:rPr>
                <w:rFonts w:ascii="Tahoma" w:hAnsi="Tahoma" w:cs="Tahoma"/>
                <w:b/>
                <w:bCs/>
                <w:color w:val="243285"/>
                <w:sz w:val="44"/>
                <w:szCs w:val="44"/>
              </w:rPr>
              <w:br/>
            </w:r>
            <w:r w:rsidRPr="003642AD">
              <w:rPr>
                <w:rFonts w:ascii="Tahoma" w:hAnsi="Tahoma" w:cs="Tahoma"/>
                <w:b/>
                <w:bCs/>
                <w:color w:val="243285"/>
                <w:sz w:val="44"/>
                <w:szCs w:val="44"/>
              </w:rPr>
              <w:t>de partage des fréquences et des limites</w:t>
            </w:r>
            <w:r>
              <w:rPr>
                <w:rFonts w:ascii="Tahoma" w:hAnsi="Tahoma" w:cs="Tahoma"/>
                <w:b/>
                <w:bCs/>
                <w:color w:val="243285"/>
                <w:sz w:val="44"/>
                <w:szCs w:val="44"/>
              </w:rPr>
              <w:br/>
            </w:r>
            <w:r w:rsidRPr="003642AD">
              <w:rPr>
                <w:rFonts w:ascii="Tahoma" w:hAnsi="Tahoma" w:cs="Tahoma"/>
                <w:b/>
                <w:bCs/>
                <w:color w:val="243285"/>
                <w:sz w:val="44"/>
                <w:szCs w:val="44"/>
              </w:rPr>
              <w:t>de puissance surfacique entre les IMT-2000 de Terre et le service de radiodiffusion</w:t>
            </w:r>
            <w:r>
              <w:rPr>
                <w:rFonts w:ascii="Tahoma" w:hAnsi="Tahoma" w:cs="Tahoma"/>
                <w:b/>
                <w:bCs/>
                <w:color w:val="243285"/>
                <w:sz w:val="44"/>
                <w:szCs w:val="44"/>
              </w:rPr>
              <w:br/>
            </w:r>
            <w:r w:rsidRPr="003642AD">
              <w:rPr>
                <w:rFonts w:ascii="Tahoma" w:hAnsi="Tahoma" w:cs="Tahoma"/>
                <w:b/>
                <w:bCs/>
                <w:color w:val="243285"/>
                <w:sz w:val="44"/>
                <w:szCs w:val="44"/>
              </w:rPr>
              <w:t>par satellite (sonore) dans</w:t>
            </w:r>
            <w:r>
              <w:rPr>
                <w:rFonts w:ascii="Tahoma" w:hAnsi="Tahoma" w:cs="Tahoma"/>
                <w:b/>
                <w:bCs/>
                <w:color w:val="243285"/>
                <w:sz w:val="44"/>
                <w:szCs w:val="44"/>
              </w:rPr>
              <w:t xml:space="preserve"> </w:t>
            </w:r>
            <w:r w:rsidRPr="003642AD">
              <w:rPr>
                <w:rFonts w:ascii="Tahoma" w:hAnsi="Tahoma" w:cs="Tahoma"/>
                <w:b/>
                <w:bCs/>
                <w:color w:val="243285"/>
                <w:sz w:val="44"/>
                <w:szCs w:val="44"/>
              </w:rPr>
              <w:t>la bande</w:t>
            </w:r>
            <w:r>
              <w:rPr>
                <w:rFonts w:ascii="Tahoma" w:hAnsi="Tahoma" w:cs="Tahoma"/>
                <w:b/>
                <w:bCs/>
                <w:color w:val="243285"/>
                <w:sz w:val="44"/>
                <w:szCs w:val="44"/>
              </w:rPr>
              <w:br/>
            </w:r>
            <w:r w:rsidRPr="003642AD">
              <w:rPr>
                <w:rFonts w:ascii="Tahoma" w:hAnsi="Tahoma" w:cs="Tahoma"/>
                <w:b/>
                <w:bCs/>
                <w:color w:val="243285"/>
                <w:sz w:val="44"/>
                <w:szCs w:val="44"/>
              </w:rPr>
              <w:t>2 630</w:t>
            </w:r>
            <w:r w:rsidRPr="003642AD">
              <w:rPr>
                <w:rFonts w:ascii="Tahoma" w:hAnsi="Tahoma" w:cs="Tahoma"/>
                <w:b/>
                <w:bCs/>
                <w:color w:val="243285"/>
                <w:sz w:val="44"/>
                <w:szCs w:val="44"/>
              </w:rPr>
              <w:noBreakHyphen/>
              <w:t>2 655 MHz</w:t>
            </w:r>
          </w:p>
          <w:p w:rsidR="001C0381" w:rsidRPr="00F54FBD" w:rsidRDefault="001C0381" w:rsidP="00624E78">
            <w:pPr>
              <w:spacing w:before="80" w:line="500" w:lineRule="exact"/>
              <w:jc w:val="right"/>
              <w:rPr>
                <w:rFonts w:ascii="Tahoma" w:hAnsi="Tahoma" w:cs="Tahoma"/>
                <w:b/>
                <w:bCs/>
                <w:iCs/>
                <w:color w:val="243285"/>
                <w:sz w:val="44"/>
                <w:szCs w:val="44"/>
              </w:rPr>
            </w:pPr>
          </w:p>
        </w:tc>
      </w:tr>
      <w:tr w:rsidR="001C0381" w:rsidRPr="00F54FBD" w:rsidTr="00624E78">
        <w:tc>
          <w:tcPr>
            <w:tcW w:w="10089" w:type="dxa"/>
          </w:tcPr>
          <w:p w:rsidR="001C0381" w:rsidRPr="00F54FBD" w:rsidRDefault="001C0381" w:rsidP="00624E78">
            <w:pPr>
              <w:spacing w:before="80" w:line="280" w:lineRule="exact"/>
              <w:ind w:right="640"/>
              <w:rPr>
                <w:rFonts w:ascii="Tahoma" w:hAnsi="Tahoma" w:cs="Tahoma"/>
                <w:b/>
                <w:bCs/>
                <w:iCs/>
                <w:color w:val="243285"/>
                <w:sz w:val="32"/>
                <w:szCs w:val="32"/>
              </w:rPr>
            </w:pPr>
          </w:p>
          <w:p w:rsidR="001C0381" w:rsidRPr="00F54FBD" w:rsidRDefault="001C0381" w:rsidP="00624E78">
            <w:pPr>
              <w:spacing w:before="80" w:line="280" w:lineRule="exact"/>
              <w:ind w:right="640"/>
              <w:rPr>
                <w:rFonts w:ascii="Tahoma" w:hAnsi="Tahoma" w:cs="Tahoma"/>
                <w:b/>
                <w:bCs/>
                <w:iCs/>
                <w:color w:val="243285"/>
                <w:sz w:val="32"/>
                <w:szCs w:val="32"/>
              </w:rPr>
            </w:pPr>
          </w:p>
          <w:p w:rsidR="001C0381" w:rsidRPr="00F54FBD" w:rsidRDefault="001C0381" w:rsidP="00624E78">
            <w:pPr>
              <w:spacing w:before="80" w:after="180" w:line="360" w:lineRule="exact"/>
              <w:ind w:right="720"/>
              <w:rPr>
                <w:rFonts w:ascii="Tahoma" w:hAnsi="Tahoma" w:cs="Tahoma"/>
                <w:b/>
                <w:bCs/>
                <w:iCs/>
                <w:color w:val="243285"/>
                <w:sz w:val="36"/>
                <w:szCs w:val="36"/>
              </w:rPr>
            </w:pPr>
          </w:p>
          <w:p w:rsidR="001C0381" w:rsidRPr="00F54FBD" w:rsidRDefault="001C0381" w:rsidP="00624E7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1C0381" w:rsidRPr="00F54FBD" w:rsidRDefault="001C0381" w:rsidP="00624E7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1C0381" w:rsidRPr="00F54FBD" w:rsidRDefault="001C0381" w:rsidP="001C0381">
      <w:pPr>
        <w:spacing w:before="80"/>
        <w:rPr>
          <w:i/>
          <w:sz w:val="22"/>
        </w:rPr>
      </w:pPr>
    </w:p>
    <w:p w:rsidR="001C0381" w:rsidRPr="00F54FBD" w:rsidRDefault="001C0381" w:rsidP="001C0381">
      <w:pPr>
        <w:spacing w:before="80"/>
        <w:rPr>
          <w:i/>
          <w:sz w:val="22"/>
        </w:rPr>
      </w:pPr>
    </w:p>
    <w:p w:rsidR="001C0381" w:rsidRPr="00F54FBD" w:rsidRDefault="001C0381" w:rsidP="001C0381">
      <w:pPr>
        <w:spacing w:before="80"/>
        <w:rPr>
          <w:i/>
          <w:sz w:val="22"/>
        </w:rPr>
      </w:pPr>
    </w:p>
    <w:p w:rsidR="001C0381" w:rsidRPr="00F54FBD" w:rsidRDefault="001C0381" w:rsidP="001C0381">
      <w:pPr>
        <w:spacing w:before="80"/>
        <w:rPr>
          <w:i/>
          <w:sz w:val="22"/>
        </w:rPr>
      </w:pPr>
    </w:p>
    <w:p w:rsidR="001C0381" w:rsidRPr="00F54FBD" w:rsidRDefault="001C0381" w:rsidP="001C0381">
      <w:pPr>
        <w:spacing w:before="80"/>
        <w:rPr>
          <w:i/>
          <w:sz w:val="22"/>
        </w:rPr>
      </w:pPr>
    </w:p>
    <w:p w:rsidR="001C0381" w:rsidRPr="00F54FBD" w:rsidRDefault="001C0381" w:rsidP="001C0381">
      <w:pPr>
        <w:spacing w:before="80"/>
        <w:rPr>
          <w:i/>
          <w:sz w:val="22"/>
        </w:rPr>
      </w:pPr>
    </w:p>
    <w:p w:rsidR="001C0381" w:rsidRPr="00F54FBD" w:rsidRDefault="001C0381" w:rsidP="001C0381">
      <w:pPr>
        <w:pStyle w:val="Equation"/>
        <w:tabs>
          <w:tab w:val="clear" w:pos="4820"/>
          <w:tab w:val="clear" w:pos="9639"/>
          <w:tab w:val="left" w:pos="1191"/>
          <w:tab w:val="left" w:pos="1588"/>
          <w:tab w:val="left" w:pos="1985"/>
        </w:tabs>
        <w:rPr>
          <w:rFonts w:ascii="Palatino Linotype" w:hAnsi="Palatino Linotype"/>
        </w:rPr>
        <w:sectPr w:rsidR="001C0381" w:rsidRPr="00F54FBD">
          <w:headerReference w:type="even" r:id="rId7"/>
          <w:headerReference w:type="default" r:id="rId8"/>
          <w:pgSz w:w="11907" w:h="16840" w:code="9"/>
          <w:pgMar w:top="1089" w:right="1089" w:bottom="284" w:left="1089" w:header="567" w:footer="284" w:gutter="0"/>
          <w:pgNumType w:start="1"/>
          <w:cols w:space="720"/>
        </w:sectPr>
      </w:pPr>
    </w:p>
    <w:p w:rsidR="001C0381" w:rsidRPr="00F54FBD" w:rsidRDefault="001C0381" w:rsidP="001C03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C0381" w:rsidRPr="00F54FBD" w:rsidRDefault="001C0381" w:rsidP="001C038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C0381" w:rsidRPr="00F54FBD" w:rsidRDefault="001C0381" w:rsidP="001C038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C0381" w:rsidRPr="00E44CBB" w:rsidRDefault="001C0381" w:rsidP="001C038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C0381" w:rsidRPr="00E44CBB" w:rsidRDefault="001C0381" w:rsidP="001C038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C0381" w:rsidRPr="00332969" w:rsidRDefault="001C0381" w:rsidP="001C038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C0381" w:rsidRPr="009454F8" w:rsidTr="00624E78">
        <w:tc>
          <w:tcPr>
            <w:tcW w:w="9360" w:type="dxa"/>
            <w:gridSpan w:val="2"/>
          </w:tcPr>
          <w:p w:rsidR="001C0381" w:rsidRPr="009454F8" w:rsidRDefault="001C0381" w:rsidP="00624E7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C0381" w:rsidRPr="009454F8"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1C0381" w:rsidRPr="00036EE3" w:rsidTr="00624E78">
        <w:tc>
          <w:tcPr>
            <w:tcW w:w="1140" w:type="dxa"/>
          </w:tcPr>
          <w:p w:rsidR="001C0381" w:rsidRPr="00614CC6" w:rsidRDefault="001C0381" w:rsidP="00624E78">
            <w:pPr>
              <w:spacing w:before="90" w:after="100"/>
              <w:ind w:left="57"/>
              <w:rPr>
                <w:b/>
                <w:bCs/>
                <w:sz w:val="20"/>
                <w:lang w:val="en-US"/>
              </w:rPr>
            </w:pPr>
            <w:r w:rsidRPr="00614CC6">
              <w:rPr>
                <w:b/>
                <w:bCs/>
                <w:sz w:val="20"/>
                <w:lang w:val="en-US"/>
              </w:rPr>
              <w:t>Séries</w:t>
            </w:r>
          </w:p>
        </w:tc>
        <w:tc>
          <w:tcPr>
            <w:tcW w:w="8220" w:type="dxa"/>
          </w:tcPr>
          <w:p w:rsidR="001C0381" w:rsidRPr="00614CC6"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BO</w:t>
            </w:r>
          </w:p>
        </w:tc>
        <w:tc>
          <w:tcPr>
            <w:tcW w:w="8220" w:type="dxa"/>
          </w:tcPr>
          <w:p w:rsidR="001C0381" w:rsidRPr="00614CC6"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C0381" w:rsidRPr="009454F8"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BR</w:t>
            </w:r>
          </w:p>
        </w:tc>
        <w:tc>
          <w:tcPr>
            <w:tcW w:w="8220" w:type="dxa"/>
          </w:tcPr>
          <w:p w:rsidR="001C0381" w:rsidRPr="00614CC6"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BS</w:t>
            </w:r>
          </w:p>
        </w:tc>
        <w:tc>
          <w:tcPr>
            <w:tcW w:w="8220" w:type="dxa"/>
          </w:tcPr>
          <w:p w:rsidR="001C0381" w:rsidRPr="00614CC6"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C0381" w:rsidRPr="00ED2695" w:rsidTr="00624E78">
        <w:tc>
          <w:tcPr>
            <w:tcW w:w="1140" w:type="dxa"/>
            <w:shd w:val="clear" w:color="auto" w:fill="auto"/>
          </w:tcPr>
          <w:p w:rsidR="001C0381" w:rsidRPr="00614CC6" w:rsidRDefault="001C0381" w:rsidP="00624E78">
            <w:pPr>
              <w:spacing w:before="30" w:after="30"/>
              <w:ind w:left="57"/>
              <w:jc w:val="left"/>
              <w:rPr>
                <w:b/>
                <w:bCs/>
                <w:sz w:val="20"/>
                <w:lang w:val="en-US"/>
              </w:rPr>
            </w:pPr>
            <w:r w:rsidRPr="00614CC6">
              <w:rPr>
                <w:b/>
                <w:bCs/>
                <w:sz w:val="20"/>
                <w:lang w:val="en-US"/>
              </w:rPr>
              <w:t>BT</w:t>
            </w:r>
          </w:p>
        </w:tc>
        <w:tc>
          <w:tcPr>
            <w:tcW w:w="8220" w:type="dxa"/>
            <w:shd w:val="clear" w:color="auto" w:fill="auto"/>
          </w:tcPr>
          <w:p w:rsidR="001C0381" w:rsidRPr="00614CC6"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C0381" w:rsidRPr="00036EE3" w:rsidTr="00624E78">
        <w:tc>
          <w:tcPr>
            <w:tcW w:w="1140" w:type="dxa"/>
            <w:shd w:val="clear" w:color="auto" w:fill="auto"/>
          </w:tcPr>
          <w:p w:rsidR="001C0381" w:rsidRPr="00614CC6" w:rsidRDefault="001C0381" w:rsidP="00624E78">
            <w:pPr>
              <w:spacing w:before="30" w:after="30"/>
              <w:ind w:left="57"/>
              <w:jc w:val="left"/>
              <w:rPr>
                <w:b/>
                <w:bCs/>
                <w:sz w:val="20"/>
                <w:lang w:val="fr-CH"/>
              </w:rPr>
            </w:pPr>
            <w:r w:rsidRPr="00614CC6">
              <w:rPr>
                <w:b/>
                <w:bCs/>
                <w:sz w:val="20"/>
                <w:lang w:val="fr-CH"/>
              </w:rPr>
              <w:t>F</w:t>
            </w:r>
          </w:p>
        </w:tc>
        <w:tc>
          <w:tcPr>
            <w:tcW w:w="8220" w:type="dxa"/>
            <w:shd w:val="clear" w:color="auto" w:fill="auto"/>
          </w:tcPr>
          <w:p w:rsidR="001C0381" w:rsidRPr="00614CC6" w:rsidRDefault="001C0381" w:rsidP="0062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C0381" w:rsidRPr="00592F9F" w:rsidTr="00624E78">
        <w:tc>
          <w:tcPr>
            <w:tcW w:w="1140" w:type="dxa"/>
            <w:shd w:val="clear" w:color="auto" w:fill="F3F3F3"/>
          </w:tcPr>
          <w:p w:rsidR="001C0381" w:rsidRPr="00592F9F" w:rsidRDefault="001C0381" w:rsidP="00624E78">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1C0381" w:rsidRPr="00592F9F" w:rsidRDefault="001C0381" w:rsidP="00624E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1C0381" w:rsidRPr="00036EE3" w:rsidTr="00624E78">
        <w:tc>
          <w:tcPr>
            <w:tcW w:w="1140" w:type="dxa"/>
          </w:tcPr>
          <w:p w:rsidR="001C0381" w:rsidRPr="00614CC6" w:rsidRDefault="001C0381" w:rsidP="00624E78">
            <w:pPr>
              <w:spacing w:before="30" w:after="30"/>
              <w:ind w:left="57"/>
              <w:jc w:val="left"/>
              <w:rPr>
                <w:b/>
                <w:bCs/>
                <w:sz w:val="20"/>
                <w:lang w:val="fr-CH"/>
              </w:rPr>
            </w:pPr>
            <w:r w:rsidRPr="00614CC6">
              <w:rPr>
                <w:b/>
                <w:bCs/>
                <w:sz w:val="20"/>
                <w:lang w:val="fr-CH"/>
              </w:rPr>
              <w:t>P</w:t>
            </w:r>
          </w:p>
        </w:tc>
        <w:tc>
          <w:tcPr>
            <w:tcW w:w="8220" w:type="dxa"/>
          </w:tcPr>
          <w:p w:rsidR="001C0381" w:rsidRPr="00614CC6" w:rsidRDefault="001C0381" w:rsidP="00624E78">
            <w:pPr>
              <w:spacing w:before="30" w:after="30"/>
              <w:jc w:val="left"/>
              <w:rPr>
                <w:sz w:val="20"/>
                <w:lang w:val="fr-CH"/>
              </w:rPr>
            </w:pPr>
            <w:r w:rsidRPr="00614CC6">
              <w:rPr>
                <w:sz w:val="20"/>
              </w:rPr>
              <w:t>Propagation des ondes radioélectriques</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RA</w:t>
            </w:r>
          </w:p>
        </w:tc>
        <w:tc>
          <w:tcPr>
            <w:tcW w:w="8220" w:type="dxa"/>
          </w:tcPr>
          <w:p w:rsidR="001C0381" w:rsidRPr="00614CC6" w:rsidRDefault="001C0381" w:rsidP="0062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RS</w:t>
            </w:r>
          </w:p>
        </w:tc>
        <w:tc>
          <w:tcPr>
            <w:tcW w:w="8220" w:type="dxa"/>
          </w:tcPr>
          <w:p w:rsidR="001C0381" w:rsidRPr="00614CC6" w:rsidRDefault="001C0381" w:rsidP="00624E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S</w:t>
            </w:r>
          </w:p>
        </w:tc>
        <w:tc>
          <w:tcPr>
            <w:tcW w:w="8220" w:type="dxa"/>
          </w:tcPr>
          <w:p w:rsidR="001C0381" w:rsidRPr="00614CC6" w:rsidRDefault="001C0381" w:rsidP="00624E78">
            <w:pPr>
              <w:spacing w:before="30" w:after="30"/>
              <w:jc w:val="left"/>
              <w:rPr>
                <w:sz w:val="20"/>
                <w:lang w:val="en-US"/>
              </w:rPr>
            </w:pPr>
            <w:r w:rsidRPr="00614CC6">
              <w:rPr>
                <w:sz w:val="20"/>
              </w:rPr>
              <w:t>Service fixe par satellite</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SA</w:t>
            </w:r>
          </w:p>
        </w:tc>
        <w:tc>
          <w:tcPr>
            <w:tcW w:w="8220" w:type="dxa"/>
          </w:tcPr>
          <w:p w:rsidR="001C0381" w:rsidRPr="00614CC6" w:rsidRDefault="001C0381" w:rsidP="00624E78">
            <w:pPr>
              <w:spacing w:before="30" w:after="30"/>
              <w:jc w:val="left"/>
              <w:rPr>
                <w:sz w:val="20"/>
                <w:lang w:val="en-US"/>
              </w:rPr>
            </w:pPr>
            <w:r w:rsidRPr="00614CC6">
              <w:rPr>
                <w:sz w:val="20"/>
              </w:rPr>
              <w:t>Applications spatiales et météorologie</w:t>
            </w:r>
          </w:p>
        </w:tc>
      </w:tr>
      <w:tr w:rsidR="001C0381" w:rsidRPr="00614CC6"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SF</w:t>
            </w:r>
          </w:p>
        </w:tc>
        <w:tc>
          <w:tcPr>
            <w:tcW w:w="8220" w:type="dxa"/>
          </w:tcPr>
          <w:p w:rsidR="001C0381" w:rsidRPr="00614CC6" w:rsidRDefault="001C0381" w:rsidP="00624E78">
            <w:pPr>
              <w:spacing w:before="30" w:after="30"/>
              <w:jc w:val="left"/>
              <w:rPr>
                <w:sz w:val="20"/>
              </w:rPr>
            </w:pPr>
            <w:r w:rsidRPr="00614CC6">
              <w:rPr>
                <w:sz w:val="20"/>
              </w:rPr>
              <w:t>Partage des fréquences et coordination entre les systèmes du service fixe par satellite et du service fixe</w:t>
            </w:r>
          </w:p>
        </w:tc>
      </w:tr>
      <w:tr w:rsidR="001C0381" w:rsidRPr="00036EE3" w:rsidTr="00624E78">
        <w:tc>
          <w:tcPr>
            <w:tcW w:w="1140" w:type="dxa"/>
            <w:shd w:val="clear" w:color="auto" w:fill="auto"/>
          </w:tcPr>
          <w:p w:rsidR="001C0381" w:rsidRPr="00592F9F" w:rsidRDefault="001C0381" w:rsidP="00624E78">
            <w:pPr>
              <w:spacing w:before="30" w:after="30"/>
              <w:ind w:left="57"/>
              <w:jc w:val="left"/>
              <w:rPr>
                <w:b/>
                <w:bCs/>
                <w:sz w:val="20"/>
                <w:lang w:val="en-US"/>
              </w:rPr>
            </w:pPr>
            <w:r w:rsidRPr="00592F9F">
              <w:rPr>
                <w:b/>
                <w:bCs/>
                <w:sz w:val="20"/>
                <w:lang w:val="en-US"/>
              </w:rPr>
              <w:t>SM</w:t>
            </w:r>
          </w:p>
        </w:tc>
        <w:tc>
          <w:tcPr>
            <w:tcW w:w="8220" w:type="dxa"/>
            <w:shd w:val="clear" w:color="auto" w:fill="auto"/>
          </w:tcPr>
          <w:p w:rsidR="001C0381" w:rsidRPr="00592F9F" w:rsidRDefault="001C0381" w:rsidP="00624E78">
            <w:pPr>
              <w:spacing w:before="30" w:after="30"/>
              <w:jc w:val="left"/>
              <w:rPr>
                <w:sz w:val="20"/>
                <w:lang w:val="en-US"/>
              </w:rPr>
            </w:pPr>
            <w:r w:rsidRPr="00592F9F">
              <w:rPr>
                <w:sz w:val="20"/>
              </w:rPr>
              <w:t>Gestion du spectre</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SNG</w:t>
            </w:r>
          </w:p>
        </w:tc>
        <w:tc>
          <w:tcPr>
            <w:tcW w:w="8220" w:type="dxa"/>
          </w:tcPr>
          <w:p w:rsidR="001C0381" w:rsidRPr="00614CC6" w:rsidRDefault="001C0381" w:rsidP="00624E78">
            <w:pPr>
              <w:spacing w:before="30" w:after="30"/>
              <w:jc w:val="left"/>
              <w:rPr>
                <w:sz w:val="20"/>
                <w:lang w:val="en-US"/>
              </w:rPr>
            </w:pPr>
            <w:r w:rsidRPr="00614CC6">
              <w:rPr>
                <w:sz w:val="20"/>
              </w:rPr>
              <w:t>Reportage d'actualités par satellite</w:t>
            </w:r>
          </w:p>
        </w:tc>
      </w:tr>
      <w:tr w:rsidR="001C0381" w:rsidRPr="00614CC6"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TF</w:t>
            </w:r>
          </w:p>
        </w:tc>
        <w:tc>
          <w:tcPr>
            <w:tcW w:w="8220" w:type="dxa"/>
          </w:tcPr>
          <w:p w:rsidR="001C0381" w:rsidRPr="00614CC6" w:rsidRDefault="001C0381" w:rsidP="00624E78">
            <w:pPr>
              <w:spacing w:before="30" w:after="30"/>
              <w:jc w:val="left"/>
              <w:rPr>
                <w:sz w:val="20"/>
              </w:rPr>
            </w:pPr>
            <w:r w:rsidRPr="00614CC6">
              <w:rPr>
                <w:sz w:val="20"/>
              </w:rPr>
              <w:t>Emissions de fréquences étalon et de signaux horaires</w:t>
            </w:r>
          </w:p>
        </w:tc>
      </w:tr>
      <w:tr w:rsidR="001C0381" w:rsidRPr="00036EE3" w:rsidTr="00624E78">
        <w:tc>
          <w:tcPr>
            <w:tcW w:w="1140" w:type="dxa"/>
          </w:tcPr>
          <w:p w:rsidR="001C0381" w:rsidRPr="00614CC6" w:rsidRDefault="001C0381" w:rsidP="00624E78">
            <w:pPr>
              <w:spacing w:before="30" w:after="30"/>
              <w:ind w:left="57"/>
              <w:jc w:val="left"/>
              <w:rPr>
                <w:b/>
                <w:bCs/>
                <w:sz w:val="20"/>
                <w:lang w:val="en-US"/>
              </w:rPr>
            </w:pPr>
            <w:r w:rsidRPr="00614CC6">
              <w:rPr>
                <w:b/>
                <w:bCs/>
                <w:sz w:val="20"/>
                <w:lang w:val="en-US"/>
              </w:rPr>
              <w:t>V</w:t>
            </w:r>
          </w:p>
        </w:tc>
        <w:tc>
          <w:tcPr>
            <w:tcW w:w="8220" w:type="dxa"/>
          </w:tcPr>
          <w:p w:rsidR="001C0381" w:rsidRPr="00614CC6" w:rsidRDefault="001C0381" w:rsidP="00624E78">
            <w:pPr>
              <w:spacing w:before="30" w:after="140"/>
              <w:jc w:val="left"/>
              <w:rPr>
                <w:sz w:val="20"/>
                <w:lang w:val="en-US"/>
              </w:rPr>
            </w:pPr>
            <w:r w:rsidRPr="00614CC6">
              <w:rPr>
                <w:sz w:val="20"/>
              </w:rPr>
              <w:t>Vocabulaire et sujets associés</w:t>
            </w:r>
          </w:p>
        </w:tc>
      </w:tr>
    </w:tbl>
    <w:p w:rsidR="001C0381" w:rsidRPr="00036EE3" w:rsidRDefault="001C0381" w:rsidP="001C0381">
      <w:pPr>
        <w:spacing w:before="0"/>
        <w:jc w:val="center"/>
        <w:rPr>
          <w:sz w:val="20"/>
          <w:lang w:val="en-US"/>
        </w:rPr>
      </w:pPr>
    </w:p>
    <w:p w:rsidR="001C0381" w:rsidRPr="00036EE3" w:rsidRDefault="001C0381" w:rsidP="001C038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C0381" w:rsidRPr="00756B4D" w:rsidTr="00624E78">
        <w:tc>
          <w:tcPr>
            <w:tcW w:w="9360" w:type="dxa"/>
          </w:tcPr>
          <w:p w:rsidR="001C0381" w:rsidRPr="00756B4D" w:rsidRDefault="001C0381" w:rsidP="00624E78">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C0381" w:rsidRPr="00756B4D" w:rsidRDefault="001C0381" w:rsidP="001C0381">
      <w:pPr>
        <w:spacing w:before="0"/>
        <w:jc w:val="center"/>
        <w:rPr>
          <w:sz w:val="22"/>
        </w:rPr>
      </w:pPr>
    </w:p>
    <w:p w:rsidR="001C0381" w:rsidRPr="00614CC6" w:rsidRDefault="001C0381" w:rsidP="001C0381">
      <w:pPr>
        <w:spacing w:before="100"/>
        <w:jc w:val="right"/>
        <w:rPr>
          <w:i/>
          <w:iCs/>
          <w:sz w:val="20"/>
        </w:rPr>
      </w:pPr>
      <w:r w:rsidRPr="00614CC6">
        <w:rPr>
          <w:i/>
          <w:iCs/>
          <w:sz w:val="20"/>
        </w:rPr>
        <w:t>Publication électronique</w:t>
      </w:r>
    </w:p>
    <w:p w:rsidR="001C0381" w:rsidRPr="00614CC6" w:rsidRDefault="001C0381" w:rsidP="001C0381">
      <w:pPr>
        <w:spacing w:before="0"/>
        <w:jc w:val="right"/>
        <w:rPr>
          <w:sz w:val="20"/>
        </w:rPr>
      </w:pPr>
      <w:r w:rsidRPr="00614CC6">
        <w:rPr>
          <w:sz w:val="20"/>
        </w:rPr>
        <w:t>Genève, 20</w:t>
      </w:r>
      <w:r>
        <w:rPr>
          <w:sz w:val="20"/>
        </w:rPr>
        <w:t>11</w:t>
      </w:r>
    </w:p>
    <w:p w:rsidR="001C0381" w:rsidRPr="00614CC6" w:rsidRDefault="001C0381" w:rsidP="001C038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11</w:t>
      </w:r>
    </w:p>
    <w:p w:rsidR="001C0381" w:rsidRPr="00614CC6" w:rsidRDefault="001C0381" w:rsidP="001C038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C0381" w:rsidRPr="00614CC6" w:rsidRDefault="001C0381" w:rsidP="001C0381">
      <w:pPr>
        <w:spacing w:before="160"/>
        <w:rPr>
          <w:i/>
          <w:sz w:val="20"/>
          <w:highlight w:val="yellow"/>
        </w:rPr>
        <w:sectPr w:rsidR="001C0381" w:rsidRPr="00614CC6" w:rsidSect="00624E78">
          <w:headerReference w:type="even" r:id="rId11"/>
          <w:headerReference w:type="default" r:id="rId12"/>
          <w:pgSz w:w="11907" w:h="16834" w:code="9"/>
          <w:pgMar w:top="1418" w:right="1134" w:bottom="1134" w:left="1134" w:header="720" w:footer="482" w:gutter="0"/>
          <w:pgNumType w:fmt="lowerRoman" w:start="2"/>
          <w:cols w:space="720"/>
        </w:sectPr>
      </w:pPr>
    </w:p>
    <w:p w:rsidR="001C0381" w:rsidRDefault="001C0381" w:rsidP="002D4E78">
      <w:pPr>
        <w:pStyle w:val="RecNo"/>
        <w:spacing w:before="0"/>
      </w:pPr>
      <w:r>
        <w:lastRenderedPageBreak/>
        <w:t xml:space="preserve">RECOMMANDATION  </w:t>
      </w:r>
      <w:r>
        <w:rPr>
          <w:rStyle w:val="href"/>
        </w:rPr>
        <w:t>UIT-R  M.1646</w:t>
      </w:r>
      <w:r w:rsidRPr="00595D6F">
        <w:rPr>
          <w:rStyle w:val="FootnoteReference"/>
        </w:rPr>
        <w:footnoteReference w:customMarkFollows="1" w:id="1"/>
        <w:sym w:font="Symbol" w:char="F02A"/>
      </w:r>
      <w:r>
        <w:rPr>
          <w:rStyle w:val="FootnoteReference"/>
        </w:rPr>
        <w:t>,</w:t>
      </w:r>
      <w:r w:rsidR="001F4B4B">
        <w:rPr>
          <w:rStyle w:val="FootnoteReference"/>
        </w:rPr>
        <w:t xml:space="preserve"> </w:t>
      </w:r>
      <w:r w:rsidR="002D4E78" w:rsidRPr="002D4E78">
        <w:rPr>
          <w:rStyle w:val="FootnoteReference"/>
          <w:lang w:val="fr-CH"/>
        </w:rPr>
        <w:footnoteReference w:customMarkFollows="1" w:id="2"/>
        <w:t>**</w:t>
      </w:r>
    </w:p>
    <w:p w:rsidR="001C0381" w:rsidRDefault="001C0381" w:rsidP="001C0381">
      <w:pPr>
        <w:pStyle w:val="Rectitle"/>
      </w:pPr>
      <w:r>
        <w:t xml:space="preserve">Paramètres à utiliser dans les études de partage des fréquences et </w:t>
      </w:r>
      <w:r>
        <w:br/>
        <w:t xml:space="preserve">des limites de puissance surfacique entre les IMT-2000 de Terre </w:t>
      </w:r>
      <w:r>
        <w:br/>
        <w:t xml:space="preserve">et le service de radiodiffusion par satellite (sonore) </w:t>
      </w:r>
      <w:r>
        <w:br/>
        <w:t>dans la bande 2 630</w:t>
      </w:r>
      <w:r>
        <w:noBreakHyphen/>
        <w:t>2 655 MHz</w:t>
      </w:r>
    </w:p>
    <w:p w:rsidR="001C0381" w:rsidRDefault="001C0381" w:rsidP="001C0381">
      <w:pPr>
        <w:pStyle w:val="Repdate"/>
      </w:pPr>
    </w:p>
    <w:p w:rsidR="001C0381" w:rsidRDefault="001C0381" w:rsidP="001C0381">
      <w:pPr>
        <w:pStyle w:val="Repdate"/>
      </w:pPr>
      <w:r>
        <w:t>(2003)</w:t>
      </w:r>
    </w:p>
    <w:p w:rsidR="001C0381" w:rsidRPr="009D62A2" w:rsidRDefault="001C0381" w:rsidP="001C0381"/>
    <w:p w:rsidR="001C0381" w:rsidRPr="00332969" w:rsidRDefault="001C0381" w:rsidP="001C0381">
      <w:pPr>
        <w:pStyle w:val="HeadingSum"/>
        <w:rPr>
          <w:lang w:val="fr-CH"/>
        </w:rPr>
      </w:pPr>
      <w:r w:rsidRPr="00332969">
        <w:rPr>
          <w:lang w:val="fr-CH"/>
        </w:rPr>
        <w:t>Domaine d'application</w:t>
      </w:r>
    </w:p>
    <w:p w:rsidR="001C0381" w:rsidRPr="00332969" w:rsidRDefault="001C0381" w:rsidP="001C0381">
      <w:pPr>
        <w:pStyle w:val="Summary"/>
        <w:rPr>
          <w:lang w:val="fr-CH"/>
        </w:rPr>
      </w:pPr>
      <w:r w:rsidRPr="00332969">
        <w:rPr>
          <w:lang w:val="fr-CH"/>
        </w:rPr>
        <w:t>Dans la présente Recommandation il est recommandé d'utiliser les paramètres de réception des stations mobiles et des stations de base IMT-2000 pour évaluer le brouillage causé par les systèmes du SRS (sonore) fonctionnant dans la bande 2 630-2 655 MHz. Il est aussi recommandé d'évaluer ce brouillage en termes de niveau de brouillage cumulatif causé par les systèmes du SRS (sonore) par rapport au bruit thermique au récepteur IMT-2000 considéré.</w:t>
      </w:r>
    </w:p>
    <w:p w:rsidR="001C0381" w:rsidRDefault="001C0381" w:rsidP="001C0381">
      <w:pPr>
        <w:pStyle w:val="Normalaftertitle"/>
      </w:pPr>
      <w:r>
        <w:t>L'Assemblée des radiocommunications de l'UIT,</w:t>
      </w:r>
    </w:p>
    <w:p w:rsidR="001C0381" w:rsidRDefault="001C0381" w:rsidP="001C0381">
      <w:pPr>
        <w:pStyle w:val="Call"/>
      </w:pPr>
      <w:r>
        <w:t>considérant</w:t>
      </w:r>
    </w:p>
    <w:p w:rsidR="001C0381" w:rsidRDefault="001C0381" w:rsidP="001C0381">
      <w:r>
        <w:t>a)</w:t>
      </w:r>
      <w:r>
        <w:tab/>
        <w:t>que certains pays se proposent de mettre en service les IMT-2000 dans cette bande entre 2005 et 2010;</w:t>
      </w:r>
    </w:p>
    <w:p w:rsidR="001C0381" w:rsidRDefault="001C0381" w:rsidP="001C0381">
      <w:r>
        <w:t>b)</w:t>
      </w:r>
      <w:r>
        <w:tab/>
        <w:t>qu'il est prévu d'introduire les systèmes IMT</w:t>
      </w:r>
      <w:r>
        <w:noBreakHyphen/>
        <w:t xml:space="preserve">2000 utilisant cette bande dans les zones urbaines et rurales, la couverture de ces dernières étant toutefois la plus difficile à réaliser vu que leur trafic, s'il est faible, revêt une grande importance; </w:t>
      </w:r>
    </w:p>
    <w:p w:rsidR="001C0381" w:rsidRDefault="001C0381" w:rsidP="001C0381">
      <w:r>
        <w:t>c)</w:t>
      </w:r>
      <w:r>
        <w:tab/>
        <w:t>que l'introduction de systèmes à satellites du SRS (sonore) dans cette bande peut produire des brouillages sur tout le territoire d'une administration qui projette de mettre en œuvre des IMT</w:t>
      </w:r>
      <w:r>
        <w:noBreakHyphen/>
        <w:t>2000;</w:t>
      </w:r>
    </w:p>
    <w:p w:rsidR="001C0381" w:rsidRDefault="001C0381" w:rsidP="001C0381">
      <w:r>
        <w:t>d)</w:t>
      </w:r>
      <w:r>
        <w:tab/>
        <w:t>qu'il convient de prendre en compte l'ensemble des technologies IMT</w:t>
      </w:r>
      <w:r>
        <w:noBreakHyphen/>
        <w:t>2000 présentées dans la Recommandation UIT</w:t>
      </w:r>
      <w:r>
        <w:noBreakHyphen/>
        <w:t xml:space="preserve">R M.1457 dans les études de partage et de limite de puissance surfacique; </w:t>
      </w:r>
    </w:p>
    <w:p w:rsidR="001C0381" w:rsidRDefault="001C0381" w:rsidP="001C0381">
      <w:r>
        <w:t>e)</w:t>
      </w:r>
      <w:r>
        <w:tab/>
        <w:t>que la Résolution 539 (CMR</w:t>
      </w:r>
      <w:r>
        <w:noBreakHyphen/>
        <w:t>2000) contient, entre autres dispositions, les limites de puissance surfacique provisoires applicables aux systèmes du SRS (sonore) utilisant des satellites non OSG et fonctionnant dans la bande 2 630</w:t>
      </w:r>
      <w:r>
        <w:noBreakHyphen/>
        <w:t>2 655 MHz;</w:t>
      </w:r>
    </w:p>
    <w:p w:rsidR="001C0381" w:rsidRDefault="001C0381" w:rsidP="001C0381">
      <w:r>
        <w:t>f)</w:t>
      </w:r>
      <w:r>
        <w:tab/>
        <w:t>que la Résolution 539 (CMR</w:t>
      </w:r>
      <w:r>
        <w:noBreakHyphen/>
        <w:t>2000) invite l'UIT</w:t>
      </w:r>
      <w:r>
        <w:noBreakHyphen/>
        <w:t>R à effectuer à temps pour la CMR</w:t>
      </w:r>
      <w:r>
        <w:noBreakHyphen/>
        <w:t>03 les études techniques nécessaires relatives au partage de fréquences entre les systèmes du service de radiodiffusion par satellite (sonore) et ceux des services de Terre dans la bande 2 630</w:t>
      </w:r>
      <w:r>
        <w:noBreakHyphen/>
        <w:t>2 655 MHz en vue de ne pas imposer de contraintes indues à ces services;</w:t>
      </w:r>
    </w:p>
    <w:p w:rsidR="001C0381" w:rsidRDefault="001C0381" w:rsidP="001C0381">
      <w:r>
        <w:t>g)</w:t>
      </w:r>
      <w:r>
        <w:tab/>
        <w:t>qu'il est envisagé de réviser en 2004 la Recommandation UIT</w:t>
      </w:r>
      <w:r>
        <w:noBreakHyphen/>
        <w:t>R M.1036 sur les dispositions en matière de fréquences utilisables par les IMT</w:t>
      </w:r>
      <w:r>
        <w:noBreakHyphen/>
        <w:t>2000 de Terre;</w:t>
      </w:r>
    </w:p>
    <w:p w:rsidR="001C0381" w:rsidRDefault="001C0381" w:rsidP="001C0381">
      <w:r>
        <w:lastRenderedPageBreak/>
        <w:t>h)</w:t>
      </w:r>
      <w:r>
        <w:tab/>
        <w:t>qu'il conviendra de modéliser avec précision le diagramme d'antenne à utiliser dans ces études afin de tenir compte de la nature cumulée du brouillage produit par les satellites du SRS (sonore) dans les stations des IMT</w:t>
      </w:r>
      <w:r>
        <w:noBreakHyphen/>
        <w:t>2000 qui pourraient être exposées,</w:t>
      </w:r>
    </w:p>
    <w:p w:rsidR="001C0381" w:rsidRDefault="001C0381" w:rsidP="001C0381">
      <w:pPr>
        <w:pStyle w:val="Call"/>
        <w:spacing w:before="120"/>
      </w:pPr>
      <w:r>
        <w:t>reconnaissant</w:t>
      </w:r>
    </w:p>
    <w:p w:rsidR="001C0381" w:rsidRDefault="001C0381" w:rsidP="001C0381">
      <w:r>
        <w:t>a)</w:t>
      </w:r>
      <w:r>
        <w:tab/>
        <w:t>que l'emploi de la bande 2 500</w:t>
      </w:r>
      <w:r>
        <w:noBreakHyphen/>
        <w:t>2 690 MHz, qui est attribuée en particulier au service mobile sauf aéronautique, à titre primaire dans les trois Régions, est envisagé par les administrations souhaitant mettre en œuvre les IMT</w:t>
      </w:r>
      <w:r>
        <w:noBreakHyphen/>
        <w:t>2000 conformément à la Résolution 223 (CMR</w:t>
      </w:r>
      <w:r>
        <w:noBreakHyphen/>
        <w:t>2000). Ce choix n'exclut pas que cette bande soit utilisée pour toute application des services auxquels elle est attribuée et n'introduit pas de priorité dans le Règlement des radiocommunications (RR);</w:t>
      </w:r>
    </w:p>
    <w:p w:rsidR="001C0381" w:rsidRDefault="001C0381" w:rsidP="001C0381">
      <w:r>
        <w:t>b)</w:t>
      </w:r>
      <w:r>
        <w:tab/>
        <w:t>que la bande 2 535</w:t>
      </w:r>
      <w:r>
        <w:noBreakHyphen/>
        <w:t>2 655 MHz est également attribuée à titre primaire au SRS (sonore) et au service de radiodiffusion de Terre complémentaire en vertu de la Résolution 528 (CAMR-92) qui limite l'utilisation actuelle aux 25 MHz supérieurs de la bande, et que les réseaux de ces services ne sont pas soumis aux limites de puissance surfacique indiquées dans le Tableau 21</w:t>
      </w:r>
      <w:r>
        <w:noBreakHyphen/>
        <w:t>4 du RR de l'Article 21 du RR,</w:t>
      </w:r>
    </w:p>
    <w:p w:rsidR="001C0381" w:rsidRDefault="001C0381" w:rsidP="001C0381">
      <w:pPr>
        <w:pStyle w:val="Call"/>
      </w:pPr>
      <w:r>
        <w:t>recommande</w:t>
      </w:r>
    </w:p>
    <w:p w:rsidR="001C0381" w:rsidRDefault="001C0381" w:rsidP="001C0381">
      <w:r>
        <w:rPr>
          <w:b/>
          <w:bCs/>
        </w:rPr>
        <w:t>1</w:t>
      </w:r>
      <w:r>
        <w:tab/>
        <w:t xml:space="preserve">d'évaluer le niveau de brouillage en termes de rapport </w:t>
      </w:r>
      <w:r>
        <w:rPr>
          <w:i/>
          <w:iCs/>
        </w:rPr>
        <w:t>I</w:t>
      </w:r>
      <w:r>
        <w:rPr>
          <w:i/>
          <w:iCs/>
          <w:vertAlign w:val="subscript"/>
        </w:rPr>
        <w:t>sat</w:t>
      </w:r>
      <w:r>
        <w:t>/</w:t>
      </w:r>
      <w:r>
        <w:rPr>
          <w:i/>
          <w:iCs/>
        </w:rPr>
        <w:t>N</w:t>
      </w:r>
      <w:r>
        <w:rPr>
          <w:i/>
          <w:iCs/>
          <w:vertAlign w:val="subscript"/>
        </w:rPr>
        <w:t>th</w:t>
      </w:r>
      <w:r>
        <w:t xml:space="preserve">, </w:t>
      </w:r>
      <w:r>
        <w:rPr>
          <w:i/>
          <w:iCs/>
        </w:rPr>
        <w:t>I</w:t>
      </w:r>
      <w:r>
        <w:rPr>
          <w:i/>
          <w:iCs/>
          <w:vertAlign w:val="subscript"/>
        </w:rPr>
        <w:t>sat</w:t>
      </w:r>
      <w:r>
        <w:t xml:space="preserve"> étant le niveau de brouillage cumulatif par les systèmes du SRS (sonore) et </w:t>
      </w:r>
      <w:r>
        <w:rPr>
          <w:i/>
          <w:iCs/>
        </w:rPr>
        <w:t>N</w:t>
      </w:r>
      <w:r>
        <w:rPr>
          <w:i/>
          <w:iCs/>
          <w:vertAlign w:val="subscript"/>
        </w:rPr>
        <w:t>th</w:t>
      </w:r>
      <w:r>
        <w:t xml:space="preserve"> le bruit thermique au récepteur IMT</w:t>
      </w:r>
      <w:r>
        <w:noBreakHyphen/>
        <w:t>2000;</w:t>
      </w:r>
    </w:p>
    <w:p w:rsidR="001C0381" w:rsidRDefault="001C0381" w:rsidP="001C0381">
      <w:r>
        <w:rPr>
          <w:b/>
          <w:bCs/>
        </w:rPr>
        <w:t>2</w:t>
      </w:r>
      <w:r>
        <w:tab/>
        <w:t xml:space="preserve">que la valeur pour </w:t>
      </w:r>
      <w:r>
        <w:rPr>
          <w:i/>
          <w:iCs/>
        </w:rPr>
        <w:t>I</w:t>
      </w:r>
      <w:r>
        <w:rPr>
          <w:i/>
          <w:iCs/>
          <w:vertAlign w:val="subscript"/>
        </w:rPr>
        <w:t>sat</w:t>
      </w:r>
      <w:r>
        <w:t>/</w:t>
      </w:r>
      <w:r>
        <w:rPr>
          <w:i/>
          <w:iCs/>
        </w:rPr>
        <w:t>N</w:t>
      </w:r>
      <w:r>
        <w:rPr>
          <w:i/>
          <w:iCs/>
          <w:vertAlign w:val="subscript"/>
        </w:rPr>
        <w:t>th</w:t>
      </w:r>
      <w:r>
        <w:t xml:space="preserve"> de –10 dB pour tout récepteur mobile IMT-2000 ou récepteur de station de base, soit utilisée comme valeur de déclenchement pour les études de partage dans le but de protéger les IMT-2000 des stations du SRS;</w:t>
      </w:r>
    </w:p>
    <w:p w:rsidR="001C0381" w:rsidRDefault="001C0381" w:rsidP="001C0381">
      <w:r>
        <w:rPr>
          <w:b/>
          <w:bCs/>
        </w:rPr>
        <w:t>3</w:t>
      </w:r>
      <w:r>
        <w:tab/>
        <w:t>d'utiliser les paramètres de réception suivants dans l'évaluation du brouillage causé aux stations mobiles IMT</w:t>
      </w:r>
      <w:r>
        <w:noBreakHyphen/>
        <w:t>2000:</w:t>
      </w:r>
    </w:p>
    <w:p w:rsidR="001C0381" w:rsidRDefault="001C0381" w:rsidP="001C0381">
      <w:pPr>
        <w:pStyle w:val="enumlev1"/>
      </w:pPr>
      <w:r>
        <w:sym w:font="Symbol" w:char="F02D"/>
      </w:r>
      <w:r>
        <w:tab/>
        <w:t>facteur de bruit maximal: 9 dB,</w:t>
      </w:r>
    </w:p>
    <w:p w:rsidR="001C0381" w:rsidRDefault="001C0381" w:rsidP="001C0381">
      <w:pPr>
        <w:pStyle w:val="enumlev1"/>
      </w:pPr>
      <w:r>
        <w:sym w:font="Symbol" w:char="F02D"/>
      </w:r>
      <w:r>
        <w:tab/>
        <w:t>niveau de bruit thermique au récepteur: –135 dB(W/MHz),</w:t>
      </w:r>
    </w:p>
    <w:p w:rsidR="001C0381" w:rsidRDefault="001C0381" w:rsidP="001C0381">
      <w:pPr>
        <w:pStyle w:val="enumlev1"/>
      </w:pPr>
      <w:r>
        <w:sym w:font="Symbol" w:char="F02D"/>
      </w:r>
      <w:r>
        <w:tab/>
        <w:t>gain de l'antenne: 0 dBi,</w:t>
      </w:r>
    </w:p>
    <w:p w:rsidR="001C0381" w:rsidRDefault="001C0381" w:rsidP="001C0381">
      <w:pPr>
        <w:pStyle w:val="enumlev1"/>
      </w:pPr>
      <w:r>
        <w:sym w:font="Symbol" w:char="F02D"/>
      </w:r>
      <w:r>
        <w:tab/>
        <w:t>polarisation: linéaire;</w:t>
      </w:r>
    </w:p>
    <w:p w:rsidR="001C0381" w:rsidRDefault="001C0381" w:rsidP="001C0381">
      <w:r>
        <w:rPr>
          <w:b/>
          <w:bCs/>
        </w:rPr>
        <w:t>4</w:t>
      </w:r>
      <w:r>
        <w:tab/>
        <w:t>d'utiliser les paramètres de réception suivants pour évaluer le brouillage des stations de base des IMT</w:t>
      </w:r>
      <w:r>
        <w:noBreakHyphen/>
        <w:t>2000:</w:t>
      </w:r>
    </w:p>
    <w:p w:rsidR="001C0381" w:rsidRDefault="001C0381" w:rsidP="001C0381">
      <w:pPr>
        <w:pStyle w:val="enumlev1"/>
      </w:pPr>
      <w:r>
        <w:sym w:font="Symbol" w:char="F02D"/>
      </w:r>
      <w:r>
        <w:tab/>
        <w:t>facteur de bruit usuel: 5 dB,</w:t>
      </w:r>
    </w:p>
    <w:p w:rsidR="001C0381" w:rsidRDefault="001C0381" w:rsidP="001C0381">
      <w:pPr>
        <w:pStyle w:val="enumlev1"/>
      </w:pPr>
      <w:r>
        <w:sym w:font="Symbol" w:char="F02D"/>
      </w:r>
      <w:r>
        <w:tab/>
        <w:t>niveau de bruit thermique au récepteur: –139 dB(W/MHz),</w:t>
      </w:r>
    </w:p>
    <w:p w:rsidR="001C0381" w:rsidRDefault="001C0381" w:rsidP="001C0381">
      <w:pPr>
        <w:pStyle w:val="enumlev1"/>
      </w:pPr>
      <w:r>
        <w:sym w:font="Symbol" w:char="F02D"/>
      </w:r>
      <w:r>
        <w:tab/>
        <w:t>affaiblissement dans la ligne d'alimentation: 2 dB,</w:t>
      </w:r>
    </w:p>
    <w:p w:rsidR="001C0381" w:rsidRDefault="001C0381" w:rsidP="001C0381">
      <w:pPr>
        <w:pStyle w:val="enumlev1"/>
      </w:pPr>
      <w:r>
        <w:sym w:font="Symbol" w:char="F02D"/>
      </w:r>
      <w:r>
        <w:tab/>
        <w:t>polarisation: linéaire,</w:t>
      </w:r>
    </w:p>
    <w:p w:rsidR="001C0381" w:rsidRDefault="001C0381" w:rsidP="001C0381">
      <w:pPr>
        <w:pStyle w:val="enumlev1"/>
      </w:pPr>
      <w:r>
        <w:sym w:font="Symbol" w:char="F02D"/>
      </w:r>
      <w:r>
        <w:tab/>
        <w:t>antenne typique: sectorielle de 120°, ayant un gain maximal de 18 dBi et un angle d'inclinaison vers le bas de 2,5°. Le diagramme d'antenne dans le plan vertical devrait être modélisé comme indiqué dans l'Annexe 1 (voir la Note 1).</w:t>
      </w:r>
    </w:p>
    <w:p w:rsidR="001C0381" w:rsidRDefault="001C0381" w:rsidP="00454493">
      <w:r>
        <w:t>NOTE</w:t>
      </w:r>
      <w:r w:rsidR="00454493">
        <w:t> </w:t>
      </w:r>
      <w:r>
        <w:t>1</w:t>
      </w:r>
      <w:r w:rsidR="00454493">
        <w:t> </w:t>
      </w:r>
      <w:r>
        <w:sym w:font="Symbol" w:char="F02D"/>
      </w:r>
      <w:r w:rsidR="00454493">
        <w:t> </w:t>
      </w:r>
      <w:r>
        <w:t>La variation en azimut du gain des antennes sectorielles est actuellement étudiée par l'UIT</w:t>
      </w:r>
      <w:r>
        <w:noBreakHyphen/>
        <w:t>R. Le gain à l'extérieur du secteur peut être modélisé provisoirement, pour les études de partage, à la valeur du gain de l'antenne diminuée de 30 dB.</w:t>
      </w:r>
    </w:p>
    <w:p w:rsidR="00650263" w:rsidRDefault="00650263" w:rsidP="001C0381"/>
    <w:p w:rsidR="00650263" w:rsidRDefault="00650263" w:rsidP="001C0381"/>
    <w:p w:rsidR="00650263" w:rsidRDefault="00650263" w:rsidP="001C0381"/>
    <w:p w:rsidR="001C0381" w:rsidRDefault="001C0381" w:rsidP="00454493">
      <w:r>
        <w:lastRenderedPageBreak/>
        <w:t>NOTE</w:t>
      </w:r>
      <w:r w:rsidR="00454493">
        <w:t> </w:t>
      </w:r>
      <w:r>
        <w:t>2</w:t>
      </w:r>
      <w:r w:rsidR="00454493">
        <w:t> </w:t>
      </w:r>
      <w:r>
        <w:sym w:font="Symbol" w:char="F02D"/>
      </w:r>
      <w:r w:rsidR="00454493">
        <w:t> </w:t>
      </w:r>
      <w:bookmarkStart w:id="2" w:name="_GoBack"/>
      <w:bookmarkEnd w:id="2"/>
      <w:r>
        <w:t>Les paramètres de brouillage IMT</w:t>
      </w:r>
      <w:r>
        <w:noBreakHyphen/>
        <w:t>2000 recommandés sont optimisés pour une utilisation en zone rurale mais sont suffisants pour limiter le brouillage aux IMT</w:t>
      </w:r>
      <w:r>
        <w:noBreakHyphen/>
        <w:t>2000 dans tout environnement. Il faut prévoir que des IMT</w:t>
      </w:r>
      <w:r>
        <w:noBreakHyphen/>
        <w:t>2000 ayant quelques caractéristiques différentes, par exemple celles qui cadrent avec les microstations et les picostations de base duplex à répartition dans le temps/duplex à répartition de fréquences, seront moins sensibles au brouillage externe.</w:t>
      </w:r>
    </w:p>
    <w:p w:rsidR="001C0381" w:rsidRDefault="001C0381" w:rsidP="001C0381">
      <w:pPr>
        <w:pStyle w:val="Note"/>
      </w:pPr>
    </w:p>
    <w:p w:rsidR="001C0381" w:rsidRDefault="001C0381" w:rsidP="001C0381">
      <w:pPr>
        <w:pStyle w:val="Note"/>
      </w:pPr>
    </w:p>
    <w:p w:rsidR="001C0381" w:rsidRDefault="001C0381" w:rsidP="001C0381">
      <w:pPr>
        <w:pStyle w:val="AnnexNoTitle"/>
      </w:pPr>
      <w:r>
        <w:t>Annexe 1</w:t>
      </w:r>
      <w:r>
        <w:br/>
      </w:r>
      <w:r>
        <w:br/>
        <w:t xml:space="preserve">Diagramme d'antenne vertical à utiliser </w:t>
      </w:r>
      <w:r>
        <w:br/>
        <w:t>pour une station de base IMT</w:t>
      </w:r>
      <w:r>
        <w:noBreakHyphen/>
        <w:t>2000</w:t>
      </w:r>
    </w:p>
    <w:p w:rsidR="001C0381" w:rsidRDefault="001C0381" w:rsidP="001C0381">
      <w:pPr>
        <w:pStyle w:val="Normalaftertitle"/>
      </w:pPr>
    </w:p>
    <w:p w:rsidR="001C0381" w:rsidRDefault="001C0381" w:rsidP="001C0381">
      <w:pPr>
        <w:pStyle w:val="Equation"/>
      </w:pPr>
      <w:r>
        <w:tab/>
      </w:r>
      <w:r>
        <w:tab/>
      </w:r>
      <w:r w:rsidR="00650263">
        <w:rPr>
          <w:position w:val="-10"/>
        </w:rPr>
        <w:object w:dxaOrig="23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pt;height:16.15pt" o:ole="">
            <v:imagedata r:id="rId13" o:title=""/>
          </v:shape>
          <o:OLEObject Type="Embed" ProgID="Equation.3" ShapeID="_x0000_i1025" DrawAspect="Content" ObjectID="_1369225910" r:id="rId14"/>
        </w:object>
      </w:r>
      <w:r>
        <w:tab/>
        <w:t>(1a)</w:t>
      </w:r>
    </w:p>
    <w:p w:rsidR="001C0381" w:rsidRDefault="001C0381" w:rsidP="001C0381">
      <w:pPr>
        <w:pStyle w:val="Blanc"/>
      </w:pPr>
    </w:p>
    <w:p w:rsidR="001C0381" w:rsidRDefault="001C0381" w:rsidP="001C0381">
      <w:pPr>
        <w:pStyle w:val="Equation"/>
        <w:spacing w:before="100"/>
      </w:pPr>
      <w:r>
        <w:tab/>
      </w:r>
      <w:r>
        <w:tab/>
      </w:r>
      <w:r w:rsidR="00650263" w:rsidRPr="00650263">
        <w:rPr>
          <w:position w:val="-30"/>
        </w:rPr>
        <w:object w:dxaOrig="1939" w:dyaOrig="780">
          <v:shape id="_x0000_i1026" type="#_x0000_t75" style="width:96.65pt;height:39.25pt" o:ole="">
            <v:imagedata r:id="rId15" o:title=""/>
          </v:shape>
          <o:OLEObject Type="Embed" ProgID="Equation.3" ShapeID="_x0000_i1026" DrawAspect="Content" ObjectID="_1369225911" r:id="rId16"/>
        </w:object>
      </w:r>
      <w:r>
        <w:tab/>
        <w:t>(1b)</w:t>
      </w:r>
    </w:p>
    <w:p w:rsidR="001C0381" w:rsidRDefault="001C0381" w:rsidP="001C0381">
      <w:pPr>
        <w:pStyle w:val="Blanc"/>
      </w:pPr>
    </w:p>
    <w:p w:rsidR="001C0381" w:rsidRDefault="001C0381" w:rsidP="001C0381">
      <w:pPr>
        <w:pStyle w:val="Equation"/>
        <w:spacing w:before="100"/>
      </w:pPr>
      <w:r>
        <w:tab/>
      </w:r>
      <w:r>
        <w:tab/>
      </w:r>
      <w:r w:rsidR="00650263" w:rsidRPr="00650263">
        <w:rPr>
          <w:position w:val="-42"/>
        </w:rPr>
        <w:object w:dxaOrig="4160" w:dyaOrig="940">
          <v:shape id="_x0000_i1027" type="#_x0000_t75" style="width:207.9pt;height:47.35pt" o:ole="">
            <v:imagedata r:id="rId17" o:title=""/>
          </v:shape>
          <o:OLEObject Type="Embed" ProgID="Equation.3" ShapeID="_x0000_i1027" DrawAspect="Content" ObjectID="_1369225912" r:id="rId18"/>
        </w:object>
      </w:r>
      <w:r>
        <w:tab/>
        <w:t>(1c)</w:t>
      </w:r>
    </w:p>
    <w:p w:rsidR="001C0381" w:rsidRDefault="001C0381" w:rsidP="001C0381">
      <w:pPr>
        <w:pStyle w:val="Blanc"/>
      </w:pPr>
    </w:p>
    <w:p w:rsidR="001C0381" w:rsidRDefault="00650263" w:rsidP="001C0381">
      <w:pPr>
        <w:pStyle w:val="Equation"/>
        <w:jc w:val="center"/>
      </w:pPr>
      <w:r w:rsidRPr="00650263">
        <w:rPr>
          <w:position w:val="-28"/>
        </w:rPr>
        <w:object w:dxaOrig="1980" w:dyaOrig="700">
          <v:shape id="_x0000_i1028" type="#_x0000_t75" style="width:98.95pt;height:35.05pt" o:ole="">
            <v:imagedata r:id="rId19" o:title=""/>
          </v:shape>
          <o:OLEObject Type="Embed" ProgID="Equation.3" ShapeID="_x0000_i1028" DrawAspect="Content" ObjectID="_1369225913" r:id="rId20"/>
        </w:object>
      </w:r>
    </w:p>
    <w:p w:rsidR="001C0381" w:rsidRDefault="001C0381" w:rsidP="001C0381">
      <w:pPr>
        <w:pStyle w:val="Blanc"/>
      </w:pPr>
    </w:p>
    <w:p w:rsidR="001C0381" w:rsidRDefault="001C0381" w:rsidP="001C0381">
      <w:r>
        <w:t>où:</w:t>
      </w:r>
    </w:p>
    <w:p w:rsidR="001C0381" w:rsidRDefault="001C0381" w:rsidP="001C0381">
      <w:pPr>
        <w:pStyle w:val="Equationlegend"/>
        <w:rPr>
          <w:lang w:val="fr-FR"/>
        </w:rPr>
      </w:pPr>
      <w:r>
        <w:rPr>
          <w:i/>
          <w:lang w:val="fr-FR"/>
        </w:rPr>
        <w:tab/>
        <w:t>G</w:t>
      </w:r>
      <w:r>
        <w:rPr>
          <w:lang w:val="fr-FR"/>
        </w:rPr>
        <w:t>(θ):</w:t>
      </w:r>
      <w:r>
        <w:rPr>
          <w:lang w:val="fr-FR"/>
        </w:rPr>
        <w:tab/>
        <w:t>gain par rapport à une antenne isotrope (dBi)</w:t>
      </w:r>
    </w:p>
    <w:p w:rsidR="001C0381" w:rsidRDefault="001C0381" w:rsidP="001C0381">
      <w:pPr>
        <w:pStyle w:val="Equationlegend"/>
        <w:rPr>
          <w:lang w:val="fr-FR"/>
        </w:rPr>
      </w:pPr>
      <w:r>
        <w:rPr>
          <w:lang w:val="fr-FR"/>
        </w:rPr>
        <w:tab/>
      </w:r>
      <w:r>
        <w:rPr>
          <w:i/>
          <w:lang w:val="fr-FR"/>
        </w:rPr>
        <w:t>G</w:t>
      </w:r>
      <w:r w:rsidRPr="00332969">
        <w:rPr>
          <w:vertAlign w:val="subscript"/>
          <w:lang w:val="fr-CH"/>
        </w:rPr>
        <w:t>0</w:t>
      </w:r>
      <w:r>
        <w:rPr>
          <w:lang w:val="fr-FR"/>
        </w:rPr>
        <w:t>:</w:t>
      </w:r>
      <w:r>
        <w:rPr>
          <w:lang w:val="fr-FR"/>
        </w:rPr>
        <w:tab/>
        <w:t>gain maximal dans ou près du plan horizontal (dBi)</w:t>
      </w:r>
    </w:p>
    <w:p w:rsidR="001C0381" w:rsidRDefault="001C0381" w:rsidP="001C0381">
      <w:pPr>
        <w:pStyle w:val="Equationlegend"/>
        <w:rPr>
          <w:lang w:val="fr-FR"/>
        </w:rPr>
      </w:pPr>
      <w:r>
        <w:rPr>
          <w:lang w:val="fr-FR"/>
        </w:rPr>
        <w:tab/>
        <w:t>θ:</w:t>
      </w:r>
      <w:r>
        <w:rPr>
          <w:rFonts w:ascii="Symbol" w:hAnsi="Symbol"/>
          <w:lang w:val="fr-FR"/>
        </w:rPr>
        <w:tab/>
      </w:r>
      <w:r>
        <w:rPr>
          <w:lang w:val="fr-FR"/>
        </w:rPr>
        <w:t>valeur absolue de l'angle d'élévation par rapport à l'angle de gain maximal (degrés), de 0° à 90°</w:t>
      </w:r>
    </w:p>
    <w:p w:rsidR="001C0381" w:rsidRDefault="001C0381" w:rsidP="001C0381">
      <w:pPr>
        <w:pStyle w:val="Equationlegend"/>
        <w:rPr>
          <w:lang w:val="fr-FR"/>
        </w:rPr>
      </w:pPr>
      <w:r>
        <w:rPr>
          <w:lang w:val="fr-FR"/>
        </w:rPr>
        <w:tab/>
        <w:t>θ</w:t>
      </w:r>
      <w:r w:rsidRPr="009D62A2">
        <w:rPr>
          <w:vertAlign w:val="subscript"/>
          <w:lang w:val="fr-FR"/>
        </w:rPr>
        <w:t>3</w:t>
      </w:r>
      <w:r>
        <w:rPr>
          <w:rFonts w:ascii="Tms Rmn" w:hAnsi="Tms Rmn"/>
          <w:lang w:val="fr-FR"/>
        </w:rPr>
        <w:t>:</w:t>
      </w:r>
      <w:r>
        <w:rPr>
          <w:rFonts w:ascii="Tms Rmn" w:hAnsi="Tms Rmn"/>
          <w:lang w:val="fr-FR"/>
        </w:rPr>
        <w:tab/>
      </w:r>
      <w:r>
        <w:rPr>
          <w:lang w:val="fr-FR"/>
        </w:rPr>
        <w:t>largeur de bande de 3 dB dans le plan vertical (degrés)</w:t>
      </w:r>
    </w:p>
    <w:p w:rsidR="001C0381" w:rsidRDefault="001C0381" w:rsidP="001C0381">
      <w:pPr>
        <w:pStyle w:val="Equationlegend"/>
        <w:rPr>
          <w:lang w:val="fr-FR"/>
        </w:rPr>
      </w:pPr>
      <w:r>
        <w:rPr>
          <w:lang w:val="fr-FR"/>
        </w:rPr>
        <w:tab/>
      </w:r>
      <w:r>
        <w:rPr>
          <w:lang w:val="fr-FR"/>
        </w:rPr>
        <w:sym w:font="Symbol" w:char="F06A"/>
      </w:r>
      <w:r w:rsidRPr="00332969">
        <w:rPr>
          <w:i/>
          <w:iCs/>
          <w:vertAlign w:val="subscript"/>
          <w:lang w:val="fr-CH"/>
        </w:rPr>
        <w:t>s</w:t>
      </w:r>
      <w:r>
        <w:rPr>
          <w:rFonts w:ascii="Tms Rmn" w:hAnsi="Tms Rmn"/>
          <w:lang w:val="fr-FR"/>
        </w:rPr>
        <w:t>:</w:t>
      </w:r>
      <w:r>
        <w:rPr>
          <w:rFonts w:ascii="Tms Rmn" w:hAnsi="Tms Rmn"/>
          <w:lang w:val="fr-FR"/>
        </w:rPr>
        <w:tab/>
        <w:t>largeur de bande de 3 dB dans le plan d'azimut (degrés)</w:t>
      </w:r>
    </w:p>
    <w:p w:rsidR="001C0381" w:rsidRPr="00332969" w:rsidRDefault="001C0381" w:rsidP="001C0381">
      <w:pPr>
        <w:pStyle w:val="Equationlegend"/>
        <w:rPr>
          <w:lang w:val="fr-CH"/>
        </w:rPr>
      </w:pPr>
      <w:r w:rsidRPr="00332969">
        <w:rPr>
          <w:lang w:val="fr-CH"/>
        </w:rPr>
        <w:tab/>
      </w:r>
      <w:r w:rsidRPr="00332969">
        <w:rPr>
          <w:i/>
          <w:lang w:val="fr-CH"/>
        </w:rPr>
        <w:t>k</w:t>
      </w:r>
      <w:r w:rsidRPr="00332969">
        <w:rPr>
          <w:lang w:val="fr-CH"/>
        </w:rPr>
        <w:t>:</w:t>
      </w:r>
      <w:r w:rsidRPr="00332969">
        <w:rPr>
          <w:i/>
          <w:lang w:val="fr-CH"/>
        </w:rPr>
        <w:tab/>
      </w:r>
      <w:r w:rsidRPr="00332969">
        <w:rPr>
          <w:lang w:val="fr-CH"/>
        </w:rPr>
        <w:t xml:space="preserve">paramètre qui est à l'origine des niveaux des lobes latéraux de l'antenne; dans le cas de diagrammes de lobes latéraux moyens utilisés pour les études du brouillage par satellite à plusieurs composantes, le paramètre </w:t>
      </w:r>
      <w:r w:rsidRPr="00332969">
        <w:rPr>
          <w:i/>
          <w:lang w:val="fr-CH"/>
        </w:rPr>
        <w:t>k</w:t>
      </w:r>
      <w:r w:rsidRPr="00332969">
        <w:rPr>
          <w:lang w:val="fr-CH"/>
        </w:rPr>
        <w:t xml:space="preserve"> devrait être de 0,2.</w:t>
      </w:r>
    </w:p>
    <w:p w:rsidR="001C0381" w:rsidRDefault="001C0381" w:rsidP="001C0381"/>
    <w:p w:rsidR="001C0381" w:rsidRPr="00332969" w:rsidRDefault="001C0381" w:rsidP="001C0381">
      <w:pPr>
        <w:pStyle w:val="Line"/>
        <w:rPr>
          <w:lang w:val="fr-CH"/>
        </w:rPr>
      </w:pPr>
    </w:p>
    <w:p w:rsidR="00A6617B" w:rsidRPr="001C0381" w:rsidRDefault="00A6617B" w:rsidP="00A6617B">
      <w:pPr>
        <w:rPr>
          <w:lang w:val="fr-CH"/>
        </w:rPr>
      </w:pPr>
    </w:p>
    <w:sectPr w:rsidR="00A6617B" w:rsidRPr="001C0381" w:rsidSect="00624E78">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E78" w:rsidRDefault="00624E78">
      <w:r>
        <w:separator/>
      </w:r>
    </w:p>
  </w:endnote>
  <w:endnote w:type="continuationSeparator" w:id="0">
    <w:p w:rsidR="00624E78" w:rsidRDefault="00624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E78" w:rsidRDefault="00624E78">
      <w:r>
        <w:separator/>
      </w:r>
    </w:p>
  </w:footnote>
  <w:footnote w:type="continuationSeparator" w:id="0">
    <w:p w:rsidR="00624E78" w:rsidRDefault="00624E78">
      <w:r>
        <w:continuationSeparator/>
      </w:r>
    </w:p>
  </w:footnote>
  <w:footnote w:id="1">
    <w:p w:rsidR="00624E78" w:rsidRPr="00595D6F" w:rsidRDefault="00624E78" w:rsidP="001C0381">
      <w:pPr>
        <w:pStyle w:val="FootnoteText"/>
        <w:rPr>
          <w:lang w:val="fr-CH"/>
        </w:rPr>
      </w:pPr>
      <w:r w:rsidRPr="00595D6F">
        <w:rPr>
          <w:rStyle w:val="FootnoteReference"/>
        </w:rPr>
        <w:sym w:font="Symbol" w:char="F02A"/>
      </w:r>
      <w:r>
        <w:t xml:space="preserve"> </w:t>
      </w:r>
      <w:r>
        <w:rPr>
          <w:lang w:val="fr-CH"/>
        </w:rPr>
        <w:tab/>
      </w:r>
      <w:r w:rsidRPr="00AA3BC3">
        <w:t>Il convient de porter cette Recommandation à l'attention de la Commission d'études 6 des radiocommunications.</w:t>
      </w:r>
    </w:p>
  </w:footnote>
  <w:footnote w:id="2">
    <w:p w:rsidR="002D4E78" w:rsidRPr="002D4E78" w:rsidRDefault="002D4E78" w:rsidP="002D4E78">
      <w:pPr>
        <w:pStyle w:val="FootnoteText"/>
        <w:rPr>
          <w:lang w:val="fr-CH"/>
        </w:rPr>
      </w:pPr>
      <w:r w:rsidRPr="002D4E78">
        <w:rPr>
          <w:rStyle w:val="FootnoteReference"/>
          <w:lang w:val="fr-CH"/>
        </w:rPr>
        <w:t>**</w:t>
      </w:r>
      <w:r w:rsidRPr="002D4E78">
        <w:rPr>
          <w:lang w:val="fr-CH"/>
        </w:rPr>
        <w:tab/>
      </w:r>
      <w:r w:rsidRPr="00AA3BC3">
        <w:rPr>
          <w:lang w:val="fr-CH"/>
        </w:rPr>
        <w:t>La Commission d'étude 5 des radiocommunications a apporté des modifications rédactionnelles à la présente Recommandation en novembre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78" w:rsidRDefault="00624E7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78" w:rsidRDefault="00624E78" w:rsidP="00624E78">
    <w:pPr>
      <w:pStyle w:val="Header"/>
      <w:ind w:right="360" w:firstLine="360"/>
    </w:pPr>
    <w:r>
      <w:rPr>
        <w:noProof/>
        <w:lang w:val="en-US" w:eastAsia="zh-CN"/>
      </w:rPr>
      <w:drawing>
        <wp:anchor distT="0" distB="0" distL="114300" distR="114300" simplePos="0" relativeHeight="251659264" behindDoc="1" locked="0" layoutInCell="1" allowOverlap="1" wp14:anchorId="61FE41E3" wp14:editId="72329D3E">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78" w:rsidRPr="00837CB5" w:rsidRDefault="00624E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54493">
      <w:rPr>
        <w:rStyle w:val="PageNumber"/>
        <w:b/>
        <w:bCs/>
        <w:noProof/>
      </w:rPr>
      <w:t>ii</w:t>
    </w:r>
    <w:r>
      <w:rPr>
        <w:rStyle w:val="PageNumber"/>
        <w:b/>
        <w:bCs/>
      </w:rPr>
      <w:fldChar w:fldCharType="end"/>
    </w:r>
    <w:r w:rsidRPr="00837CB5">
      <w:tab/>
    </w:r>
    <w:fldSimple w:instr=" DOCPROPERTY &quot;Header&quot; \* MERGEFORMAT ">
      <w:r w:rsidR="00650263" w:rsidRPr="0065026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54493">
      <w:rPr>
        <w:b/>
        <w:bCs/>
        <w:noProof/>
      </w:rPr>
      <w:t>UIT-R  M.1646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78" w:rsidRDefault="00624E78">
    <w:pPr>
      <w:pStyle w:val="Header"/>
    </w:pPr>
    <w:r>
      <w:tab/>
    </w:r>
    <w:fldSimple w:instr=" DOCPROPERTY &quot;Header&quot; \* MERGEFORMAT ">
      <w:r w:rsidR="00650263" w:rsidRPr="0065026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50263">
      <w:rPr>
        <w:b/>
        <w:bCs/>
        <w:noProof/>
      </w:rPr>
      <w:t>UIT-R  M.1646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78" w:rsidRDefault="00624E7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54493">
      <w:rPr>
        <w:rStyle w:val="PageNumber"/>
        <w:b/>
        <w:bCs/>
        <w:noProof/>
        <w:lang w:val="en-US"/>
      </w:rPr>
      <w:t>2</w:t>
    </w:r>
    <w:r>
      <w:rPr>
        <w:rStyle w:val="PageNumber"/>
        <w:b/>
        <w:bCs/>
      </w:rPr>
      <w:fldChar w:fldCharType="end"/>
    </w:r>
    <w:r>
      <w:rPr>
        <w:lang w:val="en-US"/>
      </w:rPr>
      <w:tab/>
    </w:r>
    <w:fldSimple w:instr=" DOCPROPERTY &quot;Header&quot; \* MERGEFORMAT ">
      <w:r w:rsidR="00650263" w:rsidRPr="0065026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54493">
      <w:rPr>
        <w:b/>
        <w:bCs/>
        <w:noProof/>
      </w:rPr>
      <w:t>UIT-R  M.1646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E78" w:rsidRDefault="00624E78">
    <w:pPr>
      <w:pStyle w:val="Header"/>
    </w:pPr>
    <w:r>
      <w:tab/>
    </w:r>
    <w:fldSimple w:instr=" DOCPROPERTY &quot;Header&quot; \* MERGEFORMAT ">
      <w:r w:rsidR="00650263" w:rsidRPr="0065026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54493">
      <w:rPr>
        <w:b/>
        <w:bCs/>
        <w:noProof/>
      </w:rPr>
      <w:t>UIT-R  M.1646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54493">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381"/>
    <w:rsid w:val="001C0381"/>
    <w:rsid w:val="001F4B4B"/>
    <w:rsid w:val="00217EBF"/>
    <w:rsid w:val="002D4E78"/>
    <w:rsid w:val="002D76C4"/>
    <w:rsid w:val="00454493"/>
    <w:rsid w:val="00607D68"/>
    <w:rsid w:val="00624E78"/>
    <w:rsid w:val="00650263"/>
    <w:rsid w:val="007468DA"/>
    <w:rsid w:val="009E593F"/>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C03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C03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TotalTime>
  <Pages>5</Pages>
  <Words>1389</Words>
  <Characters>7813</Characters>
  <Application>Microsoft Office Word</Application>
  <DocSecurity>0</DocSecurity>
  <Lines>434</Lines>
  <Paragraphs>248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6</cp:revision>
  <cp:lastPrinted>2005-02-10T15:54:00Z</cp:lastPrinted>
  <dcterms:created xsi:type="dcterms:W3CDTF">2011-05-17T13:42:00Z</dcterms:created>
  <dcterms:modified xsi:type="dcterms:W3CDTF">2011-06-10T13:43:00Z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