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4F1A63">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41667C">
              <w:rPr>
                <w:rFonts w:ascii="Tahoma" w:hAnsi="Tahoma" w:cs="Tahoma"/>
                <w:b/>
                <w:bCs/>
                <w:iCs/>
                <w:color w:val="243285"/>
                <w:sz w:val="36"/>
                <w:szCs w:val="36"/>
              </w:rPr>
              <w:t>M</w:t>
            </w:r>
            <w:r w:rsidRPr="004F65E4">
              <w:rPr>
                <w:rFonts w:ascii="Tahoma" w:hAnsi="Tahoma" w:cs="Tahoma"/>
                <w:b/>
                <w:bCs/>
                <w:iCs/>
                <w:color w:val="243285"/>
                <w:sz w:val="36"/>
                <w:szCs w:val="36"/>
              </w:rPr>
              <w:t>.</w:t>
            </w:r>
            <w:r w:rsidR="004F1A63">
              <w:rPr>
                <w:rFonts w:ascii="Tahoma" w:hAnsi="Tahoma" w:cs="Tahoma"/>
                <w:b/>
                <w:bCs/>
                <w:iCs/>
                <w:color w:val="243285"/>
                <w:sz w:val="36"/>
                <w:szCs w:val="36"/>
              </w:rPr>
              <w:t>1646</w:t>
            </w:r>
          </w:p>
          <w:p w:rsidR="00FE79FE" w:rsidRPr="004F65E4" w:rsidRDefault="00FE79FE" w:rsidP="004F1A63">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4F1A63">
              <w:rPr>
                <w:rFonts w:ascii="Tahoma" w:hAnsi="Tahoma" w:cs="Tahoma"/>
                <w:b/>
                <w:bCs/>
                <w:iCs/>
                <w:color w:val="243285"/>
                <w:szCs w:val="24"/>
              </w:rPr>
              <w:t>06</w:t>
            </w:r>
            <w:r w:rsidRPr="004F65E4">
              <w:rPr>
                <w:rFonts w:ascii="Tahoma" w:hAnsi="Tahoma" w:cs="Tahoma"/>
                <w:b/>
                <w:bCs/>
                <w:iCs/>
                <w:color w:val="243285"/>
                <w:szCs w:val="24"/>
              </w:rPr>
              <w:t>/</w:t>
            </w:r>
            <w:r w:rsidR="004F1A63">
              <w:rPr>
                <w:rFonts w:ascii="Tahoma" w:hAnsi="Tahoma" w:cs="Tahoma"/>
                <w:b/>
                <w:bCs/>
                <w:iCs/>
                <w:color w:val="243285"/>
                <w:szCs w:val="24"/>
              </w:rPr>
              <w:t>2003</w:t>
            </w:r>
            <w:r w:rsidRPr="004F65E4">
              <w:rPr>
                <w:rFonts w:ascii="Tahoma" w:hAnsi="Tahoma" w:cs="Tahoma"/>
                <w:b/>
                <w:bCs/>
                <w:iCs/>
                <w:color w:val="243285"/>
                <w:szCs w:val="24"/>
              </w:rPr>
              <w:t>)</w:t>
            </w:r>
          </w:p>
        </w:tc>
      </w:tr>
      <w:tr w:rsidR="00FE79FE" w:rsidRPr="004F1A63">
        <w:tc>
          <w:tcPr>
            <w:tcW w:w="10089" w:type="dxa"/>
          </w:tcPr>
          <w:p w:rsidR="00013002" w:rsidRPr="004F1A63" w:rsidRDefault="00013002" w:rsidP="00FE79FE">
            <w:pPr>
              <w:spacing w:before="80" w:line="500" w:lineRule="exact"/>
              <w:jc w:val="right"/>
              <w:rPr>
                <w:rFonts w:ascii="Tahoma" w:hAnsi="Tahoma" w:cs="Tahoma"/>
                <w:b/>
                <w:bCs/>
                <w:iCs/>
                <w:color w:val="243285"/>
                <w:sz w:val="44"/>
                <w:szCs w:val="44"/>
                <w:lang w:val="en-US"/>
              </w:rPr>
            </w:pPr>
          </w:p>
          <w:p w:rsidR="00FE79FE" w:rsidRPr="001511A6" w:rsidRDefault="004F1A63" w:rsidP="004F1A63">
            <w:pPr>
              <w:spacing w:before="80" w:line="500" w:lineRule="exact"/>
              <w:jc w:val="right"/>
              <w:rPr>
                <w:rFonts w:ascii="Tahoma" w:hAnsi="Tahoma" w:cs="Tahoma"/>
                <w:b/>
                <w:bCs/>
                <w:iCs/>
                <w:color w:val="243285"/>
                <w:sz w:val="44"/>
                <w:szCs w:val="44"/>
                <w:lang w:val="en-US"/>
              </w:rPr>
            </w:pPr>
            <w:r w:rsidRPr="004F1A63">
              <w:rPr>
                <w:rFonts w:ascii="Tahoma" w:hAnsi="Tahoma" w:cs="Tahoma"/>
                <w:b/>
                <w:bCs/>
                <w:iCs/>
                <w:color w:val="243285"/>
                <w:sz w:val="44"/>
                <w:szCs w:val="44"/>
                <w:lang w:val="en-US"/>
              </w:rPr>
              <w:t>Parameters to be used in co-frequency sharing and pfd threshold studies</w:t>
            </w:r>
            <w:r w:rsidRPr="004F1A63">
              <w:rPr>
                <w:rFonts w:ascii="Tahoma" w:hAnsi="Tahoma" w:cs="Tahoma"/>
                <w:b/>
                <w:bCs/>
                <w:iCs/>
                <w:color w:val="243285"/>
                <w:sz w:val="44"/>
                <w:szCs w:val="44"/>
                <w:lang w:val="en-US"/>
              </w:rPr>
              <w:br/>
              <w:t>between terrestrial IMT-2000 and broadcasting</w:t>
            </w:r>
            <w:r w:rsidRPr="004F1A63">
              <w:rPr>
                <w:rFonts w:ascii="Tahoma" w:hAnsi="Tahoma" w:cs="Tahoma"/>
                <w:b/>
                <w:bCs/>
                <w:iCs/>
                <w:color w:val="243285"/>
                <w:sz w:val="44"/>
                <w:szCs w:val="44"/>
                <w:lang w:val="en-US"/>
              </w:rPr>
              <w:noBreakHyphen/>
              <w:t>satellite service (sound)</w:t>
            </w:r>
            <w:r w:rsidRPr="004F1A63">
              <w:rPr>
                <w:rFonts w:ascii="Tahoma" w:hAnsi="Tahoma" w:cs="Tahoma"/>
                <w:b/>
                <w:bCs/>
                <w:iCs/>
                <w:color w:val="243285"/>
                <w:sz w:val="44"/>
                <w:szCs w:val="44"/>
                <w:lang w:val="en-US"/>
              </w:rPr>
              <w:br/>
              <w:t>in the 2 630-2 655 MHz band</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FD15CF" w:rsidRPr="004F1A63" w:rsidRDefault="00FD15CF" w:rsidP="00FD15CF">
            <w:pPr>
              <w:spacing w:before="80" w:line="280" w:lineRule="exact"/>
              <w:ind w:right="640"/>
              <w:rPr>
                <w:rFonts w:ascii="Tahoma" w:hAnsi="Tahoma" w:cs="Tahoma"/>
                <w:b/>
                <w:bCs/>
                <w:iCs/>
                <w:color w:val="243285"/>
                <w:sz w:val="32"/>
                <w:szCs w:val="32"/>
                <w:lang w:val="en-US"/>
              </w:rPr>
            </w:pPr>
          </w:p>
          <w:p w:rsidR="00FD15CF" w:rsidRPr="004F1A63" w:rsidRDefault="00FD15CF" w:rsidP="00FD15CF">
            <w:pPr>
              <w:spacing w:before="80" w:after="180" w:line="360" w:lineRule="exact"/>
              <w:ind w:right="720"/>
              <w:rPr>
                <w:rFonts w:ascii="Tahoma" w:hAnsi="Tahoma" w:cs="Tahoma"/>
                <w:b/>
                <w:bCs/>
                <w:iCs/>
                <w:color w:val="243285"/>
                <w:sz w:val="36"/>
                <w:szCs w:val="36"/>
                <w:lang w:val="en-US"/>
              </w:rPr>
            </w:pPr>
          </w:p>
          <w:p w:rsidR="00013002" w:rsidRPr="001511A6" w:rsidRDefault="0041667C"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00FE79FE" w:rsidRPr="001511A6">
              <w:rPr>
                <w:rFonts w:ascii="Tahoma" w:hAnsi="Tahoma" w:cs="Tahoma"/>
                <w:b/>
                <w:bCs/>
                <w:iCs/>
                <w:color w:val="243285"/>
                <w:sz w:val="36"/>
                <w:szCs w:val="36"/>
                <w:lang w:val="en-US"/>
              </w:rPr>
              <w:t xml:space="preserve"> Series</w:t>
            </w:r>
          </w:p>
          <w:p w:rsidR="00554C61" w:rsidRDefault="0041667C" w:rsidP="00FE79FE">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FE79FE" w:rsidRPr="0041667C" w:rsidRDefault="0041667C" w:rsidP="00FE79FE">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9"/>
          <w:headerReference w:type="default" r:id="rId10"/>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C44EEB">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sidR="00C44EEB">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4F1A63">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sidR="00333892">
              <w:rPr>
                <w:b w:val="0"/>
                <w:sz w:val="18"/>
                <w:szCs w:val="18"/>
                <w:lang w:val="en-US"/>
              </w:rPr>
              <w:t xml:space="preserve"> </w:t>
            </w:r>
            <w:hyperlink r:id="rId12" w:history="1">
              <w:r w:rsidR="00333892">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4F1A63"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41667C">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41667C">
        <w:tc>
          <w:tcPr>
            <w:tcW w:w="1140" w:type="dxa"/>
            <w:tcBorders>
              <w:top w:val="nil"/>
              <w:bottom w:val="nil"/>
            </w:tcBorders>
            <w:shd w:val="clear" w:color="auto" w:fill="auto"/>
          </w:tcPr>
          <w:p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A31928" w:rsidRPr="0041667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A31928" w:rsidRPr="0041667C" w:rsidTr="0041667C">
        <w:tc>
          <w:tcPr>
            <w:tcW w:w="1140" w:type="dxa"/>
            <w:tcBorders>
              <w:top w:val="nil"/>
              <w:bottom w:val="nil"/>
            </w:tcBorders>
            <w:shd w:val="clear" w:color="auto" w:fill="F3F3F3"/>
          </w:tcPr>
          <w:p w:rsidR="00A31928" w:rsidRPr="0041667C" w:rsidRDefault="00A31928" w:rsidP="006B1D2B">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A31928" w:rsidRPr="0041667C"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A31928" w:rsidRPr="00036EE3" w:rsidTr="0041667C">
        <w:tc>
          <w:tcPr>
            <w:tcW w:w="1140" w:type="dxa"/>
            <w:tcBorders>
              <w:top w:val="nil"/>
            </w:tcBorders>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Borders>
              <w:top w:val="nil"/>
            </w:tcBorders>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4F1A63"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4F1A6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4F1A63">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B53EBC">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2F06BF">
        <w:rPr>
          <w:sz w:val="20"/>
          <w:lang w:val="en-US"/>
        </w:rPr>
        <w:t>1</w:t>
      </w:r>
      <w:r w:rsidR="00B53EBC">
        <w:rPr>
          <w:sz w:val="20"/>
          <w:lang w:val="en-US"/>
        </w:rPr>
        <w:t>1</w:t>
      </w:r>
    </w:p>
    <w:p w:rsidR="00470E28" w:rsidRDefault="00470E28" w:rsidP="00906589">
      <w:pPr>
        <w:jc w:val="center"/>
        <w:rPr>
          <w:sz w:val="22"/>
          <w:lang w:val="en-US"/>
        </w:rPr>
      </w:pPr>
    </w:p>
    <w:p w:rsidR="00586EF8" w:rsidRPr="00470E28" w:rsidRDefault="00586EF8" w:rsidP="00B53EBC">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2F06BF">
        <w:rPr>
          <w:sz w:val="20"/>
          <w:lang w:val="en-US"/>
        </w:rPr>
        <w:t>1</w:t>
      </w:r>
      <w:r w:rsidR="00B53EBC">
        <w:rPr>
          <w:sz w:val="20"/>
          <w:lang w:val="en-US"/>
        </w:rPr>
        <w:t>1</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934ED7" w:rsidRDefault="004F1A63" w:rsidP="004F1A63">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Pr>
          <w:rStyle w:val="href"/>
          <w:lang w:val="en-US"/>
        </w:rPr>
        <w:t>1646</w:t>
      </w:r>
      <w:r>
        <w:rPr>
          <w:rStyle w:val="FootnoteReference"/>
          <w:lang w:val="en-US"/>
        </w:rPr>
        <w:footnoteReference w:customMarkFollows="1" w:id="1"/>
        <w:t>*</w:t>
      </w:r>
      <w:r w:rsidRPr="004F1A63">
        <w:rPr>
          <w:position w:val="8"/>
          <w:sz w:val="18"/>
          <w:lang w:val="en-US"/>
        </w:rPr>
        <w:t xml:space="preserve">, </w:t>
      </w:r>
      <w:r>
        <w:rPr>
          <w:rStyle w:val="FootnoteReference"/>
          <w:lang w:val="en-US"/>
        </w:rPr>
        <w:footnoteReference w:customMarkFollows="1" w:id="2"/>
        <w:t>**</w:t>
      </w:r>
    </w:p>
    <w:p w:rsidR="004F1A63" w:rsidRDefault="004F1A63" w:rsidP="004F1A63">
      <w:pPr>
        <w:pStyle w:val="Rectitle"/>
        <w:rPr>
          <w:lang w:val="en-US"/>
        </w:rPr>
      </w:pPr>
      <w:r w:rsidRPr="004F1A63">
        <w:rPr>
          <w:lang w:val="en-US"/>
        </w:rPr>
        <w:t>Parameters to be used in co-frequency sharing and pfd threshold studies</w:t>
      </w:r>
      <w:r>
        <w:rPr>
          <w:lang w:val="en-US"/>
        </w:rPr>
        <w:br/>
      </w:r>
      <w:r w:rsidRPr="004F1A63">
        <w:rPr>
          <w:lang w:val="en-US"/>
        </w:rPr>
        <w:t>between terrestrial IMT-</w:t>
      </w:r>
      <w:r>
        <w:rPr>
          <w:lang w:val="en-US"/>
        </w:rPr>
        <w:t>2000 and broadcasting-satellite</w:t>
      </w:r>
      <w:r w:rsidRPr="004F1A63">
        <w:rPr>
          <w:lang w:val="en-US"/>
        </w:rPr>
        <w:br/>
        <w:t>service (sound) in the 2 630-2 655 MHz band</w:t>
      </w:r>
    </w:p>
    <w:p w:rsidR="007122CE" w:rsidRDefault="007122CE" w:rsidP="004F1A63">
      <w:pPr>
        <w:pStyle w:val="Recdate"/>
        <w:rPr>
          <w:lang w:val="en-US"/>
        </w:rPr>
      </w:pPr>
    </w:p>
    <w:p w:rsidR="004F1A63" w:rsidRDefault="004F1A63" w:rsidP="004F1A63">
      <w:pPr>
        <w:pStyle w:val="Recdate"/>
        <w:rPr>
          <w:lang w:val="en-US"/>
        </w:rPr>
      </w:pPr>
      <w:r>
        <w:rPr>
          <w:lang w:val="en-US"/>
        </w:rPr>
        <w:t>(2003)</w:t>
      </w:r>
    </w:p>
    <w:p w:rsidR="007122CE" w:rsidRDefault="007122CE" w:rsidP="007122CE"/>
    <w:p w:rsidR="004F1A63" w:rsidRPr="007122CE" w:rsidRDefault="004F1A63" w:rsidP="007122CE">
      <w:pPr>
        <w:pStyle w:val="HeadingSum"/>
        <w:rPr>
          <w:sz w:val="24"/>
        </w:rPr>
      </w:pPr>
      <w:r w:rsidRPr="007122CE">
        <w:rPr>
          <w:sz w:val="24"/>
        </w:rPr>
        <w:t>Scope</w:t>
      </w:r>
    </w:p>
    <w:p w:rsidR="004F1A63" w:rsidRPr="007122CE" w:rsidRDefault="004F1A63" w:rsidP="007122CE">
      <w:pPr>
        <w:pStyle w:val="Summary"/>
        <w:rPr>
          <w:sz w:val="24"/>
        </w:rPr>
      </w:pPr>
      <w:r w:rsidRPr="007122CE">
        <w:rPr>
          <w:sz w:val="24"/>
          <w:lang w:val="en-US"/>
        </w:rPr>
        <w:t>In this Recommendation receiving parameters for IMT-2000 mobile stations and base stations are recommended for use when assessing interference from BSS (sound) systems operating in the 2 630</w:t>
      </w:r>
      <w:r w:rsidRPr="007122CE">
        <w:rPr>
          <w:sz w:val="24"/>
          <w:lang w:val="en-US"/>
        </w:rPr>
        <w:noBreakHyphen/>
      </w:r>
      <w:r w:rsidR="007122CE" w:rsidRPr="007122CE">
        <w:rPr>
          <w:sz w:val="24"/>
          <w:lang w:val="en-US"/>
        </w:rPr>
        <w:t>2</w:t>
      </w:r>
      <w:r w:rsidRPr="007122CE">
        <w:rPr>
          <w:sz w:val="24"/>
          <w:lang w:val="en-US"/>
        </w:rPr>
        <w:t> 655 MHz band.</w:t>
      </w:r>
      <w:bookmarkStart w:id="3" w:name="_GoBack"/>
      <w:bookmarkEnd w:id="3"/>
      <w:r w:rsidRPr="007122CE">
        <w:rPr>
          <w:sz w:val="24"/>
          <w:lang w:val="en-US"/>
        </w:rPr>
        <w:t xml:space="preserve"> </w:t>
      </w:r>
      <w:r w:rsidRPr="007122CE">
        <w:rPr>
          <w:sz w:val="24"/>
        </w:rPr>
        <w:t>It is also recommended that interference should be assessed in terms of the level of aggregate interference from BSS (sound) systems against the thermal noise at the IMT</w:t>
      </w:r>
      <w:r w:rsidRPr="007122CE">
        <w:rPr>
          <w:sz w:val="24"/>
        </w:rPr>
        <w:noBreakHyphen/>
        <w:t>2000 receiver under study.</w:t>
      </w:r>
    </w:p>
    <w:p w:rsidR="007122CE" w:rsidRDefault="007122CE" w:rsidP="007122CE"/>
    <w:p w:rsidR="004F1A63" w:rsidRDefault="004F1A63" w:rsidP="004F1A63">
      <w:pPr>
        <w:pStyle w:val="Normalaftertitle"/>
        <w:rPr>
          <w:lang w:val="en-US"/>
        </w:rPr>
      </w:pPr>
      <w:r>
        <w:rPr>
          <w:lang w:val="en-US"/>
        </w:rPr>
        <w:t>The ITU Radiocommunication Assembly,</w:t>
      </w:r>
    </w:p>
    <w:p w:rsidR="004F1A63" w:rsidRDefault="004F1A63" w:rsidP="004F1A63">
      <w:pPr>
        <w:pStyle w:val="Call"/>
        <w:rPr>
          <w:lang w:val="en-US"/>
        </w:rPr>
      </w:pPr>
      <w:r>
        <w:rPr>
          <w:lang w:val="en-US"/>
        </w:rPr>
        <w:t>considering</w:t>
      </w:r>
    </w:p>
    <w:p w:rsidR="004F1A63" w:rsidRDefault="004F1A63" w:rsidP="004F1A63">
      <w:pPr>
        <w:rPr>
          <w:lang w:val="en-US"/>
        </w:rPr>
      </w:pPr>
      <w:r>
        <w:rPr>
          <w:lang w:val="en-US"/>
        </w:rPr>
        <w:t>a)</w:t>
      </w:r>
      <w:r>
        <w:rPr>
          <w:i/>
          <w:iCs/>
          <w:lang w:val="en-US"/>
        </w:rPr>
        <w:tab/>
      </w:r>
      <w:r>
        <w:rPr>
          <w:lang w:val="en-US"/>
        </w:rPr>
        <w:t>that the implementation of IMT-2000 in this band is expected in certain countries between 2005 and 2010;</w:t>
      </w:r>
    </w:p>
    <w:p w:rsidR="004F1A63" w:rsidRDefault="004F1A63" w:rsidP="004F1A63">
      <w:pPr>
        <w:rPr>
          <w:lang w:val="en-US"/>
        </w:rPr>
      </w:pPr>
      <w:r>
        <w:rPr>
          <w:lang w:val="en-US"/>
        </w:rPr>
        <w:t>b)</w:t>
      </w:r>
      <w:r>
        <w:rPr>
          <w:i/>
          <w:iCs/>
          <w:lang w:val="en-US"/>
        </w:rPr>
        <w:tab/>
      </w:r>
      <w:r>
        <w:rPr>
          <w:lang w:val="en-US"/>
        </w:rPr>
        <w:t>that IMT-2000 systems are planned to be deployed over rural and urban areas in this band, and that the rural areas are the most difficult to cover, given the low but important traffic density;</w:t>
      </w:r>
    </w:p>
    <w:p w:rsidR="004F1A63" w:rsidRDefault="004F1A63" w:rsidP="004F1A63">
      <w:pPr>
        <w:rPr>
          <w:lang w:val="en-US"/>
        </w:rPr>
      </w:pPr>
      <w:r>
        <w:rPr>
          <w:lang w:val="en-US"/>
        </w:rPr>
        <w:t>c)</w:t>
      </w:r>
      <w:r>
        <w:rPr>
          <w:i/>
          <w:iCs/>
          <w:lang w:val="en-US"/>
        </w:rPr>
        <w:tab/>
      </w:r>
      <w:r>
        <w:rPr>
          <w:lang w:val="en-US"/>
        </w:rPr>
        <w:t>that the deployment of BSS (sound) satellite systems in this band may create interference over the whole territory of an administration wishing to implement IMT-2000;</w:t>
      </w:r>
    </w:p>
    <w:p w:rsidR="004F1A63" w:rsidRDefault="004F1A63" w:rsidP="004F1A63">
      <w:pPr>
        <w:rPr>
          <w:lang w:val="en-US"/>
        </w:rPr>
      </w:pPr>
      <w:r>
        <w:rPr>
          <w:lang w:val="en-US"/>
        </w:rPr>
        <w:t>d)</w:t>
      </w:r>
      <w:r>
        <w:rPr>
          <w:i/>
          <w:iCs/>
          <w:lang w:val="en-US"/>
        </w:rPr>
        <w:tab/>
      </w:r>
      <w:r>
        <w:rPr>
          <w:lang w:val="en-US"/>
        </w:rPr>
        <w:t>that the range of IMT-2000 technologies in Recommendation ITU-R M.1457 need to be taken into account when conducting sharing and pfd threshold studies;</w:t>
      </w:r>
    </w:p>
    <w:p w:rsidR="004F1A63" w:rsidRDefault="004F1A63" w:rsidP="004F1A63">
      <w:pPr>
        <w:rPr>
          <w:lang w:val="en-US"/>
        </w:rPr>
      </w:pPr>
      <w:r>
        <w:rPr>
          <w:lang w:val="en-US"/>
        </w:rPr>
        <w:t>e)</w:t>
      </w:r>
      <w:r>
        <w:rPr>
          <w:lang w:val="en-US"/>
        </w:rPr>
        <w:tab/>
        <w:t xml:space="preserve">that Resolution 539 (WRC-2000), </w:t>
      </w:r>
      <w:r>
        <w:rPr>
          <w:i/>
          <w:iCs/>
          <w:lang w:val="en-US"/>
        </w:rPr>
        <w:t>inter alia</w:t>
      </w:r>
      <w:r>
        <w:rPr>
          <w:lang w:val="en-US"/>
        </w:rPr>
        <w:t>, contains provisional pfd threshold levels for BSS (sound) systems using non-GSO satellites in the band 2 630-2 655 MHz;</w:t>
      </w:r>
    </w:p>
    <w:p w:rsidR="004F1A63" w:rsidRDefault="004F1A63" w:rsidP="004F1A63">
      <w:pPr>
        <w:rPr>
          <w:lang w:val="en-US"/>
        </w:rPr>
      </w:pPr>
      <w:r>
        <w:rPr>
          <w:lang w:val="en-US"/>
        </w:rPr>
        <w:t>f)</w:t>
      </w:r>
      <w:r>
        <w:rPr>
          <w:lang w:val="en-US"/>
        </w:rPr>
        <w:tab/>
        <w:t>that Resolution 539 (WRC-2000) invites the ITU-R to conduct the necessary technical studies in time for WRC-03 relating to co-frequency sharing between systems in the BSS (sound) and terrestrial services in the band 2 630-2 655 MHz, with a view to avoid placing undue constraints on either service;</w:t>
      </w:r>
    </w:p>
    <w:p w:rsidR="004F1A63" w:rsidRDefault="004F1A63" w:rsidP="004F1A63">
      <w:pPr>
        <w:rPr>
          <w:lang w:val="en-US"/>
        </w:rPr>
      </w:pPr>
      <w:r>
        <w:rPr>
          <w:lang w:val="en-US"/>
        </w:rPr>
        <w:t>g)</w:t>
      </w:r>
      <w:r>
        <w:rPr>
          <w:lang w:val="en-US"/>
        </w:rPr>
        <w:tab/>
        <w:t>that Recommendation ITU-R M.1036 on channelling arrangements for terrestrial IMT-2000 is planned to be revised in 2004;</w:t>
      </w:r>
    </w:p>
    <w:p w:rsidR="004F1A63" w:rsidRDefault="004F1A63" w:rsidP="004F1A63">
      <w:pPr>
        <w:rPr>
          <w:lang w:val="en-US"/>
        </w:rPr>
      </w:pPr>
      <w:r>
        <w:rPr>
          <w:lang w:val="en-US"/>
        </w:rPr>
        <w:t>h)</w:t>
      </w:r>
      <w:r>
        <w:rPr>
          <w:lang w:val="en-US"/>
        </w:rPr>
        <w:tab/>
        <w:t>that the antenna pattern to be used in the studies should be modelled accurately to take into account the aggregate nature of the BSS (sound) satellite interference into potentially interfered-with IMT-2000 stations,</w:t>
      </w:r>
    </w:p>
    <w:p w:rsidR="004F1A63" w:rsidRDefault="004F1A63" w:rsidP="004F1A63">
      <w:pPr>
        <w:pStyle w:val="Call"/>
        <w:rPr>
          <w:lang w:val="en-US"/>
        </w:rPr>
      </w:pPr>
      <w:r>
        <w:rPr>
          <w:lang w:val="en-US"/>
        </w:rPr>
        <w:lastRenderedPageBreak/>
        <w:t>recognizing</w:t>
      </w:r>
    </w:p>
    <w:p w:rsidR="004F1A63" w:rsidRDefault="004F1A63" w:rsidP="004F1A63">
      <w:pPr>
        <w:rPr>
          <w:lang w:val="en-US"/>
        </w:rPr>
      </w:pPr>
      <w:r>
        <w:rPr>
          <w:lang w:val="en-US"/>
        </w:rPr>
        <w:t>a)</w:t>
      </w:r>
      <w:r>
        <w:rPr>
          <w:lang w:val="en-US"/>
        </w:rPr>
        <w:tab/>
        <w:t>that the band 2 500-2 690 MHz, which is allocated, among other services, to the mobile service, except aeronautical, on a primary basis in all three Regions, and is identified for use by administrations wishing to implement IMT-2000 in accordance with Resolution 223 (WRC-2000). This identification does not preclude the use of these bands by any application of the services to which they are allocated and does not establish priority in the Radio Regulations (RR);</w:t>
      </w:r>
    </w:p>
    <w:p w:rsidR="004F1A63" w:rsidRDefault="004F1A63" w:rsidP="004F1A63">
      <w:pPr>
        <w:rPr>
          <w:lang w:val="en-US"/>
        </w:rPr>
      </w:pPr>
      <w:r>
        <w:rPr>
          <w:lang w:val="en-US"/>
        </w:rPr>
        <w:t>b)</w:t>
      </w:r>
      <w:r>
        <w:rPr>
          <w:lang w:val="en-US"/>
        </w:rPr>
        <w:tab/>
        <w:t>that the band 2 535-2 655 MHz is also allocated on a primary basis to the BSS (sound) and complementary terrestrial broadcasting service subject to Resolution 528 (WARC-92), which limits current use of the band to the upper 25 MHz, and these networks are not subject to the pfd limits in RR Table 21-4 of RR Article 21,</w:t>
      </w:r>
    </w:p>
    <w:p w:rsidR="004F1A63" w:rsidRDefault="004F1A63" w:rsidP="004F1A63">
      <w:pPr>
        <w:pStyle w:val="Call"/>
        <w:rPr>
          <w:lang w:val="en-US"/>
        </w:rPr>
      </w:pPr>
      <w:r>
        <w:rPr>
          <w:lang w:val="en-US"/>
        </w:rPr>
        <w:t>recommends</w:t>
      </w:r>
    </w:p>
    <w:p w:rsidR="004F1A63" w:rsidRDefault="004F1A63" w:rsidP="004F1A63">
      <w:pPr>
        <w:rPr>
          <w:lang w:val="en-US"/>
        </w:rPr>
      </w:pPr>
      <w:r>
        <w:rPr>
          <w:b/>
          <w:bCs/>
          <w:lang w:val="en-US"/>
        </w:rPr>
        <w:t>1</w:t>
      </w:r>
      <w:r>
        <w:rPr>
          <w:b/>
          <w:bCs/>
          <w:lang w:val="en-US"/>
        </w:rPr>
        <w:tab/>
      </w:r>
      <w:r>
        <w:rPr>
          <w:lang w:val="en-US"/>
        </w:rPr>
        <w:t xml:space="preserve">that the level of interference should be assessed in terms of </w:t>
      </w:r>
      <w:r>
        <w:rPr>
          <w:i/>
          <w:iCs/>
          <w:lang w:val="en-US"/>
        </w:rPr>
        <w:t>I</w:t>
      </w:r>
      <w:r>
        <w:rPr>
          <w:i/>
          <w:iCs/>
          <w:vertAlign w:val="subscript"/>
          <w:lang w:val="en-US"/>
        </w:rPr>
        <w:t>sat</w:t>
      </w:r>
      <w:r>
        <w:rPr>
          <w:lang w:val="en-US"/>
        </w:rPr>
        <w:t>/</w:t>
      </w:r>
      <w:r>
        <w:rPr>
          <w:i/>
          <w:iCs/>
          <w:lang w:val="en-US"/>
        </w:rPr>
        <w:t>N</w:t>
      </w:r>
      <w:r>
        <w:rPr>
          <w:i/>
          <w:iCs/>
          <w:vertAlign w:val="subscript"/>
          <w:lang w:val="en-US"/>
        </w:rPr>
        <w:t>th</w:t>
      </w:r>
      <w:r>
        <w:rPr>
          <w:lang w:val="en-US"/>
        </w:rPr>
        <w:t xml:space="preserve">, </w:t>
      </w:r>
      <w:r>
        <w:rPr>
          <w:i/>
          <w:iCs/>
          <w:lang w:val="en-US"/>
        </w:rPr>
        <w:t>I</w:t>
      </w:r>
      <w:r>
        <w:rPr>
          <w:i/>
          <w:iCs/>
          <w:vertAlign w:val="subscript"/>
          <w:lang w:val="en-US"/>
        </w:rPr>
        <w:t>sat</w:t>
      </w:r>
      <w:r>
        <w:rPr>
          <w:lang w:val="en-US"/>
        </w:rPr>
        <w:t xml:space="preserve"> being the level of aggregate interference from BSS (sound) systems and </w:t>
      </w:r>
      <w:r>
        <w:rPr>
          <w:i/>
          <w:iCs/>
          <w:lang w:val="en-US"/>
        </w:rPr>
        <w:t>N</w:t>
      </w:r>
      <w:r>
        <w:rPr>
          <w:i/>
          <w:iCs/>
          <w:vertAlign w:val="subscript"/>
          <w:lang w:val="en-US"/>
        </w:rPr>
        <w:t>th</w:t>
      </w:r>
      <w:r>
        <w:rPr>
          <w:lang w:val="en-US"/>
        </w:rPr>
        <w:t xml:space="preserve"> being the thermal noise at the IMT-2000 receiver;</w:t>
      </w:r>
    </w:p>
    <w:p w:rsidR="004F1A63" w:rsidRDefault="004F1A63" w:rsidP="004F1A63">
      <w:pPr>
        <w:rPr>
          <w:lang w:val="en-US"/>
        </w:rPr>
      </w:pPr>
      <w:r>
        <w:rPr>
          <w:b/>
          <w:bCs/>
          <w:lang w:val="en-US"/>
        </w:rPr>
        <w:t>2</w:t>
      </w:r>
      <w:r>
        <w:rPr>
          <w:b/>
          <w:bCs/>
          <w:lang w:val="en-US"/>
        </w:rPr>
        <w:tab/>
      </w:r>
      <w:r>
        <w:rPr>
          <w:lang w:val="en-US"/>
        </w:rPr>
        <w:t>that the value for</w:t>
      </w:r>
      <w:r>
        <w:rPr>
          <w:i/>
          <w:iCs/>
          <w:lang w:val="en-US"/>
        </w:rPr>
        <w:t xml:space="preserve"> I</w:t>
      </w:r>
      <w:r>
        <w:rPr>
          <w:i/>
          <w:iCs/>
          <w:vertAlign w:val="subscript"/>
          <w:lang w:val="en-US"/>
        </w:rPr>
        <w:t>sat</w:t>
      </w:r>
      <w:r>
        <w:rPr>
          <w:lang w:val="en-US"/>
        </w:rPr>
        <w:t>/</w:t>
      </w:r>
      <w:r>
        <w:rPr>
          <w:i/>
          <w:iCs/>
          <w:lang w:val="en-US"/>
        </w:rPr>
        <w:t>N</w:t>
      </w:r>
      <w:r>
        <w:rPr>
          <w:i/>
          <w:iCs/>
          <w:vertAlign w:val="subscript"/>
          <w:lang w:val="en-US"/>
        </w:rPr>
        <w:t>th</w:t>
      </w:r>
      <w:r>
        <w:rPr>
          <w:i/>
          <w:iCs/>
          <w:lang w:val="en-US"/>
        </w:rPr>
        <w:t xml:space="preserve"> </w:t>
      </w:r>
      <w:r>
        <w:rPr>
          <w:lang w:val="en-US"/>
        </w:rPr>
        <w:t>of –10 dB at any IMT-2000 mobile or base station receiver should be used as the trigger value for the sharing studies with the view to protect IMT-2000 from BSS stations;</w:t>
      </w:r>
    </w:p>
    <w:p w:rsidR="004F1A63" w:rsidRDefault="004F1A63" w:rsidP="004F1A63">
      <w:pPr>
        <w:rPr>
          <w:lang w:val="en-US"/>
        </w:rPr>
      </w:pPr>
      <w:r>
        <w:rPr>
          <w:b/>
          <w:bCs/>
          <w:lang w:val="en-US"/>
        </w:rPr>
        <w:t>3</w:t>
      </w:r>
      <w:r>
        <w:rPr>
          <w:b/>
          <w:bCs/>
          <w:lang w:val="en-US"/>
        </w:rPr>
        <w:tab/>
      </w:r>
      <w:r>
        <w:rPr>
          <w:lang w:val="en-US"/>
        </w:rPr>
        <w:t>that the following receiving parameters should be used when assessing the interference into IMT-2000 mobile stations:</w:t>
      </w:r>
    </w:p>
    <w:p w:rsidR="004F1A63" w:rsidRPr="004F1A63" w:rsidRDefault="004F1A63" w:rsidP="004F1A63">
      <w:pPr>
        <w:pStyle w:val="enumlev1"/>
        <w:rPr>
          <w:lang w:val="en-US"/>
        </w:rPr>
      </w:pPr>
      <w:r w:rsidRPr="004F1A63">
        <w:rPr>
          <w:lang w:val="en-US"/>
        </w:rPr>
        <w:t>–</w:t>
      </w:r>
      <w:r w:rsidRPr="004F1A63">
        <w:rPr>
          <w:lang w:val="en-US"/>
        </w:rPr>
        <w:tab/>
        <w:t>maximum noise figure: 9 dB,</w:t>
      </w:r>
    </w:p>
    <w:p w:rsidR="004F1A63" w:rsidRDefault="004F1A63" w:rsidP="004F1A63">
      <w:pPr>
        <w:pStyle w:val="enumlev1"/>
        <w:rPr>
          <w:lang w:val="en-US"/>
        </w:rPr>
      </w:pPr>
      <w:r>
        <w:rPr>
          <w:lang w:val="en-US"/>
        </w:rPr>
        <w:t>–</w:t>
      </w:r>
      <w:r>
        <w:rPr>
          <w:lang w:val="en-US"/>
        </w:rPr>
        <w:tab/>
        <w:t>thermal noise level at the receiver: –135 dB(W/MHz),</w:t>
      </w:r>
    </w:p>
    <w:p w:rsidR="004F1A63" w:rsidRDefault="004F1A63" w:rsidP="004F1A63">
      <w:pPr>
        <w:pStyle w:val="enumlev1"/>
        <w:rPr>
          <w:lang w:val="en-US"/>
        </w:rPr>
      </w:pPr>
      <w:r>
        <w:rPr>
          <w:lang w:val="en-US"/>
        </w:rPr>
        <w:t>–</w:t>
      </w:r>
      <w:r>
        <w:rPr>
          <w:lang w:val="en-US"/>
        </w:rPr>
        <w:tab/>
        <w:t>antenna gain: 0 dBi,</w:t>
      </w:r>
    </w:p>
    <w:p w:rsidR="004F1A63" w:rsidRDefault="004F1A63" w:rsidP="004F1A63">
      <w:pPr>
        <w:pStyle w:val="enumlev1"/>
        <w:rPr>
          <w:lang w:val="en-US"/>
        </w:rPr>
      </w:pPr>
      <w:r>
        <w:rPr>
          <w:lang w:val="en-US"/>
        </w:rPr>
        <w:t>–</w:t>
      </w:r>
      <w:r>
        <w:rPr>
          <w:lang w:val="en-US"/>
        </w:rPr>
        <w:tab/>
        <w:t>polarization: linear;</w:t>
      </w:r>
    </w:p>
    <w:p w:rsidR="004F1A63" w:rsidRDefault="004F1A63" w:rsidP="004F1A63">
      <w:pPr>
        <w:rPr>
          <w:lang w:val="en-US"/>
        </w:rPr>
      </w:pPr>
      <w:r>
        <w:rPr>
          <w:b/>
          <w:bCs/>
          <w:lang w:val="en-US"/>
        </w:rPr>
        <w:t>4</w:t>
      </w:r>
      <w:r>
        <w:rPr>
          <w:b/>
          <w:bCs/>
          <w:lang w:val="en-US"/>
        </w:rPr>
        <w:tab/>
      </w:r>
      <w:r>
        <w:rPr>
          <w:lang w:val="en-US"/>
        </w:rPr>
        <w:t>that the following receiving parameters should be used when assessing the interference into IMT-2000 base stations:</w:t>
      </w:r>
    </w:p>
    <w:p w:rsidR="004F1A63" w:rsidRPr="004F1A63" w:rsidRDefault="004F1A63" w:rsidP="004F1A63">
      <w:pPr>
        <w:pStyle w:val="enumlev1"/>
        <w:rPr>
          <w:lang w:val="en-US"/>
        </w:rPr>
      </w:pPr>
      <w:r w:rsidRPr="004F1A63">
        <w:rPr>
          <w:lang w:val="en-US"/>
        </w:rPr>
        <w:t>–</w:t>
      </w:r>
      <w:r w:rsidRPr="004F1A63">
        <w:rPr>
          <w:lang w:val="en-US"/>
        </w:rPr>
        <w:tab/>
        <w:t>typical noise figure: 5 dB,</w:t>
      </w:r>
    </w:p>
    <w:p w:rsidR="004F1A63" w:rsidRDefault="004F1A63" w:rsidP="004F1A63">
      <w:pPr>
        <w:pStyle w:val="enumlev1"/>
        <w:rPr>
          <w:lang w:val="en-US"/>
        </w:rPr>
      </w:pPr>
      <w:r>
        <w:rPr>
          <w:lang w:val="en-US"/>
        </w:rPr>
        <w:t>–</w:t>
      </w:r>
      <w:r>
        <w:rPr>
          <w:lang w:val="en-US"/>
        </w:rPr>
        <w:tab/>
        <w:t>thermal noise level at the receiver: –139 dB(W/MHz),</w:t>
      </w:r>
    </w:p>
    <w:p w:rsidR="004F1A63" w:rsidRDefault="004F1A63" w:rsidP="004F1A63">
      <w:pPr>
        <w:pStyle w:val="enumlev1"/>
        <w:rPr>
          <w:lang w:val="en-US"/>
        </w:rPr>
      </w:pPr>
      <w:r>
        <w:rPr>
          <w:lang w:val="en-US"/>
        </w:rPr>
        <w:t>–</w:t>
      </w:r>
      <w:r>
        <w:rPr>
          <w:lang w:val="en-US"/>
        </w:rPr>
        <w:tab/>
        <w:t>feeder loss: 2 dB,</w:t>
      </w:r>
    </w:p>
    <w:p w:rsidR="004F1A63" w:rsidRDefault="004F1A63" w:rsidP="004F1A63">
      <w:pPr>
        <w:pStyle w:val="enumlev1"/>
        <w:rPr>
          <w:lang w:val="en-US"/>
        </w:rPr>
      </w:pPr>
      <w:r>
        <w:rPr>
          <w:lang w:val="en-US"/>
        </w:rPr>
        <w:t>–</w:t>
      </w:r>
      <w:r>
        <w:rPr>
          <w:lang w:val="en-US"/>
        </w:rPr>
        <w:tab/>
        <w:t>polarization: linear;</w:t>
      </w:r>
    </w:p>
    <w:p w:rsidR="004F1A63" w:rsidRDefault="004F1A63" w:rsidP="004F1A63">
      <w:pPr>
        <w:pStyle w:val="enumlev1"/>
        <w:rPr>
          <w:lang w:val="en-US"/>
        </w:rPr>
      </w:pPr>
      <w:r>
        <w:rPr>
          <w:lang w:val="en-US"/>
        </w:rPr>
        <w:t>–</w:t>
      </w:r>
      <w:r>
        <w:rPr>
          <w:lang w:val="en-US"/>
        </w:rPr>
        <w:tab/>
        <w:t>typical antenna: 120° sector, maximum antenna gain of 18 dBi and downtilt angle of 2.5°. The antenna pattern in the vertical plane should be modelled as described in Annex 1 (see Note 1).</w:t>
      </w:r>
    </w:p>
    <w:p w:rsidR="004F1A63" w:rsidRDefault="004F1A63" w:rsidP="004F1A63">
      <w:pPr>
        <w:rPr>
          <w:lang w:val="en-US"/>
        </w:rPr>
      </w:pPr>
      <w:r>
        <w:rPr>
          <w:lang w:val="en-US"/>
        </w:rPr>
        <w:t>NOTE 1 – The azimuthal variation of gain for sector antennas is currently under study within the ITU-R. Provisionally, for sharing studies, the gain outside the sector may be modelled as the maximum gain minus 30 dB.</w:t>
      </w:r>
    </w:p>
    <w:p w:rsidR="004F1A63" w:rsidRDefault="004F1A63" w:rsidP="004F1A63">
      <w:pPr>
        <w:rPr>
          <w:lang w:val="en-US"/>
        </w:rPr>
      </w:pPr>
      <w:r>
        <w:rPr>
          <w:lang w:val="en-US"/>
        </w:rPr>
        <w:t>NOTE 2 – The recommended IMT-2000 parameters are optimized for a rural deployment but are sufficient to limit interference to IMT-2000 in all environments. It is to be expected that IMT-2000 deployments with some different characteristics, for example those commensurate with time division duplex/frequency division duplex micro and pico base stations, will be more tolerant to external interference.</w:t>
      </w:r>
    </w:p>
    <w:p w:rsidR="007122CE" w:rsidRDefault="007122CE" w:rsidP="004F1A63">
      <w:pPr>
        <w:pStyle w:val="AnnexNoTitle"/>
        <w:rPr>
          <w:lang w:val="en-US"/>
        </w:rPr>
      </w:pPr>
      <w:r>
        <w:rPr>
          <w:lang w:val="en-US"/>
        </w:rPr>
        <w:br w:type="page"/>
      </w:r>
    </w:p>
    <w:p w:rsidR="004F1A63" w:rsidRPr="004F1A63" w:rsidRDefault="004F1A63" w:rsidP="004F1A63">
      <w:pPr>
        <w:pStyle w:val="AnnexNoTitle"/>
        <w:rPr>
          <w:lang w:val="en-US"/>
        </w:rPr>
      </w:pPr>
      <w:r w:rsidRPr="004F1A63">
        <w:rPr>
          <w:lang w:val="en-US"/>
        </w:rPr>
        <w:lastRenderedPageBreak/>
        <w:t>Annex 1</w:t>
      </w:r>
      <w:r w:rsidRPr="004F1A63">
        <w:rPr>
          <w:lang w:val="en-US"/>
        </w:rPr>
        <w:br/>
      </w:r>
      <w:r w:rsidRPr="004F1A63">
        <w:rPr>
          <w:lang w:val="en-US"/>
        </w:rPr>
        <w:br/>
        <w:t>Vertical antenna pattern to be used for an IMT-2000 base station</w:t>
      </w:r>
    </w:p>
    <w:p w:rsidR="004F1A63" w:rsidRDefault="004F1A63" w:rsidP="004F1A63">
      <w:pPr>
        <w:rPr>
          <w:lang w:val="en-US"/>
        </w:rPr>
      </w:pPr>
    </w:p>
    <w:p w:rsidR="004F1A63" w:rsidRDefault="004F1A63" w:rsidP="004F1A63">
      <w:pPr>
        <w:pStyle w:val="Equation"/>
      </w:pPr>
      <w:r>
        <w:rPr>
          <w:lang w:val="en-US"/>
        </w:rPr>
        <w:tab/>
      </w:r>
      <w:r>
        <w:rPr>
          <w:lang w:val="en-US"/>
        </w:rPr>
        <w:tab/>
      </w:r>
      <w:r>
        <w:rPr>
          <w:position w:val="-10"/>
        </w:rPr>
        <w:object w:dxaOrig="25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pt;height:16.8pt" o:ole="">
            <v:imagedata r:id="rId15" o:title=""/>
          </v:shape>
          <o:OLEObject Type="Embed" ProgID="Equation.3" ShapeID="_x0000_i1025" DrawAspect="Content" ObjectID="_1361252994" r:id="rId16"/>
        </w:object>
      </w:r>
      <w:r>
        <w:tab/>
        <w:t>(1a)</w:t>
      </w:r>
    </w:p>
    <w:p w:rsidR="004F1A63" w:rsidRDefault="004F1A63" w:rsidP="004F1A63">
      <w:pPr>
        <w:pStyle w:val="Equation"/>
      </w:pPr>
      <w:r>
        <w:tab/>
      </w:r>
      <w:r>
        <w:tab/>
      </w:r>
      <w:r>
        <w:rPr>
          <w:position w:val="-32"/>
        </w:rPr>
        <w:object w:dxaOrig="2240" w:dyaOrig="840">
          <v:shape id="_x0000_i1026" type="#_x0000_t75" style="width:112.2pt;height:42pt" o:ole="">
            <v:imagedata r:id="rId17" o:title=""/>
          </v:shape>
          <o:OLEObject Type="Embed" ProgID="Equation.3" ShapeID="_x0000_i1026" DrawAspect="Content" ObjectID="_1361252995" r:id="rId18"/>
        </w:object>
      </w:r>
      <w:r>
        <w:tab/>
        <w:t>(1b)</w:t>
      </w:r>
    </w:p>
    <w:p w:rsidR="004F1A63" w:rsidRDefault="004F1A63" w:rsidP="004F1A63">
      <w:pPr>
        <w:pStyle w:val="Equation"/>
      </w:pPr>
      <w:r>
        <w:tab/>
      </w:r>
      <w:r>
        <w:tab/>
      </w:r>
      <w:r>
        <w:rPr>
          <w:position w:val="-44"/>
        </w:rPr>
        <w:object w:dxaOrig="4760" w:dyaOrig="999">
          <v:shape id="_x0000_i1027" type="#_x0000_t75" style="width:238.2pt;height:49.8pt" o:ole="">
            <v:imagedata r:id="rId19" o:title=""/>
          </v:shape>
          <o:OLEObject Type="Embed" ProgID="Equation.3" ShapeID="_x0000_i1027" DrawAspect="Content" ObjectID="_1361252996" r:id="rId20"/>
        </w:object>
      </w:r>
      <w:r>
        <w:tab/>
        <w:t>(1c)</w:t>
      </w:r>
    </w:p>
    <w:p w:rsidR="004F1A63" w:rsidRDefault="004F1A63" w:rsidP="004F1A63">
      <w:pPr>
        <w:pStyle w:val="Equation"/>
      </w:pPr>
      <w:r>
        <w:tab/>
      </w:r>
      <w:r>
        <w:tab/>
      </w:r>
      <w:r>
        <w:rPr>
          <w:position w:val="-30"/>
        </w:rPr>
        <w:object w:dxaOrig="2320" w:dyaOrig="760">
          <v:shape id="_x0000_i1028" type="#_x0000_t75" style="width:115.8pt;height:37.8pt" o:ole="">
            <v:imagedata r:id="rId21" o:title=""/>
          </v:shape>
          <o:OLEObject Type="Embed" ProgID="Equation.3" ShapeID="_x0000_i1028" DrawAspect="Content" ObjectID="_1361252997" r:id="rId22"/>
        </w:object>
      </w:r>
    </w:p>
    <w:p w:rsidR="004F1A63" w:rsidRDefault="004F1A63" w:rsidP="004F1A63">
      <w:pPr>
        <w:rPr>
          <w:lang w:val="en-US"/>
        </w:rPr>
      </w:pPr>
      <w:r>
        <w:rPr>
          <w:lang w:val="en-US"/>
        </w:rPr>
        <w:t>where:</w:t>
      </w:r>
    </w:p>
    <w:p w:rsidR="004F1A63" w:rsidRDefault="004F1A63" w:rsidP="004F1A63">
      <w:pPr>
        <w:pStyle w:val="Equationlegend"/>
      </w:pPr>
      <w:r>
        <w:rPr>
          <w:i/>
        </w:rPr>
        <w:tab/>
        <w:t>G</w:t>
      </w:r>
      <w:r>
        <w:t>(</w:t>
      </w:r>
      <w:r>
        <w:rPr>
          <w:rFonts w:ascii="Symbol" w:hAnsi="Symbol"/>
        </w:rPr>
        <w:t></w:t>
      </w:r>
      <w:r>
        <w:t>):</w:t>
      </w:r>
      <w:r>
        <w:tab/>
        <w:t>gain relative to an isotropic antenna (dBi)</w:t>
      </w:r>
    </w:p>
    <w:p w:rsidR="004F1A63" w:rsidRDefault="004F1A63" w:rsidP="004F1A63">
      <w:pPr>
        <w:pStyle w:val="Equationlegend"/>
      </w:pPr>
      <w:r>
        <w:tab/>
      </w:r>
      <w:r>
        <w:rPr>
          <w:i/>
        </w:rPr>
        <w:t>G</w:t>
      </w:r>
      <w:r>
        <w:rPr>
          <w:position w:val="-4"/>
          <w:sz w:val="16"/>
        </w:rPr>
        <w:t>0</w:t>
      </w:r>
      <w:r>
        <w:t>:</w:t>
      </w:r>
      <w:r>
        <w:tab/>
        <w:t>the maximum gain in or near the horizontal plane (dBi)</w:t>
      </w:r>
    </w:p>
    <w:p w:rsidR="004F1A63" w:rsidRDefault="004F1A63" w:rsidP="004F1A63">
      <w:pPr>
        <w:pStyle w:val="Equationlegend"/>
      </w:pPr>
      <w:r>
        <w:tab/>
      </w:r>
      <w:r>
        <w:rPr>
          <w:rFonts w:ascii="Symbol" w:hAnsi="Symbol"/>
        </w:rPr>
        <w:t></w:t>
      </w:r>
      <w:r>
        <w:t>:</w:t>
      </w:r>
      <w:r>
        <w:rPr>
          <w:rFonts w:ascii="Symbol" w:hAnsi="Symbol"/>
        </w:rPr>
        <w:tab/>
      </w:r>
      <w:r>
        <w:t>absolute value of the elevation angle relative to the angle of maximum gain (degrees), ranging from 0° to 90°</w:t>
      </w:r>
    </w:p>
    <w:p w:rsidR="004F1A63" w:rsidRDefault="004F1A63" w:rsidP="004F1A63">
      <w:pPr>
        <w:pStyle w:val="Equationlegend"/>
      </w:pPr>
      <w:r>
        <w:tab/>
      </w:r>
      <w:r>
        <w:rPr>
          <w:rFonts w:ascii="Symbol" w:hAnsi="Symbol"/>
        </w:rPr>
        <w:t></w:t>
      </w:r>
      <w:r>
        <w:rPr>
          <w:position w:val="-4"/>
          <w:sz w:val="16"/>
        </w:rPr>
        <w:t>3</w:t>
      </w:r>
      <w:r>
        <w:rPr>
          <w:rFonts w:ascii="Tms Rmn" w:hAnsi="Tms Rmn"/>
        </w:rPr>
        <w:t>:</w:t>
      </w:r>
      <w:r>
        <w:rPr>
          <w:rFonts w:ascii="Tms Rmn" w:hAnsi="Tms Rmn"/>
        </w:rPr>
        <w:tab/>
      </w:r>
      <w:r>
        <w:t>the 3 dB beamwidth in the vertical plane (degrees)</w:t>
      </w:r>
    </w:p>
    <w:p w:rsidR="004F1A63" w:rsidRDefault="004F1A63" w:rsidP="004F1A63">
      <w:pPr>
        <w:pStyle w:val="Equationlegend"/>
      </w:pPr>
      <w:r>
        <w:tab/>
      </w:r>
      <w:r>
        <w:rPr>
          <w:rFonts w:ascii="Symbol" w:hAnsi="Symbol"/>
        </w:rPr>
        <w:t></w:t>
      </w:r>
      <w:r>
        <w:rPr>
          <w:i/>
          <w:iCs/>
          <w:position w:val="-4"/>
          <w:sz w:val="16"/>
        </w:rPr>
        <w:t>s</w:t>
      </w:r>
      <w:r>
        <w:rPr>
          <w:rFonts w:ascii="Tms Rmn" w:hAnsi="Tms Rmn"/>
        </w:rPr>
        <w:t>:</w:t>
      </w:r>
      <w:r>
        <w:rPr>
          <w:rFonts w:ascii="Tms Rmn" w:hAnsi="Tms Rmn"/>
        </w:rPr>
        <w:tab/>
      </w:r>
      <w:r>
        <w:t>the 3 dB beamwidth in the azimuthal plane (degrees)</w:t>
      </w:r>
    </w:p>
    <w:p w:rsidR="004F1A63" w:rsidRDefault="004F1A63" w:rsidP="004F1A63">
      <w:pPr>
        <w:pStyle w:val="Equationlegend"/>
      </w:pPr>
      <w:r>
        <w:tab/>
      </w:r>
      <w:r>
        <w:rPr>
          <w:i/>
        </w:rPr>
        <w:t>k</w:t>
      </w:r>
      <w:r>
        <w:t>:</w:t>
      </w:r>
      <w:r>
        <w:rPr>
          <w:i/>
        </w:rPr>
        <w:tab/>
      </w:r>
      <w:r>
        <w:t xml:space="preserve">parameter which accounts for the side-lobe levels of the antenna; in the case of average side-lobe pattern for studies involving multiple entry satellite interference, the parameter </w:t>
      </w:r>
      <w:r>
        <w:rPr>
          <w:i/>
        </w:rPr>
        <w:t>k</w:t>
      </w:r>
      <w:r>
        <w:t xml:space="preserve"> should be 0.2.</w:t>
      </w:r>
    </w:p>
    <w:p w:rsidR="004F1A63" w:rsidRDefault="004F1A63" w:rsidP="004F1A63">
      <w:pPr>
        <w:rPr>
          <w:lang w:val="en-US"/>
        </w:rPr>
      </w:pPr>
    </w:p>
    <w:p w:rsidR="004F1A63" w:rsidRDefault="004F1A63" w:rsidP="004F1A63">
      <w:pPr>
        <w:rPr>
          <w:lang w:val="en-US"/>
        </w:rPr>
      </w:pPr>
    </w:p>
    <w:p w:rsidR="004F1A63" w:rsidRPr="004F1A63" w:rsidRDefault="004F1A63" w:rsidP="004F1A63">
      <w:pPr>
        <w:pStyle w:val="Line"/>
      </w:pPr>
    </w:p>
    <w:sectPr w:rsidR="004F1A63" w:rsidRPr="004F1A63"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03F5" w:rsidRDefault="006003F5">
      <w:r>
        <w:separator/>
      </w:r>
    </w:p>
  </w:endnote>
  <w:endnote w:type="continuationSeparator" w:id="0">
    <w:p w:rsidR="006003F5" w:rsidRDefault="006003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03F5" w:rsidRDefault="006003F5">
      <w:r>
        <w:separator/>
      </w:r>
    </w:p>
  </w:footnote>
  <w:footnote w:type="continuationSeparator" w:id="0">
    <w:p w:rsidR="006003F5" w:rsidRDefault="006003F5">
      <w:r>
        <w:continuationSeparator/>
      </w:r>
    </w:p>
  </w:footnote>
  <w:footnote w:id="1">
    <w:p w:rsidR="004F1A63" w:rsidRPr="004F1A63" w:rsidRDefault="004F1A63" w:rsidP="004F1A63">
      <w:pPr>
        <w:pStyle w:val="FootnoteText"/>
        <w:rPr>
          <w:lang w:val="en-US"/>
        </w:rPr>
      </w:pPr>
      <w:r w:rsidRPr="004F1A63">
        <w:rPr>
          <w:rStyle w:val="FootnoteReference"/>
          <w:lang w:val="en-US"/>
        </w:rPr>
        <w:t>*</w:t>
      </w:r>
      <w:r w:rsidRPr="004F1A63">
        <w:rPr>
          <w:lang w:val="en-US"/>
        </w:rPr>
        <w:tab/>
        <w:t>This Recommendation should be brought to the attention of Radiocommunication Study Group 6.</w:t>
      </w:r>
    </w:p>
  </w:footnote>
  <w:footnote w:id="2">
    <w:p w:rsidR="004F1A63" w:rsidRPr="004F1A63" w:rsidRDefault="004F1A63" w:rsidP="004F1A63">
      <w:pPr>
        <w:pStyle w:val="FootnoteText"/>
        <w:rPr>
          <w:lang w:val="en-US"/>
        </w:rPr>
      </w:pPr>
      <w:r w:rsidRPr="004F1A63">
        <w:rPr>
          <w:rStyle w:val="FootnoteReference"/>
          <w:lang w:val="en-US"/>
        </w:rPr>
        <w:t>**</w:t>
      </w:r>
      <w:r w:rsidRPr="004F1A63">
        <w:rPr>
          <w:lang w:val="en-US"/>
        </w:rPr>
        <w:tab/>
        <w:t>Radiocommunication Study Group 5 made editorial amendments to this Recommendation in November</w:t>
      </w:r>
      <w:r>
        <w:rPr>
          <w:lang w:val="en-US"/>
        </w:rPr>
        <w:t> </w:t>
      </w:r>
      <w:r w:rsidRPr="004F1A63">
        <w:rPr>
          <w:lang w:val="en-US"/>
        </w:rPr>
        <w:t>2010.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FEC" w:rsidRDefault="00470FEC">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FEC" w:rsidRDefault="001D7190"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FEC" w:rsidRPr="00FC42AF" w:rsidRDefault="00291F7A">
    <w:pPr>
      <w:pStyle w:val="Header"/>
      <w:jc w:val="left"/>
    </w:pPr>
    <w:r>
      <w:rPr>
        <w:rStyle w:val="PageNumber"/>
        <w:b/>
        <w:bCs/>
      </w:rPr>
      <w:fldChar w:fldCharType="begin"/>
    </w:r>
    <w:r w:rsidR="00470FEC" w:rsidRPr="00FC42AF">
      <w:rPr>
        <w:rStyle w:val="PageNumber"/>
        <w:b/>
        <w:bCs/>
      </w:rPr>
      <w:instrText xml:space="preserve"> PAGE </w:instrText>
    </w:r>
    <w:r>
      <w:rPr>
        <w:rStyle w:val="PageNumber"/>
        <w:b/>
        <w:bCs/>
      </w:rPr>
      <w:fldChar w:fldCharType="separate"/>
    </w:r>
    <w:r w:rsidR="007122CE">
      <w:rPr>
        <w:rStyle w:val="PageNumber"/>
        <w:b/>
        <w:bCs/>
        <w:noProof/>
      </w:rPr>
      <w:t>2</w:t>
    </w:r>
    <w:r>
      <w:rPr>
        <w:rStyle w:val="PageNumber"/>
        <w:b/>
        <w:bCs/>
      </w:rPr>
      <w:fldChar w:fldCharType="end"/>
    </w:r>
    <w:r w:rsidR="00470FEC" w:rsidRPr="00FC42AF">
      <w:tab/>
    </w:r>
    <w:r w:rsidR="007122CE">
      <w:fldChar w:fldCharType="begin"/>
    </w:r>
    <w:r w:rsidR="007122CE">
      <w:instrText xml:space="preserve"> DOCPROPERTY "Header" \* MERGEFORMAT </w:instrText>
    </w:r>
    <w:r w:rsidR="007122CE">
      <w:fldChar w:fldCharType="separate"/>
    </w:r>
    <w:r w:rsidR="007122CE" w:rsidRPr="007122CE">
      <w:rPr>
        <w:b/>
        <w:bCs/>
      </w:rPr>
      <w:t xml:space="preserve">Rec. </w:t>
    </w:r>
    <w:r w:rsidR="007122CE">
      <w:rPr>
        <w:b/>
        <w:bCs/>
      </w:rPr>
      <w:fldChar w:fldCharType="end"/>
    </w:r>
    <w:r w:rsidR="00470FEC">
      <w:rPr>
        <w:b/>
        <w:bCs/>
      </w:rPr>
      <w:t xml:space="preserve"> </w:t>
    </w:r>
    <w:r>
      <w:rPr>
        <w:b/>
        <w:bCs/>
      </w:rPr>
      <w:fldChar w:fldCharType="begin"/>
    </w:r>
    <w:r w:rsidR="00470FEC" w:rsidRPr="00FC42AF">
      <w:rPr>
        <w:b/>
        <w:bCs/>
      </w:rPr>
      <w:instrText>styleref href</w:instrText>
    </w:r>
    <w:r>
      <w:rPr>
        <w:b/>
        <w:bCs/>
      </w:rPr>
      <w:fldChar w:fldCharType="separate"/>
    </w:r>
    <w:r w:rsidR="007122CE">
      <w:rPr>
        <w:b/>
        <w:bCs/>
        <w:noProof/>
      </w:rPr>
      <w:t>ITU-R  M.1646</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FEC" w:rsidRDefault="00470FEC">
    <w:pPr>
      <w:pStyle w:val="Header"/>
    </w:pPr>
    <w:r>
      <w:tab/>
    </w:r>
    <w:r w:rsidR="007122CE">
      <w:fldChar w:fldCharType="begin"/>
    </w:r>
    <w:r w:rsidR="007122CE">
      <w:instrText xml:space="preserve"> DOCPROPERTY "Header" \* MERGEFORMAT </w:instrText>
    </w:r>
    <w:r w:rsidR="007122CE">
      <w:fldChar w:fldCharType="separate"/>
    </w:r>
    <w:r w:rsidR="007122CE" w:rsidRPr="007122CE">
      <w:rPr>
        <w:b/>
        <w:bCs/>
      </w:rPr>
      <w:t xml:space="preserve">Rec. </w:t>
    </w:r>
    <w:r w:rsidR="007122CE">
      <w:rPr>
        <w:b/>
        <w:bCs/>
      </w:rPr>
      <w:fldChar w:fldCharType="end"/>
    </w:r>
    <w:r>
      <w:rPr>
        <w:b/>
        <w:bCs/>
      </w:rPr>
      <w:t xml:space="preserve"> </w:t>
    </w:r>
    <w:r w:rsidR="00291F7A">
      <w:rPr>
        <w:b/>
        <w:bCs/>
      </w:rPr>
      <w:fldChar w:fldCharType="begin"/>
    </w:r>
    <w:r>
      <w:rPr>
        <w:b/>
        <w:bCs/>
      </w:rPr>
      <w:instrText>styleref href</w:instrText>
    </w:r>
    <w:r w:rsidR="00291F7A">
      <w:rPr>
        <w:b/>
        <w:bCs/>
      </w:rPr>
      <w:fldChar w:fldCharType="separate"/>
    </w:r>
    <w:r w:rsidR="007122CE">
      <w:rPr>
        <w:b/>
        <w:bCs/>
        <w:noProof/>
      </w:rPr>
      <w:t>ITU-R  M.1646</w:t>
    </w:r>
    <w:r w:rsidR="00291F7A">
      <w:rPr>
        <w:b/>
        <w:bCs/>
      </w:rPr>
      <w:fldChar w:fldCharType="end"/>
    </w:r>
    <w:r>
      <w:tab/>
    </w:r>
    <w:r w:rsidR="00291F7A">
      <w:rPr>
        <w:rStyle w:val="PageNumber"/>
        <w:b/>
        <w:bCs/>
      </w:rPr>
      <w:fldChar w:fldCharType="begin"/>
    </w:r>
    <w:r>
      <w:rPr>
        <w:rStyle w:val="PageNumber"/>
        <w:b/>
        <w:bCs/>
      </w:rPr>
      <w:instrText xml:space="preserve"> PAGE </w:instrText>
    </w:r>
    <w:r w:rsidR="00291F7A">
      <w:rPr>
        <w:rStyle w:val="PageNumber"/>
        <w:b/>
        <w:bCs/>
      </w:rPr>
      <w:fldChar w:fldCharType="separate"/>
    </w:r>
    <w:r w:rsidR="007122CE">
      <w:rPr>
        <w:rStyle w:val="PageNumber"/>
        <w:b/>
        <w:bCs/>
        <w:noProof/>
      </w:rPr>
      <w:t>1</w:t>
    </w:r>
    <w:r w:rsidR="00291F7A">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716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6EE3"/>
    <w:rsid w:val="00072484"/>
    <w:rsid w:val="00096612"/>
    <w:rsid w:val="000A4386"/>
    <w:rsid w:val="000B7683"/>
    <w:rsid w:val="000D0677"/>
    <w:rsid w:val="000E6A6E"/>
    <w:rsid w:val="00102934"/>
    <w:rsid w:val="00147110"/>
    <w:rsid w:val="001511A6"/>
    <w:rsid w:val="001D7190"/>
    <w:rsid w:val="002058CE"/>
    <w:rsid w:val="002165F1"/>
    <w:rsid w:val="002572B3"/>
    <w:rsid w:val="00276D21"/>
    <w:rsid w:val="00291F7A"/>
    <w:rsid w:val="00296D7F"/>
    <w:rsid w:val="002B3CF6"/>
    <w:rsid w:val="002C768A"/>
    <w:rsid w:val="002D76C4"/>
    <w:rsid w:val="002F06BF"/>
    <w:rsid w:val="002F5199"/>
    <w:rsid w:val="00333892"/>
    <w:rsid w:val="00356B5D"/>
    <w:rsid w:val="0041667C"/>
    <w:rsid w:val="00420DFD"/>
    <w:rsid w:val="00437A76"/>
    <w:rsid w:val="00470E28"/>
    <w:rsid w:val="00470FEC"/>
    <w:rsid w:val="004934C5"/>
    <w:rsid w:val="004F1A63"/>
    <w:rsid w:val="004F65E4"/>
    <w:rsid w:val="00554C61"/>
    <w:rsid w:val="00556548"/>
    <w:rsid w:val="00586EF8"/>
    <w:rsid w:val="005B49AB"/>
    <w:rsid w:val="005B50E7"/>
    <w:rsid w:val="005D0454"/>
    <w:rsid w:val="005E7B4F"/>
    <w:rsid w:val="006003F5"/>
    <w:rsid w:val="00601882"/>
    <w:rsid w:val="00607D68"/>
    <w:rsid w:val="00613212"/>
    <w:rsid w:val="006149B1"/>
    <w:rsid w:val="00680D2B"/>
    <w:rsid w:val="00681B32"/>
    <w:rsid w:val="006B1D2B"/>
    <w:rsid w:val="006E1131"/>
    <w:rsid w:val="006E2037"/>
    <w:rsid w:val="006E6199"/>
    <w:rsid w:val="007122CE"/>
    <w:rsid w:val="00712870"/>
    <w:rsid w:val="00743D85"/>
    <w:rsid w:val="00753CF4"/>
    <w:rsid w:val="007565CC"/>
    <w:rsid w:val="00763B9A"/>
    <w:rsid w:val="00770866"/>
    <w:rsid w:val="00794726"/>
    <w:rsid w:val="007A6AA8"/>
    <w:rsid w:val="007D224F"/>
    <w:rsid w:val="008310C9"/>
    <w:rsid w:val="00853CC5"/>
    <w:rsid w:val="008C7848"/>
    <w:rsid w:val="00906589"/>
    <w:rsid w:val="00906AD6"/>
    <w:rsid w:val="00917AF2"/>
    <w:rsid w:val="0092418A"/>
    <w:rsid w:val="00934ED7"/>
    <w:rsid w:val="009543C3"/>
    <w:rsid w:val="00966E1B"/>
    <w:rsid w:val="009947C0"/>
    <w:rsid w:val="009F2D2C"/>
    <w:rsid w:val="00A31928"/>
    <w:rsid w:val="00A62A14"/>
    <w:rsid w:val="00A6617B"/>
    <w:rsid w:val="00A71FE5"/>
    <w:rsid w:val="00A971A1"/>
    <w:rsid w:val="00AA3AD8"/>
    <w:rsid w:val="00AB0DC8"/>
    <w:rsid w:val="00B033C8"/>
    <w:rsid w:val="00B33425"/>
    <w:rsid w:val="00B44E24"/>
    <w:rsid w:val="00B53EBC"/>
    <w:rsid w:val="00B54ECC"/>
    <w:rsid w:val="00B714F3"/>
    <w:rsid w:val="00B87B6B"/>
    <w:rsid w:val="00BC5D77"/>
    <w:rsid w:val="00BE262F"/>
    <w:rsid w:val="00BF487A"/>
    <w:rsid w:val="00C44EEB"/>
    <w:rsid w:val="00C46BD9"/>
    <w:rsid w:val="00C55258"/>
    <w:rsid w:val="00C73560"/>
    <w:rsid w:val="00CB0F14"/>
    <w:rsid w:val="00CD659B"/>
    <w:rsid w:val="00CE0A43"/>
    <w:rsid w:val="00D83556"/>
    <w:rsid w:val="00DF4176"/>
    <w:rsid w:val="00E17240"/>
    <w:rsid w:val="00E406BD"/>
    <w:rsid w:val="00E74595"/>
    <w:rsid w:val="00EB7C57"/>
    <w:rsid w:val="00ED2695"/>
    <w:rsid w:val="00F30C9B"/>
    <w:rsid w:val="00F354B1"/>
    <w:rsid w:val="00F93419"/>
    <w:rsid w:val="00FB0E4E"/>
    <w:rsid w:val="00FC42AF"/>
    <w:rsid w:val="00FD15CF"/>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7169">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D719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1D7190"/>
    <w:pPr>
      <w:keepNext/>
      <w:keepLines/>
      <w:spacing w:before="480"/>
      <w:ind w:left="794" w:hanging="794"/>
      <w:outlineLvl w:val="0"/>
    </w:pPr>
    <w:rPr>
      <w:b/>
    </w:rPr>
  </w:style>
  <w:style w:type="paragraph" w:styleId="Heading2">
    <w:name w:val="heading 2"/>
    <w:basedOn w:val="Heading1"/>
    <w:next w:val="Normal"/>
    <w:qFormat/>
    <w:rsid w:val="001D7190"/>
    <w:pPr>
      <w:spacing w:before="320"/>
      <w:outlineLvl w:val="1"/>
    </w:pPr>
  </w:style>
  <w:style w:type="paragraph" w:styleId="Heading3">
    <w:name w:val="heading 3"/>
    <w:basedOn w:val="Heading1"/>
    <w:next w:val="Normal"/>
    <w:qFormat/>
    <w:rsid w:val="001D7190"/>
    <w:pPr>
      <w:spacing w:before="200"/>
      <w:outlineLvl w:val="2"/>
    </w:pPr>
  </w:style>
  <w:style w:type="paragraph" w:styleId="Heading4">
    <w:name w:val="heading 4"/>
    <w:basedOn w:val="Heading3"/>
    <w:next w:val="Normal"/>
    <w:qFormat/>
    <w:rsid w:val="001D7190"/>
    <w:pPr>
      <w:tabs>
        <w:tab w:val="clear" w:pos="794"/>
        <w:tab w:val="left" w:pos="992"/>
      </w:tabs>
      <w:ind w:left="992" w:hanging="992"/>
      <w:outlineLvl w:val="3"/>
    </w:pPr>
  </w:style>
  <w:style w:type="paragraph" w:styleId="Heading5">
    <w:name w:val="heading 5"/>
    <w:basedOn w:val="Heading4"/>
    <w:next w:val="Normal"/>
    <w:qFormat/>
    <w:rsid w:val="001D7190"/>
    <w:pPr>
      <w:outlineLvl w:val="4"/>
    </w:pPr>
  </w:style>
  <w:style w:type="paragraph" w:styleId="Heading6">
    <w:name w:val="heading 6"/>
    <w:basedOn w:val="Heading4"/>
    <w:next w:val="Normal"/>
    <w:qFormat/>
    <w:rsid w:val="001D7190"/>
    <w:pPr>
      <w:tabs>
        <w:tab w:val="clear" w:pos="992"/>
        <w:tab w:val="clear" w:pos="1191"/>
      </w:tabs>
      <w:ind w:left="1588" w:hanging="1588"/>
      <w:outlineLvl w:val="5"/>
    </w:pPr>
  </w:style>
  <w:style w:type="paragraph" w:styleId="Heading7">
    <w:name w:val="heading 7"/>
    <w:basedOn w:val="Heading6"/>
    <w:next w:val="Normal"/>
    <w:qFormat/>
    <w:rsid w:val="001D7190"/>
    <w:pPr>
      <w:outlineLvl w:val="6"/>
    </w:pPr>
  </w:style>
  <w:style w:type="paragraph" w:styleId="Heading8">
    <w:name w:val="heading 8"/>
    <w:basedOn w:val="Heading6"/>
    <w:next w:val="Normal"/>
    <w:qFormat/>
    <w:rsid w:val="001D7190"/>
    <w:pPr>
      <w:outlineLvl w:val="7"/>
    </w:pPr>
  </w:style>
  <w:style w:type="paragraph" w:styleId="Heading9">
    <w:name w:val="heading 9"/>
    <w:basedOn w:val="Heading6"/>
    <w:next w:val="Normal"/>
    <w:qFormat/>
    <w:rsid w:val="001D7190"/>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D7190"/>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1D719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D7190"/>
  </w:style>
  <w:style w:type="paragraph" w:customStyle="1" w:styleId="Headingb">
    <w:name w:val="Heading_b"/>
    <w:basedOn w:val="Heading3"/>
    <w:next w:val="Normal"/>
    <w:rsid w:val="001D7190"/>
    <w:pPr>
      <w:spacing w:before="160"/>
      <w:ind w:left="0" w:firstLine="0"/>
      <w:outlineLvl w:val="9"/>
    </w:pPr>
  </w:style>
  <w:style w:type="paragraph" w:customStyle="1" w:styleId="Headingi">
    <w:name w:val="Heading_i"/>
    <w:basedOn w:val="Heading3"/>
    <w:next w:val="Normal"/>
    <w:rsid w:val="001D7190"/>
    <w:pPr>
      <w:spacing w:before="160"/>
      <w:ind w:left="0" w:firstLine="0"/>
    </w:pPr>
    <w:rPr>
      <w:b w:val="0"/>
      <w:i/>
    </w:rPr>
  </w:style>
  <w:style w:type="character" w:customStyle="1" w:styleId="href">
    <w:name w:val="href"/>
    <w:basedOn w:val="DefaultParagraphFont"/>
    <w:rsid w:val="001D7190"/>
  </w:style>
  <w:style w:type="paragraph" w:customStyle="1" w:styleId="AnnexNoTitle">
    <w:name w:val="Annex_NoTitle"/>
    <w:basedOn w:val="Normal"/>
    <w:next w:val="Normalaftertitle"/>
    <w:rsid w:val="001D7190"/>
    <w:pPr>
      <w:keepNext/>
      <w:keepLines/>
      <w:spacing w:before="480" w:after="80"/>
      <w:jc w:val="center"/>
    </w:pPr>
    <w:rPr>
      <w:b/>
      <w:sz w:val="28"/>
    </w:rPr>
  </w:style>
  <w:style w:type="paragraph" w:customStyle="1" w:styleId="Normalaftertitle">
    <w:name w:val="Normal_after_title"/>
    <w:basedOn w:val="Normal"/>
    <w:next w:val="Normal"/>
    <w:rsid w:val="001D7190"/>
    <w:pPr>
      <w:spacing w:before="320"/>
    </w:pPr>
  </w:style>
  <w:style w:type="paragraph" w:customStyle="1" w:styleId="enumlev2">
    <w:name w:val="enumlev2"/>
    <w:basedOn w:val="enumlev1"/>
    <w:rsid w:val="001D7190"/>
    <w:pPr>
      <w:ind w:left="1191" w:hanging="397"/>
    </w:pPr>
  </w:style>
  <w:style w:type="paragraph" w:customStyle="1" w:styleId="enumlev1">
    <w:name w:val="enumlev1"/>
    <w:basedOn w:val="Normal"/>
    <w:rsid w:val="001D7190"/>
    <w:pPr>
      <w:spacing w:before="80"/>
      <w:ind w:left="794" w:hanging="794"/>
    </w:pPr>
  </w:style>
  <w:style w:type="paragraph" w:customStyle="1" w:styleId="enumlev3">
    <w:name w:val="enumlev3"/>
    <w:basedOn w:val="enumlev2"/>
    <w:rsid w:val="001D7190"/>
    <w:pPr>
      <w:ind w:left="1588"/>
    </w:pPr>
  </w:style>
  <w:style w:type="paragraph" w:customStyle="1" w:styleId="Note">
    <w:name w:val="Note"/>
    <w:basedOn w:val="Normal"/>
    <w:rsid w:val="001D719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D7190"/>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1D7190"/>
    <w:pPr>
      <w:keepNext/>
      <w:keepLines/>
      <w:spacing w:before="240"/>
      <w:jc w:val="center"/>
    </w:pPr>
    <w:rPr>
      <w:b/>
      <w:sz w:val="28"/>
    </w:rPr>
  </w:style>
  <w:style w:type="paragraph" w:customStyle="1" w:styleId="Recref">
    <w:name w:val="Rec_ref"/>
    <w:basedOn w:val="Normal"/>
    <w:next w:val="Recdate"/>
    <w:rsid w:val="001D7190"/>
    <w:pPr>
      <w:jc w:val="center"/>
    </w:pPr>
  </w:style>
  <w:style w:type="paragraph" w:customStyle="1" w:styleId="Recdate">
    <w:name w:val="Rec_date"/>
    <w:basedOn w:val="Recref"/>
    <w:next w:val="Normalaftertitle"/>
    <w:rsid w:val="001D7190"/>
    <w:pPr>
      <w:jc w:val="right"/>
    </w:pPr>
  </w:style>
  <w:style w:type="paragraph" w:customStyle="1" w:styleId="HeadingSum">
    <w:name w:val="Heading_Sum"/>
    <w:basedOn w:val="Headingb"/>
    <w:next w:val="Normal"/>
    <w:rsid w:val="001D7190"/>
    <w:pPr>
      <w:spacing w:before="240"/>
    </w:pPr>
    <w:rPr>
      <w:sz w:val="22"/>
      <w:lang w:val="es-ES_tradnl"/>
    </w:rPr>
  </w:style>
  <w:style w:type="paragraph" w:customStyle="1" w:styleId="AppendixNoTitle">
    <w:name w:val="Appendix_NoTitle"/>
    <w:basedOn w:val="AnnexNoTitle"/>
    <w:next w:val="Normal"/>
    <w:rsid w:val="001D7190"/>
  </w:style>
  <w:style w:type="paragraph" w:customStyle="1" w:styleId="Tablefin">
    <w:name w:val="Table_fin"/>
    <w:basedOn w:val="Normal"/>
    <w:next w:val="Normal"/>
    <w:rsid w:val="001D7190"/>
    <w:pPr>
      <w:spacing w:before="0"/>
    </w:pPr>
    <w:rPr>
      <w:sz w:val="20"/>
      <w:lang w:val="en-GB"/>
    </w:rPr>
  </w:style>
  <w:style w:type="paragraph" w:customStyle="1" w:styleId="Tablehead">
    <w:name w:val="Table_head"/>
    <w:basedOn w:val="Normal"/>
    <w:next w:val="Normal"/>
    <w:rsid w:val="001D719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D71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1D7190"/>
    <w:pPr>
      <w:keepNext/>
      <w:spacing w:before="360" w:after="120"/>
      <w:jc w:val="center"/>
    </w:pPr>
  </w:style>
  <w:style w:type="paragraph" w:customStyle="1" w:styleId="Tabletext">
    <w:name w:val="Table_text"/>
    <w:basedOn w:val="Normal"/>
    <w:rsid w:val="001D71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1D7190"/>
    <w:pPr>
      <w:tabs>
        <w:tab w:val="clear" w:pos="1191"/>
        <w:tab w:val="clear" w:pos="1588"/>
        <w:tab w:val="clear" w:pos="1985"/>
        <w:tab w:val="center" w:pos="4820"/>
        <w:tab w:val="right" w:pos="9639"/>
      </w:tabs>
    </w:pPr>
  </w:style>
  <w:style w:type="paragraph" w:customStyle="1" w:styleId="Equationlegend">
    <w:name w:val="Equation_legend"/>
    <w:basedOn w:val="NormalIndent"/>
    <w:rsid w:val="001D719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D7190"/>
    <w:pPr>
      <w:ind w:left="794"/>
    </w:pPr>
  </w:style>
  <w:style w:type="paragraph" w:customStyle="1" w:styleId="Figurelegend">
    <w:name w:val="Figure_legend"/>
    <w:basedOn w:val="Normal"/>
    <w:rsid w:val="001D719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D7190"/>
    <w:pPr>
      <w:keepNext/>
      <w:keepLines/>
      <w:spacing w:before="480" w:after="80"/>
      <w:jc w:val="center"/>
    </w:pPr>
    <w:rPr>
      <w:caps/>
      <w:sz w:val="18"/>
    </w:rPr>
  </w:style>
  <w:style w:type="paragraph" w:customStyle="1" w:styleId="Figuretitle">
    <w:name w:val="Figure_title"/>
    <w:basedOn w:val="Normal"/>
    <w:next w:val="Figure"/>
    <w:rsid w:val="001D7190"/>
    <w:pPr>
      <w:keepNext/>
      <w:spacing w:before="0" w:after="120"/>
      <w:jc w:val="center"/>
    </w:pPr>
    <w:rPr>
      <w:rFonts w:ascii="Times New Roman Bold" w:hAnsi="Times New Roman Bold"/>
      <w:b/>
      <w:sz w:val="18"/>
    </w:rPr>
  </w:style>
  <w:style w:type="paragraph" w:customStyle="1" w:styleId="Figure">
    <w:name w:val="Figure"/>
    <w:basedOn w:val="FigureNo"/>
    <w:next w:val="Normal"/>
    <w:rsid w:val="001D7190"/>
    <w:pPr>
      <w:keepNext w:val="0"/>
      <w:spacing w:before="0" w:after="240"/>
    </w:pPr>
  </w:style>
  <w:style w:type="paragraph" w:customStyle="1" w:styleId="tocpart">
    <w:name w:val="tocpart"/>
    <w:basedOn w:val="Normal"/>
    <w:rsid w:val="001D719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D7190"/>
    <w:pPr>
      <w:keepNext/>
      <w:keepLines/>
      <w:spacing w:before="480"/>
      <w:jc w:val="center"/>
    </w:pPr>
    <w:rPr>
      <w:sz w:val="28"/>
    </w:rPr>
  </w:style>
  <w:style w:type="paragraph" w:customStyle="1" w:styleId="Arttitle">
    <w:name w:val="Art_title"/>
    <w:basedOn w:val="Normal"/>
    <w:next w:val="Normalaftertitle"/>
    <w:rsid w:val="001D7190"/>
    <w:pPr>
      <w:keepNext/>
      <w:keepLines/>
      <w:spacing w:before="240"/>
      <w:jc w:val="center"/>
    </w:pPr>
    <w:rPr>
      <w:b/>
      <w:sz w:val="28"/>
    </w:rPr>
  </w:style>
  <w:style w:type="paragraph" w:customStyle="1" w:styleId="Blanc">
    <w:name w:val="Blanc"/>
    <w:basedOn w:val="Normal"/>
    <w:next w:val="Tabletext"/>
    <w:rsid w:val="001D719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D719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D7190"/>
    <w:pPr>
      <w:keepNext/>
      <w:keepLines/>
      <w:spacing w:before="160"/>
      <w:ind w:left="794"/>
    </w:pPr>
    <w:rPr>
      <w:i/>
    </w:rPr>
  </w:style>
  <w:style w:type="paragraph" w:customStyle="1" w:styleId="ChapNo">
    <w:name w:val="Chap_No"/>
    <w:basedOn w:val="ArtNo"/>
    <w:next w:val="Chaptitle"/>
    <w:rsid w:val="001D7190"/>
    <w:rPr>
      <w:b/>
    </w:rPr>
  </w:style>
  <w:style w:type="paragraph" w:customStyle="1" w:styleId="Chaptitle">
    <w:name w:val="Chap_title"/>
    <w:basedOn w:val="Arttitle"/>
    <w:next w:val="Normalaftertitle"/>
    <w:rsid w:val="001D7190"/>
  </w:style>
  <w:style w:type="character" w:styleId="FootnoteReference">
    <w:name w:val="footnote reference"/>
    <w:basedOn w:val="DefaultParagraphFont"/>
    <w:semiHidden/>
    <w:rsid w:val="001D7190"/>
    <w:rPr>
      <w:position w:val="6"/>
      <w:sz w:val="18"/>
    </w:rPr>
  </w:style>
  <w:style w:type="paragraph" w:styleId="FootnoteText">
    <w:name w:val="footnote text"/>
    <w:basedOn w:val="Normal"/>
    <w:semiHidden/>
    <w:rsid w:val="001D7190"/>
    <w:pPr>
      <w:keepLines/>
      <w:tabs>
        <w:tab w:val="left" w:pos="255"/>
      </w:tabs>
      <w:ind w:left="255" w:hanging="255"/>
    </w:pPr>
    <w:rPr>
      <w:sz w:val="22"/>
    </w:rPr>
  </w:style>
  <w:style w:type="paragraph" w:styleId="Index1">
    <w:name w:val="index 1"/>
    <w:basedOn w:val="Normal"/>
    <w:next w:val="Normal"/>
    <w:semiHidden/>
    <w:rsid w:val="001D7190"/>
  </w:style>
  <w:style w:type="paragraph" w:styleId="Index2">
    <w:name w:val="index 2"/>
    <w:basedOn w:val="Normal"/>
    <w:next w:val="Normal"/>
    <w:semiHidden/>
    <w:rsid w:val="001D7190"/>
    <w:pPr>
      <w:ind w:left="283"/>
    </w:pPr>
  </w:style>
  <w:style w:type="paragraph" w:styleId="Index3">
    <w:name w:val="index 3"/>
    <w:basedOn w:val="Normal"/>
    <w:next w:val="Normal"/>
    <w:semiHidden/>
    <w:rsid w:val="001D7190"/>
    <w:pPr>
      <w:ind w:left="566"/>
    </w:pPr>
  </w:style>
  <w:style w:type="paragraph" w:styleId="IndexHeading">
    <w:name w:val="index heading"/>
    <w:basedOn w:val="Normal"/>
    <w:next w:val="Index1"/>
    <w:semiHidden/>
    <w:rsid w:val="001D7190"/>
  </w:style>
  <w:style w:type="paragraph" w:customStyle="1" w:styleId="Line">
    <w:name w:val="Line"/>
    <w:basedOn w:val="Normal"/>
    <w:next w:val="Normal"/>
    <w:rsid w:val="001D719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D719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D7190"/>
  </w:style>
  <w:style w:type="paragraph" w:customStyle="1" w:styleId="Partref">
    <w:name w:val="Part_ref"/>
    <w:basedOn w:val="Normal"/>
    <w:next w:val="Normal"/>
    <w:rsid w:val="001D7190"/>
    <w:pPr>
      <w:keepNext/>
      <w:keepLines/>
      <w:spacing w:after="280"/>
      <w:jc w:val="center"/>
    </w:pPr>
  </w:style>
  <w:style w:type="paragraph" w:customStyle="1" w:styleId="Parttitle">
    <w:name w:val="Part_title"/>
    <w:basedOn w:val="Normal"/>
    <w:next w:val="Normalaftertitle"/>
    <w:rsid w:val="001D719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D7190"/>
  </w:style>
  <w:style w:type="paragraph" w:customStyle="1" w:styleId="QuestionNo">
    <w:name w:val="Question_No"/>
    <w:basedOn w:val="RecNo"/>
    <w:next w:val="Normal"/>
    <w:rsid w:val="001D7190"/>
  </w:style>
  <w:style w:type="paragraph" w:customStyle="1" w:styleId="Questionref">
    <w:name w:val="Question_ref"/>
    <w:basedOn w:val="Recref"/>
    <w:next w:val="Questiondate"/>
    <w:rsid w:val="001D7190"/>
  </w:style>
  <w:style w:type="paragraph" w:customStyle="1" w:styleId="Questiontitle">
    <w:name w:val="Question_title"/>
    <w:basedOn w:val="Normal"/>
    <w:next w:val="Questionref"/>
    <w:rsid w:val="001D7190"/>
  </w:style>
  <w:style w:type="paragraph" w:customStyle="1" w:styleId="Reftext">
    <w:name w:val="Ref_text"/>
    <w:basedOn w:val="Normal"/>
    <w:rsid w:val="001D7190"/>
    <w:pPr>
      <w:ind w:left="794" w:hanging="794"/>
    </w:pPr>
    <w:rPr>
      <w:sz w:val="22"/>
    </w:rPr>
  </w:style>
  <w:style w:type="paragraph" w:customStyle="1" w:styleId="Reftitle">
    <w:name w:val="Ref_title"/>
    <w:basedOn w:val="Normal"/>
    <w:next w:val="Reftext"/>
    <w:rsid w:val="001D719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D7190"/>
  </w:style>
  <w:style w:type="paragraph" w:customStyle="1" w:styleId="RepNo">
    <w:name w:val="Rep_No"/>
    <w:basedOn w:val="RecNo"/>
    <w:next w:val="Reptitle"/>
    <w:rsid w:val="001D7190"/>
  </w:style>
  <w:style w:type="paragraph" w:customStyle="1" w:styleId="Reptitle">
    <w:name w:val="Rep_title"/>
    <w:basedOn w:val="Rectitle"/>
    <w:next w:val="Repref"/>
    <w:rsid w:val="001D7190"/>
  </w:style>
  <w:style w:type="paragraph" w:customStyle="1" w:styleId="Repref">
    <w:name w:val="Rep_ref"/>
    <w:basedOn w:val="Recref"/>
    <w:next w:val="Repdate"/>
    <w:rsid w:val="001D7190"/>
  </w:style>
  <w:style w:type="paragraph" w:customStyle="1" w:styleId="Resdate">
    <w:name w:val="Res_date"/>
    <w:basedOn w:val="Recdate"/>
    <w:next w:val="Normalaftertitle"/>
    <w:rsid w:val="001D7190"/>
  </w:style>
  <w:style w:type="paragraph" w:customStyle="1" w:styleId="ResNo">
    <w:name w:val="Res_No"/>
    <w:basedOn w:val="RecNo"/>
    <w:next w:val="Restitle"/>
    <w:rsid w:val="001D7190"/>
  </w:style>
  <w:style w:type="paragraph" w:customStyle="1" w:styleId="Restitle">
    <w:name w:val="Res_title"/>
    <w:basedOn w:val="Normal"/>
    <w:next w:val="Resref"/>
    <w:rsid w:val="001D7190"/>
    <w:pPr>
      <w:spacing w:before="240"/>
      <w:jc w:val="center"/>
    </w:pPr>
    <w:rPr>
      <w:b/>
      <w:sz w:val="28"/>
    </w:rPr>
  </w:style>
  <w:style w:type="paragraph" w:customStyle="1" w:styleId="Resref">
    <w:name w:val="Res_ref"/>
    <w:basedOn w:val="Recref"/>
    <w:next w:val="Resdate"/>
    <w:rsid w:val="001D7190"/>
  </w:style>
  <w:style w:type="paragraph" w:customStyle="1" w:styleId="SectionNo">
    <w:name w:val="Section_No"/>
    <w:basedOn w:val="Normal"/>
    <w:next w:val="Normal"/>
    <w:rsid w:val="001D7190"/>
  </w:style>
  <w:style w:type="paragraph" w:customStyle="1" w:styleId="Sectiontitle">
    <w:name w:val="Section_title"/>
    <w:basedOn w:val="Normal"/>
    <w:next w:val="Normalaftertitle"/>
    <w:rsid w:val="001D719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D7190"/>
    <w:pPr>
      <w:tabs>
        <w:tab w:val="clear" w:pos="794"/>
        <w:tab w:val="clear" w:pos="1191"/>
        <w:tab w:val="clear" w:pos="1588"/>
        <w:tab w:val="clear" w:pos="1985"/>
        <w:tab w:val="right" w:pos="9611"/>
      </w:tabs>
    </w:pPr>
    <w:rPr>
      <w:i/>
    </w:rPr>
  </w:style>
  <w:style w:type="paragraph" w:styleId="TOC1">
    <w:name w:val="toc 1"/>
    <w:basedOn w:val="Normal"/>
    <w:semiHidden/>
    <w:rsid w:val="001D719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D7190"/>
    <w:pPr>
      <w:tabs>
        <w:tab w:val="clear" w:pos="567"/>
        <w:tab w:val="left" w:pos="1276"/>
      </w:tabs>
      <w:spacing w:before="160"/>
      <w:ind w:left="1276" w:hanging="709"/>
    </w:pPr>
  </w:style>
  <w:style w:type="paragraph" w:styleId="TOC3">
    <w:name w:val="toc 3"/>
    <w:basedOn w:val="TOC2"/>
    <w:semiHidden/>
    <w:rsid w:val="001D7190"/>
    <w:pPr>
      <w:tabs>
        <w:tab w:val="clear" w:pos="1276"/>
        <w:tab w:val="left" w:pos="2155"/>
      </w:tabs>
      <w:ind w:left="2155" w:hanging="879"/>
    </w:pPr>
  </w:style>
  <w:style w:type="paragraph" w:styleId="TOC4">
    <w:name w:val="toc 4"/>
    <w:basedOn w:val="TOC3"/>
    <w:semiHidden/>
    <w:rsid w:val="001D7190"/>
    <w:pPr>
      <w:tabs>
        <w:tab w:val="left" w:pos="3261"/>
      </w:tabs>
      <w:spacing w:before="80"/>
      <w:ind w:left="3261" w:hanging="993"/>
    </w:pPr>
  </w:style>
  <w:style w:type="paragraph" w:styleId="TOC5">
    <w:name w:val="toc 5"/>
    <w:basedOn w:val="TOC4"/>
    <w:semiHidden/>
    <w:rsid w:val="001D7190"/>
  </w:style>
  <w:style w:type="paragraph" w:styleId="TOC6">
    <w:name w:val="toc 6"/>
    <w:basedOn w:val="TOC4"/>
    <w:semiHidden/>
    <w:rsid w:val="001D7190"/>
  </w:style>
  <w:style w:type="paragraph" w:styleId="TOC7">
    <w:name w:val="toc 7"/>
    <w:basedOn w:val="TOC4"/>
    <w:semiHidden/>
    <w:rsid w:val="001D7190"/>
  </w:style>
  <w:style w:type="paragraph" w:styleId="TOC8">
    <w:name w:val="toc 8"/>
    <w:basedOn w:val="TOC4"/>
    <w:semiHidden/>
    <w:rsid w:val="001D7190"/>
  </w:style>
  <w:style w:type="paragraph" w:customStyle="1" w:styleId="Annexref">
    <w:name w:val="Annex_ref"/>
    <w:basedOn w:val="Normal"/>
    <w:next w:val="Normalaftertitle"/>
    <w:rsid w:val="001D7190"/>
    <w:pPr>
      <w:keepNext/>
      <w:keepLines/>
      <w:spacing w:after="280"/>
      <w:jc w:val="center"/>
    </w:pPr>
  </w:style>
  <w:style w:type="paragraph" w:customStyle="1" w:styleId="Appendixref">
    <w:name w:val="Appendix_ref"/>
    <w:basedOn w:val="Annexref"/>
    <w:next w:val="Normalaftertitle"/>
    <w:rsid w:val="001D7190"/>
  </w:style>
  <w:style w:type="paragraph" w:customStyle="1" w:styleId="Tabletitle">
    <w:name w:val="Table_title"/>
    <w:basedOn w:val="Normal"/>
    <w:next w:val="Tablehead"/>
    <w:rsid w:val="001D7190"/>
    <w:pPr>
      <w:keepNext/>
      <w:spacing w:before="0" w:after="120"/>
      <w:jc w:val="center"/>
    </w:pPr>
    <w:rPr>
      <w:b/>
    </w:rPr>
  </w:style>
  <w:style w:type="paragraph" w:customStyle="1" w:styleId="Summary">
    <w:name w:val="Summary"/>
    <w:basedOn w:val="Normal"/>
    <w:next w:val="Normalaftertitle"/>
    <w:rsid w:val="001D7190"/>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1D7190"/>
    <w:pPr>
      <w:ind w:left="-85" w:firstLine="0"/>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D719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1D7190"/>
    <w:pPr>
      <w:keepNext/>
      <w:keepLines/>
      <w:spacing w:before="480"/>
      <w:ind w:left="794" w:hanging="794"/>
      <w:outlineLvl w:val="0"/>
    </w:pPr>
    <w:rPr>
      <w:b/>
    </w:rPr>
  </w:style>
  <w:style w:type="paragraph" w:styleId="Heading2">
    <w:name w:val="heading 2"/>
    <w:basedOn w:val="Heading1"/>
    <w:next w:val="Normal"/>
    <w:qFormat/>
    <w:rsid w:val="001D7190"/>
    <w:pPr>
      <w:spacing w:before="320"/>
      <w:outlineLvl w:val="1"/>
    </w:pPr>
  </w:style>
  <w:style w:type="paragraph" w:styleId="Heading3">
    <w:name w:val="heading 3"/>
    <w:basedOn w:val="Heading1"/>
    <w:next w:val="Normal"/>
    <w:qFormat/>
    <w:rsid w:val="001D7190"/>
    <w:pPr>
      <w:spacing w:before="200"/>
      <w:outlineLvl w:val="2"/>
    </w:pPr>
  </w:style>
  <w:style w:type="paragraph" w:styleId="Heading4">
    <w:name w:val="heading 4"/>
    <w:basedOn w:val="Heading3"/>
    <w:next w:val="Normal"/>
    <w:qFormat/>
    <w:rsid w:val="001D7190"/>
    <w:pPr>
      <w:tabs>
        <w:tab w:val="clear" w:pos="794"/>
        <w:tab w:val="left" w:pos="992"/>
      </w:tabs>
      <w:ind w:left="992" w:hanging="992"/>
      <w:outlineLvl w:val="3"/>
    </w:pPr>
  </w:style>
  <w:style w:type="paragraph" w:styleId="Heading5">
    <w:name w:val="heading 5"/>
    <w:basedOn w:val="Heading4"/>
    <w:next w:val="Normal"/>
    <w:qFormat/>
    <w:rsid w:val="001D7190"/>
    <w:pPr>
      <w:outlineLvl w:val="4"/>
    </w:pPr>
  </w:style>
  <w:style w:type="paragraph" w:styleId="Heading6">
    <w:name w:val="heading 6"/>
    <w:basedOn w:val="Heading4"/>
    <w:next w:val="Normal"/>
    <w:qFormat/>
    <w:rsid w:val="001D7190"/>
    <w:pPr>
      <w:tabs>
        <w:tab w:val="clear" w:pos="992"/>
        <w:tab w:val="clear" w:pos="1191"/>
      </w:tabs>
      <w:ind w:left="1588" w:hanging="1588"/>
      <w:outlineLvl w:val="5"/>
    </w:pPr>
  </w:style>
  <w:style w:type="paragraph" w:styleId="Heading7">
    <w:name w:val="heading 7"/>
    <w:basedOn w:val="Heading6"/>
    <w:next w:val="Normal"/>
    <w:qFormat/>
    <w:rsid w:val="001D7190"/>
    <w:pPr>
      <w:outlineLvl w:val="6"/>
    </w:pPr>
  </w:style>
  <w:style w:type="paragraph" w:styleId="Heading8">
    <w:name w:val="heading 8"/>
    <w:basedOn w:val="Heading6"/>
    <w:next w:val="Normal"/>
    <w:qFormat/>
    <w:rsid w:val="001D7190"/>
    <w:pPr>
      <w:outlineLvl w:val="7"/>
    </w:pPr>
  </w:style>
  <w:style w:type="paragraph" w:styleId="Heading9">
    <w:name w:val="heading 9"/>
    <w:basedOn w:val="Heading6"/>
    <w:next w:val="Normal"/>
    <w:qFormat/>
    <w:rsid w:val="001D7190"/>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D7190"/>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1D719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D7190"/>
  </w:style>
  <w:style w:type="paragraph" w:customStyle="1" w:styleId="Headingb">
    <w:name w:val="Heading_b"/>
    <w:basedOn w:val="Heading3"/>
    <w:next w:val="Normal"/>
    <w:rsid w:val="001D7190"/>
    <w:pPr>
      <w:spacing w:before="160"/>
      <w:ind w:left="0" w:firstLine="0"/>
      <w:outlineLvl w:val="9"/>
    </w:pPr>
  </w:style>
  <w:style w:type="paragraph" w:customStyle="1" w:styleId="Headingi">
    <w:name w:val="Heading_i"/>
    <w:basedOn w:val="Heading3"/>
    <w:next w:val="Normal"/>
    <w:rsid w:val="001D7190"/>
    <w:pPr>
      <w:spacing w:before="160"/>
      <w:ind w:left="0" w:firstLine="0"/>
    </w:pPr>
    <w:rPr>
      <w:b w:val="0"/>
      <w:i/>
    </w:rPr>
  </w:style>
  <w:style w:type="character" w:customStyle="1" w:styleId="href">
    <w:name w:val="href"/>
    <w:basedOn w:val="DefaultParagraphFont"/>
    <w:rsid w:val="001D7190"/>
  </w:style>
  <w:style w:type="paragraph" w:customStyle="1" w:styleId="AnnexNoTitle">
    <w:name w:val="Annex_NoTitle"/>
    <w:basedOn w:val="Normal"/>
    <w:next w:val="Normalaftertitle"/>
    <w:rsid w:val="001D7190"/>
    <w:pPr>
      <w:keepNext/>
      <w:keepLines/>
      <w:spacing w:before="480" w:after="80"/>
      <w:jc w:val="center"/>
    </w:pPr>
    <w:rPr>
      <w:b/>
      <w:sz w:val="28"/>
    </w:rPr>
  </w:style>
  <w:style w:type="paragraph" w:customStyle="1" w:styleId="Normalaftertitle">
    <w:name w:val="Normal_after_title"/>
    <w:basedOn w:val="Normal"/>
    <w:next w:val="Normal"/>
    <w:rsid w:val="001D7190"/>
    <w:pPr>
      <w:spacing w:before="320"/>
    </w:pPr>
  </w:style>
  <w:style w:type="paragraph" w:customStyle="1" w:styleId="enumlev2">
    <w:name w:val="enumlev2"/>
    <w:basedOn w:val="enumlev1"/>
    <w:rsid w:val="001D7190"/>
    <w:pPr>
      <w:ind w:left="1191" w:hanging="397"/>
    </w:pPr>
  </w:style>
  <w:style w:type="paragraph" w:customStyle="1" w:styleId="enumlev1">
    <w:name w:val="enumlev1"/>
    <w:basedOn w:val="Normal"/>
    <w:rsid w:val="001D7190"/>
    <w:pPr>
      <w:spacing w:before="80"/>
      <w:ind w:left="794" w:hanging="794"/>
    </w:pPr>
  </w:style>
  <w:style w:type="paragraph" w:customStyle="1" w:styleId="enumlev3">
    <w:name w:val="enumlev3"/>
    <w:basedOn w:val="enumlev2"/>
    <w:rsid w:val="001D7190"/>
    <w:pPr>
      <w:ind w:left="1588"/>
    </w:pPr>
  </w:style>
  <w:style w:type="paragraph" w:customStyle="1" w:styleId="Note">
    <w:name w:val="Note"/>
    <w:basedOn w:val="Normal"/>
    <w:rsid w:val="001D719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D7190"/>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1D7190"/>
    <w:pPr>
      <w:keepNext/>
      <w:keepLines/>
      <w:spacing w:before="240"/>
      <w:jc w:val="center"/>
    </w:pPr>
    <w:rPr>
      <w:b/>
      <w:sz w:val="28"/>
    </w:rPr>
  </w:style>
  <w:style w:type="paragraph" w:customStyle="1" w:styleId="Recref">
    <w:name w:val="Rec_ref"/>
    <w:basedOn w:val="Normal"/>
    <w:next w:val="Recdate"/>
    <w:rsid w:val="001D7190"/>
    <w:pPr>
      <w:jc w:val="center"/>
    </w:pPr>
  </w:style>
  <w:style w:type="paragraph" w:customStyle="1" w:styleId="Recdate">
    <w:name w:val="Rec_date"/>
    <w:basedOn w:val="Recref"/>
    <w:next w:val="Normalaftertitle"/>
    <w:rsid w:val="001D7190"/>
    <w:pPr>
      <w:jc w:val="right"/>
    </w:pPr>
  </w:style>
  <w:style w:type="paragraph" w:customStyle="1" w:styleId="HeadingSum">
    <w:name w:val="Heading_Sum"/>
    <w:basedOn w:val="Headingb"/>
    <w:next w:val="Normal"/>
    <w:rsid w:val="001D7190"/>
    <w:pPr>
      <w:spacing w:before="240"/>
    </w:pPr>
    <w:rPr>
      <w:sz w:val="22"/>
      <w:lang w:val="es-ES_tradnl"/>
    </w:rPr>
  </w:style>
  <w:style w:type="paragraph" w:customStyle="1" w:styleId="AppendixNoTitle">
    <w:name w:val="Appendix_NoTitle"/>
    <w:basedOn w:val="AnnexNoTitle"/>
    <w:next w:val="Normal"/>
    <w:rsid w:val="001D7190"/>
  </w:style>
  <w:style w:type="paragraph" w:customStyle="1" w:styleId="Tablefin">
    <w:name w:val="Table_fin"/>
    <w:basedOn w:val="Normal"/>
    <w:next w:val="Normal"/>
    <w:rsid w:val="001D7190"/>
    <w:pPr>
      <w:spacing w:before="0"/>
    </w:pPr>
    <w:rPr>
      <w:sz w:val="20"/>
      <w:lang w:val="en-GB"/>
    </w:rPr>
  </w:style>
  <w:style w:type="paragraph" w:customStyle="1" w:styleId="Tablehead">
    <w:name w:val="Table_head"/>
    <w:basedOn w:val="Normal"/>
    <w:next w:val="Normal"/>
    <w:rsid w:val="001D719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D71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1D7190"/>
    <w:pPr>
      <w:keepNext/>
      <w:spacing w:before="360" w:after="120"/>
      <w:jc w:val="center"/>
    </w:pPr>
  </w:style>
  <w:style w:type="paragraph" w:customStyle="1" w:styleId="Tabletext">
    <w:name w:val="Table_text"/>
    <w:basedOn w:val="Normal"/>
    <w:rsid w:val="001D71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1D7190"/>
    <w:pPr>
      <w:tabs>
        <w:tab w:val="clear" w:pos="1191"/>
        <w:tab w:val="clear" w:pos="1588"/>
        <w:tab w:val="clear" w:pos="1985"/>
        <w:tab w:val="center" w:pos="4820"/>
        <w:tab w:val="right" w:pos="9639"/>
      </w:tabs>
    </w:pPr>
  </w:style>
  <w:style w:type="paragraph" w:customStyle="1" w:styleId="Equationlegend">
    <w:name w:val="Equation_legend"/>
    <w:basedOn w:val="NormalIndent"/>
    <w:rsid w:val="001D719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D7190"/>
    <w:pPr>
      <w:ind w:left="794"/>
    </w:pPr>
  </w:style>
  <w:style w:type="paragraph" w:customStyle="1" w:styleId="Figurelegend">
    <w:name w:val="Figure_legend"/>
    <w:basedOn w:val="Normal"/>
    <w:rsid w:val="001D719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D7190"/>
    <w:pPr>
      <w:keepNext/>
      <w:keepLines/>
      <w:spacing w:before="480" w:after="80"/>
      <w:jc w:val="center"/>
    </w:pPr>
    <w:rPr>
      <w:caps/>
      <w:sz w:val="18"/>
    </w:rPr>
  </w:style>
  <w:style w:type="paragraph" w:customStyle="1" w:styleId="Figuretitle">
    <w:name w:val="Figure_title"/>
    <w:basedOn w:val="Normal"/>
    <w:next w:val="Figure"/>
    <w:rsid w:val="001D7190"/>
    <w:pPr>
      <w:keepNext/>
      <w:spacing w:before="0" w:after="120"/>
      <w:jc w:val="center"/>
    </w:pPr>
    <w:rPr>
      <w:rFonts w:ascii="Times New Roman Bold" w:hAnsi="Times New Roman Bold"/>
      <w:b/>
      <w:sz w:val="18"/>
    </w:rPr>
  </w:style>
  <w:style w:type="paragraph" w:customStyle="1" w:styleId="Figure">
    <w:name w:val="Figure"/>
    <w:basedOn w:val="FigureNo"/>
    <w:next w:val="Normal"/>
    <w:rsid w:val="001D7190"/>
    <w:pPr>
      <w:keepNext w:val="0"/>
      <w:spacing w:before="0" w:after="240"/>
    </w:pPr>
  </w:style>
  <w:style w:type="paragraph" w:customStyle="1" w:styleId="tocpart">
    <w:name w:val="tocpart"/>
    <w:basedOn w:val="Normal"/>
    <w:rsid w:val="001D719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D7190"/>
    <w:pPr>
      <w:keepNext/>
      <w:keepLines/>
      <w:spacing w:before="480"/>
      <w:jc w:val="center"/>
    </w:pPr>
    <w:rPr>
      <w:sz w:val="28"/>
    </w:rPr>
  </w:style>
  <w:style w:type="paragraph" w:customStyle="1" w:styleId="Arttitle">
    <w:name w:val="Art_title"/>
    <w:basedOn w:val="Normal"/>
    <w:next w:val="Normalaftertitle"/>
    <w:rsid w:val="001D7190"/>
    <w:pPr>
      <w:keepNext/>
      <w:keepLines/>
      <w:spacing w:before="240"/>
      <w:jc w:val="center"/>
    </w:pPr>
    <w:rPr>
      <w:b/>
      <w:sz w:val="28"/>
    </w:rPr>
  </w:style>
  <w:style w:type="paragraph" w:customStyle="1" w:styleId="Blanc">
    <w:name w:val="Blanc"/>
    <w:basedOn w:val="Normal"/>
    <w:next w:val="Tabletext"/>
    <w:rsid w:val="001D719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D719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D7190"/>
    <w:pPr>
      <w:keepNext/>
      <w:keepLines/>
      <w:spacing w:before="160"/>
      <w:ind w:left="794"/>
    </w:pPr>
    <w:rPr>
      <w:i/>
    </w:rPr>
  </w:style>
  <w:style w:type="paragraph" w:customStyle="1" w:styleId="ChapNo">
    <w:name w:val="Chap_No"/>
    <w:basedOn w:val="ArtNo"/>
    <w:next w:val="Chaptitle"/>
    <w:rsid w:val="001D7190"/>
    <w:rPr>
      <w:b/>
    </w:rPr>
  </w:style>
  <w:style w:type="paragraph" w:customStyle="1" w:styleId="Chaptitle">
    <w:name w:val="Chap_title"/>
    <w:basedOn w:val="Arttitle"/>
    <w:next w:val="Normalaftertitle"/>
    <w:rsid w:val="001D7190"/>
  </w:style>
  <w:style w:type="character" w:styleId="FootnoteReference">
    <w:name w:val="footnote reference"/>
    <w:basedOn w:val="DefaultParagraphFont"/>
    <w:semiHidden/>
    <w:rsid w:val="001D7190"/>
    <w:rPr>
      <w:position w:val="6"/>
      <w:sz w:val="18"/>
    </w:rPr>
  </w:style>
  <w:style w:type="paragraph" w:styleId="FootnoteText">
    <w:name w:val="footnote text"/>
    <w:basedOn w:val="Normal"/>
    <w:semiHidden/>
    <w:rsid w:val="001D7190"/>
    <w:pPr>
      <w:keepLines/>
      <w:tabs>
        <w:tab w:val="left" w:pos="255"/>
      </w:tabs>
      <w:ind w:left="255" w:hanging="255"/>
    </w:pPr>
    <w:rPr>
      <w:sz w:val="22"/>
    </w:rPr>
  </w:style>
  <w:style w:type="paragraph" w:styleId="Index1">
    <w:name w:val="index 1"/>
    <w:basedOn w:val="Normal"/>
    <w:next w:val="Normal"/>
    <w:semiHidden/>
    <w:rsid w:val="001D7190"/>
  </w:style>
  <w:style w:type="paragraph" w:styleId="Index2">
    <w:name w:val="index 2"/>
    <w:basedOn w:val="Normal"/>
    <w:next w:val="Normal"/>
    <w:semiHidden/>
    <w:rsid w:val="001D7190"/>
    <w:pPr>
      <w:ind w:left="283"/>
    </w:pPr>
  </w:style>
  <w:style w:type="paragraph" w:styleId="Index3">
    <w:name w:val="index 3"/>
    <w:basedOn w:val="Normal"/>
    <w:next w:val="Normal"/>
    <w:semiHidden/>
    <w:rsid w:val="001D7190"/>
    <w:pPr>
      <w:ind w:left="566"/>
    </w:pPr>
  </w:style>
  <w:style w:type="paragraph" w:styleId="IndexHeading">
    <w:name w:val="index heading"/>
    <w:basedOn w:val="Normal"/>
    <w:next w:val="Index1"/>
    <w:semiHidden/>
    <w:rsid w:val="001D7190"/>
  </w:style>
  <w:style w:type="paragraph" w:customStyle="1" w:styleId="Line">
    <w:name w:val="Line"/>
    <w:basedOn w:val="Normal"/>
    <w:next w:val="Normal"/>
    <w:rsid w:val="001D719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D719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D7190"/>
  </w:style>
  <w:style w:type="paragraph" w:customStyle="1" w:styleId="Partref">
    <w:name w:val="Part_ref"/>
    <w:basedOn w:val="Normal"/>
    <w:next w:val="Normal"/>
    <w:rsid w:val="001D7190"/>
    <w:pPr>
      <w:keepNext/>
      <w:keepLines/>
      <w:spacing w:after="280"/>
      <w:jc w:val="center"/>
    </w:pPr>
  </w:style>
  <w:style w:type="paragraph" w:customStyle="1" w:styleId="Parttitle">
    <w:name w:val="Part_title"/>
    <w:basedOn w:val="Normal"/>
    <w:next w:val="Normalaftertitle"/>
    <w:rsid w:val="001D719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D7190"/>
  </w:style>
  <w:style w:type="paragraph" w:customStyle="1" w:styleId="QuestionNo">
    <w:name w:val="Question_No"/>
    <w:basedOn w:val="RecNo"/>
    <w:next w:val="Normal"/>
    <w:rsid w:val="001D7190"/>
  </w:style>
  <w:style w:type="paragraph" w:customStyle="1" w:styleId="Questionref">
    <w:name w:val="Question_ref"/>
    <w:basedOn w:val="Recref"/>
    <w:next w:val="Questiondate"/>
    <w:rsid w:val="001D7190"/>
  </w:style>
  <w:style w:type="paragraph" w:customStyle="1" w:styleId="Questiontitle">
    <w:name w:val="Question_title"/>
    <w:basedOn w:val="Normal"/>
    <w:next w:val="Questionref"/>
    <w:rsid w:val="001D7190"/>
  </w:style>
  <w:style w:type="paragraph" w:customStyle="1" w:styleId="Reftext">
    <w:name w:val="Ref_text"/>
    <w:basedOn w:val="Normal"/>
    <w:rsid w:val="001D7190"/>
    <w:pPr>
      <w:ind w:left="794" w:hanging="794"/>
    </w:pPr>
    <w:rPr>
      <w:sz w:val="22"/>
    </w:rPr>
  </w:style>
  <w:style w:type="paragraph" w:customStyle="1" w:styleId="Reftitle">
    <w:name w:val="Ref_title"/>
    <w:basedOn w:val="Normal"/>
    <w:next w:val="Reftext"/>
    <w:rsid w:val="001D719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D7190"/>
  </w:style>
  <w:style w:type="paragraph" w:customStyle="1" w:styleId="RepNo">
    <w:name w:val="Rep_No"/>
    <w:basedOn w:val="RecNo"/>
    <w:next w:val="Reptitle"/>
    <w:rsid w:val="001D7190"/>
  </w:style>
  <w:style w:type="paragraph" w:customStyle="1" w:styleId="Reptitle">
    <w:name w:val="Rep_title"/>
    <w:basedOn w:val="Rectitle"/>
    <w:next w:val="Repref"/>
    <w:rsid w:val="001D7190"/>
  </w:style>
  <w:style w:type="paragraph" w:customStyle="1" w:styleId="Repref">
    <w:name w:val="Rep_ref"/>
    <w:basedOn w:val="Recref"/>
    <w:next w:val="Repdate"/>
    <w:rsid w:val="001D7190"/>
  </w:style>
  <w:style w:type="paragraph" w:customStyle="1" w:styleId="Resdate">
    <w:name w:val="Res_date"/>
    <w:basedOn w:val="Recdate"/>
    <w:next w:val="Normalaftertitle"/>
    <w:rsid w:val="001D7190"/>
  </w:style>
  <w:style w:type="paragraph" w:customStyle="1" w:styleId="ResNo">
    <w:name w:val="Res_No"/>
    <w:basedOn w:val="RecNo"/>
    <w:next w:val="Restitle"/>
    <w:rsid w:val="001D7190"/>
  </w:style>
  <w:style w:type="paragraph" w:customStyle="1" w:styleId="Restitle">
    <w:name w:val="Res_title"/>
    <w:basedOn w:val="Normal"/>
    <w:next w:val="Resref"/>
    <w:rsid w:val="001D7190"/>
    <w:pPr>
      <w:spacing w:before="240"/>
      <w:jc w:val="center"/>
    </w:pPr>
    <w:rPr>
      <w:b/>
      <w:sz w:val="28"/>
    </w:rPr>
  </w:style>
  <w:style w:type="paragraph" w:customStyle="1" w:styleId="Resref">
    <w:name w:val="Res_ref"/>
    <w:basedOn w:val="Recref"/>
    <w:next w:val="Resdate"/>
    <w:rsid w:val="001D7190"/>
  </w:style>
  <w:style w:type="paragraph" w:customStyle="1" w:styleId="SectionNo">
    <w:name w:val="Section_No"/>
    <w:basedOn w:val="Normal"/>
    <w:next w:val="Normal"/>
    <w:rsid w:val="001D7190"/>
  </w:style>
  <w:style w:type="paragraph" w:customStyle="1" w:styleId="Sectiontitle">
    <w:name w:val="Section_title"/>
    <w:basedOn w:val="Normal"/>
    <w:next w:val="Normalaftertitle"/>
    <w:rsid w:val="001D719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D7190"/>
    <w:pPr>
      <w:tabs>
        <w:tab w:val="clear" w:pos="794"/>
        <w:tab w:val="clear" w:pos="1191"/>
        <w:tab w:val="clear" w:pos="1588"/>
        <w:tab w:val="clear" w:pos="1985"/>
        <w:tab w:val="right" w:pos="9611"/>
      </w:tabs>
    </w:pPr>
    <w:rPr>
      <w:i/>
    </w:rPr>
  </w:style>
  <w:style w:type="paragraph" w:styleId="TOC1">
    <w:name w:val="toc 1"/>
    <w:basedOn w:val="Normal"/>
    <w:semiHidden/>
    <w:rsid w:val="001D719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D7190"/>
    <w:pPr>
      <w:tabs>
        <w:tab w:val="clear" w:pos="567"/>
        <w:tab w:val="left" w:pos="1276"/>
      </w:tabs>
      <w:spacing w:before="160"/>
      <w:ind w:left="1276" w:hanging="709"/>
    </w:pPr>
  </w:style>
  <w:style w:type="paragraph" w:styleId="TOC3">
    <w:name w:val="toc 3"/>
    <w:basedOn w:val="TOC2"/>
    <w:semiHidden/>
    <w:rsid w:val="001D7190"/>
    <w:pPr>
      <w:tabs>
        <w:tab w:val="clear" w:pos="1276"/>
        <w:tab w:val="left" w:pos="2155"/>
      </w:tabs>
      <w:ind w:left="2155" w:hanging="879"/>
    </w:pPr>
  </w:style>
  <w:style w:type="paragraph" w:styleId="TOC4">
    <w:name w:val="toc 4"/>
    <w:basedOn w:val="TOC3"/>
    <w:semiHidden/>
    <w:rsid w:val="001D7190"/>
    <w:pPr>
      <w:tabs>
        <w:tab w:val="left" w:pos="3261"/>
      </w:tabs>
      <w:spacing w:before="80"/>
      <w:ind w:left="3261" w:hanging="993"/>
    </w:pPr>
  </w:style>
  <w:style w:type="paragraph" w:styleId="TOC5">
    <w:name w:val="toc 5"/>
    <w:basedOn w:val="TOC4"/>
    <w:semiHidden/>
    <w:rsid w:val="001D7190"/>
  </w:style>
  <w:style w:type="paragraph" w:styleId="TOC6">
    <w:name w:val="toc 6"/>
    <w:basedOn w:val="TOC4"/>
    <w:semiHidden/>
    <w:rsid w:val="001D7190"/>
  </w:style>
  <w:style w:type="paragraph" w:styleId="TOC7">
    <w:name w:val="toc 7"/>
    <w:basedOn w:val="TOC4"/>
    <w:semiHidden/>
    <w:rsid w:val="001D7190"/>
  </w:style>
  <w:style w:type="paragraph" w:styleId="TOC8">
    <w:name w:val="toc 8"/>
    <w:basedOn w:val="TOC4"/>
    <w:semiHidden/>
    <w:rsid w:val="001D7190"/>
  </w:style>
  <w:style w:type="paragraph" w:customStyle="1" w:styleId="Annexref">
    <w:name w:val="Annex_ref"/>
    <w:basedOn w:val="Normal"/>
    <w:next w:val="Normalaftertitle"/>
    <w:rsid w:val="001D7190"/>
    <w:pPr>
      <w:keepNext/>
      <w:keepLines/>
      <w:spacing w:after="280"/>
      <w:jc w:val="center"/>
    </w:pPr>
  </w:style>
  <w:style w:type="paragraph" w:customStyle="1" w:styleId="Appendixref">
    <w:name w:val="Appendix_ref"/>
    <w:basedOn w:val="Annexref"/>
    <w:next w:val="Normalaftertitle"/>
    <w:rsid w:val="001D7190"/>
  </w:style>
  <w:style w:type="paragraph" w:customStyle="1" w:styleId="Tabletitle">
    <w:name w:val="Table_title"/>
    <w:basedOn w:val="Normal"/>
    <w:next w:val="Tablehead"/>
    <w:rsid w:val="001D7190"/>
    <w:pPr>
      <w:keepNext/>
      <w:spacing w:before="0" w:after="120"/>
      <w:jc w:val="center"/>
    </w:pPr>
    <w:rPr>
      <w:b/>
    </w:rPr>
  </w:style>
  <w:style w:type="paragraph" w:customStyle="1" w:styleId="Summary">
    <w:name w:val="Summary"/>
    <w:basedOn w:val="Normal"/>
    <w:next w:val="Normalaftertitle"/>
    <w:rsid w:val="001D7190"/>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1D7190"/>
    <w:pPr>
      <w:ind w:left="-85" w:firstLine="0"/>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550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image" Target="media/image3.w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wmf"/><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4.w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C3977D-57E7-45F1-B2D7-642FED557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TotalTime>
  <Pages>5</Pages>
  <Words>1150</Words>
  <Characters>6689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7824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santosbo</cp:lastModifiedBy>
  <cp:revision>3</cp:revision>
  <cp:lastPrinted>2009-06-26T13:19:00Z</cp:lastPrinted>
  <dcterms:created xsi:type="dcterms:W3CDTF">2011-03-10T08:00:00Z</dcterms:created>
  <dcterms:modified xsi:type="dcterms:W3CDTF">2011-03-10T08:02:00Z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