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207286"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506B19">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506B19">
              <w:rPr>
                <w:rFonts w:ascii="Tahoma" w:hAnsi="Tahoma" w:cs="Tahoma"/>
                <w:b/>
                <w:bCs/>
                <w:iCs/>
                <w:color w:val="243285"/>
                <w:sz w:val="36"/>
                <w:szCs w:val="36"/>
                <w:lang w:val="es-ES_tradnl"/>
              </w:rPr>
              <w:t>1640-1</w:t>
            </w:r>
          </w:p>
          <w:p w:rsidR="00042292" w:rsidRPr="00A07AEB" w:rsidRDefault="00042292" w:rsidP="00506B19">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506B19">
              <w:rPr>
                <w:rFonts w:ascii="Tahoma" w:hAnsi="Tahoma" w:cs="Tahoma"/>
                <w:b/>
                <w:bCs/>
                <w:iCs/>
                <w:color w:val="243285"/>
                <w:szCs w:val="24"/>
                <w:lang w:val="es-ES_tradnl"/>
              </w:rPr>
              <w:t>1</w:t>
            </w:r>
            <w:r w:rsidRPr="00A07AEB">
              <w:rPr>
                <w:rFonts w:ascii="Tahoma" w:hAnsi="Tahoma" w:cs="Tahoma"/>
                <w:b/>
                <w:bCs/>
                <w:iCs/>
                <w:color w:val="243285"/>
                <w:szCs w:val="24"/>
                <w:lang w:val="es-ES_tradnl"/>
              </w:rPr>
              <w:t>/</w:t>
            </w:r>
            <w:r w:rsidR="00506B19">
              <w:rPr>
                <w:rFonts w:ascii="Tahoma" w:hAnsi="Tahoma" w:cs="Tahoma"/>
                <w:b/>
                <w:bCs/>
                <w:iCs/>
                <w:color w:val="243285"/>
                <w:szCs w:val="24"/>
                <w:lang w:val="es-ES_tradnl"/>
              </w:rPr>
              <w:t>2018</w:t>
            </w:r>
            <w:r w:rsidRPr="00A07AEB">
              <w:rPr>
                <w:rFonts w:ascii="Tahoma" w:hAnsi="Tahoma" w:cs="Tahoma"/>
                <w:b/>
                <w:bCs/>
                <w:iCs/>
                <w:color w:val="243285"/>
                <w:szCs w:val="24"/>
                <w:lang w:val="es-ES_tradnl"/>
              </w:rPr>
              <w:t>)</w:t>
            </w:r>
          </w:p>
        </w:tc>
      </w:tr>
      <w:tr w:rsidR="00042292" w:rsidRPr="00506B19"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506B19" w:rsidP="00506B19">
            <w:pPr>
              <w:spacing w:before="80" w:line="500" w:lineRule="exact"/>
              <w:jc w:val="right"/>
              <w:rPr>
                <w:rFonts w:ascii="Tahoma" w:hAnsi="Tahoma" w:cs="Tahoma"/>
                <w:b/>
                <w:bCs/>
                <w:color w:val="243285"/>
                <w:sz w:val="44"/>
                <w:szCs w:val="44"/>
                <w:lang w:val="es-ES_tradnl"/>
              </w:rPr>
            </w:pPr>
            <w:r w:rsidRPr="00506B19">
              <w:rPr>
                <w:rFonts w:ascii="Tahoma" w:hAnsi="Tahoma" w:cs="Tahoma"/>
                <w:b/>
                <w:bCs/>
                <w:color w:val="243285"/>
                <w:sz w:val="44"/>
                <w:szCs w:val="44"/>
                <w:lang w:val="es-ES_tradnl"/>
              </w:rPr>
              <w:t>Características y criterios de protección</w:t>
            </w:r>
            <w:r>
              <w:rPr>
                <w:rFonts w:ascii="Tahoma" w:hAnsi="Tahoma" w:cs="Tahoma"/>
                <w:b/>
                <w:bCs/>
                <w:color w:val="243285"/>
                <w:sz w:val="44"/>
                <w:szCs w:val="44"/>
                <w:lang w:val="es-ES_tradnl"/>
              </w:rPr>
              <w:t xml:space="preserve"> </w:t>
            </w:r>
            <w:r w:rsidRPr="00506B19">
              <w:rPr>
                <w:rFonts w:ascii="Tahoma" w:hAnsi="Tahoma" w:cs="Tahoma"/>
                <w:b/>
                <w:bCs/>
                <w:color w:val="243285"/>
                <w:sz w:val="44"/>
                <w:szCs w:val="44"/>
                <w:lang w:val="es-ES_tradnl"/>
              </w:rPr>
              <w:t>para estudios de compartición</w:t>
            </w:r>
            <w:r>
              <w:rPr>
                <w:rFonts w:ascii="Tahoma" w:hAnsi="Tahoma" w:cs="Tahoma"/>
                <w:b/>
                <w:bCs/>
                <w:color w:val="243285"/>
                <w:sz w:val="44"/>
                <w:szCs w:val="44"/>
                <w:lang w:val="es-ES_tradnl"/>
              </w:rPr>
              <w:t xml:space="preserve"> </w:t>
            </w:r>
            <w:r w:rsidRPr="00506B19">
              <w:rPr>
                <w:rFonts w:ascii="Tahoma" w:hAnsi="Tahoma" w:cs="Tahoma"/>
                <w:b/>
                <w:bCs/>
                <w:color w:val="243285"/>
                <w:sz w:val="44"/>
                <w:szCs w:val="44"/>
                <w:lang w:val="es-ES_tradnl"/>
              </w:rPr>
              <w:t xml:space="preserve">de radares </w:t>
            </w:r>
            <w:r>
              <w:rPr>
                <w:rFonts w:ascii="Tahoma" w:hAnsi="Tahoma" w:cs="Tahoma"/>
                <w:b/>
                <w:bCs/>
                <w:color w:val="243285"/>
                <w:sz w:val="44"/>
                <w:szCs w:val="44"/>
                <w:lang w:val="es-ES_tradnl"/>
              </w:rPr>
              <w:br/>
            </w:r>
            <w:r w:rsidRPr="00506B19">
              <w:rPr>
                <w:rFonts w:ascii="Tahoma" w:hAnsi="Tahoma" w:cs="Tahoma"/>
                <w:b/>
                <w:bCs/>
                <w:color w:val="243285"/>
                <w:sz w:val="44"/>
                <w:szCs w:val="44"/>
                <w:lang w:val="es-ES_tradnl"/>
              </w:rPr>
              <w:t>que funcionan en el servicio de</w:t>
            </w:r>
            <w:r>
              <w:rPr>
                <w:rFonts w:ascii="Tahoma" w:hAnsi="Tahoma" w:cs="Tahoma"/>
                <w:b/>
                <w:bCs/>
                <w:color w:val="243285"/>
                <w:sz w:val="44"/>
                <w:szCs w:val="44"/>
                <w:lang w:val="es-ES_tradnl"/>
              </w:rPr>
              <w:t xml:space="preserve"> </w:t>
            </w:r>
            <w:r w:rsidRPr="00506B19">
              <w:rPr>
                <w:rFonts w:ascii="Tahoma" w:hAnsi="Tahoma" w:cs="Tahoma"/>
                <w:b/>
                <w:bCs/>
                <w:color w:val="243285"/>
                <w:sz w:val="44"/>
                <w:szCs w:val="44"/>
                <w:lang w:val="es-ES_tradnl"/>
              </w:rPr>
              <w:t>radiodeterminación</w:t>
            </w:r>
            <w:r>
              <w:rPr>
                <w:rFonts w:ascii="Tahoma" w:hAnsi="Tahoma" w:cs="Tahoma"/>
                <w:b/>
                <w:bCs/>
                <w:color w:val="243285"/>
                <w:sz w:val="44"/>
                <w:szCs w:val="44"/>
                <w:lang w:val="es-ES_tradnl"/>
              </w:rPr>
              <w:t xml:space="preserve"> </w:t>
            </w:r>
            <w:r w:rsidRPr="00506B19">
              <w:rPr>
                <w:rFonts w:ascii="Tahoma" w:hAnsi="Tahoma" w:cs="Tahoma"/>
                <w:b/>
                <w:bCs/>
                <w:color w:val="243285"/>
                <w:sz w:val="44"/>
                <w:szCs w:val="44"/>
                <w:lang w:val="es-ES_tradnl"/>
              </w:rPr>
              <w:t xml:space="preserve">en la banda </w:t>
            </w:r>
            <w:r>
              <w:rPr>
                <w:rFonts w:ascii="Tahoma" w:hAnsi="Tahoma" w:cs="Tahoma"/>
                <w:b/>
                <w:bCs/>
                <w:color w:val="243285"/>
                <w:sz w:val="44"/>
                <w:szCs w:val="44"/>
                <w:lang w:val="es-ES_tradnl"/>
              </w:rPr>
              <w:br/>
            </w:r>
            <w:r w:rsidRPr="00506B19">
              <w:rPr>
                <w:rFonts w:ascii="Tahoma" w:hAnsi="Tahoma" w:cs="Tahoma"/>
                <w:b/>
                <w:bCs/>
                <w:color w:val="243285"/>
                <w:sz w:val="44"/>
                <w:szCs w:val="44"/>
                <w:lang w:val="es-ES_tradnl"/>
              </w:rPr>
              <w:t>de frecuencias 33,4</w:t>
            </w:r>
            <w:r w:rsidRPr="00506B19">
              <w:rPr>
                <w:rFonts w:ascii="Tahoma" w:hAnsi="Tahoma" w:cs="Tahoma"/>
                <w:b/>
                <w:bCs/>
                <w:color w:val="243285"/>
                <w:sz w:val="44"/>
                <w:szCs w:val="44"/>
                <w:lang w:val="es-ES_tradnl"/>
              </w:rPr>
              <w:noBreakHyphen/>
              <w:t>36 GHz</w:t>
            </w:r>
            <w:r>
              <w:rPr>
                <w:rFonts w:ascii="Tahoma" w:hAnsi="Tahoma" w:cs="Tahoma"/>
                <w:b/>
                <w:bCs/>
                <w:color w:val="243285"/>
                <w:sz w:val="44"/>
                <w:szCs w:val="44"/>
                <w:lang w:val="es-ES_tradnl"/>
              </w:rPr>
              <w:t xml:space="preserve"> </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207286"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207286"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207286"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207286"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207286"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207286"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207286"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207286"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207286"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D36721">
        <w:rPr>
          <w:sz w:val="20"/>
          <w:lang w:val="es-ES_tradnl"/>
        </w:rPr>
        <w:t>8</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D36721">
        <w:rPr>
          <w:sz w:val="20"/>
          <w:lang w:val="es-ES_tradnl"/>
        </w:rPr>
        <w:t>8</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506B19">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506B19">
        <w:rPr>
          <w:rStyle w:val="href"/>
          <w:lang w:val="es-ES_tradnl"/>
        </w:rPr>
        <w:t>1640-1</w:t>
      </w:r>
    </w:p>
    <w:p w:rsidR="00506B19" w:rsidRPr="006360B0" w:rsidRDefault="00506B19" w:rsidP="00506B19">
      <w:pPr>
        <w:pStyle w:val="Rectitle"/>
        <w:rPr>
          <w:lang w:val="es-ES_tradnl"/>
        </w:rPr>
      </w:pPr>
      <w:r w:rsidRPr="006360B0">
        <w:rPr>
          <w:lang w:val="es-ES_tradnl"/>
        </w:rPr>
        <w:t xml:space="preserve">Características y criterios de protección para estudios de compartición </w:t>
      </w:r>
      <w:r w:rsidRPr="006360B0">
        <w:rPr>
          <w:lang w:val="es-ES_tradnl"/>
        </w:rPr>
        <w:br/>
        <w:t xml:space="preserve">de radares que funcionan en el servicio de radiodeterminación </w:t>
      </w:r>
      <w:r w:rsidRPr="006360B0">
        <w:rPr>
          <w:lang w:val="es-ES_tradnl"/>
        </w:rPr>
        <w:br/>
        <w:t>en la banda de frecuencias 33,4</w:t>
      </w:r>
      <w:r w:rsidRPr="006360B0">
        <w:rPr>
          <w:lang w:val="es-ES_tradnl"/>
        </w:rPr>
        <w:noBreakHyphen/>
        <w:t>36 GHz</w:t>
      </w:r>
    </w:p>
    <w:p w:rsidR="00506B19" w:rsidRPr="006360B0" w:rsidRDefault="00506B19" w:rsidP="00506B19">
      <w:pPr>
        <w:pStyle w:val="Recref"/>
        <w:rPr>
          <w:lang w:val="es-ES_tradnl"/>
        </w:rPr>
      </w:pPr>
      <w:r w:rsidRPr="006360B0">
        <w:rPr>
          <w:lang w:val="es-ES_tradnl"/>
        </w:rPr>
        <w:t>(Cuestiones UIT</w:t>
      </w:r>
      <w:r w:rsidRPr="006360B0">
        <w:rPr>
          <w:lang w:val="es-ES_tradnl"/>
        </w:rPr>
        <w:noBreakHyphen/>
        <w:t>R 213/7 y UIT</w:t>
      </w:r>
      <w:r w:rsidRPr="006360B0">
        <w:rPr>
          <w:lang w:val="es-ES_tradnl"/>
        </w:rPr>
        <w:noBreakHyphen/>
        <w:t>R 226/8)</w:t>
      </w:r>
    </w:p>
    <w:p w:rsidR="00506B19" w:rsidRPr="006360B0" w:rsidRDefault="00506B19" w:rsidP="00506B19">
      <w:pPr>
        <w:pStyle w:val="Recdate"/>
        <w:rPr>
          <w:lang w:val="es-ES_tradnl"/>
        </w:rPr>
      </w:pPr>
      <w:r w:rsidRPr="006360B0">
        <w:rPr>
          <w:lang w:val="es-ES_tradnl"/>
        </w:rPr>
        <w:t>(2003-2018)</w:t>
      </w:r>
    </w:p>
    <w:p w:rsidR="00506B19" w:rsidRPr="000A4D2B" w:rsidRDefault="007253BF" w:rsidP="00506B19">
      <w:pPr>
        <w:pStyle w:val="HeadingSum"/>
      </w:pPr>
      <w:r>
        <w:t>Cometido</w:t>
      </w:r>
    </w:p>
    <w:p w:rsidR="00506B19" w:rsidRPr="000A4D2B" w:rsidRDefault="00506B19" w:rsidP="00506B19">
      <w:pPr>
        <w:pStyle w:val="Summary"/>
      </w:pPr>
      <w:r w:rsidRPr="000A4D2B">
        <w:t>La presente Recomendación establece las características técnicas y los criterios de protección de los sistemas de radiodeterminación que funcionan en la banda de frecuencias 33,4</w:t>
      </w:r>
      <w:r w:rsidRPr="000A4D2B">
        <w:noBreakHyphen/>
        <w:t>36 GHz. Este texto se elaboró como recurso para apoyar los estudios de compartición, cuando ésta sea posible, entre el servicio de radiodeterminación y otros servicios.</w:t>
      </w:r>
    </w:p>
    <w:p w:rsidR="00506B19" w:rsidRPr="006360B0" w:rsidRDefault="00506B19" w:rsidP="00506B19">
      <w:pPr>
        <w:pStyle w:val="Headingb"/>
        <w:rPr>
          <w:lang w:val="es-ES_tradnl"/>
        </w:rPr>
      </w:pPr>
      <w:r w:rsidRPr="006360B0">
        <w:rPr>
          <w:lang w:val="es-ES_tradnl"/>
        </w:rPr>
        <w:t>Palabras clave</w:t>
      </w:r>
    </w:p>
    <w:p w:rsidR="00506B19" w:rsidRPr="000A4D2B" w:rsidRDefault="00506B19" w:rsidP="00506B19">
      <w:pPr>
        <w:rPr>
          <w:lang w:val="es-ES_tradnl"/>
        </w:rPr>
      </w:pPr>
      <w:r w:rsidRPr="000A4D2B">
        <w:rPr>
          <w:lang w:val="es-ES_tradnl"/>
        </w:rPr>
        <w:t>C</w:t>
      </w:r>
      <w:r w:rsidRPr="006360B0">
        <w:rPr>
          <w:lang w:val="es-ES_tradnl"/>
        </w:rPr>
        <w:t>aracterísticas; criterios de protección; radar; reproductores de imágenes radiométricos; radar métrico; buscador; radar de búsqueda; radar de seguimiento</w:t>
      </w:r>
    </w:p>
    <w:p w:rsidR="00506B19" w:rsidRPr="006360B0" w:rsidRDefault="00506B19" w:rsidP="00506B19">
      <w:pPr>
        <w:pStyle w:val="Headingb"/>
        <w:rPr>
          <w:lang w:val="es-ES_tradnl"/>
        </w:rPr>
      </w:pPr>
      <w:r w:rsidRPr="006360B0">
        <w:rPr>
          <w:lang w:val="es-ES_tradnl"/>
        </w:rPr>
        <w:t>Abreviaturas/Glosario</w:t>
      </w:r>
    </w:p>
    <w:p w:rsidR="00506B19" w:rsidRPr="006360B0" w:rsidRDefault="00506B19" w:rsidP="00506B19">
      <w:pPr>
        <w:rPr>
          <w:lang w:val="es-ES_tradnl"/>
        </w:rPr>
      </w:pPr>
      <w:r w:rsidRPr="006360B0">
        <w:rPr>
          <w:lang w:val="es-ES_tradnl"/>
        </w:rPr>
        <w:t xml:space="preserve">IF: </w:t>
      </w:r>
      <w:r w:rsidRPr="006360B0">
        <w:rPr>
          <w:lang w:val="es-ES_tradnl"/>
        </w:rPr>
        <w:tab/>
        <w:t>Frecuencia intermedia</w:t>
      </w:r>
    </w:p>
    <w:p w:rsidR="00506B19" w:rsidRPr="006360B0" w:rsidRDefault="00506B19" w:rsidP="00506B19">
      <w:pPr>
        <w:rPr>
          <w:lang w:val="es-ES_tradnl"/>
        </w:rPr>
      </w:pPr>
      <w:r w:rsidRPr="006360B0">
        <w:rPr>
          <w:lang w:val="es-ES_tradnl"/>
        </w:rPr>
        <w:t xml:space="preserve">RF: </w:t>
      </w:r>
      <w:r w:rsidRPr="006360B0">
        <w:rPr>
          <w:lang w:val="es-ES_tradnl"/>
        </w:rPr>
        <w:tab/>
        <w:t>Radiofrecuencia</w:t>
      </w:r>
    </w:p>
    <w:p w:rsidR="00506B19" w:rsidRPr="006360B0" w:rsidRDefault="00506B19" w:rsidP="00506B19">
      <w:pPr>
        <w:rPr>
          <w:lang w:val="es-ES_tradnl"/>
        </w:rPr>
      </w:pPr>
      <w:r w:rsidRPr="006360B0">
        <w:rPr>
          <w:lang w:val="es-ES_tradnl"/>
        </w:rPr>
        <w:t xml:space="preserve">RR: </w:t>
      </w:r>
      <w:r w:rsidRPr="006360B0">
        <w:rPr>
          <w:lang w:val="es-ES_tradnl"/>
        </w:rPr>
        <w:tab/>
        <w:t>Reglamento de Radiocomunicaciones</w:t>
      </w:r>
    </w:p>
    <w:p w:rsidR="00506B19" w:rsidRPr="006360B0" w:rsidRDefault="00506B19" w:rsidP="00506B19">
      <w:pPr>
        <w:rPr>
          <w:lang w:val="es-ES_tradnl"/>
        </w:rPr>
      </w:pPr>
      <w:r w:rsidRPr="006360B0">
        <w:rPr>
          <w:lang w:val="es-ES_tradnl"/>
        </w:rPr>
        <w:t xml:space="preserve">Rx: </w:t>
      </w:r>
      <w:r w:rsidRPr="006360B0">
        <w:rPr>
          <w:lang w:val="es-ES_tradnl"/>
        </w:rPr>
        <w:tab/>
        <w:t>Recepción</w:t>
      </w:r>
    </w:p>
    <w:p w:rsidR="00506B19" w:rsidRPr="006360B0" w:rsidRDefault="00506B19" w:rsidP="00506B19">
      <w:pPr>
        <w:rPr>
          <w:lang w:val="es-ES_tradnl"/>
        </w:rPr>
      </w:pPr>
      <w:r w:rsidRPr="006360B0">
        <w:rPr>
          <w:lang w:val="es-ES_tradnl"/>
        </w:rPr>
        <w:t xml:space="preserve">Tx: </w:t>
      </w:r>
      <w:r w:rsidRPr="006360B0">
        <w:rPr>
          <w:lang w:val="es-ES_tradnl"/>
        </w:rPr>
        <w:tab/>
        <w:t>Transmisión</w:t>
      </w:r>
    </w:p>
    <w:p w:rsidR="00506B19" w:rsidRPr="006360B0" w:rsidRDefault="00506B19" w:rsidP="00506B19">
      <w:pPr>
        <w:pStyle w:val="Headingb"/>
        <w:rPr>
          <w:lang w:val="es-ES_tradnl"/>
        </w:rPr>
      </w:pPr>
      <w:r w:rsidRPr="006360B0">
        <w:rPr>
          <w:lang w:val="es-ES_tradnl"/>
        </w:rPr>
        <w:t>Recomendaciones e Informes de la UIT relacionados</w:t>
      </w:r>
    </w:p>
    <w:p w:rsidR="00506B19" w:rsidRPr="006360B0" w:rsidRDefault="00506B19" w:rsidP="00506B19">
      <w:pPr>
        <w:rPr>
          <w:rFonts w:eastAsia="SimSun"/>
          <w:lang w:val="es-ES_tradnl"/>
        </w:rPr>
      </w:pPr>
      <w:r w:rsidRPr="006360B0">
        <w:rPr>
          <w:rFonts w:eastAsia="SimSun"/>
          <w:lang w:val="es-ES_tradnl"/>
        </w:rPr>
        <w:t>Recomendación UIT-R M.1461 – Procedimientos para determinar la posibilidad de interferencia entre radares que funcionan en el servicio de radiodeterminación y sistemas de otros servicios.</w:t>
      </w:r>
    </w:p>
    <w:p w:rsidR="00506B19" w:rsidRPr="006360B0" w:rsidRDefault="00506B19" w:rsidP="00506B19">
      <w:pPr>
        <w:pStyle w:val="Normalaftertitle"/>
        <w:rPr>
          <w:b/>
          <w:bCs/>
          <w:u w:val="single"/>
          <w:lang w:val="es-ES_tradnl"/>
        </w:rPr>
      </w:pPr>
      <w:r w:rsidRPr="006360B0">
        <w:rPr>
          <w:lang w:val="es-ES_tradnl"/>
        </w:rPr>
        <w:t>La Asamblea de Radiocomunicaciones de la UIT,</w:t>
      </w:r>
    </w:p>
    <w:p w:rsidR="00506B19" w:rsidRPr="006360B0" w:rsidRDefault="00506B19" w:rsidP="00506B19">
      <w:pPr>
        <w:pStyle w:val="Call"/>
        <w:rPr>
          <w:lang w:val="es-ES_tradnl"/>
        </w:rPr>
      </w:pPr>
      <w:proofErr w:type="gramStart"/>
      <w:r w:rsidRPr="006360B0">
        <w:rPr>
          <w:lang w:val="es-ES_tradnl"/>
        </w:rPr>
        <w:t>considerando</w:t>
      </w:r>
      <w:proofErr w:type="gramEnd"/>
    </w:p>
    <w:p w:rsidR="00506B19" w:rsidRPr="006360B0" w:rsidRDefault="00506B19" w:rsidP="00506B19">
      <w:pPr>
        <w:rPr>
          <w:lang w:val="es-ES_tradnl"/>
        </w:rPr>
      </w:pPr>
      <w:r w:rsidRPr="006360B0">
        <w:rPr>
          <w:i/>
          <w:iCs/>
          <w:lang w:val="es-ES_tradnl"/>
        </w:rPr>
        <w:t>a)</w:t>
      </w:r>
      <w:r w:rsidRPr="006360B0">
        <w:rPr>
          <w:lang w:val="es-ES_tradnl"/>
        </w:rPr>
        <w:tab/>
        <w:t>que en algunas bandas de frecuencias son óptimas las características de las antenas, de la propagación de las señales, de la detección del blanco y de la gran anchura de banda necesaria de los radares para cumplir sus funciones;</w:t>
      </w:r>
    </w:p>
    <w:p w:rsidR="00506B19" w:rsidRPr="006360B0" w:rsidRDefault="00506B19" w:rsidP="00506B19">
      <w:pPr>
        <w:rPr>
          <w:lang w:val="es-ES_tradnl"/>
        </w:rPr>
      </w:pPr>
      <w:r w:rsidRPr="006360B0">
        <w:rPr>
          <w:i/>
          <w:iCs/>
          <w:lang w:val="es-ES_tradnl"/>
        </w:rPr>
        <w:t>b)</w:t>
      </w:r>
      <w:r w:rsidRPr="006360B0">
        <w:rPr>
          <w:lang w:val="es-ES_tradnl"/>
        </w:rPr>
        <w:tab/>
        <w:t>que las características técnicas de los radares del servicio de radiodeterminación están determinadas por la misión del sistema y son muy variables incluso dentro de una banda;</w:t>
      </w:r>
    </w:p>
    <w:p w:rsidR="00506B19" w:rsidRPr="006360B0" w:rsidRDefault="00506B19" w:rsidP="00506B19">
      <w:pPr>
        <w:rPr>
          <w:lang w:val="es-ES_tradnl"/>
        </w:rPr>
      </w:pPr>
      <w:r w:rsidRPr="006360B0">
        <w:rPr>
          <w:i/>
          <w:iCs/>
          <w:lang w:val="es-ES_tradnl"/>
        </w:rPr>
        <w:t>c)</w:t>
      </w:r>
      <w:r w:rsidRPr="006360B0">
        <w:rPr>
          <w:lang w:val="es-ES_tradnl"/>
        </w:rPr>
        <w:tab/>
        <w:t>que se precisan características técnicas y de funcionamiento representativas de los radares para determinar la viabilidad de introducir nuevos tipos de sistemas en las bandas de frecuencias;</w:t>
      </w:r>
    </w:p>
    <w:p w:rsidR="00506B19" w:rsidRPr="006360B0" w:rsidRDefault="00506B19" w:rsidP="00506B19">
      <w:pPr>
        <w:rPr>
          <w:lang w:val="es-ES_tradnl"/>
        </w:rPr>
      </w:pPr>
      <w:r w:rsidRPr="006360B0">
        <w:rPr>
          <w:i/>
          <w:iCs/>
          <w:lang w:val="es-ES_tradnl"/>
        </w:rPr>
        <w:t>d)</w:t>
      </w:r>
      <w:r w:rsidRPr="006360B0">
        <w:rPr>
          <w:lang w:val="es-ES_tradnl"/>
        </w:rPr>
        <w:tab/>
        <w:t>que en la Recomendación UIT-R M.1461 figuran los procedimientos y las metodologías para analizar la compatibilidad entre radares y sistemas de otros servicios;</w:t>
      </w:r>
    </w:p>
    <w:p w:rsidR="00506B19" w:rsidRPr="006360B0" w:rsidRDefault="00506B19" w:rsidP="00506B19">
      <w:pPr>
        <w:rPr>
          <w:lang w:val="es-ES_tradnl"/>
        </w:rPr>
      </w:pPr>
      <w:r w:rsidRPr="006360B0">
        <w:rPr>
          <w:i/>
          <w:iCs/>
          <w:lang w:val="es-ES_tradnl"/>
        </w:rPr>
        <w:t>e)</w:t>
      </w:r>
      <w:r w:rsidRPr="006360B0">
        <w:rPr>
          <w:lang w:val="es-ES_tradnl"/>
        </w:rPr>
        <w:tab/>
        <w:t>que los radares de radiodeterminación funcionan en la banda de frecuencias 33,4</w:t>
      </w:r>
      <w:r w:rsidRPr="006360B0">
        <w:rPr>
          <w:lang w:val="es-ES_tradnl"/>
        </w:rPr>
        <w:noBreakHyphen/>
        <w:t>36 GHz;</w:t>
      </w:r>
    </w:p>
    <w:p w:rsidR="00506B19" w:rsidRPr="006360B0" w:rsidRDefault="00506B19" w:rsidP="00506B19">
      <w:pPr>
        <w:rPr>
          <w:lang w:val="es-ES_tradnl"/>
        </w:rPr>
      </w:pPr>
      <w:r w:rsidRPr="006360B0">
        <w:rPr>
          <w:i/>
          <w:iCs/>
          <w:lang w:val="es-ES_tradnl"/>
        </w:rPr>
        <w:t>f)</w:t>
      </w:r>
      <w:r w:rsidRPr="006360B0">
        <w:rPr>
          <w:lang w:val="es-ES_tradnl"/>
        </w:rPr>
        <w:tab/>
        <w:t>que la banda de frecuencias 33,4</w:t>
      </w:r>
      <w:r w:rsidRPr="006360B0">
        <w:rPr>
          <w:lang w:val="es-ES_tradnl"/>
        </w:rPr>
        <w:noBreakHyphen/>
        <w:t>34,2 GHz está atribuida al servicio de radiolocalización a título primario;</w:t>
      </w:r>
    </w:p>
    <w:p w:rsidR="00506B19" w:rsidRPr="006360B0" w:rsidRDefault="00506B19" w:rsidP="00506B19">
      <w:pPr>
        <w:rPr>
          <w:lang w:val="es-ES_tradnl"/>
        </w:rPr>
      </w:pPr>
      <w:r w:rsidRPr="006360B0">
        <w:rPr>
          <w:i/>
          <w:iCs/>
          <w:lang w:val="es-ES_tradnl"/>
        </w:rPr>
        <w:lastRenderedPageBreak/>
        <w:t>g)</w:t>
      </w:r>
      <w:r w:rsidRPr="006360B0">
        <w:rPr>
          <w:lang w:val="es-ES_tradnl"/>
        </w:rPr>
        <w:tab/>
        <w:t>que la banda de frecuencias 34,2</w:t>
      </w:r>
      <w:r w:rsidRPr="006360B0">
        <w:rPr>
          <w:lang w:val="es-ES_tradnl"/>
        </w:rPr>
        <w:noBreakHyphen/>
        <w:t>34,7 GHz está atribuida a los servicios de radio-localización y de investigación espacial (espacio lejano) (Tierra</w:t>
      </w:r>
      <w:r w:rsidRPr="006360B0">
        <w:rPr>
          <w:lang w:val="es-ES_tradnl"/>
        </w:rPr>
        <w:noBreakHyphen/>
        <w:t>espacio) a título primario;</w:t>
      </w:r>
    </w:p>
    <w:p w:rsidR="00506B19" w:rsidRPr="006360B0" w:rsidRDefault="00506B19" w:rsidP="00506B19">
      <w:pPr>
        <w:rPr>
          <w:lang w:val="es-ES_tradnl"/>
        </w:rPr>
      </w:pPr>
      <w:r w:rsidRPr="006360B0">
        <w:rPr>
          <w:i/>
          <w:iCs/>
          <w:lang w:val="es-ES_tradnl"/>
        </w:rPr>
        <w:t>h)</w:t>
      </w:r>
      <w:r w:rsidRPr="006360B0">
        <w:rPr>
          <w:lang w:val="es-ES_tradnl"/>
        </w:rPr>
        <w:tab/>
        <w:t>que la banda de frecuencias 34,7</w:t>
      </w:r>
      <w:r w:rsidRPr="006360B0">
        <w:rPr>
          <w:lang w:val="es-ES_tradnl"/>
        </w:rPr>
        <w:noBreakHyphen/>
        <w:t>35,2 GHz está atribuida al servicio de radiolocalización a título primario y al servicio de investigación espacial a título secundario;</w:t>
      </w:r>
    </w:p>
    <w:p w:rsidR="00506B19" w:rsidRPr="006360B0" w:rsidRDefault="00506B19" w:rsidP="00506B19">
      <w:pPr>
        <w:rPr>
          <w:lang w:val="es-ES_tradnl"/>
        </w:rPr>
      </w:pPr>
      <w:r w:rsidRPr="006360B0">
        <w:rPr>
          <w:i/>
          <w:iCs/>
          <w:lang w:val="es-ES_tradnl"/>
        </w:rPr>
        <w:t>i)</w:t>
      </w:r>
      <w:r w:rsidRPr="006360B0">
        <w:rPr>
          <w:lang w:val="es-ES_tradnl"/>
        </w:rPr>
        <w:tab/>
        <w:t>que la banda de frecuencias 35,2</w:t>
      </w:r>
      <w:r w:rsidRPr="006360B0">
        <w:rPr>
          <w:lang w:val="es-ES_tradnl"/>
        </w:rPr>
        <w:noBreakHyphen/>
        <w:t>35,5 GHz está atribuida a los servicios de ayudas a la meteorología y de radiolocalización a título primario;</w:t>
      </w:r>
    </w:p>
    <w:p w:rsidR="00506B19" w:rsidRPr="006360B0" w:rsidRDefault="00506B19" w:rsidP="00506B19">
      <w:pPr>
        <w:rPr>
          <w:lang w:val="es-ES_tradnl"/>
        </w:rPr>
      </w:pPr>
      <w:r w:rsidRPr="006360B0">
        <w:rPr>
          <w:i/>
          <w:iCs/>
          <w:lang w:val="es-ES_tradnl"/>
        </w:rPr>
        <w:t>j)</w:t>
      </w:r>
      <w:r w:rsidRPr="006360B0">
        <w:rPr>
          <w:lang w:val="es-ES_tradnl"/>
        </w:rPr>
        <w:tab/>
        <w:t>que la banda de frecuencias 35,5</w:t>
      </w:r>
      <w:r w:rsidRPr="006360B0">
        <w:rPr>
          <w:lang w:val="es-ES_tradnl"/>
        </w:rPr>
        <w:noBreakHyphen/>
        <w:t>36 GHz está atribuida a los servicios de ayudas a la meteorología, de exploración de la Tierra por satélite (activa), de radiolocalización y de investigación espacial (activa) a título primario,</w:t>
      </w:r>
    </w:p>
    <w:p w:rsidR="00506B19" w:rsidRPr="006360B0" w:rsidRDefault="00506B19" w:rsidP="00506B19">
      <w:pPr>
        <w:pStyle w:val="Call"/>
        <w:rPr>
          <w:lang w:val="es-ES_tradnl"/>
        </w:rPr>
      </w:pPr>
      <w:proofErr w:type="gramStart"/>
      <w:r w:rsidRPr="006360B0">
        <w:rPr>
          <w:lang w:val="es-ES_tradnl"/>
        </w:rPr>
        <w:t>recomienda</w:t>
      </w:r>
      <w:proofErr w:type="gramEnd"/>
    </w:p>
    <w:p w:rsidR="00506B19" w:rsidRPr="006360B0" w:rsidRDefault="00506B19" w:rsidP="00506B19">
      <w:pPr>
        <w:rPr>
          <w:lang w:val="es-ES_tradnl"/>
        </w:rPr>
      </w:pPr>
      <w:r w:rsidRPr="006360B0">
        <w:rPr>
          <w:b/>
          <w:bCs/>
          <w:lang w:val="es-ES_tradnl"/>
        </w:rPr>
        <w:t>1</w:t>
      </w:r>
      <w:r w:rsidRPr="006360B0">
        <w:rPr>
          <w:lang w:val="es-ES_tradnl"/>
        </w:rPr>
        <w:tab/>
        <w:t>que se considere que las características técnicas y de funcionamiento de los radares de radiodeterminación descritas en el Anexo 1 son representativas de los que funcionan en las bandas de frecuencias 33,4-36 GHz;</w:t>
      </w:r>
    </w:p>
    <w:p w:rsidR="00506B19" w:rsidRPr="006360B0" w:rsidRDefault="00506B19" w:rsidP="00506B19">
      <w:pPr>
        <w:rPr>
          <w:lang w:val="es-ES_tradnl"/>
        </w:rPr>
      </w:pPr>
      <w:r w:rsidRPr="006360B0">
        <w:rPr>
          <w:b/>
          <w:bCs/>
          <w:lang w:val="es-ES_tradnl"/>
        </w:rPr>
        <w:t>2</w:t>
      </w:r>
      <w:r w:rsidRPr="006360B0">
        <w:rPr>
          <w:lang w:val="es-ES_tradnl"/>
        </w:rPr>
        <w:tab/>
      </w:r>
      <w:proofErr w:type="gramStart"/>
      <w:r w:rsidRPr="006360B0">
        <w:rPr>
          <w:lang w:val="es-ES_tradnl"/>
        </w:rPr>
        <w:t>que</w:t>
      </w:r>
      <w:proofErr w:type="gramEnd"/>
      <w:r w:rsidRPr="006360B0">
        <w:rPr>
          <w:lang w:val="es-ES_tradnl"/>
        </w:rPr>
        <w:t xml:space="preserve"> en el caso de interferencia continua (no de impulsos) debería utilizarse una relación entre la potencia de la señal interferente y el nivel de potencia de ruido del receptor del radar, </w:t>
      </w:r>
      <w:r w:rsidRPr="006360B0">
        <w:rPr>
          <w:i/>
          <w:iCs/>
          <w:lang w:val="es-ES_tradnl"/>
        </w:rPr>
        <w:t>I</w:t>
      </w:r>
      <w:r w:rsidRPr="006360B0">
        <w:rPr>
          <w:lang w:val="es-ES_tradnl"/>
        </w:rPr>
        <w:t>/</w:t>
      </w:r>
      <w:r w:rsidRPr="006360B0">
        <w:rPr>
          <w:i/>
          <w:iCs/>
          <w:lang w:val="es-ES_tradnl"/>
        </w:rPr>
        <w:t>N,</w:t>
      </w:r>
      <w:r w:rsidRPr="006360B0">
        <w:rPr>
          <w:lang w:val="es-ES_tradnl"/>
        </w:rPr>
        <w:t xml:space="preserve"> de </w:t>
      </w:r>
      <w:r w:rsidRPr="006360B0">
        <w:rPr>
          <w:lang w:val="es-ES_tradnl"/>
        </w:rPr>
        <w:sym w:font="Symbol" w:char="F02D"/>
      </w:r>
      <w:r w:rsidRPr="006360B0">
        <w:rPr>
          <w:lang w:val="es-ES_tradnl"/>
        </w:rPr>
        <w:t>6 dB, como nivel de protección necesario para los sistemas de radiolocalización para estudios de compartición en general, incluidos los radares de búsqueda y seguimiento (F) del Cuadro 1 del Anexo 1 en la gama de frecuencias 33,4-36 GHz;</w:t>
      </w:r>
    </w:p>
    <w:p w:rsidR="00506B19" w:rsidRPr="006360B0" w:rsidRDefault="00506B19" w:rsidP="00506B19">
      <w:pPr>
        <w:rPr>
          <w:lang w:val="es-ES_tradnl"/>
        </w:rPr>
      </w:pPr>
      <w:r w:rsidRPr="006360B0">
        <w:rPr>
          <w:b/>
          <w:bCs/>
          <w:lang w:val="es-ES_tradnl"/>
        </w:rPr>
        <w:t>3</w:t>
      </w:r>
      <w:r w:rsidRPr="006360B0">
        <w:rPr>
          <w:lang w:val="es-ES_tradnl"/>
        </w:rPr>
        <w:tab/>
        <w:t>que para los estudios de compartición de la banda de frecuencias 33,4</w:t>
      </w:r>
      <w:r w:rsidRPr="006360B0">
        <w:rPr>
          <w:lang w:val="es-ES_tradnl"/>
        </w:rPr>
        <w:noBreakHyphen/>
        <w:t>36 GHz entre radares (A-E) del Cuadro 1 del Anexo 1 y sistemas de otros servicios, se apliquen los siguientes criterios:</w:t>
      </w:r>
    </w:p>
    <w:p w:rsidR="00506B19" w:rsidRPr="006360B0" w:rsidRDefault="00506B19" w:rsidP="00506B19">
      <w:pPr>
        <w:pStyle w:val="enumlev1"/>
        <w:rPr>
          <w:lang w:val="es-ES_tradnl"/>
        </w:rPr>
      </w:pPr>
      <w:r w:rsidRPr="006360B0">
        <w:rPr>
          <w:lang w:val="es-ES_tradnl"/>
        </w:rPr>
        <w:t>–</w:t>
      </w:r>
      <w:r w:rsidRPr="006360B0">
        <w:rPr>
          <w:lang w:val="es-ES_tradnl"/>
        </w:rPr>
        <w:tab/>
        <w:t xml:space="preserve">para los reproductores de imágenes radiométricos el criterio de protección a corto plazo debe ser </w:t>
      </w:r>
      <w:r w:rsidRPr="006360B0">
        <w:rPr>
          <w:lang w:val="es-ES_tradnl"/>
        </w:rPr>
        <w:sym w:font="Symbol" w:char="F02D"/>
      </w:r>
      <w:r w:rsidRPr="006360B0">
        <w:rPr>
          <w:lang w:val="es-ES_tradnl"/>
        </w:rPr>
        <w:t>137,8 dB(W/2 GHz), durante no más de 3 s, y el criterio de protección a largo plazo no debe superar –144,8 dB(W/2 GHz), durante no más de 60 s;</w:t>
      </w:r>
    </w:p>
    <w:p w:rsidR="00506B19" w:rsidRPr="006360B0" w:rsidRDefault="00506B19" w:rsidP="00506B19">
      <w:pPr>
        <w:pStyle w:val="enumlev1"/>
        <w:rPr>
          <w:lang w:val="es-ES_tradnl"/>
        </w:rPr>
      </w:pPr>
      <w:r w:rsidRPr="006360B0">
        <w:rPr>
          <w:lang w:val="es-ES_tradnl"/>
        </w:rPr>
        <w:t>–</w:t>
      </w:r>
      <w:r w:rsidRPr="006360B0">
        <w:rPr>
          <w:lang w:val="es-ES_tradnl"/>
        </w:rPr>
        <w:tab/>
        <w:t>para buscadores y radares métricos el criterio de protección a corto plazo debe ser</w:t>
      </w:r>
      <w:r w:rsidRPr="006360B0">
        <w:rPr>
          <w:lang w:val="es-ES_tradnl"/>
        </w:rPr>
        <w:br/>
        <w:t>–126,2 dB(W/6 MHz), durante no más de 5 s, y el criterio de protección a largo plazo no debe superar –136,1 dB(W/6 MHz), durante no más de 60 s.</w:t>
      </w:r>
    </w:p>
    <w:p w:rsidR="00506B19" w:rsidRDefault="00506B19" w:rsidP="00506B19">
      <w:pPr>
        <w:rPr>
          <w:lang w:val="es-ES_tradnl"/>
        </w:rPr>
      </w:pPr>
    </w:p>
    <w:p w:rsidR="00B11EE5" w:rsidRPr="006360B0" w:rsidRDefault="00B11EE5" w:rsidP="00506B19">
      <w:pPr>
        <w:rPr>
          <w:lang w:val="es-ES_tradnl"/>
        </w:rPr>
      </w:pPr>
    </w:p>
    <w:p w:rsidR="00506B19" w:rsidRPr="006360B0" w:rsidRDefault="00506B19" w:rsidP="00506B19">
      <w:pPr>
        <w:pStyle w:val="AnnexNoTitle"/>
        <w:rPr>
          <w:lang w:val="es-ES_tradnl"/>
        </w:rPr>
      </w:pPr>
      <w:r w:rsidRPr="006360B0">
        <w:rPr>
          <w:lang w:val="es-ES_tradnl"/>
        </w:rPr>
        <w:t>Anexo 1</w:t>
      </w:r>
      <w:r w:rsidRPr="006360B0">
        <w:rPr>
          <w:lang w:val="es-ES_tradnl"/>
        </w:rPr>
        <w:br/>
      </w:r>
      <w:r w:rsidRPr="006360B0">
        <w:rPr>
          <w:lang w:val="es-ES_tradnl"/>
        </w:rPr>
        <w:br/>
        <w:t xml:space="preserve">Características y criterios de protección de radares que </w:t>
      </w:r>
      <w:r w:rsidRPr="006360B0">
        <w:rPr>
          <w:lang w:val="es-ES_tradnl"/>
        </w:rPr>
        <w:br/>
        <w:t xml:space="preserve">funcionan en el servicio de radiodeterminación en la </w:t>
      </w:r>
      <w:r w:rsidRPr="006360B0">
        <w:rPr>
          <w:lang w:val="es-ES_tradnl"/>
        </w:rPr>
        <w:br/>
        <w:t>banda de frecuencias 33,4</w:t>
      </w:r>
      <w:r w:rsidRPr="006360B0">
        <w:rPr>
          <w:lang w:val="es-ES_tradnl"/>
        </w:rPr>
        <w:noBreakHyphen/>
        <w:t>36 GHz</w:t>
      </w:r>
    </w:p>
    <w:p w:rsidR="00506B19" w:rsidRPr="006360B0" w:rsidRDefault="00506B19" w:rsidP="00506B19">
      <w:pPr>
        <w:pStyle w:val="Heading1"/>
        <w:rPr>
          <w:lang w:val="es-ES_tradnl"/>
        </w:rPr>
      </w:pPr>
      <w:r w:rsidRPr="006360B0">
        <w:rPr>
          <w:lang w:val="es-ES_tradnl"/>
        </w:rPr>
        <w:t>1</w:t>
      </w:r>
      <w:r w:rsidRPr="006360B0">
        <w:rPr>
          <w:lang w:val="es-ES_tradnl"/>
        </w:rPr>
        <w:tab/>
        <w:t>Objeto</w:t>
      </w:r>
    </w:p>
    <w:p w:rsidR="00506B19" w:rsidRPr="006360B0" w:rsidRDefault="00506B19" w:rsidP="00506B19">
      <w:pPr>
        <w:rPr>
          <w:lang w:val="es-ES_tradnl"/>
        </w:rPr>
      </w:pPr>
      <w:r w:rsidRPr="006360B0">
        <w:rPr>
          <w:lang w:val="es-ES_tradnl"/>
        </w:rPr>
        <w:t>Las características y los criterios de protección que figuran en la presente Recomendación han sido establecidos para su utilización en los estudios de compartición solicitados por las Resoluciones </w:t>
      </w:r>
      <w:r w:rsidRPr="006360B0">
        <w:rPr>
          <w:b/>
          <w:bCs/>
          <w:lang w:val="es-ES_tradnl"/>
        </w:rPr>
        <w:t>712 (CMR</w:t>
      </w:r>
      <w:r w:rsidRPr="006360B0">
        <w:rPr>
          <w:b/>
          <w:bCs/>
          <w:lang w:val="es-ES_tradnl"/>
        </w:rPr>
        <w:noBreakHyphen/>
        <w:t>2000)</w:t>
      </w:r>
      <w:r w:rsidRPr="006360B0">
        <w:rPr>
          <w:lang w:val="es-ES_tradnl"/>
        </w:rPr>
        <w:t xml:space="preserve"> y </w:t>
      </w:r>
      <w:r w:rsidRPr="006360B0">
        <w:rPr>
          <w:b/>
          <w:bCs/>
          <w:lang w:val="es-ES_tradnl"/>
        </w:rPr>
        <w:t>730 (CMR</w:t>
      </w:r>
      <w:r w:rsidRPr="006360B0">
        <w:rPr>
          <w:b/>
          <w:bCs/>
          <w:lang w:val="es-ES_tradnl"/>
        </w:rPr>
        <w:noBreakHyphen/>
        <w:t>2000)</w:t>
      </w:r>
      <w:r w:rsidRPr="006360B0">
        <w:rPr>
          <w:lang w:val="es-ES_tradnl"/>
        </w:rPr>
        <w:t>, y para evaluar la compatibilidad entre los radares y otros sistemas que funcionan en la banda de frecuencias 33,4</w:t>
      </w:r>
      <w:r w:rsidRPr="006360B0">
        <w:rPr>
          <w:lang w:val="es-ES_tradnl"/>
        </w:rPr>
        <w:noBreakHyphen/>
        <w:t>36 GHz.</w:t>
      </w:r>
    </w:p>
    <w:p w:rsidR="00506B19" w:rsidRPr="006360B0" w:rsidRDefault="00506B19" w:rsidP="00506B19">
      <w:pPr>
        <w:pStyle w:val="Heading1"/>
        <w:rPr>
          <w:lang w:val="es-ES_tradnl"/>
        </w:rPr>
      </w:pPr>
      <w:r w:rsidRPr="006360B0">
        <w:rPr>
          <w:lang w:val="es-ES_tradnl"/>
        </w:rPr>
        <w:lastRenderedPageBreak/>
        <w:t>2</w:t>
      </w:r>
      <w:r w:rsidRPr="006360B0">
        <w:rPr>
          <w:lang w:val="es-ES_tradnl"/>
        </w:rPr>
        <w:tab/>
        <w:t>Características técnicas</w:t>
      </w:r>
    </w:p>
    <w:p w:rsidR="00506B19" w:rsidRPr="006360B0" w:rsidRDefault="00506B19" w:rsidP="00506B19">
      <w:pPr>
        <w:rPr>
          <w:lang w:val="es-ES_tradnl"/>
        </w:rPr>
      </w:pPr>
      <w:r w:rsidRPr="006360B0">
        <w:rPr>
          <w:lang w:val="es-ES_tradnl"/>
        </w:rPr>
        <w:t>Las frecuencias alrededor de 35 GHz y 94 GHz, corresponden aproximadamente a las dos primeras ventanas de propagación en las características de absorción atmosférica del espectro de ondas milimétricas, y los sistemas del servicio de radiodeterminación necesitan utilizar esas frecuencias a fin de lograr una elevada precisión de las mediciones y una resolución del blanco que es posible en ondas milimétricas. Tanto los sensores pasivos como los activos que funcionan en el servicio de radiodeterminación alrededor de esas frecuencias se utilizan para cartografía, identificación de blancos, navegación, determinación de apuntamientos, instrumentación de polígono de pruebas, etc. El Cuadro 1 resume las características técnicas de los sistemas representativos desplegados en esas bandas. Esta información es suficiente para efectuar los cálculos generales de evaluación de la compatibilidad entre esos radares y otros sistemas.</w:t>
      </w:r>
    </w:p>
    <w:p w:rsidR="00506B19" w:rsidRPr="006360B0" w:rsidRDefault="00506B19" w:rsidP="00506B19">
      <w:pPr>
        <w:pStyle w:val="TableNo"/>
        <w:rPr>
          <w:lang w:val="es-ES_tradnl"/>
        </w:rPr>
      </w:pPr>
      <w:r w:rsidRPr="006360B0">
        <w:rPr>
          <w:lang w:val="es-ES_tradnl"/>
        </w:rPr>
        <w:t>CUADRO 1</w:t>
      </w:r>
    </w:p>
    <w:p w:rsidR="00506B19" w:rsidRPr="006360B0" w:rsidRDefault="00506B19" w:rsidP="00506B19">
      <w:pPr>
        <w:pStyle w:val="Tabletitle"/>
        <w:rPr>
          <w:lang w:val="es-ES_tradnl"/>
        </w:rPr>
      </w:pPr>
      <w:r w:rsidRPr="006360B0">
        <w:rPr>
          <w:lang w:val="es-ES_tradnl"/>
        </w:rPr>
        <w:t>Características técnicas de los radares alrededor de 35 GHz</w:t>
      </w:r>
    </w:p>
    <w:p w:rsidR="00506B19" w:rsidRPr="006360B0" w:rsidRDefault="00506B19" w:rsidP="00506B19">
      <w:pPr>
        <w:pStyle w:val="Tablefin"/>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8"/>
        <w:gridCol w:w="992"/>
        <w:gridCol w:w="1134"/>
        <w:gridCol w:w="1134"/>
        <w:gridCol w:w="1134"/>
        <w:gridCol w:w="993"/>
        <w:gridCol w:w="1130"/>
        <w:gridCol w:w="1284"/>
      </w:tblGrid>
      <w:tr w:rsidR="00506B19" w:rsidRPr="0064564B" w:rsidTr="008B682B">
        <w:trPr>
          <w:cantSplit/>
          <w:tblHeade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506B19" w:rsidRPr="0064564B" w:rsidRDefault="00506B19" w:rsidP="008B682B">
            <w:pPr>
              <w:pStyle w:val="Tablehead"/>
              <w:rPr>
                <w:sz w:val="21"/>
                <w:szCs w:val="21"/>
                <w:lang w:val="es-ES_tradnl"/>
              </w:rPr>
            </w:pPr>
            <w:r w:rsidRPr="0064564B">
              <w:rPr>
                <w:sz w:val="21"/>
                <w:szCs w:val="21"/>
                <w:lang w:val="es-ES_tradnl"/>
              </w:rPr>
              <w:t>Parámetro</w:t>
            </w:r>
          </w:p>
        </w:tc>
        <w:tc>
          <w:tcPr>
            <w:tcW w:w="992" w:type="dxa"/>
            <w:tcBorders>
              <w:top w:val="single" w:sz="4" w:space="0" w:color="auto"/>
              <w:left w:val="single" w:sz="4" w:space="0" w:color="auto"/>
              <w:bottom w:val="single" w:sz="4" w:space="0" w:color="auto"/>
              <w:right w:val="single" w:sz="4" w:space="0" w:color="auto"/>
            </w:tcBorders>
            <w:vAlign w:val="center"/>
            <w:hideMark/>
          </w:tcPr>
          <w:p w:rsidR="00506B19" w:rsidRPr="0064564B" w:rsidRDefault="00506B19" w:rsidP="008B682B">
            <w:pPr>
              <w:pStyle w:val="Tablehead"/>
              <w:rPr>
                <w:sz w:val="21"/>
                <w:szCs w:val="21"/>
                <w:lang w:val="es-ES_tradnl"/>
              </w:rPr>
            </w:pPr>
            <w:r w:rsidRPr="0064564B">
              <w:rPr>
                <w:sz w:val="21"/>
                <w:szCs w:val="21"/>
                <w:lang w:val="es-ES_tradnl"/>
              </w:rPr>
              <w:t>Unidades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6B19" w:rsidRPr="0064564B" w:rsidRDefault="00506B19" w:rsidP="008B682B">
            <w:pPr>
              <w:pStyle w:val="Tablehead"/>
              <w:rPr>
                <w:sz w:val="21"/>
                <w:szCs w:val="21"/>
                <w:lang w:val="es-ES_tradnl"/>
              </w:rPr>
            </w:pPr>
            <w:r w:rsidRPr="0064564B">
              <w:rPr>
                <w:sz w:val="21"/>
                <w:szCs w:val="21"/>
                <w:lang w:val="es-ES_tradnl"/>
              </w:rPr>
              <w:t>Radar A</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6B19" w:rsidRPr="0064564B" w:rsidRDefault="00506B19" w:rsidP="008B682B">
            <w:pPr>
              <w:pStyle w:val="Tablehead"/>
              <w:rPr>
                <w:sz w:val="21"/>
                <w:szCs w:val="21"/>
                <w:lang w:val="es-ES_tradnl"/>
              </w:rPr>
            </w:pPr>
            <w:r w:rsidRPr="0064564B">
              <w:rPr>
                <w:sz w:val="21"/>
                <w:szCs w:val="21"/>
                <w:lang w:val="es-ES_tradnl"/>
              </w:rPr>
              <w:t>Radar B</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6B19" w:rsidRPr="0064564B" w:rsidRDefault="00506B19" w:rsidP="008B682B">
            <w:pPr>
              <w:pStyle w:val="Tablehead"/>
              <w:rPr>
                <w:sz w:val="21"/>
                <w:szCs w:val="21"/>
                <w:lang w:val="es-ES_tradnl"/>
              </w:rPr>
            </w:pPr>
            <w:r w:rsidRPr="0064564B">
              <w:rPr>
                <w:sz w:val="21"/>
                <w:szCs w:val="21"/>
                <w:lang w:val="es-ES_tradnl"/>
              </w:rPr>
              <w:t>Radar C</w:t>
            </w:r>
          </w:p>
        </w:tc>
        <w:tc>
          <w:tcPr>
            <w:tcW w:w="993" w:type="dxa"/>
            <w:tcBorders>
              <w:top w:val="single" w:sz="4" w:space="0" w:color="auto"/>
              <w:left w:val="single" w:sz="4" w:space="0" w:color="auto"/>
              <w:bottom w:val="single" w:sz="4" w:space="0" w:color="auto"/>
              <w:right w:val="single" w:sz="4" w:space="0" w:color="auto"/>
            </w:tcBorders>
            <w:vAlign w:val="center"/>
            <w:hideMark/>
          </w:tcPr>
          <w:p w:rsidR="00506B19" w:rsidRPr="0064564B" w:rsidRDefault="00506B19" w:rsidP="008B682B">
            <w:pPr>
              <w:pStyle w:val="Tablehead"/>
              <w:rPr>
                <w:sz w:val="21"/>
                <w:szCs w:val="21"/>
                <w:lang w:val="es-ES_tradnl"/>
              </w:rPr>
            </w:pPr>
            <w:r w:rsidRPr="0064564B">
              <w:rPr>
                <w:sz w:val="21"/>
                <w:szCs w:val="21"/>
                <w:lang w:val="es-ES_tradnl"/>
              </w:rPr>
              <w:t>Radar D</w:t>
            </w:r>
          </w:p>
        </w:tc>
        <w:tc>
          <w:tcPr>
            <w:tcW w:w="1130" w:type="dxa"/>
            <w:tcBorders>
              <w:top w:val="single" w:sz="4" w:space="0" w:color="auto"/>
              <w:left w:val="single" w:sz="4" w:space="0" w:color="auto"/>
              <w:bottom w:val="single" w:sz="4" w:space="0" w:color="auto"/>
              <w:right w:val="single" w:sz="4" w:space="0" w:color="auto"/>
            </w:tcBorders>
            <w:vAlign w:val="center"/>
            <w:hideMark/>
          </w:tcPr>
          <w:p w:rsidR="00506B19" w:rsidRPr="0064564B" w:rsidRDefault="00506B19" w:rsidP="008B682B">
            <w:pPr>
              <w:pStyle w:val="Tablehead"/>
              <w:rPr>
                <w:sz w:val="21"/>
                <w:szCs w:val="21"/>
                <w:lang w:val="es-ES_tradnl"/>
              </w:rPr>
            </w:pPr>
            <w:r w:rsidRPr="0064564B">
              <w:rPr>
                <w:sz w:val="21"/>
                <w:szCs w:val="21"/>
                <w:lang w:val="es-ES_tradnl"/>
              </w:rPr>
              <w:t>Radar E</w:t>
            </w:r>
          </w:p>
        </w:tc>
        <w:tc>
          <w:tcPr>
            <w:tcW w:w="1284" w:type="dxa"/>
            <w:tcBorders>
              <w:top w:val="single" w:sz="4" w:space="0" w:color="auto"/>
              <w:left w:val="single" w:sz="4" w:space="0" w:color="auto"/>
              <w:bottom w:val="single" w:sz="4" w:space="0" w:color="auto"/>
              <w:right w:val="single" w:sz="4" w:space="0" w:color="auto"/>
            </w:tcBorders>
            <w:vAlign w:val="center"/>
            <w:hideMark/>
          </w:tcPr>
          <w:p w:rsidR="00506B19" w:rsidRPr="0064564B" w:rsidRDefault="00506B19" w:rsidP="008B682B">
            <w:pPr>
              <w:pStyle w:val="Tablehead"/>
              <w:rPr>
                <w:sz w:val="21"/>
                <w:szCs w:val="21"/>
                <w:lang w:val="es-ES_tradnl"/>
              </w:rPr>
            </w:pPr>
            <w:r w:rsidRPr="0064564B">
              <w:rPr>
                <w:sz w:val="21"/>
                <w:szCs w:val="21"/>
                <w:lang w:val="es-ES_tradnl"/>
              </w:rPr>
              <w:t>Radar F</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rPr>
                <w:sz w:val="21"/>
                <w:szCs w:val="21"/>
                <w:lang w:val="es-ES_tradnl"/>
              </w:rPr>
            </w:pPr>
            <w:r w:rsidRPr="0064564B">
              <w:rPr>
                <w:sz w:val="21"/>
                <w:szCs w:val="21"/>
                <w:lang w:val="es-ES_tradnl"/>
              </w:rPr>
              <w:t>Utilización</w:t>
            </w:r>
          </w:p>
        </w:tc>
        <w:tc>
          <w:tcPr>
            <w:tcW w:w="992" w:type="dxa"/>
            <w:tcBorders>
              <w:top w:val="single" w:sz="4" w:space="0" w:color="auto"/>
              <w:left w:val="single" w:sz="4" w:space="0" w:color="auto"/>
              <w:bottom w:val="single" w:sz="4" w:space="0" w:color="auto"/>
              <w:right w:val="single" w:sz="4" w:space="0" w:color="auto"/>
            </w:tcBorders>
          </w:tcPr>
          <w:p w:rsidR="00506B19" w:rsidRPr="0064564B" w:rsidRDefault="00506B19" w:rsidP="008B682B">
            <w:pPr>
              <w:pStyle w:val="Tabletext"/>
              <w:jc w:val="center"/>
              <w:rPr>
                <w:sz w:val="21"/>
                <w:szCs w:val="21"/>
                <w:lang w:val="es-ES_tradnl"/>
              </w:rPr>
            </w:pP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Formación de imágenes</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Formación de imágenes</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Métrica</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Métrica</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Buscador</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Búsqueda y seguimiento</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rPr>
                <w:sz w:val="21"/>
                <w:szCs w:val="21"/>
                <w:lang w:val="es-ES_tradnl"/>
              </w:rPr>
            </w:pPr>
            <w:r w:rsidRPr="0064564B">
              <w:rPr>
                <w:sz w:val="21"/>
                <w:szCs w:val="21"/>
                <w:lang w:val="es-ES_tradnl"/>
              </w:rPr>
              <w:t>Tipo de sensor</w:t>
            </w:r>
          </w:p>
        </w:tc>
        <w:tc>
          <w:tcPr>
            <w:tcW w:w="992" w:type="dxa"/>
            <w:tcBorders>
              <w:top w:val="single" w:sz="4" w:space="0" w:color="auto"/>
              <w:left w:val="single" w:sz="4" w:space="0" w:color="auto"/>
              <w:bottom w:val="single" w:sz="4" w:space="0" w:color="auto"/>
              <w:right w:val="single" w:sz="4" w:space="0" w:color="auto"/>
            </w:tcBorders>
          </w:tcPr>
          <w:p w:rsidR="00506B19" w:rsidRPr="0064564B" w:rsidRDefault="00506B19" w:rsidP="008B682B">
            <w:pPr>
              <w:pStyle w:val="Tabletext"/>
              <w:jc w:val="center"/>
              <w:rPr>
                <w:sz w:val="21"/>
                <w:szCs w:val="21"/>
                <w:lang w:val="es-ES_tradnl"/>
              </w:rPr>
            </w:pP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Pasiva</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Activa</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Activa</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Activa</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Activa</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Activa</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rPr>
                <w:sz w:val="21"/>
                <w:szCs w:val="21"/>
                <w:lang w:val="es-ES_tradnl"/>
              </w:rPr>
            </w:pPr>
            <w:r w:rsidRPr="0064564B">
              <w:rPr>
                <w:sz w:val="21"/>
                <w:szCs w:val="21"/>
                <w:lang w:val="es-ES_tradnl"/>
              </w:rPr>
              <w:t>Modulación</w:t>
            </w:r>
          </w:p>
        </w:tc>
        <w:tc>
          <w:tcPr>
            <w:tcW w:w="992" w:type="dxa"/>
            <w:tcBorders>
              <w:top w:val="single" w:sz="4" w:space="0" w:color="auto"/>
              <w:left w:val="single" w:sz="4" w:space="0" w:color="auto"/>
              <w:bottom w:val="single" w:sz="4" w:space="0" w:color="auto"/>
              <w:right w:val="single" w:sz="4" w:space="0" w:color="auto"/>
            </w:tcBorders>
          </w:tcPr>
          <w:p w:rsidR="00506B19" w:rsidRPr="0064564B" w:rsidRDefault="00506B19" w:rsidP="008B682B">
            <w:pPr>
              <w:pStyle w:val="Tabletext"/>
              <w:jc w:val="center"/>
              <w:rPr>
                <w:sz w:val="21"/>
                <w:szCs w:val="21"/>
                <w:lang w:val="es-ES_tradnl"/>
              </w:rPr>
            </w:pP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Impulsos</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Impulsos</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Impulsos</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MF lineal</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MF lineal Impulsos</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jc w:val="left"/>
              <w:rPr>
                <w:sz w:val="21"/>
                <w:szCs w:val="21"/>
                <w:lang w:val="es-ES_tradnl"/>
              </w:rPr>
            </w:pPr>
            <w:r w:rsidRPr="0064564B">
              <w:rPr>
                <w:sz w:val="21"/>
                <w:szCs w:val="21"/>
                <w:lang w:val="es-ES_tradnl"/>
              </w:rPr>
              <w:t>Tasa de compresión</w:t>
            </w:r>
          </w:p>
        </w:tc>
        <w:tc>
          <w:tcPr>
            <w:tcW w:w="992" w:type="dxa"/>
            <w:tcBorders>
              <w:top w:val="single" w:sz="4" w:space="0" w:color="auto"/>
              <w:left w:val="single" w:sz="4" w:space="0" w:color="auto"/>
              <w:bottom w:val="single" w:sz="4" w:space="0" w:color="auto"/>
              <w:right w:val="single" w:sz="4" w:space="0" w:color="auto"/>
            </w:tcBorders>
          </w:tcPr>
          <w:p w:rsidR="00506B19" w:rsidRPr="0064564B" w:rsidRDefault="00506B19" w:rsidP="008B682B">
            <w:pPr>
              <w:pStyle w:val="Tabletext"/>
              <w:jc w:val="center"/>
              <w:rPr>
                <w:sz w:val="21"/>
                <w:szCs w:val="21"/>
                <w:lang w:val="es-ES_tradnl"/>
              </w:rPr>
            </w:pP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200</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50</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jc w:val="left"/>
              <w:rPr>
                <w:sz w:val="21"/>
                <w:szCs w:val="21"/>
                <w:lang w:val="es-ES_tradnl"/>
              </w:rPr>
            </w:pPr>
            <w:r w:rsidRPr="0064564B">
              <w:rPr>
                <w:sz w:val="21"/>
                <w:szCs w:val="21"/>
                <w:lang w:val="es-ES_tradnl"/>
              </w:rPr>
              <w:t>Anchura del impulso</w:t>
            </w:r>
          </w:p>
        </w:tc>
        <w:tc>
          <w:tcPr>
            <w:tcW w:w="992"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µs</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0,05</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0,25</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0,05</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10</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20</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rPr>
                <w:sz w:val="21"/>
                <w:szCs w:val="21"/>
                <w:lang w:val="es-ES_tradnl"/>
              </w:rPr>
            </w:pPr>
            <w:r w:rsidRPr="0064564B">
              <w:rPr>
                <w:sz w:val="21"/>
                <w:szCs w:val="21"/>
                <w:lang w:val="es-ES_tradnl"/>
              </w:rPr>
              <w:t>Potencia de cresta del transmisor</w:t>
            </w:r>
          </w:p>
        </w:tc>
        <w:tc>
          <w:tcPr>
            <w:tcW w:w="992"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kW</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0,5</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135</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1</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0,001</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10</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jc w:val="left"/>
              <w:rPr>
                <w:sz w:val="21"/>
                <w:szCs w:val="21"/>
                <w:lang w:val="es-ES_tradnl"/>
              </w:rPr>
            </w:pPr>
            <w:r w:rsidRPr="0064564B">
              <w:rPr>
                <w:sz w:val="21"/>
                <w:szCs w:val="21"/>
                <w:lang w:val="es-ES_tradnl"/>
              </w:rPr>
              <w:t>Frecuencia de repetición de los impulsos</w:t>
            </w:r>
          </w:p>
        </w:tc>
        <w:tc>
          <w:tcPr>
            <w:tcW w:w="992"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kHz</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30</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1</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50</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10</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10-30</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rPr>
                <w:sz w:val="21"/>
                <w:szCs w:val="21"/>
                <w:lang w:val="es-ES_tradnl"/>
              </w:rPr>
            </w:pPr>
            <w:r w:rsidRPr="0064564B">
              <w:rPr>
                <w:sz w:val="21"/>
                <w:szCs w:val="21"/>
                <w:lang w:val="es-ES_tradnl"/>
              </w:rPr>
              <w:t>Anchura de banda de RF </w:t>
            </w:r>
          </w:p>
        </w:tc>
        <w:tc>
          <w:tcPr>
            <w:tcW w:w="992"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MHz</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80</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10</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101</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12</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2 000</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jc w:val="left"/>
              <w:rPr>
                <w:sz w:val="21"/>
                <w:szCs w:val="21"/>
                <w:lang w:val="es-ES_tradnl"/>
              </w:rPr>
            </w:pPr>
            <w:r w:rsidRPr="0064564B">
              <w:rPr>
                <w:sz w:val="21"/>
                <w:szCs w:val="21"/>
                <w:lang w:val="es-ES_tradnl"/>
              </w:rPr>
              <w:t>Ganancia de antena </w:t>
            </w:r>
          </w:p>
        </w:tc>
        <w:tc>
          <w:tcPr>
            <w:tcW w:w="992"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dBi</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35</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30</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52</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51</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28,7</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52</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rPr>
                <w:sz w:val="21"/>
                <w:szCs w:val="21"/>
                <w:lang w:val="es-ES_tradnl"/>
              </w:rPr>
            </w:pPr>
            <w:r w:rsidRPr="0064564B">
              <w:rPr>
                <w:sz w:val="21"/>
                <w:szCs w:val="21"/>
                <w:lang w:val="es-ES_tradnl"/>
              </w:rPr>
              <w:t>Abertura del haz</w:t>
            </w:r>
          </w:p>
        </w:tc>
        <w:tc>
          <w:tcPr>
            <w:tcW w:w="992"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grados</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 xml:space="preserve">0,5 </w:t>
            </w:r>
            <w:r w:rsidRPr="0064564B">
              <w:rPr>
                <w:sz w:val="21"/>
                <w:szCs w:val="21"/>
                <w:lang w:val="es-ES_tradnl"/>
              </w:rPr>
              <w:sym w:font="Symbol" w:char="F0B4"/>
            </w:r>
            <w:r w:rsidRPr="0064564B">
              <w:rPr>
                <w:sz w:val="21"/>
                <w:szCs w:val="21"/>
                <w:lang w:val="es-ES_tradnl"/>
              </w:rPr>
              <w:t xml:space="preserve"> 3,0</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 xml:space="preserve">0,75 </w:t>
            </w:r>
            <w:r w:rsidRPr="0064564B">
              <w:rPr>
                <w:sz w:val="21"/>
                <w:szCs w:val="21"/>
                <w:lang w:val="es-ES_tradnl"/>
              </w:rPr>
              <w:sym w:font="Symbol" w:char="F0B4"/>
            </w:r>
            <w:r w:rsidRPr="0064564B">
              <w:rPr>
                <w:sz w:val="21"/>
                <w:szCs w:val="21"/>
                <w:lang w:val="es-ES_tradnl"/>
              </w:rPr>
              <w:t xml:space="preserve"> 10</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 xml:space="preserve">0,25 </w:t>
            </w:r>
            <w:r w:rsidRPr="0064564B">
              <w:rPr>
                <w:sz w:val="21"/>
                <w:szCs w:val="21"/>
                <w:lang w:val="es-ES_tradnl"/>
              </w:rPr>
              <w:sym w:font="Symbol" w:char="F0B4"/>
            </w:r>
            <w:r w:rsidRPr="0064564B">
              <w:rPr>
                <w:sz w:val="21"/>
                <w:szCs w:val="21"/>
                <w:lang w:val="es-ES_tradnl"/>
              </w:rPr>
              <w:t xml:space="preserve"> 0,25</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 xml:space="preserve">0,5 </w:t>
            </w:r>
            <w:r w:rsidRPr="0064564B">
              <w:rPr>
                <w:sz w:val="21"/>
                <w:szCs w:val="21"/>
                <w:lang w:val="es-ES_tradnl"/>
              </w:rPr>
              <w:sym w:font="Symbol" w:char="F0B4"/>
            </w:r>
            <w:r w:rsidRPr="0064564B">
              <w:rPr>
                <w:sz w:val="21"/>
                <w:szCs w:val="21"/>
                <w:lang w:val="es-ES_tradnl"/>
              </w:rPr>
              <w:t xml:space="preserve"> 0,5</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 xml:space="preserve">4,4 </w:t>
            </w:r>
            <w:r w:rsidRPr="0064564B">
              <w:rPr>
                <w:sz w:val="21"/>
                <w:szCs w:val="21"/>
                <w:lang w:val="es-ES_tradnl"/>
              </w:rPr>
              <w:sym w:font="Symbol" w:char="F0B4"/>
            </w:r>
            <w:r w:rsidRPr="0064564B">
              <w:rPr>
                <w:sz w:val="21"/>
                <w:szCs w:val="21"/>
                <w:lang w:val="es-ES_tradnl"/>
              </w:rPr>
              <w:t xml:space="preserve"> 4,4</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 xml:space="preserve">0,25 </w:t>
            </w:r>
            <w:r w:rsidRPr="0064564B">
              <w:rPr>
                <w:sz w:val="21"/>
                <w:szCs w:val="21"/>
                <w:lang w:val="es-ES_tradnl"/>
              </w:rPr>
              <w:sym w:font="Symbol" w:char="F0B4"/>
            </w:r>
            <w:r w:rsidRPr="0064564B">
              <w:rPr>
                <w:sz w:val="21"/>
                <w:szCs w:val="21"/>
                <w:lang w:val="es-ES_tradnl"/>
              </w:rPr>
              <w:t xml:space="preserve"> 0,25</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rPr>
                <w:sz w:val="21"/>
                <w:szCs w:val="21"/>
                <w:lang w:val="es-ES_tradnl"/>
              </w:rPr>
            </w:pPr>
            <w:r w:rsidRPr="0064564B">
              <w:rPr>
                <w:sz w:val="21"/>
                <w:szCs w:val="21"/>
                <w:lang w:val="es-ES_tradnl"/>
              </w:rPr>
              <w:t>Anchura de banda en FI del receptor </w:t>
            </w:r>
          </w:p>
        </w:tc>
        <w:tc>
          <w:tcPr>
            <w:tcW w:w="992"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GHz</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2</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0,040</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0,006</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0,185</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0,100</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0,006</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jc w:val="left"/>
              <w:rPr>
                <w:sz w:val="21"/>
                <w:szCs w:val="21"/>
                <w:lang w:val="es-ES_tradnl"/>
              </w:rPr>
            </w:pPr>
            <w:r w:rsidRPr="0064564B">
              <w:rPr>
                <w:sz w:val="21"/>
                <w:szCs w:val="21"/>
                <w:lang w:val="es-ES_tradnl"/>
              </w:rPr>
              <w:t>Temperatura de ruido </w:t>
            </w:r>
          </w:p>
        </w:tc>
        <w:tc>
          <w:tcPr>
            <w:tcW w:w="992"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K</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850</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rPr>
                <w:sz w:val="21"/>
                <w:szCs w:val="21"/>
                <w:lang w:val="es-ES_tradnl"/>
              </w:rPr>
            </w:pPr>
            <w:r w:rsidRPr="0064564B">
              <w:rPr>
                <w:sz w:val="21"/>
                <w:szCs w:val="21"/>
                <w:lang w:val="es-ES_tradnl"/>
              </w:rPr>
              <w:t>Factor de ruido</w:t>
            </w:r>
          </w:p>
        </w:tc>
        <w:tc>
          <w:tcPr>
            <w:tcW w:w="992"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dB</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4,5</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10</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10</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5</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4</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jc w:val="left"/>
              <w:rPr>
                <w:sz w:val="21"/>
                <w:szCs w:val="21"/>
                <w:lang w:val="es-ES_tradnl"/>
              </w:rPr>
            </w:pPr>
            <w:r w:rsidRPr="0064564B">
              <w:rPr>
                <w:sz w:val="21"/>
                <w:szCs w:val="21"/>
                <w:lang w:val="es-ES_tradnl"/>
              </w:rPr>
              <w:t>Sensibilidad del receptor</w:t>
            </w:r>
          </w:p>
        </w:tc>
        <w:tc>
          <w:tcPr>
            <w:tcW w:w="992"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dBm</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−81</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−95</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−78</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−93</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w:t>
            </w:r>
          </w:p>
        </w:tc>
      </w:tr>
      <w:tr w:rsidR="00506B19" w:rsidRPr="0064564B" w:rsidTr="008B682B">
        <w:trPr>
          <w:cantSplit/>
          <w:jc w:val="center"/>
        </w:trPr>
        <w:tc>
          <w:tcPr>
            <w:tcW w:w="18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6B19" w:rsidRPr="0064564B" w:rsidRDefault="00506B19" w:rsidP="008B682B">
            <w:pPr>
              <w:pStyle w:val="Tabletext"/>
              <w:rPr>
                <w:sz w:val="21"/>
                <w:szCs w:val="21"/>
                <w:lang w:val="es-ES_tradnl"/>
              </w:rPr>
            </w:pPr>
            <w:r w:rsidRPr="0064564B">
              <w:rPr>
                <w:sz w:val="21"/>
                <w:szCs w:val="21"/>
                <w:lang w:val="es-ES_tradnl"/>
              </w:rPr>
              <w:t>Sintonía</w:t>
            </w:r>
          </w:p>
        </w:tc>
        <w:tc>
          <w:tcPr>
            <w:tcW w:w="992" w:type="dxa"/>
            <w:tcBorders>
              <w:top w:val="single" w:sz="4" w:space="0" w:color="auto"/>
              <w:left w:val="single" w:sz="4" w:space="0" w:color="auto"/>
              <w:bottom w:val="single" w:sz="4" w:space="0" w:color="auto"/>
              <w:right w:val="single" w:sz="4" w:space="0" w:color="auto"/>
            </w:tcBorders>
          </w:tcPr>
          <w:p w:rsidR="00506B19" w:rsidRPr="0064564B" w:rsidRDefault="00506B19" w:rsidP="008B682B">
            <w:pPr>
              <w:pStyle w:val="Tabletext"/>
              <w:jc w:val="center"/>
              <w:rPr>
                <w:sz w:val="21"/>
                <w:szCs w:val="21"/>
                <w:lang w:val="es-ES_tradnl"/>
              </w:rPr>
            </w:pP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Fija</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Fija</w:t>
            </w:r>
          </w:p>
        </w:tc>
        <w:tc>
          <w:tcPr>
            <w:tcW w:w="113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Fija</w:t>
            </w:r>
          </w:p>
        </w:tc>
        <w:tc>
          <w:tcPr>
            <w:tcW w:w="993"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Salto de frecuencia</w:t>
            </w:r>
          </w:p>
        </w:tc>
        <w:tc>
          <w:tcPr>
            <w:tcW w:w="1130"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Fija</w:t>
            </w:r>
          </w:p>
        </w:tc>
        <w:tc>
          <w:tcPr>
            <w:tcW w:w="1284" w:type="dxa"/>
            <w:tcBorders>
              <w:top w:val="single" w:sz="4" w:space="0" w:color="auto"/>
              <w:left w:val="single" w:sz="4" w:space="0" w:color="auto"/>
              <w:bottom w:val="single" w:sz="4" w:space="0" w:color="auto"/>
              <w:right w:val="single" w:sz="4" w:space="0" w:color="auto"/>
            </w:tcBorders>
            <w:hideMark/>
          </w:tcPr>
          <w:p w:rsidR="00506B19" w:rsidRPr="0064564B" w:rsidRDefault="00506B19" w:rsidP="008B682B">
            <w:pPr>
              <w:pStyle w:val="Tabletext"/>
              <w:jc w:val="center"/>
              <w:rPr>
                <w:sz w:val="21"/>
                <w:szCs w:val="21"/>
                <w:lang w:val="es-ES_tradnl"/>
              </w:rPr>
            </w:pPr>
            <w:r w:rsidRPr="0064564B">
              <w:rPr>
                <w:sz w:val="21"/>
                <w:szCs w:val="21"/>
                <w:lang w:val="es-ES_tradnl"/>
              </w:rPr>
              <w:t>Salto de frecuencia</w:t>
            </w:r>
          </w:p>
        </w:tc>
      </w:tr>
    </w:tbl>
    <w:p w:rsidR="00506B19" w:rsidRPr="006360B0" w:rsidRDefault="00506B19" w:rsidP="00506B19">
      <w:pPr>
        <w:pStyle w:val="Heading1"/>
        <w:rPr>
          <w:lang w:val="es-ES_tradnl"/>
        </w:rPr>
      </w:pPr>
      <w:r w:rsidRPr="006360B0">
        <w:rPr>
          <w:lang w:val="es-ES_tradnl"/>
        </w:rPr>
        <w:lastRenderedPageBreak/>
        <w:t>3</w:t>
      </w:r>
      <w:r w:rsidRPr="006360B0">
        <w:rPr>
          <w:lang w:val="es-ES_tradnl"/>
        </w:rPr>
        <w:tab/>
        <w:t xml:space="preserve">Criterios de protección </w:t>
      </w:r>
    </w:p>
    <w:p w:rsidR="00506B19" w:rsidRPr="006360B0" w:rsidRDefault="00506B19" w:rsidP="00506B19">
      <w:pPr>
        <w:rPr>
          <w:lang w:val="es-ES_tradnl"/>
        </w:rPr>
      </w:pPr>
      <w:r w:rsidRPr="006360B0">
        <w:rPr>
          <w:lang w:val="es-ES_tradnl"/>
        </w:rPr>
        <w:t>En los párrafos siguientes figuran los criterios de interferencia a corto plazo para los sistemas de radiolocalización terrenal del Cuadro 1.</w:t>
      </w:r>
    </w:p>
    <w:p w:rsidR="00506B19" w:rsidRPr="006360B0" w:rsidRDefault="00506B19" w:rsidP="00506B19">
      <w:pPr>
        <w:pStyle w:val="Heading2"/>
        <w:rPr>
          <w:lang w:val="es-ES_tradnl"/>
        </w:rPr>
      </w:pPr>
      <w:r w:rsidRPr="006360B0">
        <w:rPr>
          <w:lang w:val="es-ES_tradnl"/>
        </w:rPr>
        <w:t>3.1</w:t>
      </w:r>
      <w:r w:rsidRPr="006360B0">
        <w:rPr>
          <w:lang w:val="es-ES_tradnl"/>
        </w:rPr>
        <w:tab/>
        <w:t>Reproductor radiométrico de imágenes</w:t>
      </w:r>
    </w:p>
    <w:p w:rsidR="00506B19" w:rsidRPr="006360B0" w:rsidRDefault="00506B19" w:rsidP="00506B19">
      <w:pPr>
        <w:rPr>
          <w:lang w:val="es-ES_tradnl"/>
        </w:rPr>
      </w:pPr>
      <w:r w:rsidRPr="006360B0">
        <w:rPr>
          <w:lang w:val="es-ES_tradnl"/>
        </w:rPr>
        <w:t xml:space="preserve">Suponiendo despreciable la variación de la ganancia del sistema, la sensibilidad a la temperatura mínima </w:t>
      </w:r>
      <w:r w:rsidRPr="006360B0">
        <w:rPr>
          <w:lang w:val="es-ES_tradnl"/>
        </w:rPr>
        <w:sym w:font="Symbol" w:char="F044"/>
      </w:r>
      <w:r w:rsidRPr="006360B0">
        <w:rPr>
          <w:i/>
          <w:iCs/>
          <w:lang w:val="es-ES_tradnl"/>
        </w:rPr>
        <w:t>T</w:t>
      </w:r>
      <w:r w:rsidRPr="006360B0">
        <w:rPr>
          <w:lang w:val="es-ES_tradnl"/>
        </w:rPr>
        <w:t xml:space="preserve"> de un sistema radiométrico de formación de imágenes es:</w:t>
      </w:r>
    </w:p>
    <w:p w:rsidR="00506B19" w:rsidRPr="006360B0" w:rsidRDefault="00506B19" w:rsidP="00506B19">
      <w:pPr>
        <w:pStyle w:val="Equation"/>
        <w:rPr>
          <w:lang w:val="es-ES_tradnl"/>
        </w:rPr>
      </w:pPr>
      <w:r w:rsidRPr="006360B0">
        <w:rPr>
          <w:lang w:val="es-ES_tradnl"/>
        </w:rPr>
        <w:tab/>
      </w:r>
      <w:r w:rsidRPr="006360B0">
        <w:rPr>
          <w:lang w:val="es-ES_tradnl"/>
        </w:rPr>
        <w:tab/>
      </w:r>
      <w:r w:rsidRPr="006360B0">
        <w:rPr>
          <w:position w:val="-34"/>
          <w:lang w:val="es-ES_tradnl"/>
        </w:rPr>
        <w:object w:dxaOrig="13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5pt;height:36.3pt" o:ole="">
            <v:imagedata r:id="rId13" o:title=""/>
          </v:shape>
          <o:OLEObject Type="Embed" ProgID="Equation.3" ShapeID="_x0000_i1025" DrawAspect="Content" ObjectID="_1586849238" r:id="rId14"/>
        </w:object>
      </w:r>
      <w:r w:rsidRPr="006360B0">
        <w:rPr>
          <w:lang w:val="es-ES_tradnl"/>
        </w:rPr>
        <w:tab/>
        <w:t>(1)</w:t>
      </w:r>
    </w:p>
    <w:p w:rsidR="00506B19" w:rsidRPr="006360B0" w:rsidRDefault="00506B19" w:rsidP="00506B19">
      <w:pPr>
        <w:tabs>
          <w:tab w:val="clear" w:pos="1191"/>
          <w:tab w:val="left" w:pos="1134"/>
        </w:tabs>
        <w:rPr>
          <w:lang w:val="es-ES_tradnl"/>
        </w:rPr>
      </w:pPr>
      <w:proofErr w:type="gramStart"/>
      <w:r w:rsidRPr="006360B0">
        <w:rPr>
          <w:lang w:val="es-ES_tradnl"/>
        </w:rPr>
        <w:t>donde</w:t>
      </w:r>
      <w:proofErr w:type="gramEnd"/>
      <w:r w:rsidRPr="006360B0">
        <w:rPr>
          <w:lang w:val="es-ES_tradnl"/>
        </w:rPr>
        <w:t>:</w:t>
      </w:r>
    </w:p>
    <w:p w:rsidR="00506B19" w:rsidRPr="006360B0" w:rsidRDefault="00506B19" w:rsidP="009B459E">
      <w:pPr>
        <w:pStyle w:val="Equationlegend"/>
        <w:tabs>
          <w:tab w:val="left" w:pos="2552"/>
        </w:tabs>
        <w:rPr>
          <w:lang w:val="es-ES_tradnl"/>
        </w:rPr>
      </w:pPr>
      <w:r w:rsidRPr="006360B0">
        <w:rPr>
          <w:lang w:val="es-ES_tradnl"/>
        </w:rPr>
        <w:tab/>
      </w:r>
      <w:r w:rsidRPr="006360B0">
        <w:rPr>
          <w:i/>
          <w:iCs/>
          <w:lang w:val="es-ES_tradnl"/>
        </w:rPr>
        <w:t>T</w:t>
      </w:r>
      <w:r w:rsidRPr="006360B0">
        <w:rPr>
          <w:i/>
          <w:iCs/>
          <w:vertAlign w:val="subscript"/>
          <w:lang w:val="es-ES_tradnl"/>
        </w:rPr>
        <w:t>A</w:t>
      </w:r>
      <w:r w:rsidR="0064564B">
        <w:rPr>
          <w:lang w:val="es-ES_tradnl"/>
        </w:rPr>
        <w:t>:</w:t>
      </w:r>
      <w:r w:rsidR="0064564B">
        <w:rPr>
          <w:lang w:val="es-ES_tradnl"/>
        </w:rPr>
        <w:tab/>
      </w:r>
      <w:r w:rsidRPr="006360B0">
        <w:rPr>
          <w:lang w:val="es-ES_tradnl"/>
        </w:rPr>
        <w:t>temperatura de ruido de la antena</w:t>
      </w:r>
    </w:p>
    <w:p w:rsidR="00506B19" w:rsidRPr="006360B0" w:rsidRDefault="00506B19" w:rsidP="009B459E">
      <w:pPr>
        <w:pStyle w:val="Equationlegend"/>
        <w:tabs>
          <w:tab w:val="left" w:pos="2552"/>
        </w:tabs>
        <w:rPr>
          <w:lang w:val="es-ES_tradnl"/>
        </w:rPr>
      </w:pPr>
      <w:r w:rsidRPr="006360B0">
        <w:rPr>
          <w:lang w:val="es-ES_tradnl"/>
        </w:rPr>
        <w:tab/>
      </w:r>
      <w:r w:rsidRPr="006360B0">
        <w:rPr>
          <w:i/>
          <w:iCs/>
          <w:lang w:val="es-ES_tradnl"/>
        </w:rPr>
        <w:t>T</w:t>
      </w:r>
      <w:r w:rsidRPr="006360B0">
        <w:rPr>
          <w:i/>
          <w:iCs/>
          <w:vertAlign w:val="subscript"/>
          <w:lang w:val="es-ES_tradnl"/>
        </w:rPr>
        <w:t>r</w:t>
      </w:r>
      <w:r w:rsidR="0064564B">
        <w:rPr>
          <w:lang w:val="es-ES_tradnl"/>
        </w:rPr>
        <w:t>:</w:t>
      </w:r>
      <w:r w:rsidR="0064564B">
        <w:rPr>
          <w:lang w:val="es-ES_tradnl"/>
        </w:rPr>
        <w:tab/>
      </w:r>
      <w:r w:rsidRPr="006360B0">
        <w:rPr>
          <w:lang w:val="es-ES_tradnl"/>
        </w:rPr>
        <w:t>temperatura de ruido del receptor</w:t>
      </w:r>
    </w:p>
    <w:p w:rsidR="00506B19" w:rsidRPr="006360B0" w:rsidRDefault="00506B19" w:rsidP="009B459E">
      <w:pPr>
        <w:pStyle w:val="Equationlegend"/>
        <w:tabs>
          <w:tab w:val="left" w:pos="2552"/>
        </w:tabs>
        <w:rPr>
          <w:lang w:val="es-ES_tradnl"/>
        </w:rPr>
      </w:pPr>
      <w:r w:rsidRPr="006360B0">
        <w:rPr>
          <w:i/>
          <w:lang w:val="es-ES_tradnl"/>
        </w:rPr>
        <w:tab/>
        <w:t>B</w:t>
      </w:r>
      <w:r w:rsidRPr="006360B0">
        <w:rPr>
          <w:iCs/>
          <w:lang w:val="es-ES_tradnl"/>
        </w:rPr>
        <w:t>:</w:t>
      </w:r>
      <w:r w:rsidR="0064564B">
        <w:rPr>
          <w:iCs/>
          <w:lang w:val="es-ES_tradnl"/>
        </w:rPr>
        <w:tab/>
      </w:r>
      <w:r w:rsidRPr="006360B0">
        <w:rPr>
          <w:lang w:val="es-ES_tradnl"/>
        </w:rPr>
        <w:t>anchura de banda de RF</w:t>
      </w:r>
    </w:p>
    <w:p w:rsidR="00506B19" w:rsidRPr="006360B0" w:rsidRDefault="00506B19" w:rsidP="009B459E">
      <w:pPr>
        <w:pStyle w:val="Equationlegend"/>
        <w:tabs>
          <w:tab w:val="left" w:pos="2552"/>
        </w:tabs>
        <w:rPr>
          <w:b/>
          <w:lang w:val="es-ES_tradnl"/>
        </w:rPr>
      </w:pPr>
      <w:r w:rsidRPr="006360B0">
        <w:rPr>
          <w:lang w:val="es-ES_tradnl"/>
        </w:rPr>
        <w:tab/>
      </w:r>
      <w:proofErr w:type="gramStart"/>
      <w:r w:rsidRPr="006360B0">
        <w:rPr>
          <w:i/>
          <w:iCs/>
          <w:lang w:val="es-ES_tradnl"/>
        </w:rPr>
        <w:t>t</w:t>
      </w:r>
      <w:r w:rsidRPr="006360B0">
        <w:rPr>
          <w:i/>
          <w:iCs/>
          <w:vertAlign w:val="subscript"/>
          <w:lang w:val="es-ES_tradnl"/>
        </w:rPr>
        <w:t>i</w:t>
      </w:r>
      <w:proofErr w:type="gramEnd"/>
      <w:r w:rsidR="0064564B">
        <w:rPr>
          <w:lang w:val="es-ES_tradnl"/>
        </w:rPr>
        <w:t>:</w:t>
      </w:r>
      <w:r w:rsidR="0064564B">
        <w:rPr>
          <w:lang w:val="es-ES_tradnl"/>
        </w:rPr>
        <w:tab/>
      </w:r>
      <w:r w:rsidRPr="006360B0">
        <w:rPr>
          <w:lang w:val="es-ES_tradnl"/>
        </w:rPr>
        <w:t>tiempo de integración.</w:t>
      </w:r>
    </w:p>
    <w:p w:rsidR="00506B19" w:rsidRPr="006360B0" w:rsidRDefault="00506B19" w:rsidP="00506B19">
      <w:pPr>
        <w:rPr>
          <w:lang w:val="es-ES_tradnl"/>
        </w:rPr>
      </w:pPr>
      <w:r w:rsidRPr="006360B0">
        <w:rPr>
          <w:lang w:val="es-ES_tradnl"/>
        </w:rPr>
        <w:t xml:space="preserve">El umbral del radiómetro </w:t>
      </w:r>
      <w:r w:rsidRPr="006360B0">
        <w:rPr>
          <w:position w:val="-4"/>
          <w:lang w:val="es-ES_tradnl"/>
        </w:rPr>
        <w:object w:dxaOrig="380" w:dyaOrig="260">
          <v:shape id="_x0000_i1026" type="#_x0000_t75" style="width:19.4pt;height:13.15pt" o:ole="">
            <v:imagedata r:id="rId15" o:title=""/>
          </v:shape>
          <o:OLEObject Type="Embed" ProgID="Equation.3" ShapeID="_x0000_i1026" DrawAspect="Content" ObjectID="_1586849239" r:id="rId16"/>
        </w:object>
      </w:r>
      <w:r w:rsidRPr="006360B0">
        <w:rPr>
          <w:lang w:val="es-ES_tradnl"/>
        </w:rPr>
        <w:t xml:space="preserve"> viene dado por:</w:t>
      </w:r>
    </w:p>
    <w:p w:rsidR="00506B19" w:rsidRPr="006360B0" w:rsidRDefault="00506B19" w:rsidP="00506B19">
      <w:pPr>
        <w:pStyle w:val="Equation"/>
        <w:rPr>
          <w:lang w:val="es-ES_tradnl"/>
        </w:rPr>
      </w:pPr>
      <w:r w:rsidRPr="006360B0">
        <w:rPr>
          <w:lang w:val="es-ES_tradnl"/>
        </w:rPr>
        <w:tab/>
      </w:r>
      <w:r w:rsidRPr="006360B0">
        <w:rPr>
          <w:lang w:val="es-ES_tradnl"/>
        </w:rPr>
        <w:tab/>
      </w:r>
      <w:r w:rsidRPr="006360B0">
        <w:rPr>
          <w:position w:val="-4"/>
          <w:lang w:val="es-ES_tradnl"/>
        </w:rPr>
        <w:object w:dxaOrig="380" w:dyaOrig="260">
          <v:shape id="_x0000_i1027" type="#_x0000_t75" style="width:19.4pt;height:13.15pt" o:ole="">
            <v:imagedata r:id="rId17" o:title=""/>
          </v:shape>
          <o:OLEObject Type="Embed" ProgID="Equation.3" ShapeID="_x0000_i1027" DrawAspect="Content" ObjectID="_1586849240" r:id="rId18"/>
        </w:object>
      </w:r>
      <w:r w:rsidRPr="006360B0">
        <w:rPr>
          <w:i/>
          <w:lang w:val="es-ES_tradnl"/>
        </w:rPr>
        <w:t xml:space="preserve"> = k </w:t>
      </w:r>
      <w:r w:rsidRPr="006360B0">
        <w:rPr>
          <w:i/>
          <w:position w:val="-4"/>
          <w:lang w:val="es-ES_tradnl"/>
        </w:rPr>
        <w:object w:dxaOrig="220" w:dyaOrig="260">
          <v:shape id="_x0000_i1028" type="#_x0000_t75" style="width:11.25pt;height:13.15pt" o:ole="">
            <v:imagedata r:id="rId19" o:title=""/>
          </v:shape>
          <o:OLEObject Type="Embed" ProgID="Equation.3" ShapeID="_x0000_i1028" DrawAspect="Content" ObjectID="_1586849241" r:id="rId20"/>
        </w:object>
      </w:r>
      <w:r w:rsidRPr="006360B0">
        <w:rPr>
          <w:i/>
          <w:iCs/>
          <w:lang w:val="es-ES_tradnl"/>
        </w:rPr>
        <w:t>T B</w:t>
      </w:r>
      <w:r w:rsidRPr="006360B0">
        <w:rPr>
          <w:lang w:val="es-ES_tradnl"/>
        </w:rPr>
        <w:tab/>
        <w:t>(2)</w:t>
      </w:r>
    </w:p>
    <w:p w:rsidR="00506B19" w:rsidRPr="006360B0" w:rsidRDefault="00506B19" w:rsidP="00506B19">
      <w:pPr>
        <w:rPr>
          <w:lang w:val="es-ES_tradnl"/>
        </w:rPr>
      </w:pPr>
      <w:proofErr w:type="gramStart"/>
      <w:r w:rsidRPr="006360B0">
        <w:rPr>
          <w:lang w:val="es-ES_tradnl"/>
        </w:rPr>
        <w:t>donde</w:t>
      </w:r>
      <w:proofErr w:type="gramEnd"/>
      <w:r w:rsidRPr="006360B0">
        <w:rPr>
          <w:lang w:val="es-ES_tradnl"/>
        </w:rPr>
        <w:t> </w:t>
      </w:r>
      <w:r w:rsidRPr="006360B0">
        <w:rPr>
          <w:i/>
          <w:iCs/>
          <w:lang w:val="es-ES_tradnl"/>
        </w:rPr>
        <w:t>k</w:t>
      </w:r>
      <w:r w:rsidRPr="006360B0">
        <w:rPr>
          <w:lang w:val="es-ES_tradnl"/>
        </w:rPr>
        <w:t xml:space="preserve"> es la constante de Boltzman = 1,38 </w:t>
      </w:r>
      <w:r w:rsidRPr="006360B0">
        <w:rPr>
          <w:lang w:val="es-ES_tradnl"/>
        </w:rPr>
        <w:sym w:font="Symbol" w:char="F0B4"/>
      </w:r>
      <w:r w:rsidRPr="006360B0">
        <w:rPr>
          <w:lang w:val="es-ES_tradnl"/>
        </w:rPr>
        <w:t xml:space="preserve"> 10</w:t>
      </w:r>
      <w:r w:rsidRPr="006360B0">
        <w:rPr>
          <w:vertAlign w:val="superscript"/>
          <w:lang w:val="es-ES_tradnl"/>
        </w:rPr>
        <w:sym w:font="Symbol" w:char="F02D"/>
      </w:r>
      <w:r w:rsidRPr="006360B0">
        <w:rPr>
          <w:vertAlign w:val="superscript"/>
          <w:lang w:val="es-ES_tradnl"/>
        </w:rPr>
        <w:t>23</w:t>
      </w:r>
      <w:r w:rsidRPr="006360B0">
        <w:rPr>
          <w:lang w:val="es-ES_tradnl"/>
        </w:rPr>
        <w:t xml:space="preserve">, y </w:t>
      </w:r>
      <w:r w:rsidRPr="006360B0">
        <w:rPr>
          <w:lang w:val="es-ES_tradnl"/>
        </w:rPr>
        <w:sym w:font="Symbol" w:char="F044"/>
      </w:r>
      <w:r w:rsidRPr="006360B0">
        <w:rPr>
          <w:i/>
          <w:iCs/>
          <w:lang w:val="es-ES_tradnl"/>
        </w:rPr>
        <w:t>T</w:t>
      </w:r>
      <w:r w:rsidRPr="006360B0">
        <w:rPr>
          <w:lang w:val="es-ES_tradnl"/>
        </w:rPr>
        <w:t xml:space="preserve"> y </w:t>
      </w:r>
      <w:r w:rsidRPr="006360B0">
        <w:rPr>
          <w:i/>
          <w:iCs/>
          <w:lang w:val="es-ES_tradnl"/>
        </w:rPr>
        <w:t>B</w:t>
      </w:r>
      <w:r w:rsidRPr="006360B0">
        <w:rPr>
          <w:lang w:val="es-ES_tradnl"/>
        </w:rPr>
        <w:t xml:space="preserve"> son los valores indicados supra. Si se utilizan las ecuaciones (1) y (2), se comprueba que un radiómetro con una anchura de banda de 2 GHz, una temperatura de ruido del sistema de 850 K y un tiempo de integración de 1 ms, tiene un </w:t>
      </w:r>
      <w:r w:rsidRPr="006360B0">
        <w:rPr>
          <w:lang w:val="es-ES_tradnl"/>
        </w:rPr>
        <w:br/>
      </w:r>
      <w:r w:rsidRPr="006360B0">
        <w:rPr>
          <w:lang w:val="es-ES_tradnl"/>
        </w:rPr>
        <w:sym w:font="Symbol" w:char="F044"/>
      </w:r>
      <w:r w:rsidRPr="006360B0">
        <w:rPr>
          <w:i/>
          <w:iCs/>
          <w:lang w:val="es-ES_tradnl"/>
        </w:rPr>
        <w:t>P</w:t>
      </w:r>
      <w:r w:rsidRPr="006360B0">
        <w:rPr>
          <w:lang w:val="es-ES_tradnl"/>
        </w:rPr>
        <w:t xml:space="preserve"> = –137,8 </w:t>
      </w:r>
      <w:proofErr w:type="gramStart"/>
      <w:r w:rsidRPr="006360B0">
        <w:rPr>
          <w:lang w:val="es-ES_tradnl"/>
        </w:rPr>
        <w:t>dB(</w:t>
      </w:r>
      <w:proofErr w:type="gramEnd"/>
      <w:r w:rsidRPr="006360B0">
        <w:rPr>
          <w:lang w:val="es-ES_tradnl"/>
        </w:rPr>
        <w:t>W/2 GHz).</w:t>
      </w:r>
    </w:p>
    <w:p w:rsidR="00506B19" w:rsidRPr="006360B0" w:rsidRDefault="00506B19" w:rsidP="00506B19">
      <w:pPr>
        <w:pStyle w:val="Headingi"/>
        <w:rPr>
          <w:u w:val="single"/>
          <w:lang w:val="es-ES_tradnl"/>
        </w:rPr>
      </w:pPr>
      <w:r w:rsidRPr="006360B0">
        <w:rPr>
          <w:lang w:val="es-ES_tradnl"/>
        </w:rPr>
        <w:t>Criterio de protección a corto plazo</w:t>
      </w:r>
    </w:p>
    <w:p w:rsidR="00506B19" w:rsidRPr="006360B0" w:rsidRDefault="00506B19" w:rsidP="00506B19">
      <w:pPr>
        <w:rPr>
          <w:lang w:val="es-ES_tradnl"/>
        </w:rPr>
      </w:pPr>
      <w:r w:rsidRPr="006360B0">
        <w:rPr>
          <w:lang w:val="es-ES_tradnl"/>
        </w:rPr>
        <w:t>Dado que es poco probable que se produzca, un operador puede aceptar que la imagen se degrade mucho durante varios segundos. Si se permite que el nivel de la señal no deseada se aproxime al umbral del radiómetro el nivel de la señal no deseada admisible llega a –137,8 </w:t>
      </w:r>
      <w:proofErr w:type="gramStart"/>
      <w:r w:rsidRPr="006360B0">
        <w:rPr>
          <w:lang w:val="es-ES_tradnl"/>
        </w:rPr>
        <w:t>dB(</w:t>
      </w:r>
      <w:proofErr w:type="gramEnd"/>
      <w:r w:rsidRPr="006360B0">
        <w:rPr>
          <w:lang w:val="es-ES_tradnl"/>
        </w:rPr>
        <w:t>W/2 GHz) durante no más de 3 s.</w:t>
      </w:r>
    </w:p>
    <w:p w:rsidR="00506B19" w:rsidRPr="006360B0" w:rsidRDefault="00506B19" w:rsidP="00506B19">
      <w:pPr>
        <w:pStyle w:val="Headingi"/>
        <w:rPr>
          <w:lang w:val="es-ES_tradnl"/>
        </w:rPr>
      </w:pPr>
      <w:r w:rsidRPr="006360B0">
        <w:rPr>
          <w:lang w:val="es-ES_tradnl"/>
        </w:rPr>
        <w:t>Criterio de protección a largo plazo</w:t>
      </w:r>
    </w:p>
    <w:p w:rsidR="00506B19" w:rsidRPr="006360B0" w:rsidRDefault="00506B19" w:rsidP="00506B19">
      <w:pPr>
        <w:rPr>
          <w:lang w:val="es-ES_tradnl"/>
        </w:rPr>
      </w:pPr>
      <w:r w:rsidRPr="006360B0">
        <w:rPr>
          <w:lang w:val="es-ES_tradnl"/>
        </w:rPr>
        <w:t xml:space="preserve">Se puede considerar aceptable una degradación menor durante periodos de tiempo de hasta 1 min. En este caso, la degradación no necesariamente es evidente para un operador, pero causa una cierta pérdida de resolución de la imagen. Si se permite que una señal no deseada alcance el 20% del umbral del radiómetro, el nivel de interferencia admisible llega </w:t>
      </w:r>
      <w:r w:rsidRPr="006360B0">
        <w:rPr>
          <w:lang w:val="es-ES_tradnl"/>
        </w:rPr>
        <w:br/>
        <w:t>a –144,8 </w:t>
      </w:r>
      <w:proofErr w:type="gramStart"/>
      <w:r w:rsidRPr="006360B0">
        <w:rPr>
          <w:lang w:val="es-ES_tradnl"/>
        </w:rPr>
        <w:t>dB(</w:t>
      </w:r>
      <w:proofErr w:type="gramEnd"/>
      <w:r w:rsidRPr="006360B0">
        <w:rPr>
          <w:lang w:val="es-ES_tradnl"/>
        </w:rPr>
        <w:t>W/2 GHz) durante no más de 60 s.</w:t>
      </w:r>
    </w:p>
    <w:p w:rsidR="00506B19" w:rsidRPr="006360B0" w:rsidRDefault="00506B19" w:rsidP="00506B19">
      <w:pPr>
        <w:pStyle w:val="Heading2"/>
        <w:rPr>
          <w:lang w:val="es-ES_tradnl"/>
        </w:rPr>
      </w:pPr>
      <w:r w:rsidRPr="006360B0">
        <w:rPr>
          <w:lang w:val="es-ES_tradnl"/>
        </w:rPr>
        <w:t>3.2</w:t>
      </w:r>
      <w:r w:rsidRPr="006360B0">
        <w:rPr>
          <w:lang w:val="es-ES_tradnl"/>
        </w:rPr>
        <w:tab/>
        <w:t>Buscadores y radares métricos</w:t>
      </w:r>
    </w:p>
    <w:p w:rsidR="00506B19" w:rsidRPr="006360B0" w:rsidRDefault="00506B19" w:rsidP="00506B19">
      <w:pPr>
        <w:rPr>
          <w:lang w:val="es-ES_tradnl"/>
        </w:rPr>
      </w:pPr>
      <w:r w:rsidRPr="006360B0">
        <w:rPr>
          <w:lang w:val="es-ES_tradnl"/>
        </w:rPr>
        <w:t xml:space="preserve">En el caso de buscadores y radares métricos terrenales (instrumentación), cabe observar que dos importantes parámetros de calidad de funcionamiento, la precisión angular </w:t>
      </w:r>
      <w:r w:rsidRPr="006360B0">
        <w:rPr>
          <w:lang w:val="es-ES_tradnl"/>
        </w:rPr>
        <w:sym w:font="Symbol" w:char="F073"/>
      </w:r>
      <w:r w:rsidRPr="006360B0">
        <w:rPr>
          <w:vertAlign w:val="subscript"/>
          <w:lang w:val="es-ES_tradnl"/>
        </w:rPr>
        <w:sym w:font="Symbol" w:char="F071"/>
      </w:r>
      <w:r w:rsidRPr="006360B0">
        <w:rPr>
          <w:vertAlign w:val="subscript"/>
          <w:lang w:val="es-ES_tradnl"/>
        </w:rPr>
        <w:t xml:space="preserve"> </w:t>
      </w:r>
      <w:r w:rsidRPr="006360B0">
        <w:rPr>
          <w:lang w:val="es-ES_tradnl"/>
        </w:rPr>
        <w:t>y el alcance de detección del blanco </w:t>
      </w:r>
      <w:r w:rsidRPr="006360B0">
        <w:rPr>
          <w:i/>
          <w:iCs/>
          <w:lang w:val="es-ES_tradnl"/>
        </w:rPr>
        <w:t>R</w:t>
      </w:r>
      <w:r w:rsidRPr="006360B0">
        <w:rPr>
          <w:lang w:val="es-ES_tradnl"/>
        </w:rPr>
        <w:t xml:space="preserve">, están relacionados con la relación </w:t>
      </w:r>
      <w:r w:rsidRPr="006360B0">
        <w:rPr>
          <w:i/>
          <w:iCs/>
          <w:lang w:val="es-ES_tradnl"/>
        </w:rPr>
        <w:t>S</w:t>
      </w:r>
      <w:r w:rsidRPr="006360B0">
        <w:rPr>
          <w:lang w:val="es-ES_tradnl"/>
        </w:rPr>
        <w:t>/</w:t>
      </w:r>
      <w:r w:rsidRPr="006360B0">
        <w:rPr>
          <w:i/>
          <w:iCs/>
          <w:lang w:val="es-ES_tradnl"/>
        </w:rPr>
        <w:t>N</w:t>
      </w:r>
      <w:r w:rsidRPr="006360B0">
        <w:rPr>
          <w:lang w:val="es-ES_tradnl"/>
        </w:rPr>
        <w:t xml:space="preserve"> recibida por:</w:t>
      </w:r>
    </w:p>
    <w:p w:rsidR="00506B19" w:rsidRPr="006360B0" w:rsidRDefault="00506B19" w:rsidP="00506B19">
      <w:pPr>
        <w:pStyle w:val="Equation"/>
        <w:rPr>
          <w:lang w:val="es-ES_tradnl"/>
        </w:rPr>
      </w:pPr>
      <w:r w:rsidRPr="006360B0">
        <w:rPr>
          <w:lang w:val="es-ES_tradnl"/>
        </w:rPr>
        <w:tab/>
      </w:r>
      <w:r w:rsidRPr="006360B0">
        <w:rPr>
          <w:lang w:val="es-ES_tradnl"/>
        </w:rPr>
        <w:tab/>
      </w:r>
      <w:r w:rsidRPr="006360B0">
        <w:rPr>
          <w:position w:val="-28"/>
          <w:lang w:val="es-ES_tradnl"/>
        </w:rPr>
        <w:object w:dxaOrig="1300" w:dyaOrig="660">
          <v:shape id="_x0000_i1029" type="#_x0000_t75" style="width:65.1pt;height:33.2pt" o:ole="">
            <v:imagedata r:id="rId21" o:title=""/>
          </v:shape>
          <o:OLEObject Type="Embed" ProgID="Equation.3" ShapeID="_x0000_i1029" DrawAspect="Content" ObjectID="_1586849242" r:id="rId22"/>
        </w:object>
      </w:r>
      <w:r w:rsidRPr="006360B0">
        <w:rPr>
          <w:lang w:val="es-ES_tradnl"/>
        </w:rPr>
        <w:tab/>
        <w:t>(3)</w:t>
      </w:r>
    </w:p>
    <w:p w:rsidR="00506B19" w:rsidRPr="006360B0" w:rsidRDefault="00506B19" w:rsidP="00506B19">
      <w:pPr>
        <w:pStyle w:val="Equation"/>
        <w:rPr>
          <w:lang w:val="es-ES_tradnl"/>
        </w:rPr>
      </w:pPr>
      <w:r w:rsidRPr="006360B0">
        <w:rPr>
          <w:i/>
          <w:lang w:val="es-ES_tradnl"/>
        </w:rPr>
        <w:tab/>
      </w:r>
      <w:r w:rsidRPr="006360B0">
        <w:rPr>
          <w:i/>
          <w:lang w:val="es-ES_tradnl"/>
        </w:rPr>
        <w:tab/>
        <w:t>R</w:t>
      </w:r>
      <w:r w:rsidRPr="006360B0">
        <w:rPr>
          <w:lang w:val="es-ES_tradnl"/>
        </w:rPr>
        <w:t xml:space="preserve"> </w:t>
      </w:r>
      <w:r w:rsidRPr="006360B0">
        <w:rPr>
          <w:position w:val="-6"/>
          <w:lang w:val="es-ES_tradnl"/>
        </w:rPr>
        <w:object w:dxaOrig="220" w:dyaOrig="220">
          <v:shape id="_x0000_i1030" type="#_x0000_t75" style="width:11.25pt;height:11.25pt" o:ole="">
            <v:imagedata r:id="rId23" o:title=""/>
          </v:shape>
          <o:OLEObject Type="Embed" ProgID="Equation.3" ShapeID="_x0000_i1030" DrawAspect="Content" ObjectID="_1586849243" r:id="rId24"/>
        </w:object>
      </w:r>
      <w:r w:rsidRPr="006360B0">
        <w:rPr>
          <w:lang w:val="es-ES_tradnl"/>
        </w:rPr>
        <w:t xml:space="preserve"> </w:t>
      </w:r>
      <w:r w:rsidRPr="006360B0">
        <w:rPr>
          <w:position w:val="-28"/>
          <w:lang w:val="es-ES_tradnl"/>
        </w:rPr>
        <w:object w:dxaOrig="780" w:dyaOrig="660">
          <v:shape id="_x0000_i1031" type="#_x0000_t75" style="width:38.8pt;height:33.2pt" o:ole="">
            <v:imagedata r:id="rId25" o:title=""/>
          </v:shape>
          <o:OLEObject Type="Embed" ProgID="Equation.3" ShapeID="_x0000_i1031" DrawAspect="Content" ObjectID="_1586849244" r:id="rId26"/>
        </w:object>
      </w:r>
      <w:r w:rsidRPr="006360B0">
        <w:rPr>
          <w:lang w:val="es-ES_tradnl"/>
        </w:rPr>
        <w:tab/>
        <w:t>(4)</w:t>
      </w:r>
    </w:p>
    <w:p w:rsidR="00506B19" w:rsidRPr="006360B0" w:rsidRDefault="00506B19" w:rsidP="00506B19">
      <w:pPr>
        <w:rPr>
          <w:lang w:val="es-ES_tradnl"/>
        </w:rPr>
      </w:pPr>
      <w:r w:rsidRPr="006360B0">
        <w:rPr>
          <w:lang w:val="es-ES_tradnl"/>
        </w:rPr>
        <w:lastRenderedPageBreak/>
        <w:t xml:space="preserve">Es posible tener una abertura de haz de antena estrecha y una elevada precisión angular con antenas bastante pequeñas en longitud de ondas milimétricas. En efecto, esta característica es una de las principales razones por las que los radares de instrumentación y los buscadores de misiles se han diseñado para esas frecuencias. De las ecuaciones (3) y (4) cabe deducir que la precisión angular del radar es más sensible a la relación </w:t>
      </w:r>
      <w:r w:rsidRPr="006360B0">
        <w:rPr>
          <w:i/>
          <w:iCs/>
          <w:lang w:val="es-ES_tradnl"/>
        </w:rPr>
        <w:t>S</w:t>
      </w:r>
      <w:r w:rsidRPr="006360B0">
        <w:rPr>
          <w:lang w:val="es-ES_tradnl"/>
        </w:rPr>
        <w:t>/</w:t>
      </w:r>
      <w:r w:rsidRPr="006360B0">
        <w:rPr>
          <w:i/>
          <w:iCs/>
          <w:lang w:val="es-ES_tradnl"/>
        </w:rPr>
        <w:t>N</w:t>
      </w:r>
      <w:r w:rsidRPr="006360B0">
        <w:rPr>
          <w:lang w:val="es-ES_tradnl"/>
        </w:rPr>
        <w:t xml:space="preserve"> recibida que el alcance de detección, por lo que se utilizará este parámetro de calidad al determinar los niveles de interferencia admisibles</w:t>
      </w:r>
      <w:r w:rsidRPr="006360B0">
        <w:rPr>
          <w:rStyle w:val="FootnoteReference"/>
          <w:lang w:val="es-ES_tradnl"/>
        </w:rPr>
        <w:footnoteReference w:customMarkFollows="1" w:id="1"/>
        <w:t>1</w:t>
      </w:r>
      <w:r w:rsidRPr="006360B0">
        <w:rPr>
          <w:lang w:val="es-ES_tradnl"/>
        </w:rPr>
        <w:t>.</w:t>
      </w:r>
    </w:p>
    <w:p w:rsidR="00506B19" w:rsidRPr="006360B0" w:rsidRDefault="00506B19" w:rsidP="00506B19">
      <w:pPr>
        <w:rPr>
          <w:lang w:val="es-ES_tradnl"/>
        </w:rPr>
      </w:pPr>
      <w:r w:rsidRPr="006360B0">
        <w:rPr>
          <w:lang w:val="es-ES_tradnl"/>
        </w:rPr>
        <w:t>Como en el caso del sistema de formación de imágenes del punto anterior, es posible establecer criterios a corto y largo plazo para la degradación admisible de la calidad del sistema causada por señales no deseadas (interferencia).</w:t>
      </w:r>
    </w:p>
    <w:p w:rsidR="00506B19" w:rsidRPr="006360B0" w:rsidRDefault="00506B19" w:rsidP="00506B19">
      <w:pPr>
        <w:rPr>
          <w:lang w:val="es-ES_tradnl"/>
        </w:rPr>
      </w:pPr>
      <w:r w:rsidRPr="006360B0">
        <w:rPr>
          <w:lang w:val="es-ES_tradnl"/>
        </w:rPr>
        <w:t>Dado que se trata de un fenómeno poco probable se admitirá una interferencia a corto plazo que degrade de manera importante al sistema durante un periodo de tiempo suficientemente corto como para que pueda ser aceptable para el operador. Se admitirá una interferencia a largo plazo que degrade de manera incremental la calidad del sistema hasta un nivel que no sea inmediatamente aparente para el operador, pero que no obstante sea aceptable durante un periodo de tiempo especificado.</w:t>
      </w:r>
    </w:p>
    <w:p w:rsidR="00506B19" w:rsidRPr="006360B0" w:rsidRDefault="00506B19" w:rsidP="00506B19">
      <w:pPr>
        <w:pStyle w:val="Headingi"/>
        <w:rPr>
          <w:lang w:val="es-ES_tradnl"/>
        </w:rPr>
      </w:pPr>
      <w:r w:rsidRPr="006360B0">
        <w:rPr>
          <w:lang w:val="es-ES_tradnl"/>
        </w:rPr>
        <w:t>Criterio de protección a corto plazo</w:t>
      </w:r>
    </w:p>
    <w:p w:rsidR="00506B19" w:rsidRPr="006360B0" w:rsidRDefault="00506B19" w:rsidP="00506B19">
      <w:pPr>
        <w:rPr>
          <w:lang w:val="es-ES_tradnl"/>
        </w:rPr>
      </w:pPr>
      <w:r w:rsidRPr="006360B0">
        <w:rPr>
          <w:lang w:val="es-ES_tradnl"/>
        </w:rPr>
        <w:t xml:space="preserve">Una degradación de la relación </w:t>
      </w:r>
      <w:r w:rsidRPr="006360B0">
        <w:rPr>
          <w:i/>
          <w:iCs/>
          <w:lang w:val="es-ES_tradnl"/>
        </w:rPr>
        <w:t>S</w:t>
      </w:r>
      <w:r w:rsidRPr="006360B0">
        <w:rPr>
          <w:lang w:val="es-ES_tradnl"/>
        </w:rPr>
        <w:t>/</w:t>
      </w:r>
      <w:r w:rsidRPr="006360B0">
        <w:rPr>
          <w:i/>
          <w:iCs/>
          <w:lang w:val="es-ES_tradnl"/>
        </w:rPr>
        <w:t>N</w:t>
      </w:r>
      <w:r w:rsidRPr="006360B0">
        <w:rPr>
          <w:lang w:val="es-ES_tradnl"/>
        </w:rPr>
        <w:t xml:space="preserve"> del radar puede causar un error de seguimiento que puede anular parcialmente la ventaja de funcionar a frecuencias elevadas, y afectar significativamente a la misión del radar. Si se permite que una señal no deseada alcance el nivel de ruido del radar (</w:t>
      </w:r>
      <w:r w:rsidRPr="006360B0">
        <w:rPr>
          <w:i/>
          <w:iCs/>
          <w:lang w:val="es-ES_tradnl"/>
        </w:rPr>
        <w:t>I</w:t>
      </w:r>
      <w:r w:rsidRPr="006360B0">
        <w:rPr>
          <w:lang w:val="es-ES_tradnl"/>
        </w:rPr>
        <w:t>/</w:t>
      </w:r>
      <w:r w:rsidRPr="006360B0">
        <w:rPr>
          <w:i/>
          <w:iCs/>
          <w:lang w:val="es-ES_tradnl"/>
        </w:rPr>
        <w:t>N</w:t>
      </w:r>
      <w:r w:rsidRPr="006360B0">
        <w:rPr>
          <w:lang w:val="es-ES_tradnl"/>
        </w:rPr>
        <w:t xml:space="preserve"> = 0 dB) se producirá un aumento del 40% del error angular. Puede suponerse nuevamente que esta degradación no es muy importante, dado que es un fenómeno poco probable, si se produce durante periodos de tiempo inferiores a unos 5 s. Por tanto, el nivel admisible de la señal no deseada puede llegar a –126,2 </w:t>
      </w:r>
      <w:proofErr w:type="gramStart"/>
      <w:r w:rsidRPr="006360B0">
        <w:rPr>
          <w:lang w:val="es-ES_tradnl"/>
        </w:rPr>
        <w:t>dB(</w:t>
      </w:r>
      <w:proofErr w:type="gramEnd"/>
      <w:r w:rsidRPr="006360B0">
        <w:rPr>
          <w:lang w:val="es-ES_tradnl"/>
        </w:rPr>
        <w:t>W/6 MHz) durante no más de 5 s (si se utiliza el radar que figura en el Cuadro 1, cuya anchura de banda es la más estrecha).</w:t>
      </w:r>
    </w:p>
    <w:p w:rsidR="00506B19" w:rsidRPr="006360B0" w:rsidRDefault="00506B19" w:rsidP="00506B19">
      <w:pPr>
        <w:pStyle w:val="Headingi"/>
        <w:rPr>
          <w:lang w:val="es-ES_tradnl"/>
        </w:rPr>
      </w:pPr>
      <w:r w:rsidRPr="006360B0">
        <w:rPr>
          <w:lang w:val="es-ES_tradnl"/>
        </w:rPr>
        <w:t>Criterio de protección a largo plazo</w:t>
      </w:r>
    </w:p>
    <w:p w:rsidR="00506B19" w:rsidRPr="006360B0" w:rsidRDefault="00506B19" w:rsidP="00506B19">
      <w:pPr>
        <w:rPr>
          <w:lang w:val="es-ES_tradnl"/>
        </w:rPr>
      </w:pPr>
      <w:r w:rsidRPr="006360B0">
        <w:rPr>
          <w:lang w:val="es-ES_tradnl"/>
        </w:rPr>
        <w:t>Parecería razonable que el error del radar sea más importante a medida que aumenta el periodo de tiempo. Para periodos de hasta 1 min de duración, deberá suponerse que un aumento del error angular, debido a un</w:t>
      </w:r>
      <w:bookmarkStart w:id="3" w:name="_GoBack"/>
      <w:bookmarkEnd w:id="3"/>
      <w:r w:rsidRPr="006360B0">
        <w:rPr>
          <w:lang w:val="es-ES_tradnl"/>
        </w:rPr>
        <w:t xml:space="preserve">a señal no deseada no deberá ser superior al 5%. Por tanto, el criterio a largo plazo es el de admitir un nivel de señal no deseada de –136,1 </w:t>
      </w:r>
      <w:proofErr w:type="gramStart"/>
      <w:r w:rsidRPr="006360B0">
        <w:rPr>
          <w:lang w:val="es-ES_tradnl"/>
        </w:rPr>
        <w:t>dB(</w:t>
      </w:r>
      <w:proofErr w:type="gramEnd"/>
      <w:r w:rsidRPr="006360B0">
        <w:rPr>
          <w:lang w:val="es-ES_tradnl"/>
        </w:rPr>
        <w:t>W/6 MHz) durante no más de 60 s.</w:t>
      </w:r>
    </w:p>
    <w:p w:rsidR="00506B19" w:rsidRPr="006360B0" w:rsidRDefault="00506B19" w:rsidP="00506B19">
      <w:pPr>
        <w:pStyle w:val="Heading2"/>
        <w:rPr>
          <w:lang w:val="es-ES_tradnl"/>
        </w:rPr>
      </w:pPr>
      <w:r w:rsidRPr="006360B0">
        <w:rPr>
          <w:lang w:val="es-ES_tradnl"/>
        </w:rPr>
        <w:t>3.3</w:t>
      </w:r>
      <w:r w:rsidRPr="006360B0">
        <w:rPr>
          <w:lang w:val="es-ES_tradnl"/>
        </w:rPr>
        <w:tab/>
        <w:t>Radares de búsqueda y seguimiento</w:t>
      </w:r>
    </w:p>
    <w:p w:rsidR="00506B19" w:rsidRPr="006360B0" w:rsidRDefault="00506B19" w:rsidP="00506B19">
      <w:pPr>
        <w:rPr>
          <w:szCs w:val="24"/>
          <w:lang w:val="es-ES_tradnl" w:eastAsia="en-GB"/>
        </w:rPr>
      </w:pPr>
      <w:r w:rsidRPr="006360B0">
        <w:rPr>
          <w:lang w:val="es-ES_tradnl"/>
        </w:rPr>
        <w:t xml:space="preserve">Para los radares de búsqueda y seguimiento, el criterio de protección de una potencia de señal interferente para el nivel de potencia de ruido de receptor de radar, </w:t>
      </w:r>
      <w:r w:rsidRPr="006360B0">
        <w:rPr>
          <w:i/>
          <w:lang w:val="es-ES_tradnl"/>
        </w:rPr>
        <w:t>I</w:t>
      </w:r>
      <w:r w:rsidRPr="006360B0">
        <w:rPr>
          <w:lang w:val="es-ES_tradnl"/>
        </w:rPr>
        <w:t>/</w:t>
      </w:r>
      <w:r w:rsidRPr="006360B0">
        <w:rPr>
          <w:i/>
          <w:lang w:val="es-ES_tradnl"/>
        </w:rPr>
        <w:t>N</w:t>
      </w:r>
      <w:r w:rsidRPr="006360B0">
        <w:rPr>
          <w:lang w:val="es-ES_tradnl"/>
        </w:rPr>
        <w:t>, es −6 dB.</w:t>
      </w:r>
    </w:p>
    <w:p w:rsidR="00506B19" w:rsidRPr="006360B0" w:rsidRDefault="00506B19" w:rsidP="00506B19">
      <w:pPr>
        <w:rPr>
          <w:lang w:val="es-ES_tradnl"/>
        </w:rPr>
      </w:pPr>
    </w:p>
    <w:p w:rsidR="00506B19" w:rsidRPr="006360B0" w:rsidRDefault="00506B19" w:rsidP="00506B19">
      <w:pPr>
        <w:jc w:val="center"/>
        <w:rPr>
          <w:lang w:val="es-ES_tradnl"/>
        </w:rPr>
      </w:pPr>
      <w:r w:rsidRPr="006360B0">
        <w:rPr>
          <w:lang w:val="es-ES_tradnl"/>
        </w:rPr>
        <w:t>______________</w:t>
      </w:r>
    </w:p>
    <w:p w:rsidR="00506B19" w:rsidRPr="006360B0" w:rsidRDefault="00506B19" w:rsidP="00506B19">
      <w:pPr>
        <w:rPr>
          <w:lang w:val="es-ES_tradnl"/>
        </w:rPr>
      </w:pPr>
    </w:p>
    <w:p w:rsidR="00574749" w:rsidRDefault="00574749" w:rsidP="0021735B">
      <w:pPr>
        <w:rPr>
          <w:lang w:val="es-ES_tradnl"/>
        </w:rPr>
      </w:pPr>
    </w:p>
    <w:sectPr w:rsidR="00574749" w:rsidSect="00042292">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AEB" w:rsidRDefault="00A07AEB">
      <w:r>
        <w:separator/>
      </w:r>
    </w:p>
  </w:footnote>
  <w:footnote w:type="continuationSeparator" w:id="0">
    <w:p w:rsidR="00A07AEB" w:rsidRDefault="00A07AEB">
      <w:r>
        <w:continuationSeparator/>
      </w:r>
    </w:p>
  </w:footnote>
  <w:footnote w:id="1">
    <w:p w:rsidR="00506B19" w:rsidRDefault="00506B19" w:rsidP="00506B19">
      <w:pPr>
        <w:pStyle w:val="FootnoteText"/>
        <w:rPr>
          <w:lang w:val="es-ES_tradnl"/>
        </w:rPr>
      </w:pPr>
      <w:r>
        <w:rPr>
          <w:rStyle w:val="FootnoteReference"/>
          <w:lang w:val="es-ES_tradnl"/>
        </w:rPr>
        <w:t>1</w:t>
      </w:r>
      <w:r>
        <w:rPr>
          <w:lang w:val="es-ES_tradnl"/>
        </w:rPr>
        <w:t xml:space="preserve"> </w:t>
      </w:r>
      <w:r>
        <w:rPr>
          <w:lang w:val="es-ES_tradnl"/>
        </w:rPr>
        <w:tab/>
        <w:t>Para simplificar, en este caso se supone que las señales interferentes serán interpretadas por el receptor perjudicado como un aumento de la potencia de ruido en las etapas de FI. Puede ser necesario considerar la respuesta exacta de los sistemas de radar, pero ello escapa al alcance de este estudio de carácter general.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4D65"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025991">
      <w:rPr>
        <w:rStyle w:val="PageNumber"/>
        <w:b/>
        <w:bCs/>
        <w:noProof/>
      </w:rPr>
      <w:t>ii</w:t>
    </w:r>
    <w:r>
      <w:rPr>
        <w:rStyle w:val="PageNumber"/>
        <w:b/>
        <w:bCs/>
      </w:rPr>
      <w:fldChar w:fldCharType="end"/>
    </w:r>
    <w:r w:rsidR="00042292">
      <w:tab/>
    </w:r>
    <w:fldSimple w:instr=" DOCPROPERTY &quot;Header&quot; \* MERGEFORMAT ">
      <w:r w:rsidR="00025991" w:rsidRPr="00025991">
        <w:rPr>
          <w:b/>
          <w:bCs/>
        </w:rPr>
        <w:t xml:space="preserve">Rec. </w:t>
      </w:r>
    </w:fldSimple>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025991">
      <w:rPr>
        <w:b/>
        <w:bCs/>
        <w:noProof/>
      </w:rPr>
      <w:t>UIT-R  M.1640-1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r>
      <w:tab/>
    </w:r>
    <w:fldSimple w:instr=" DOCPROPERTY &quot;Header&quot; \* MERGEFORMAT ">
      <w:r w:rsidR="00025991" w:rsidRPr="00025991">
        <w:rPr>
          <w:b/>
          <w:bCs/>
        </w:rPr>
        <w:t xml:space="preserve">Rec. </w:t>
      </w:r>
    </w:fldSimple>
    <w:r>
      <w:rPr>
        <w:b/>
        <w:bCs/>
      </w:rPr>
      <w:t xml:space="preserve"> </w:t>
    </w:r>
    <w:r w:rsidR="006870AA">
      <w:rPr>
        <w:b/>
        <w:bCs/>
      </w:rPr>
      <w:fldChar w:fldCharType="begin"/>
    </w:r>
    <w:r>
      <w:rPr>
        <w:b/>
        <w:bCs/>
      </w:rPr>
      <w:instrText>styleref href</w:instrText>
    </w:r>
    <w:r w:rsidR="006870AA">
      <w:rPr>
        <w:b/>
        <w:bCs/>
      </w:rPr>
      <w:fldChar w:fldCharType="separate"/>
    </w:r>
    <w:r w:rsidR="00025991">
      <w:rPr>
        <w:b/>
        <w:bCs/>
        <w:noProof/>
      </w:rPr>
      <w:t>UIT-R  M.1640-1</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B11EE5" w:rsidRDefault="006870AA" w:rsidP="00B11EE5">
    <w:pPr>
      <w:tabs>
        <w:tab w:val="clear" w:pos="794"/>
        <w:tab w:val="clear" w:pos="1191"/>
        <w:tab w:val="clear" w:pos="1588"/>
        <w:tab w:val="clear" w:pos="1985"/>
        <w:tab w:val="center" w:pos="4820"/>
      </w:tabs>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025991">
      <w:rPr>
        <w:rStyle w:val="PageNumber"/>
        <w:b/>
        <w:bCs/>
        <w:noProof/>
        <w:lang w:val="en-US"/>
      </w:rPr>
      <w:t>4</w:t>
    </w:r>
    <w:r>
      <w:rPr>
        <w:rStyle w:val="PageNumber"/>
        <w:b/>
        <w:bCs/>
      </w:rPr>
      <w:fldChar w:fldCharType="end"/>
    </w:r>
    <w:r w:rsidR="00607D68">
      <w:rPr>
        <w:lang w:val="en-US"/>
      </w:rPr>
      <w:tab/>
    </w:r>
    <w:fldSimple w:instr=" DOCPROPERTY &quot;Header&quot; \* MERGEFORMAT ">
      <w:r w:rsidR="00025991" w:rsidRPr="00025991">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025991">
      <w:rPr>
        <w:b/>
        <w:bCs/>
        <w:noProof/>
      </w:rPr>
      <w:t>UIT-R  M.1640-1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D36721" w:rsidRDefault="00F32218" w:rsidP="00D36721">
    <w:pPr>
      <w:pStyle w:val="Header"/>
      <w:jc w:val="left"/>
      <w:rPr>
        <w:b/>
        <w:bCs/>
      </w:rPr>
    </w:pPr>
    <w:r>
      <w:tab/>
    </w:r>
    <w:fldSimple w:instr=" DOCPROPERTY &quot;Header&quot; \* MERGEFORMAT ">
      <w:r w:rsidR="00025991" w:rsidRPr="00025991">
        <w:rPr>
          <w:b/>
          <w:bCs/>
        </w:rPr>
        <w:t xml:space="preserve">Rec. </w:t>
      </w:r>
    </w:fldSimple>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025991">
      <w:rPr>
        <w:b/>
        <w:bCs/>
        <w:noProof/>
      </w:rPr>
      <w:t>UIT-R  M.1640-1</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025991">
      <w:rPr>
        <w:rStyle w:val="PageNumber"/>
        <w:b/>
        <w:bCs/>
        <w:noProof/>
      </w:rPr>
      <w:t>5</w:t>
    </w:r>
    <w:r w:rsidRPr="00F32218">
      <w:rPr>
        <w:rStyle w:val="PageNumbe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25991"/>
    <w:rsid w:val="00042292"/>
    <w:rsid w:val="00044D65"/>
    <w:rsid w:val="001B26B3"/>
    <w:rsid w:val="001B2F46"/>
    <w:rsid w:val="001B395D"/>
    <w:rsid w:val="00207286"/>
    <w:rsid w:val="0021735B"/>
    <w:rsid w:val="002A0D07"/>
    <w:rsid w:val="002D76C4"/>
    <w:rsid w:val="00383195"/>
    <w:rsid w:val="00410F5B"/>
    <w:rsid w:val="00427ED9"/>
    <w:rsid w:val="004E4FBE"/>
    <w:rsid w:val="00506B19"/>
    <w:rsid w:val="00567624"/>
    <w:rsid w:val="00574749"/>
    <w:rsid w:val="00607D68"/>
    <w:rsid w:val="00616F70"/>
    <w:rsid w:val="0064564B"/>
    <w:rsid w:val="006870AA"/>
    <w:rsid w:val="006F3D6E"/>
    <w:rsid w:val="007172BA"/>
    <w:rsid w:val="0072064A"/>
    <w:rsid w:val="007253BF"/>
    <w:rsid w:val="0076082A"/>
    <w:rsid w:val="00834A1B"/>
    <w:rsid w:val="008C67E6"/>
    <w:rsid w:val="00906075"/>
    <w:rsid w:val="00982F3A"/>
    <w:rsid w:val="009B459E"/>
    <w:rsid w:val="00A07AEB"/>
    <w:rsid w:val="00A6617B"/>
    <w:rsid w:val="00A80825"/>
    <w:rsid w:val="00AB0DC8"/>
    <w:rsid w:val="00B11EE5"/>
    <w:rsid w:val="00B42F17"/>
    <w:rsid w:val="00B44E24"/>
    <w:rsid w:val="00C36A75"/>
    <w:rsid w:val="00C411AF"/>
    <w:rsid w:val="00CB1354"/>
    <w:rsid w:val="00CF7F63"/>
    <w:rsid w:val="00D131B8"/>
    <w:rsid w:val="00D33FA3"/>
    <w:rsid w:val="00D36721"/>
    <w:rsid w:val="00D4362D"/>
    <w:rsid w:val="00DF4176"/>
    <w:rsid w:val="00DF4734"/>
    <w:rsid w:val="00E704B6"/>
    <w:rsid w:val="00E95324"/>
    <w:rsid w:val="00ED6A57"/>
    <w:rsid w:val="00EE743D"/>
    <w:rsid w:val="00F32218"/>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3B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253BF"/>
    <w:pPr>
      <w:keepNext/>
      <w:keepLines/>
      <w:spacing w:before="480"/>
      <w:ind w:left="794" w:hanging="794"/>
      <w:outlineLvl w:val="0"/>
    </w:pPr>
    <w:rPr>
      <w:b/>
    </w:rPr>
  </w:style>
  <w:style w:type="paragraph" w:styleId="Heading2">
    <w:name w:val="heading 2"/>
    <w:basedOn w:val="Heading1"/>
    <w:next w:val="Normal"/>
    <w:link w:val="Heading2Char"/>
    <w:qFormat/>
    <w:rsid w:val="007253BF"/>
    <w:pPr>
      <w:spacing w:before="320"/>
      <w:outlineLvl w:val="1"/>
    </w:pPr>
  </w:style>
  <w:style w:type="paragraph" w:styleId="Heading3">
    <w:name w:val="heading 3"/>
    <w:basedOn w:val="Heading1"/>
    <w:next w:val="Normal"/>
    <w:qFormat/>
    <w:rsid w:val="007253BF"/>
    <w:pPr>
      <w:spacing w:before="200"/>
      <w:outlineLvl w:val="2"/>
    </w:pPr>
  </w:style>
  <w:style w:type="paragraph" w:styleId="Heading4">
    <w:name w:val="heading 4"/>
    <w:basedOn w:val="Heading3"/>
    <w:next w:val="Normal"/>
    <w:qFormat/>
    <w:rsid w:val="007253BF"/>
    <w:pPr>
      <w:tabs>
        <w:tab w:val="clear" w:pos="794"/>
        <w:tab w:val="left" w:pos="992"/>
      </w:tabs>
      <w:ind w:left="992" w:hanging="992"/>
      <w:outlineLvl w:val="3"/>
    </w:pPr>
  </w:style>
  <w:style w:type="paragraph" w:styleId="Heading5">
    <w:name w:val="heading 5"/>
    <w:basedOn w:val="Heading4"/>
    <w:next w:val="Normal"/>
    <w:qFormat/>
    <w:rsid w:val="007253BF"/>
    <w:pPr>
      <w:outlineLvl w:val="4"/>
    </w:pPr>
  </w:style>
  <w:style w:type="paragraph" w:styleId="Heading6">
    <w:name w:val="heading 6"/>
    <w:basedOn w:val="Heading4"/>
    <w:next w:val="Normal"/>
    <w:qFormat/>
    <w:rsid w:val="007253BF"/>
    <w:pPr>
      <w:tabs>
        <w:tab w:val="clear" w:pos="992"/>
        <w:tab w:val="clear" w:pos="1191"/>
      </w:tabs>
      <w:ind w:left="1588" w:hanging="1588"/>
      <w:outlineLvl w:val="5"/>
    </w:pPr>
  </w:style>
  <w:style w:type="paragraph" w:styleId="Heading7">
    <w:name w:val="heading 7"/>
    <w:basedOn w:val="Heading6"/>
    <w:next w:val="Normal"/>
    <w:qFormat/>
    <w:rsid w:val="007253BF"/>
    <w:pPr>
      <w:outlineLvl w:val="6"/>
    </w:pPr>
  </w:style>
  <w:style w:type="paragraph" w:styleId="Heading8">
    <w:name w:val="heading 8"/>
    <w:basedOn w:val="Heading6"/>
    <w:next w:val="Normal"/>
    <w:qFormat/>
    <w:rsid w:val="007253BF"/>
    <w:pPr>
      <w:outlineLvl w:val="7"/>
    </w:pPr>
  </w:style>
  <w:style w:type="paragraph" w:styleId="Heading9">
    <w:name w:val="heading 9"/>
    <w:basedOn w:val="Heading6"/>
    <w:next w:val="Normal"/>
    <w:qFormat/>
    <w:rsid w:val="007253BF"/>
    <w:pPr>
      <w:jc w:val="left"/>
      <w:outlineLvl w:val="8"/>
    </w:pPr>
  </w:style>
  <w:style w:type="character" w:default="1" w:styleId="DefaultParagraphFont">
    <w:name w:val="Default Paragraph Font"/>
    <w:uiPriority w:val="1"/>
    <w:semiHidden/>
    <w:unhideWhenUsed/>
    <w:rsid w:val="007253B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253BF"/>
  </w:style>
  <w:style w:type="paragraph" w:styleId="Header">
    <w:name w:val="header"/>
    <w:basedOn w:val="Normal"/>
    <w:link w:val="HeaderChar"/>
    <w:rsid w:val="007253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253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253BF"/>
  </w:style>
  <w:style w:type="paragraph" w:customStyle="1" w:styleId="Headingb">
    <w:name w:val="Heading_b"/>
    <w:basedOn w:val="Heading3"/>
    <w:next w:val="Normal"/>
    <w:link w:val="HeadingbChar"/>
    <w:rsid w:val="007253BF"/>
    <w:pPr>
      <w:spacing w:before="160"/>
      <w:ind w:left="0" w:firstLine="0"/>
      <w:outlineLvl w:val="9"/>
    </w:pPr>
  </w:style>
  <w:style w:type="paragraph" w:customStyle="1" w:styleId="Headingi">
    <w:name w:val="Heading_i"/>
    <w:basedOn w:val="Heading3"/>
    <w:next w:val="Normal"/>
    <w:rsid w:val="007253BF"/>
    <w:pPr>
      <w:spacing w:before="160"/>
      <w:ind w:left="0" w:firstLine="0"/>
    </w:pPr>
    <w:rPr>
      <w:b w:val="0"/>
      <w:i/>
    </w:rPr>
  </w:style>
  <w:style w:type="character" w:customStyle="1" w:styleId="href">
    <w:name w:val="href"/>
    <w:basedOn w:val="DefaultParagraphFont"/>
    <w:rsid w:val="007253BF"/>
  </w:style>
  <w:style w:type="paragraph" w:customStyle="1" w:styleId="enumlev1">
    <w:name w:val="enumlev1"/>
    <w:basedOn w:val="Normal"/>
    <w:rsid w:val="007253BF"/>
    <w:pPr>
      <w:spacing w:before="80"/>
      <w:ind w:left="794" w:hanging="794"/>
    </w:pPr>
  </w:style>
  <w:style w:type="paragraph" w:customStyle="1" w:styleId="enumlev2">
    <w:name w:val="enumlev2"/>
    <w:basedOn w:val="enumlev1"/>
    <w:rsid w:val="007253BF"/>
    <w:pPr>
      <w:ind w:left="1191" w:hanging="397"/>
    </w:pPr>
  </w:style>
  <w:style w:type="paragraph" w:customStyle="1" w:styleId="enumlev3">
    <w:name w:val="enumlev3"/>
    <w:basedOn w:val="enumlev2"/>
    <w:rsid w:val="007253BF"/>
    <w:pPr>
      <w:ind w:left="1588"/>
    </w:pPr>
  </w:style>
  <w:style w:type="paragraph" w:customStyle="1" w:styleId="Normalaftertitle">
    <w:name w:val="Normal_after_title"/>
    <w:basedOn w:val="Normal"/>
    <w:next w:val="Normal"/>
    <w:rsid w:val="007253BF"/>
    <w:pPr>
      <w:spacing w:before="320"/>
    </w:pPr>
  </w:style>
  <w:style w:type="paragraph" w:customStyle="1" w:styleId="Note">
    <w:name w:val="Note"/>
    <w:basedOn w:val="Normal"/>
    <w:rsid w:val="007253B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253B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253BF"/>
    <w:pPr>
      <w:spacing w:before="240"/>
    </w:pPr>
    <w:rPr>
      <w:sz w:val="22"/>
      <w:lang w:val="es-ES_tradnl"/>
    </w:rPr>
  </w:style>
  <w:style w:type="paragraph" w:customStyle="1" w:styleId="Recref">
    <w:name w:val="Rec_ref"/>
    <w:basedOn w:val="Normal"/>
    <w:next w:val="Recdate"/>
    <w:rsid w:val="007253BF"/>
    <w:pPr>
      <w:jc w:val="center"/>
    </w:pPr>
  </w:style>
  <w:style w:type="paragraph" w:customStyle="1" w:styleId="Recdate">
    <w:name w:val="Rec_date"/>
    <w:basedOn w:val="Recref"/>
    <w:next w:val="Normalaftertitle"/>
    <w:rsid w:val="007253BF"/>
    <w:pPr>
      <w:jc w:val="right"/>
    </w:pPr>
  </w:style>
  <w:style w:type="paragraph" w:customStyle="1" w:styleId="AnnexNoTitle">
    <w:name w:val="Annex_NoTitle"/>
    <w:basedOn w:val="Normal"/>
    <w:next w:val="Normalaftertitle"/>
    <w:rsid w:val="007253BF"/>
    <w:pPr>
      <w:keepNext/>
      <w:keepLines/>
      <w:spacing w:before="480" w:after="80"/>
      <w:jc w:val="center"/>
    </w:pPr>
    <w:rPr>
      <w:b/>
      <w:sz w:val="28"/>
    </w:rPr>
  </w:style>
  <w:style w:type="paragraph" w:customStyle="1" w:styleId="AppendixNoTitle">
    <w:name w:val="Appendix_NoTitle"/>
    <w:basedOn w:val="AnnexNoTitle"/>
    <w:next w:val="Normal"/>
    <w:rsid w:val="007253BF"/>
  </w:style>
  <w:style w:type="paragraph" w:customStyle="1" w:styleId="Tablefin">
    <w:name w:val="Table_fin"/>
    <w:basedOn w:val="Normal"/>
    <w:next w:val="Normal"/>
    <w:rsid w:val="007253BF"/>
    <w:pPr>
      <w:spacing w:before="0"/>
    </w:pPr>
    <w:rPr>
      <w:sz w:val="20"/>
      <w:lang w:val="en-GB"/>
    </w:rPr>
  </w:style>
  <w:style w:type="paragraph" w:customStyle="1" w:styleId="Tablehead">
    <w:name w:val="Table_head"/>
    <w:basedOn w:val="Normal"/>
    <w:next w:val="Normal"/>
    <w:link w:val="TableheadChar"/>
    <w:rsid w:val="007253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253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253BF"/>
    <w:pPr>
      <w:keepNext/>
      <w:spacing w:before="360" w:after="120"/>
      <w:jc w:val="center"/>
    </w:pPr>
  </w:style>
  <w:style w:type="paragraph" w:customStyle="1" w:styleId="Tabletext">
    <w:name w:val="Table_text"/>
    <w:basedOn w:val="Normal"/>
    <w:link w:val="TabletextChar"/>
    <w:rsid w:val="007253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253BF"/>
    <w:pPr>
      <w:tabs>
        <w:tab w:val="clear" w:pos="1191"/>
        <w:tab w:val="clear" w:pos="1588"/>
        <w:tab w:val="clear" w:pos="1985"/>
        <w:tab w:val="center" w:pos="4820"/>
        <w:tab w:val="right" w:pos="9639"/>
      </w:tabs>
    </w:pPr>
  </w:style>
  <w:style w:type="paragraph" w:customStyle="1" w:styleId="Equationlegend">
    <w:name w:val="Equation_legend"/>
    <w:basedOn w:val="NormalIndent"/>
    <w:rsid w:val="007253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253BF"/>
    <w:pPr>
      <w:ind w:left="794"/>
    </w:pPr>
  </w:style>
  <w:style w:type="paragraph" w:customStyle="1" w:styleId="Figurelegend">
    <w:name w:val="Figure_legend"/>
    <w:basedOn w:val="Normal"/>
    <w:rsid w:val="007253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253BF"/>
    <w:pPr>
      <w:keepNext/>
      <w:keepLines/>
      <w:spacing w:before="480" w:after="80"/>
      <w:jc w:val="center"/>
    </w:pPr>
    <w:rPr>
      <w:caps/>
      <w:sz w:val="18"/>
    </w:rPr>
  </w:style>
  <w:style w:type="paragraph" w:customStyle="1" w:styleId="tocpart">
    <w:name w:val="tocpart"/>
    <w:basedOn w:val="Normal"/>
    <w:rsid w:val="007253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253BF"/>
    <w:pPr>
      <w:keepNext/>
      <w:keepLines/>
      <w:spacing w:before="480"/>
      <w:jc w:val="center"/>
    </w:pPr>
    <w:rPr>
      <w:sz w:val="28"/>
    </w:rPr>
  </w:style>
  <w:style w:type="paragraph" w:customStyle="1" w:styleId="Arttitle">
    <w:name w:val="Art_title"/>
    <w:basedOn w:val="Normal"/>
    <w:next w:val="Normalaftertitle"/>
    <w:rsid w:val="007253BF"/>
    <w:pPr>
      <w:keepNext/>
      <w:keepLines/>
      <w:spacing w:before="240"/>
      <w:jc w:val="center"/>
    </w:pPr>
    <w:rPr>
      <w:b/>
      <w:sz w:val="28"/>
    </w:rPr>
  </w:style>
  <w:style w:type="paragraph" w:customStyle="1" w:styleId="Blanc">
    <w:name w:val="Blanc"/>
    <w:basedOn w:val="Normal"/>
    <w:next w:val="Tabletext"/>
    <w:rsid w:val="007253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253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253BF"/>
    <w:pPr>
      <w:keepNext/>
      <w:keepLines/>
      <w:spacing w:before="160"/>
      <w:ind w:left="794"/>
    </w:pPr>
    <w:rPr>
      <w:i/>
    </w:rPr>
  </w:style>
  <w:style w:type="paragraph" w:customStyle="1" w:styleId="ChapNo">
    <w:name w:val="Chap_No"/>
    <w:basedOn w:val="ArtNo"/>
    <w:next w:val="Chaptitle"/>
    <w:rsid w:val="007253BF"/>
    <w:rPr>
      <w:b/>
    </w:rPr>
  </w:style>
  <w:style w:type="paragraph" w:customStyle="1" w:styleId="Chaptitle">
    <w:name w:val="Chap_title"/>
    <w:basedOn w:val="Arttitle"/>
    <w:next w:val="Normalaftertitle"/>
    <w:rsid w:val="007253BF"/>
  </w:style>
  <w:style w:type="character" w:styleId="FootnoteReference">
    <w:name w:val="footnote reference"/>
    <w:basedOn w:val="DefaultParagraphFont"/>
    <w:rsid w:val="007253BF"/>
    <w:rPr>
      <w:position w:val="6"/>
      <w:sz w:val="18"/>
    </w:rPr>
  </w:style>
  <w:style w:type="paragraph" w:styleId="FootnoteText">
    <w:name w:val="footnote text"/>
    <w:basedOn w:val="Normal"/>
    <w:semiHidden/>
    <w:rsid w:val="007253BF"/>
    <w:pPr>
      <w:keepLines/>
      <w:tabs>
        <w:tab w:val="left" w:pos="255"/>
      </w:tabs>
      <w:ind w:left="255" w:hanging="255"/>
    </w:pPr>
    <w:rPr>
      <w:sz w:val="22"/>
    </w:rPr>
  </w:style>
  <w:style w:type="paragraph" w:styleId="Index1">
    <w:name w:val="index 1"/>
    <w:basedOn w:val="Normal"/>
    <w:next w:val="Normal"/>
    <w:semiHidden/>
    <w:rsid w:val="007253BF"/>
  </w:style>
  <w:style w:type="paragraph" w:styleId="Index2">
    <w:name w:val="index 2"/>
    <w:basedOn w:val="Normal"/>
    <w:next w:val="Normal"/>
    <w:semiHidden/>
    <w:rsid w:val="007253BF"/>
    <w:pPr>
      <w:ind w:left="283"/>
    </w:pPr>
  </w:style>
  <w:style w:type="paragraph" w:styleId="Index3">
    <w:name w:val="index 3"/>
    <w:basedOn w:val="Normal"/>
    <w:next w:val="Normal"/>
    <w:semiHidden/>
    <w:rsid w:val="007253BF"/>
    <w:pPr>
      <w:ind w:left="566"/>
    </w:pPr>
  </w:style>
  <w:style w:type="paragraph" w:styleId="IndexHeading">
    <w:name w:val="index heading"/>
    <w:basedOn w:val="Normal"/>
    <w:next w:val="Index1"/>
    <w:semiHidden/>
    <w:rsid w:val="007253BF"/>
  </w:style>
  <w:style w:type="paragraph" w:customStyle="1" w:styleId="Line">
    <w:name w:val="Line"/>
    <w:basedOn w:val="Normal"/>
    <w:next w:val="Normal"/>
    <w:rsid w:val="007253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253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253BF"/>
  </w:style>
  <w:style w:type="paragraph" w:customStyle="1" w:styleId="Partref">
    <w:name w:val="Part_ref"/>
    <w:basedOn w:val="Normal"/>
    <w:next w:val="Normal"/>
    <w:rsid w:val="007253BF"/>
    <w:pPr>
      <w:keepNext/>
      <w:keepLines/>
      <w:spacing w:after="280"/>
      <w:jc w:val="center"/>
    </w:pPr>
  </w:style>
  <w:style w:type="paragraph" w:customStyle="1" w:styleId="Parttitle">
    <w:name w:val="Part_title"/>
    <w:basedOn w:val="Normal"/>
    <w:next w:val="Normalaftertitle"/>
    <w:rsid w:val="007253B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253BF"/>
  </w:style>
  <w:style w:type="paragraph" w:customStyle="1" w:styleId="QuestionNo">
    <w:name w:val="Question_No"/>
    <w:basedOn w:val="RecNo"/>
    <w:next w:val="Normal"/>
    <w:rsid w:val="007253BF"/>
  </w:style>
  <w:style w:type="paragraph" w:customStyle="1" w:styleId="Questionref">
    <w:name w:val="Question_ref"/>
    <w:basedOn w:val="Recref"/>
    <w:next w:val="Questiondate"/>
    <w:rsid w:val="007253BF"/>
  </w:style>
  <w:style w:type="paragraph" w:customStyle="1" w:styleId="Questiontitle">
    <w:name w:val="Question_title"/>
    <w:basedOn w:val="Normal"/>
    <w:next w:val="Questionref"/>
    <w:rsid w:val="007253BF"/>
  </w:style>
  <w:style w:type="paragraph" w:customStyle="1" w:styleId="Reftext">
    <w:name w:val="Ref_text"/>
    <w:basedOn w:val="Normal"/>
    <w:rsid w:val="007253BF"/>
    <w:pPr>
      <w:ind w:left="794" w:hanging="794"/>
    </w:pPr>
    <w:rPr>
      <w:sz w:val="22"/>
    </w:rPr>
  </w:style>
  <w:style w:type="paragraph" w:customStyle="1" w:styleId="Reftitle">
    <w:name w:val="Ref_title"/>
    <w:basedOn w:val="Normal"/>
    <w:next w:val="Reftext"/>
    <w:rsid w:val="007253B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253BF"/>
  </w:style>
  <w:style w:type="paragraph" w:customStyle="1" w:styleId="RepNo">
    <w:name w:val="Rep_No"/>
    <w:basedOn w:val="RecNo"/>
    <w:next w:val="Reptitle"/>
    <w:rsid w:val="007253BF"/>
  </w:style>
  <w:style w:type="paragraph" w:customStyle="1" w:styleId="Repref">
    <w:name w:val="Rep_ref"/>
    <w:basedOn w:val="Recref"/>
    <w:next w:val="Repdate"/>
    <w:rsid w:val="007253BF"/>
  </w:style>
  <w:style w:type="paragraph" w:customStyle="1" w:styleId="Reptitle">
    <w:name w:val="Rep_title"/>
    <w:basedOn w:val="Rectitle"/>
    <w:next w:val="Repref"/>
    <w:rsid w:val="007253BF"/>
  </w:style>
  <w:style w:type="paragraph" w:customStyle="1" w:styleId="Resdate">
    <w:name w:val="Res_date"/>
    <w:basedOn w:val="Recdate"/>
    <w:next w:val="Normalaftertitle"/>
    <w:rsid w:val="007253BF"/>
  </w:style>
  <w:style w:type="paragraph" w:customStyle="1" w:styleId="ResNo">
    <w:name w:val="Res_No"/>
    <w:basedOn w:val="RecNo"/>
    <w:next w:val="Restitle"/>
    <w:rsid w:val="007253BF"/>
  </w:style>
  <w:style w:type="paragraph" w:customStyle="1" w:styleId="Resref">
    <w:name w:val="Res_ref"/>
    <w:basedOn w:val="Recref"/>
    <w:next w:val="Resdate"/>
    <w:rsid w:val="007253BF"/>
  </w:style>
  <w:style w:type="paragraph" w:customStyle="1" w:styleId="Restitle">
    <w:name w:val="Res_title"/>
    <w:basedOn w:val="Normal"/>
    <w:next w:val="Resref"/>
    <w:rsid w:val="007253BF"/>
    <w:pPr>
      <w:spacing w:before="240"/>
      <w:jc w:val="center"/>
    </w:pPr>
    <w:rPr>
      <w:b/>
      <w:sz w:val="28"/>
    </w:rPr>
  </w:style>
  <w:style w:type="paragraph" w:customStyle="1" w:styleId="SectionNo">
    <w:name w:val="Section_No"/>
    <w:basedOn w:val="Normal"/>
    <w:next w:val="Normal"/>
    <w:rsid w:val="007253BF"/>
  </w:style>
  <w:style w:type="paragraph" w:customStyle="1" w:styleId="Sectiontitle">
    <w:name w:val="Section_title"/>
    <w:basedOn w:val="Normal"/>
    <w:next w:val="Normalaftertitle"/>
    <w:rsid w:val="007253B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253BF"/>
    <w:pPr>
      <w:tabs>
        <w:tab w:val="clear" w:pos="794"/>
        <w:tab w:val="clear" w:pos="1191"/>
        <w:tab w:val="clear" w:pos="1588"/>
        <w:tab w:val="clear" w:pos="1985"/>
        <w:tab w:val="right" w:pos="9611"/>
      </w:tabs>
    </w:pPr>
    <w:rPr>
      <w:i/>
    </w:rPr>
  </w:style>
  <w:style w:type="paragraph" w:styleId="TOC1">
    <w:name w:val="toc 1"/>
    <w:basedOn w:val="Normal"/>
    <w:rsid w:val="007253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253BF"/>
    <w:pPr>
      <w:tabs>
        <w:tab w:val="clear" w:pos="567"/>
        <w:tab w:val="left" w:pos="1276"/>
      </w:tabs>
      <w:spacing w:before="160"/>
      <w:ind w:left="1276" w:hanging="709"/>
    </w:pPr>
  </w:style>
  <w:style w:type="paragraph" w:styleId="TOC3">
    <w:name w:val="toc 3"/>
    <w:basedOn w:val="TOC2"/>
    <w:semiHidden/>
    <w:rsid w:val="007253BF"/>
    <w:pPr>
      <w:tabs>
        <w:tab w:val="clear" w:pos="1276"/>
        <w:tab w:val="left" w:pos="2155"/>
      </w:tabs>
      <w:ind w:left="2155" w:hanging="879"/>
    </w:pPr>
  </w:style>
  <w:style w:type="paragraph" w:styleId="TOC4">
    <w:name w:val="toc 4"/>
    <w:basedOn w:val="TOC3"/>
    <w:semiHidden/>
    <w:rsid w:val="007253BF"/>
    <w:pPr>
      <w:tabs>
        <w:tab w:val="left" w:pos="3261"/>
      </w:tabs>
      <w:spacing w:before="80"/>
      <w:ind w:left="3261" w:hanging="993"/>
    </w:pPr>
  </w:style>
  <w:style w:type="paragraph" w:styleId="TOC5">
    <w:name w:val="toc 5"/>
    <w:basedOn w:val="TOC4"/>
    <w:semiHidden/>
    <w:rsid w:val="007253BF"/>
  </w:style>
  <w:style w:type="paragraph" w:styleId="TOC6">
    <w:name w:val="toc 6"/>
    <w:basedOn w:val="TOC4"/>
    <w:semiHidden/>
    <w:rsid w:val="007253BF"/>
  </w:style>
  <w:style w:type="paragraph" w:styleId="TOC7">
    <w:name w:val="toc 7"/>
    <w:basedOn w:val="TOC4"/>
    <w:semiHidden/>
    <w:rsid w:val="007253BF"/>
  </w:style>
  <w:style w:type="paragraph" w:styleId="TOC8">
    <w:name w:val="toc 8"/>
    <w:basedOn w:val="TOC4"/>
    <w:semiHidden/>
    <w:rsid w:val="007253BF"/>
  </w:style>
  <w:style w:type="paragraph" w:customStyle="1" w:styleId="Rectitle">
    <w:name w:val="Rec_title"/>
    <w:basedOn w:val="Normal"/>
    <w:next w:val="Recref"/>
    <w:rsid w:val="007253BF"/>
    <w:pPr>
      <w:keepNext/>
      <w:keepLines/>
      <w:spacing w:before="240"/>
      <w:jc w:val="center"/>
    </w:pPr>
    <w:rPr>
      <w:b/>
      <w:sz w:val="28"/>
    </w:rPr>
  </w:style>
  <w:style w:type="paragraph" w:customStyle="1" w:styleId="Annexref">
    <w:name w:val="Annex_ref"/>
    <w:basedOn w:val="Normal"/>
    <w:next w:val="Normalaftertitle"/>
    <w:rsid w:val="007253BF"/>
    <w:pPr>
      <w:keepNext/>
      <w:keepLines/>
      <w:spacing w:after="280"/>
      <w:jc w:val="center"/>
    </w:pPr>
  </w:style>
  <w:style w:type="paragraph" w:customStyle="1" w:styleId="Appendixref">
    <w:name w:val="Appendix_ref"/>
    <w:basedOn w:val="Annexref"/>
    <w:next w:val="Normalaftertitle"/>
    <w:rsid w:val="007253BF"/>
  </w:style>
  <w:style w:type="paragraph" w:customStyle="1" w:styleId="Figuretitle">
    <w:name w:val="Figure_title"/>
    <w:basedOn w:val="Normal"/>
    <w:next w:val="Figure"/>
    <w:rsid w:val="007253B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7253BF"/>
    <w:pPr>
      <w:keepNext/>
      <w:spacing w:before="0" w:after="120"/>
      <w:jc w:val="center"/>
    </w:pPr>
    <w:rPr>
      <w:b/>
    </w:rPr>
  </w:style>
  <w:style w:type="paragraph" w:customStyle="1" w:styleId="Summary">
    <w:name w:val="Summary"/>
    <w:basedOn w:val="Normal"/>
    <w:next w:val="Normalaftertitle"/>
    <w:autoRedefine/>
    <w:rsid w:val="007253BF"/>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7253BF"/>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253BF"/>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TableNo0">
    <w:name w:val="Table_No Знак"/>
    <w:link w:val="TableNo"/>
    <w:locked/>
    <w:rsid w:val="00506B19"/>
    <w:rPr>
      <w:sz w:val="24"/>
      <w:lang w:val="fr-FR" w:eastAsia="en-US"/>
    </w:rPr>
  </w:style>
  <w:style w:type="character" w:customStyle="1" w:styleId="Tabletitle0">
    <w:name w:val="Table_title Знак"/>
    <w:link w:val="Tabletitle"/>
    <w:locked/>
    <w:rsid w:val="00506B19"/>
    <w:rPr>
      <w:b/>
      <w:sz w:val="24"/>
      <w:lang w:val="fr-FR" w:eastAsia="en-US"/>
    </w:rPr>
  </w:style>
  <w:style w:type="character" w:customStyle="1" w:styleId="HeadingbChar">
    <w:name w:val="Heading_b Char"/>
    <w:link w:val="Headingb"/>
    <w:locked/>
    <w:rsid w:val="00506B19"/>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TotalTime>
  <Pages>7</Pages>
  <Words>2237</Words>
  <Characters>12314</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14522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12</cp:revision>
  <cp:lastPrinted>2018-05-03T08:34:00Z</cp:lastPrinted>
  <dcterms:created xsi:type="dcterms:W3CDTF">2018-05-03T07:34:00Z</dcterms:created>
  <dcterms:modified xsi:type="dcterms:W3CDTF">2018-05-03T08:40:00Z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