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2BD" w:rsidRPr="00550B70" w:rsidRDefault="008D12BD" w:rsidP="008D12BD"/>
    <w:p w:rsidR="008D12BD" w:rsidRPr="00550B70" w:rsidRDefault="008D12BD" w:rsidP="008D12BD">
      <w:bookmarkStart w:id="0" w:name="_GoBack"/>
      <w:bookmarkEnd w:id="0"/>
    </w:p>
    <w:p w:rsidR="008D12BD" w:rsidRPr="00550B70" w:rsidRDefault="008D12BD" w:rsidP="008D12BD"/>
    <w:p w:rsidR="008D12BD" w:rsidRPr="00550B70" w:rsidRDefault="008D12BD" w:rsidP="008D12BD"/>
    <w:p w:rsidR="008D12BD" w:rsidRPr="00550B70" w:rsidRDefault="008D12BD" w:rsidP="008D12BD"/>
    <w:p w:rsidR="008D12BD" w:rsidRPr="00550B70" w:rsidRDefault="008D12BD" w:rsidP="008D12BD"/>
    <w:p w:rsidR="008D12BD" w:rsidRPr="00550B70" w:rsidRDefault="008D12BD" w:rsidP="008D12BD"/>
    <w:p w:rsidR="008D12BD" w:rsidRPr="00550B70" w:rsidRDefault="008D12BD" w:rsidP="008D12BD"/>
    <w:p w:rsidR="008D12BD" w:rsidRPr="00550B70" w:rsidRDefault="008D12BD" w:rsidP="008D12BD"/>
    <w:p w:rsidR="008D12BD" w:rsidRPr="00550B70" w:rsidRDefault="008D12BD" w:rsidP="008D12BD"/>
    <w:p w:rsidR="008D12BD" w:rsidRPr="00550B70" w:rsidRDefault="008D12BD" w:rsidP="008D12BD"/>
    <w:p w:rsidR="008D12BD" w:rsidRPr="00550B70" w:rsidRDefault="008D12BD" w:rsidP="008D12BD"/>
    <w:tbl>
      <w:tblPr>
        <w:tblW w:w="10089" w:type="dxa"/>
        <w:tblLook w:val="01E0" w:firstRow="1" w:lastRow="1" w:firstColumn="1" w:lastColumn="1" w:noHBand="0" w:noVBand="0"/>
      </w:tblPr>
      <w:tblGrid>
        <w:gridCol w:w="10089"/>
      </w:tblGrid>
      <w:tr w:rsidR="008D12BD" w:rsidRPr="00550B70" w:rsidTr="005819BD">
        <w:tc>
          <w:tcPr>
            <w:tcW w:w="10089" w:type="dxa"/>
          </w:tcPr>
          <w:p w:rsidR="008D12BD" w:rsidRPr="00550B70" w:rsidRDefault="008D12BD" w:rsidP="005819BD">
            <w:pPr>
              <w:spacing w:before="380" w:line="280" w:lineRule="exact"/>
              <w:jc w:val="right"/>
              <w:rPr>
                <w:rFonts w:ascii="Tahoma" w:hAnsi="Tahoma" w:cs="Tahoma"/>
                <w:b/>
                <w:bCs/>
                <w:iCs/>
                <w:color w:val="243285"/>
                <w:sz w:val="32"/>
                <w:szCs w:val="32"/>
              </w:rPr>
            </w:pPr>
          </w:p>
          <w:p w:rsidR="008D12BD" w:rsidRPr="00550B70" w:rsidRDefault="008D12BD" w:rsidP="00344050">
            <w:pPr>
              <w:spacing w:before="380" w:line="280" w:lineRule="exact"/>
              <w:jc w:val="right"/>
              <w:rPr>
                <w:rFonts w:ascii="Tahoma" w:hAnsi="Tahoma" w:cs="Tahoma"/>
                <w:b/>
                <w:bCs/>
                <w:iCs/>
                <w:color w:val="243285"/>
                <w:sz w:val="36"/>
                <w:szCs w:val="36"/>
              </w:rPr>
            </w:pPr>
            <w:r w:rsidRPr="00550B70">
              <w:rPr>
                <w:rFonts w:ascii="Tahoma" w:hAnsi="Tahoma" w:cs="Tahoma"/>
                <w:b/>
                <w:bCs/>
                <w:iCs/>
                <w:color w:val="243285"/>
                <w:sz w:val="36"/>
                <w:szCs w:val="36"/>
              </w:rPr>
              <w:t>Recommandation  UIT-R  M.</w:t>
            </w:r>
            <w:r w:rsidR="00344050" w:rsidRPr="00550B70">
              <w:rPr>
                <w:rFonts w:ascii="Tahoma" w:hAnsi="Tahoma" w:cs="Tahoma"/>
                <w:b/>
                <w:bCs/>
                <w:iCs/>
                <w:color w:val="243285"/>
                <w:sz w:val="36"/>
                <w:szCs w:val="36"/>
              </w:rPr>
              <w:t>1640-1</w:t>
            </w:r>
          </w:p>
          <w:p w:rsidR="008D12BD" w:rsidRPr="00550B70" w:rsidRDefault="008D12BD" w:rsidP="00344050">
            <w:pPr>
              <w:spacing w:before="80" w:line="280" w:lineRule="exact"/>
              <w:jc w:val="right"/>
              <w:rPr>
                <w:rFonts w:ascii="Tahoma" w:hAnsi="Tahoma" w:cs="Tahoma"/>
                <w:b/>
                <w:bCs/>
                <w:iCs/>
                <w:color w:val="243285"/>
                <w:szCs w:val="24"/>
              </w:rPr>
            </w:pPr>
            <w:r w:rsidRPr="00550B70">
              <w:rPr>
                <w:rFonts w:ascii="Tahoma" w:hAnsi="Tahoma" w:cs="Tahoma"/>
                <w:b/>
                <w:bCs/>
                <w:iCs/>
                <w:color w:val="243285"/>
                <w:szCs w:val="24"/>
              </w:rPr>
              <w:t>(0</w:t>
            </w:r>
            <w:r w:rsidR="00344050" w:rsidRPr="00550B70">
              <w:rPr>
                <w:rFonts w:ascii="Tahoma" w:hAnsi="Tahoma" w:cs="Tahoma"/>
                <w:b/>
                <w:bCs/>
                <w:iCs/>
                <w:color w:val="243285"/>
                <w:szCs w:val="24"/>
              </w:rPr>
              <w:t>1</w:t>
            </w:r>
            <w:r w:rsidRPr="00550B70">
              <w:rPr>
                <w:rFonts w:ascii="Tahoma" w:hAnsi="Tahoma" w:cs="Tahoma"/>
                <w:b/>
                <w:bCs/>
                <w:iCs/>
                <w:color w:val="243285"/>
                <w:szCs w:val="24"/>
              </w:rPr>
              <w:t>/201</w:t>
            </w:r>
            <w:r w:rsidR="00344050" w:rsidRPr="00550B70">
              <w:rPr>
                <w:rFonts w:ascii="Tahoma" w:hAnsi="Tahoma" w:cs="Tahoma"/>
                <w:b/>
                <w:bCs/>
                <w:iCs/>
                <w:color w:val="243285"/>
                <w:szCs w:val="24"/>
              </w:rPr>
              <w:t>8</w:t>
            </w:r>
            <w:r w:rsidRPr="00550B70">
              <w:rPr>
                <w:rFonts w:ascii="Tahoma" w:hAnsi="Tahoma" w:cs="Tahoma"/>
                <w:b/>
                <w:bCs/>
                <w:iCs/>
                <w:color w:val="243285"/>
                <w:szCs w:val="24"/>
              </w:rPr>
              <w:t>)</w:t>
            </w:r>
          </w:p>
        </w:tc>
      </w:tr>
      <w:tr w:rsidR="008D12BD" w:rsidRPr="00550B70" w:rsidTr="005819BD">
        <w:tc>
          <w:tcPr>
            <w:tcW w:w="10089" w:type="dxa"/>
          </w:tcPr>
          <w:p w:rsidR="008D12BD" w:rsidRPr="00550B70" w:rsidRDefault="008D12BD" w:rsidP="005819BD">
            <w:pPr>
              <w:spacing w:before="80" w:line="500" w:lineRule="exact"/>
              <w:jc w:val="right"/>
              <w:rPr>
                <w:rFonts w:ascii="Tahoma" w:hAnsi="Tahoma" w:cs="Tahoma"/>
                <w:b/>
                <w:bCs/>
                <w:iCs/>
                <w:color w:val="243285"/>
                <w:sz w:val="44"/>
                <w:szCs w:val="44"/>
              </w:rPr>
            </w:pPr>
          </w:p>
          <w:p w:rsidR="008D12BD" w:rsidRPr="00550B70" w:rsidRDefault="00344050" w:rsidP="00344050">
            <w:pPr>
              <w:spacing w:before="80" w:line="500" w:lineRule="exact"/>
              <w:jc w:val="right"/>
              <w:rPr>
                <w:rFonts w:ascii="Tahoma" w:hAnsi="Tahoma" w:cs="Tahoma"/>
                <w:b/>
                <w:bCs/>
                <w:iCs/>
                <w:color w:val="243285"/>
                <w:sz w:val="44"/>
                <w:szCs w:val="44"/>
              </w:rPr>
            </w:pPr>
            <w:r w:rsidRPr="00550B70">
              <w:rPr>
                <w:rFonts w:ascii="Tahoma" w:hAnsi="Tahoma" w:cs="Tahoma"/>
                <w:b/>
                <w:bCs/>
                <w:iCs/>
                <w:color w:val="243285"/>
                <w:sz w:val="44"/>
                <w:szCs w:val="44"/>
              </w:rPr>
              <w:t xml:space="preserve">Caractéristiques et critères de protection s'appliquant aux études de partage des radars du service de radiorepérage fonctionnant dans la bande </w:t>
            </w:r>
            <w:r w:rsidR="003D1FCC">
              <w:rPr>
                <w:rFonts w:ascii="Tahoma" w:hAnsi="Tahoma" w:cs="Tahoma"/>
                <w:b/>
                <w:bCs/>
                <w:iCs/>
                <w:color w:val="243285"/>
                <w:sz w:val="44"/>
                <w:szCs w:val="44"/>
              </w:rPr>
              <w:br/>
            </w:r>
            <w:r w:rsidRPr="00550B70">
              <w:rPr>
                <w:rFonts w:ascii="Tahoma" w:hAnsi="Tahoma" w:cs="Tahoma"/>
                <w:b/>
                <w:bCs/>
                <w:iCs/>
                <w:color w:val="243285"/>
                <w:sz w:val="44"/>
                <w:szCs w:val="44"/>
              </w:rPr>
              <w:t>de fréquences 33,4-36 GHz</w:t>
            </w:r>
          </w:p>
          <w:p w:rsidR="008D12BD" w:rsidRPr="00550B70" w:rsidRDefault="008D12BD" w:rsidP="005819BD">
            <w:pPr>
              <w:spacing w:before="80" w:line="500" w:lineRule="exact"/>
              <w:jc w:val="right"/>
              <w:rPr>
                <w:rFonts w:ascii="Tahoma" w:hAnsi="Tahoma" w:cs="Tahoma"/>
                <w:b/>
                <w:bCs/>
                <w:iCs/>
                <w:color w:val="243285"/>
                <w:sz w:val="44"/>
                <w:szCs w:val="44"/>
              </w:rPr>
            </w:pPr>
          </w:p>
        </w:tc>
      </w:tr>
      <w:tr w:rsidR="008D12BD" w:rsidRPr="00550B70" w:rsidTr="005819BD">
        <w:tc>
          <w:tcPr>
            <w:tcW w:w="10089" w:type="dxa"/>
          </w:tcPr>
          <w:p w:rsidR="008D12BD" w:rsidRPr="00550B70" w:rsidRDefault="008D12BD" w:rsidP="005819BD">
            <w:pPr>
              <w:spacing w:before="80" w:line="280" w:lineRule="exact"/>
              <w:ind w:right="640"/>
              <w:rPr>
                <w:rFonts w:ascii="Tahoma" w:hAnsi="Tahoma" w:cs="Tahoma"/>
                <w:b/>
                <w:bCs/>
                <w:iCs/>
                <w:color w:val="243285"/>
                <w:sz w:val="32"/>
                <w:szCs w:val="32"/>
              </w:rPr>
            </w:pPr>
          </w:p>
          <w:p w:rsidR="008D12BD" w:rsidRPr="00550B70" w:rsidRDefault="008D12BD" w:rsidP="005819BD">
            <w:pPr>
              <w:spacing w:before="80" w:line="280" w:lineRule="exact"/>
              <w:ind w:right="640"/>
              <w:rPr>
                <w:rFonts w:ascii="Tahoma" w:hAnsi="Tahoma" w:cs="Tahoma"/>
                <w:b/>
                <w:bCs/>
                <w:iCs/>
                <w:color w:val="243285"/>
                <w:sz w:val="32"/>
                <w:szCs w:val="32"/>
              </w:rPr>
            </w:pPr>
          </w:p>
          <w:p w:rsidR="008D12BD" w:rsidRPr="00550B70" w:rsidRDefault="008D12BD" w:rsidP="005819BD">
            <w:pPr>
              <w:spacing w:before="80" w:after="180" w:line="360" w:lineRule="exact"/>
              <w:ind w:right="720"/>
              <w:rPr>
                <w:rFonts w:ascii="Tahoma" w:hAnsi="Tahoma" w:cs="Tahoma"/>
                <w:b/>
                <w:bCs/>
                <w:iCs/>
                <w:color w:val="243285"/>
                <w:sz w:val="36"/>
                <w:szCs w:val="36"/>
              </w:rPr>
            </w:pPr>
          </w:p>
          <w:p w:rsidR="008D12BD" w:rsidRPr="00550B70" w:rsidRDefault="008D12BD" w:rsidP="005819BD">
            <w:pPr>
              <w:spacing w:before="80" w:after="180" w:line="360" w:lineRule="exact"/>
              <w:jc w:val="right"/>
              <w:rPr>
                <w:rFonts w:ascii="Tahoma" w:hAnsi="Tahoma" w:cs="Tahoma"/>
                <w:b/>
                <w:bCs/>
                <w:iCs/>
                <w:color w:val="243285"/>
                <w:sz w:val="36"/>
                <w:szCs w:val="36"/>
              </w:rPr>
            </w:pPr>
            <w:r w:rsidRPr="00550B70">
              <w:rPr>
                <w:rFonts w:ascii="Tahoma" w:hAnsi="Tahoma" w:cs="Tahoma"/>
                <w:b/>
                <w:bCs/>
                <w:iCs/>
                <w:color w:val="243285"/>
                <w:sz w:val="36"/>
                <w:szCs w:val="36"/>
              </w:rPr>
              <w:t>Série M</w:t>
            </w:r>
          </w:p>
          <w:p w:rsidR="008D12BD" w:rsidRPr="00550B70" w:rsidRDefault="008D12BD" w:rsidP="005819BD">
            <w:pPr>
              <w:spacing w:before="80" w:line="420" w:lineRule="exact"/>
              <w:jc w:val="right"/>
              <w:rPr>
                <w:rFonts w:ascii="Tahoma" w:hAnsi="Tahoma" w:cs="Tahoma"/>
                <w:b/>
                <w:bCs/>
                <w:iCs/>
                <w:color w:val="243285"/>
                <w:sz w:val="36"/>
                <w:szCs w:val="36"/>
              </w:rPr>
            </w:pPr>
            <w:r w:rsidRPr="00550B70">
              <w:rPr>
                <w:rFonts w:ascii="Tahoma" w:hAnsi="Tahoma" w:cs="Tahoma"/>
                <w:b/>
                <w:bCs/>
                <w:iCs/>
                <w:color w:val="243285"/>
                <w:sz w:val="36"/>
                <w:szCs w:val="36"/>
              </w:rPr>
              <w:t>Services mobile, de radiorepérage et d</w:t>
            </w:r>
            <w:r w:rsidR="00FF4E17" w:rsidRPr="00550B70">
              <w:rPr>
                <w:rFonts w:ascii="Tahoma" w:hAnsi="Tahoma" w:cs="Tahoma"/>
                <w:b/>
                <w:bCs/>
                <w:iCs/>
                <w:color w:val="243285"/>
                <w:sz w:val="36"/>
                <w:szCs w:val="36"/>
              </w:rPr>
              <w:t>'</w:t>
            </w:r>
            <w:r w:rsidRPr="00550B70">
              <w:rPr>
                <w:rFonts w:ascii="Tahoma" w:hAnsi="Tahoma" w:cs="Tahoma"/>
                <w:b/>
                <w:bCs/>
                <w:iCs/>
                <w:color w:val="243285"/>
                <w:sz w:val="36"/>
                <w:szCs w:val="36"/>
              </w:rPr>
              <w:t>amateur</w:t>
            </w:r>
            <w:r w:rsidRPr="00550B70">
              <w:rPr>
                <w:rFonts w:ascii="Tahoma" w:hAnsi="Tahoma" w:cs="Tahoma"/>
                <w:b/>
                <w:bCs/>
                <w:iCs/>
                <w:color w:val="243285"/>
                <w:sz w:val="36"/>
                <w:szCs w:val="36"/>
              </w:rPr>
              <w:br/>
              <w:t>y compris les services par satellite associés</w:t>
            </w:r>
          </w:p>
        </w:tc>
      </w:tr>
    </w:tbl>
    <w:p w:rsidR="008D12BD" w:rsidRPr="00550B70" w:rsidRDefault="008D12BD" w:rsidP="008D12BD">
      <w:pPr>
        <w:spacing w:before="80"/>
        <w:rPr>
          <w:i/>
          <w:sz w:val="22"/>
        </w:rPr>
      </w:pPr>
    </w:p>
    <w:p w:rsidR="008D12BD" w:rsidRPr="00550B70" w:rsidRDefault="008D12BD" w:rsidP="008D12BD">
      <w:pPr>
        <w:spacing w:before="80"/>
        <w:rPr>
          <w:i/>
          <w:sz w:val="22"/>
        </w:rPr>
      </w:pPr>
    </w:p>
    <w:p w:rsidR="008D12BD" w:rsidRPr="00550B70" w:rsidRDefault="008D12BD" w:rsidP="008D12BD">
      <w:pPr>
        <w:spacing w:before="80"/>
        <w:rPr>
          <w:i/>
          <w:sz w:val="22"/>
        </w:rPr>
      </w:pPr>
    </w:p>
    <w:p w:rsidR="008D12BD" w:rsidRPr="00550B70" w:rsidRDefault="008D12BD" w:rsidP="008D12BD">
      <w:pPr>
        <w:spacing w:before="80"/>
        <w:rPr>
          <w:i/>
          <w:sz w:val="22"/>
        </w:rPr>
      </w:pPr>
    </w:p>
    <w:p w:rsidR="008D12BD" w:rsidRPr="00550B70" w:rsidRDefault="008D12BD" w:rsidP="008D12BD">
      <w:pPr>
        <w:spacing w:before="80"/>
        <w:rPr>
          <w:i/>
          <w:sz w:val="22"/>
        </w:rPr>
      </w:pPr>
    </w:p>
    <w:p w:rsidR="008D12BD" w:rsidRPr="00550B70" w:rsidRDefault="008D12BD" w:rsidP="008D12BD">
      <w:pPr>
        <w:spacing w:before="80"/>
        <w:rPr>
          <w:i/>
          <w:sz w:val="22"/>
        </w:rPr>
      </w:pPr>
    </w:p>
    <w:p w:rsidR="008D12BD" w:rsidRPr="00550B70" w:rsidRDefault="008D12BD" w:rsidP="008D12BD">
      <w:pPr>
        <w:pStyle w:val="Equation"/>
        <w:tabs>
          <w:tab w:val="clear" w:pos="4820"/>
          <w:tab w:val="clear" w:pos="9639"/>
          <w:tab w:val="left" w:pos="1191"/>
          <w:tab w:val="left" w:pos="1588"/>
          <w:tab w:val="left" w:pos="1985"/>
        </w:tabs>
        <w:rPr>
          <w:rFonts w:ascii="Palatino Linotype" w:hAnsi="Palatino Linotype"/>
        </w:rPr>
        <w:sectPr w:rsidR="008D12BD" w:rsidRPr="00550B70">
          <w:headerReference w:type="even" r:id="rId7"/>
          <w:headerReference w:type="default" r:id="rId8"/>
          <w:pgSz w:w="11907" w:h="16840" w:code="9"/>
          <w:pgMar w:top="1089" w:right="1089" w:bottom="284" w:left="1089" w:header="567" w:footer="284" w:gutter="0"/>
          <w:pgNumType w:start="1"/>
          <w:cols w:space="720"/>
        </w:sectPr>
      </w:pPr>
    </w:p>
    <w:p w:rsidR="008D12BD" w:rsidRPr="00550B70" w:rsidRDefault="008D12BD" w:rsidP="008D12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550B70">
        <w:rPr>
          <w:bCs/>
          <w:sz w:val="24"/>
          <w:szCs w:val="24"/>
        </w:rPr>
        <w:lastRenderedPageBreak/>
        <w:t>Avant-propos</w:t>
      </w:r>
    </w:p>
    <w:p w:rsidR="008D12BD" w:rsidRPr="00550B70" w:rsidRDefault="008D12BD" w:rsidP="008D12BD">
      <w:pPr>
        <w:spacing w:before="240"/>
        <w:rPr>
          <w:sz w:val="20"/>
        </w:rPr>
      </w:pPr>
      <w:r w:rsidRPr="00550B70">
        <w:rPr>
          <w:sz w:val="20"/>
        </w:rPr>
        <w:t>Le rôle du Secteur des radiocommunications est d</w:t>
      </w:r>
      <w:r w:rsidR="00FF4E17" w:rsidRPr="00550B70">
        <w:rPr>
          <w:sz w:val="20"/>
        </w:rPr>
        <w:t>'</w:t>
      </w:r>
      <w:r w:rsidRPr="00550B70">
        <w:rPr>
          <w:sz w:val="20"/>
        </w:rPr>
        <w:t>assurer l</w:t>
      </w:r>
      <w:r w:rsidR="00FF4E17" w:rsidRPr="00550B70">
        <w:rPr>
          <w:sz w:val="20"/>
        </w:rPr>
        <w:t>'</w:t>
      </w:r>
      <w:r w:rsidRPr="00550B70">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D12BD" w:rsidRPr="00550B70" w:rsidRDefault="008D12BD" w:rsidP="008D12BD">
      <w:pPr>
        <w:rPr>
          <w:sz w:val="20"/>
        </w:rPr>
      </w:pPr>
      <w:r w:rsidRPr="00550B70">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FF4E17" w:rsidRPr="00550B70">
        <w:rPr>
          <w:sz w:val="20"/>
        </w:rPr>
        <w:t>'</w:t>
      </w:r>
      <w:r w:rsidRPr="00550B70">
        <w:rPr>
          <w:sz w:val="20"/>
        </w:rPr>
        <w:t>études.</w:t>
      </w:r>
    </w:p>
    <w:p w:rsidR="008D12BD" w:rsidRPr="00550B70" w:rsidRDefault="008D12BD" w:rsidP="008D12BD">
      <w:pPr>
        <w:pStyle w:val="Heading1"/>
        <w:spacing w:before="360"/>
        <w:jc w:val="center"/>
        <w:rPr>
          <w:szCs w:val="24"/>
        </w:rPr>
      </w:pPr>
      <w:r w:rsidRPr="00550B70">
        <w:rPr>
          <w:szCs w:val="24"/>
        </w:rPr>
        <w:t>Politique en matière de droits de propriété intellectuelle (IPR)</w:t>
      </w:r>
    </w:p>
    <w:p w:rsidR="008D12BD" w:rsidRPr="00550B70" w:rsidRDefault="008D12BD" w:rsidP="008D12BD">
      <w:pPr>
        <w:spacing w:before="240"/>
        <w:rPr>
          <w:sz w:val="20"/>
        </w:rPr>
      </w:pPr>
      <w:r w:rsidRPr="00550B70">
        <w:rPr>
          <w:sz w:val="20"/>
        </w:rPr>
        <w:t>La politique de l'UIT</w:t>
      </w:r>
      <w:r w:rsidRPr="00550B70">
        <w:rPr>
          <w:sz w:val="20"/>
        </w:rPr>
        <w:noBreakHyphen/>
        <w:t>R en matière de droits de propriété intellectuelle est décrite dans la «Politique commune de l'UIT</w:t>
      </w:r>
      <w:r w:rsidRPr="00550B70">
        <w:rPr>
          <w:sz w:val="20"/>
        </w:rPr>
        <w:noBreakHyphen/>
        <w:t>T, l'UIT</w:t>
      </w:r>
      <w:r w:rsidRPr="00550B70">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550B70">
          <w:rPr>
            <w:rStyle w:val="Hyperlink"/>
            <w:sz w:val="20"/>
          </w:rPr>
          <w:t>http://www.itu.int/ITU-R/go/patents/fr</w:t>
        </w:r>
      </w:hyperlink>
      <w:r w:rsidRPr="00550B70">
        <w:rPr>
          <w:sz w:val="20"/>
        </w:rPr>
        <w:t>, où l'on trouvera également les Lignes directrices pour la mise en oeuvre de la politique commune en matière de brevets de l'UIT</w:t>
      </w:r>
      <w:r w:rsidRPr="00550B70">
        <w:rPr>
          <w:sz w:val="20"/>
        </w:rPr>
        <w:noBreakHyphen/>
        <w:t>T, l'UIT</w:t>
      </w:r>
      <w:r w:rsidRPr="00550B70">
        <w:rPr>
          <w:sz w:val="20"/>
        </w:rPr>
        <w:noBreakHyphen/>
        <w:t>R, l'ISO et la CEI</w:t>
      </w:r>
      <w:r w:rsidRPr="00550B70" w:rsidDel="0061025C">
        <w:rPr>
          <w:sz w:val="20"/>
        </w:rPr>
        <w:t xml:space="preserve"> </w:t>
      </w:r>
      <w:r w:rsidRPr="00550B70">
        <w:rPr>
          <w:sz w:val="20"/>
        </w:rPr>
        <w:t>et la base de données en matière de brevets de l'UIT-R.</w:t>
      </w:r>
    </w:p>
    <w:p w:rsidR="008D12BD" w:rsidRPr="00550B70" w:rsidRDefault="008D12BD" w:rsidP="008D12BD">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D12BD" w:rsidRPr="00550B70" w:rsidTr="005819BD">
        <w:tc>
          <w:tcPr>
            <w:tcW w:w="9360" w:type="dxa"/>
            <w:gridSpan w:val="2"/>
          </w:tcPr>
          <w:p w:rsidR="008D12BD" w:rsidRPr="00550B70" w:rsidRDefault="008D12BD" w:rsidP="005819BD">
            <w:pPr>
              <w:pStyle w:val="Chaptitle"/>
              <w:keepLines w:val="0"/>
              <w:tabs>
                <w:tab w:val="clear" w:pos="794"/>
                <w:tab w:val="clear" w:pos="1191"/>
                <w:tab w:val="clear" w:pos="1588"/>
                <w:tab w:val="clear" w:pos="1985"/>
              </w:tabs>
              <w:overflowPunct/>
              <w:spacing w:before="140"/>
              <w:textAlignment w:val="auto"/>
              <w:rPr>
                <w:sz w:val="22"/>
                <w:szCs w:val="22"/>
              </w:rPr>
            </w:pPr>
            <w:r w:rsidRPr="00550B70">
              <w:rPr>
                <w:sz w:val="22"/>
                <w:szCs w:val="22"/>
              </w:rPr>
              <w:t xml:space="preserve">Séries des Recommandations UIT-R </w:t>
            </w:r>
          </w:p>
          <w:p w:rsidR="008D12BD" w:rsidRPr="00550B70"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50B70">
              <w:rPr>
                <w:b w:val="0"/>
                <w:sz w:val="18"/>
                <w:szCs w:val="18"/>
              </w:rPr>
              <w:t xml:space="preserve">(Egalement disponible en ligne: </w:t>
            </w:r>
            <w:hyperlink r:id="rId10" w:history="1">
              <w:r w:rsidRPr="00550B70">
                <w:rPr>
                  <w:rStyle w:val="Hyperlink"/>
                  <w:b w:val="0"/>
                  <w:bCs/>
                  <w:sz w:val="18"/>
                  <w:szCs w:val="18"/>
                </w:rPr>
                <w:t>http://www.itu.int/publ/R-REC/fr</w:t>
              </w:r>
            </w:hyperlink>
            <w:r w:rsidRPr="00550B70">
              <w:rPr>
                <w:b w:val="0"/>
                <w:bCs/>
                <w:sz w:val="18"/>
                <w:szCs w:val="18"/>
              </w:rPr>
              <w:t>)</w:t>
            </w:r>
          </w:p>
        </w:tc>
      </w:tr>
      <w:tr w:rsidR="008D12BD" w:rsidRPr="00550B70" w:rsidTr="005819BD">
        <w:tc>
          <w:tcPr>
            <w:tcW w:w="1140" w:type="dxa"/>
          </w:tcPr>
          <w:p w:rsidR="008D12BD" w:rsidRPr="00550B70" w:rsidRDefault="008D12BD" w:rsidP="005819BD">
            <w:pPr>
              <w:spacing w:before="90" w:after="100"/>
              <w:ind w:left="57"/>
              <w:rPr>
                <w:b/>
                <w:bCs/>
                <w:sz w:val="20"/>
              </w:rPr>
            </w:pPr>
            <w:r w:rsidRPr="00550B70">
              <w:rPr>
                <w:b/>
                <w:bCs/>
                <w:sz w:val="20"/>
              </w:rPr>
              <w:t>Séries</w:t>
            </w:r>
          </w:p>
        </w:tc>
        <w:tc>
          <w:tcPr>
            <w:tcW w:w="8220" w:type="dxa"/>
          </w:tcPr>
          <w:p w:rsidR="008D12BD" w:rsidRPr="00550B70"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50B70">
              <w:rPr>
                <w:bCs/>
                <w:sz w:val="20"/>
              </w:rPr>
              <w:t>Titre</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BO</w:t>
            </w:r>
          </w:p>
        </w:tc>
        <w:tc>
          <w:tcPr>
            <w:tcW w:w="8220" w:type="dxa"/>
          </w:tcPr>
          <w:p w:rsidR="008D12BD" w:rsidRPr="00550B70"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50B70">
              <w:rPr>
                <w:b w:val="0"/>
                <w:bCs/>
                <w:sz w:val="20"/>
              </w:rPr>
              <w:t>Diffusion par satellite</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BR</w:t>
            </w:r>
          </w:p>
        </w:tc>
        <w:tc>
          <w:tcPr>
            <w:tcW w:w="8220" w:type="dxa"/>
          </w:tcPr>
          <w:p w:rsidR="008D12BD" w:rsidRPr="00550B70"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50B70">
              <w:rPr>
                <w:b w:val="0"/>
                <w:bCs/>
                <w:sz w:val="20"/>
              </w:rPr>
              <w:t>Enregistrement pour la production, l'archivage et la diffusion; films pour la télévision</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BS</w:t>
            </w:r>
          </w:p>
        </w:tc>
        <w:tc>
          <w:tcPr>
            <w:tcW w:w="8220" w:type="dxa"/>
          </w:tcPr>
          <w:p w:rsidR="008D12BD" w:rsidRPr="00550B70"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50B70">
              <w:rPr>
                <w:b w:val="0"/>
                <w:bCs/>
                <w:sz w:val="20"/>
              </w:rPr>
              <w:t>Service de radiodiffusion sonore</w:t>
            </w:r>
          </w:p>
        </w:tc>
      </w:tr>
      <w:tr w:rsidR="008D12BD" w:rsidRPr="00550B70" w:rsidTr="005819BD">
        <w:tc>
          <w:tcPr>
            <w:tcW w:w="1140" w:type="dxa"/>
            <w:shd w:val="clear" w:color="auto" w:fill="auto"/>
          </w:tcPr>
          <w:p w:rsidR="008D12BD" w:rsidRPr="00550B70" w:rsidRDefault="008D12BD" w:rsidP="005819BD">
            <w:pPr>
              <w:spacing w:before="30" w:after="30"/>
              <w:ind w:left="57"/>
              <w:jc w:val="left"/>
              <w:rPr>
                <w:b/>
                <w:bCs/>
                <w:sz w:val="20"/>
              </w:rPr>
            </w:pPr>
            <w:r w:rsidRPr="00550B70">
              <w:rPr>
                <w:b/>
                <w:bCs/>
                <w:sz w:val="20"/>
              </w:rPr>
              <w:t>BT</w:t>
            </w:r>
          </w:p>
        </w:tc>
        <w:tc>
          <w:tcPr>
            <w:tcW w:w="8220" w:type="dxa"/>
            <w:shd w:val="clear" w:color="auto" w:fill="auto"/>
          </w:tcPr>
          <w:p w:rsidR="008D12BD" w:rsidRPr="00550B70"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50B70">
              <w:rPr>
                <w:b w:val="0"/>
                <w:bCs/>
                <w:sz w:val="20"/>
              </w:rPr>
              <w:t>Service de radiodiffusion télévisuelle</w:t>
            </w:r>
          </w:p>
        </w:tc>
      </w:tr>
      <w:tr w:rsidR="008D12BD" w:rsidRPr="00550B70" w:rsidTr="005819BD">
        <w:tc>
          <w:tcPr>
            <w:tcW w:w="1140" w:type="dxa"/>
            <w:shd w:val="clear" w:color="auto" w:fill="auto"/>
          </w:tcPr>
          <w:p w:rsidR="008D12BD" w:rsidRPr="00550B70" w:rsidRDefault="008D12BD" w:rsidP="005819BD">
            <w:pPr>
              <w:spacing w:before="30" w:after="30"/>
              <w:ind w:left="57"/>
              <w:jc w:val="left"/>
              <w:rPr>
                <w:b/>
                <w:bCs/>
                <w:sz w:val="20"/>
              </w:rPr>
            </w:pPr>
            <w:r w:rsidRPr="00550B70">
              <w:rPr>
                <w:b/>
                <w:bCs/>
                <w:sz w:val="20"/>
              </w:rPr>
              <w:t>F</w:t>
            </w:r>
          </w:p>
        </w:tc>
        <w:tc>
          <w:tcPr>
            <w:tcW w:w="8220" w:type="dxa"/>
            <w:shd w:val="clear" w:color="auto" w:fill="auto"/>
          </w:tcPr>
          <w:p w:rsidR="008D12BD" w:rsidRPr="00550B70" w:rsidRDefault="008D12BD" w:rsidP="005819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0B70">
              <w:rPr>
                <w:sz w:val="20"/>
              </w:rPr>
              <w:t>Service fixe</w:t>
            </w:r>
          </w:p>
        </w:tc>
      </w:tr>
      <w:tr w:rsidR="008D12BD" w:rsidRPr="00550B70" w:rsidTr="005819BD">
        <w:tc>
          <w:tcPr>
            <w:tcW w:w="1140" w:type="dxa"/>
            <w:shd w:val="clear" w:color="auto" w:fill="F3F3F3"/>
          </w:tcPr>
          <w:p w:rsidR="008D12BD" w:rsidRPr="00550B70" w:rsidRDefault="008D12BD" w:rsidP="005819BD">
            <w:pPr>
              <w:spacing w:before="30" w:after="30"/>
              <w:ind w:left="57"/>
              <w:jc w:val="left"/>
              <w:rPr>
                <w:b/>
                <w:bCs/>
                <w:color w:val="000080"/>
                <w:sz w:val="20"/>
              </w:rPr>
            </w:pPr>
            <w:r w:rsidRPr="00550B70">
              <w:rPr>
                <w:b/>
                <w:bCs/>
                <w:color w:val="000080"/>
                <w:sz w:val="20"/>
              </w:rPr>
              <w:t>M</w:t>
            </w:r>
          </w:p>
        </w:tc>
        <w:tc>
          <w:tcPr>
            <w:tcW w:w="8220" w:type="dxa"/>
            <w:shd w:val="clear" w:color="auto" w:fill="F3F3F3"/>
          </w:tcPr>
          <w:p w:rsidR="008D12BD" w:rsidRPr="00550B70"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50B70">
              <w:rPr>
                <w:bCs/>
                <w:color w:val="000080"/>
                <w:sz w:val="20"/>
              </w:rPr>
              <w:t>Services mobile, de radiorepérage et d'amateur y compris les services par satellite associés</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P</w:t>
            </w:r>
          </w:p>
        </w:tc>
        <w:tc>
          <w:tcPr>
            <w:tcW w:w="8220" w:type="dxa"/>
          </w:tcPr>
          <w:p w:rsidR="008D12BD" w:rsidRPr="00550B70" w:rsidRDefault="008D12BD" w:rsidP="005819BD">
            <w:pPr>
              <w:spacing w:before="30" w:after="30"/>
              <w:jc w:val="left"/>
              <w:rPr>
                <w:sz w:val="20"/>
              </w:rPr>
            </w:pPr>
            <w:r w:rsidRPr="00550B70">
              <w:rPr>
                <w:sz w:val="20"/>
              </w:rPr>
              <w:t>Propagation des ondes radioélectriques</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RA</w:t>
            </w:r>
          </w:p>
        </w:tc>
        <w:tc>
          <w:tcPr>
            <w:tcW w:w="8220" w:type="dxa"/>
          </w:tcPr>
          <w:p w:rsidR="008D12BD" w:rsidRPr="00550B70" w:rsidRDefault="008D12BD" w:rsidP="005819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0B70">
              <w:rPr>
                <w:sz w:val="20"/>
              </w:rPr>
              <w:t>Radio astronomie</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RS</w:t>
            </w:r>
          </w:p>
        </w:tc>
        <w:tc>
          <w:tcPr>
            <w:tcW w:w="8220" w:type="dxa"/>
          </w:tcPr>
          <w:p w:rsidR="008D12BD" w:rsidRPr="00550B70" w:rsidRDefault="008D12BD" w:rsidP="005819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0B70">
              <w:rPr>
                <w:sz w:val="20"/>
              </w:rPr>
              <w:t>Systèmes de télédétection</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S</w:t>
            </w:r>
          </w:p>
        </w:tc>
        <w:tc>
          <w:tcPr>
            <w:tcW w:w="8220" w:type="dxa"/>
          </w:tcPr>
          <w:p w:rsidR="008D12BD" w:rsidRPr="00550B70" w:rsidRDefault="008D12BD" w:rsidP="005819BD">
            <w:pPr>
              <w:spacing w:before="30" w:after="30"/>
              <w:jc w:val="left"/>
              <w:rPr>
                <w:sz w:val="20"/>
              </w:rPr>
            </w:pPr>
            <w:r w:rsidRPr="00550B70">
              <w:rPr>
                <w:sz w:val="20"/>
              </w:rPr>
              <w:t>Service fixe par satellite</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SA</w:t>
            </w:r>
          </w:p>
        </w:tc>
        <w:tc>
          <w:tcPr>
            <w:tcW w:w="8220" w:type="dxa"/>
          </w:tcPr>
          <w:p w:rsidR="008D12BD" w:rsidRPr="00550B70" w:rsidRDefault="008D12BD" w:rsidP="005819BD">
            <w:pPr>
              <w:spacing w:before="30" w:after="30"/>
              <w:jc w:val="left"/>
              <w:rPr>
                <w:sz w:val="20"/>
              </w:rPr>
            </w:pPr>
            <w:r w:rsidRPr="00550B70">
              <w:rPr>
                <w:sz w:val="20"/>
              </w:rPr>
              <w:t>Applications spatiales et météorologie</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SF</w:t>
            </w:r>
          </w:p>
        </w:tc>
        <w:tc>
          <w:tcPr>
            <w:tcW w:w="8220" w:type="dxa"/>
          </w:tcPr>
          <w:p w:rsidR="008D12BD" w:rsidRPr="00550B70" w:rsidRDefault="008D12BD" w:rsidP="005819BD">
            <w:pPr>
              <w:spacing w:before="30" w:after="30"/>
              <w:jc w:val="left"/>
              <w:rPr>
                <w:sz w:val="20"/>
              </w:rPr>
            </w:pPr>
            <w:r w:rsidRPr="00550B70">
              <w:rPr>
                <w:sz w:val="20"/>
              </w:rPr>
              <w:t>Partage des fréquences et coordination entre les systèmes du service fixe par satellite et du service fixe</w:t>
            </w:r>
          </w:p>
        </w:tc>
      </w:tr>
      <w:tr w:rsidR="008D12BD" w:rsidRPr="00550B70" w:rsidTr="005819BD">
        <w:tc>
          <w:tcPr>
            <w:tcW w:w="1140" w:type="dxa"/>
            <w:shd w:val="clear" w:color="auto" w:fill="auto"/>
          </w:tcPr>
          <w:p w:rsidR="008D12BD" w:rsidRPr="00550B70" w:rsidRDefault="008D12BD" w:rsidP="005819BD">
            <w:pPr>
              <w:spacing w:before="30" w:after="30"/>
              <w:ind w:left="57"/>
              <w:jc w:val="left"/>
              <w:rPr>
                <w:b/>
                <w:bCs/>
                <w:sz w:val="20"/>
              </w:rPr>
            </w:pPr>
            <w:r w:rsidRPr="00550B70">
              <w:rPr>
                <w:b/>
                <w:bCs/>
                <w:sz w:val="20"/>
              </w:rPr>
              <w:t>SM</w:t>
            </w:r>
          </w:p>
        </w:tc>
        <w:tc>
          <w:tcPr>
            <w:tcW w:w="8220" w:type="dxa"/>
            <w:shd w:val="clear" w:color="auto" w:fill="auto"/>
          </w:tcPr>
          <w:p w:rsidR="008D12BD" w:rsidRPr="00550B70" w:rsidRDefault="008D12BD" w:rsidP="005819BD">
            <w:pPr>
              <w:spacing w:before="30" w:after="30"/>
              <w:jc w:val="left"/>
              <w:rPr>
                <w:sz w:val="20"/>
              </w:rPr>
            </w:pPr>
            <w:r w:rsidRPr="00550B70">
              <w:rPr>
                <w:sz w:val="20"/>
              </w:rPr>
              <w:t>Gestion du spectre</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SNG</w:t>
            </w:r>
          </w:p>
        </w:tc>
        <w:tc>
          <w:tcPr>
            <w:tcW w:w="8220" w:type="dxa"/>
          </w:tcPr>
          <w:p w:rsidR="008D12BD" w:rsidRPr="00550B70" w:rsidRDefault="008D12BD" w:rsidP="005819BD">
            <w:pPr>
              <w:spacing w:before="30" w:after="30"/>
              <w:jc w:val="left"/>
              <w:rPr>
                <w:sz w:val="20"/>
              </w:rPr>
            </w:pPr>
            <w:r w:rsidRPr="00550B70">
              <w:rPr>
                <w:sz w:val="20"/>
              </w:rPr>
              <w:t>Reportage d'actualités par satellite</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TF</w:t>
            </w:r>
          </w:p>
        </w:tc>
        <w:tc>
          <w:tcPr>
            <w:tcW w:w="8220" w:type="dxa"/>
          </w:tcPr>
          <w:p w:rsidR="008D12BD" w:rsidRPr="00550B70" w:rsidRDefault="008D12BD" w:rsidP="005819BD">
            <w:pPr>
              <w:spacing w:before="30" w:after="30"/>
              <w:jc w:val="left"/>
              <w:rPr>
                <w:sz w:val="20"/>
              </w:rPr>
            </w:pPr>
            <w:r w:rsidRPr="00550B70">
              <w:rPr>
                <w:sz w:val="20"/>
              </w:rPr>
              <w:t>Emissions de fréquences étalon et de signaux horaires</w:t>
            </w:r>
          </w:p>
        </w:tc>
      </w:tr>
      <w:tr w:rsidR="008D12BD" w:rsidRPr="00550B70" w:rsidTr="005819BD">
        <w:tc>
          <w:tcPr>
            <w:tcW w:w="1140" w:type="dxa"/>
          </w:tcPr>
          <w:p w:rsidR="008D12BD" w:rsidRPr="00550B70" w:rsidRDefault="008D12BD" w:rsidP="005819BD">
            <w:pPr>
              <w:spacing w:before="30" w:after="30"/>
              <w:ind w:left="57"/>
              <w:jc w:val="left"/>
              <w:rPr>
                <w:b/>
                <w:bCs/>
                <w:sz w:val="20"/>
              </w:rPr>
            </w:pPr>
            <w:r w:rsidRPr="00550B70">
              <w:rPr>
                <w:b/>
                <w:bCs/>
                <w:sz w:val="20"/>
              </w:rPr>
              <w:t>V</w:t>
            </w:r>
          </w:p>
        </w:tc>
        <w:tc>
          <w:tcPr>
            <w:tcW w:w="8220" w:type="dxa"/>
          </w:tcPr>
          <w:p w:rsidR="008D12BD" w:rsidRPr="00550B70" w:rsidRDefault="008D12BD" w:rsidP="005819BD">
            <w:pPr>
              <w:spacing w:before="30" w:after="140"/>
              <w:jc w:val="left"/>
              <w:rPr>
                <w:sz w:val="20"/>
              </w:rPr>
            </w:pPr>
            <w:r w:rsidRPr="00550B70">
              <w:rPr>
                <w:sz w:val="20"/>
              </w:rPr>
              <w:t>Vocabulaire et sujets associés</w:t>
            </w:r>
          </w:p>
        </w:tc>
      </w:tr>
    </w:tbl>
    <w:p w:rsidR="008D12BD" w:rsidRPr="00550B70" w:rsidRDefault="008D12BD" w:rsidP="008D12BD">
      <w:pPr>
        <w:spacing w:before="0"/>
        <w:jc w:val="center"/>
        <w:rPr>
          <w:sz w:val="20"/>
        </w:rPr>
      </w:pPr>
    </w:p>
    <w:p w:rsidR="008D12BD" w:rsidRPr="00550B70" w:rsidRDefault="008D12BD" w:rsidP="008D12BD">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D12BD" w:rsidRPr="00550B70" w:rsidTr="005819BD">
        <w:tc>
          <w:tcPr>
            <w:tcW w:w="9360" w:type="dxa"/>
          </w:tcPr>
          <w:p w:rsidR="008D12BD" w:rsidRPr="00550B70" w:rsidRDefault="008D12BD" w:rsidP="005819BD">
            <w:pPr>
              <w:spacing w:before="80" w:after="80"/>
              <w:jc w:val="left"/>
              <w:rPr>
                <w:i/>
                <w:iCs/>
                <w:sz w:val="20"/>
              </w:rPr>
            </w:pPr>
            <w:r w:rsidRPr="00550B70">
              <w:rPr>
                <w:b/>
                <w:bCs/>
                <w:i/>
                <w:iCs/>
                <w:sz w:val="20"/>
              </w:rPr>
              <w:t>Note</w:t>
            </w:r>
            <w:r w:rsidRPr="00550B70">
              <w:rPr>
                <w:i/>
                <w:iCs/>
                <w:sz w:val="20"/>
              </w:rPr>
              <w:t>: Cette Recommandation UIT-R a été approuvée en anglais aux termes de la procédure détaillée dans la</w:t>
            </w:r>
            <w:r w:rsidRPr="00550B70">
              <w:rPr>
                <w:i/>
                <w:iCs/>
                <w:sz w:val="20"/>
              </w:rPr>
              <w:br/>
              <w:t xml:space="preserve">Résolution UIT-R 1. </w:t>
            </w:r>
          </w:p>
        </w:tc>
      </w:tr>
    </w:tbl>
    <w:p w:rsidR="008D12BD" w:rsidRPr="00550B70" w:rsidRDefault="008D12BD" w:rsidP="008D12BD">
      <w:pPr>
        <w:spacing w:before="0"/>
        <w:jc w:val="center"/>
        <w:rPr>
          <w:sz w:val="22"/>
        </w:rPr>
      </w:pPr>
    </w:p>
    <w:p w:rsidR="008D12BD" w:rsidRPr="00550B70" w:rsidRDefault="008D12BD" w:rsidP="008D12BD">
      <w:pPr>
        <w:spacing w:before="100"/>
        <w:jc w:val="right"/>
        <w:rPr>
          <w:i/>
          <w:iCs/>
          <w:sz w:val="20"/>
        </w:rPr>
      </w:pPr>
      <w:r w:rsidRPr="00550B70">
        <w:rPr>
          <w:i/>
          <w:iCs/>
          <w:sz w:val="20"/>
        </w:rPr>
        <w:t>Publication électronique</w:t>
      </w:r>
    </w:p>
    <w:p w:rsidR="008D12BD" w:rsidRPr="00550B70" w:rsidRDefault="008D12BD" w:rsidP="00344050">
      <w:pPr>
        <w:spacing w:before="0"/>
        <w:jc w:val="right"/>
        <w:rPr>
          <w:sz w:val="20"/>
        </w:rPr>
      </w:pPr>
      <w:r w:rsidRPr="00550B70">
        <w:rPr>
          <w:sz w:val="20"/>
        </w:rPr>
        <w:t>Genève, 201</w:t>
      </w:r>
      <w:r w:rsidR="00344050" w:rsidRPr="00550B70">
        <w:rPr>
          <w:sz w:val="20"/>
        </w:rPr>
        <w:t>8</w:t>
      </w:r>
    </w:p>
    <w:p w:rsidR="008D12BD" w:rsidRPr="00550B70" w:rsidRDefault="008D12BD" w:rsidP="00344050">
      <w:pPr>
        <w:spacing w:before="200"/>
        <w:jc w:val="center"/>
        <w:rPr>
          <w:sz w:val="20"/>
        </w:rPr>
      </w:pPr>
      <w:r w:rsidRPr="00550B70">
        <w:rPr>
          <w:sz w:val="20"/>
        </w:rPr>
        <w:sym w:font="Symbol" w:char="F0E3"/>
      </w:r>
      <w:r w:rsidRPr="00550B70">
        <w:rPr>
          <w:sz w:val="20"/>
        </w:rPr>
        <w:t xml:space="preserve"> UIT </w:t>
      </w:r>
      <w:bookmarkStart w:id="2" w:name="iiannee"/>
      <w:bookmarkEnd w:id="2"/>
      <w:r w:rsidRPr="00550B70">
        <w:rPr>
          <w:sz w:val="20"/>
        </w:rPr>
        <w:t>201</w:t>
      </w:r>
      <w:r w:rsidR="00344050" w:rsidRPr="00550B70">
        <w:rPr>
          <w:sz w:val="20"/>
        </w:rPr>
        <w:t>8</w:t>
      </w:r>
    </w:p>
    <w:p w:rsidR="008D12BD" w:rsidRPr="00550B70" w:rsidRDefault="008D12BD" w:rsidP="008D12BD">
      <w:pPr>
        <w:rPr>
          <w:sz w:val="18"/>
          <w:szCs w:val="18"/>
        </w:rPr>
      </w:pPr>
      <w:r w:rsidRPr="00550B70">
        <w:rPr>
          <w:sz w:val="18"/>
          <w:szCs w:val="18"/>
        </w:rPr>
        <w:t>Tous droits réservés. Aucune partie de cette publication ne peut être reproduite, par quelque procédé que ce soit, sans l</w:t>
      </w:r>
      <w:r w:rsidR="00FF4E17" w:rsidRPr="00550B70">
        <w:rPr>
          <w:sz w:val="18"/>
          <w:szCs w:val="18"/>
        </w:rPr>
        <w:t>'</w:t>
      </w:r>
      <w:r w:rsidRPr="00550B70">
        <w:rPr>
          <w:sz w:val="18"/>
          <w:szCs w:val="18"/>
        </w:rPr>
        <w:t>accord écrit préalable de l</w:t>
      </w:r>
      <w:r w:rsidR="00FF4E17" w:rsidRPr="00550B70">
        <w:rPr>
          <w:sz w:val="18"/>
          <w:szCs w:val="18"/>
        </w:rPr>
        <w:t>'</w:t>
      </w:r>
      <w:r w:rsidRPr="00550B70">
        <w:rPr>
          <w:sz w:val="18"/>
          <w:szCs w:val="18"/>
        </w:rPr>
        <w:t>UIT.</w:t>
      </w:r>
    </w:p>
    <w:p w:rsidR="008D12BD" w:rsidRPr="00550B70" w:rsidRDefault="008D12BD" w:rsidP="008D12BD">
      <w:pPr>
        <w:spacing w:before="160"/>
        <w:rPr>
          <w:i/>
          <w:sz w:val="20"/>
          <w:highlight w:val="yellow"/>
        </w:rPr>
        <w:sectPr w:rsidR="008D12BD" w:rsidRPr="00550B70"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8D12BD" w:rsidRPr="00550B70" w:rsidRDefault="008D12BD" w:rsidP="00344050">
      <w:pPr>
        <w:pStyle w:val="RecNo"/>
        <w:spacing w:before="0"/>
      </w:pPr>
      <w:bookmarkStart w:id="3" w:name="irecnoe"/>
      <w:bookmarkEnd w:id="3"/>
      <w:r w:rsidRPr="00550B70">
        <w:lastRenderedPageBreak/>
        <w:t xml:space="preserve">RECOMMANDATION  </w:t>
      </w:r>
      <w:r w:rsidRPr="00550B70">
        <w:rPr>
          <w:rStyle w:val="href"/>
        </w:rPr>
        <w:t>UIT-R  M.</w:t>
      </w:r>
      <w:r w:rsidR="00344050" w:rsidRPr="00550B70">
        <w:rPr>
          <w:rStyle w:val="href"/>
        </w:rPr>
        <w:t>1640-1</w:t>
      </w:r>
    </w:p>
    <w:p w:rsidR="00A6617B" w:rsidRPr="00550B70" w:rsidRDefault="00344050" w:rsidP="00317949">
      <w:pPr>
        <w:pStyle w:val="Rectitle"/>
      </w:pPr>
      <w:r w:rsidRPr="00550B70">
        <w:t>Caractéristiques et critères de protection s'appliquant aux études de</w:t>
      </w:r>
      <w:r w:rsidRPr="00550B70">
        <w:br/>
        <w:t xml:space="preserve">partage des radars du service de radiorepérage fonctionnant </w:t>
      </w:r>
      <w:r w:rsidRPr="00550B70">
        <w:br/>
        <w:t>dans la bande de fréquences 33,4-36 GHz</w:t>
      </w:r>
    </w:p>
    <w:p w:rsidR="00344050" w:rsidRPr="00344050" w:rsidRDefault="00344050" w:rsidP="00344050">
      <w:pPr>
        <w:jc w:val="center"/>
      </w:pPr>
      <w:bookmarkStart w:id="4" w:name="dtitle3" w:colFirst="0" w:colLast="0"/>
      <w:r w:rsidRPr="00344050">
        <w:t>(Questions UIT-R 213/7 et UIT-R 226/8)</w:t>
      </w:r>
    </w:p>
    <w:p w:rsidR="00344050" w:rsidRPr="00344050" w:rsidRDefault="00344050" w:rsidP="00344050">
      <w:pPr>
        <w:jc w:val="right"/>
      </w:pPr>
      <w:bookmarkStart w:id="5" w:name="dtitle4" w:colFirst="0" w:colLast="0"/>
      <w:bookmarkEnd w:id="4"/>
      <w:r w:rsidRPr="00344050">
        <w:t>(2003</w:t>
      </w:r>
      <w:r w:rsidR="00D02F5C" w:rsidRPr="00550B70">
        <w:t>-2018</w:t>
      </w:r>
      <w:r w:rsidRPr="00344050">
        <w:t>)</w:t>
      </w:r>
    </w:p>
    <w:bookmarkEnd w:id="5"/>
    <w:p w:rsidR="00344050" w:rsidRPr="00344050" w:rsidRDefault="00D02F5C" w:rsidP="003D1FCC">
      <w:pPr>
        <w:pStyle w:val="HeadingSum"/>
      </w:pPr>
      <w:r w:rsidRPr="00550B70">
        <w:t>Domaine d'application</w:t>
      </w:r>
    </w:p>
    <w:p w:rsidR="00344050" w:rsidRPr="00344050" w:rsidRDefault="00344050" w:rsidP="003D1FCC">
      <w:pPr>
        <w:pStyle w:val="Summary"/>
      </w:pPr>
      <w:r w:rsidRPr="00344050">
        <w:t>Cette Recommandation spécifie les caractéristiques techniques et les critères de protection des systèmes de radiorepérage fonctionnant dans la bande 33,4-36 GHz. Le texte a été élaboré comme un document ressource qui sera utile dans les études relatives aux possibilités de partage entre le service de radiorepérage et d'autres services.</w:t>
      </w:r>
    </w:p>
    <w:p w:rsidR="00D02F5C" w:rsidRPr="00550B70" w:rsidRDefault="00D02F5C" w:rsidP="00D02F5C">
      <w:pPr>
        <w:pStyle w:val="Headingb"/>
      </w:pPr>
      <w:r w:rsidRPr="00550B70">
        <w:t>Mots clés</w:t>
      </w:r>
    </w:p>
    <w:p w:rsidR="00D02F5C" w:rsidRPr="00550B70" w:rsidRDefault="00D02F5C" w:rsidP="00D02F5C">
      <w:r w:rsidRPr="00550B70">
        <w:t>Caractéristiques, critères de protection, radar, imageur radiométrique, radar métrique, autodirecteur, radar de recherche, radar de poursuite</w:t>
      </w:r>
    </w:p>
    <w:p w:rsidR="00D02F5C" w:rsidRPr="00550B70" w:rsidRDefault="00D02F5C" w:rsidP="00D02F5C">
      <w:pPr>
        <w:pStyle w:val="Headingb"/>
      </w:pPr>
      <w:r w:rsidRPr="00550B70">
        <w:t>Abréviations/Glossaire</w:t>
      </w:r>
    </w:p>
    <w:p w:rsidR="00D02F5C" w:rsidRPr="00550B70" w:rsidRDefault="00D02F5C" w:rsidP="00D02F5C">
      <w:r w:rsidRPr="00550B70">
        <w:t xml:space="preserve">FI: </w:t>
      </w:r>
      <w:r w:rsidRPr="00550B70">
        <w:tab/>
        <w:t>fréquence intermédiaire</w:t>
      </w:r>
    </w:p>
    <w:p w:rsidR="00D02F5C" w:rsidRPr="00550B70" w:rsidRDefault="00D02F5C" w:rsidP="00D02F5C">
      <w:r w:rsidRPr="00550B70">
        <w:t xml:space="preserve">RF: </w:t>
      </w:r>
      <w:r w:rsidRPr="00550B70">
        <w:tab/>
        <w:t>fréquence radioélectrique (</w:t>
      </w:r>
      <w:r w:rsidRPr="00550B70">
        <w:rPr>
          <w:i/>
          <w:iCs/>
        </w:rPr>
        <w:t>radio frequency</w:t>
      </w:r>
      <w:r w:rsidRPr="00550B70">
        <w:t>)</w:t>
      </w:r>
    </w:p>
    <w:p w:rsidR="00D02F5C" w:rsidRPr="00550B70" w:rsidRDefault="00D02F5C" w:rsidP="00D02F5C">
      <w:r w:rsidRPr="00550B70">
        <w:t xml:space="preserve">RR: </w:t>
      </w:r>
      <w:r w:rsidRPr="00550B70">
        <w:tab/>
        <w:t>Règlement des radiocommunications</w:t>
      </w:r>
    </w:p>
    <w:p w:rsidR="00D02F5C" w:rsidRPr="00550B70" w:rsidRDefault="00D02F5C" w:rsidP="00D02F5C">
      <w:r w:rsidRPr="00550B70">
        <w:t xml:space="preserve">Rx: </w:t>
      </w:r>
      <w:r w:rsidRPr="00550B70">
        <w:tab/>
        <w:t>réception (</w:t>
      </w:r>
      <w:r w:rsidRPr="00550B70">
        <w:rPr>
          <w:i/>
          <w:iCs/>
        </w:rPr>
        <w:t>receive</w:t>
      </w:r>
      <w:r w:rsidRPr="00550B70">
        <w:t>)</w:t>
      </w:r>
    </w:p>
    <w:p w:rsidR="00D02F5C" w:rsidRPr="00550B70" w:rsidRDefault="00D02F5C" w:rsidP="00D02F5C">
      <w:r w:rsidRPr="00550B70">
        <w:t xml:space="preserve">Tx: </w:t>
      </w:r>
      <w:r w:rsidRPr="00550B70">
        <w:tab/>
        <w:t>émission (</w:t>
      </w:r>
      <w:r w:rsidRPr="00550B70">
        <w:rPr>
          <w:i/>
          <w:iCs/>
        </w:rPr>
        <w:t>transmit</w:t>
      </w:r>
      <w:r w:rsidRPr="00550B70">
        <w:t>)</w:t>
      </w:r>
    </w:p>
    <w:p w:rsidR="00D02F5C" w:rsidRPr="00550B70" w:rsidRDefault="00D02F5C" w:rsidP="00D02F5C">
      <w:pPr>
        <w:pStyle w:val="Headingb"/>
        <w:rPr>
          <w:rFonts w:eastAsia="SimSun"/>
        </w:rPr>
      </w:pPr>
      <w:r w:rsidRPr="00550B70">
        <w:rPr>
          <w:rFonts w:eastAsia="SimSun"/>
        </w:rPr>
        <w:t>Recommandations et Rapports de l'UIT connexes</w:t>
      </w:r>
    </w:p>
    <w:p w:rsidR="00D02F5C" w:rsidRPr="00550B70" w:rsidRDefault="00D02F5C" w:rsidP="003D1FCC">
      <w:pPr>
        <w:pStyle w:val="Reftext"/>
        <w:rPr>
          <w:rFonts w:eastAsia="SimSun"/>
        </w:rPr>
      </w:pPr>
      <w:r w:rsidRPr="00550B70">
        <w:rPr>
          <w:rFonts w:eastAsia="SimSun"/>
        </w:rPr>
        <w:t>Recommandation UIT-R M.1461 – Procédures d'évaluation des risques de brouillage entre des radars fonctionnant dans le service de radiorepérage et les systèmes d'autres services.</w:t>
      </w:r>
    </w:p>
    <w:p w:rsidR="00344050" w:rsidRPr="00344050" w:rsidRDefault="00344050" w:rsidP="007860B4">
      <w:pPr>
        <w:pStyle w:val="Normalaftertitle"/>
      </w:pPr>
      <w:r w:rsidRPr="00344050">
        <w:t>L'Assemblée des radiocommunications de l'UIT,</w:t>
      </w:r>
    </w:p>
    <w:p w:rsidR="00344050" w:rsidRPr="00344050" w:rsidRDefault="00344050" w:rsidP="007860B4">
      <w:pPr>
        <w:pStyle w:val="Call"/>
      </w:pPr>
      <w:r w:rsidRPr="00344050">
        <w:t>considérant</w:t>
      </w:r>
    </w:p>
    <w:p w:rsidR="00344050" w:rsidRPr="00344050" w:rsidRDefault="00344050" w:rsidP="00344050">
      <w:r w:rsidRPr="00500DDA">
        <w:rPr>
          <w:i/>
          <w:iCs/>
        </w:rPr>
        <w:t>a)</w:t>
      </w:r>
      <w:r w:rsidRPr="00344050">
        <w:tab/>
        <w:t>que les caractéristiques d'antenne, de propagation du signal, de détection des cibles et de grande largeur de bande nécessaire propres aux radars pour remplir leur fonction sont optimales dans certaines bandes de fréquences;</w:t>
      </w:r>
    </w:p>
    <w:p w:rsidR="00344050" w:rsidRPr="00344050" w:rsidRDefault="00344050" w:rsidP="00344050">
      <w:r w:rsidRPr="00500DDA">
        <w:rPr>
          <w:i/>
          <w:iCs/>
        </w:rPr>
        <w:t>b)</w:t>
      </w:r>
      <w:r w:rsidRPr="00500DDA">
        <w:rPr>
          <w:i/>
          <w:iCs/>
        </w:rPr>
        <w:tab/>
      </w:r>
      <w:r w:rsidRPr="00344050">
        <w:t>que les caractéristiques techniques des radars fonctionnant dans le service de radiorepérage sont déterminées par les objectifs du système et varient grandement, même à l'intérieur d'une bande;</w:t>
      </w:r>
    </w:p>
    <w:p w:rsidR="00344050" w:rsidRPr="00344050" w:rsidRDefault="00313D3C" w:rsidP="00344050">
      <w:r w:rsidRPr="00500DDA">
        <w:rPr>
          <w:i/>
          <w:iCs/>
        </w:rPr>
        <w:t>c</w:t>
      </w:r>
      <w:r w:rsidR="00344050" w:rsidRPr="00500DDA">
        <w:rPr>
          <w:i/>
          <w:iCs/>
        </w:rPr>
        <w:t>)</w:t>
      </w:r>
      <w:r w:rsidR="00344050" w:rsidRPr="00344050">
        <w:tab/>
        <w:t>que des caractéristiques techniques et d'exploitation représentatives des radars sont nécessaires pour déterminer la possibilité d'introduire dans les bandes de fréquences de nouveaux types de systèmes;</w:t>
      </w:r>
    </w:p>
    <w:p w:rsidR="00344050" w:rsidRPr="00344050" w:rsidRDefault="00313D3C" w:rsidP="00344050">
      <w:r w:rsidRPr="007860B4">
        <w:rPr>
          <w:i/>
          <w:iCs/>
        </w:rPr>
        <w:t>d</w:t>
      </w:r>
      <w:r w:rsidR="00344050" w:rsidRPr="007860B4">
        <w:rPr>
          <w:i/>
          <w:iCs/>
        </w:rPr>
        <w:t>)</w:t>
      </w:r>
      <w:r w:rsidR="00344050" w:rsidRPr="00344050">
        <w:tab/>
        <w:t>que des procédures et des méthodologies permettant d'analyser la compatibilité des radars fonctionnant dans le service de radiorepérage avec d'autres systèmes dans d'autres services sont exposées dans la Recommandation UIT-R M.1461;</w:t>
      </w:r>
    </w:p>
    <w:p w:rsidR="00344050" w:rsidRPr="00344050" w:rsidRDefault="00313D3C" w:rsidP="00344050">
      <w:r w:rsidRPr="007860B4">
        <w:rPr>
          <w:i/>
          <w:iCs/>
        </w:rPr>
        <w:t>e</w:t>
      </w:r>
      <w:r w:rsidR="00344050" w:rsidRPr="007860B4">
        <w:rPr>
          <w:i/>
          <w:iCs/>
        </w:rPr>
        <w:t>)</w:t>
      </w:r>
      <w:r w:rsidR="00344050" w:rsidRPr="00344050">
        <w:tab/>
        <w:t>que les radars de radiorepérage fonctionnent dans la bande</w:t>
      </w:r>
      <w:r w:rsidR="001F4417" w:rsidRPr="00550B70">
        <w:t xml:space="preserve"> de fréquences</w:t>
      </w:r>
      <w:r w:rsidR="00344050" w:rsidRPr="00344050">
        <w:t xml:space="preserve"> 33,4-36 GHz;</w:t>
      </w:r>
    </w:p>
    <w:p w:rsidR="00344050" w:rsidRPr="00344050" w:rsidRDefault="00313D3C" w:rsidP="00344050">
      <w:r w:rsidRPr="007860B4">
        <w:rPr>
          <w:i/>
          <w:iCs/>
        </w:rPr>
        <w:lastRenderedPageBreak/>
        <w:t>f</w:t>
      </w:r>
      <w:r w:rsidR="00344050" w:rsidRPr="007860B4">
        <w:rPr>
          <w:i/>
          <w:iCs/>
        </w:rPr>
        <w:t>)</w:t>
      </w:r>
      <w:r w:rsidR="00344050" w:rsidRPr="00344050">
        <w:tab/>
        <w:t>que la bande de fréquences 33,4-34,2 GHz est attribuée à titre primaire au service de radiolocalisation;</w:t>
      </w:r>
    </w:p>
    <w:p w:rsidR="00344050" w:rsidRPr="00344050" w:rsidRDefault="00313D3C" w:rsidP="00344050">
      <w:r w:rsidRPr="007860B4">
        <w:rPr>
          <w:i/>
          <w:iCs/>
        </w:rPr>
        <w:t>g</w:t>
      </w:r>
      <w:r w:rsidR="00344050" w:rsidRPr="007860B4">
        <w:rPr>
          <w:i/>
          <w:iCs/>
        </w:rPr>
        <w:t>)</w:t>
      </w:r>
      <w:r w:rsidR="00344050" w:rsidRPr="00344050">
        <w:tab/>
        <w:t>que la bande de fréquences 34,2-34,7 GHz est attribuée à titre primaire aux services de radiolocalisation et de recherche spatiale (espace lointain) (Terre vers espace);</w:t>
      </w:r>
    </w:p>
    <w:p w:rsidR="00344050" w:rsidRPr="00344050" w:rsidRDefault="00313D3C" w:rsidP="00344050">
      <w:r w:rsidRPr="007860B4">
        <w:rPr>
          <w:i/>
          <w:iCs/>
        </w:rPr>
        <w:t>h</w:t>
      </w:r>
      <w:r w:rsidR="00344050" w:rsidRPr="007860B4">
        <w:rPr>
          <w:i/>
          <w:iCs/>
        </w:rPr>
        <w:t>)</w:t>
      </w:r>
      <w:r w:rsidR="00344050" w:rsidRPr="00344050">
        <w:tab/>
        <w:t>que la bande de fréquences 34,7-35,2 GHz est attribuée à titre primaire au service de radiolocalisation et à titre secondaire au service de recherche spatiale;</w:t>
      </w:r>
    </w:p>
    <w:p w:rsidR="00344050" w:rsidRPr="00344050" w:rsidRDefault="00313D3C" w:rsidP="00344050">
      <w:r w:rsidRPr="007860B4">
        <w:rPr>
          <w:i/>
          <w:iCs/>
        </w:rPr>
        <w:t>i</w:t>
      </w:r>
      <w:r w:rsidR="00344050" w:rsidRPr="007860B4">
        <w:rPr>
          <w:i/>
          <w:iCs/>
        </w:rPr>
        <w:t>)</w:t>
      </w:r>
      <w:r w:rsidR="00344050" w:rsidRPr="00344050">
        <w:tab/>
        <w:t>que la bande de fréquences 35,2-35,5 GHz est attribuée à titre primaire au service des auxiliaires de la météorologie et de radiolocalisation;</w:t>
      </w:r>
    </w:p>
    <w:p w:rsidR="00344050" w:rsidRPr="00344050" w:rsidRDefault="00313D3C" w:rsidP="001D3170">
      <w:r w:rsidRPr="007860B4">
        <w:rPr>
          <w:i/>
          <w:iCs/>
        </w:rPr>
        <w:t>j</w:t>
      </w:r>
      <w:r w:rsidR="00344050" w:rsidRPr="007860B4">
        <w:rPr>
          <w:i/>
          <w:iCs/>
        </w:rPr>
        <w:t>)</w:t>
      </w:r>
      <w:r w:rsidR="00344050" w:rsidRPr="00344050">
        <w:tab/>
        <w:t xml:space="preserve">que la bande de fréquences 35,5-36 GHz est attribuée à titre primaire au service des auxiliaires de la météorologie, d'exploration de la Terre par satellite (active), de radiolocalisation et de recherche spatiale (active), </w:t>
      </w:r>
    </w:p>
    <w:p w:rsidR="00344050" w:rsidRPr="00344050" w:rsidRDefault="00344050" w:rsidP="007860B4">
      <w:pPr>
        <w:pStyle w:val="Call"/>
      </w:pPr>
      <w:r w:rsidRPr="00344050">
        <w:t>recommande</w:t>
      </w:r>
    </w:p>
    <w:p w:rsidR="00344050" w:rsidRPr="00344050" w:rsidRDefault="00344050" w:rsidP="007860B4">
      <w:r w:rsidRPr="00344050">
        <w:rPr>
          <w:b/>
          <w:bCs/>
        </w:rPr>
        <w:t>1</w:t>
      </w:r>
      <w:r w:rsidRPr="00344050">
        <w:tab/>
        <w:t>que les caractéristiques techniques et d'exploitation des radars de radiorepérage présentées dans l'Annexe 1 soient considérées comme représentatives des systèmes fonctionnant dans la bande de fréquences 33,4-36 GHz;</w:t>
      </w:r>
    </w:p>
    <w:p w:rsidR="00344050" w:rsidRPr="00344050" w:rsidRDefault="00344050" w:rsidP="001D3170">
      <w:r w:rsidRPr="00344050">
        <w:rPr>
          <w:b/>
          <w:bCs/>
        </w:rPr>
        <w:t>2</w:t>
      </w:r>
      <w:r w:rsidRPr="00344050">
        <w:rPr>
          <w:b/>
          <w:bCs/>
        </w:rPr>
        <w:tab/>
      </w:r>
      <w:r w:rsidRPr="00344050">
        <w:t>que, en cas de brouillage continu (</w:t>
      </w:r>
      <w:r w:rsidR="00605B57">
        <w:t xml:space="preserve">et </w:t>
      </w:r>
      <w:r w:rsidRPr="00344050">
        <w:t xml:space="preserve">non </w:t>
      </w:r>
      <w:r w:rsidR="00605B57">
        <w:t>par impulsions</w:t>
      </w:r>
      <w:r w:rsidRPr="00344050">
        <w:t xml:space="preserve">), un </w:t>
      </w:r>
      <w:r w:rsidR="00550B70" w:rsidRPr="00550B70">
        <w:t xml:space="preserve">rapport entre la puissance du signal brouilleur et </w:t>
      </w:r>
      <w:r w:rsidR="00550B70">
        <w:t xml:space="preserve">la </w:t>
      </w:r>
      <w:r w:rsidR="00550B70" w:rsidRPr="00550B70">
        <w:t>puissance de bruit du récepteur du radar</w:t>
      </w:r>
      <w:r w:rsidRPr="00344050">
        <w:t xml:space="preserve">, </w:t>
      </w:r>
      <w:r w:rsidRPr="00344050">
        <w:rPr>
          <w:i/>
          <w:iCs/>
        </w:rPr>
        <w:t>I</w:t>
      </w:r>
      <w:r w:rsidRPr="00344050">
        <w:t>/</w:t>
      </w:r>
      <w:r w:rsidRPr="00344050">
        <w:rPr>
          <w:i/>
          <w:iCs/>
        </w:rPr>
        <w:t>N</w:t>
      </w:r>
      <w:r w:rsidRPr="00344050">
        <w:t xml:space="preserve">, de </w:t>
      </w:r>
      <w:r w:rsidR="001D3170">
        <w:t>−</w:t>
      </w:r>
      <w:r w:rsidRPr="00344050">
        <w:t xml:space="preserve">6 dB </w:t>
      </w:r>
      <w:r w:rsidR="001F4417" w:rsidRPr="00550B70">
        <w:t xml:space="preserve">soit </w:t>
      </w:r>
      <w:r w:rsidRPr="00344050">
        <w:t xml:space="preserve">utilisé </w:t>
      </w:r>
      <w:r w:rsidR="001F4417" w:rsidRPr="00550B70">
        <w:t xml:space="preserve">d'une manière </w:t>
      </w:r>
      <w:r w:rsidR="00550B70" w:rsidRPr="00550B70">
        <w:t>générale</w:t>
      </w:r>
      <w:r w:rsidR="001F4417" w:rsidRPr="00550B70">
        <w:t xml:space="preserve"> </w:t>
      </w:r>
      <w:r w:rsidRPr="00344050">
        <w:t>comme niveau de protection requis pour les systèmes de radiolocalisation dans le cadre des études de partage</w:t>
      </w:r>
      <w:r w:rsidR="001F4417" w:rsidRPr="00550B70">
        <w:t>, y compris pour le radar de recherche et de poursuite (F) du Tableau 1 de l'Annexe 1 dans la gamme de fréquences 33,4-36 GHz</w:t>
      </w:r>
      <w:r w:rsidRPr="00344050">
        <w:t>;</w:t>
      </w:r>
    </w:p>
    <w:p w:rsidR="00344050" w:rsidRPr="00344050" w:rsidRDefault="00344050" w:rsidP="001F4417">
      <w:r w:rsidRPr="00344050">
        <w:rPr>
          <w:b/>
          <w:bCs/>
        </w:rPr>
        <w:t>3</w:t>
      </w:r>
      <w:r w:rsidRPr="00344050">
        <w:tab/>
        <w:t xml:space="preserve">que, pour les études de partage de la bande 33,4-36 GHz entre les radars </w:t>
      </w:r>
      <w:r w:rsidR="001F4417" w:rsidRPr="00550B70">
        <w:t xml:space="preserve">(A-E) du Tableau 1 de l'Annexe 1 </w:t>
      </w:r>
      <w:r w:rsidRPr="00344050">
        <w:t>et des systèmes d'autres services, les critères suivants soient utilisés:</w:t>
      </w:r>
    </w:p>
    <w:p w:rsidR="00344050" w:rsidRPr="00344050" w:rsidRDefault="00344050" w:rsidP="001D3170">
      <w:pPr>
        <w:pStyle w:val="enumlev1"/>
      </w:pPr>
      <w:r w:rsidRPr="00344050">
        <w:t>–</w:t>
      </w:r>
      <w:r w:rsidRPr="00344050">
        <w:tab/>
        <w:t xml:space="preserve">pour les imageurs radiométriques, un critère de protection à court terme de </w:t>
      </w:r>
      <w:r w:rsidR="001D3170">
        <w:t>−</w:t>
      </w:r>
      <w:r w:rsidRPr="00344050">
        <w:t>137,8 dB(W/2 GHz) pendant moins de 3 s et un critère de protection à long terme de</w:t>
      </w:r>
      <w:r w:rsidR="001D3170">
        <w:t xml:space="preserve"> −</w:t>
      </w:r>
      <w:r w:rsidRPr="00344050">
        <w:t>144,8</w:t>
      </w:r>
      <w:r w:rsidR="001D3170">
        <w:t> </w:t>
      </w:r>
      <w:r w:rsidRPr="00344050">
        <w:t>dB(W/2 GHz) au maximum pendant moins de 60 s;</w:t>
      </w:r>
    </w:p>
    <w:p w:rsidR="00344050" w:rsidRDefault="00344050" w:rsidP="001D3170">
      <w:pPr>
        <w:pStyle w:val="enumlev1"/>
      </w:pPr>
      <w:r w:rsidRPr="00344050">
        <w:t>–</w:t>
      </w:r>
      <w:r w:rsidRPr="00344050">
        <w:tab/>
        <w:t>pour les radars métriques</w:t>
      </w:r>
      <w:r w:rsidR="001F4417" w:rsidRPr="00550B70">
        <w:t xml:space="preserve"> et les autodirecteurs</w:t>
      </w:r>
      <w:r w:rsidRPr="00344050">
        <w:t xml:space="preserve">, un critère de protection à court terme de </w:t>
      </w:r>
      <w:r w:rsidR="001D3170">
        <w:t>−</w:t>
      </w:r>
      <w:r w:rsidRPr="00344050">
        <w:t xml:space="preserve">126,2 dB(W/6 MHz) pendant moins de 5 s et un critère de protection à long terme de </w:t>
      </w:r>
      <w:r w:rsidR="001D3170">
        <w:t>−</w:t>
      </w:r>
      <w:r w:rsidRPr="00344050">
        <w:t>136,1 dB(W/6 MHz) au maximum pendant moins de 60 s.</w:t>
      </w:r>
    </w:p>
    <w:p w:rsidR="001D3170" w:rsidRDefault="001D3170" w:rsidP="001D3170">
      <w:pPr>
        <w:pStyle w:val="enumlev1"/>
      </w:pPr>
    </w:p>
    <w:p w:rsidR="001D3170" w:rsidRPr="00344050" w:rsidRDefault="001D3170" w:rsidP="001D3170">
      <w:pPr>
        <w:pStyle w:val="enumlev1"/>
      </w:pPr>
    </w:p>
    <w:p w:rsidR="00344050" w:rsidRPr="00344050" w:rsidRDefault="00344050" w:rsidP="00E3271D">
      <w:pPr>
        <w:pStyle w:val="AnnexNoTitle"/>
      </w:pPr>
      <w:r w:rsidRPr="00344050">
        <w:t>Annexe 1</w:t>
      </w:r>
      <w:r w:rsidRPr="00344050">
        <w:br/>
      </w:r>
      <w:r w:rsidRPr="00344050">
        <w:br/>
        <w:t xml:space="preserve">Caractéristiques et critères de protection des radars du service </w:t>
      </w:r>
      <w:r w:rsidRPr="00344050">
        <w:br/>
        <w:t xml:space="preserve">de radiorepérage fonctionnant dans la bande </w:t>
      </w:r>
      <w:r w:rsidRPr="00344050">
        <w:br/>
        <w:t>de fréquences 33,4-36 GHz</w:t>
      </w:r>
    </w:p>
    <w:p w:rsidR="00344050" w:rsidRPr="00344050" w:rsidRDefault="00344050" w:rsidP="00E3271D">
      <w:pPr>
        <w:pStyle w:val="Heading1"/>
      </w:pPr>
      <w:r w:rsidRPr="00344050">
        <w:t>1</w:t>
      </w:r>
      <w:r w:rsidRPr="00344050">
        <w:tab/>
        <w:t>Objet</w:t>
      </w:r>
    </w:p>
    <w:p w:rsidR="00344050" w:rsidRPr="00344050" w:rsidRDefault="00344050" w:rsidP="00344050">
      <w:r w:rsidRPr="00344050">
        <w:t xml:space="preserve">Les caractéristiques et les critères de protection proposés dans la présente Recommandation sont destinés aux études de partage demandées dans les Résolutions </w:t>
      </w:r>
      <w:r w:rsidRPr="001D3170">
        <w:rPr>
          <w:b/>
          <w:bCs/>
        </w:rPr>
        <w:t>712 (CMR-2000)</w:t>
      </w:r>
      <w:r w:rsidRPr="00344050">
        <w:t xml:space="preserve"> et </w:t>
      </w:r>
      <w:r w:rsidRPr="001D3170">
        <w:rPr>
          <w:b/>
          <w:bCs/>
        </w:rPr>
        <w:t>730 (CMR</w:t>
      </w:r>
      <w:r w:rsidRPr="001D3170">
        <w:rPr>
          <w:b/>
          <w:bCs/>
        </w:rPr>
        <w:noBreakHyphen/>
        <w:t>2000)</w:t>
      </w:r>
      <w:r w:rsidRPr="00344050">
        <w:t xml:space="preserve"> et pour évaluer la compatibilité entre les radars et d'autres systèmes fonctionnant dans la bande </w:t>
      </w:r>
      <w:r w:rsidR="00990261" w:rsidRPr="00550B70">
        <w:t xml:space="preserve">de fréquences </w:t>
      </w:r>
      <w:r w:rsidRPr="00344050">
        <w:t>33,4-36 GHz.</w:t>
      </w:r>
    </w:p>
    <w:p w:rsidR="00344050" w:rsidRPr="00344050" w:rsidRDefault="00344050" w:rsidP="00E3271D">
      <w:pPr>
        <w:pStyle w:val="Heading1"/>
      </w:pPr>
      <w:r w:rsidRPr="00344050">
        <w:lastRenderedPageBreak/>
        <w:t>2</w:t>
      </w:r>
      <w:r w:rsidRPr="00344050">
        <w:tab/>
        <w:t>Caractéristiques techniques</w:t>
      </w:r>
    </w:p>
    <w:p w:rsidR="00344050" w:rsidRPr="00344050" w:rsidRDefault="00344050" w:rsidP="001D3170">
      <w:r w:rsidRPr="00344050">
        <w:t>Les systèmes du service de radiorepérage devraient pouvoir utiliser les fréquences au voisinage de 35</w:t>
      </w:r>
      <w:r w:rsidR="001D3170">
        <w:t> </w:t>
      </w:r>
      <w:r w:rsidRPr="00344050">
        <w:t>GHz et de 94 GHz, qui correspondent approximativement aux deux premières fenêtres de propagation dans les caractéristiques d'absorption atmosphérique du spectre des ondes millimétriques, pour obtenir la grande précision de mesure et la résolution de la cible qui sont possibles aux longueurs d'onde millimétriques. Les détecteurs actifs comme les capteurs passifs fonctionnant dans le service de radiorepérage au voisinage de ces fréquences sont utilisés pour la cartographie, l'identification de cibles, la navigation, la détermination de points de visée, la télémétrie, etc. Le Tableau 1 résume les caractéristiques techniques de systèmes représentatifs utilisés dans ces bandes. Les informations sont suffisantes pour les calculs généraux visant à évaluer la compatibilité entre ces radars et d'autres systèmes.</w:t>
      </w:r>
    </w:p>
    <w:p w:rsidR="00344050" w:rsidRPr="00344050" w:rsidRDefault="00344050" w:rsidP="001D3170">
      <w:pPr>
        <w:pStyle w:val="TableNo"/>
      </w:pPr>
      <w:r w:rsidRPr="00344050">
        <w:t>TABLEAU 1</w:t>
      </w:r>
    </w:p>
    <w:p w:rsidR="00344050" w:rsidRPr="00550B70" w:rsidRDefault="00344050" w:rsidP="001D3170">
      <w:pPr>
        <w:pStyle w:val="Tabletitle"/>
      </w:pPr>
      <w:r w:rsidRPr="00344050">
        <w:t>Caractéristiques techniques des radars fonctionnant au voisinage de 35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6"/>
        <w:gridCol w:w="683"/>
        <w:gridCol w:w="850"/>
        <w:gridCol w:w="1158"/>
        <w:gridCol w:w="1212"/>
        <w:gridCol w:w="1155"/>
        <w:gridCol w:w="1291"/>
        <w:gridCol w:w="1284"/>
      </w:tblGrid>
      <w:tr w:rsidR="00990261" w:rsidRPr="00550B70" w:rsidTr="00990261">
        <w:trPr>
          <w:cantSplit/>
          <w:tblHeader/>
          <w:jc w:val="center"/>
        </w:trPr>
        <w:tc>
          <w:tcPr>
            <w:tcW w:w="2006" w:type="dxa"/>
            <w:tcBorders>
              <w:top w:val="single" w:sz="4" w:space="0" w:color="auto"/>
              <w:left w:val="single" w:sz="4" w:space="0" w:color="auto"/>
              <w:bottom w:val="single" w:sz="4" w:space="0" w:color="auto"/>
              <w:right w:val="single" w:sz="4" w:space="0" w:color="auto"/>
            </w:tcBorders>
            <w:vAlign w:val="bottom"/>
            <w:hideMark/>
          </w:tcPr>
          <w:p w:rsidR="00990261" w:rsidRPr="00550B70" w:rsidRDefault="00990261" w:rsidP="00990261">
            <w:pPr>
              <w:pStyle w:val="Tablehead"/>
              <w:rPr>
                <w:sz w:val="21"/>
                <w:szCs w:val="21"/>
              </w:rPr>
            </w:pPr>
            <w:r w:rsidRPr="00550B70">
              <w:rPr>
                <w:sz w:val="21"/>
                <w:szCs w:val="21"/>
              </w:rPr>
              <w:t>Paramètre</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6A1571">
            <w:pPr>
              <w:pStyle w:val="Tablehead"/>
              <w:rPr>
                <w:sz w:val="21"/>
                <w:szCs w:val="21"/>
              </w:rPr>
            </w:pPr>
            <w:r w:rsidRPr="00550B70">
              <w:rPr>
                <w:sz w:val="21"/>
                <w:szCs w:val="21"/>
              </w:rPr>
              <w:t>Unité</w:t>
            </w:r>
          </w:p>
        </w:tc>
        <w:tc>
          <w:tcPr>
            <w:tcW w:w="850" w:type="dxa"/>
            <w:tcBorders>
              <w:top w:val="single" w:sz="4" w:space="0" w:color="auto"/>
              <w:left w:val="single" w:sz="4" w:space="0" w:color="auto"/>
              <w:bottom w:val="single" w:sz="4" w:space="0" w:color="auto"/>
              <w:right w:val="single" w:sz="4" w:space="0" w:color="auto"/>
            </w:tcBorders>
            <w:vAlign w:val="bottom"/>
            <w:hideMark/>
          </w:tcPr>
          <w:p w:rsidR="00990261" w:rsidRPr="00550B70" w:rsidRDefault="00990261" w:rsidP="006A1571">
            <w:pPr>
              <w:pStyle w:val="Tablehead"/>
              <w:rPr>
                <w:sz w:val="21"/>
                <w:szCs w:val="21"/>
              </w:rPr>
            </w:pPr>
            <w:r w:rsidRPr="00550B70">
              <w:rPr>
                <w:sz w:val="21"/>
                <w:szCs w:val="21"/>
              </w:rPr>
              <w:t>Radar A</w:t>
            </w:r>
          </w:p>
        </w:tc>
        <w:tc>
          <w:tcPr>
            <w:tcW w:w="1158" w:type="dxa"/>
            <w:tcBorders>
              <w:top w:val="single" w:sz="4" w:space="0" w:color="auto"/>
              <w:left w:val="single" w:sz="4" w:space="0" w:color="auto"/>
              <w:bottom w:val="single" w:sz="4" w:space="0" w:color="auto"/>
              <w:right w:val="single" w:sz="4" w:space="0" w:color="auto"/>
            </w:tcBorders>
            <w:vAlign w:val="bottom"/>
            <w:hideMark/>
          </w:tcPr>
          <w:p w:rsidR="00990261" w:rsidRPr="00550B70" w:rsidRDefault="00990261" w:rsidP="006A1571">
            <w:pPr>
              <w:pStyle w:val="Tablehead"/>
              <w:rPr>
                <w:sz w:val="21"/>
                <w:szCs w:val="21"/>
              </w:rPr>
            </w:pPr>
            <w:r w:rsidRPr="00550B70">
              <w:rPr>
                <w:sz w:val="21"/>
                <w:szCs w:val="21"/>
              </w:rPr>
              <w:t>Radar B</w:t>
            </w:r>
          </w:p>
        </w:tc>
        <w:tc>
          <w:tcPr>
            <w:tcW w:w="1212" w:type="dxa"/>
            <w:tcBorders>
              <w:top w:val="single" w:sz="4" w:space="0" w:color="auto"/>
              <w:left w:val="single" w:sz="4" w:space="0" w:color="auto"/>
              <w:bottom w:val="single" w:sz="4" w:space="0" w:color="auto"/>
              <w:right w:val="single" w:sz="4" w:space="0" w:color="auto"/>
            </w:tcBorders>
            <w:vAlign w:val="bottom"/>
            <w:hideMark/>
          </w:tcPr>
          <w:p w:rsidR="00990261" w:rsidRPr="00550B70" w:rsidRDefault="00990261" w:rsidP="006A1571">
            <w:pPr>
              <w:pStyle w:val="Tablehead"/>
              <w:rPr>
                <w:sz w:val="21"/>
                <w:szCs w:val="21"/>
              </w:rPr>
            </w:pPr>
            <w:r w:rsidRPr="00550B70">
              <w:rPr>
                <w:sz w:val="21"/>
                <w:szCs w:val="21"/>
              </w:rPr>
              <w:t>Radar C</w:t>
            </w:r>
          </w:p>
        </w:tc>
        <w:tc>
          <w:tcPr>
            <w:tcW w:w="1155" w:type="dxa"/>
            <w:tcBorders>
              <w:top w:val="single" w:sz="4" w:space="0" w:color="auto"/>
              <w:left w:val="single" w:sz="4" w:space="0" w:color="auto"/>
              <w:bottom w:val="single" w:sz="4" w:space="0" w:color="auto"/>
              <w:right w:val="single" w:sz="4" w:space="0" w:color="auto"/>
            </w:tcBorders>
            <w:vAlign w:val="bottom"/>
            <w:hideMark/>
          </w:tcPr>
          <w:p w:rsidR="00990261" w:rsidRPr="00550B70" w:rsidRDefault="00990261" w:rsidP="006A1571">
            <w:pPr>
              <w:pStyle w:val="Tablehead"/>
              <w:rPr>
                <w:sz w:val="21"/>
                <w:szCs w:val="21"/>
              </w:rPr>
            </w:pPr>
            <w:r w:rsidRPr="00550B70">
              <w:rPr>
                <w:sz w:val="21"/>
                <w:szCs w:val="21"/>
              </w:rPr>
              <w:t>Radar D</w:t>
            </w:r>
          </w:p>
        </w:tc>
        <w:tc>
          <w:tcPr>
            <w:tcW w:w="1291" w:type="dxa"/>
            <w:tcBorders>
              <w:top w:val="single" w:sz="4" w:space="0" w:color="auto"/>
              <w:left w:val="single" w:sz="4" w:space="0" w:color="auto"/>
              <w:bottom w:val="single" w:sz="4" w:space="0" w:color="auto"/>
              <w:right w:val="single" w:sz="4" w:space="0" w:color="auto"/>
            </w:tcBorders>
            <w:vAlign w:val="bottom"/>
            <w:hideMark/>
          </w:tcPr>
          <w:p w:rsidR="00990261" w:rsidRPr="00550B70" w:rsidRDefault="00990261" w:rsidP="006A1571">
            <w:pPr>
              <w:pStyle w:val="Tablehead"/>
              <w:rPr>
                <w:sz w:val="21"/>
                <w:szCs w:val="21"/>
              </w:rPr>
            </w:pPr>
            <w:r w:rsidRPr="00550B70">
              <w:rPr>
                <w:sz w:val="21"/>
                <w:szCs w:val="21"/>
              </w:rPr>
              <w:t>Radar E</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6A1571">
            <w:pPr>
              <w:pStyle w:val="Tablehead"/>
              <w:rPr>
                <w:sz w:val="21"/>
                <w:szCs w:val="21"/>
              </w:rPr>
            </w:pPr>
            <w:r w:rsidRPr="00550B70">
              <w:rPr>
                <w:sz w:val="21"/>
                <w:szCs w:val="21"/>
              </w:rPr>
              <w:t>Radar F</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90261" w:rsidRPr="00550B70" w:rsidRDefault="00990261" w:rsidP="00990261">
            <w:pPr>
              <w:pStyle w:val="Tabletext"/>
              <w:jc w:val="left"/>
              <w:rPr>
                <w:sz w:val="21"/>
                <w:szCs w:val="21"/>
              </w:rPr>
            </w:pPr>
            <w:r w:rsidRPr="00550B70">
              <w:rPr>
                <w:sz w:val="21"/>
                <w:szCs w:val="21"/>
              </w:rPr>
              <w:t>Utilisation</w:t>
            </w:r>
          </w:p>
        </w:tc>
        <w:tc>
          <w:tcPr>
            <w:tcW w:w="683" w:type="dxa"/>
            <w:tcBorders>
              <w:top w:val="single" w:sz="4" w:space="0" w:color="auto"/>
              <w:left w:val="single" w:sz="4" w:space="0" w:color="auto"/>
              <w:bottom w:val="single" w:sz="4" w:space="0" w:color="auto"/>
              <w:right w:val="single" w:sz="4" w:space="0" w:color="auto"/>
            </w:tcBorders>
          </w:tcPr>
          <w:p w:rsidR="00990261" w:rsidRPr="00550B70" w:rsidRDefault="00990261" w:rsidP="006A1571">
            <w:pPr>
              <w:pStyle w:val="Tabletext"/>
              <w:jc w:val="center"/>
              <w:rPr>
                <w:sz w:val="21"/>
                <w:szCs w:val="21"/>
              </w:rPr>
            </w:pP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Imagerie</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6A1571">
            <w:pPr>
              <w:pStyle w:val="Tabletext"/>
              <w:jc w:val="center"/>
              <w:rPr>
                <w:sz w:val="21"/>
                <w:szCs w:val="21"/>
              </w:rPr>
            </w:pPr>
            <w:r w:rsidRPr="00550B70">
              <w:rPr>
                <w:sz w:val="21"/>
                <w:szCs w:val="21"/>
              </w:rPr>
              <w:t>Imagerie</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Métrique</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6A1571">
            <w:pPr>
              <w:pStyle w:val="Tabletext"/>
              <w:jc w:val="center"/>
              <w:rPr>
                <w:sz w:val="21"/>
                <w:szCs w:val="21"/>
              </w:rPr>
            </w:pPr>
            <w:r w:rsidRPr="00550B70">
              <w:rPr>
                <w:sz w:val="21"/>
                <w:szCs w:val="21"/>
              </w:rPr>
              <w:t>Métrique</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6A1571">
            <w:pPr>
              <w:pStyle w:val="Tabletext"/>
              <w:jc w:val="center"/>
              <w:rPr>
                <w:sz w:val="21"/>
                <w:szCs w:val="21"/>
              </w:rPr>
            </w:pPr>
            <w:r w:rsidRPr="00550B70">
              <w:rPr>
                <w:sz w:val="21"/>
                <w:szCs w:val="21"/>
              </w:rPr>
              <w:t>Autodirecteur</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6A1571">
            <w:pPr>
              <w:pStyle w:val="Tabletext"/>
              <w:jc w:val="center"/>
              <w:rPr>
                <w:sz w:val="21"/>
                <w:szCs w:val="21"/>
              </w:rPr>
            </w:pPr>
            <w:r w:rsidRPr="00550B70">
              <w:rPr>
                <w:sz w:val="21"/>
                <w:szCs w:val="21"/>
              </w:rPr>
              <w:t>Recherche et poursuite</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Type de détecteur</w:t>
            </w:r>
          </w:p>
        </w:tc>
        <w:tc>
          <w:tcPr>
            <w:tcW w:w="683" w:type="dxa"/>
            <w:tcBorders>
              <w:top w:val="single" w:sz="4" w:space="0" w:color="auto"/>
              <w:left w:val="single" w:sz="4" w:space="0" w:color="auto"/>
              <w:bottom w:val="single" w:sz="4" w:space="0" w:color="auto"/>
              <w:right w:val="single" w:sz="4" w:space="0" w:color="auto"/>
            </w:tcBorders>
          </w:tcPr>
          <w:p w:rsidR="00990261" w:rsidRPr="00550B70" w:rsidRDefault="00990261" w:rsidP="00990261">
            <w:pPr>
              <w:pStyle w:val="Tabletext"/>
              <w:jc w:val="center"/>
              <w:rPr>
                <w:sz w:val="21"/>
                <w:szCs w:val="21"/>
              </w:rPr>
            </w:pP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Passif</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Actif</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Actif</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Actif</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Actif</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Actif</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Modulation</w:t>
            </w:r>
          </w:p>
        </w:tc>
        <w:tc>
          <w:tcPr>
            <w:tcW w:w="683" w:type="dxa"/>
            <w:tcBorders>
              <w:top w:val="single" w:sz="4" w:space="0" w:color="auto"/>
              <w:left w:val="single" w:sz="4" w:space="0" w:color="auto"/>
              <w:bottom w:val="single" w:sz="4" w:space="0" w:color="auto"/>
              <w:right w:val="single" w:sz="4" w:space="0" w:color="auto"/>
            </w:tcBorders>
          </w:tcPr>
          <w:p w:rsidR="00990261" w:rsidRPr="00550B70" w:rsidRDefault="00990261" w:rsidP="00990261">
            <w:pPr>
              <w:pStyle w:val="Tabletext"/>
              <w:jc w:val="center"/>
              <w:rPr>
                <w:sz w:val="21"/>
                <w:szCs w:val="21"/>
              </w:rPr>
            </w:pP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344050">
              <w:rPr>
                <w:sz w:val="21"/>
                <w:szCs w:val="21"/>
              </w:rPr>
              <w:t>Impulsions</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344050">
              <w:rPr>
                <w:sz w:val="21"/>
                <w:szCs w:val="21"/>
              </w:rPr>
              <w:t>Impulsions</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344050">
              <w:rPr>
                <w:sz w:val="21"/>
                <w:szCs w:val="21"/>
              </w:rPr>
              <w:t>Impulsions</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MF linéaire</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 xml:space="preserve">MF linéaire </w:t>
            </w:r>
            <w:r w:rsidRPr="00550B70">
              <w:rPr>
                <w:sz w:val="21"/>
                <w:szCs w:val="21"/>
              </w:rPr>
              <w:br/>
              <w:t>Impulsions</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Rapport de compression</w:t>
            </w:r>
          </w:p>
        </w:tc>
        <w:tc>
          <w:tcPr>
            <w:tcW w:w="683" w:type="dxa"/>
            <w:tcBorders>
              <w:top w:val="single" w:sz="4" w:space="0" w:color="auto"/>
              <w:left w:val="single" w:sz="4" w:space="0" w:color="auto"/>
              <w:bottom w:val="single" w:sz="4" w:space="0" w:color="auto"/>
              <w:right w:val="single" w:sz="4" w:space="0" w:color="auto"/>
            </w:tcBorders>
          </w:tcPr>
          <w:p w:rsidR="00990261" w:rsidRPr="00550B70" w:rsidRDefault="00990261" w:rsidP="00990261">
            <w:pPr>
              <w:pStyle w:val="Tabletext"/>
              <w:jc w:val="center"/>
              <w:rPr>
                <w:sz w:val="21"/>
                <w:szCs w:val="21"/>
              </w:rPr>
            </w:pP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200</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50</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Largeur d'impulsion</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µs</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0,05</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0,25</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0,05</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10</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20</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Puissance crête d</w:t>
            </w:r>
            <w:r w:rsidR="00F87EA9">
              <w:rPr>
                <w:sz w:val="21"/>
                <w:szCs w:val="21"/>
              </w:rPr>
              <w:t>e l</w:t>
            </w:r>
            <w:r w:rsidRPr="00344050">
              <w:rPr>
                <w:sz w:val="21"/>
                <w:szCs w:val="21"/>
              </w:rPr>
              <w:t xml:space="preserve">'émetteur </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kW</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0,5</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135</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0,001</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10</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F</w:t>
            </w:r>
            <w:r w:rsidRPr="00550B70">
              <w:rPr>
                <w:sz w:val="21"/>
                <w:szCs w:val="21"/>
              </w:rPr>
              <w:t>réquence de répétition des impulsions</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kHz</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30</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50</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10</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10-30</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 xml:space="preserve">Largeur de bande RF </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MHz</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80</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10</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101</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12</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2000</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 xml:space="preserve">Gain d'antenne </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dBi</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35</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30</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52</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51</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28,7</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52</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 xml:space="preserve">Ouverture de faisceau </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degrés</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 xml:space="preserve">0,5 </w:t>
            </w:r>
            <w:r w:rsidRPr="00550B70">
              <w:rPr>
                <w:sz w:val="21"/>
                <w:szCs w:val="21"/>
              </w:rPr>
              <w:sym w:font="Symbol" w:char="F0B4"/>
            </w:r>
            <w:r w:rsidRPr="00550B70">
              <w:rPr>
                <w:sz w:val="21"/>
                <w:szCs w:val="21"/>
              </w:rPr>
              <w:t xml:space="preserve"> 3,0</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 xml:space="preserve">0,75 </w:t>
            </w:r>
            <w:r w:rsidRPr="00550B70">
              <w:rPr>
                <w:sz w:val="21"/>
                <w:szCs w:val="21"/>
              </w:rPr>
              <w:sym w:font="Symbol" w:char="F0B4"/>
            </w:r>
            <w:r w:rsidRPr="00550B70">
              <w:rPr>
                <w:sz w:val="21"/>
                <w:szCs w:val="21"/>
              </w:rPr>
              <w:t xml:space="preserve"> 10</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 xml:space="preserve">0,25 </w:t>
            </w:r>
            <w:r w:rsidRPr="00550B70">
              <w:rPr>
                <w:sz w:val="21"/>
                <w:szCs w:val="21"/>
              </w:rPr>
              <w:sym w:font="Symbol" w:char="F0B4"/>
            </w:r>
            <w:r w:rsidRPr="00550B70">
              <w:rPr>
                <w:sz w:val="21"/>
                <w:szCs w:val="21"/>
              </w:rPr>
              <w:t xml:space="preserve"> 0,25</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 xml:space="preserve">0,5 </w:t>
            </w:r>
            <w:r w:rsidRPr="00550B70">
              <w:rPr>
                <w:sz w:val="21"/>
                <w:szCs w:val="21"/>
              </w:rPr>
              <w:sym w:font="Symbol" w:char="F0B4"/>
            </w:r>
            <w:r w:rsidRPr="00550B70">
              <w:rPr>
                <w:sz w:val="21"/>
                <w:szCs w:val="21"/>
              </w:rPr>
              <w:t xml:space="preserve"> 0,5</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 xml:space="preserve">4,4 </w:t>
            </w:r>
            <w:r w:rsidRPr="00550B70">
              <w:rPr>
                <w:sz w:val="21"/>
                <w:szCs w:val="21"/>
              </w:rPr>
              <w:sym w:font="Symbol" w:char="F0B4"/>
            </w:r>
            <w:r w:rsidRPr="00550B70">
              <w:rPr>
                <w:sz w:val="21"/>
                <w:szCs w:val="21"/>
              </w:rPr>
              <w:t xml:space="preserve"> 4,4</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 xml:space="preserve">0,25 </w:t>
            </w:r>
            <w:r w:rsidRPr="00550B70">
              <w:rPr>
                <w:sz w:val="21"/>
                <w:szCs w:val="21"/>
              </w:rPr>
              <w:sym w:font="Symbol" w:char="F0B4"/>
            </w:r>
            <w:r w:rsidRPr="00550B70">
              <w:rPr>
                <w:sz w:val="21"/>
                <w:szCs w:val="21"/>
              </w:rPr>
              <w:t xml:space="preserve"> 0,25</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 xml:space="preserve">Largeur de bande FI du récepteur </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GHz</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2</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0,040</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0,006</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0,185</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0,100</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0,006</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 xml:space="preserve">Température de bruit </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K</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850</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 xml:space="preserve">Facteur de bruit </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dB</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4,5</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10</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10</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5</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4</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 xml:space="preserve">Sensibilité du récepteur </w:t>
            </w:r>
          </w:p>
        </w:tc>
        <w:tc>
          <w:tcPr>
            <w:tcW w:w="683"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dBm</w:t>
            </w: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−81</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−95</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−78</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−93</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w:t>
            </w:r>
          </w:p>
        </w:tc>
      </w:tr>
      <w:tr w:rsidR="00990261" w:rsidRPr="00550B70" w:rsidTr="0099026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90261" w:rsidRPr="00344050" w:rsidRDefault="00990261" w:rsidP="00990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1"/>
                <w:szCs w:val="21"/>
              </w:rPr>
            </w:pPr>
            <w:r w:rsidRPr="00344050">
              <w:rPr>
                <w:sz w:val="21"/>
                <w:szCs w:val="21"/>
              </w:rPr>
              <w:t>Accord</w:t>
            </w:r>
          </w:p>
        </w:tc>
        <w:tc>
          <w:tcPr>
            <w:tcW w:w="683" w:type="dxa"/>
            <w:tcBorders>
              <w:top w:val="single" w:sz="4" w:space="0" w:color="auto"/>
              <w:left w:val="single" w:sz="4" w:space="0" w:color="auto"/>
              <w:bottom w:val="single" w:sz="4" w:space="0" w:color="auto"/>
              <w:right w:val="single" w:sz="4" w:space="0" w:color="auto"/>
            </w:tcBorders>
          </w:tcPr>
          <w:p w:rsidR="00990261" w:rsidRPr="00550B70" w:rsidRDefault="00990261" w:rsidP="00990261">
            <w:pPr>
              <w:pStyle w:val="Tabletext"/>
              <w:jc w:val="center"/>
              <w:rPr>
                <w:sz w:val="21"/>
                <w:szCs w:val="21"/>
              </w:rPr>
            </w:pPr>
          </w:p>
        </w:tc>
        <w:tc>
          <w:tcPr>
            <w:tcW w:w="850"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Fixe</w:t>
            </w:r>
          </w:p>
        </w:tc>
        <w:tc>
          <w:tcPr>
            <w:tcW w:w="1158"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Fixe</w:t>
            </w:r>
          </w:p>
        </w:tc>
        <w:tc>
          <w:tcPr>
            <w:tcW w:w="1212"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Fixe</w:t>
            </w:r>
          </w:p>
        </w:tc>
        <w:tc>
          <w:tcPr>
            <w:tcW w:w="1155"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Saut</w:t>
            </w:r>
            <w:r w:rsidR="00562B7F" w:rsidRPr="00550B70">
              <w:rPr>
                <w:sz w:val="21"/>
                <w:szCs w:val="21"/>
              </w:rPr>
              <w:t>s</w:t>
            </w:r>
            <w:r w:rsidRPr="00550B70">
              <w:rPr>
                <w:sz w:val="21"/>
                <w:szCs w:val="21"/>
              </w:rPr>
              <w:t xml:space="preserve"> de fréquence</w:t>
            </w:r>
          </w:p>
        </w:tc>
        <w:tc>
          <w:tcPr>
            <w:tcW w:w="1291" w:type="dxa"/>
            <w:tcBorders>
              <w:top w:val="single" w:sz="4" w:space="0" w:color="auto"/>
              <w:left w:val="single" w:sz="4" w:space="0" w:color="auto"/>
              <w:bottom w:val="single" w:sz="4" w:space="0" w:color="auto"/>
              <w:right w:val="single" w:sz="4" w:space="0" w:color="auto"/>
            </w:tcBorders>
            <w:hideMark/>
          </w:tcPr>
          <w:p w:rsidR="00990261" w:rsidRPr="00550B70" w:rsidRDefault="00990261" w:rsidP="00990261">
            <w:pPr>
              <w:pStyle w:val="Tabletext"/>
              <w:jc w:val="center"/>
              <w:rPr>
                <w:sz w:val="21"/>
                <w:szCs w:val="21"/>
              </w:rPr>
            </w:pPr>
            <w:r w:rsidRPr="00550B70">
              <w:rPr>
                <w:sz w:val="21"/>
                <w:szCs w:val="21"/>
              </w:rPr>
              <w:t>Fixe</w:t>
            </w:r>
          </w:p>
        </w:tc>
        <w:tc>
          <w:tcPr>
            <w:tcW w:w="1284" w:type="dxa"/>
            <w:tcBorders>
              <w:top w:val="single" w:sz="4" w:space="0" w:color="auto"/>
              <w:left w:val="single" w:sz="4" w:space="0" w:color="auto"/>
              <w:bottom w:val="single" w:sz="4" w:space="0" w:color="auto"/>
              <w:right w:val="single" w:sz="4" w:space="0" w:color="auto"/>
            </w:tcBorders>
            <w:hideMark/>
          </w:tcPr>
          <w:p w:rsidR="00990261" w:rsidRPr="00550B70" w:rsidRDefault="00562B7F" w:rsidP="00990261">
            <w:pPr>
              <w:pStyle w:val="Tabletext"/>
              <w:jc w:val="center"/>
              <w:rPr>
                <w:sz w:val="21"/>
                <w:szCs w:val="21"/>
              </w:rPr>
            </w:pPr>
            <w:r w:rsidRPr="00550B70">
              <w:rPr>
                <w:sz w:val="21"/>
                <w:szCs w:val="21"/>
              </w:rPr>
              <w:t>Sauts de fréquence</w:t>
            </w:r>
          </w:p>
        </w:tc>
      </w:tr>
    </w:tbl>
    <w:p w:rsidR="00AF7EB7" w:rsidRDefault="00AF7EB7" w:rsidP="00AF7EB7">
      <w:pPr>
        <w:pStyle w:val="Tablefin"/>
      </w:pPr>
    </w:p>
    <w:p w:rsidR="00344050" w:rsidRPr="00344050" w:rsidRDefault="00571A9D" w:rsidP="00E3271D">
      <w:pPr>
        <w:pStyle w:val="Heading1"/>
      </w:pPr>
      <w:r w:rsidRPr="00550B70">
        <w:t>3</w:t>
      </w:r>
      <w:r w:rsidR="00344050" w:rsidRPr="00344050">
        <w:tab/>
        <w:t>Critères de protection</w:t>
      </w:r>
    </w:p>
    <w:p w:rsidR="00344050" w:rsidRPr="00344050" w:rsidRDefault="00344050" w:rsidP="00344050">
      <w:r w:rsidRPr="00344050">
        <w:t>Les critères de brouillage à court terme applicables aux systèmes de radiolocalisation de Terre présentés dans le Tableau 1 sont traités dans les paragraphes ci-après.</w:t>
      </w:r>
    </w:p>
    <w:p w:rsidR="00344050" w:rsidRPr="00344050" w:rsidRDefault="00571A9D" w:rsidP="00E3271D">
      <w:pPr>
        <w:pStyle w:val="Heading2"/>
      </w:pPr>
      <w:r w:rsidRPr="00550B70">
        <w:lastRenderedPageBreak/>
        <w:t>3</w:t>
      </w:r>
      <w:r w:rsidR="00344050" w:rsidRPr="00344050">
        <w:t>.1</w:t>
      </w:r>
      <w:r w:rsidR="00344050" w:rsidRPr="00344050">
        <w:tab/>
        <w:t>Imageurs radiométriques</w:t>
      </w:r>
    </w:p>
    <w:p w:rsidR="00344050" w:rsidRPr="00344050" w:rsidRDefault="00344050" w:rsidP="00344050">
      <w:r w:rsidRPr="00344050">
        <w:t xml:space="preserve">En partant de l'hypothèse d'une variation négligeable de gain du système, la sensibilité à la température minimale, </w:t>
      </w:r>
      <w:r w:rsidRPr="00344050">
        <w:sym w:font="Symbol" w:char="F044"/>
      </w:r>
      <w:r w:rsidRPr="00344050">
        <w:rPr>
          <w:i/>
          <w:iCs/>
        </w:rPr>
        <w:t>T</w:t>
      </w:r>
      <w:r w:rsidRPr="00344050">
        <w:t>, d'un système d'imagerie radiométrique est:</w:t>
      </w:r>
    </w:p>
    <w:p w:rsidR="00344050" w:rsidRPr="00344050" w:rsidRDefault="00344050" w:rsidP="00344050">
      <w:pPr>
        <w:tabs>
          <w:tab w:val="clear" w:pos="1191"/>
          <w:tab w:val="clear" w:pos="1588"/>
          <w:tab w:val="clear" w:pos="1985"/>
          <w:tab w:val="center" w:pos="4820"/>
          <w:tab w:val="right" w:pos="9639"/>
        </w:tabs>
      </w:pPr>
      <w:r w:rsidRPr="00344050">
        <w:tab/>
      </w:r>
      <w:r w:rsidRPr="00344050">
        <w:tab/>
      </w:r>
      <w:r w:rsidRPr="00344050">
        <w:rPr>
          <w:position w:val="-34"/>
        </w:rPr>
        <w:object w:dxaOrig="13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6pt" o:ole="">
            <v:imagedata r:id="rId13" o:title=""/>
          </v:shape>
          <o:OLEObject Type="Embed" ProgID="Equation.3" ShapeID="_x0000_i1025" DrawAspect="Content" ObjectID="_1588579783" r:id="rId14"/>
        </w:object>
      </w:r>
      <w:r w:rsidRPr="00344050">
        <w:tab/>
        <w:t>(1)</w:t>
      </w:r>
    </w:p>
    <w:p w:rsidR="00344050" w:rsidRPr="00344050" w:rsidRDefault="00344050" w:rsidP="00344050">
      <w:pPr>
        <w:tabs>
          <w:tab w:val="clear" w:pos="794"/>
          <w:tab w:val="clear" w:pos="1191"/>
          <w:tab w:val="clear" w:pos="1588"/>
          <w:tab w:val="right" w:pos="1701"/>
        </w:tabs>
        <w:spacing w:before="80"/>
        <w:ind w:left="1985" w:hanging="1985"/>
      </w:pPr>
      <w:r w:rsidRPr="00344050">
        <w:t>où:</w:t>
      </w:r>
    </w:p>
    <w:p w:rsidR="00344050" w:rsidRPr="00344050" w:rsidRDefault="00344050" w:rsidP="00344050">
      <w:pPr>
        <w:tabs>
          <w:tab w:val="clear" w:pos="794"/>
          <w:tab w:val="clear" w:pos="1191"/>
          <w:tab w:val="clear" w:pos="1588"/>
          <w:tab w:val="right" w:pos="1701"/>
        </w:tabs>
        <w:spacing w:before="80"/>
        <w:ind w:left="1985" w:hanging="1985"/>
      </w:pPr>
      <w:r w:rsidRPr="00344050">
        <w:tab/>
      </w:r>
      <w:r w:rsidRPr="00344050">
        <w:rPr>
          <w:i/>
          <w:iCs/>
        </w:rPr>
        <w:t>T</w:t>
      </w:r>
      <w:r w:rsidRPr="00344050">
        <w:rPr>
          <w:i/>
          <w:iCs/>
          <w:vertAlign w:val="subscript"/>
        </w:rPr>
        <w:t>A</w:t>
      </w:r>
      <w:r w:rsidRPr="00344050">
        <w:t>:</w:t>
      </w:r>
      <w:r w:rsidRPr="00344050">
        <w:tab/>
        <w:t>température de bruit de l'antenne</w:t>
      </w:r>
    </w:p>
    <w:p w:rsidR="00344050" w:rsidRPr="00344050" w:rsidRDefault="00344050" w:rsidP="00344050">
      <w:pPr>
        <w:tabs>
          <w:tab w:val="clear" w:pos="794"/>
          <w:tab w:val="clear" w:pos="1191"/>
          <w:tab w:val="clear" w:pos="1588"/>
          <w:tab w:val="right" w:pos="1701"/>
        </w:tabs>
        <w:spacing w:before="80"/>
        <w:ind w:left="1985" w:hanging="1985"/>
      </w:pPr>
      <w:r w:rsidRPr="00344050">
        <w:tab/>
      </w:r>
      <w:r w:rsidRPr="00344050">
        <w:rPr>
          <w:i/>
          <w:iCs/>
        </w:rPr>
        <w:t>T</w:t>
      </w:r>
      <w:r w:rsidRPr="00344050">
        <w:rPr>
          <w:i/>
          <w:iCs/>
          <w:vertAlign w:val="subscript"/>
        </w:rPr>
        <w:t>r</w:t>
      </w:r>
      <w:r w:rsidRPr="00344050">
        <w:t>:</w:t>
      </w:r>
      <w:r w:rsidRPr="00344050">
        <w:tab/>
        <w:t>température de bruit du récepteur</w:t>
      </w:r>
    </w:p>
    <w:p w:rsidR="00344050" w:rsidRPr="00344050" w:rsidRDefault="00344050" w:rsidP="00344050">
      <w:pPr>
        <w:tabs>
          <w:tab w:val="clear" w:pos="794"/>
          <w:tab w:val="clear" w:pos="1191"/>
          <w:tab w:val="clear" w:pos="1588"/>
          <w:tab w:val="right" w:pos="1701"/>
        </w:tabs>
        <w:spacing w:before="80"/>
        <w:ind w:left="1985" w:hanging="1985"/>
      </w:pPr>
      <w:r w:rsidRPr="00344050">
        <w:rPr>
          <w:i/>
        </w:rPr>
        <w:tab/>
        <w:t>B</w:t>
      </w:r>
      <w:r w:rsidRPr="00344050">
        <w:t>:</w:t>
      </w:r>
      <w:r w:rsidRPr="00344050">
        <w:tab/>
        <w:t>largeur de bande RF</w:t>
      </w:r>
    </w:p>
    <w:p w:rsidR="00344050" w:rsidRPr="00344050" w:rsidRDefault="00344050" w:rsidP="00344050">
      <w:pPr>
        <w:tabs>
          <w:tab w:val="clear" w:pos="794"/>
          <w:tab w:val="clear" w:pos="1191"/>
          <w:tab w:val="clear" w:pos="1588"/>
          <w:tab w:val="right" w:pos="1701"/>
        </w:tabs>
        <w:spacing w:before="80"/>
        <w:ind w:left="1985" w:hanging="1985"/>
        <w:rPr>
          <w:b/>
        </w:rPr>
      </w:pPr>
      <w:r w:rsidRPr="00344050">
        <w:tab/>
      </w:r>
      <w:r w:rsidRPr="00344050">
        <w:rPr>
          <w:i/>
          <w:iCs/>
        </w:rPr>
        <w:t>t</w:t>
      </w:r>
      <w:r w:rsidRPr="00344050">
        <w:rPr>
          <w:i/>
          <w:iCs/>
          <w:vertAlign w:val="subscript"/>
        </w:rPr>
        <w:t>i</w:t>
      </w:r>
      <w:r w:rsidRPr="00344050">
        <w:t>:</w:t>
      </w:r>
      <w:r w:rsidRPr="00344050">
        <w:tab/>
        <w:t>temps d'intégration.</w:t>
      </w:r>
    </w:p>
    <w:p w:rsidR="00344050" w:rsidRPr="00344050" w:rsidRDefault="00344050" w:rsidP="00344050">
      <w:r w:rsidRPr="00344050">
        <w:t xml:space="preserve">Le seuil du radiomètre, </w:t>
      </w:r>
      <w:r w:rsidRPr="00344050">
        <w:rPr>
          <w:position w:val="-4"/>
        </w:rPr>
        <w:object w:dxaOrig="380" w:dyaOrig="260">
          <v:shape id="_x0000_i1026" type="#_x0000_t75" style="width:18.75pt;height:13.5pt" o:ole="">
            <v:imagedata r:id="rId15" o:title=""/>
          </v:shape>
          <o:OLEObject Type="Embed" ProgID="Equation.3" ShapeID="_x0000_i1026" DrawAspect="Content" ObjectID="_1588579784" r:id="rId16"/>
        </w:object>
      </w:r>
      <w:r w:rsidRPr="00344050">
        <w:t>, est donné par:</w:t>
      </w:r>
    </w:p>
    <w:p w:rsidR="00344050" w:rsidRPr="00344050" w:rsidRDefault="00344050" w:rsidP="00344050">
      <w:pPr>
        <w:tabs>
          <w:tab w:val="clear" w:pos="1191"/>
          <w:tab w:val="clear" w:pos="1588"/>
          <w:tab w:val="clear" w:pos="1985"/>
          <w:tab w:val="center" w:pos="4820"/>
          <w:tab w:val="right" w:pos="9639"/>
        </w:tabs>
      </w:pPr>
      <w:r w:rsidRPr="00344050">
        <w:tab/>
      </w:r>
      <w:r w:rsidRPr="00344050">
        <w:tab/>
      </w:r>
      <w:r w:rsidRPr="00344050">
        <w:rPr>
          <w:position w:val="-4"/>
        </w:rPr>
        <w:object w:dxaOrig="380" w:dyaOrig="260">
          <v:shape id="_x0000_i1027" type="#_x0000_t75" style="width:18.75pt;height:13.5pt" o:ole="">
            <v:imagedata r:id="rId17" o:title=""/>
          </v:shape>
          <o:OLEObject Type="Embed" ProgID="Equation.3" ShapeID="_x0000_i1027" DrawAspect="Content" ObjectID="_1588579785" r:id="rId18"/>
        </w:object>
      </w:r>
      <w:r w:rsidRPr="00344050">
        <w:rPr>
          <w:i/>
        </w:rPr>
        <w:t xml:space="preserve"> = k </w:t>
      </w:r>
      <w:r w:rsidRPr="00344050">
        <w:rPr>
          <w:i/>
          <w:position w:val="-4"/>
        </w:rPr>
        <w:object w:dxaOrig="220" w:dyaOrig="260">
          <v:shape id="_x0000_i1028" type="#_x0000_t75" style="width:11.25pt;height:13.5pt" o:ole="">
            <v:imagedata r:id="rId19" o:title=""/>
          </v:shape>
          <o:OLEObject Type="Embed" ProgID="Equation.3" ShapeID="_x0000_i1028" DrawAspect="Content" ObjectID="_1588579786" r:id="rId20"/>
        </w:object>
      </w:r>
      <w:r w:rsidRPr="00344050">
        <w:rPr>
          <w:i/>
          <w:iCs/>
        </w:rPr>
        <w:t>T B</w:t>
      </w:r>
      <w:r w:rsidRPr="00344050">
        <w:tab/>
        <w:t>(2)</w:t>
      </w:r>
    </w:p>
    <w:p w:rsidR="00344050" w:rsidRPr="00344050" w:rsidRDefault="00344050" w:rsidP="00344050">
      <w:r w:rsidRPr="00344050">
        <w:t xml:space="preserve">où </w:t>
      </w:r>
      <w:r w:rsidRPr="00344050">
        <w:rPr>
          <w:i/>
          <w:iCs/>
        </w:rPr>
        <w:t>k</w:t>
      </w:r>
      <w:r w:rsidRPr="00344050">
        <w:t xml:space="preserve"> est la constante de Boltzman, = 1,38 </w:t>
      </w:r>
      <w:r w:rsidRPr="00344050">
        <w:sym w:font="Symbol" w:char="F0B4"/>
      </w:r>
      <w:r w:rsidRPr="00344050">
        <w:t xml:space="preserve"> 10</w:t>
      </w:r>
      <w:r w:rsidRPr="00344050">
        <w:rPr>
          <w:vertAlign w:val="superscript"/>
        </w:rPr>
        <w:sym w:font="Symbol" w:char="F02D"/>
      </w:r>
      <w:r w:rsidRPr="00344050">
        <w:rPr>
          <w:vertAlign w:val="superscript"/>
        </w:rPr>
        <w:t>23</w:t>
      </w:r>
      <w:r w:rsidRPr="00344050">
        <w:t xml:space="preserve">, et </w:t>
      </w:r>
      <w:r w:rsidRPr="00344050">
        <w:sym w:font="Symbol" w:char="F044"/>
      </w:r>
      <w:r w:rsidRPr="00344050">
        <w:rPr>
          <w:i/>
          <w:iCs/>
        </w:rPr>
        <w:t>T</w:t>
      </w:r>
      <w:r w:rsidRPr="00344050">
        <w:t xml:space="preserve"> et </w:t>
      </w:r>
      <w:r w:rsidRPr="00344050">
        <w:rPr>
          <w:i/>
          <w:iCs/>
        </w:rPr>
        <w:t>B</w:t>
      </w:r>
      <w:r w:rsidRPr="00344050">
        <w:t xml:space="preserve"> ont les valeurs indiquées ci-dessus. Au moyen des équations (1) et (2), on détermine qu'un radiomètre ayant une largeur de bande de 2 GHz, une température de bruit du système de 850 K et un temps d'intégration de 1 ms présente un seuil </w:t>
      </w:r>
      <w:r w:rsidRPr="00344050">
        <w:sym w:font="Symbol" w:char="F044"/>
      </w:r>
      <w:r w:rsidRPr="00344050">
        <w:rPr>
          <w:i/>
          <w:iCs/>
        </w:rPr>
        <w:t>P</w:t>
      </w:r>
      <w:r w:rsidRPr="00344050">
        <w:t xml:space="preserve"> = –137,8 dB(W/2 GHz).</w:t>
      </w:r>
    </w:p>
    <w:p w:rsidR="00344050" w:rsidRPr="001D3170" w:rsidRDefault="00344050" w:rsidP="001D3170">
      <w:pPr>
        <w:rPr>
          <w:i/>
          <w:iCs/>
        </w:rPr>
      </w:pPr>
      <w:r w:rsidRPr="001D3170">
        <w:rPr>
          <w:i/>
          <w:iCs/>
        </w:rPr>
        <w:t>Critère de protection à court terme</w:t>
      </w:r>
    </w:p>
    <w:p w:rsidR="00344050" w:rsidRPr="00344050" w:rsidRDefault="00344050" w:rsidP="00AF7EB7">
      <w:r w:rsidRPr="00344050">
        <w:t>Etant entendu qu'il s'agit d'un événement peu probable, un opérateur peut accepter une image très dégradée pendant plusieurs secondes. Le fait de permettre au niveau du signal brouilleur d'approcher le seuil du radiomètre se traduit par un niveau permis du signal brouilleur de </w:t>
      </w:r>
      <w:r w:rsidR="00AF7EB7">
        <w:t>−</w:t>
      </w:r>
      <w:r w:rsidRPr="00344050">
        <w:t>137,8 dB(W/2 GHz) pendant moins de 3 s.</w:t>
      </w:r>
    </w:p>
    <w:p w:rsidR="00344050" w:rsidRPr="001D3170" w:rsidRDefault="00344050" w:rsidP="001D3170">
      <w:pPr>
        <w:rPr>
          <w:i/>
          <w:iCs/>
        </w:rPr>
      </w:pPr>
      <w:r w:rsidRPr="001D3170">
        <w:rPr>
          <w:i/>
          <w:iCs/>
        </w:rPr>
        <w:t>Critère de protection à long terme</w:t>
      </w:r>
    </w:p>
    <w:p w:rsidR="00344050" w:rsidRPr="00344050" w:rsidRDefault="00344050" w:rsidP="00AF7EB7">
      <w:r w:rsidRPr="00344050">
        <w:t xml:space="preserve">Une dégradation moindre peut être envisagée pendant des durées ne dépassant pas 1 min. Dans ce cas, la dégradation n'est pas toujours perçue par l'opérateur, bien qu'elle produise une certaine perte de résolution de l'image. Le fait de permettre au signal brouilleur d'atteindre 20% du seuil du radiomètre se traduit par un niveau de brouillage permis de </w:t>
      </w:r>
      <w:r w:rsidR="00AF7EB7">
        <w:t>−</w:t>
      </w:r>
      <w:r w:rsidRPr="00344050">
        <w:t>144,8 dB(W/2 GHz) pendant moins de 60 s.</w:t>
      </w:r>
    </w:p>
    <w:p w:rsidR="00344050" w:rsidRPr="00344050" w:rsidRDefault="00571A9D" w:rsidP="00E3271D">
      <w:pPr>
        <w:pStyle w:val="Heading2"/>
      </w:pPr>
      <w:r w:rsidRPr="00550B70">
        <w:t>3</w:t>
      </w:r>
      <w:r w:rsidR="00344050" w:rsidRPr="00344050">
        <w:t>.2</w:t>
      </w:r>
      <w:r w:rsidR="00344050" w:rsidRPr="00344050">
        <w:tab/>
        <w:t>Radars métriques</w:t>
      </w:r>
      <w:r w:rsidR="001F4417" w:rsidRPr="00550B70">
        <w:t xml:space="preserve"> et autodirecteurs</w:t>
      </w:r>
    </w:p>
    <w:p w:rsidR="00344050" w:rsidRPr="00344050" w:rsidRDefault="00344050" w:rsidP="001F4417">
      <w:r w:rsidRPr="00344050">
        <w:t>Dans le cas des radars métriques de Terre (radars d</w:t>
      </w:r>
      <w:r w:rsidR="001F4417" w:rsidRPr="00550B70">
        <w:t>'instrumentation</w:t>
      </w:r>
      <w:r w:rsidRPr="00344050">
        <w:t>)</w:t>
      </w:r>
      <w:r w:rsidR="001F4417" w:rsidRPr="00550B70">
        <w:t xml:space="preserve"> et des autodirecteurs</w:t>
      </w:r>
      <w:r w:rsidRPr="00344050">
        <w:t xml:space="preserve">, </w:t>
      </w:r>
      <w:r w:rsidR="001F4417" w:rsidRPr="00550B70">
        <w:t xml:space="preserve">il est à noter </w:t>
      </w:r>
      <w:r w:rsidRPr="00344050">
        <w:t xml:space="preserve">que deux paramètres de qualité de fonctionnement importants, la précision angulaire </w:t>
      </w:r>
      <w:r w:rsidRPr="00344050">
        <w:sym w:font="Symbol" w:char="F073"/>
      </w:r>
      <w:r w:rsidRPr="00344050">
        <w:rPr>
          <w:vertAlign w:val="subscript"/>
        </w:rPr>
        <w:sym w:font="Symbol" w:char="F071"/>
      </w:r>
      <w:r w:rsidRPr="00344050">
        <w:t xml:space="preserve"> et la portée de détection de la cible </w:t>
      </w:r>
      <w:r w:rsidRPr="00344050">
        <w:rPr>
          <w:i/>
          <w:iCs/>
        </w:rPr>
        <w:t>R</w:t>
      </w:r>
      <w:r w:rsidRPr="00344050">
        <w:t xml:space="preserve">, sont liés au rapport </w:t>
      </w:r>
      <w:r w:rsidRPr="00344050">
        <w:rPr>
          <w:i/>
          <w:iCs/>
        </w:rPr>
        <w:t>S</w:t>
      </w:r>
      <w:r w:rsidRPr="00344050">
        <w:t>/</w:t>
      </w:r>
      <w:r w:rsidRPr="00344050">
        <w:rPr>
          <w:i/>
          <w:iCs/>
        </w:rPr>
        <w:t>N</w:t>
      </w:r>
      <w:r w:rsidRPr="00344050">
        <w:t xml:space="preserve"> reçu par:</w:t>
      </w:r>
    </w:p>
    <w:p w:rsidR="00344050" w:rsidRPr="00344050" w:rsidRDefault="00344050" w:rsidP="00344050">
      <w:pPr>
        <w:tabs>
          <w:tab w:val="clear" w:pos="1191"/>
          <w:tab w:val="clear" w:pos="1588"/>
          <w:tab w:val="clear" w:pos="1985"/>
          <w:tab w:val="center" w:pos="4820"/>
          <w:tab w:val="right" w:pos="9639"/>
        </w:tabs>
      </w:pPr>
      <w:r w:rsidRPr="00344050">
        <w:tab/>
      </w:r>
      <w:r w:rsidRPr="00344050">
        <w:tab/>
      </w:r>
      <w:r w:rsidRPr="00344050">
        <w:rPr>
          <w:position w:val="-32"/>
        </w:rPr>
        <w:object w:dxaOrig="1240" w:dyaOrig="700">
          <v:shape id="_x0000_i1029" type="#_x0000_t75" style="width:62.25pt;height:35.25pt" o:ole="">
            <v:imagedata r:id="rId21" o:title=""/>
          </v:shape>
          <o:OLEObject Type="Embed" ProgID="Equation.3" ShapeID="_x0000_i1029" DrawAspect="Content" ObjectID="_1588579787" r:id="rId22"/>
        </w:object>
      </w:r>
      <w:r w:rsidRPr="00344050">
        <w:tab/>
        <w:t>(3)</w:t>
      </w:r>
    </w:p>
    <w:p w:rsidR="00344050" w:rsidRPr="00344050" w:rsidRDefault="00344050" w:rsidP="00344050">
      <w:pPr>
        <w:tabs>
          <w:tab w:val="clear" w:pos="1191"/>
          <w:tab w:val="clear" w:pos="1588"/>
          <w:tab w:val="clear" w:pos="1985"/>
          <w:tab w:val="center" w:pos="4820"/>
          <w:tab w:val="right" w:pos="9639"/>
        </w:tabs>
      </w:pPr>
      <w:r w:rsidRPr="00344050">
        <w:rPr>
          <w:i/>
        </w:rPr>
        <w:tab/>
      </w:r>
      <w:r w:rsidRPr="00344050">
        <w:rPr>
          <w:i/>
        </w:rPr>
        <w:tab/>
        <w:t>R</w:t>
      </w:r>
      <w:r w:rsidRPr="00344050">
        <w:t xml:space="preserve"> </w:t>
      </w:r>
      <w:r w:rsidRPr="00344050">
        <w:rPr>
          <w:position w:val="-6"/>
        </w:rPr>
        <w:object w:dxaOrig="220" w:dyaOrig="220">
          <v:shape id="_x0000_i1030" type="#_x0000_t75" style="width:11.25pt;height:11.25pt" o:ole="">
            <v:imagedata r:id="rId23" o:title=""/>
          </v:shape>
          <o:OLEObject Type="Embed" ProgID="Equation.3" ShapeID="_x0000_i1030" DrawAspect="Content" ObjectID="_1588579788" r:id="rId24"/>
        </w:object>
      </w:r>
      <w:r w:rsidRPr="00344050">
        <w:t xml:space="preserve"> </w:t>
      </w:r>
      <w:r w:rsidRPr="00344050">
        <w:rPr>
          <w:position w:val="-32"/>
        </w:rPr>
        <w:object w:dxaOrig="720" w:dyaOrig="700">
          <v:shape id="_x0000_i1031" type="#_x0000_t75" style="width:36pt;height:35.25pt" o:ole="">
            <v:imagedata r:id="rId25" o:title=""/>
          </v:shape>
          <o:OLEObject Type="Embed" ProgID="Equation.3" ShapeID="_x0000_i1031" DrawAspect="Content" ObjectID="_1588579789" r:id="rId26"/>
        </w:object>
      </w:r>
      <w:r w:rsidRPr="00344050">
        <w:tab/>
        <w:t>(4)</w:t>
      </w:r>
    </w:p>
    <w:p w:rsidR="00344050" w:rsidRPr="00344050" w:rsidRDefault="00344050" w:rsidP="001F4417">
      <w:r w:rsidRPr="00344050">
        <w:t xml:space="preserve">On peut obtenir une faible ouverture de faisceau et une grande précision angulaire avec des antennes relativement petites fonctionnant aux longueurs d'ondes millimétriques. Cette caractéristique est en fait une raison majeure pour laquelle les </w:t>
      </w:r>
      <w:r w:rsidR="001F4417" w:rsidRPr="00550B70">
        <w:t xml:space="preserve">autodirecteurs </w:t>
      </w:r>
      <w:r w:rsidRPr="00344050">
        <w:t xml:space="preserve">de missiles et les radars </w:t>
      </w:r>
      <w:r w:rsidR="001F4417" w:rsidRPr="00550B70">
        <w:t xml:space="preserve">d'instrumentation </w:t>
      </w:r>
      <w:r w:rsidRPr="00344050">
        <w:t xml:space="preserve">fonctionnent à ces fréquences. Les équations (3) et (4) font apparaître que la précision angulaire du </w:t>
      </w:r>
      <w:r w:rsidRPr="00344050">
        <w:lastRenderedPageBreak/>
        <w:t xml:space="preserve">radar est plus sensible au rapport </w:t>
      </w:r>
      <w:r w:rsidRPr="00344050">
        <w:rPr>
          <w:i/>
          <w:iCs/>
        </w:rPr>
        <w:t>S</w:t>
      </w:r>
      <w:r w:rsidRPr="00344050">
        <w:t>/</w:t>
      </w:r>
      <w:r w:rsidRPr="00344050">
        <w:rPr>
          <w:i/>
          <w:iCs/>
        </w:rPr>
        <w:t>N</w:t>
      </w:r>
      <w:r w:rsidRPr="00344050">
        <w:t xml:space="preserve"> reçu que ne l'est la plage de détection; pour cette raison, on utilise ce paramètre de qualité de fonctionnement pour déterminer les niveaux de brouillage permis</w:t>
      </w:r>
      <w:r w:rsidRPr="00550B70">
        <w:rPr>
          <w:position w:val="6"/>
          <w:sz w:val="18"/>
        </w:rPr>
        <w:footnoteReference w:id="1"/>
      </w:r>
      <w:r w:rsidRPr="00344050">
        <w:t>.</w:t>
      </w:r>
    </w:p>
    <w:p w:rsidR="00344050" w:rsidRPr="00344050" w:rsidRDefault="00344050" w:rsidP="00F87EA9">
      <w:r w:rsidRPr="00344050">
        <w:t xml:space="preserve">Comme </w:t>
      </w:r>
      <w:r w:rsidR="00F87EA9">
        <w:t xml:space="preserve">dans </w:t>
      </w:r>
      <w:r w:rsidRPr="00344050">
        <w:t xml:space="preserve">le cas du système d'imagerie de la section précédente, des critères à court et à long terme </w:t>
      </w:r>
      <w:r w:rsidR="00571A9D" w:rsidRPr="00550B70">
        <w:t xml:space="preserve">peuvent être établis pour la </w:t>
      </w:r>
      <w:r w:rsidRPr="00344050">
        <w:t>dégradation permise de la qualité de fonctionnement d'un système par des signaux brouilleurs.</w:t>
      </w:r>
    </w:p>
    <w:p w:rsidR="00344050" w:rsidRPr="00344050" w:rsidRDefault="00344050" w:rsidP="00344050">
      <w:r w:rsidRPr="00344050">
        <w:t>Le brouillage à court terme peut dégrader le système de manière significative pendant un laps de temps suffisamment court pour qu'il paraisse acceptable pour l'opérateur, étant entendu qu'il s'agit d'un événement peu probable. Le brouillage à long terme peut dégrader la qualité de fonctionnement du système de manière incrémentielle jusqu'à un niveau qui n'est pas immédiatement perçu par l'opérateur mais qui est toutefois acceptable pendant le laps de temps spécifié.</w:t>
      </w:r>
    </w:p>
    <w:p w:rsidR="00344050" w:rsidRPr="00344050" w:rsidRDefault="00344050" w:rsidP="00344050">
      <w:pPr>
        <w:spacing w:before="80"/>
        <w:ind w:left="794" w:hanging="794"/>
      </w:pPr>
      <w:r w:rsidRPr="00344050">
        <w:rPr>
          <w:i/>
          <w:iCs/>
        </w:rPr>
        <w:t>Critère de protection à court terme</w:t>
      </w:r>
    </w:p>
    <w:p w:rsidR="00344050" w:rsidRPr="00344050" w:rsidRDefault="00344050" w:rsidP="00AF7EB7">
      <w:r w:rsidRPr="00344050">
        <w:t xml:space="preserve">La dégradation du rapport </w:t>
      </w:r>
      <w:r w:rsidRPr="00344050">
        <w:rPr>
          <w:i/>
          <w:iCs/>
        </w:rPr>
        <w:t>S</w:t>
      </w:r>
      <w:r w:rsidRPr="00344050">
        <w:t>/</w:t>
      </w:r>
      <w:r w:rsidRPr="00344050">
        <w:rPr>
          <w:i/>
          <w:iCs/>
        </w:rPr>
        <w:t>N</w:t>
      </w:r>
      <w:r w:rsidRPr="00344050">
        <w:t xml:space="preserve"> du radar produira une erreur de localisation qui peut partiellement compromettre l'avantage du fonctionnement aux fréquences élevées et qui peut considérablement perturber la mission du radar. Le fait de permettre au signal brouilleur d'atteindre le niveau de bruit du radar (</w:t>
      </w:r>
      <w:r w:rsidRPr="00344050">
        <w:rPr>
          <w:i/>
          <w:iCs/>
        </w:rPr>
        <w:t>I</w:t>
      </w:r>
      <w:r w:rsidRPr="00344050">
        <w:t>/</w:t>
      </w:r>
      <w:r w:rsidRPr="00344050">
        <w:rPr>
          <w:i/>
          <w:iCs/>
        </w:rPr>
        <w:t>N</w:t>
      </w:r>
      <w:r w:rsidRPr="00344050">
        <w:t xml:space="preserve"> = 0 dB) se traduira par une augmentation de 40% de l'erreur angulaire. On peut à nouveau supposer que cette dégradation n'est pas excessivement importante, à condition qu'il s'agisse d'un événement peu probable, pendant une durée ne dépassant pas 5 s environ. Le niveau du signal brouilleur permis peut dès lors atteindre </w:t>
      </w:r>
      <w:r w:rsidR="00AF7EB7">
        <w:t>−</w:t>
      </w:r>
      <w:r w:rsidRPr="00344050">
        <w:t>126,2 dB(W/6 MHz) pendant moins de 5 s (en utilisant le radar du Tableau 1 ayant l'ouverture de faisceau la plus petite).</w:t>
      </w:r>
    </w:p>
    <w:p w:rsidR="00344050" w:rsidRPr="00344050" w:rsidRDefault="00344050" w:rsidP="00344050">
      <w:pPr>
        <w:spacing w:before="80"/>
        <w:ind w:left="794" w:hanging="794"/>
      </w:pPr>
      <w:r w:rsidRPr="00344050">
        <w:rPr>
          <w:i/>
          <w:iCs/>
        </w:rPr>
        <w:t>Critère de protection à long terme</w:t>
      </w:r>
    </w:p>
    <w:p w:rsidR="00344050" w:rsidRPr="00344050" w:rsidRDefault="00344050" w:rsidP="00AF7EB7">
      <w:r w:rsidRPr="00344050">
        <w:t xml:space="preserve">Il semblerait logique que l'erreur du radar devienne plus importante à mesure que la durée augmente. Jusqu'à 1 min, il faut partir du principe que l'augmentation de l'erreur angulaire due au signal brouilleur ne devrait pas dépasser 5%. Le critère à long terme est dès lors un niveau du signal brouilleur de </w:t>
      </w:r>
      <w:r w:rsidR="00AF7EB7">
        <w:t>−</w:t>
      </w:r>
      <w:r w:rsidRPr="00344050">
        <w:t>136,1 dB(W/6 MHz) pendant 60 s au plus.</w:t>
      </w:r>
    </w:p>
    <w:p w:rsidR="00571A9D" w:rsidRPr="00344050" w:rsidRDefault="00571A9D" w:rsidP="00E3271D">
      <w:pPr>
        <w:pStyle w:val="Heading2"/>
      </w:pPr>
      <w:r w:rsidRPr="00550B70">
        <w:t>3</w:t>
      </w:r>
      <w:r w:rsidRPr="00344050">
        <w:t>.</w:t>
      </w:r>
      <w:r w:rsidRPr="00550B70">
        <w:t>3</w:t>
      </w:r>
      <w:r w:rsidRPr="00344050">
        <w:tab/>
        <w:t xml:space="preserve">Radars </w:t>
      </w:r>
      <w:r w:rsidRPr="00550B70">
        <w:t>de recherche et de poursuite</w:t>
      </w:r>
    </w:p>
    <w:p w:rsidR="00571A9D" w:rsidRPr="00550B70" w:rsidRDefault="00571A9D" w:rsidP="00AF7EB7">
      <w:r w:rsidRPr="00550B70">
        <w:t xml:space="preserve">Pour les radars de recherche et de poursuite, on utilise </w:t>
      </w:r>
      <w:r w:rsidR="00550B70" w:rsidRPr="00550B70">
        <w:t>comme</w:t>
      </w:r>
      <w:r w:rsidRPr="00550B70">
        <w:t xml:space="preserve"> critère de protection un rapport entre la puissance du signal brouilleur et </w:t>
      </w:r>
      <w:r w:rsidR="00550B70">
        <w:t xml:space="preserve">la </w:t>
      </w:r>
      <w:r w:rsidRPr="00550B70">
        <w:t xml:space="preserve">puissance de bruit du récepteur du radar, </w:t>
      </w:r>
      <w:r w:rsidRPr="00BF7E3F">
        <w:rPr>
          <w:i/>
          <w:iCs/>
        </w:rPr>
        <w:t>I/N</w:t>
      </w:r>
      <w:r w:rsidRPr="00550B70">
        <w:t xml:space="preserve">, de </w:t>
      </w:r>
      <w:r w:rsidR="00AF7EB7">
        <w:t>−</w:t>
      </w:r>
      <w:r w:rsidRPr="00550B70">
        <w:t xml:space="preserve">6 dB. </w:t>
      </w:r>
    </w:p>
    <w:p w:rsidR="00344050" w:rsidRPr="00344050" w:rsidRDefault="00344050" w:rsidP="00344050"/>
    <w:p w:rsidR="00344050" w:rsidRPr="00344050" w:rsidRDefault="00344050" w:rsidP="00344050">
      <w:pPr>
        <w:pBdr>
          <w:top w:val="single" w:sz="6" w:space="1" w:color="auto"/>
        </w:pBdr>
        <w:tabs>
          <w:tab w:val="clear" w:pos="794"/>
          <w:tab w:val="clear" w:pos="1191"/>
          <w:tab w:val="clear" w:pos="1588"/>
          <w:tab w:val="clear" w:pos="1985"/>
        </w:tabs>
        <w:spacing w:before="240"/>
        <w:ind w:left="3997" w:right="3997"/>
        <w:jc w:val="center"/>
        <w:rPr>
          <w:sz w:val="20"/>
        </w:rPr>
      </w:pPr>
    </w:p>
    <w:sectPr w:rsidR="00344050" w:rsidRPr="00344050" w:rsidSect="00764D67">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2BD" w:rsidRDefault="008D12BD">
      <w:r>
        <w:separator/>
      </w:r>
    </w:p>
  </w:endnote>
  <w:endnote w:type="continuationSeparator" w:id="0">
    <w:p w:rsidR="008D12BD" w:rsidRDefault="008D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2BD" w:rsidRDefault="008D12BD">
      <w:r>
        <w:separator/>
      </w:r>
    </w:p>
  </w:footnote>
  <w:footnote w:type="continuationSeparator" w:id="0">
    <w:p w:rsidR="008D12BD" w:rsidRDefault="008D12BD">
      <w:r>
        <w:continuationSeparator/>
      </w:r>
    </w:p>
  </w:footnote>
  <w:footnote w:id="1">
    <w:p w:rsidR="00344050" w:rsidRDefault="00344050" w:rsidP="00344050">
      <w:pPr>
        <w:pStyle w:val="FootnoteText"/>
      </w:pPr>
      <w:r>
        <w:rPr>
          <w:rStyle w:val="FootnoteReference"/>
        </w:rPr>
        <w:footnoteRef/>
      </w:r>
      <w:r>
        <w:t xml:space="preserve"> </w:t>
      </w:r>
      <w:r>
        <w:tab/>
        <w:t xml:space="preserve">Dans ce cas on suppose, pour des raisons de simplicité, que les signaux brouilleurs seront interprétés par le récepteur touché comme une augmentation de la puissance de bruit dans les étages FI. Il faut éventuellement tenir compte de la réponse exacte des </w:t>
      </w:r>
      <w:r>
        <w:rPr>
          <w:lang w:val="fr-CH"/>
        </w:rPr>
        <w:t>systèmes radar, mais cela ne relève pas de la présente approche à caractère général.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BD" w:rsidRDefault="008D12B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BD" w:rsidRDefault="008D12BD" w:rsidP="00C668C8">
    <w:pPr>
      <w:pStyle w:val="Header"/>
      <w:ind w:right="360" w:firstLine="360"/>
    </w:pPr>
    <w:r>
      <w:rPr>
        <w:noProof/>
        <w:lang w:val="en-GB" w:eastAsia="en-GB"/>
      </w:rPr>
      <w:drawing>
        <wp:anchor distT="0" distB="0" distL="114300" distR="114300" simplePos="0" relativeHeight="251659264" behindDoc="1" locked="0" layoutInCell="1" allowOverlap="1" wp14:anchorId="200372B9" wp14:editId="3F54EFD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BD" w:rsidRPr="00837CB5" w:rsidRDefault="008D12B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33620">
      <w:rPr>
        <w:rStyle w:val="PageNumber"/>
        <w:b/>
        <w:bCs/>
        <w:noProof/>
      </w:rPr>
      <w:t>ii</w:t>
    </w:r>
    <w:r>
      <w:rPr>
        <w:rStyle w:val="PageNumber"/>
        <w:b/>
        <w:bCs/>
      </w:rPr>
      <w:fldChar w:fldCharType="end"/>
    </w:r>
    <w:r w:rsidRPr="00837CB5">
      <w:tab/>
    </w:r>
    <w:r w:rsidR="00533620">
      <w:fldChar w:fldCharType="begin"/>
    </w:r>
    <w:r w:rsidR="00533620">
      <w:instrText xml:space="preserve"> DOCPROPERTY "Header" \* MERGEFORMAT </w:instrText>
    </w:r>
    <w:r w:rsidR="00533620">
      <w:fldChar w:fldCharType="separate"/>
    </w:r>
    <w:r w:rsidR="00533620" w:rsidRPr="00533620">
      <w:rPr>
        <w:b/>
        <w:bCs/>
      </w:rPr>
      <w:t xml:space="preserve">Rec. </w:t>
    </w:r>
    <w:r w:rsidR="0053362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33620">
      <w:rPr>
        <w:b/>
        <w:bCs/>
        <w:noProof/>
      </w:rPr>
      <w:t>UIT-R  M.1640-1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BD" w:rsidRDefault="008D12BD">
    <w:pPr>
      <w:pStyle w:val="Header"/>
    </w:pPr>
    <w:r>
      <w:tab/>
    </w:r>
    <w:r w:rsidR="00533620">
      <w:fldChar w:fldCharType="begin"/>
    </w:r>
    <w:r w:rsidR="00533620">
      <w:instrText xml:space="preserve"> DOCPROPERTY "Header" \* MERGEFORMAT </w:instrText>
    </w:r>
    <w:r w:rsidR="00533620">
      <w:fldChar w:fldCharType="separate"/>
    </w:r>
    <w:r w:rsidR="00533620" w:rsidRPr="00533620">
      <w:rPr>
        <w:b/>
        <w:bCs/>
      </w:rPr>
      <w:t xml:space="preserve">Rec. </w:t>
    </w:r>
    <w:r w:rsidR="00533620">
      <w:rPr>
        <w:b/>
        <w:bCs/>
      </w:rPr>
      <w:fldChar w:fldCharType="end"/>
    </w:r>
    <w:r>
      <w:rPr>
        <w:b/>
        <w:bCs/>
      </w:rPr>
      <w:t xml:space="preserve"> </w:t>
    </w:r>
    <w:r>
      <w:rPr>
        <w:b/>
        <w:bCs/>
      </w:rPr>
      <w:fldChar w:fldCharType="begin"/>
    </w:r>
    <w:r>
      <w:rPr>
        <w:b/>
        <w:bCs/>
      </w:rPr>
      <w:instrText>styleref href</w:instrText>
    </w:r>
    <w:r>
      <w:rPr>
        <w:b/>
        <w:bCs/>
      </w:rPr>
      <w:fldChar w:fldCharType="separate"/>
    </w:r>
    <w:r w:rsidR="00533620">
      <w:rPr>
        <w:b/>
        <w:bCs/>
        <w:noProof/>
      </w:rPr>
      <w:t>UIT-R  M.1640-1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33620">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33620" w:rsidRPr="0053362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33620">
      <w:rPr>
        <w:b/>
        <w:bCs/>
        <w:noProof/>
      </w:rPr>
      <w:t>UIT-R  M.1640-1</w:t>
    </w:r>
    <w:r>
      <w:rPr>
        <w:b/>
        <w:bCs/>
      </w:rPr>
      <w:fldChar w:fldCharType="end"/>
    </w:r>
  </w:p>
  <w:p w:rsidR="00C10A21" w:rsidRDefault="00C10A2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533620" w:rsidRPr="0053362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33620">
      <w:rPr>
        <w:b/>
        <w:bCs/>
        <w:noProof/>
      </w:rPr>
      <w:t>UIT-R  M.1640-1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33620">
      <w:rPr>
        <w:rStyle w:val="PageNumber"/>
        <w:b/>
        <w:bCs/>
        <w:noProof/>
      </w:rPr>
      <w:t>5</w:t>
    </w:r>
    <w:r>
      <w:rPr>
        <w:rStyle w:val="PageNumber"/>
        <w:b/>
        <w:bCs/>
      </w:rPr>
      <w:fldChar w:fldCharType="end"/>
    </w:r>
  </w:p>
  <w:p w:rsidR="00C10A21" w:rsidRDefault="00C10A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2BD"/>
    <w:rsid w:val="000121AA"/>
    <w:rsid w:val="000559AC"/>
    <w:rsid w:val="000705EF"/>
    <w:rsid w:val="00081AAD"/>
    <w:rsid w:val="000A2649"/>
    <w:rsid w:val="000E740D"/>
    <w:rsid w:val="000F114A"/>
    <w:rsid w:val="00143579"/>
    <w:rsid w:val="00144B8A"/>
    <w:rsid w:val="001B145E"/>
    <w:rsid w:val="001C7F25"/>
    <w:rsid w:val="001D3170"/>
    <w:rsid w:val="001F08D0"/>
    <w:rsid w:val="001F4417"/>
    <w:rsid w:val="001F6F13"/>
    <w:rsid w:val="00210164"/>
    <w:rsid w:val="00217EBF"/>
    <w:rsid w:val="00223E2D"/>
    <w:rsid w:val="002264E3"/>
    <w:rsid w:val="00240CFC"/>
    <w:rsid w:val="00242AEE"/>
    <w:rsid w:val="002450EE"/>
    <w:rsid w:val="002473CF"/>
    <w:rsid w:val="00250BCD"/>
    <w:rsid w:val="00277892"/>
    <w:rsid w:val="002807A0"/>
    <w:rsid w:val="002D76C4"/>
    <w:rsid w:val="00313D3C"/>
    <w:rsid w:val="00317924"/>
    <w:rsid w:val="00317949"/>
    <w:rsid w:val="00344050"/>
    <w:rsid w:val="003B2F1B"/>
    <w:rsid w:val="003C09AB"/>
    <w:rsid w:val="003C0BC5"/>
    <w:rsid w:val="003D0F98"/>
    <w:rsid w:val="003D1FCC"/>
    <w:rsid w:val="003F0D1C"/>
    <w:rsid w:val="003F3132"/>
    <w:rsid w:val="00433DEA"/>
    <w:rsid w:val="004358A9"/>
    <w:rsid w:val="004B1EF3"/>
    <w:rsid w:val="00500DDA"/>
    <w:rsid w:val="00502586"/>
    <w:rsid w:val="0052529D"/>
    <w:rsid w:val="00533620"/>
    <w:rsid w:val="00550B70"/>
    <w:rsid w:val="00562B7F"/>
    <w:rsid w:val="005668F9"/>
    <w:rsid w:val="00571A9D"/>
    <w:rsid w:val="00586E13"/>
    <w:rsid w:val="00587F5A"/>
    <w:rsid w:val="005920FA"/>
    <w:rsid w:val="00595FC9"/>
    <w:rsid w:val="005C2C9E"/>
    <w:rsid w:val="00605B57"/>
    <w:rsid w:val="00607D68"/>
    <w:rsid w:val="00625E0F"/>
    <w:rsid w:val="006711D9"/>
    <w:rsid w:val="00737444"/>
    <w:rsid w:val="007468DA"/>
    <w:rsid w:val="00764D67"/>
    <w:rsid w:val="00776DCA"/>
    <w:rsid w:val="007860B4"/>
    <w:rsid w:val="007A1511"/>
    <w:rsid w:val="007C30E4"/>
    <w:rsid w:val="0081687C"/>
    <w:rsid w:val="00854CC7"/>
    <w:rsid w:val="008610B1"/>
    <w:rsid w:val="00881276"/>
    <w:rsid w:val="008A599A"/>
    <w:rsid w:val="008B716E"/>
    <w:rsid w:val="008D12BD"/>
    <w:rsid w:val="008D57CA"/>
    <w:rsid w:val="0091294B"/>
    <w:rsid w:val="0093056E"/>
    <w:rsid w:val="00937961"/>
    <w:rsid w:val="00954446"/>
    <w:rsid w:val="009703ED"/>
    <w:rsid w:val="00990261"/>
    <w:rsid w:val="009E00A8"/>
    <w:rsid w:val="009F19DA"/>
    <w:rsid w:val="00A5359D"/>
    <w:rsid w:val="00A5747B"/>
    <w:rsid w:val="00A6617B"/>
    <w:rsid w:val="00A72B14"/>
    <w:rsid w:val="00A82579"/>
    <w:rsid w:val="00A87708"/>
    <w:rsid w:val="00AB0DC8"/>
    <w:rsid w:val="00AF142C"/>
    <w:rsid w:val="00AF7EB7"/>
    <w:rsid w:val="00B03742"/>
    <w:rsid w:val="00B10BF1"/>
    <w:rsid w:val="00B24049"/>
    <w:rsid w:val="00B44471"/>
    <w:rsid w:val="00B44E24"/>
    <w:rsid w:val="00B6159E"/>
    <w:rsid w:val="00B72EA9"/>
    <w:rsid w:val="00BE1D32"/>
    <w:rsid w:val="00BF7E3F"/>
    <w:rsid w:val="00C10A21"/>
    <w:rsid w:val="00C15501"/>
    <w:rsid w:val="00C32375"/>
    <w:rsid w:val="00C32E57"/>
    <w:rsid w:val="00C8072E"/>
    <w:rsid w:val="00CA4BB5"/>
    <w:rsid w:val="00CD3719"/>
    <w:rsid w:val="00D02F5C"/>
    <w:rsid w:val="00D269F6"/>
    <w:rsid w:val="00D8139B"/>
    <w:rsid w:val="00D8476B"/>
    <w:rsid w:val="00DC2E36"/>
    <w:rsid w:val="00DD70D5"/>
    <w:rsid w:val="00DF4176"/>
    <w:rsid w:val="00E0619F"/>
    <w:rsid w:val="00E3271D"/>
    <w:rsid w:val="00F063A3"/>
    <w:rsid w:val="00F73B14"/>
    <w:rsid w:val="00F87EA9"/>
    <w:rsid w:val="00FA30B5"/>
    <w:rsid w:val="00FE4FC8"/>
    <w:rsid w:val="00FF4E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docId w15:val="{DAC15AC3-BFC9-4D5D-9A2B-55F4FAAC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1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0A2649"/>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3170"/>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D12BD"/>
    <w:rPr>
      <w:b/>
      <w:sz w:val="24"/>
      <w:lang w:val="fr-FR" w:eastAsia="en-US"/>
    </w:rPr>
  </w:style>
  <w:style w:type="character" w:customStyle="1" w:styleId="HeaderChar">
    <w:name w:val="Header Char"/>
    <w:basedOn w:val="DefaultParagraphFont"/>
    <w:link w:val="Header"/>
    <w:rsid w:val="008D12BD"/>
    <w:rPr>
      <w:sz w:val="24"/>
      <w:lang w:val="fr-FR" w:eastAsia="en-US"/>
    </w:rPr>
  </w:style>
  <w:style w:type="character" w:styleId="Hyperlink">
    <w:name w:val="Hyperlink"/>
    <w:basedOn w:val="DefaultParagraphFont"/>
    <w:rsid w:val="008D12BD"/>
    <w:rPr>
      <w:color w:val="0000FF"/>
      <w:u w:val="single"/>
    </w:rPr>
  </w:style>
  <w:style w:type="character" w:customStyle="1" w:styleId="TableheadChar">
    <w:name w:val="Table_head Char"/>
    <w:basedOn w:val="DefaultParagraphFont"/>
    <w:link w:val="Tablehead"/>
    <w:locked/>
    <w:rsid w:val="008D12BD"/>
    <w:rPr>
      <w:b/>
      <w:sz w:val="22"/>
      <w:lang w:val="fr-FR" w:eastAsia="en-US"/>
    </w:rPr>
  </w:style>
  <w:style w:type="character" w:customStyle="1" w:styleId="TabletextChar">
    <w:name w:val="Table_text Char"/>
    <w:basedOn w:val="DefaultParagraphFont"/>
    <w:link w:val="Tabletext"/>
    <w:locked/>
    <w:rsid w:val="008D12BD"/>
    <w:rPr>
      <w:sz w:val="22"/>
      <w:lang w:val="fr-FR" w:eastAsia="en-US"/>
    </w:rPr>
  </w:style>
  <w:style w:type="character" w:customStyle="1" w:styleId="TableNo0">
    <w:name w:val="Table_No Знак"/>
    <w:link w:val="TableNo"/>
    <w:locked/>
    <w:rsid w:val="008D12BD"/>
    <w:rPr>
      <w:sz w:val="24"/>
      <w:lang w:val="fr-FR" w:eastAsia="en-US"/>
    </w:rPr>
  </w:style>
  <w:style w:type="character" w:customStyle="1" w:styleId="FiguretitleChar">
    <w:name w:val="Figure_title Char"/>
    <w:basedOn w:val="DefaultParagraphFont"/>
    <w:link w:val="Figuretitle"/>
    <w:locked/>
    <w:rsid w:val="008D12BD"/>
    <w:rPr>
      <w:rFonts w:ascii="Times New Roman Bold" w:hAnsi="Times New Roman Bold"/>
      <w:b/>
      <w:sz w:val="18"/>
      <w:lang w:val="fr-FR" w:eastAsia="en-US"/>
    </w:rPr>
  </w:style>
  <w:style w:type="character" w:customStyle="1" w:styleId="FigureNoChar">
    <w:name w:val="Figure_No Char"/>
    <w:basedOn w:val="DefaultParagraphFont"/>
    <w:link w:val="FigureNo"/>
    <w:locked/>
    <w:rsid w:val="008D12BD"/>
    <w:rPr>
      <w:caps/>
      <w:sz w:val="18"/>
      <w:lang w:val="fr-FR" w:eastAsia="en-US"/>
    </w:rPr>
  </w:style>
  <w:style w:type="character" w:customStyle="1" w:styleId="Tabletitle0">
    <w:name w:val="Table_title Знак"/>
    <w:link w:val="Tabletitle"/>
    <w:locked/>
    <w:rsid w:val="008D12BD"/>
    <w:rPr>
      <w:b/>
      <w:sz w:val="24"/>
      <w:lang w:val="fr-FR" w:eastAsia="en-US"/>
    </w:rPr>
  </w:style>
  <w:style w:type="character" w:styleId="Emphasis">
    <w:name w:val="Emphasis"/>
    <w:basedOn w:val="DefaultParagraphFont"/>
    <w:uiPriority w:val="20"/>
    <w:qFormat/>
    <w:rsid w:val="008D12BD"/>
    <w:rPr>
      <w:b/>
      <w:bCs/>
      <w:i w:val="0"/>
      <w:iCs w:val="0"/>
    </w:rPr>
  </w:style>
  <w:style w:type="character" w:customStyle="1" w:styleId="HeadingbChar">
    <w:name w:val="Heading_b Char"/>
    <w:link w:val="Headingb"/>
    <w:locked/>
    <w:rsid w:val="00D02F5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header" Target="header6.xml"/><Relationship Id="rId10" Type="http://schemas.openxmlformats.org/officeDocument/2006/relationships/hyperlink" Target="http://www.itu.int/publ/R-REC/fr"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76101-17A6-4504-BC00-1BD3B5430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1</Pages>
  <Words>2184</Words>
  <Characters>12451</Characters>
  <Application>Microsoft Office Word</Application>
  <DocSecurity>0</DocSecurity>
  <Lines>478</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20</cp:revision>
  <cp:lastPrinted>2018-05-23T09:19:00Z</cp:lastPrinted>
  <dcterms:created xsi:type="dcterms:W3CDTF">2018-04-11T06:02:00Z</dcterms:created>
  <dcterms:modified xsi:type="dcterms:W3CDTF">2018-05-23T09:19:00Z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