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2292" w:rsidRPr="00575CB8" w:rsidRDefault="00042292" w:rsidP="00042292">
      <w:pPr>
        <w:rPr>
          <w:lang w:val="en-US"/>
        </w:rPr>
      </w:pPr>
    </w:p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p w:rsidR="00042292" w:rsidRDefault="00042292" w:rsidP="00042292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042292" w:rsidRPr="008E0DD6" w:rsidTr="00A07AEB">
        <w:tc>
          <w:tcPr>
            <w:tcW w:w="10089" w:type="dxa"/>
          </w:tcPr>
          <w:p w:rsidR="00042292" w:rsidRPr="00A07AEB" w:rsidRDefault="00042292" w:rsidP="00A07AEB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042292" w:rsidRPr="00A07AEB" w:rsidRDefault="00042292" w:rsidP="008E0DD6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  UIT-R  M.</w:t>
            </w:r>
            <w:r w:rsidR="008E0DD6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1582</w:t>
            </w:r>
          </w:p>
          <w:p w:rsidR="00042292" w:rsidRPr="00A07AEB" w:rsidRDefault="00042292" w:rsidP="008E0DD6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8E0DD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07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8E0DD6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2002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6A5DA9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042292" w:rsidRPr="00A07AEB" w:rsidRDefault="008E0DD6" w:rsidP="008E0DD6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8E0DD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Método para determinar las distancias de coordinación, en la banda de 5 GHz entre</w:t>
            </w:r>
            <w:r w:rsidRPr="008E0DD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>las estaciones del sistema internacional normalizado de aterrizaje por microondas que funciona en el servicio de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 xml:space="preserve"> </w:t>
            </w:r>
            <w:r w:rsidRPr="008E0DD6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radionavegación aeronáutica y las estaciones del servicio de radionavegación por satélite (Tierra-espacio)</w:t>
            </w:r>
          </w:p>
          <w:p w:rsidR="00042292" w:rsidRPr="00A07AEB" w:rsidRDefault="00042292" w:rsidP="00A07AEB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6A5DA9" w:rsidTr="00A07AEB">
        <w:tc>
          <w:tcPr>
            <w:tcW w:w="10089" w:type="dxa"/>
          </w:tcPr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A07AEB" w:rsidRDefault="00042292" w:rsidP="00A07AEB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A07AEB" w:rsidRDefault="00042292" w:rsidP="00A07AEB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="00410F5B"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A07AEB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spacing w:before="80"/>
        <w:rPr>
          <w:i/>
          <w:sz w:val="22"/>
          <w:lang w:val="es-ES_tradnl"/>
        </w:rPr>
      </w:pPr>
    </w:p>
    <w:p w:rsidR="00042292" w:rsidRPr="0026666F" w:rsidRDefault="00042292" w:rsidP="00042292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26666F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6C718C" w:rsidRDefault="00042292" w:rsidP="00042292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6C718C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6C718C" w:rsidRDefault="00042292" w:rsidP="00042292">
      <w:pPr>
        <w:spacing w:before="180"/>
        <w:rPr>
          <w:sz w:val="20"/>
          <w:lang w:val="es-ES_tradnl"/>
        </w:rPr>
      </w:pPr>
      <w:r w:rsidRPr="006C718C">
        <w:rPr>
          <w:sz w:val="20"/>
          <w:lang w:val="es-ES_tradnl"/>
        </w:rPr>
        <w:t>El Sector de Radiocomunicaciones tiene como cometido garantizar la utilizaci</w:t>
      </w:r>
      <w:r>
        <w:rPr>
          <w:sz w:val="20"/>
          <w:lang w:val="es-ES_tradnl"/>
        </w:rPr>
        <w:t>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6C718C" w:rsidRDefault="00042292" w:rsidP="00042292">
      <w:pPr>
        <w:rPr>
          <w:sz w:val="20"/>
          <w:lang w:val="es-ES_tradnl"/>
        </w:rPr>
      </w:pPr>
      <w:r w:rsidRPr="006C718C">
        <w:rPr>
          <w:sz w:val="20"/>
          <w:lang w:val="es-ES_tradnl"/>
        </w:rPr>
        <w:t>Las Conferencias Mundiales y Regionales de Radiocomunicaciones y las Asambleas de Radiocomunicaciones, c</w:t>
      </w:r>
      <w:r>
        <w:rPr>
          <w:sz w:val="20"/>
          <w:lang w:val="es-ES_tradnl"/>
        </w:rPr>
        <w:t>on la colaboración de las Comisiones de Estudio, cumplen las funciones reglamentarias y políticas del Sector de Radiocomunicaciones.</w:t>
      </w:r>
    </w:p>
    <w:p w:rsidR="00042292" w:rsidRPr="00021E8A" w:rsidRDefault="00042292" w:rsidP="00042292">
      <w:pPr>
        <w:pStyle w:val="Heading1"/>
        <w:spacing w:before="340"/>
        <w:jc w:val="center"/>
        <w:rPr>
          <w:szCs w:val="24"/>
          <w:lang w:val="es-ES_tradnl"/>
        </w:rPr>
      </w:pPr>
      <w:r w:rsidRPr="007C36CA">
        <w:rPr>
          <w:lang w:val="es-ES_tradnl"/>
        </w:rPr>
        <w:t>Política sobre Derechos de Propiedad Intelectual</w:t>
      </w:r>
      <w:r w:rsidRPr="00021E8A">
        <w:rPr>
          <w:szCs w:val="24"/>
          <w:lang w:val="es-ES_tradnl"/>
        </w:rPr>
        <w:t xml:space="preserve"> (IPR)</w:t>
      </w:r>
    </w:p>
    <w:p w:rsidR="00042292" w:rsidRPr="00021E8A" w:rsidRDefault="00042292" w:rsidP="00042292">
      <w:pPr>
        <w:spacing w:before="180"/>
        <w:rPr>
          <w:sz w:val="20"/>
          <w:lang w:val="es-ES_tradnl"/>
        </w:rPr>
      </w:pPr>
      <w:r w:rsidRPr="00021E8A">
        <w:rPr>
          <w:sz w:val="20"/>
          <w:lang w:val="es-ES_tradnl"/>
        </w:rPr>
        <w:t>La política del UIT</w:t>
      </w:r>
      <w:r w:rsidRPr="00021E8A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a la que se hace referencia en el Anexo 1 a la Resolución UIT</w:t>
      </w:r>
      <w:r w:rsidRPr="00021E8A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021E8A">
          <w:rPr>
            <w:rStyle w:val="Hyperlink"/>
            <w:sz w:val="20"/>
            <w:lang w:val="es-ES_tradnl"/>
          </w:rPr>
          <w:t>http://www.itu.int/ITU-R/go/patents/es</w:t>
        </w:r>
      </w:hyperlink>
      <w:r w:rsidRPr="00021E8A">
        <w:rPr>
          <w:sz w:val="20"/>
          <w:lang w:val="es-ES_tradnl"/>
        </w:rPr>
        <w:t>, donde también aparecen las Directrices para la implementación de la Política Común de Patentes UIT</w:t>
      </w:r>
      <w:r w:rsidRPr="00021E8A">
        <w:rPr>
          <w:sz w:val="20"/>
          <w:lang w:val="es-ES_tradnl"/>
        </w:rPr>
        <w:noBreakHyphen/>
        <w:t>T/UIT</w:t>
      </w:r>
      <w:r w:rsidRPr="00021E8A">
        <w:rPr>
          <w:sz w:val="20"/>
          <w:lang w:val="es-ES_tradnl"/>
        </w:rPr>
        <w:noBreakHyphen/>
        <w:t>R/ISO/CEI y la base de datos sobre información de patentes del UIT</w:t>
      </w:r>
      <w:r w:rsidRPr="00021E8A">
        <w:rPr>
          <w:sz w:val="20"/>
          <w:lang w:val="es-ES_tradnl"/>
        </w:rPr>
        <w:noBreakHyphen/>
        <w:t>R sobre este asunto.</w:t>
      </w: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C36CA" w:rsidRDefault="00042292" w:rsidP="00042292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042292" w:rsidRPr="006A5DA9" w:rsidTr="00CB1354">
        <w:tc>
          <w:tcPr>
            <w:tcW w:w="9360" w:type="dxa"/>
            <w:gridSpan w:val="2"/>
          </w:tcPr>
          <w:p w:rsidR="00042292" w:rsidRPr="00021E8A" w:rsidRDefault="00042292" w:rsidP="00CB1354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021E8A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763D08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763D08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763D08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18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042292" w:rsidRPr="00036EE3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n-US"/>
              </w:rPr>
            </w:pPr>
            <w:r>
              <w:rPr>
                <w:bCs/>
                <w:sz w:val="20"/>
                <w:lang w:val="en-US"/>
              </w:rPr>
              <w:t>Título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Distribución por satélite</w:t>
            </w:r>
          </w:p>
        </w:tc>
      </w:tr>
      <w:tr w:rsidR="00042292" w:rsidRPr="006A5DA9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021E8A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sonora</w:t>
            </w:r>
          </w:p>
        </w:tc>
      </w:tr>
      <w:tr w:rsidR="00042292" w:rsidRPr="00ED2695" w:rsidTr="00CB1354">
        <w:tc>
          <w:tcPr>
            <w:tcW w:w="1140" w:type="dxa"/>
            <w:shd w:val="clear" w:color="auto" w:fill="auto"/>
          </w:tcPr>
          <w:p w:rsidR="00042292" w:rsidRPr="00ED2695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ED2695">
              <w:rPr>
                <w:b/>
                <w:bCs/>
                <w:sz w:val="20"/>
                <w:lang w:val="en-US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21E8A">
              <w:rPr>
                <w:b w:val="0"/>
                <w:bCs/>
                <w:sz w:val="20"/>
              </w:rPr>
              <w:t>Servicio de radiodifusión (televisión)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fr-CH"/>
              </w:rPr>
            </w:pPr>
            <w:r w:rsidRPr="00021E8A">
              <w:rPr>
                <w:bCs/>
                <w:sz w:val="20"/>
              </w:rPr>
              <w:t>Servicio fijo</w:t>
            </w:r>
          </w:p>
        </w:tc>
      </w:tr>
      <w:tr w:rsidR="00042292" w:rsidRPr="006A5DA9" w:rsidTr="00CB1354">
        <w:tc>
          <w:tcPr>
            <w:tcW w:w="1140" w:type="dxa"/>
            <w:shd w:val="clear" w:color="auto" w:fill="F3F3F3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n-US"/>
              </w:rPr>
            </w:pPr>
            <w:r w:rsidRPr="001240BC">
              <w:rPr>
                <w:b/>
                <w:bCs/>
                <w:color w:val="000080"/>
                <w:sz w:val="20"/>
                <w:lang w:val="en-US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1240BC" w:rsidRDefault="00042292" w:rsidP="00CB1354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1240BC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042292" w:rsidRPr="006A5DA9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Radio astronomía</w:t>
            </w:r>
          </w:p>
        </w:tc>
      </w:tr>
      <w:tr w:rsidR="00042292" w:rsidRPr="006A5DA9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Servicio fijo por satélite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Aplicaciones espaciales y meteorología</w:t>
            </w:r>
          </w:p>
        </w:tc>
      </w:tr>
      <w:tr w:rsidR="00042292" w:rsidRPr="006A5DA9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036EE3" w:rsidTr="00CB1354">
        <w:tc>
          <w:tcPr>
            <w:tcW w:w="114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1240BC"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1240BC" w:rsidRDefault="00042292" w:rsidP="00CB1354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1240BC">
              <w:rPr>
                <w:sz w:val="20"/>
              </w:rPr>
              <w:t>Gestión del espectro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Periodismo electrónico por satélite</w:t>
            </w:r>
          </w:p>
        </w:tc>
      </w:tr>
      <w:tr w:rsidR="00042292" w:rsidRPr="006A5DA9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021E8A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036EE3" w:rsidTr="00CB1354">
        <w:tc>
          <w:tcPr>
            <w:tcW w:w="1140" w:type="dxa"/>
          </w:tcPr>
          <w:p w:rsidR="00042292" w:rsidRPr="00036EE3" w:rsidRDefault="00042292" w:rsidP="00CB1354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042292" w:rsidRPr="00021E8A" w:rsidRDefault="00042292" w:rsidP="00CB1354">
            <w:pPr>
              <w:spacing w:before="30" w:after="140"/>
              <w:jc w:val="left"/>
              <w:rPr>
                <w:bCs/>
                <w:sz w:val="20"/>
                <w:lang w:val="en-US"/>
              </w:rPr>
            </w:pPr>
            <w:r w:rsidRPr="00021E8A">
              <w:rPr>
                <w:bCs/>
                <w:sz w:val="20"/>
              </w:rPr>
              <w:t>Vocabulario y cuestiones afines</w:t>
            </w:r>
          </w:p>
        </w:tc>
      </w:tr>
    </w:tbl>
    <w:p w:rsidR="00042292" w:rsidRPr="00036EE3" w:rsidRDefault="00042292" w:rsidP="00042292">
      <w:pPr>
        <w:spacing w:before="0" w:after="140"/>
        <w:jc w:val="center"/>
        <w:rPr>
          <w:sz w:val="20"/>
          <w:lang w:val="en-US"/>
        </w:rPr>
      </w:pPr>
    </w:p>
    <w:tbl>
      <w:tblPr>
        <w:tblpPr w:leftFromText="180" w:rightFromText="180" w:vertAnchor="text" w:tblpX="-5771" w:tblpY="-4031"/>
        <w:tblW w:w="0" w:type="auto"/>
        <w:tblLook w:val="0000" w:firstRow="0" w:lastRow="0" w:firstColumn="0" w:lastColumn="0" w:noHBand="0" w:noVBand="0"/>
      </w:tblPr>
      <w:tblGrid>
        <w:gridCol w:w="720"/>
      </w:tblGrid>
      <w:tr w:rsidR="00042292" w:rsidTr="00CB1354">
        <w:tc>
          <w:tcPr>
            <w:tcW w:w="720" w:type="dxa"/>
          </w:tcPr>
          <w:p w:rsidR="00042292" w:rsidRDefault="00042292" w:rsidP="00CB1354">
            <w:pPr>
              <w:spacing w:before="0"/>
              <w:jc w:val="center"/>
              <w:rPr>
                <w:sz w:val="22"/>
                <w:lang w:val="en-US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042292" w:rsidRPr="006A5DA9" w:rsidTr="00A07AEB">
        <w:tc>
          <w:tcPr>
            <w:tcW w:w="9360" w:type="dxa"/>
          </w:tcPr>
          <w:p w:rsidR="00042292" w:rsidRPr="00A07AEB" w:rsidRDefault="00042292" w:rsidP="00A07AEB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A07AEB">
              <w:rPr>
                <w:b/>
                <w:bCs/>
                <w:i/>
                <w:iCs/>
                <w:sz w:val="20"/>
                <w:lang w:val="es-ES_tradnl"/>
              </w:rPr>
              <w:t xml:space="preserve">         Nota</w:t>
            </w:r>
            <w:r w:rsidRPr="00A07AEB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Pr="00A07AEB">
              <w:rPr>
                <w:i/>
                <w:iCs/>
                <w:sz w:val="20"/>
                <w:lang w:val="es-ES_tradnl"/>
              </w:rPr>
              <w:br/>
              <w:t xml:space="preserve">        Resolución UIT-R 1.</w:t>
            </w:r>
          </w:p>
        </w:tc>
      </w:tr>
    </w:tbl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042292">
      <w:pPr>
        <w:spacing w:before="60"/>
        <w:jc w:val="right"/>
        <w:rPr>
          <w:i/>
          <w:iCs/>
          <w:sz w:val="20"/>
          <w:lang w:val="es-ES_tradnl"/>
        </w:rPr>
      </w:pPr>
      <w:r w:rsidRPr="00763D08">
        <w:rPr>
          <w:i/>
          <w:iCs/>
          <w:sz w:val="20"/>
          <w:lang w:val="es-ES_tradnl"/>
        </w:rPr>
        <w:t>Publicación electrónica</w:t>
      </w:r>
    </w:p>
    <w:p w:rsidR="00042292" w:rsidRPr="00763D08" w:rsidRDefault="00042292" w:rsidP="00E704B6">
      <w:pPr>
        <w:spacing w:before="0" w:after="40"/>
        <w:jc w:val="right"/>
        <w:rPr>
          <w:sz w:val="20"/>
          <w:lang w:val="es-ES_tradnl"/>
        </w:rPr>
      </w:pPr>
      <w:r w:rsidRPr="00763D08">
        <w:rPr>
          <w:sz w:val="20"/>
          <w:lang w:val="es-ES_tradnl"/>
        </w:rPr>
        <w:t>Ginebra, 20</w:t>
      </w:r>
      <w:r w:rsidR="001B26B3">
        <w:rPr>
          <w:sz w:val="20"/>
          <w:lang w:val="es-ES_tradnl"/>
        </w:rPr>
        <w:t>1</w:t>
      </w:r>
      <w:r w:rsidR="00E704B6">
        <w:rPr>
          <w:sz w:val="20"/>
          <w:lang w:val="es-ES_tradnl"/>
        </w:rPr>
        <w:t>1</w:t>
      </w:r>
    </w:p>
    <w:p w:rsidR="00042292" w:rsidRPr="00763D08" w:rsidRDefault="00042292" w:rsidP="00042292">
      <w:pPr>
        <w:spacing w:before="0"/>
        <w:jc w:val="center"/>
        <w:rPr>
          <w:sz w:val="22"/>
          <w:lang w:val="es-ES_tradnl"/>
        </w:rPr>
      </w:pPr>
    </w:p>
    <w:p w:rsidR="00042292" w:rsidRPr="00763D08" w:rsidRDefault="00042292" w:rsidP="00E704B6">
      <w:pPr>
        <w:spacing w:before="0"/>
        <w:jc w:val="center"/>
        <w:rPr>
          <w:sz w:val="20"/>
          <w:lang w:val="es-ES_tradnl"/>
        </w:rPr>
      </w:pPr>
      <w:r w:rsidRPr="00470E28">
        <w:rPr>
          <w:sz w:val="20"/>
          <w:lang w:val="en-US"/>
        </w:rPr>
        <w:sym w:font="Symbol" w:char="F0E3"/>
      </w:r>
      <w:r w:rsidRPr="00763D08">
        <w:rPr>
          <w:sz w:val="20"/>
          <w:lang w:val="es-ES_tradnl"/>
        </w:rPr>
        <w:t xml:space="preserve"> UIT </w:t>
      </w:r>
      <w:bookmarkStart w:id="1" w:name="iiannee"/>
      <w:bookmarkEnd w:id="1"/>
      <w:r w:rsidRPr="00763D08">
        <w:rPr>
          <w:sz w:val="20"/>
          <w:lang w:val="es-ES_tradnl"/>
        </w:rPr>
        <w:t>20</w:t>
      </w:r>
      <w:r w:rsidR="001B26B3">
        <w:rPr>
          <w:sz w:val="20"/>
          <w:lang w:val="es-ES_tradnl"/>
        </w:rPr>
        <w:t>1</w:t>
      </w:r>
      <w:r w:rsidR="00E704B6">
        <w:rPr>
          <w:sz w:val="20"/>
          <w:lang w:val="es-ES_tradnl"/>
        </w:rPr>
        <w:t>1</w:t>
      </w:r>
    </w:p>
    <w:p w:rsidR="00042292" w:rsidRPr="006C718C" w:rsidRDefault="00042292" w:rsidP="00042292">
      <w:pPr>
        <w:spacing w:before="80"/>
        <w:rPr>
          <w:sz w:val="18"/>
          <w:szCs w:val="18"/>
          <w:lang w:val="es-ES_tradnl"/>
        </w:rPr>
      </w:pPr>
      <w:r w:rsidRPr="00763D08">
        <w:rPr>
          <w:sz w:val="18"/>
          <w:szCs w:val="18"/>
          <w:lang w:val="es-ES_tradnl"/>
        </w:rPr>
        <w:t xml:space="preserve">Reservados todos los derechos. </w:t>
      </w:r>
      <w:r w:rsidRPr="006C718C">
        <w:rPr>
          <w:sz w:val="18"/>
          <w:szCs w:val="18"/>
          <w:lang w:val="es-ES_tradnl"/>
        </w:rPr>
        <w:t>Ninguna parte de esta publicación puede reproducirse por ningún procedimiento sin previa autorizaci</w:t>
      </w:r>
      <w:r>
        <w:rPr>
          <w:sz w:val="18"/>
          <w:szCs w:val="18"/>
          <w:lang w:val="es-ES_tradnl"/>
        </w:rPr>
        <w:t>ón escrita por parte de la UIT</w:t>
      </w:r>
      <w:r w:rsidRPr="006C718C">
        <w:rPr>
          <w:sz w:val="18"/>
          <w:szCs w:val="18"/>
          <w:lang w:val="es-ES_tradnl"/>
        </w:rPr>
        <w:t>.</w:t>
      </w:r>
    </w:p>
    <w:p w:rsidR="00042292" w:rsidRPr="006C718C" w:rsidRDefault="00042292" w:rsidP="00042292">
      <w:pPr>
        <w:spacing w:before="160"/>
        <w:rPr>
          <w:i/>
          <w:sz w:val="20"/>
          <w:highlight w:val="yellow"/>
          <w:lang w:val="es-ES_tradnl"/>
        </w:rPr>
        <w:sectPr w:rsidR="00042292" w:rsidRPr="006C718C" w:rsidSect="00CB135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042292" w:rsidRDefault="008E0DD6" w:rsidP="00687E68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763D08">
        <w:rPr>
          <w:lang w:val="es-ES_tradnl"/>
        </w:rPr>
        <w:lastRenderedPageBreak/>
        <w:t xml:space="preserve">RECOMENDACIÓN  </w:t>
      </w:r>
      <w:r w:rsidRPr="00763D08">
        <w:rPr>
          <w:rStyle w:val="href"/>
          <w:lang w:val="es-ES_tradnl"/>
        </w:rPr>
        <w:t>UIT-R  M.1</w:t>
      </w:r>
      <w:r>
        <w:rPr>
          <w:rStyle w:val="href"/>
          <w:lang w:val="es-ES_tradnl"/>
        </w:rPr>
        <w:t>582</w:t>
      </w:r>
      <w:r w:rsidR="00687E68">
        <w:rPr>
          <w:rStyle w:val="FootnoteReference"/>
          <w:lang w:val="es-ES_tradnl"/>
        </w:rPr>
        <w:footnoteReference w:customMarkFollows="1" w:id="1"/>
        <w:t>*</w:t>
      </w:r>
      <w:r w:rsidR="00687E68" w:rsidRPr="00687E68">
        <w:rPr>
          <w:rStyle w:val="href"/>
          <w:position w:val="10"/>
          <w:sz w:val="18"/>
          <w:lang w:val="es-ES_tradnl"/>
        </w:rPr>
        <w:t xml:space="preserve">, </w:t>
      </w:r>
      <w:r>
        <w:rPr>
          <w:rStyle w:val="FootnoteReference"/>
          <w:lang w:val="es-ES_tradnl"/>
        </w:rPr>
        <w:footnoteReference w:customMarkFollows="1" w:id="2"/>
        <w:t>**</w:t>
      </w:r>
    </w:p>
    <w:p w:rsidR="008E0DD6" w:rsidRDefault="008E0DD6" w:rsidP="008E0DD6">
      <w:pPr>
        <w:pStyle w:val="Rectitle"/>
        <w:rPr>
          <w:lang w:val="es-ES_tradnl"/>
        </w:rPr>
      </w:pPr>
      <w:bookmarkStart w:id="3" w:name="Pre_title"/>
      <w:r>
        <w:rPr>
          <w:lang w:val="es-ES_tradnl"/>
        </w:rPr>
        <w:t>Método para determinar las distancias de coordinación</w:t>
      </w:r>
      <w:r>
        <w:rPr>
          <w:rStyle w:val="FootnoteReference"/>
          <w:lang w:val="es-ES_tradnl"/>
        </w:rPr>
        <w:footnoteReference w:customMarkFollows="1" w:id="3"/>
        <w:t>***</w:t>
      </w:r>
      <w:r>
        <w:rPr>
          <w:lang w:val="es-ES_tradnl"/>
        </w:rPr>
        <w:t xml:space="preserve">, en la banda </w:t>
      </w:r>
      <w:r>
        <w:rPr>
          <w:lang w:val="es-ES_tradnl"/>
        </w:rPr>
        <w:br/>
        <w:t xml:space="preserve">de 5 GHz entre las estaciones del sistema internacional normalizado de aterrizaje por microondas que funciona en el servicio de </w:t>
      </w:r>
      <w:r>
        <w:rPr>
          <w:lang w:val="es-ES_tradnl"/>
        </w:rPr>
        <w:br/>
        <w:t xml:space="preserve">radionavegación aeronáutica y las estaciones del servicio </w:t>
      </w:r>
      <w:r>
        <w:rPr>
          <w:lang w:val="es-ES_tradnl"/>
        </w:rPr>
        <w:br/>
        <w:t>de radionavegación por satélite (Tierra</w:t>
      </w:r>
      <w:r>
        <w:rPr>
          <w:lang w:val="es-ES_tradnl"/>
        </w:rPr>
        <w:noBreakHyphen/>
        <w:t>espacio)</w:t>
      </w:r>
      <w:bookmarkEnd w:id="3"/>
    </w:p>
    <w:p w:rsidR="008E0DD6" w:rsidRDefault="008E0DD6" w:rsidP="008E0DD6">
      <w:pPr>
        <w:pStyle w:val="Recdate"/>
        <w:rPr>
          <w:lang w:val="es-ES_tradnl"/>
        </w:rPr>
      </w:pPr>
      <w:bookmarkStart w:id="4" w:name="Related_Questions"/>
      <w:bookmarkStart w:id="5" w:name="Revision_history"/>
      <w:bookmarkEnd w:id="4"/>
    </w:p>
    <w:p w:rsidR="008E0DD6" w:rsidRDefault="008E0DD6" w:rsidP="008E0DD6">
      <w:pPr>
        <w:pStyle w:val="Recdate"/>
        <w:rPr>
          <w:lang w:val="es-ES_tradnl"/>
        </w:rPr>
      </w:pPr>
      <w:r>
        <w:rPr>
          <w:lang w:val="es-ES_tradnl"/>
        </w:rPr>
        <w:t>(2002)</w:t>
      </w:r>
      <w:bookmarkEnd w:id="5"/>
    </w:p>
    <w:p w:rsidR="008E0DD6" w:rsidRPr="006A5DA9" w:rsidRDefault="008E0DD6" w:rsidP="008E0DD6">
      <w:pPr>
        <w:pStyle w:val="HeadingSum"/>
        <w:rPr>
          <w:sz w:val="24"/>
        </w:rPr>
      </w:pPr>
      <w:r w:rsidRPr="006A5DA9">
        <w:rPr>
          <w:sz w:val="24"/>
        </w:rPr>
        <w:t>Cometido</w:t>
      </w:r>
    </w:p>
    <w:p w:rsidR="008E0DD6" w:rsidRPr="006A5DA9" w:rsidRDefault="008E0DD6" w:rsidP="006A5DA9">
      <w:pPr>
        <w:pStyle w:val="Summary"/>
        <w:rPr>
          <w:sz w:val="24"/>
        </w:rPr>
      </w:pPr>
      <w:r w:rsidRPr="006A5DA9">
        <w:rPr>
          <w:sz w:val="24"/>
        </w:rPr>
        <w:t>En esta Recomendación se facilita el método para determinar las distancias de coordinación entre las estaciones del sistema internacional normalizado MLS que funcionan en la banda de 5</w:t>
      </w:r>
      <w:r w:rsidR="006A5DA9">
        <w:rPr>
          <w:sz w:val="24"/>
        </w:rPr>
        <w:t> </w:t>
      </w:r>
      <w:r w:rsidRPr="006A5DA9">
        <w:rPr>
          <w:sz w:val="24"/>
        </w:rPr>
        <w:t>030</w:t>
      </w:r>
      <w:r w:rsidR="006A5DA9">
        <w:rPr>
          <w:sz w:val="24"/>
        </w:rPr>
        <w:noBreakHyphen/>
      </w:r>
      <w:r w:rsidRPr="006A5DA9">
        <w:rPr>
          <w:sz w:val="24"/>
        </w:rPr>
        <w:t>5</w:t>
      </w:r>
      <w:r w:rsidR="006A5DA9">
        <w:rPr>
          <w:sz w:val="24"/>
        </w:rPr>
        <w:t> </w:t>
      </w:r>
      <w:r w:rsidRPr="006A5DA9">
        <w:rPr>
          <w:sz w:val="24"/>
        </w:rPr>
        <w:t>150 MHz y las estaciones del servicio de radionavegación espacial (Tierra-espacio) en la banda de 5 000-5 010 MHz.</w:t>
      </w:r>
    </w:p>
    <w:p w:rsidR="008E0DD6" w:rsidRPr="00A80E65" w:rsidRDefault="008E0DD6" w:rsidP="008E0DD6">
      <w:pPr>
        <w:pStyle w:val="Normalaftertitle"/>
        <w:rPr>
          <w:lang w:val="es-ES_tradnl"/>
        </w:rPr>
      </w:pPr>
      <w:r w:rsidRPr="00A80E65">
        <w:rPr>
          <w:lang w:val="es-ES_tradnl"/>
        </w:rPr>
        <w:t>La Asamblea de Radiocomunicaciones de la UIT,</w:t>
      </w:r>
    </w:p>
    <w:p w:rsidR="008E0DD6" w:rsidRDefault="008E0DD6" w:rsidP="008E0DD6">
      <w:pPr>
        <w:pStyle w:val="Call"/>
        <w:rPr>
          <w:lang w:val="es-ES_tradnl"/>
        </w:rPr>
      </w:pPr>
      <w:r>
        <w:rPr>
          <w:lang w:val="es-ES_tradnl"/>
        </w:rPr>
        <w:t>considerando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que la banda 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000</w:t>
      </w:r>
      <w:r>
        <w:rPr>
          <w:lang w:val="es-ES_tradnl"/>
        </w:rPr>
        <w:noBreakHyphen/>
        <w:t>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250 MHz está atribuida al servicio de radionavegación aeronáutica a título primario;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que la banda 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030</w:t>
      </w:r>
      <w:r>
        <w:rPr>
          <w:lang w:val="es-ES_tradnl"/>
        </w:rPr>
        <w:noBreakHyphen/>
        <w:t>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150 MHz está destinada para las operaciones de aproximación y aterrizaje de precisión del sistema internacional normalizado de aterrizaje por microondas (MLS) y que las necesidades de este sistema tendrán prioridad sobre otras utilizaciones de esta banda de conformidad con el número 5.444 del Reglamento de Radiocomunicaciones (RR);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que la Conferencia Mundial de Radiocomunicaciones (Estambul, 2000) (CMR</w:t>
      </w:r>
      <w:r>
        <w:rPr>
          <w:lang w:val="es-ES_tradnl"/>
        </w:rPr>
        <w:noBreakHyphen/>
        <w:t>2000) añadió una atribución también a título primario al servicio de radionavegación por satélite (SRNS) (Tierra</w:t>
      </w:r>
      <w:r>
        <w:rPr>
          <w:lang w:val="es-ES_tradnl"/>
        </w:rPr>
        <w:noBreakHyphen/>
        <w:t>espacio) en la banda 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000</w:t>
      </w:r>
      <w:r>
        <w:rPr>
          <w:lang w:val="es-ES_tradnl"/>
        </w:rPr>
        <w:noBreakHyphen/>
        <w:t>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010 MHz;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que las emisiones procedentes de estaciones del SRNS pueden causar interferencia a los receptores aeronáuticos del MLS durante las maniobras de aproximación y aterrizaje;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e)</w:t>
      </w:r>
      <w:r>
        <w:rPr>
          <w:lang w:val="es-ES_tradnl"/>
        </w:rPr>
        <w:tab/>
        <w:t>que el MLS puede protegerse adecuadamente estableciendo la correcta distancia de separación entre los transmisores del SRNS (Tierra</w:t>
      </w:r>
      <w:r>
        <w:rPr>
          <w:lang w:val="es-ES_tradnl"/>
        </w:rPr>
        <w:noBreakHyphen/>
        <w:t>espacio) y los receptores del MLS y utilizando otras técnicas de reducción de la interferencia;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f)</w:t>
      </w:r>
      <w:r>
        <w:rPr>
          <w:lang w:val="es-ES_tradnl"/>
        </w:rPr>
        <w:tab/>
        <w:t>que en el número 4.10 del RR se reconoce que es necesario tomar medidas especiales para proteger a los servicios de radionavegación y otros servicios de seguridad,</w:t>
      </w:r>
    </w:p>
    <w:p w:rsidR="008E0DD6" w:rsidRDefault="008E0DD6" w:rsidP="008E0DD6">
      <w:pPr>
        <w:pStyle w:val="Call"/>
        <w:rPr>
          <w:lang w:val="es-ES_tradnl"/>
        </w:rPr>
      </w:pPr>
      <w:r>
        <w:rPr>
          <w:lang w:val="es-ES_tradnl"/>
        </w:rPr>
        <w:lastRenderedPageBreak/>
        <w:t>reconociendo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que los métodos aquí indicados se basan en las especificaciones actuales para los equipos receptores del sistema internacional normalizado MLS,</w:t>
      </w:r>
    </w:p>
    <w:p w:rsidR="008E0DD6" w:rsidRDefault="008E0DD6" w:rsidP="008E0DD6">
      <w:pPr>
        <w:pStyle w:val="Call"/>
        <w:rPr>
          <w:lang w:val="es-ES_tradnl"/>
        </w:rPr>
      </w:pPr>
      <w:r>
        <w:rPr>
          <w:lang w:val="es-ES_tradnl"/>
        </w:rPr>
        <w:t>recomienda</w:t>
      </w:r>
    </w:p>
    <w:p w:rsidR="008E0DD6" w:rsidRDefault="008E0DD6" w:rsidP="008E0DD6">
      <w:pPr>
        <w:rPr>
          <w:lang w:val="es-ES_tradnl"/>
        </w:rPr>
      </w:pPr>
      <w:r>
        <w:rPr>
          <w:b/>
          <w:bCs/>
          <w:lang w:val="es-ES_tradnl"/>
        </w:rPr>
        <w:t>1</w:t>
      </w:r>
      <w:r>
        <w:rPr>
          <w:lang w:val="es-ES_tradnl"/>
        </w:rPr>
        <w:tab/>
        <w:t>que se utilice el método descrito en el Anexo 1 para determinar las distancias de coordinación entre las estaciones del sistema internacional normalizado MLS que funcionan en la banda 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030</w:t>
      </w:r>
      <w:r>
        <w:rPr>
          <w:lang w:val="es-ES_tradnl"/>
        </w:rPr>
        <w:noBreakHyphen/>
        <w:t>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150 MHz y las estaciones del SRNS (Tierra</w:t>
      </w:r>
      <w:r>
        <w:rPr>
          <w:lang w:val="es-ES_tradnl"/>
        </w:rPr>
        <w:noBreakHyphen/>
        <w:t>espacio) en la banda 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000</w:t>
      </w:r>
      <w:r>
        <w:rPr>
          <w:lang w:val="es-ES_tradnl"/>
        </w:rPr>
        <w:noBreakHyphen/>
        <w:t>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010 MHz.</w:t>
      </w:r>
    </w:p>
    <w:p w:rsidR="00A651B0" w:rsidRDefault="00A651B0" w:rsidP="008E0DD6">
      <w:pPr>
        <w:rPr>
          <w:lang w:val="es-ES_tradnl"/>
        </w:rPr>
      </w:pPr>
    </w:p>
    <w:p w:rsidR="00A651B0" w:rsidRDefault="00A651B0" w:rsidP="008E0DD6">
      <w:pPr>
        <w:rPr>
          <w:lang w:val="es-ES_tradnl"/>
        </w:rPr>
      </w:pPr>
    </w:p>
    <w:p w:rsidR="00A651B0" w:rsidRDefault="00A651B0" w:rsidP="008E0DD6">
      <w:pPr>
        <w:rPr>
          <w:lang w:val="es-ES_tradnl"/>
        </w:rPr>
      </w:pPr>
    </w:p>
    <w:p w:rsidR="00A651B0" w:rsidRDefault="00A651B0" w:rsidP="008E0DD6">
      <w:pPr>
        <w:rPr>
          <w:lang w:val="es-ES_tradnl"/>
        </w:rPr>
      </w:pPr>
    </w:p>
    <w:p w:rsidR="008E0DD6" w:rsidRDefault="008E0DD6" w:rsidP="008E0DD6">
      <w:pPr>
        <w:pStyle w:val="AnnexNoTitle"/>
        <w:rPr>
          <w:lang w:val="es-ES_tradnl"/>
        </w:rPr>
      </w:pPr>
      <w:r>
        <w:rPr>
          <w:lang w:val="es-ES_tradnl"/>
        </w:rPr>
        <w:t>Anexo  1</w:t>
      </w:r>
      <w:r>
        <w:rPr>
          <w:lang w:val="es-ES_tradnl"/>
        </w:rPr>
        <w:br/>
      </w:r>
      <w:r>
        <w:rPr>
          <w:lang w:val="es-ES_tradnl"/>
        </w:rPr>
        <w:br/>
        <w:t>Método para determinar las distancias de coordinación</w:t>
      </w:r>
    </w:p>
    <w:p w:rsidR="008E0DD6" w:rsidRPr="00A80E65" w:rsidRDefault="008E0DD6" w:rsidP="008E0DD6">
      <w:pPr>
        <w:pStyle w:val="Normalaftertitle"/>
        <w:spacing w:line="270" w:lineRule="exact"/>
        <w:rPr>
          <w:lang w:val="es-ES_tradnl"/>
        </w:rPr>
      </w:pPr>
      <w:r>
        <w:rPr>
          <w:lang w:val="es-ES_tradnl"/>
        </w:rPr>
        <w:t>Este Anexo describe un método para determinar las distancias de coordinación relativas a las estaciones MLS existentes y previstas que puede utilizarse para facilitar la instalación de estaciones del SRNS (Tierra</w:t>
      </w:r>
      <w:r>
        <w:rPr>
          <w:lang w:val="es-ES_tradnl"/>
        </w:rPr>
        <w:noBreakHyphen/>
        <w:t>espacio). No será necesaria la coordinación entre las estaciones del SRNS (Tierra</w:t>
      </w:r>
      <w:r>
        <w:rPr>
          <w:lang w:val="es-ES_tradnl"/>
        </w:rPr>
        <w:noBreakHyphen/>
        <w:t xml:space="preserve">espacio) y los puntos de emplazamientos transmisores MLS situados a la misma altitud y separados más de 450 km. </w:t>
      </w:r>
      <w:r w:rsidRPr="00A80E65">
        <w:rPr>
          <w:lang w:val="es-ES_tradnl"/>
        </w:rPr>
        <w:t xml:space="preserve">Más allá de esa distancia, se prevé que las estaciones MLS a bordo de aeronaves se encuentren lo suficientemente </w:t>
      </w:r>
      <w:bookmarkStart w:id="6" w:name="_GoBack"/>
      <w:bookmarkEnd w:id="6"/>
      <w:r w:rsidRPr="00A80E65">
        <w:rPr>
          <w:lang w:val="es-ES_tradnl"/>
        </w:rPr>
        <w:t>alejadas de la línea de visibilidad directa radioeléctrica de la estación terrena del SRNS (Tierra</w:t>
      </w:r>
      <w:r w:rsidRPr="00A80E65">
        <w:rPr>
          <w:lang w:val="es-ES_tradnl"/>
        </w:rPr>
        <w:noBreakHyphen/>
        <w:t>espacio) como para proteger al MLS. Esta distancia de coordinación está sujeta a una posterior revisión.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Para distancias de separación provisionalmente inferiores a 450 km, la necesidad de coordinación viene identificada por, y depende de, los factores de reducción de la interferencia a) a e) que aparecen más adelante. Pueden definirse umbrales de distancia de separación para la coordinación a partir de especificaciones normalizadas internacionales de los criterios de sensibilidad del MLS a la interferencia fuera de banda y dentro de banda. Por lo que respecta a este método, los términos «fuera de banda» y «dentro de banda» se refieren a la banda 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030</w:t>
      </w:r>
      <w:r>
        <w:rPr>
          <w:lang w:val="es-ES_tradnl"/>
        </w:rPr>
        <w:noBreakHyphen/>
        <w:t>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 xml:space="preserve">150 MHz (véase también el apartado e) más adelante). Estos umbrales pueden denominarse </w:t>
      </w:r>
      <w:r>
        <w:rPr>
          <w:i/>
          <w:iCs/>
          <w:lang w:val="es-ES_tradnl"/>
        </w:rPr>
        <w:t>R</w:t>
      </w:r>
      <w:r w:rsidRPr="005F76E4">
        <w:rPr>
          <w:i/>
          <w:iCs/>
          <w:vertAlign w:val="subscript"/>
          <w:lang w:val="es-ES_tradnl"/>
        </w:rPr>
        <w:t>oob</w:t>
      </w:r>
      <w:r>
        <w:rPr>
          <w:lang w:val="es-ES_tradnl"/>
        </w:rPr>
        <w:t xml:space="preserve">, para la distancia de separación fuera de banda, y </w:t>
      </w:r>
      <w:r>
        <w:rPr>
          <w:i/>
          <w:iCs/>
          <w:lang w:val="es-ES_tradnl"/>
        </w:rPr>
        <w:t>R</w:t>
      </w:r>
      <w:r w:rsidRPr="00687E68">
        <w:rPr>
          <w:i/>
          <w:iCs/>
          <w:vertAlign w:val="subscript"/>
          <w:lang w:val="es-ES_tradnl"/>
        </w:rPr>
        <w:t>in</w:t>
      </w:r>
      <w:r>
        <w:rPr>
          <w:lang w:val="es-ES_tradnl"/>
        </w:rPr>
        <w:t>, para la distancia de separación dentro de banda, como se define a continuación:</w:t>
      </w:r>
    </w:p>
    <w:p w:rsidR="008E0DD6" w:rsidRDefault="008E0DD6" w:rsidP="008E0DD6">
      <w:pPr>
        <w:pStyle w:val="Equation"/>
        <w:rPr>
          <w:lang w:val="es-ES_tradnl"/>
        </w:rPr>
      </w:pPr>
      <w:r w:rsidRPr="00A80E65">
        <w:rPr>
          <w:lang w:val="es-ES_tradnl"/>
        </w:rPr>
        <w:tab/>
      </w:r>
      <w:r w:rsidRPr="00A80E65">
        <w:rPr>
          <w:lang w:val="es-ES_tradnl"/>
        </w:rPr>
        <w:tab/>
      </w:r>
      <w:r w:rsidR="005F76E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41.8pt;height:22.2pt">
            <v:imagedata r:id="rId14" o:title=""/>
          </v:shape>
        </w:pict>
      </w:r>
      <w:r>
        <w:rPr>
          <w:lang w:val="es-ES_tradnl"/>
        </w:rPr>
        <w:tab/>
        <w:t>(1)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 xml:space="preserve">siendo </w:t>
      </w:r>
      <w:r>
        <w:rPr>
          <w:i/>
          <w:iCs/>
          <w:lang w:val="es-ES_tradnl"/>
        </w:rPr>
        <w:t>P</w:t>
      </w:r>
      <w:r w:rsidRPr="005F76E4">
        <w:rPr>
          <w:vertAlign w:val="subscript"/>
          <w:lang w:val="es-ES_tradnl"/>
        </w:rPr>
        <w:t>1</w:t>
      </w:r>
      <w:r>
        <w:rPr>
          <w:lang w:val="es-ES_tradnl"/>
        </w:rPr>
        <w:t xml:space="preserve"> la p.i.r.e. total (dBW) de la estación terrena del SRNS (Tierra</w:t>
      </w:r>
      <w:r>
        <w:rPr>
          <w:lang w:val="es-ES_tradnl"/>
        </w:rPr>
        <w:noBreakHyphen/>
        <w:t>espacio) en la banda 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000</w:t>
      </w:r>
      <w:r>
        <w:rPr>
          <w:lang w:val="es-ES_tradnl"/>
        </w:rPr>
        <w:noBreakHyphen/>
        <w:t>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010 MHz, basada en la propagación en espacio libre desde la estación del SRNS a una aeronave equipada con MLS situada en el interior del volumen de servicio del MLS.</w:t>
      </w:r>
    </w:p>
    <w:p w:rsidR="008E0DD6" w:rsidRDefault="008E0DD6" w:rsidP="008E0DD6">
      <w:pPr>
        <w:pStyle w:val="Equation"/>
        <w:rPr>
          <w:lang w:val="es-ES_tradnl"/>
        </w:rPr>
      </w:pPr>
      <w:r w:rsidRPr="00A80E65">
        <w:rPr>
          <w:lang w:val="es-ES_tradnl"/>
        </w:rPr>
        <w:tab/>
      </w:r>
      <w:r w:rsidRPr="00A80E65">
        <w:rPr>
          <w:lang w:val="es-ES_tradnl"/>
        </w:rPr>
        <w:tab/>
      </w:r>
      <w:r>
        <w:rPr>
          <w:position w:val="-12"/>
          <w:lang w:val="fr-CH"/>
        </w:rPr>
        <w:object w:dxaOrig="4840" w:dyaOrig="440">
          <v:shape id="_x0000_i1026" type="#_x0000_t75" style="width:241.8pt;height:22.2pt" o:ole="">
            <v:imagedata r:id="rId15" o:title=""/>
          </v:shape>
          <o:OLEObject Type="Embed" ProgID="Equation.3" ShapeID="_x0000_i1026" DrawAspect="Content" ObjectID="_1366534600" r:id="rId16"/>
        </w:object>
      </w:r>
      <w:r>
        <w:rPr>
          <w:lang w:val="es-ES_tradnl"/>
        </w:rPr>
        <w:tab/>
        <w:t>(2)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 xml:space="preserve">siendo </w:t>
      </w:r>
      <w:r>
        <w:rPr>
          <w:i/>
          <w:iCs/>
          <w:lang w:val="es-ES_tradnl"/>
        </w:rPr>
        <w:t>P</w:t>
      </w:r>
      <w:r w:rsidRPr="005F76E4">
        <w:rPr>
          <w:vertAlign w:val="subscript"/>
          <w:lang w:val="es-ES_tradnl"/>
        </w:rPr>
        <w:t>2</w:t>
      </w:r>
      <w:r>
        <w:rPr>
          <w:lang w:val="es-ES_tradnl"/>
        </w:rPr>
        <w:t xml:space="preserve"> la densidad de p.i.r.e. de cresta de la estación terrena del SRNS (Tierra</w:t>
      </w:r>
      <w:r>
        <w:rPr>
          <w:lang w:val="es-ES_tradnl"/>
        </w:rPr>
        <w:noBreakHyphen/>
        <w:t>espacio) (dB(W/150 kHz)) en la banda 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030</w:t>
      </w:r>
      <w:r>
        <w:rPr>
          <w:lang w:val="es-ES_tradnl"/>
        </w:rPr>
        <w:noBreakHyphen/>
        <w:t>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150 MHz, basándose en la propagación en el espacio libre desde la estación del SRNS a una aeronave equipada con MLS situada en el interior del volumen de servicio del MLS, y un umbral de interferencia dentro de banda del MLS de –160 dBW.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lastRenderedPageBreak/>
        <w:t>Cuando se realice este cálculo inicial debe tomarse la precaución de asegurar que no se ha coordinado ninguna estación terrena del servicio fijo por satélite utilizando la Recomendación UIT</w:t>
      </w:r>
      <w:r>
        <w:rPr>
          <w:lang w:val="es-ES_tradnl"/>
        </w:rPr>
        <w:noBreakHyphen/>
        <w:t>R S.1342 o que no se encuentren otras estaciones terrenas del SRNS (Tierra</w:t>
      </w:r>
      <w:r>
        <w:rPr>
          <w:lang w:val="es-ES_tradnl"/>
        </w:rPr>
        <w:noBreakHyphen/>
        <w:t>espacio) a una distancia inferior a la distancia de coordinación del MLS. Si existe una estación terrena de estas características, debe tenerse en cuenta el efecto combinado potencial.</w:t>
      </w:r>
    </w:p>
    <w:p w:rsidR="008E0DD6" w:rsidRDefault="008E0DD6" w:rsidP="00A651B0">
      <w:pPr>
        <w:rPr>
          <w:lang w:val="es-ES_tradnl"/>
        </w:rPr>
      </w:pPr>
      <w:r>
        <w:rPr>
          <w:lang w:val="es-ES_tradnl"/>
        </w:rPr>
        <w:t xml:space="preserve">El volumen de servicio del MLS corresponde a una esfera de 43 km de radio cuyo centro se ubica en el emplazamiento del transmisor del MLS. Si tanto </w:t>
      </w:r>
      <w:r>
        <w:rPr>
          <w:i/>
          <w:iCs/>
          <w:lang w:val="es-ES_tradnl"/>
        </w:rPr>
        <w:t>R</w:t>
      </w:r>
      <w:r w:rsidRPr="005F76E4">
        <w:rPr>
          <w:i/>
          <w:iCs/>
          <w:vertAlign w:val="subscript"/>
          <w:lang w:val="es-ES_tradnl"/>
        </w:rPr>
        <w:t>oob</w:t>
      </w:r>
      <w:r>
        <w:rPr>
          <w:lang w:val="es-ES_tradnl"/>
        </w:rPr>
        <w:t xml:space="preserve"> como </w:t>
      </w:r>
      <w:r>
        <w:rPr>
          <w:i/>
          <w:iCs/>
          <w:lang w:val="es-ES_tradnl"/>
        </w:rPr>
        <w:t>R</w:t>
      </w:r>
      <w:r w:rsidRPr="00687E68">
        <w:rPr>
          <w:i/>
          <w:iCs/>
          <w:vertAlign w:val="subscript"/>
          <w:lang w:val="es-ES_tradnl"/>
        </w:rPr>
        <w:t>in</w:t>
      </w:r>
      <w:r>
        <w:rPr>
          <w:lang w:val="es-ES_tradnl"/>
        </w:rPr>
        <w:t xml:space="preserve"> son inferiores a la distancia </w:t>
      </w:r>
      <w:r>
        <w:rPr>
          <w:iCs/>
          <w:lang w:val="es-ES_tradnl"/>
        </w:rPr>
        <w:t xml:space="preserve">planificada </w:t>
      </w:r>
      <w:r>
        <w:rPr>
          <w:lang w:val="es-ES_tradnl"/>
        </w:rPr>
        <w:t>basada en el posible emplazamiento de la estación terrena del SRNS (Tierra</w:t>
      </w:r>
      <w:r>
        <w:rPr>
          <w:lang w:val="es-ES_tradnl"/>
        </w:rPr>
        <w:noBreakHyphen/>
        <w:t xml:space="preserve">espacio) y el emplazamiento o emplazamientos actuales o previstos de los transmisores MLS, el funcionamiento de este último sistema no resultará afectado y no es necesario realizar más análisis ni ejercicios de coordinación. Si </w:t>
      </w:r>
      <w:r>
        <w:rPr>
          <w:i/>
          <w:iCs/>
          <w:lang w:val="es-ES_tradnl"/>
        </w:rPr>
        <w:t>R</w:t>
      </w:r>
      <w:r w:rsidRPr="005F76E4">
        <w:rPr>
          <w:i/>
          <w:iCs/>
          <w:vertAlign w:val="subscript"/>
          <w:lang w:val="es-ES_tradnl"/>
        </w:rPr>
        <w:t>oob</w:t>
      </w:r>
      <w:r>
        <w:rPr>
          <w:lang w:val="es-ES_tradnl"/>
        </w:rPr>
        <w:t> o </w:t>
      </w:r>
      <w:r>
        <w:rPr>
          <w:i/>
          <w:iCs/>
          <w:lang w:val="es-ES_tradnl"/>
        </w:rPr>
        <w:t>R</w:t>
      </w:r>
      <w:r w:rsidRPr="00687E68">
        <w:rPr>
          <w:i/>
          <w:iCs/>
          <w:vertAlign w:val="subscript"/>
          <w:lang w:val="es-ES_tradnl"/>
        </w:rPr>
        <w:t>in</w:t>
      </w:r>
      <w:r>
        <w:rPr>
          <w:lang w:val="es-ES_tradnl"/>
        </w:rPr>
        <w:t xml:space="preserve"> rebasan la distancia planificada basándose en el posible emplazamiento de la estación terrena del SRNS (Tierra</w:t>
      </w:r>
      <w:r>
        <w:rPr>
          <w:lang w:val="es-ES_tradnl"/>
        </w:rPr>
        <w:noBreakHyphen/>
        <w:t>espacio) y en el emplazamiento o emplazamientos actuales o previstos de los transmisores del MLS, es necesario completar el análisis y la coordinación. Si se desea realizar un análisis más detallado deben tenerse en cuenta algunos de los factores indicados a continuación:</w:t>
      </w:r>
    </w:p>
    <w:p w:rsidR="008E0DD6" w:rsidRDefault="008E0DD6" w:rsidP="008E0DD6">
      <w:pPr>
        <w:pStyle w:val="enumlev1"/>
        <w:rPr>
          <w:lang w:val="es-ES_tradnl"/>
        </w:rPr>
      </w:pPr>
      <w:r>
        <w:rPr>
          <w:lang w:val="es-ES_tradnl"/>
        </w:rPr>
        <w:t>a)</w:t>
      </w:r>
      <w:r>
        <w:rPr>
          <w:lang w:val="es-ES_tradnl"/>
        </w:rPr>
        <w:tab/>
        <w:t>factores de atenuación de la señal específicos del lugar, tales como el bloqueo por el terreno y el horizonte radioeléctrico;</w:t>
      </w:r>
    </w:p>
    <w:p w:rsidR="008E0DD6" w:rsidRDefault="008E0DD6" w:rsidP="008E0DD6">
      <w:pPr>
        <w:pStyle w:val="enumlev1"/>
        <w:rPr>
          <w:lang w:val="es-ES_tradnl"/>
        </w:rPr>
      </w:pPr>
      <w:r>
        <w:rPr>
          <w:lang w:val="es-ES_tradnl"/>
        </w:rPr>
        <w:t>b)</w:t>
      </w:r>
      <w:r>
        <w:rPr>
          <w:lang w:val="es-ES_tradnl"/>
        </w:rPr>
        <w:tab/>
        <w:t>aumento del filtrado de la señal de enlace ascendente transmitida por la estación terrena del SRNS;</w:t>
      </w:r>
    </w:p>
    <w:p w:rsidR="008E0DD6" w:rsidRDefault="008E0DD6" w:rsidP="008E0DD6">
      <w:pPr>
        <w:pStyle w:val="enumlev1"/>
        <w:spacing w:before="60" w:line="270" w:lineRule="exact"/>
        <w:rPr>
          <w:lang w:val="es-ES_tradnl"/>
        </w:rPr>
      </w:pPr>
      <w:r>
        <w:rPr>
          <w:lang w:val="es-ES_tradnl"/>
        </w:rPr>
        <w:t>c)</w:t>
      </w:r>
      <w:r>
        <w:rPr>
          <w:lang w:val="es-ES_tradnl"/>
        </w:rPr>
        <w:tab/>
        <w:t>orientación y características de ganancia directiva de la antena transmisora de la estación terrena del SRNS (Tierra</w:t>
      </w:r>
      <w:r>
        <w:rPr>
          <w:lang w:val="es-ES_tradnl"/>
        </w:rPr>
        <w:noBreakHyphen/>
        <w:t>espacio);</w:t>
      </w:r>
    </w:p>
    <w:p w:rsidR="008E0DD6" w:rsidRDefault="008E0DD6" w:rsidP="008E0DD6">
      <w:pPr>
        <w:pStyle w:val="enumlev1"/>
        <w:rPr>
          <w:lang w:val="es-ES_tradnl"/>
        </w:rPr>
      </w:pPr>
      <w:r>
        <w:rPr>
          <w:lang w:val="es-ES_tradnl"/>
        </w:rPr>
        <w:t>d)</w:t>
      </w:r>
      <w:r>
        <w:rPr>
          <w:lang w:val="es-ES_tradnl"/>
        </w:rPr>
        <w:tab/>
        <w:t>emplazamientos alternativos para la estación terrena del SRNS (Tierra</w:t>
      </w:r>
      <w:r>
        <w:rPr>
          <w:lang w:val="es-ES_tradnl"/>
        </w:rPr>
        <w:noBreakHyphen/>
        <w:t>espacio);</w:t>
      </w:r>
    </w:p>
    <w:p w:rsidR="008E0DD6" w:rsidRDefault="008E0DD6" w:rsidP="008E0DD6">
      <w:pPr>
        <w:pStyle w:val="enumlev1"/>
        <w:rPr>
          <w:lang w:val="es-ES_tradnl"/>
        </w:rPr>
      </w:pPr>
      <w:r>
        <w:rPr>
          <w:lang w:val="es-ES_tradnl"/>
        </w:rPr>
        <w:t>e)</w:t>
      </w:r>
      <w:r>
        <w:rPr>
          <w:lang w:val="es-ES_tradnl"/>
        </w:rPr>
        <w:tab/>
        <w:t>en zonas donde se espera una limitación en las instalaciones actuales y previstas del MLS, puede considerarse opcionalmente la separación de frecuencias adicional permitida por el funcionamiento del MLS en los canales superiores del plan de canalización del MLS entre 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030 MHz y 5</w:t>
      </w:r>
      <w:r>
        <w:rPr>
          <w:rFonts w:ascii="Tms Rmn" w:hAnsi="Tms Rmn"/>
          <w:sz w:val="12"/>
          <w:lang w:val="es-ES_tradnl"/>
        </w:rPr>
        <w:t> </w:t>
      </w:r>
      <w:r>
        <w:rPr>
          <w:lang w:val="es-ES_tradnl"/>
        </w:rPr>
        <w:t>150 MHz. Esta opción es de competencia exclusiva de las autoridades nacionales afectadas.</w:t>
      </w:r>
    </w:p>
    <w:p w:rsidR="008E0DD6" w:rsidRDefault="008E0DD6" w:rsidP="008E0DD6">
      <w:pPr>
        <w:rPr>
          <w:lang w:val="es-ES_tradnl"/>
        </w:rPr>
      </w:pPr>
      <w:r>
        <w:rPr>
          <w:lang w:val="es-ES_tradnl"/>
        </w:rPr>
        <w:t>Los factores a) a d) pueden afectar el nivel de potencia de las emisiones de la estación terrena del SRNS (Tierra</w:t>
      </w:r>
      <w:r>
        <w:rPr>
          <w:lang w:val="es-ES_tradnl"/>
        </w:rPr>
        <w:noBreakHyphen/>
        <w:t xml:space="preserve">espacio) dirigidas hacia los volúmenes de servicio del MLS. El factor e) puede afectar la frecuencia o frecuencias de funcionamiento del MLS. Ello, a su vez, puede reducir el nivel correspondiente de las emisiones no esenciales del SRNS en la banda de 2,4 MHz centrada en la asignación de frecuencia del MLS, alterando el valor de </w:t>
      </w:r>
      <w:r>
        <w:rPr>
          <w:i/>
          <w:iCs/>
          <w:lang w:val="es-ES_tradnl"/>
        </w:rPr>
        <w:t>R</w:t>
      </w:r>
      <w:r w:rsidRPr="00687E68">
        <w:rPr>
          <w:i/>
          <w:iCs/>
          <w:vertAlign w:val="subscript"/>
          <w:lang w:val="es-ES_tradnl"/>
        </w:rPr>
        <w:t>in</w:t>
      </w:r>
      <w:r>
        <w:rPr>
          <w:lang w:val="es-ES_tradnl"/>
        </w:rPr>
        <w:t>. También pueden considerarse otros factores adicionales según los casos; sin embargo, debe asumirse la necesidad de mantener los parámetros de fiabilidad e integridad del MLS, en consonancia con los requisitos relativos a la seguridad de los vuelos del servicio que proporciona.</w:t>
      </w:r>
    </w:p>
    <w:p w:rsidR="008E0DD6" w:rsidRDefault="008E0DD6" w:rsidP="008E0DD6">
      <w:pPr>
        <w:rPr>
          <w:lang w:val="es-ES_tradnl"/>
        </w:rPr>
      </w:pPr>
    </w:p>
    <w:p w:rsidR="008E0DD6" w:rsidRDefault="008E0DD6" w:rsidP="008E0DD6">
      <w:pPr>
        <w:rPr>
          <w:lang w:val="es-ES_tradnl"/>
        </w:rPr>
      </w:pPr>
    </w:p>
    <w:p w:rsidR="008E0DD6" w:rsidRPr="008E0DD6" w:rsidRDefault="008E0DD6" w:rsidP="008E0DD6">
      <w:pPr>
        <w:pStyle w:val="Line"/>
        <w:rPr>
          <w:lang w:val="es-ES_tradnl"/>
        </w:rPr>
      </w:pPr>
    </w:p>
    <w:sectPr w:rsidR="008E0DD6" w:rsidRPr="008E0DD6" w:rsidSect="00042292">
      <w:headerReference w:type="even" r:id="rId17"/>
      <w:headerReference w:type="default" r:id="rId18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7AEB" w:rsidRDefault="00A07AEB">
      <w:r>
        <w:separator/>
      </w:r>
    </w:p>
  </w:endnote>
  <w:endnote w:type="continuationSeparator" w:id="0">
    <w:p w:rsidR="00A07AEB" w:rsidRDefault="00A07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7AEB" w:rsidRDefault="00A07AEB">
      <w:r>
        <w:separator/>
      </w:r>
    </w:p>
  </w:footnote>
  <w:footnote w:type="continuationSeparator" w:id="0">
    <w:p w:rsidR="00A07AEB" w:rsidRDefault="00A07AEB">
      <w:r>
        <w:continuationSeparator/>
      </w:r>
    </w:p>
  </w:footnote>
  <w:footnote w:id="1">
    <w:p w:rsidR="00687E68" w:rsidRPr="00687E68" w:rsidRDefault="00687E68" w:rsidP="00687E68">
      <w:pPr>
        <w:pStyle w:val="FootnoteText"/>
        <w:tabs>
          <w:tab w:val="clear" w:pos="255"/>
          <w:tab w:val="left" w:pos="454"/>
        </w:tabs>
        <w:ind w:left="454" w:hanging="454"/>
        <w:rPr>
          <w:lang w:val="es-ES_tradnl"/>
        </w:rPr>
      </w:pPr>
      <w:r w:rsidRPr="00687E68">
        <w:rPr>
          <w:rStyle w:val="FootnoteReference"/>
          <w:lang w:val="es-ES_tradnl"/>
        </w:rPr>
        <w:t>*</w:t>
      </w:r>
      <w:r w:rsidRPr="00687E68">
        <w:rPr>
          <w:lang w:val="es-ES_tradnl"/>
        </w:rPr>
        <w:tab/>
      </w:r>
      <w:r w:rsidRPr="008E0DD6">
        <w:rPr>
          <w:lang w:val="es-ES_tradnl"/>
        </w:rPr>
        <w:t>La Comisión de Estudio 8 de Radiocomunicaciones efectuó modificaciones de redacción en esta Recomendación en 2004 de conformidad con la Resolución UIT-R 44.</w:t>
      </w:r>
    </w:p>
  </w:footnote>
  <w:footnote w:id="2">
    <w:p w:rsidR="008E0DD6" w:rsidRPr="008E0DD6" w:rsidRDefault="008E0DD6" w:rsidP="008E0DD6">
      <w:pPr>
        <w:pStyle w:val="FootnoteText"/>
        <w:tabs>
          <w:tab w:val="clear" w:pos="255"/>
          <w:tab w:val="left" w:pos="454"/>
        </w:tabs>
        <w:ind w:left="454" w:hanging="454"/>
        <w:rPr>
          <w:lang w:val="es-ES_tradnl"/>
        </w:rPr>
      </w:pPr>
      <w:r w:rsidRPr="008E0DD6">
        <w:rPr>
          <w:rStyle w:val="FootnoteReference"/>
          <w:lang w:val="es-ES_tradnl"/>
        </w:rPr>
        <w:t>**</w:t>
      </w:r>
      <w:r w:rsidRPr="008E0DD6">
        <w:rPr>
          <w:lang w:val="es-ES_tradnl"/>
        </w:rPr>
        <w:tab/>
        <w:t>La Comisión de Estudio 5 de Radiocomunicaciones efectuó modificaciones de redacción en esta Recomendación en noviembre de 2010.</w:t>
      </w:r>
    </w:p>
  </w:footnote>
  <w:footnote w:id="3">
    <w:p w:rsidR="008E0DD6" w:rsidRPr="008E0DD6" w:rsidRDefault="008E0DD6" w:rsidP="008E0DD6">
      <w:pPr>
        <w:pStyle w:val="FootnoteText"/>
        <w:tabs>
          <w:tab w:val="clear" w:pos="255"/>
          <w:tab w:val="left" w:pos="454"/>
        </w:tabs>
        <w:ind w:left="454" w:hanging="454"/>
        <w:rPr>
          <w:lang w:val="es-ES_tradnl"/>
        </w:rPr>
      </w:pPr>
      <w:r w:rsidRPr="008E0DD6">
        <w:rPr>
          <w:rStyle w:val="FootnoteReference"/>
          <w:lang w:val="es-ES_tradnl"/>
        </w:rPr>
        <w:t>***</w:t>
      </w:r>
      <w:r w:rsidRPr="008E0DD6">
        <w:rPr>
          <w:lang w:val="es-ES_tradnl"/>
        </w:rPr>
        <w:tab/>
        <w:t>En esta Recomendación se considera que la distancia de coordinación es la mínima distancia de separación necesaria más allá de la cual las estaciones del SRNS que funcionan en sentido Tierra</w:t>
      </w:r>
      <w:r w:rsidRPr="008E0DD6">
        <w:rPr>
          <w:lang w:val="es-ES_tradnl"/>
        </w:rPr>
        <w:noBreakHyphen/>
        <w:t>espacio no causarán interferencia perjudicial a los receptores del MLS. Sin embargo, estas distancias de protección pueden disminuir, según el caso, como resultado de acuerdos entre las administraciones correspondientes.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292" w:rsidRDefault="00042292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292" w:rsidRDefault="00044D65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 wp14:anchorId="033835DA" wp14:editId="1E76B01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292" w:rsidRDefault="006870AA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42292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F76E4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42292">
      <w:tab/>
    </w:r>
    <w:fldSimple w:instr=" DOCPROPERTY &quot;Header&quot; \* MERGEFORMAT ">
      <w:r w:rsidR="00A651B0" w:rsidRPr="00A651B0">
        <w:rPr>
          <w:b/>
          <w:bCs/>
        </w:rPr>
        <w:t xml:space="preserve">Rec. </w:t>
      </w:r>
    </w:fldSimple>
    <w:r w:rsidR="00042292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42292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5F76E4">
      <w:rPr>
        <w:b/>
        <w:bCs/>
        <w:noProof/>
      </w:rPr>
      <w:t>UIT-R  M.1582</w:t>
    </w:r>
    <w:r w:rsidRPr="001B395D"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2292" w:rsidRDefault="00042292">
    <w:r>
      <w:tab/>
    </w:r>
    <w:fldSimple w:instr=" DOCPROPERTY &quot;Header&quot; \* MERGEFORMAT ">
      <w:r w:rsidR="00A651B0" w:rsidRPr="00A651B0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6870AA">
      <w:rPr>
        <w:b/>
        <w:bCs/>
      </w:rPr>
      <w:fldChar w:fldCharType="begin"/>
    </w:r>
    <w:r>
      <w:rPr>
        <w:b/>
        <w:bCs/>
      </w:rPr>
      <w:instrText>styleref href</w:instrText>
    </w:r>
    <w:r w:rsidR="006870AA">
      <w:rPr>
        <w:b/>
        <w:bCs/>
      </w:rPr>
      <w:fldChar w:fldCharType="separate"/>
    </w:r>
    <w:r w:rsidR="00A651B0">
      <w:rPr>
        <w:b/>
        <w:bCs/>
        <w:noProof/>
      </w:rPr>
      <w:t>UIT-R  M.1582</w:t>
    </w:r>
    <w:r w:rsidR="006870AA">
      <w:rPr>
        <w:b/>
        <w:bCs/>
      </w:rPr>
      <w:fldChar w:fldCharType="end"/>
    </w:r>
    <w:r>
      <w:tab/>
    </w:r>
    <w:r w:rsidR="006870AA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6870AA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6870AA"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51B0" w:rsidRDefault="00A651B0" w:rsidP="001B395D">
    <w:pPr>
      <w:pStyle w:val="Header"/>
      <w:jc w:val="left"/>
    </w:pP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5F76E4">
      <w:rPr>
        <w:rStyle w:val="PageNumber"/>
        <w:b/>
        <w:bCs/>
        <w:noProof/>
      </w:rPr>
      <w:t>2</w:t>
    </w:r>
    <w:r>
      <w:rPr>
        <w:rStyle w:val="PageNumber"/>
        <w:b/>
        <w:bCs/>
      </w:rPr>
      <w:fldChar w:fldCharType="end"/>
    </w:r>
    <w:r>
      <w:tab/>
    </w:r>
    <w:r w:rsidR="005F76E4">
      <w:fldChar w:fldCharType="begin"/>
    </w:r>
    <w:r w:rsidR="005F76E4">
      <w:instrText xml:space="preserve"> DOCPROPERTY "Header" \* MERGEFORMAT </w:instrText>
    </w:r>
    <w:r w:rsidR="005F76E4">
      <w:fldChar w:fldCharType="separate"/>
    </w:r>
    <w:r w:rsidRPr="00A651B0">
      <w:rPr>
        <w:b/>
        <w:bCs/>
      </w:rPr>
      <w:t xml:space="preserve">Rec. </w:t>
    </w:r>
    <w:r w:rsidR="005F76E4">
      <w:rPr>
        <w:b/>
        <w:bCs/>
      </w:rPr>
      <w:fldChar w:fldCharType="end"/>
    </w:r>
    <w:r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5F76E4">
      <w:rPr>
        <w:b/>
        <w:bCs/>
        <w:noProof/>
      </w:rPr>
      <w:t>,</w:t>
    </w:r>
    <w:r w:rsidRPr="001B395D"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Pr="001B395D" w:rsidRDefault="00607D68" w:rsidP="001B395D">
    <w:pPr>
      <w:pStyle w:val="Header"/>
      <w:rPr>
        <w:b/>
        <w:bCs/>
      </w:rPr>
    </w:pPr>
    <w:r>
      <w:tab/>
    </w:r>
    <w:fldSimple w:instr=" DOCPROPERTY &quot;Header&quot; \* MERGEFORMAT ">
      <w:r w:rsidR="00A651B0" w:rsidRPr="00A651B0">
        <w:rPr>
          <w:b/>
          <w:bCs/>
        </w:rPr>
        <w:t xml:space="preserve">Rec. </w:t>
      </w:r>
    </w:fldSimple>
    <w:r w:rsidRPr="001B395D">
      <w:rPr>
        <w:b/>
        <w:bCs/>
      </w:rPr>
      <w:t xml:space="preserve"> </w:t>
    </w:r>
    <w:r w:rsidR="006870AA"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="006870AA" w:rsidRPr="001B395D">
      <w:rPr>
        <w:b/>
        <w:bCs/>
      </w:rPr>
      <w:fldChar w:fldCharType="separate"/>
    </w:r>
    <w:r w:rsidR="005F76E4">
      <w:rPr>
        <w:b/>
        <w:bCs/>
        <w:noProof/>
      </w:rPr>
      <w:t>,</w:t>
    </w:r>
    <w:r w:rsidR="006870AA" w:rsidRPr="001B395D">
      <w:rPr>
        <w:b/>
        <w:bCs/>
      </w:rPr>
      <w:fldChar w:fldCharType="end"/>
    </w:r>
    <w:r w:rsidRPr="001B395D">
      <w:rPr>
        <w:b/>
        <w:bCs/>
      </w:rPr>
      <w:tab/>
    </w:r>
    <w:r w:rsidR="006870AA" w:rsidRPr="001B395D">
      <w:rPr>
        <w:rStyle w:val="PageNumber"/>
        <w:b/>
        <w:bCs/>
      </w:rPr>
      <w:fldChar w:fldCharType="begin"/>
    </w:r>
    <w:r w:rsidRPr="001B395D">
      <w:rPr>
        <w:rStyle w:val="PageNumber"/>
        <w:b/>
        <w:bCs/>
      </w:rPr>
      <w:instrText xml:space="preserve"> PAGE </w:instrText>
    </w:r>
    <w:r w:rsidR="006870AA" w:rsidRPr="001B395D">
      <w:rPr>
        <w:rStyle w:val="PageNumber"/>
        <w:b/>
        <w:bCs/>
      </w:rPr>
      <w:fldChar w:fldCharType="separate"/>
    </w:r>
    <w:r w:rsidR="005F76E4">
      <w:rPr>
        <w:rStyle w:val="PageNumber"/>
        <w:b/>
        <w:bCs/>
        <w:noProof/>
      </w:rPr>
      <w:t>3</w:t>
    </w:r>
    <w:r w:rsidR="006870AA" w:rsidRPr="001B395D"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hideSpellingErrors/>
  <w:hideGrammaticalErrors/>
  <w:activeWritingStyle w:appName="MSWord" w:lang="en-US" w:vendorID="64" w:dllVersion="131077" w:nlCheck="1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2292"/>
    <w:rsid w:val="00042292"/>
    <w:rsid w:val="00044D65"/>
    <w:rsid w:val="001B26B3"/>
    <w:rsid w:val="001B395D"/>
    <w:rsid w:val="002D76C4"/>
    <w:rsid w:val="00410F5B"/>
    <w:rsid w:val="005F76E4"/>
    <w:rsid w:val="00607D68"/>
    <w:rsid w:val="006870AA"/>
    <w:rsid w:val="00687E68"/>
    <w:rsid w:val="006A5DA9"/>
    <w:rsid w:val="0076082A"/>
    <w:rsid w:val="008E0DD6"/>
    <w:rsid w:val="00A07AEB"/>
    <w:rsid w:val="00A651B0"/>
    <w:rsid w:val="00A6617B"/>
    <w:rsid w:val="00AB0DC8"/>
    <w:rsid w:val="00B44E24"/>
    <w:rsid w:val="00C36A75"/>
    <w:rsid w:val="00CB1354"/>
    <w:rsid w:val="00DF4176"/>
    <w:rsid w:val="00E704B6"/>
    <w:rsid w:val="00EE743D"/>
    <w:rsid w:val="00FD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4D6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044D6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44D6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44D6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44D6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44D65"/>
    <w:pPr>
      <w:outlineLvl w:val="4"/>
    </w:pPr>
  </w:style>
  <w:style w:type="paragraph" w:styleId="Heading6">
    <w:name w:val="heading 6"/>
    <w:basedOn w:val="Heading4"/>
    <w:next w:val="Normal"/>
    <w:qFormat/>
    <w:rsid w:val="00044D6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44D65"/>
    <w:pPr>
      <w:outlineLvl w:val="6"/>
    </w:pPr>
  </w:style>
  <w:style w:type="paragraph" w:styleId="Heading8">
    <w:name w:val="heading 8"/>
    <w:basedOn w:val="Heading6"/>
    <w:next w:val="Normal"/>
    <w:qFormat/>
    <w:rsid w:val="00044D65"/>
    <w:pPr>
      <w:outlineLvl w:val="7"/>
    </w:pPr>
  </w:style>
  <w:style w:type="paragraph" w:styleId="Heading9">
    <w:name w:val="heading 9"/>
    <w:basedOn w:val="Heading6"/>
    <w:next w:val="Normal"/>
    <w:qFormat/>
    <w:rsid w:val="00044D6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4D6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44D6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44D65"/>
  </w:style>
  <w:style w:type="paragraph" w:customStyle="1" w:styleId="Headingb">
    <w:name w:val="Heading_b"/>
    <w:basedOn w:val="Heading3"/>
    <w:next w:val="Normal"/>
    <w:rsid w:val="00044D6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4D6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44D65"/>
  </w:style>
  <w:style w:type="paragraph" w:customStyle="1" w:styleId="enumlev1">
    <w:name w:val="enumlev1"/>
    <w:basedOn w:val="Normal"/>
    <w:rsid w:val="00044D65"/>
    <w:pPr>
      <w:spacing w:before="80"/>
      <w:ind w:left="794" w:hanging="794"/>
    </w:pPr>
  </w:style>
  <w:style w:type="paragraph" w:customStyle="1" w:styleId="enumlev2">
    <w:name w:val="enumlev2"/>
    <w:basedOn w:val="enumlev1"/>
    <w:rsid w:val="00044D65"/>
    <w:pPr>
      <w:ind w:left="1191" w:hanging="397"/>
    </w:pPr>
  </w:style>
  <w:style w:type="paragraph" w:customStyle="1" w:styleId="enumlev3">
    <w:name w:val="enumlev3"/>
    <w:basedOn w:val="enumlev2"/>
    <w:rsid w:val="00044D65"/>
    <w:pPr>
      <w:ind w:left="1588"/>
    </w:pPr>
  </w:style>
  <w:style w:type="paragraph" w:customStyle="1" w:styleId="Normalaftertitle">
    <w:name w:val="Normal_after_title"/>
    <w:basedOn w:val="Normal"/>
    <w:next w:val="Normal"/>
    <w:rsid w:val="00044D65"/>
    <w:pPr>
      <w:spacing w:before="320"/>
    </w:pPr>
  </w:style>
  <w:style w:type="paragraph" w:customStyle="1" w:styleId="Note">
    <w:name w:val="Note"/>
    <w:basedOn w:val="Normal"/>
    <w:rsid w:val="00044D6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044D65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044D65"/>
    <w:pPr>
      <w:jc w:val="center"/>
    </w:pPr>
  </w:style>
  <w:style w:type="paragraph" w:customStyle="1" w:styleId="Recdate">
    <w:name w:val="Rec_date"/>
    <w:basedOn w:val="Recref"/>
    <w:next w:val="Normalaftertitle"/>
    <w:rsid w:val="00044D65"/>
    <w:pPr>
      <w:jc w:val="right"/>
    </w:pPr>
  </w:style>
  <w:style w:type="paragraph" w:customStyle="1" w:styleId="AnnexNoTitle">
    <w:name w:val="Annex_NoTitle"/>
    <w:basedOn w:val="Normal"/>
    <w:next w:val="Normalaftertitle"/>
    <w:rsid w:val="00044D6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44D65"/>
  </w:style>
  <w:style w:type="paragraph" w:customStyle="1" w:styleId="Tablefin">
    <w:name w:val="Table_fin"/>
    <w:basedOn w:val="Normal"/>
    <w:next w:val="Normal"/>
    <w:rsid w:val="00044D6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44D6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44D6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44D6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44D6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44D6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4D6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4D65"/>
    <w:pPr>
      <w:ind w:left="794"/>
    </w:pPr>
  </w:style>
  <w:style w:type="paragraph" w:customStyle="1" w:styleId="Figurelegend">
    <w:name w:val="Figure_legend"/>
    <w:basedOn w:val="Normal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44D6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44D6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4D6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4D6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4D6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44D6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4D65"/>
    <w:rPr>
      <w:b/>
    </w:rPr>
  </w:style>
  <w:style w:type="paragraph" w:customStyle="1" w:styleId="Chaptitle">
    <w:name w:val="Chap_title"/>
    <w:basedOn w:val="Arttitle"/>
    <w:next w:val="Normalaftertitle"/>
    <w:rsid w:val="00044D65"/>
  </w:style>
  <w:style w:type="character" w:styleId="FootnoteReference">
    <w:name w:val="footnote reference"/>
    <w:basedOn w:val="DefaultParagraphFont"/>
    <w:semiHidden/>
    <w:rsid w:val="00044D65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044D65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44D65"/>
  </w:style>
  <w:style w:type="paragraph" w:styleId="Index2">
    <w:name w:val="index 2"/>
    <w:basedOn w:val="Normal"/>
    <w:next w:val="Normal"/>
    <w:semiHidden/>
    <w:rsid w:val="00044D65"/>
    <w:pPr>
      <w:ind w:left="283"/>
    </w:pPr>
  </w:style>
  <w:style w:type="paragraph" w:styleId="Index3">
    <w:name w:val="index 3"/>
    <w:basedOn w:val="Normal"/>
    <w:next w:val="Normal"/>
    <w:semiHidden/>
    <w:rsid w:val="00044D65"/>
    <w:pPr>
      <w:ind w:left="566"/>
    </w:pPr>
  </w:style>
  <w:style w:type="paragraph" w:styleId="IndexHeading">
    <w:name w:val="index heading"/>
    <w:basedOn w:val="Normal"/>
    <w:next w:val="Index1"/>
    <w:semiHidden/>
    <w:rsid w:val="00044D65"/>
  </w:style>
  <w:style w:type="paragraph" w:customStyle="1" w:styleId="Line">
    <w:name w:val="Line"/>
    <w:basedOn w:val="Normal"/>
    <w:next w:val="Normal"/>
    <w:rsid w:val="00044D6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4D6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4D65"/>
  </w:style>
  <w:style w:type="paragraph" w:customStyle="1" w:styleId="Partref">
    <w:name w:val="Part_ref"/>
    <w:basedOn w:val="Normal"/>
    <w:next w:val="Normal"/>
    <w:rsid w:val="00044D6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4D65"/>
  </w:style>
  <w:style w:type="paragraph" w:customStyle="1" w:styleId="QuestionNo">
    <w:name w:val="Question_No"/>
    <w:basedOn w:val="RecNo"/>
    <w:next w:val="Normal"/>
    <w:rsid w:val="00044D65"/>
  </w:style>
  <w:style w:type="paragraph" w:customStyle="1" w:styleId="Questionref">
    <w:name w:val="Question_ref"/>
    <w:basedOn w:val="Recref"/>
    <w:next w:val="Questiondate"/>
    <w:rsid w:val="00044D65"/>
  </w:style>
  <w:style w:type="paragraph" w:customStyle="1" w:styleId="Questiontitle">
    <w:name w:val="Question_title"/>
    <w:basedOn w:val="Normal"/>
    <w:next w:val="Questionref"/>
    <w:rsid w:val="00044D65"/>
  </w:style>
  <w:style w:type="paragraph" w:customStyle="1" w:styleId="Reftext">
    <w:name w:val="Ref_text"/>
    <w:basedOn w:val="Normal"/>
    <w:rsid w:val="00044D65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44D6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4D65"/>
  </w:style>
  <w:style w:type="paragraph" w:customStyle="1" w:styleId="RepNo">
    <w:name w:val="Rep_No"/>
    <w:basedOn w:val="RecNo"/>
    <w:next w:val="Reptitle"/>
    <w:rsid w:val="00044D65"/>
  </w:style>
  <w:style w:type="paragraph" w:customStyle="1" w:styleId="Repref">
    <w:name w:val="Rep_ref"/>
    <w:basedOn w:val="Recref"/>
    <w:next w:val="Repdate"/>
    <w:rsid w:val="00044D65"/>
  </w:style>
  <w:style w:type="paragraph" w:customStyle="1" w:styleId="Reptitle">
    <w:name w:val="Rep_title"/>
    <w:basedOn w:val="Rectitle"/>
    <w:next w:val="Repref"/>
    <w:rsid w:val="00044D65"/>
  </w:style>
  <w:style w:type="paragraph" w:customStyle="1" w:styleId="Resdate">
    <w:name w:val="Res_date"/>
    <w:basedOn w:val="Recdate"/>
    <w:next w:val="Normalaftertitle"/>
    <w:rsid w:val="00044D65"/>
  </w:style>
  <w:style w:type="paragraph" w:customStyle="1" w:styleId="ResNo">
    <w:name w:val="Res_No"/>
    <w:basedOn w:val="RecNo"/>
    <w:next w:val="Restitle"/>
    <w:rsid w:val="00044D65"/>
  </w:style>
  <w:style w:type="paragraph" w:customStyle="1" w:styleId="Resref">
    <w:name w:val="Res_ref"/>
    <w:basedOn w:val="Recref"/>
    <w:next w:val="Resdate"/>
    <w:rsid w:val="00044D65"/>
  </w:style>
  <w:style w:type="paragraph" w:customStyle="1" w:styleId="Restitle">
    <w:name w:val="Res_title"/>
    <w:basedOn w:val="Normal"/>
    <w:next w:val="Resref"/>
    <w:rsid w:val="00044D6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44D65"/>
  </w:style>
  <w:style w:type="paragraph" w:customStyle="1" w:styleId="Sectiontitle">
    <w:name w:val="Section_title"/>
    <w:basedOn w:val="Normal"/>
    <w:next w:val="Normalaftertitle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4D6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4D6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4D6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4D6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4D6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4D65"/>
  </w:style>
  <w:style w:type="paragraph" w:styleId="TOC6">
    <w:name w:val="toc 6"/>
    <w:basedOn w:val="TOC4"/>
    <w:semiHidden/>
    <w:rsid w:val="00044D65"/>
  </w:style>
  <w:style w:type="paragraph" w:styleId="TOC7">
    <w:name w:val="toc 7"/>
    <w:basedOn w:val="TOC4"/>
    <w:semiHidden/>
    <w:rsid w:val="00044D65"/>
  </w:style>
  <w:style w:type="paragraph" w:styleId="TOC8">
    <w:name w:val="toc 8"/>
    <w:basedOn w:val="TOC4"/>
    <w:semiHidden/>
    <w:rsid w:val="00044D65"/>
  </w:style>
  <w:style w:type="paragraph" w:customStyle="1" w:styleId="Rectitle">
    <w:name w:val="Rec_title"/>
    <w:basedOn w:val="Normal"/>
    <w:next w:val="Recref"/>
    <w:rsid w:val="00044D65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044D6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4D65"/>
  </w:style>
  <w:style w:type="paragraph" w:customStyle="1" w:styleId="Figuretitle">
    <w:name w:val="Figure_title"/>
    <w:basedOn w:val="Normal"/>
    <w:next w:val="Figure"/>
    <w:rsid w:val="00044D6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44D6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44D65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044D65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044D65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8E0DD6"/>
    <w:rPr>
      <w:sz w:val="22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044D65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044D65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044D65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044D65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044D65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044D65"/>
    <w:pPr>
      <w:outlineLvl w:val="4"/>
    </w:pPr>
  </w:style>
  <w:style w:type="paragraph" w:styleId="Heading6">
    <w:name w:val="heading 6"/>
    <w:basedOn w:val="Heading4"/>
    <w:next w:val="Normal"/>
    <w:qFormat/>
    <w:rsid w:val="00044D65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044D65"/>
    <w:pPr>
      <w:outlineLvl w:val="6"/>
    </w:pPr>
  </w:style>
  <w:style w:type="paragraph" w:styleId="Heading8">
    <w:name w:val="heading 8"/>
    <w:basedOn w:val="Heading6"/>
    <w:next w:val="Normal"/>
    <w:qFormat/>
    <w:rsid w:val="00044D65"/>
    <w:pPr>
      <w:outlineLvl w:val="7"/>
    </w:pPr>
  </w:style>
  <w:style w:type="paragraph" w:styleId="Heading9">
    <w:name w:val="heading 9"/>
    <w:basedOn w:val="Heading6"/>
    <w:next w:val="Normal"/>
    <w:qFormat/>
    <w:rsid w:val="00044D65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44D65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044D65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044D65"/>
  </w:style>
  <w:style w:type="paragraph" w:customStyle="1" w:styleId="Headingb">
    <w:name w:val="Heading_b"/>
    <w:basedOn w:val="Heading3"/>
    <w:next w:val="Normal"/>
    <w:rsid w:val="00044D65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044D65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044D65"/>
  </w:style>
  <w:style w:type="paragraph" w:customStyle="1" w:styleId="enumlev1">
    <w:name w:val="enumlev1"/>
    <w:basedOn w:val="Normal"/>
    <w:rsid w:val="00044D65"/>
    <w:pPr>
      <w:spacing w:before="80"/>
      <w:ind w:left="794" w:hanging="794"/>
    </w:pPr>
  </w:style>
  <w:style w:type="paragraph" w:customStyle="1" w:styleId="enumlev2">
    <w:name w:val="enumlev2"/>
    <w:basedOn w:val="enumlev1"/>
    <w:rsid w:val="00044D65"/>
    <w:pPr>
      <w:ind w:left="1191" w:hanging="397"/>
    </w:pPr>
  </w:style>
  <w:style w:type="paragraph" w:customStyle="1" w:styleId="enumlev3">
    <w:name w:val="enumlev3"/>
    <w:basedOn w:val="enumlev2"/>
    <w:rsid w:val="00044D65"/>
    <w:pPr>
      <w:ind w:left="1588"/>
    </w:pPr>
  </w:style>
  <w:style w:type="paragraph" w:customStyle="1" w:styleId="Normalaftertitle">
    <w:name w:val="Normal_after_title"/>
    <w:basedOn w:val="Normal"/>
    <w:next w:val="Normal"/>
    <w:rsid w:val="00044D65"/>
    <w:pPr>
      <w:spacing w:before="320"/>
    </w:pPr>
  </w:style>
  <w:style w:type="paragraph" w:customStyle="1" w:styleId="Note">
    <w:name w:val="Note"/>
    <w:basedOn w:val="Normal"/>
    <w:rsid w:val="00044D65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044D65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044D65"/>
    <w:pPr>
      <w:jc w:val="center"/>
    </w:pPr>
  </w:style>
  <w:style w:type="paragraph" w:customStyle="1" w:styleId="Recdate">
    <w:name w:val="Rec_date"/>
    <w:basedOn w:val="Recref"/>
    <w:next w:val="Normalaftertitle"/>
    <w:rsid w:val="00044D65"/>
    <w:pPr>
      <w:jc w:val="right"/>
    </w:pPr>
  </w:style>
  <w:style w:type="paragraph" w:customStyle="1" w:styleId="AnnexNoTitle">
    <w:name w:val="Annex_NoTitle"/>
    <w:basedOn w:val="Normal"/>
    <w:next w:val="Normalaftertitle"/>
    <w:rsid w:val="00044D65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044D65"/>
  </w:style>
  <w:style w:type="paragraph" w:customStyle="1" w:styleId="Tablefin">
    <w:name w:val="Table_fin"/>
    <w:basedOn w:val="Normal"/>
    <w:next w:val="Normal"/>
    <w:rsid w:val="00044D65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044D65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044D6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044D65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044D65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044D65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044D65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044D65"/>
    <w:pPr>
      <w:ind w:left="794"/>
    </w:pPr>
  </w:style>
  <w:style w:type="paragraph" w:customStyle="1" w:styleId="Figurelegend">
    <w:name w:val="Figure_legend"/>
    <w:basedOn w:val="Normal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044D65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044D6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044D65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044D65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044D65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044D65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044D65"/>
    <w:rPr>
      <w:b/>
    </w:rPr>
  </w:style>
  <w:style w:type="paragraph" w:customStyle="1" w:styleId="Chaptitle">
    <w:name w:val="Chap_title"/>
    <w:basedOn w:val="Arttitle"/>
    <w:next w:val="Normalaftertitle"/>
    <w:rsid w:val="00044D65"/>
  </w:style>
  <w:style w:type="character" w:styleId="FootnoteReference">
    <w:name w:val="footnote reference"/>
    <w:basedOn w:val="DefaultParagraphFont"/>
    <w:semiHidden/>
    <w:rsid w:val="00044D65"/>
    <w:rPr>
      <w:position w:val="6"/>
      <w:sz w:val="18"/>
    </w:rPr>
  </w:style>
  <w:style w:type="paragraph" w:styleId="FootnoteText">
    <w:name w:val="footnote text"/>
    <w:basedOn w:val="Normal"/>
    <w:link w:val="FootnoteTextChar"/>
    <w:semiHidden/>
    <w:rsid w:val="00044D65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044D65"/>
  </w:style>
  <w:style w:type="paragraph" w:styleId="Index2">
    <w:name w:val="index 2"/>
    <w:basedOn w:val="Normal"/>
    <w:next w:val="Normal"/>
    <w:semiHidden/>
    <w:rsid w:val="00044D65"/>
    <w:pPr>
      <w:ind w:left="283"/>
    </w:pPr>
  </w:style>
  <w:style w:type="paragraph" w:styleId="Index3">
    <w:name w:val="index 3"/>
    <w:basedOn w:val="Normal"/>
    <w:next w:val="Normal"/>
    <w:semiHidden/>
    <w:rsid w:val="00044D65"/>
    <w:pPr>
      <w:ind w:left="566"/>
    </w:pPr>
  </w:style>
  <w:style w:type="paragraph" w:styleId="IndexHeading">
    <w:name w:val="index heading"/>
    <w:basedOn w:val="Normal"/>
    <w:next w:val="Index1"/>
    <w:semiHidden/>
    <w:rsid w:val="00044D65"/>
  </w:style>
  <w:style w:type="paragraph" w:customStyle="1" w:styleId="Line">
    <w:name w:val="Line"/>
    <w:basedOn w:val="Normal"/>
    <w:next w:val="Normal"/>
    <w:rsid w:val="00044D65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044D65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044D65"/>
  </w:style>
  <w:style w:type="paragraph" w:customStyle="1" w:styleId="Partref">
    <w:name w:val="Part_ref"/>
    <w:basedOn w:val="Normal"/>
    <w:next w:val="Normal"/>
    <w:rsid w:val="00044D65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044D65"/>
  </w:style>
  <w:style w:type="paragraph" w:customStyle="1" w:styleId="QuestionNo">
    <w:name w:val="Question_No"/>
    <w:basedOn w:val="RecNo"/>
    <w:next w:val="Normal"/>
    <w:rsid w:val="00044D65"/>
  </w:style>
  <w:style w:type="paragraph" w:customStyle="1" w:styleId="Questionref">
    <w:name w:val="Question_ref"/>
    <w:basedOn w:val="Recref"/>
    <w:next w:val="Questiondate"/>
    <w:rsid w:val="00044D65"/>
  </w:style>
  <w:style w:type="paragraph" w:customStyle="1" w:styleId="Questiontitle">
    <w:name w:val="Question_title"/>
    <w:basedOn w:val="Normal"/>
    <w:next w:val="Questionref"/>
    <w:rsid w:val="00044D65"/>
  </w:style>
  <w:style w:type="paragraph" w:customStyle="1" w:styleId="Reftext">
    <w:name w:val="Ref_text"/>
    <w:basedOn w:val="Normal"/>
    <w:rsid w:val="00044D65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044D65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044D65"/>
  </w:style>
  <w:style w:type="paragraph" w:customStyle="1" w:styleId="RepNo">
    <w:name w:val="Rep_No"/>
    <w:basedOn w:val="RecNo"/>
    <w:next w:val="Reptitle"/>
    <w:rsid w:val="00044D65"/>
  </w:style>
  <w:style w:type="paragraph" w:customStyle="1" w:styleId="Repref">
    <w:name w:val="Rep_ref"/>
    <w:basedOn w:val="Recref"/>
    <w:next w:val="Repdate"/>
    <w:rsid w:val="00044D65"/>
  </w:style>
  <w:style w:type="paragraph" w:customStyle="1" w:styleId="Reptitle">
    <w:name w:val="Rep_title"/>
    <w:basedOn w:val="Rectitle"/>
    <w:next w:val="Repref"/>
    <w:rsid w:val="00044D65"/>
  </w:style>
  <w:style w:type="paragraph" w:customStyle="1" w:styleId="Resdate">
    <w:name w:val="Res_date"/>
    <w:basedOn w:val="Recdate"/>
    <w:next w:val="Normalaftertitle"/>
    <w:rsid w:val="00044D65"/>
  </w:style>
  <w:style w:type="paragraph" w:customStyle="1" w:styleId="ResNo">
    <w:name w:val="Res_No"/>
    <w:basedOn w:val="RecNo"/>
    <w:next w:val="Restitle"/>
    <w:rsid w:val="00044D65"/>
  </w:style>
  <w:style w:type="paragraph" w:customStyle="1" w:styleId="Resref">
    <w:name w:val="Res_ref"/>
    <w:basedOn w:val="Recref"/>
    <w:next w:val="Resdate"/>
    <w:rsid w:val="00044D65"/>
  </w:style>
  <w:style w:type="paragraph" w:customStyle="1" w:styleId="Restitle">
    <w:name w:val="Res_title"/>
    <w:basedOn w:val="Normal"/>
    <w:next w:val="Resref"/>
    <w:rsid w:val="00044D65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044D65"/>
  </w:style>
  <w:style w:type="paragraph" w:customStyle="1" w:styleId="Sectiontitle">
    <w:name w:val="Section_title"/>
    <w:basedOn w:val="Normal"/>
    <w:next w:val="Normalaftertitle"/>
    <w:rsid w:val="00044D65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044D65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044D65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044D65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044D65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044D65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044D65"/>
  </w:style>
  <w:style w:type="paragraph" w:styleId="TOC6">
    <w:name w:val="toc 6"/>
    <w:basedOn w:val="TOC4"/>
    <w:semiHidden/>
    <w:rsid w:val="00044D65"/>
  </w:style>
  <w:style w:type="paragraph" w:styleId="TOC7">
    <w:name w:val="toc 7"/>
    <w:basedOn w:val="TOC4"/>
    <w:semiHidden/>
    <w:rsid w:val="00044D65"/>
  </w:style>
  <w:style w:type="paragraph" w:styleId="TOC8">
    <w:name w:val="toc 8"/>
    <w:basedOn w:val="TOC4"/>
    <w:semiHidden/>
    <w:rsid w:val="00044D65"/>
  </w:style>
  <w:style w:type="paragraph" w:customStyle="1" w:styleId="Rectitle">
    <w:name w:val="Rec_title"/>
    <w:basedOn w:val="Normal"/>
    <w:next w:val="Recref"/>
    <w:rsid w:val="00044D65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044D65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044D65"/>
  </w:style>
  <w:style w:type="paragraph" w:customStyle="1" w:styleId="Figuretitle">
    <w:name w:val="Figure_title"/>
    <w:basedOn w:val="Normal"/>
    <w:next w:val="Figure"/>
    <w:rsid w:val="00044D65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044D65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044D65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044D65"/>
    <w:pPr>
      <w:keepNext w:val="0"/>
      <w:spacing w:before="0" w:after="240"/>
    </w:pPr>
  </w:style>
  <w:style w:type="paragraph" w:customStyle="1" w:styleId="TableLegendNote">
    <w:name w:val="Table_Legend_Note"/>
    <w:basedOn w:val="Tablelegend"/>
    <w:next w:val="Tablelegend"/>
    <w:rsid w:val="00044D65"/>
    <w:pPr>
      <w:ind w:left="-85" w:firstLine="0"/>
    </w:pPr>
    <w:rPr>
      <w:lang w:val="en-US"/>
    </w:rPr>
  </w:style>
  <w:style w:type="character" w:customStyle="1" w:styleId="FootnoteTextChar">
    <w:name w:val="Footnote Text Char"/>
    <w:basedOn w:val="DefaultParagraphFont"/>
    <w:link w:val="FootnoteText"/>
    <w:semiHidden/>
    <w:rsid w:val="008E0DD6"/>
    <w:rPr>
      <w:sz w:val="22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wmf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691197-3A8A-4345-ABAE-0EC37E9625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9</TotalTime>
  <Pages>5</Pages>
  <Words>1579</Words>
  <Characters>9067</Characters>
  <Application>Microsoft Office Word</Application>
  <DocSecurity>0</DocSecurity>
  <Lines>533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M.1582*, ** - Método para determinar las distancias de coordinación***, en la banda  de 5 GHz entre las estaciones del sistema internacional normalizado de aterrizaje por microondas que funciona en el servicio de  radionavegación aer</vt:lpstr>
    </vt:vector>
  </TitlesOfParts>
  <Manager/>
  <Company>ITU</Company>
  <LinksUpToDate>false</LinksUpToDate>
  <CharactersWithSpaces>10449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M.1582*, ** - Método para determinar las distancias de coordinación***, en la banda  de 5 GHz entre las estaciones del sistema internacional normalizado de aterrizaje por microondas que funciona en el servicio de  radionavegación aeronáutica y las estaciones del servicio  de radionavegación por satélite (Tierra-espacio)</dc:title>
  <dc:subject>Serie M = Servicios móviles, de radiodeterminación y de aficionados, incluidos los correspondientes servicios por satélite</dc:subject>
  <dc:creator>Oficina de Radiocomunicaciones del UIT (BR)</dc:creator>
  <cp:keywords>M,1582*,</cp:keywords>
  <dc:description>Santosbo, 10.05.2011, MSB106309</dc:description>
  <cp:lastModifiedBy>santosbo</cp:lastModifiedBy>
  <cp:revision>6</cp:revision>
  <cp:lastPrinted>2005-02-10T14:54:00Z</cp:lastPrinted>
  <dcterms:created xsi:type="dcterms:W3CDTF">2011-05-10T09:50:00Z</dcterms:created>
  <dcterms:modified xsi:type="dcterms:W3CDTF">2011-05-10T10:04:00Z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10 May 2011</vt:lpwstr>
  </property>
</Properties>
</file>