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2292" w:rsidRPr="00575CB8" w:rsidRDefault="00042292" w:rsidP="00042292">
      <w:pPr>
        <w:rPr>
          <w:lang w:val="en-US"/>
        </w:rPr>
      </w:pPr>
    </w:p>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p w:rsidR="00042292" w:rsidRDefault="00042292" w:rsidP="00042292"/>
    <w:tbl>
      <w:tblPr>
        <w:tblW w:w="10089" w:type="dxa"/>
        <w:tblLook w:val="01E0" w:firstRow="1" w:lastRow="1" w:firstColumn="1" w:lastColumn="1" w:noHBand="0" w:noVBand="0"/>
      </w:tblPr>
      <w:tblGrid>
        <w:gridCol w:w="10089"/>
      </w:tblGrid>
      <w:tr w:rsidR="00042292" w:rsidRPr="00197527" w:rsidTr="00A07AEB">
        <w:tc>
          <w:tcPr>
            <w:tcW w:w="10089" w:type="dxa"/>
          </w:tcPr>
          <w:p w:rsidR="00042292" w:rsidRPr="00A07AEB" w:rsidRDefault="00042292" w:rsidP="00A07AEB">
            <w:pPr>
              <w:spacing w:before="380" w:line="280" w:lineRule="exact"/>
              <w:jc w:val="right"/>
              <w:rPr>
                <w:rFonts w:ascii="Tahoma" w:hAnsi="Tahoma" w:cs="Tahoma"/>
                <w:b/>
                <w:bCs/>
                <w:iCs/>
                <w:color w:val="243285"/>
                <w:sz w:val="32"/>
                <w:szCs w:val="32"/>
                <w:lang w:val="en-US"/>
              </w:rPr>
            </w:pPr>
          </w:p>
          <w:p w:rsidR="00042292" w:rsidRPr="00A07AEB" w:rsidRDefault="00042292" w:rsidP="00197527">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Recomendación  UIT-R  M.</w:t>
            </w:r>
            <w:r w:rsidR="00197527">
              <w:rPr>
                <w:rFonts w:ascii="Tahoma" w:hAnsi="Tahoma" w:cs="Tahoma"/>
                <w:b/>
                <w:bCs/>
                <w:iCs/>
                <w:color w:val="243285"/>
                <w:sz w:val="36"/>
                <w:szCs w:val="36"/>
                <w:lang w:val="es-ES_tradnl"/>
              </w:rPr>
              <w:t>1579</w:t>
            </w:r>
          </w:p>
          <w:p w:rsidR="00042292" w:rsidRPr="00A07AEB" w:rsidRDefault="00042292" w:rsidP="00197527">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197527">
              <w:rPr>
                <w:rFonts w:ascii="Tahoma" w:hAnsi="Tahoma" w:cs="Tahoma"/>
                <w:b/>
                <w:bCs/>
                <w:iCs/>
                <w:color w:val="243285"/>
                <w:szCs w:val="24"/>
                <w:lang w:val="es-ES_tradnl"/>
              </w:rPr>
              <w:t>07</w:t>
            </w:r>
            <w:r w:rsidRPr="00A07AEB">
              <w:rPr>
                <w:rFonts w:ascii="Tahoma" w:hAnsi="Tahoma" w:cs="Tahoma"/>
                <w:b/>
                <w:bCs/>
                <w:iCs/>
                <w:color w:val="243285"/>
                <w:szCs w:val="24"/>
                <w:lang w:val="es-ES_tradnl"/>
              </w:rPr>
              <w:t>/</w:t>
            </w:r>
            <w:r w:rsidR="00197527">
              <w:rPr>
                <w:rFonts w:ascii="Tahoma" w:hAnsi="Tahoma" w:cs="Tahoma"/>
                <w:b/>
                <w:bCs/>
                <w:iCs/>
                <w:color w:val="243285"/>
                <w:szCs w:val="24"/>
                <w:lang w:val="es-ES_tradnl"/>
              </w:rPr>
              <w:t>2002</w:t>
            </w:r>
            <w:r w:rsidRPr="00A07AEB">
              <w:rPr>
                <w:rFonts w:ascii="Tahoma" w:hAnsi="Tahoma" w:cs="Tahoma"/>
                <w:b/>
                <w:bCs/>
                <w:iCs/>
                <w:color w:val="243285"/>
                <w:szCs w:val="24"/>
                <w:lang w:val="es-ES_tradnl"/>
              </w:rPr>
              <w:t>)</w:t>
            </w:r>
          </w:p>
        </w:tc>
      </w:tr>
      <w:tr w:rsidR="00042292" w:rsidRPr="00197527" w:rsidTr="00A07AEB">
        <w:tc>
          <w:tcPr>
            <w:tcW w:w="10089" w:type="dxa"/>
          </w:tcPr>
          <w:p w:rsidR="00042292" w:rsidRPr="00A07AEB" w:rsidRDefault="00042292" w:rsidP="00A07AEB">
            <w:pPr>
              <w:spacing w:before="80" w:line="500" w:lineRule="exact"/>
              <w:jc w:val="right"/>
              <w:rPr>
                <w:rFonts w:ascii="Tahoma" w:hAnsi="Tahoma" w:cs="Tahoma"/>
                <w:b/>
                <w:bCs/>
                <w:iCs/>
                <w:color w:val="243285"/>
                <w:sz w:val="44"/>
                <w:szCs w:val="44"/>
                <w:lang w:val="es-ES_tradnl"/>
              </w:rPr>
            </w:pPr>
          </w:p>
          <w:p w:rsidR="00042292" w:rsidRPr="00A07AEB" w:rsidRDefault="00197527" w:rsidP="00197527">
            <w:pPr>
              <w:spacing w:before="80" w:line="500" w:lineRule="exact"/>
              <w:jc w:val="right"/>
              <w:rPr>
                <w:rFonts w:ascii="Tahoma" w:hAnsi="Tahoma" w:cs="Tahoma"/>
                <w:b/>
                <w:bCs/>
                <w:iCs/>
                <w:color w:val="243285"/>
                <w:sz w:val="44"/>
                <w:szCs w:val="44"/>
                <w:lang w:val="es-ES_tradnl"/>
              </w:rPr>
            </w:pPr>
            <w:r w:rsidRPr="00197527">
              <w:rPr>
                <w:rFonts w:ascii="Tahoma" w:hAnsi="Tahoma" w:cs="Tahoma"/>
                <w:b/>
                <w:bCs/>
                <w:iCs/>
                <w:color w:val="243285"/>
                <w:sz w:val="44"/>
                <w:szCs w:val="44"/>
                <w:lang w:val="es-ES_tradnl"/>
              </w:rPr>
              <w:t>Circulación a nivel mundial</w:t>
            </w:r>
            <w:r w:rsidRPr="00197527">
              <w:rPr>
                <w:rFonts w:ascii="Tahoma" w:hAnsi="Tahoma" w:cs="Tahoma"/>
                <w:b/>
                <w:bCs/>
                <w:iCs/>
                <w:color w:val="243285"/>
                <w:sz w:val="44"/>
                <w:szCs w:val="44"/>
                <w:lang w:val="es-ES_tradnl"/>
              </w:rPr>
              <w:br/>
              <w:t>de los terminales IMT-2000</w:t>
            </w:r>
          </w:p>
          <w:p w:rsidR="00042292" w:rsidRPr="00A07AEB" w:rsidRDefault="00042292" w:rsidP="00A07AEB">
            <w:pPr>
              <w:spacing w:before="80" w:line="500" w:lineRule="exact"/>
              <w:jc w:val="right"/>
              <w:rPr>
                <w:rFonts w:ascii="Tahoma" w:hAnsi="Tahoma" w:cs="Tahoma"/>
                <w:b/>
                <w:bCs/>
                <w:iCs/>
                <w:color w:val="243285"/>
                <w:sz w:val="44"/>
                <w:szCs w:val="44"/>
                <w:lang w:val="es-ES_tradnl"/>
              </w:rPr>
            </w:pPr>
          </w:p>
        </w:tc>
      </w:tr>
      <w:tr w:rsidR="00042292" w:rsidRPr="00197527" w:rsidTr="00A07AEB">
        <w:tc>
          <w:tcPr>
            <w:tcW w:w="10089" w:type="dxa"/>
          </w:tcPr>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line="280" w:lineRule="exact"/>
              <w:ind w:right="640"/>
              <w:rPr>
                <w:rFonts w:ascii="Tahoma" w:hAnsi="Tahoma" w:cs="Tahoma"/>
                <w:b/>
                <w:bCs/>
                <w:iCs/>
                <w:color w:val="243285"/>
                <w:sz w:val="32"/>
                <w:szCs w:val="32"/>
                <w:lang w:val="es-ES_tradnl"/>
              </w:rPr>
            </w:pPr>
          </w:p>
          <w:p w:rsidR="00042292" w:rsidRPr="00A07AEB" w:rsidRDefault="00042292" w:rsidP="00A07AEB">
            <w:pPr>
              <w:spacing w:before="80" w:after="180" w:line="360" w:lineRule="exact"/>
              <w:ind w:right="720"/>
              <w:rPr>
                <w:rFonts w:ascii="Tahoma" w:hAnsi="Tahoma" w:cs="Tahoma"/>
                <w:b/>
                <w:bCs/>
                <w:iCs/>
                <w:color w:val="243285"/>
                <w:sz w:val="36"/>
                <w:szCs w:val="36"/>
                <w:lang w:val="es-ES_tradnl"/>
              </w:rPr>
            </w:pPr>
          </w:p>
          <w:p w:rsidR="00042292" w:rsidRPr="00A07AEB" w:rsidRDefault="00042292" w:rsidP="00A07AEB">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042292" w:rsidRPr="00A07AEB" w:rsidRDefault="00042292" w:rsidP="00A07AEB">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Servicios móviles, de radiodeterminación,</w:t>
            </w:r>
            <w:r w:rsidR="00410F5B" w:rsidRPr="00A07AEB">
              <w:rPr>
                <w:rFonts w:ascii="Tahoma" w:hAnsi="Tahoma" w:cs="Tahoma"/>
                <w:b/>
                <w:bCs/>
                <w:iCs/>
                <w:color w:val="243285"/>
                <w:sz w:val="36"/>
                <w:szCs w:val="36"/>
                <w:lang w:val="es-ES_tradnl"/>
              </w:rPr>
              <w:br/>
            </w:r>
            <w:r w:rsidRPr="00A07AEB">
              <w:rPr>
                <w:rFonts w:ascii="Tahoma" w:hAnsi="Tahoma" w:cs="Tahoma"/>
                <w:b/>
                <w:bCs/>
                <w:iCs/>
                <w:color w:val="243285"/>
                <w:sz w:val="36"/>
                <w:szCs w:val="36"/>
                <w:lang w:val="es-ES_tradnl"/>
              </w:rPr>
              <w:t>de aficionados y otros servicios</w:t>
            </w:r>
            <w:r w:rsidRPr="00A07AEB">
              <w:rPr>
                <w:rFonts w:ascii="Tahoma" w:hAnsi="Tahoma" w:cs="Tahoma"/>
                <w:b/>
                <w:bCs/>
                <w:iCs/>
                <w:color w:val="243285"/>
                <w:sz w:val="36"/>
                <w:szCs w:val="36"/>
                <w:lang w:val="es-ES_tradnl"/>
              </w:rPr>
              <w:br/>
              <w:t>por satélite conexos</w:t>
            </w:r>
          </w:p>
        </w:tc>
      </w:tr>
    </w:tbl>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spacing w:before="80"/>
        <w:rPr>
          <w:i/>
          <w:sz w:val="22"/>
          <w:lang w:val="es-ES_tradnl"/>
        </w:rPr>
      </w:pPr>
    </w:p>
    <w:p w:rsidR="00042292" w:rsidRPr="0026666F" w:rsidRDefault="00042292" w:rsidP="00042292">
      <w:pPr>
        <w:pStyle w:val="Equation"/>
        <w:tabs>
          <w:tab w:val="clear" w:pos="4820"/>
          <w:tab w:val="clear" w:pos="9639"/>
          <w:tab w:val="left" w:pos="1191"/>
          <w:tab w:val="left" w:pos="1588"/>
          <w:tab w:val="left" w:pos="1985"/>
        </w:tabs>
        <w:rPr>
          <w:rFonts w:ascii="Palatino Linotype" w:hAnsi="Palatino Linotype"/>
          <w:lang w:val="es-ES_tradnl"/>
        </w:rPr>
        <w:sectPr w:rsidR="00042292" w:rsidRPr="0026666F">
          <w:headerReference w:type="even" r:id="rId8"/>
          <w:headerReference w:type="default" r:id="rId9"/>
          <w:pgSz w:w="11907" w:h="16840" w:code="9"/>
          <w:pgMar w:top="1089" w:right="1089" w:bottom="284" w:left="1089" w:header="567" w:footer="284" w:gutter="0"/>
          <w:pgNumType w:start="1"/>
          <w:cols w:space="720"/>
        </w:sectPr>
      </w:pPr>
    </w:p>
    <w:p w:rsidR="00042292" w:rsidRPr="006C718C" w:rsidRDefault="00042292" w:rsidP="0004229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042292" w:rsidRPr="006C718C" w:rsidRDefault="00042292" w:rsidP="00042292">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042292" w:rsidRPr="006C718C" w:rsidRDefault="00042292" w:rsidP="00042292">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042292" w:rsidRPr="00021E8A" w:rsidRDefault="00042292" w:rsidP="00042292">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042292" w:rsidRPr="00021E8A" w:rsidRDefault="00042292" w:rsidP="00042292">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042292" w:rsidRPr="007C36CA" w:rsidRDefault="00042292" w:rsidP="00042292">
      <w:pPr>
        <w:spacing w:before="0"/>
        <w:jc w:val="center"/>
        <w:rPr>
          <w:sz w:val="22"/>
          <w:lang w:val="es-ES_tradnl"/>
        </w:rPr>
      </w:pPr>
    </w:p>
    <w:p w:rsidR="00042292" w:rsidRPr="007C36CA" w:rsidRDefault="00042292" w:rsidP="00042292">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42292" w:rsidRPr="00197527" w:rsidTr="00CB1354">
        <w:tc>
          <w:tcPr>
            <w:tcW w:w="9360" w:type="dxa"/>
            <w:gridSpan w:val="2"/>
          </w:tcPr>
          <w:p w:rsidR="00042292" w:rsidRPr="00021E8A" w:rsidRDefault="00042292" w:rsidP="00CB1354">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042292" w:rsidRPr="00763D08"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042292" w:rsidRPr="00036EE3" w:rsidTr="00CB1354">
        <w:tc>
          <w:tcPr>
            <w:tcW w:w="1140" w:type="dxa"/>
          </w:tcPr>
          <w:p w:rsidR="00042292" w:rsidRPr="00036EE3" w:rsidRDefault="00042292" w:rsidP="00CB1354">
            <w:pPr>
              <w:spacing w:before="180" w:after="100"/>
              <w:ind w:left="57"/>
              <w:rPr>
                <w:b/>
                <w:bCs/>
                <w:sz w:val="20"/>
                <w:lang w:val="en-US"/>
              </w:rPr>
            </w:pPr>
            <w:r w:rsidRPr="00036EE3">
              <w:rPr>
                <w:b/>
                <w:bCs/>
                <w:sz w:val="20"/>
                <w:lang w:val="en-US"/>
              </w:rPr>
              <w:t>Series</w:t>
            </w:r>
          </w:p>
        </w:tc>
        <w:tc>
          <w:tcPr>
            <w:tcW w:w="8220" w:type="dxa"/>
          </w:tcPr>
          <w:p w:rsidR="00042292" w:rsidRPr="00036EE3"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BO</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042292" w:rsidRPr="0019752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BR</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BS</w:t>
            </w:r>
          </w:p>
        </w:tc>
        <w:tc>
          <w:tcPr>
            <w:tcW w:w="8220" w:type="dxa"/>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042292" w:rsidRPr="00ED2695" w:rsidTr="00CB1354">
        <w:tc>
          <w:tcPr>
            <w:tcW w:w="1140" w:type="dxa"/>
            <w:shd w:val="clear" w:color="auto" w:fill="auto"/>
          </w:tcPr>
          <w:p w:rsidR="00042292" w:rsidRPr="00ED2695" w:rsidRDefault="00042292" w:rsidP="00CB1354">
            <w:pPr>
              <w:spacing w:before="30" w:after="30"/>
              <w:ind w:left="57"/>
              <w:jc w:val="left"/>
              <w:rPr>
                <w:b/>
                <w:bCs/>
                <w:sz w:val="20"/>
                <w:lang w:val="en-US"/>
              </w:rPr>
            </w:pPr>
            <w:r w:rsidRPr="00ED2695">
              <w:rPr>
                <w:b/>
                <w:bCs/>
                <w:sz w:val="20"/>
                <w:lang w:val="en-US"/>
              </w:rPr>
              <w:t>BT</w:t>
            </w:r>
          </w:p>
        </w:tc>
        <w:tc>
          <w:tcPr>
            <w:tcW w:w="8220" w:type="dxa"/>
            <w:shd w:val="clear" w:color="auto" w:fill="auto"/>
          </w:tcPr>
          <w:p w:rsidR="00042292" w:rsidRPr="00021E8A"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(televisión)</w:t>
            </w:r>
          </w:p>
        </w:tc>
      </w:tr>
      <w:tr w:rsidR="00042292" w:rsidRPr="00036EE3" w:rsidTr="00CB1354">
        <w:tc>
          <w:tcPr>
            <w:tcW w:w="1140" w:type="dxa"/>
            <w:shd w:val="clear" w:color="auto" w:fill="auto"/>
          </w:tcPr>
          <w:p w:rsidR="00042292" w:rsidRPr="00036EE3" w:rsidRDefault="00042292" w:rsidP="00CB1354">
            <w:pPr>
              <w:spacing w:before="30" w:after="30"/>
              <w:ind w:left="57"/>
              <w:jc w:val="left"/>
              <w:rPr>
                <w:b/>
                <w:bCs/>
                <w:sz w:val="20"/>
                <w:lang w:val="fr-CH"/>
              </w:rPr>
            </w:pPr>
            <w:r w:rsidRPr="00036EE3">
              <w:rPr>
                <w:b/>
                <w:bCs/>
                <w:sz w:val="20"/>
                <w:lang w:val="fr-CH"/>
              </w:rPr>
              <w:t>F</w:t>
            </w:r>
          </w:p>
        </w:tc>
        <w:tc>
          <w:tcPr>
            <w:tcW w:w="8220" w:type="dxa"/>
            <w:shd w:val="clear" w:color="auto" w:fill="auto"/>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042292" w:rsidRPr="00197527" w:rsidTr="00CB1354">
        <w:tc>
          <w:tcPr>
            <w:tcW w:w="1140" w:type="dxa"/>
            <w:shd w:val="clear" w:color="auto" w:fill="F3F3F3"/>
          </w:tcPr>
          <w:p w:rsidR="00042292" w:rsidRPr="001240BC" w:rsidRDefault="00042292" w:rsidP="00CB1354">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042292" w:rsidRPr="001240BC" w:rsidRDefault="00042292" w:rsidP="00CB1354">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Servicios móviles, de radiodeterminación, de aficionados y otros servicios por satélite conexos</w:t>
            </w:r>
          </w:p>
        </w:tc>
      </w:tr>
      <w:tr w:rsidR="00042292" w:rsidRPr="00197527" w:rsidTr="00CB1354">
        <w:tc>
          <w:tcPr>
            <w:tcW w:w="1140" w:type="dxa"/>
          </w:tcPr>
          <w:p w:rsidR="00042292" w:rsidRPr="00036EE3" w:rsidRDefault="00042292" w:rsidP="00CB1354">
            <w:pPr>
              <w:spacing w:before="30" w:after="30"/>
              <w:ind w:left="57"/>
              <w:jc w:val="left"/>
              <w:rPr>
                <w:b/>
                <w:bCs/>
                <w:sz w:val="20"/>
                <w:lang w:val="fr-CH"/>
              </w:rPr>
            </w:pPr>
            <w:r w:rsidRPr="00036EE3">
              <w:rPr>
                <w:b/>
                <w:bCs/>
                <w:sz w:val="20"/>
                <w:lang w:val="fr-CH"/>
              </w:rPr>
              <w:t>P</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Propagación de las ondas radioeléctricas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RA</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042292" w:rsidRPr="0019752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RS</w:t>
            </w:r>
          </w:p>
        </w:tc>
        <w:tc>
          <w:tcPr>
            <w:tcW w:w="8220" w:type="dxa"/>
          </w:tcPr>
          <w:p w:rsidR="00042292" w:rsidRPr="00021E8A" w:rsidRDefault="00042292" w:rsidP="00CB1354">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w:t>
            </w:r>
          </w:p>
        </w:tc>
        <w:tc>
          <w:tcPr>
            <w:tcW w:w="8220" w:type="dxa"/>
          </w:tcPr>
          <w:p w:rsidR="00042292" w:rsidRPr="00021E8A" w:rsidRDefault="00042292" w:rsidP="00CB1354">
            <w:pPr>
              <w:spacing w:before="30" w:after="30"/>
              <w:jc w:val="left"/>
              <w:rPr>
                <w:bCs/>
                <w:sz w:val="20"/>
                <w:lang w:val="en-US"/>
              </w:rPr>
            </w:pPr>
            <w:r w:rsidRPr="00021E8A">
              <w:rPr>
                <w:bCs/>
                <w:sz w:val="20"/>
              </w:rPr>
              <w:t>Servicio fijo por satélite</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SA</w:t>
            </w:r>
          </w:p>
        </w:tc>
        <w:tc>
          <w:tcPr>
            <w:tcW w:w="8220" w:type="dxa"/>
          </w:tcPr>
          <w:p w:rsidR="00042292" w:rsidRPr="00021E8A" w:rsidRDefault="00042292" w:rsidP="00CB1354">
            <w:pPr>
              <w:spacing w:before="30" w:after="30"/>
              <w:jc w:val="left"/>
              <w:rPr>
                <w:bCs/>
                <w:sz w:val="20"/>
                <w:lang w:val="en-US"/>
              </w:rPr>
            </w:pPr>
            <w:r w:rsidRPr="00021E8A">
              <w:rPr>
                <w:bCs/>
                <w:sz w:val="20"/>
              </w:rPr>
              <w:t>Aplicaciones espaciales y meteorología</w:t>
            </w:r>
          </w:p>
        </w:tc>
      </w:tr>
      <w:tr w:rsidR="00042292" w:rsidRPr="0019752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042292" w:rsidRPr="00036EE3" w:rsidTr="00CB1354">
        <w:tc>
          <w:tcPr>
            <w:tcW w:w="1140" w:type="dxa"/>
            <w:shd w:val="clear" w:color="auto" w:fill="auto"/>
          </w:tcPr>
          <w:p w:rsidR="00042292" w:rsidRPr="001240BC" w:rsidRDefault="00042292" w:rsidP="00CB1354">
            <w:pPr>
              <w:spacing w:before="30" w:after="30"/>
              <w:ind w:left="57"/>
              <w:jc w:val="left"/>
              <w:rPr>
                <w:b/>
                <w:bCs/>
                <w:sz w:val="20"/>
                <w:lang w:val="en-US"/>
              </w:rPr>
            </w:pPr>
            <w:r w:rsidRPr="001240BC">
              <w:rPr>
                <w:b/>
                <w:bCs/>
                <w:sz w:val="20"/>
                <w:lang w:val="en-US"/>
              </w:rPr>
              <w:t>SM</w:t>
            </w:r>
          </w:p>
        </w:tc>
        <w:tc>
          <w:tcPr>
            <w:tcW w:w="8220" w:type="dxa"/>
            <w:shd w:val="clear" w:color="auto" w:fill="auto"/>
          </w:tcPr>
          <w:p w:rsidR="00042292" w:rsidRPr="001240BC" w:rsidRDefault="00042292" w:rsidP="00CB1354">
            <w:pPr>
              <w:spacing w:before="30" w:after="30"/>
              <w:jc w:val="left"/>
              <w:rPr>
                <w:sz w:val="20"/>
                <w:lang w:val="en-US"/>
              </w:rPr>
            </w:pPr>
            <w:r w:rsidRPr="001240BC">
              <w:rPr>
                <w:sz w:val="20"/>
              </w:rPr>
              <w:t>Gestión del espectro</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SNG</w:t>
            </w:r>
          </w:p>
        </w:tc>
        <w:tc>
          <w:tcPr>
            <w:tcW w:w="8220" w:type="dxa"/>
          </w:tcPr>
          <w:p w:rsidR="00042292" w:rsidRPr="00021E8A" w:rsidRDefault="00042292" w:rsidP="00CB1354">
            <w:pPr>
              <w:spacing w:before="30" w:after="30"/>
              <w:jc w:val="left"/>
              <w:rPr>
                <w:bCs/>
                <w:sz w:val="20"/>
                <w:lang w:val="en-US"/>
              </w:rPr>
            </w:pPr>
            <w:r w:rsidRPr="00021E8A">
              <w:rPr>
                <w:bCs/>
                <w:sz w:val="20"/>
              </w:rPr>
              <w:t>Periodismo electrónico por satélite</w:t>
            </w:r>
          </w:p>
        </w:tc>
      </w:tr>
      <w:tr w:rsidR="00042292" w:rsidRPr="00197527"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TF</w:t>
            </w:r>
          </w:p>
        </w:tc>
        <w:tc>
          <w:tcPr>
            <w:tcW w:w="8220" w:type="dxa"/>
          </w:tcPr>
          <w:p w:rsidR="00042292" w:rsidRPr="00021E8A" w:rsidRDefault="00042292" w:rsidP="00CB1354">
            <w:pPr>
              <w:spacing w:before="30" w:after="30"/>
              <w:jc w:val="left"/>
              <w:rPr>
                <w:bCs/>
                <w:sz w:val="20"/>
                <w:lang w:val="es-ES_tradnl"/>
              </w:rPr>
            </w:pPr>
            <w:r w:rsidRPr="00021E8A">
              <w:rPr>
                <w:bCs/>
                <w:sz w:val="20"/>
                <w:lang w:val="es-ES_tradnl"/>
              </w:rPr>
              <w:t>Emisiones de frecuencias patrón y señales horarias</w:t>
            </w:r>
          </w:p>
        </w:tc>
      </w:tr>
      <w:tr w:rsidR="00042292" w:rsidRPr="00036EE3" w:rsidTr="00CB1354">
        <w:tc>
          <w:tcPr>
            <w:tcW w:w="1140" w:type="dxa"/>
          </w:tcPr>
          <w:p w:rsidR="00042292" w:rsidRPr="00036EE3" w:rsidRDefault="00042292" w:rsidP="00CB1354">
            <w:pPr>
              <w:spacing w:before="30" w:after="30"/>
              <w:ind w:left="57"/>
              <w:jc w:val="left"/>
              <w:rPr>
                <w:b/>
                <w:bCs/>
                <w:sz w:val="20"/>
                <w:lang w:val="en-US"/>
              </w:rPr>
            </w:pPr>
            <w:r w:rsidRPr="00036EE3">
              <w:rPr>
                <w:b/>
                <w:bCs/>
                <w:sz w:val="20"/>
                <w:lang w:val="en-US"/>
              </w:rPr>
              <w:t>V</w:t>
            </w:r>
          </w:p>
        </w:tc>
        <w:tc>
          <w:tcPr>
            <w:tcW w:w="8220" w:type="dxa"/>
          </w:tcPr>
          <w:p w:rsidR="00042292" w:rsidRPr="00021E8A" w:rsidRDefault="00042292" w:rsidP="00CB1354">
            <w:pPr>
              <w:spacing w:before="30" w:after="140"/>
              <w:jc w:val="left"/>
              <w:rPr>
                <w:bCs/>
                <w:sz w:val="20"/>
                <w:lang w:val="en-US"/>
              </w:rPr>
            </w:pPr>
            <w:r w:rsidRPr="00021E8A">
              <w:rPr>
                <w:bCs/>
                <w:sz w:val="20"/>
              </w:rPr>
              <w:t>Vocabulario y cuestiones afines</w:t>
            </w:r>
          </w:p>
        </w:tc>
      </w:tr>
    </w:tbl>
    <w:p w:rsidR="00042292" w:rsidRPr="00036EE3" w:rsidRDefault="00042292" w:rsidP="00042292">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042292" w:rsidTr="00CB1354">
        <w:tc>
          <w:tcPr>
            <w:tcW w:w="720" w:type="dxa"/>
          </w:tcPr>
          <w:p w:rsidR="00042292" w:rsidRDefault="00042292" w:rsidP="00CB1354">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42292" w:rsidRPr="00197527" w:rsidTr="00A07AEB">
        <w:tc>
          <w:tcPr>
            <w:tcW w:w="9360" w:type="dxa"/>
          </w:tcPr>
          <w:p w:rsidR="00042292" w:rsidRPr="00A07AEB" w:rsidRDefault="00042292" w:rsidP="00A07AEB">
            <w:pPr>
              <w:spacing w:before="92" w:after="92"/>
              <w:jc w:val="left"/>
              <w:rPr>
                <w:i/>
                <w:iCs/>
                <w:sz w:val="20"/>
                <w:lang w:val="es-ES_tradnl"/>
              </w:rPr>
            </w:pPr>
            <w:r w:rsidRPr="00A07AEB">
              <w:rPr>
                <w:b/>
                <w:bCs/>
                <w:i/>
                <w:iCs/>
                <w:sz w:val="20"/>
                <w:lang w:val="es-ES_tradnl"/>
              </w:rPr>
              <w:t xml:space="preserve">         Nota</w:t>
            </w:r>
            <w:r w:rsidRPr="00A07AEB">
              <w:rPr>
                <w:i/>
                <w:iCs/>
                <w:sz w:val="20"/>
                <w:lang w:val="es-ES_tradnl"/>
              </w:rPr>
              <w:t xml:space="preserve">: Esta Recomendación UIT-R fue aprobada en inglés conforme al procedimiento detallado en la </w:t>
            </w:r>
            <w:r w:rsidRPr="00A07AEB">
              <w:rPr>
                <w:i/>
                <w:iCs/>
                <w:sz w:val="20"/>
                <w:lang w:val="es-ES_tradnl"/>
              </w:rPr>
              <w:br/>
              <w:t xml:space="preserve">        Resolución UIT-R 1.</w:t>
            </w:r>
          </w:p>
        </w:tc>
      </w:tr>
    </w:tbl>
    <w:p w:rsidR="00042292" w:rsidRPr="00763D08" w:rsidRDefault="00042292" w:rsidP="00042292">
      <w:pPr>
        <w:spacing w:before="0"/>
        <w:jc w:val="center"/>
        <w:rPr>
          <w:sz w:val="22"/>
          <w:lang w:val="es-ES_tradnl"/>
        </w:rPr>
      </w:pPr>
    </w:p>
    <w:p w:rsidR="00042292" w:rsidRPr="00763D08" w:rsidRDefault="00042292" w:rsidP="00042292">
      <w:pPr>
        <w:spacing w:before="60"/>
        <w:jc w:val="right"/>
        <w:rPr>
          <w:i/>
          <w:iCs/>
          <w:sz w:val="20"/>
          <w:lang w:val="es-ES_tradnl"/>
        </w:rPr>
      </w:pPr>
      <w:r w:rsidRPr="00763D08">
        <w:rPr>
          <w:i/>
          <w:iCs/>
          <w:sz w:val="20"/>
          <w:lang w:val="es-ES_tradnl"/>
        </w:rPr>
        <w:t>Publicación electrónica</w:t>
      </w:r>
    </w:p>
    <w:p w:rsidR="00042292" w:rsidRPr="00763D08" w:rsidRDefault="00042292" w:rsidP="00E704B6">
      <w:pPr>
        <w:spacing w:before="0" w:after="40"/>
        <w:jc w:val="right"/>
        <w:rPr>
          <w:sz w:val="20"/>
          <w:lang w:val="es-ES_tradnl"/>
        </w:rPr>
      </w:pPr>
      <w:r w:rsidRPr="00763D08">
        <w:rPr>
          <w:sz w:val="20"/>
          <w:lang w:val="es-ES_tradnl"/>
        </w:rPr>
        <w:t>Ginebra, 20</w:t>
      </w:r>
      <w:r w:rsidR="001B26B3">
        <w:rPr>
          <w:sz w:val="20"/>
          <w:lang w:val="es-ES_tradnl"/>
        </w:rPr>
        <w:t>1</w:t>
      </w:r>
      <w:r w:rsidR="00E704B6">
        <w:rPr>
          <w:sz w:val="20"/>
          <w:lang w:val="es-ES_tradnl"/>
        </w:rPr>
        <w:t>1</w:t>
      </w:r>
    </w:p>
    <w:p w:rsidR="00042292" w:rsidRPr="00763D08" w:rsidRDefault="00042292" w:rsidP="00042292">
      <w:pPr>
        <w:spacing w:before="0"/>
        <w:jc w:val="center"/>
        <w:rPr>
          <w:sz w:val="22"/>
          <w:lang w:val="es-ES_tradnl"/>
        </w:rPr>
      </w:pPr>
    </w:p>
    <w:p w:rsidR="00042292" w:rsidRPr="00763D08" w:rsidRDefault="00042292" w:rsidP="00E704B6">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sidR="001B26B3">
        <w:rPr>
          <w:sz w:val="20"/>
          <w:lang w:val="es-ES_tradnl"/>
        </w:rPr>
        <w:t>1</w:t>
      </w:r>
      <w:r w:rsidR="00E704B6">
        <w:rPr>
          <w:sz w:val="20"/>
          <w:lang w:val="es-ES_tradnl"/>
        </w:rPr>
        <w:t>1</w:t>
      </w:r>
    </w:p>
    <w:p w:rsidR="00042292" w:rsidRPr="006C718C" w:rsidRDefault="00042292" w:rsidP="00042292">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042292" w:rsidRPr="006C718C" w:rsidRDefault="00042292" w:rsidP="00042292">
      <w:pPr>
        <w:spacing w:before="160"/>
        <w:rPr>
          <w:i/>
          <w:sz w:val="20"/>
          <w:highlight w:val="yellow"/>
          <w:lang w:val="es-ES_tradnl"/>
        </w:rPr>
        <w:sectPr w:rsidR="00042292" w:rsidRPr="006C718C" w:rsidSect="00CB1354">
          <w:headerReference w:type="even" r:id="rId12"/>
          <w:headerReference w:type="default" r:id="rId13"/>
          <w:pgSz w:w="11907" w:h="16834" w:code="9"/>
          <w:pgMar w:top="1418" w:right="1134" w:bottom="1134" w:left="1134" w:header="720" w:footer="482" w:gutter="0"/>
          <w:pgNumType w:fmt="lowerRoman" w:start="2"/>
          <w:cols w:space="720"/>
        </w:sectPr>
      </w:pPr>
    </w:p>
    <w:p w:rsidR="00042292" w:rsidRDefault="00197527" w:rsidP="00197527">
      <w:pPr>
        <w:pStyle w:val="RecNo"/>
        <w:spacing w:before="0"/>
        <w:rPr>
          <w:lang w:val="es-ES_tradnl"/>
        </w:rPr>
      </w:pPr>
      <w:bookmarkStart w:id="2" w:name="irecnoe"/>
      <w:bookmarkEnd w:id="2"/>
      <w:r w:rsidRPr="00763D08">
        <w:rPr>
          <w:lang w:val="es-ES_tradnl"/>
        </w:rPr>
        <w:lastRenderedPageBreak/>
        <w:t xml:space="preserve">RECOMENDACIÓN  </w:t>
      </w:r>
      <w:r w:rsidRPr="00763D08">
        <w:rPr>
          <w:rStyle w:val="href"/>
          <w:lang w:val="es-ES_tradnl"/>
        </w:rPr>
        <w:t>UIT-R  M.1</w:t>
      </w:r>
      <w:r>
        <w:rPr>
          <w:rStyle w:val="href"/>
          <w:lang w:val="es-ES_tradnl"/>
        </w:rPr>
        <w:t>579</w:t>
      </w:r>
      <w:r>
        <w:rPr>
          <w:rStyle w:val="FootnoteReference"/>
          <w:lang w:val="es-ES_tradnl"/>
        </w:rPr>
        <w:footnoteReference w:customMarkFollows="1" w:id="1"/>
        <w:t>*</w:t>
      </w:r>
    </w:p>
    <w:p w:rsidR="00197527" w:rsidRPr="00277721" w:rsidRDefault="00197527" w:rsidP="00197527">
      <w:pPr>
        <w:pStyle w:val="Rectitle"/>
        <w:rPr>
          <w:lang w:val="es-ES_tradnl"/>
        </w:rPr>
      </w:pPr>
      <w:bookmarkStart w:id="3" w:name="Pre_title"/>
      <w:r w:rsidRPr="00277721">
        <w:rPr>
          <w:lang w:val="es-ES_tradnl"/>
        </w:rPr>
        <w:t>Circulación a nivel mundial de los terminales IMT</w:t>
      </w:r>
      <w:r w:rsidRPr="00277721">
        <w:rPr>
          <w:lang w:val="es-ES_tradnl"/>
        </w:rPr>
        <w:noBreakHyphen/>
        <w:t>2000</w:t>
      </w:r>
      <w:bookmarkEnd w:id="3"/>
    </w:p>
    <w:p w:rsidR="00197527" w:rsidRPr="00277721" w:rsidRDefault="00197527" w:rsidP="00197527">
      <w:pPr>
        <w:pStyle w:val="Recref"/>
        <w:rPr>
          <w:lang w:val="es-ES_tradnl"/>
        </w:rPr>
      </w:pPr>
      <w:bookmarkStart w:id="4" w:name="Related_Questions"/>
      <w:r w:rsidRPr="00277721">
        <w:rPr>
          <w:lang w:val="es-ES_tradnl"/>
        </w:rPr>
        <w:t>(Cuestión UIT</w:t>
      </w:r>
      <w:r w:rsidRPr="00277721">
        <w:rPr>
          <w:lang w:val="es-ES_tradnl"/>
        </w:rPr>
        <w:noBreakHyphen/>
        <w:t>R 229/8)</w:t>
      </w:r>
      <w:bookmarkEnd w:id="4"/>
    </w:p>
    <w:p w:rsidR="00197527" w:rsidRPr="00277721" w:rsidRDefault="00197527" w:rsidP="00197527">
      <w:pPr>
        <w:pStyle w:val="Recdate"/>
        <w:rPr>
          <w:lang w:val="es-ES_tradnl"/>
        </w:rPr>
      </w:pPr>
      <w:bookmarkStart w:id="5" w:name="Revision_history"/>
      <w:r w:rsidRPr="00277721">
        <w:rPr>
          <w:lang w:val="es-ES_tradnl"/>
        </w:rPr>
        <w:t>(2002)</w:t>
      </w:r>
      <w:bookmarkEnd w:id="5"/>
    </w:p>
    <w:p w:rsidR="00CE47B2" w:rsidRDefault="00CE47B2" w:rsidP="00CE47B2">
      <w:pPr>
        <w:rPr>
          <w:lang w:val="es-ES"/>
        </w:rPr>
      </w:pPr>
    </w:p>
    <w:p w:rsidR="00197527" w:rsidRPr="00197527" w:rsidRDefault="00197527" w:rsidP="00197527">
      <w:pPr>
        <w:pStyle w:val="HeadingSum"/>
        <w:rPr>
          <w:sz w:val="24"/>
          <w:lang w:val="es-ES"/>
        </w:rPr>
      </w:pPr>
      <w:r w:rsidRPr="00197527">
        <w:rPr>
          <w:sz w:val="24"/>
          <w:lang w:val="es-ES"/>
        </w:rPr>
        <w:t>Cometido</w:t>
      </w:r>
    </w:p>
    <w:p w:rsidR="00197527" w:rsidRPr="00197527" w:rsidRDefault="00197527" w:rsidP="00197527">
      <w:pPr>
        <w:pStyle w:val="Summary"/>
        <w:spacing w:after="0"/>
        <w:rPr>
          <w:sz w:val="24"/>
          <w:lang w:val="es-ES"/>
        </w:rPr>
      </w:pPr>
      <w:r w:rsidRPr="00197527">
        <w:rPr>
          <w:sz w:val="24"/>
          <w:lang w:val="es-ES"/>
        </w:rPr>
        <w:t>Es sabido que la Organización Mundial de Aduanas ha elaborado el Convenio de Estambul y el Convenio de Equipos Profesionales aplicables a los terminales de las IMT</w:t>
      </w:r>
      <w:r w:rsidRPr="00197527">
        <w:rPr>
          <w:sz w:val="24"/>
          <w:lang w:val="es-ES"/>
        </w:rPr>
        <w:noBreakHyphen/>
        <w:t>2000. El objetivo de esta Recomendación es establecer las bases técnicas para la circulación a escala mundial de terminales IMT</w:t>
      </w:r>
      <w:r w:rsidRPr="00197527">
        <w:rPr>
          <w:sz w:val="24"/>
          <w:lang w:val="es-ES"/>
        </w:rPr>
        <w:noBreakHyphen/>
        <w:t>2000 que no causen interferencia perjudicial en ningún país por el que circulen:</w:t>
      </w:r>
    </w:p>
    <w:p w:rsidR="00197527" w:rsidRPr="00197527" w:rsidRDefault="00197527" w:rsidP="00197527">
      <w:pPr>
        <w:pStyle w:val="Summary"/>
        <w:spacing w:after="0"/>
        <w:rPr>
          <w:sz w:val="24"/>
          <w:lang w:val="es-ES"/>
        </w:rPr>
      </w:pPr>
      <w:r w:rsidRPr="00197527">
        <w:rPr>
          <w:sz w:val="24"/>
          <w:lang w:val="es-ES"/>
        </w:rPr>
        <w:t>–</w:t>
      </w:r>
      <w:r w:rsidRPr="00197527">
        <w:rPr>
          <w:sz w:val="24"/>
          <w:lang w:val="es-ES"/>
        </w:rPr>
        <w:tab/>
      </w:r>
      <w:r w:rsidRPr="00197527">
        <w:rPr>
          <w:sz w:val="24"/>
          <w:lang w:val="es-ES"/>
        </w:rPr>
        <w:t>conformándose a las especificaciones de la interfaz radioeléctrica IMT</w:t>
      </w:r>
      <w:r w:rsidRPr="00197527">
        <w:rPr>
          <w:sz w:val="24"/>
          <w:lang w:val="es-ES"/>
        </w:rPr>
        <w:noBreakHyphen/>
        <w:t>2000; y</w:t>
      </w:r>
    </w:p>
    <w:p w:rsidR="00197527" w:rsidRPr="00197527" w:rsidRDefault="00197527" w:rsidP="00197527">
      <w:pPr>
        <w:pStyle w:val="Summary"/>
        <w:ind w:left="794" w:hanging="794"/>
        <w:rPr>
          <w:sz w:val="24"/>
          <w:lang w:val="es-ES"/>
        </w:rPr>
      </w:pPr>
      <w:r w:rsidRPr="00197527">
        <w:rPr>
          <w:sz w:val="24"/>
          <w:lang w:val="es-ES"/>
        </w:rPr>
        <w:t>–</w:t>
      </w:r>
      <w:r w:rsidRPr="00197527">
        <w:rPr>
          <w:sz w:val="24"/>
          <w:lang w:val="es-ES"/>
        </w:rPr>
        <w:tab/>
      </w:r>
      <w:r w:rsidRPr="00197527">
        <w:rPr>
          <w:sz w:val="24"/>
          <w:lang w:val="es-ES"/>
        </w:rPr>
        <w:t>cumpliendo los límites de las emisiones no deseadas establecidos para las interfaces de radiocomunicaciones por satélite y terrenales IMT</w:t>
      </w:r>
      <w:r w:rsidRPr="00197527">
        <w:rPr>
          <w:sz w:val="24"/>
          <w:lang w:val="es-ES"/>
        </w:rPr>
        <w:noBreakHyphen/>
        <w:t>2000.</w:t>
      </w:r>
    </w:p>
    <w:p w:rsidR="00197527" w:rsidRDefault="00197527" w:rsidP="00197527">
      <w:pPr>
        <w:pStyle w:val="Normalaftertitle"/>
        <w:rPr>
          <w:lang w:val="es-ES"/>
        </w:rPr>
      </w:pPr>
      <w:r>
        <w:rPr>
          <w:lang w:val="es-ES"/>
        </w:rPr>
        <w:t>La Asamblea de Radiocomunicaciones de la UIT,</w:t>
      </w:r>
    </w:p>
    <w:p w:rsidR="00197527" w:rsidRDefault="00197527" w:rsidP="00197527">
      <w:pPr>
        <w:pStyle w:val="Call"/>
        <w:rPr>
          <w:lang w:val="es-ES"/>
        </w:rPr>
      </w:pPr>
      <w:r>
        <w:rPr>
          <w:lang w:val="es-ES"/>
        </w:rPr>
        <w:t>considerando</w:t>
      </w:r>
    </w:p>
    <w:p w:rsidR="00197527" w:rsidRDefault="00197527" w:rsidP="00197527">
      <w:pPr>
        <w:rPr>
          <w:lang w:val="es-ES"/>
        </w:rPr>
      </w:pPr>
      <w:r>
        <w:rPr>
          <w:lang w:val="es-ES"/>
        </w:rPr>
        <w:t>a)</w:t>
      </w:r>
      <w:r>
        <w:rPr>
          <w:lang w:val="es-ES"/>
        </w:rPr>
        <w:tab/>
        <w:t>que la circulación a nivel mundial de los terminales es el derecho de los usuarios a llevar sus terminales personales a un país que visiten y la capacidad de utilizarlos en todo lugar en que ello sea posible;</w:t>
      </w:r>
    </w:p>
    <w:p w:rsidR="00197527" w:rsidRDefault="00197527" w:rsidP="00197527">
      <w:pPr>
        <w:rPr>
          <w:lang w:val="es-ES"/>
        </w:rPr>
      </w:pPr>
      <w:r>
        <w:rPr>
          <w:lang w:val="es-ES"/>
        </w:rPr>
        <w:t>b)</w:t>
      </w:r>
      <w:r>
        <w:rPr>
          <w:lang w:val="es-ES"/>
        </w:rPr>
        <w:tab/>
        <w:t>que las comunicaciones móviles continúan creciendo a un ritmo muy rápido, al mismo tiempo que el crecimiento acelerado de Internet, produciendo los beneficios sociales y económicos a todos los países y gentes de todo el mundo derivados de la disponibilidad de telecomunicaciones avanzadas, independientemente de la ubicación del usuario;</w:t>
      </w:r>
    </w:p>
    <w:p w:rsidR="00197527" w:rsidRDefault="00197527" w:rsidP="00197527">
      <w:pPr>
        <w:rPr>
          <w:lang w:val="es-ES"/>
        </w:rPr>
      </w:pPr>
      <w:r>
        <w:rPr>
          <w:lang w:val="es-ES"/>
        </w:rPr>
        <w:t>c)</w:t>
      </w:r>
      <w:r>
        <w:rPr>
          <w:lang w:val="es-ES"/>
        </w:rPr>
        <w:tab/>
        <w:t>que la UIT, junto con las autoridades de reglamentación nacional y la industria ha efectuado una labor considerable encaminada a la introducción de los sistemas de comunicaciones de banda ancha móviles (IMT</w:t>
      </w:r>
      <w:r>
        <w:rPr>
          <w:lang w:val="es-ES"/>
        </w:rPr>
        <w:noBreakHyphen/>
        <w:t>2000) en los próximos años;</w:t>
      </w:r>
      <w:bookmarkStart w:id="6" w:name="_GoBack"/>
      <w:bookmarkEnd w:id="6"/>
    </w:p>
    <w:p w:rsidR="00197527" w:rsidRDefault="00197527" w:rsidP="00197527">
      <w:pPr>
        <w:rPr>
          <w:lang w:val="es-ES"/>
        </w:rPr>
      </w:pPr>
      <w:r>
        <w:rPr>
          <w:lang w:val="es-ES"/>
        </w:rPr>
        <w:t>d)</w:t>
      </w:r>
      <w:r>
        <w:rPr>
          <w:lang w:val="es-ES"/>
        </w:rPr>
        <w:tab/>
        <w:t>que un despliegue satisfactorio de dichos sistemas tiene que incluir la capacidad de los usuarios para llevar sus terminales allá donde vayan, de un país a otro, y de utilizar dichos terminales, si los acepta y conecta el operador de la red, en otras redes de tercera generación distintas de sus redes domésticas, o simplemente llevarlos, aun cuando no puedan utilizarlos;</w:t>
      </w:r>
    </w:p>
    <w:p w:rsidR="00197527" w:rsidRDefault="00197527" w:rsidP="00197527">
      <w:pPr>
        <w:rPr>
          <w:lang w:val="es-ES"/>
        </w:rPr>
      </w:pPr>
      <w:r>
        <w:rPr>
          <w:lang w:val="es-ES"/>
        </w:rPr>
        <w:t>e)</w:t>
      </w:r>
      <w:r>
        <w:rPr>
          <w:lang w:val="es-ES"/>
        </w:rPr>
        <w:tab/>
        <w:t>que dicha circulación a nivel mundial aportará ventajas evidentes a los usuarios, si éstos tienen la capacidad de utilizar sus terminales en cualquier país en el que se disponga de servicio;</w:t>
      </w:r>
    </w:p>
    <w:p w:rsidR="00197527" w:rsidRDefault="00197527" w:rsidP="00197527">
      <w:pPr>
        <w:rPr>
          <w:lang w:val="es-ES"/>
        </w:rPr>
      </w:pPr>
      <w:r>
        <w:rPr>
          <w:lang w:val="es-ES"/>
        </w:rPr>
        <w:t>f)</w:t>
      </w:r>
      <w:r>
        <w:rPr>
          <w:lang w:val="es-ES"/>
        </w:rPr>
        <w:tab/>
        <w:t>que dicha circulación a nivel mundial ofrece ventajas para los operadores, los cuales obtendrán ingresos adicionales;</w:t>
      </w:r>
    </w:p>
    <w:p w:rsidR="00197527" w:rsidRDefault="00197527" w:rsidP="00197527">
      <w:pPr>
        <w:rPr>
          <w:lang w:val="es-ES"/>
        </w:rPr>
      </w:pPr>
      <w:r>
        <w:rPr>
          <w:lang w:val="es-ES"/>
        </w:rPr>
        <w:t>g)</w:t>
      </w:r>
      <w:r>
        <w:rPr>
          <w:lang w:val="es-ES"/>
        </w:rPr>
        <w:tab/>
        <w:t>que dicha circulación a nivel mundial es también beneficiosa para las administraciones nacionales, pues permitirá a las economías del país acceder a todos los beneficios de los sistemas de tercera generación y permitir a los servicios multimedio contribuir al crecimiento de la economía nacional;</w:t>
      </w:r>
    </w:p>
    <w:p w:rsidR="00197527" w:rsidRDefault="00197527" w:rsidP="00197527">
      <w:pPr>
        <w:rPr>
          <w:lang w:val="es-ES"/>
        </w:rPr>
      </w:pPr>
      <w:r>
        <w:rPr>
          <w:lang w:val="es-ES"/>
        </w:rPr>
        <w:lastRenderedPageBreak/>
        <w:t>h)</w:t>
      </w:r>
      <w:r>
        <w:rPr>
          <w:lang w:val="es-ES"/>
        </w:rPr>
        <w:tab/>
        <w:t>que es probable que los terminales IMT</w:t>
      </w:r>
      <w:r>
        <w:rPr>
          <w:lang w:val="es-ES"/>
        </w:rPr>
        <w:noBreakHyphen/>
        <w:t>2000 incluyan una familia de modos, o interfaces radioeléctricas distintas, que en algunos casos pueden no contar con apoyo en todos los países, y pueden también incorporar un modo de satélite;</w:t>
      </w:r>
    </w:p>
    <w:p w:rsidR="00197527" w:rsidRDefault="00197527" w:rsidP="00197527">
      <w:pPr>
        <w:rPr>
          <w:lang w:val="es-ES"/>
        </w:rPr>
      </w:pPr>
      <w:r>
        <w:rPr>
          <w:lang w:val="es-ES"/>
        </w:rPr>
        <w:t>j)</w:t>
      </w:r>
      <w:r>
        <w:rPr>
          <w:lang w:val="es-ES"/>
        </w:rPr>
        <w:tab/>
        <w:t>que algunos terminales multimodo pueden incluir modos que no sean miembro de la familia IMT</w:t>
      </w:r>
      <w:r>
        <w:rPr>
          <w:lang w:val="es-ES"/>
        </w:rPr>
        <w:noBreakHyphen/>
        <w:t>2000;</w:t>
      </w:r>
    </w:p>
    <w:p w:rsidR="00197527" w:rsidRDefault="00197527" w:rsidP="00197527">
      <w:pPr>
        <w:rPr>
          <w:lang w:val="es-ES"/>
        </w:rPr>
      </w:pPr>
      <w:r>
        <w:rPr>
          <w:lang w:val="es-ES"/>
        </w:rPr>
        <w:t>k)</w:t>
      </w:r>
      <w:r>
        <w:rPr>
          <w:lang w:val="es-ES"/>
        </w:rPr>
        <w:tab/>
        <w:t>que los usuarios desearán y pueden necesitar llevar sus terminales, aun cuando no puedan utilizar el equipo;</w:t>
      </w:r>
    </w:p>
    <w:p w:rsidR="00197527" w:rsidRDefault="00197527" w:rsidP="00197527">
      <w:pPr>
        <w:rPr>
          <w:lang w:val="es-ES"/>
        </w:rPr>
      </w:pPr>
      <w:r>
        <w:rPr>
          <w:lang w:val="es-ES"/>
        </w:rPr>
        <w:t>l)</w:t>
      </w:r>
      <w:r>
        <w:rPr>
          <w:lang w:val="es-ES"/>
        </w:rPr>
        <w:tab/>
        <w:t>que uno de los requisitos básicos de la circulación a nivel mundial es que el terminal no dé lugar a interferencia perjudicial en cualquier país al que se lleve;</w:t>
      </w:r>
    </w:p>
    <w:p w:rsidR="00197527" w:rsidRDefault="00197527" w:rsidP="00197527">
      <w:pPr>
        <w:rPr>
          <w:lang w:val="es-ES"/>
        </w:rPr>
      </w:pPr>
      <w:r>
        <w:rPr>
          <w:lang w:val="es-ES"/>
        </w:rPr>
        <w:t>m)</w:t>
      </w:r>
      <w:r>
        <w:rPr>
          <w:lang w:val="es-ES"/>
        </w:rPr>
        <w:tab/>
        <w:t>que uno de los medios posibles para lograr el requisito mencionado es que el terminal no transmita antes de que haya recibido una señal procedente de una red válida con la que pueda comunicarse (principio de recepción antes de transmisión), pero que puede también haber otros medios técnicos de lograr el requisito básico;</w:t>
      </w:r>
    </w:p>
    <w:p w:rsidR="00197527" w:rsidRDefault="00197527" w:rsidP="00197527">
      <w:pPr>
        <w:rPr>
          <w:lang w:val="es-ES"/>
        </w:rPr>
      </w:pPr>
      <w:r>
        <w:rPr>
          <w:lang w:val="es-ES"/>
        </w:rPr>
        <w:t>n)</w:t>
      </w:r>
      <w:r>
        <w:rPr>
          <w:lang w:val="es-ES"/>
        </w:rPr>
        <w:tab/>
        <w:t>que la circulación a nivel mundial en la mayoría de los países no constituye un problema hoy en día para los terminales de sistemas mundiales;</w:t>
      </w:r>
    </w:p>
    <w:p w:rsidR="00197527" w:rsidRDefault="00197527" w:rsidP="00197527">
      <w:pPr>
        <w:rPr>
          <w:lang w:val="es-ES"/>
        </w:rPr>
      </w:pPr>
      <w:r>
        <w:rPr>
          <w:lang w:val="es-ES"/>
        </w:rPr>
        <w:t>o)</w:t>
      </w:r>
      <w:r>
        <w:rPr>
          <w:lang w:val="es-ES"/>
        </w:rPr>
        <w:tab/>
        <w:t>que las tecnologías IMT</w:t>
      </w:r>
      <w:r>
        <w:rPr>
          <w:lang w:val="es-ES"/>
        </w:rPr>
        <w:noBreakHyphen/>
        <w:t>2000 ofrecen a los operadores de red la posibilidad de identificar el tipo de equipo terminal que se conecta a sus redes;</w:t>
      </w:r>
    </w:p>
    <w:p w:rsidR="00197527" w:rsidRDefault="00197527" w:rsidP="00197527">
      <w:pPr>
        <w:rPr>
          <w:lang w:val="es-ES"/>
        </w:rPr>
      </w:pPr>
      <w:r>
        <w:rPr>
          <w:lang w:val="es-ES"/>
        </w:rPr>
        <w:t>p)</w:t>
      </w:r>
      <w:r>
        <w:rPr>
          <w:lang w:val="es-ES"/>
        </w:rPr>
        <w:tab/>
        <w:t>que los terminales IMT</w:t>
      </w:r>
      <w:r>
        <w:rPr>
          <w:lang w:val="es-ES"/>
        </w:rPr>
        <w:noBreakHyphen/>
        <w:t>2000 actuales y/o futuros contienen o contendrán dispositivos electrónicos que proporcionan información de identidades de equipo, para cumplir los requisitos técnicos y comerciales actuales, lo que hace posible identificar de manera única equipos terminales individuales;</w:t>
      </w:r>
    </w:p>
    <w:p w:rsidR="00197527" w:rsidRDefault="00197527" w:rsidP="00197527">
      <w:pPr>
        <w:rPr>
          <w:lang w:val="es-ES"/>
        </w:rPr>
      </w:pPr>
      <w:r>
        <w:rPr>
          <w:lang w:val="es-ES"/>
        </w:rPr>
        <w:t>q)</w:t>
      </w:r>
      <w:r>
        <w:rPr>
          <w:lang w:val="es-ES"/>
        </w:rPr>
        <w:tab/>
        <w:t>que esta información de identidad de equipo electrónico existente está ya disponible para los operadores de red y las administraciones, si lo desean;</w:t>
      </w:r>
    </w:p>
    <w:p w:rsidR="00197527" w:rsidRDefault="00197527" w:rsidP="00197527">
      <w:pPr>
        <w:rPr>
          <w:lang w:val="es-ES"/>
        </w:rPr>
      </w:pPr>
      <w:r>
        <w:rPr>
          <w:lang w:val="es-ES"/>
        </w:rPr>
        <w:t>r)</w:t>
      </w:r>
      <w:r>
        <w:rPr>
          <w:lang w:val="es-ES"/>
        </w:rPr>
        <w:tab/>
        <w:t>que no se prevé un marcado del equipo diferente al de información de identidad de equipo electrónico para los fines de la circulación a nivel mundial,</w:t>
      </w:r>
    </w:p>
    <w:p w:rsidR="00197527" w:rsidRDefault="00197527" w:rsidP="00197527">
      <w:pPr>
        <w:pStyle w:val="Call"/>
        <w:rPr>
          <w:lang w:val="es-ES"/>
        </w:rPr>
      </w:pPr>
      <w:r>
        <w:rPr>
          <w:lang w:val="es-ES"/>
        </w:rPr>
        <w:t>considerando además</w:t>
      </w:r>
    </w:p>
    <w:p w:rsidR="00197527" w:rsidRDefault="00197527" w:rsidP="00197527">
      <w:pPr>
        <w:rPr>
          <w:lang w:val="es-ES"/>
        </w:rPr>
      </w:pPr>
      <w:r>
        <w:rPr>
          <w:lang w:val="es-ES"/>
        </w:rPr>
        <w:t>a)</w:t>
      </w:r>
      <w:r>
        <w:rPr>
          <w:lang w:val="es-ES"/>
        </w:rPr>
        <w:tab/>
        <w:t>que la utilización personal de terminales IMT</w:t>
      </w:r>
      <w:r>
        <w:rPr>
          <w:lang w:val="es-ES"/>
        </w:rPr>
        <w:noBreakHyphen/>
        <w:t>2000 por los visitantes no debe exigir licencia individual o ningún otro tipo de procedimiento reglamentario formal individual;</w:t>
      </w:r>
    </w:p>
    <w:p w:rsidR="00197527" w:rsidRDefault="00197527" w:rsidP="00197527">
      <w:pPr>
        <w:rPr>
          <w:lang w:val="es-ES"/>
        </w:rPr>
      </w:pPr>
      <w:r>
        <w:rPr>
          <w:lang w:val="es-ES"/>
        </w:rPr>
        <w:t>b)</w:t>
      </w:r>
      <w:r>
        <w:rPr>
          <w:lang w:val="es-ES"/>
        </w:rPr>
        <w:tab/>
        <w:t>que las administraciones nacionales deben coordinar con las autoridades de aduana y otras autoridades adecuadas a fin de eximir a los terminales IMT</w:t>
      </w:r>
      <w:r>
        <w:rPr>
          <w:lang w:val="es-ES"/>
        </w:rPr>
        <w:noBreakHyphen/>
        <w:t>2000 dedicados a utilización personal por los visitantes, de todos los derechos aduaneros o de otras cargas oficiales;</w:t>
      </w:r>
    </w:p>
    <w:p w:rsidR="00197527" w:rsidRDefault="00197527" w:rsidP="00197527">
      <w:pPr>
        <w:rPr>
          <w:lang w:val="es-ES"/>
        </w:rPr>
      </w:pPr>
      <w:r>
        <w:rPr>
          <w:lang w:val="es-ES"/>
        </w:rPr>
        <w:t>c)</w:t>
      </w:r>
      <w:r>
        <w:rPr>
          <w:lang w:val="es-ES"/>
        </w:rPr>
        <w:tab/>
        <w:t>que las autoridades nacionales y regionales deben continuar estudiando y cooperando siempre que sea necesario para eliminar todo obstáculo que se oponga a la circulación mundial de los terminales IMT</w:t>
      </w:r>
      <w:r>
        <w:rPr>
          <w:lang w:val="es-ES"/>
        </w:rPr>
        <w:noBreakHyphen/>
        <w:t>2000 en todas las partes del mundo,</w:t>
      </w:r>
    </w:p>
    <w:p w:rsidR="00197527" w:rsidRDefault="00197527" w:rsidP="00197527">
      <w:pPr>
        <w:pStyle w:val="Call"/>
        <w:rPr>
          <w:lang w:val="es-ES"/>
        </w:rPr>
      </w:pPr>
      <w:r>
        <w:rPr>
          <w:lang w:val="es-ES"/>
        </w:rPr>
        <w:t>reconociendo</w:t>
      </w:r>
    </w:p>
    <w:p w:rsidR="00197527" w:rsidRDefault="00197527" w:rsidP="00197527">
      <w:pPr>
        <w:rPr>
          <w:lang w:val="es-ES"/>
        </w:rPr>
      </w:pPr>
      <w:r>
        <w:rPr>
          <w:lang w:val="es-ES"/>
        </w:rPr>
        <w:t>a)</w:t>
      </w:r>
      <w:r>
        <w:rPr>
          <w:lang w:val="es-ES"/>
        </w:rPr>
        <w:tab/>
        <w:t>que la Organización Mundial de Aduanas (WCO) ha elaborado dos acuerdos internacionales aplicables a los terminales IMT</w:t>
      </w:r>
      <w:r>
        <w:rPr>
          <w:lang w:val="es-ES"/>
        </w:rPr>
        <w:noBreakHyphen/>
        <w:t>2000:</w:t>
      </w:r>
    </w:p>
    <w:p w:rsidR="00197527" w:rsidRDefault="00197527" w:rsidP="00197527">
      <w:pPr>
        <w:pStyle w:val="enumlev1"/>
        <w:rPr>
          <w:lang w:val="es-ES"/>
        </w:rPr>
      </w:pPr>
      <w:r>
        <w:sym w:font="Symbol" w:char="F02D"/>
      </w:r>
      <w:r>
        <w:rPr>
          <w:lang w:val="es-ES"/>
        </w:rPr>
        <w:tab/>
        <w:t>el Convenio de Estambul, que compromete a los países a eliminar los derechos de aduana sobre efectos personales y equipo profesional que lleven los visitantes;</w:t>
      </w:r>
    </w:p>
    <w:p w:rsidR="00197527" w:rsidRDefault="00197527" w:rsidP="00197527">
      <w:pPr>
        <w:pStyle w:val="enumlev1"/>
        <w:rPr>
          <w:lang w:val="es-ES"/>
        </w:rPr>
      </w:pPr>
      <w:r>
        <w:sym w:font="Symbol" w:char="F02D"/>
      </w:r>
      <w:r>
        <w:rPr>
          <w:lang w:val="es-ES"/>
        </w:rPr>
        <w:tab/>
        <w:t>el Convenio relativo a la importación temporal de equipo profesional, que hasta ahora ha sido adoptado por unos 40 países y que exime de derechos aduaneros al equipo utilizado por los profesionales, por ejemplo, periodistas, doctores, trabajadores de ayuda, hombres de negocios, etc.;</w:t>
      </w:r>
    </w:p>
    <w:p w:rsidR="00197527" w:rsidRDefault="00197527" w:rsidP="00197527">
      <w:pPr>
        <w:rPr>
          <w:lang w:val="es-ES"/>
        </w:rPr>
      </w:pPr>
      <w:r>
        <w:rPr>
          <w:lang w:val="es-ES"/>
        </w:rPr>
        <w:lastRenderedPageBreak/>
        <w:t>b)</w:t>
      </w:r>
      <w:r>
        <w:rPr>
          <w:lang w:val="es-ES"/>
        </w:rPr>
        <w:tab/>
        <w:t>que el Acuerdo sobre Tecnología de la Información (ATI) de la Organización Mundial del Comercio (OMC) pretende eliminar los derechos de importación de todo el equipo de tecnología de la información, incluyendo los terminales inalámbricos;</w:t>
      </w:r>
    </w:p>
    <w:p w:rsidR="00197527" w:rsidRDefault="00197527" w:rsidP="00197527">
      <w:pPr>
        <w:rPr>
          <w:lang w:val="es-ES"/>
        </w:rPr>
      </w:pPr>
      <w:r>
        <w:rPr>
          <w:lang w:val="es-ES"/>
        </w:rPr>
        <w:t>c)</w:t>
      </w:r>
      <w:r>
        <w:rPr>
          <w:lang w:val="es-ES"/>
        </w:rPr>
        <w:tab/>
        <w:t>que la circulación y utilización a nivel mundial de terminales debe ser conforme a las leyes y reglamentos del país visitado, dando lugar de esta manera a la necesidad de la cooperación internacional entre autoridades de reglamentación;</w:t>
      </w:r>
    </w:p>
    <w:p w:rsidR="00197527" w:rsidRDefault="00197527" w:rsidP="00197527">
      <w:pPr>
        <w:rPr>
          <w:lang w:val="es-ES"/>
        </w:rPr>
      </w:pPr>
      <w:r>
        <w:rPr>
          <w:lang w:val="es-ES"/>
        </w:rPr>
        <w:t>d)</w:t>
      </w:r>
      <w:r>
        <w:rPr>
          <w:lang w:val="es-ES"/>
        </w:rPr>
        <w:tab/>
        <w:t>que la circulación a nivel mundial dependerá también de los medios, no contemplados en esta Recomendación, que puedan introducirse a fin de asegurar la integridad de la red, la interoperabilidad y la calidad del servicio a los usuarios finales;</w:t>
      </w:r>
    </w:p>
    <w:p w:rsidR="00197527" w:rsidRDefault="00197527" w:rsidP="00197527">
      <w:pPr>
        <w:rPr>
          <w:lang w:val="es-ES"/>
        </w:rPr>
      </w:pPr>
      <w:r>
        <w:rPr>
          <w:lang w:val="es-ES"/>
        </w:rPr>
        <w:t>e)</w:t>
      </w:r>
      <w:r>
        <w:rPr>
          <w:lang w:val="es-ES"/>
        </w:rPr>
        <w:tab/>
        <w:t>que hay el riesgo de que las disposiciones administrativas para la circulación puedan dar lugar a una reglamentación más estricta, lo cual debe evitarse cuidadosamente al elaborar disposiciones para la circulación, pues las disposiciones de circulación deben estar encaminadas a simplificar la reglamentación actual y no a complicarla;</w:t>
      </w:r>
    </w:p>
    <w:p w:rsidR="00197527" w:rsidRDefault="00197527" w:rsidP="00197527">
      <w:pPr>
        <w:rPr>
          <w:lang w:val="es-ES"/>
        </w:rPr>
      </w:pPr>
      <w:r>
        <w:rPr>
          <w:lang w:val="es-ES"/>
        </w:rPr>
        <w:t>f)</w:t>
      </w:r>
      <w:r>
        <w:rPr>
          <w:lang w:val="es-ES"/>
        </w:rPr>
        <w:tab/>
        <w:t>que el proceso de introducción del equipo en el mercado puede emplear un marcado sobre una base nacional o regional;</w:t>
      </w:r>
    </w:p>
    <w:p w:rsidR="00197527" w:rsidRDefault="00197527" w:rsidP="00197527">
      <w:pPr>
        <w:rPr>
          <w:lang w:val="es-ES"/>
        </w:rPr>
      </w:pPr>
      <w:r>
        <w:rPr>
          <w:lang w:val="es-ES"/>
        </w:rPr>
        <w:t>g)</w:t>
      </w:r>
      <w:r>
        <w:rPr>
          <w:lang w:val="es-ES"/>
        </w:rPr>
        <w:tab/>
        <w:t>que los terminales de satélite IMT</w:t>
      </w:r>
      <w:r>
        <w:rPr>
          <w:lang w:val="es-ES"/>
        </w:rPr>
        <w:noBreakHyphen/>
        <w:t>2000 pueden llevar la marca del memorándum de entendimiento sobre las comunicaciones personales móviles mundiales por satélite (GMPCS</w:t>
      </w:r>
      <w:r>
        <w:rPr>
          <w:lang w:val="es-ES"/>
        </w:rPr>
        <w:noBreakHyphen/>
        <w:t xml:space="preserve">MoU, </w:t>
      </w:r>
      <w:r>
        <w:rPr>
          <w:i/>
          <w:iCs/>
          <w:lang w:val="es-ES"/>
        </w:rPr>
        <w:t>Global Mobile Personal Communications by Satellite Memorandum of Understanding</w:t>
      </w:r>
      <w:r>
        <w:rPr>
          <w:lang w:val="es-ES"/>
        </w:rPr>
        <w:t>) para indicar su cumplimiento con los Acuerdos GMPCS</w:t>
      </w:r>
      <w:r>
        <w:rPr>
          <w:lang w:val="es-ES"/>
        </w:rPr>
        <w:noBreakHyphen/>
        <w:t>MoU y que esta marca puede también llevarse en los terminales IMT</w:t>
      </w:r>
      <w:r>
        <w:rPr>
          <w:lang w:val="es-ES"/>
        </w:rPr>
        <w:noBreakHyphen/>
        <w:t>2000 multimodo terrenales-de satélite,</w:t>
      </w:r>
    </w:p>
    <w:p w:rsidR="00197527" w:rsidRDefault="00197527" w:rsidP="00197527">
      <w:pPr>
        <w:pStyle w:val="Call"/>
        <w:rPr>
          <w:lang w:val="es-ES"/>
        </w:rPr>
      </w:pPr>
      <w:r>
        <w:rPr>
          <w:lang w:val="es-ES"/>
        </w:rPr>
        <w:t>recomienda</w:t>
      </w:r>
    </w:p>
    <w:p w:rsidR="00197527" w:rsidRDefault="00197527" w:rsidP="00197527">
      <w:pPr>
        <w:rPr>
          <w:lang w:val="es-ES"/>
        </w:rPr>
      </w:pPr>
      <w:r>
        <w:rPr>
          <w:b/>
          <w:bCs/>
          <w:lang w:val="es-ES"/>
        </w:rPr>
        <w:t>1</w:t>
      </w:r>
      <w:r>
        <w:rPr>
          <w:lang w:val="es-ES"/>
        </w:rPr>
        <w:tab/>
        <w:t>que, a fin de establecer las bases técnicas para la circulación a nivel mundial de los terminales IMT</w:t>
      </w:r>
      <w:r>
        <w:rPr>
          <w:lang w:val="es-ES"/>
        </w:rPr>
        <w:noBreakHyphen/>
        <w:t>2000, dichos terminales cumplan con el requisito de no causar interfe</w:t>
      </w:r>
      <w:r>
        <w:rPr>
          <w:lang w:val="es-ES"/>
        </w:rPr>
        <w:softHyphen/>
        <w:t>rencia perjudicial en cualquier país en el que circulen los mismos:</w:t>
      </w:r>
    </w:p>
    <w:p w:rsidR="00197527" w:rsidRDefault="00197527" w:rsidP="00197527">
      <w:pPr>
        <w:pStyle w:val="enumlev1"/>
        <w:rPr>
          <w:lang w:val="es-ES"/>
        </w:rPr>
      </w:pPr>
      <w:r>
        <w:sym w:font="Symbol" w:char="F02D"/>
      </w:r>
      <w:r>
        <w:rPr>
          <w:lang w:val="es-ES"/>
        </w:rPr>
        <w:tab/>
        <w:t>ajustándose a las normas IMT</w:t>
      </w:r>
      <w:r>
        <w:rPr>
          <w:lang w:val="es-ES"/>
        </w:rPr>
        <w:noBreakHyphen/>
        <w:t>2000 a las que se refiere la Recomendación UIT</w:t>
      </w:r>
      <w:r>
        <w:rPr>
          <w:lang w:val="es-ES"/>
        </w:rPr>
        <w:noBreakHyphen/>
        <w:t>R M.1457 y;</w:t>
      </w:r>
    </w:p>
    <w:p w:rsidR="00197527" w:rsidRDefault="00197527" w:rsidP="00197527">
      <w:pPr>
        <w:pStyle w:val="enumlev1"/>
        <w:rPr>
          <w:lang w:val="es-ES"/>
        </w:rPr>
      </w:pPr>
      <w:r>
        <w:sym w:font="Symbol" w:char="F02D"/>
      </w:r>
      <w:r>
        <w:rPr>
          <w:lang w:val="es-ES"/>
        </w:rPr>
        <w:tab/>
        <w:t>cumpliendo los límites de emisiones no deseadas de las Recomendaciones siguientes:</w:t>
      </w:r>
    </w:p>
    <w:p w:rsidR="00197527" w:rsidRDefault="00197527" w:rsidP="00197527">
      <w:pPr>
        <w:pStyle w:val="enumlev2"/>
        <w:rPr>
          <w:lang w:val="es-ES"/>
        </w:rPr>
      </w:pPr>
      <w:r>
        <w:rPr>
          <w:lang w:val="es-ES"/>
        </w:rPr>
        <w:t>–</w:t>
      </w:r>
      <w:r>
        <w:rPr>
          <w:lang w:val="es-ES"/>
        </w:rPr>
        <w:tab/>
        <w:t>para las interfaces radioeléctricas terrenales de los terminales, la Recomendación UIT</w:t>
      </w:r>
      <w:r>
        <w:rPr>
          <w:lang w:val="es-ES"/>
        </w:rPr>
        <w:noBreakHyphen/>
        <w:t>R M.1581;</w:t>
      </w:r>
    </w:p>
    <w:p w:rsidR="00197527" w:rsidRDefault="00197527" w:rsidP="00197527">
      <w:pPr>
        <w:pStyle w:val="enumlev2"/>
        <w:rPr>
          <w:lang w:val="es-ES"/>
        </w:rPr>
      </w:pPr>
      <w:r>
        <w:rPr>
          <w:lang w:val="es-ES"/>
        </w:rPr>
        <w:t>–</w:t>
      </w:r>
      <w:r>
        <w:rPr>
          <w:lang w:val="es-ES"/>
        </w:rPr>
        <w:tab/>
        <w:t>para las interfaces de satélite de los terminales, la Recomendación UIT</w:t>
      </w:r>
      <w:r>
        <w:rPr>
          <w:lang w:val="es-ES"/>
        </w:rPr>
        <w:noBreakHyphen/>
        <w:t>R M.1343 –Requisitos técnicos fundamentales de las estaciones terrenas móviles que funcionan con sistemas mundiales del servicio móvil por satélite con satélites no geoestacionarios en la banda 1</w:t>
      </w:r>
      <w:r>
        <w:rPr>
          <w:lang w:val="es-ES"/>
        </w:rPr>
        <w:noBreakHyphen/>
        <w:t>3 GHz, o la Recomendación UIT</w:t>
      </w:r>
      <w:r>
        <w:rPr>
          <w:lang w:val="es-ES"/>
        </w:rPr>
        <w:noBreakHyphen/>
        <w:t>R M.1480 – Requisitos técnicos fundamentales de las estaciones terrenas móviles de los sistemas móviles con satélites geoestacionarios que aplican las disposiciones del memorándum de entendimiento sobre las comunicaciones personales móviles mundiales por satélite (GMPCS) en partes de la banda de frecuencias 1</w:t>
      </w:r>
      <w:r>
        <w:rPr>
          <w:lang w:val="es-ES"/>
        </w:rPr>
        <w:noBreakHyphen/>
        <w:t xml:space="preserve">3 GHz. </w:t>
      </w:r>
    </w:p>
    <w:p w:rsidR="00197527" w:rsidRDefault="00197527" w:rsidP="00197527">
      <w:pPr>
        <w:rPr>
          <w:lang w:val="es-ES"/>
        </w:rPr>
      </w:pPr>
      <w:r>
        <w:rPr>
          <w:b/>
          <w:bCs/>
          <w:lang w:val="es-ES"/>
        </w:rPr>
        <w:t>2</w:t>
      </w:r>
      <w:r>
        <w:rPr>
          <w:lang w:val="es-ES"/>
        </w:rPr>
        <w:tab/>
        <w:t>que los terminales deben utilizar el principio de recepción antes de transmisión o, cuando estén disponibles, otros medios técnicos para evitar la interferencia perjudicial;</w:t>
      </w:r>
    </w:p>
    <w:p w:rsidR="00197527" w:rsidRDefault="00197527" w:rsidP="00197527">
      <w:pPr>
        <w:rPr>
          <w:lang w:val="es-ES_tradnl"/>
        </w:rPr>
      </w:pPr>
      <w:r>
        <w:rPr>
          <w:b/>
          <w:bCs/>
          <w:lang w:val="es-ES"/>
        </w:rPr>
        <w:t>3</w:t>
      </w:r>
      <w:r>
        <w:rPr>
          <w:lang w:val="es-ES"/>
        </w:rPr>
        <w:tab/>
        <w:t>que en el caso de detectarse una avería que se traduzca en interferencia perjudicial, el equipo IMT</w:t>
      </w:r>
      <w:r>
        <w:rPr>
          <w:lang w:val="es-ES"/>
        </w:rPr>
        <w:noBreakHyphen/>
        <w:t>2000 esté diseñado, en la medida de lo posible, para minimizar ésta.</w:t>
      </w:r>
    </w:p>
    <w:p w:rsidR="00197527" w:rsidRDefault="00197527" w:rsidP="00197527">
      <w:pPr>
        <w:rPr>
          <w:lang w:val="es-ES_tradnl"/>
        </w:rPr>
      </w:pPr>
    </w:p>
    <w:p w:rsidR="00197527" w:rsidRDefault="00197527" w:rsidP="00197527">
      <w:pPr>
        <w:rPr>
          <w:lang w:val="es-ES_tradnl"/>
        </w:rPr>
      </w:pPr>
    </w:p>
    <w:p w:rsidR="00197527" w:rsidRPr="00197527" w:rsidRDefault="00197527" w:rsidP="00197527">
      <w:pPr>
        <w:pStyle w:val="Line"/>
        <w:rPr>
          <w:lang w:val="es-ES_tradnl"/>
        </w:rPr>
      </w:pPr>
    </w:p>
    <w:sectPr w:rsidR="00197527" w:rsidRPr="00197527" w:rsidSect="00042292">
      <w:headerReference w:type="even" r:id="rId14"/>
      <w:headerReference w:type="default" r:id="rId1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7AEB" w:rsidRDefault="00A07AEB">
      <w:r>
        <w:separator/>
      </w:r>
    </w:p>
  </w:endnote>
  <w:endnote w:type="continuationSeparator" w:id="0">
    <w:p w:rsidR="00A07AEB" w:rsidRDefault="00A07A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7AEB" w:rsidRDefault="00A07AEB">
      <w:r>
        <w:separator/>
      </w:r>
    </w:p>
  </w:footnote>
  <w:footnote w:type="continuationSeparator" w:id="0">
    <w:p w:rsidR="00A07AEB" w:rsidRDefault="00A07AEB">
      <w:r>
        <w:continuationSeparator/>
      </w:r>
    </w:p>
  </w:footnote>
  <w:footnote w:id="1">
    <w:p w:rsidR="00197527" w:rsidRPr="00197527" w:rsidRDefault="00197527" w:rsidP="00197527">
      <w:pPr>
        <w:pStyle w:val="FootnoteText"/>
        <w:rPr>
          <w:lang w:val="es-ES_tradnl"/>
        </w:rPr>
      </w:pPr>
      <w:r w:rsidRPr="00197527">
        <w:rPr>
          <w:rStyle w:val="FootnoteReference"/>
          <w:lang w:val="es-ES_tradnl"/>
        </w:rPr>
        <w:t>*</w:t>
      </w:r>
      <w:r w:rsidRPr="00197527">
        <w:rPr>
          <w:lang w:val="es-ES_tradnl"/>
        </w:rPr>
        <w:tab/>
        <w:t>La Comisión de Estudio 5 de Radiocomunicaciones introdujo modificaciones redaccionales a esta Recomendación en noviembre de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92" w:rsidRDefault="0004229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92" w:rsidRDefault="00044D65" w:rsidP="00CB1354">
    <w:pPr>
      <w:ind w:right="360" w:firstLine="360"/>
    </w:pPr>
    <w:r>
      <w:rPr>
        <w:noProof/>
        <w:lang w:val="en-US" w:eastAsia="zh-CN"/>
      </w:rPr>
      <w:drawing>
        <wp:anchor distT="0" distB="0" distL="114300" distR="114300" simplePos="0" relativeHeight="251657728" behindDoc="1" locked="0" layoutInCell="1" allowOverlap="1">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92" w:rsidRDefault="006870AA" w:rsidP="001B395D">
    <w:pPr>
      <w:pStyle w:val="Header"/>
      <w:jc w:val="left"/>
    </w:pPr>
    <w:r>
      <w:rPr>
        <w:rStyle w:val="PageNumber"/>
        <w:b/>
        <w:bCs/>
      </w:rPr>
      <w:fldChar w:fldCharType="begin"/>
    </w:r>
    <w:r w:rsidR="00042292">
      <w:rPr>
        <w:rStyle w:val="PageNumber"/>
        <w:b/>
        <w:bCs/>
      </w:rPr>
      <w:instrText xml:space="preserve"> PAGE </w:instrText>
    </w:r>
    <w:r>
      <w:rPr>
        <w:rStyle w:val="PageNumber"/>
        <w:b/>
        <w:bCs/>
      </w:rPr>
      <w:fldChar w:fldCharType="separate"/>
    </w:r>
    <w:r w:rsidR="00CE47B2">
      <w:rPr>
        <w:rStyle w:val="PageNumber"/>
        <w:b/>
        <w:bCs/>
        <w:noProof/>
      </w:rPr>
      <w:t>ii</w:t>
    </w:r>
    <w:r>
      <w:rPr>
        <w:rStyle w:val="PageNumber"/>
        <w:b/>
        <w:bCs/>
      </w:rPr>
      <w:fldChar w:fldCharType="end"/>
    </w:r>
    <w:r w:rsidR="00042292">
      <w:tab/>
    </w:r>
    <w:r w:rsidR="006F794F">
      <w:fldChar w:fldCharType="begin"/>
    </w:r>
    <w:r w:rsidR="006F794F">
      <w:instrText xml:space="preserve"> DOCPROPERTY "Header" \* MERGEFORMAT </w:instrText>
    </w:r>
    <w:r w:rsidR="006F794F">
      <w:fldChar w:fldCharType="separate"/>
    </w:r>
    <w:r w:rsidR="00CE47B2" w:rsidRPr="00CE47B2">
      <w:rPr>
        <w:b/>
        <w:bCs/>
      </w:rPr>
      <w:t xml:space="preserve">Rec. </w:t>
    </w:r>
    <w:r w:rsidR="006F794F">
      <w:rPr>
        <w:b/>
        <w:bCs/>
      </w:rPr>
      <w:fldChar w:fldCharType="end"/>
    </w:r>
    <w:r w:rsidR="00042292" w:rsidRPr="001B395D">
      <w:rPr>
        <w:b/>
        <w:bCs/>
      </w:rPr>
      <w:t xml:space="preserve"> </w:t>
    </w:r>
    <w:r w:rsidRPr="001B395D">
      <w:rPr>
        <w:b/>
        <w:bCs/>
      </w:rPr>
      <w:fldChar w:fldCharType="begin"/>
    </w:r>
    <w:r w:rsidR="00042292" w:rsidRPr="001B395D">
      <w:rPr>
        <w:b/>
        <w:bCs/>
      </w:rPr>
      <w:instrText>styleref href</w:instrText>
    </w:r>
    <w:r w:rsidRPr="001B395D">
      <w:rPr>
        <w:b/>
        <w:bCs/>
      </w:rPr>
      <w:fldChar w:fldCharType="separate"/>
    </w:r>
    <w:r w:rsidR="00CE47B2">
      <w:rPr>
        <w:b/>
        <w:bCs/>
        <w:noProof/>
      </w:rPr>
      <w:t>UIT-R  M.1579</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2292" w:rsidRDefault="00042292">
    <w:r>
      <w:tab/>
    </w:r>
    <w:r w:rsidR="006F794F">
      <w:fldChar w:fldCharType="begin"/>
    </w:r>
    <w:r w:rsidR="006F794F">
      <w:instrText xml:space="preserve"> DOCPROPERTY "Header" \* MERGEFORMAT </w:instrText>
    </w:r>
    <w:r w:rsidR="006F794F">
      <w:fldChar w:fldCharType="separate"/>
    </w:r>
    <w:r w:rsidR="00CE47B2" w:rsidRPr="00CE47B2">
      <w:rPr>
        <w:b/>
        <w:bCs/>
      </w:rPr>
      <w:t xml:space="preserve">Rec. </w:t>
    </w:r>
    <w:r w:rsidR="006F794F">
      <w:rPr>
        <w:b/>
        <w:bCs/>
      </w:rPr>
      <w:fldChar w:fldCharType="end"/>
    </w:r>
    <w:r>
      <w:rPr>
        <w:b/>
        <w:bCs/>
      </w:rPr>
      <w:t xml:space="preserve"> </w:t>
    </w:r>
    <w:r w:rsidR="006870AA">
      <w:rPr>
        <w:b/>
        <w:bCs/>
      </w:rPr>
      <w:fldChar w:fldCharType="begin"/>
    </w:r>
    <w:r>
      <w:rPr>
        <w:b/>
        <w:bCs/>
      </w:rPr>
      <w:instrText>styleref href</w:instrText>
    </w:r>
    <w:r w:rsidR="006870AA">
      <w:rPr>
        <w:b/>
        <w:bCs/>
      </w:rPr>
      <w:fldChar w:fldCharType="separate"/>
    </w:r>
    <w:r w:rsidR="00CE47B2">
      <w:rPr>
        <w:b/>
        <w:bCs/>
        <w:noProof/>
      </w:rPr>
      <w:t>UIT-R  M.1579</w:t>
    </w:r>
    <w:r w:rsidR="006870AA">
      <w:rPr>
        <w:b/>
        <w:bCs/>
      </w:rPr>
      <w:fldChar w:fldCharType="end"/>
    </w:r>
    <w:r>
      <w:tab/>
    </w:r>
    <w:r w:rsidR="006870AA">
      <w:rPr>
        <w:rStyle w:val="PageNumber"/>
        <w:b/>
        <w:bCs/>
      </w:rPr>
      <w:fldChar w:fldCharType="begin"/>
    </w:r>
    <w:r>
      <w:rPr>
        <w:rStyle w:val="PageNumber"/>
        <w:b/>
        <w:bCs/>
      </w:rPr>
      <w:instrText xml:space="preserve"> PAGE </w:instrText>
    </w:r>
    <w:r w:rsidR="006870AA">
      <w:rPr>
        <w:rStyle w:val="PageNumber"/>
        <w:b/>
        <w:bCs/>
      </w:rPr>
      <w:fldChar w:fldCharType="separate"/>
    </w:r>
    <w:r>
      <w:rPr>
        <w:rStyle w:val="PageNumber"/>
        <w:b/>
        <w:bCs/>
        <w:noProof/>
      </w:rPr>
      <w:t>3</w:t>
    </w:r>
    <w:r w:rsidR="006870AA">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7B2" w:rsidRDefault="00CE47B2" w:rsidP="001B395D">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tab/>
    </w:r>
    <w:fldSimple w:instr=" DOCPROPERTY &quot;Header&quot; \* MERGEFORMAT ">
      <w:r w:rsidRPr="00CE47B2">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Pr>
        <w:b/>
        <w:bCs/>
        <w:noProof/>
      </w:rPr>
      <w:t>UIT-R  M.1579</w:t>
    </w:r>
    <w:r w:rsidRPr="001B395D">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Pr="001B395D" w:rsidRDefault="00607D68" w:rsidP="001B395D">
    <w:pPr>
      <w:pStyle w:val="Header"/>
      <w:rPr>
        <w:b/>
        <w:bCs/>
      </w:rPr>
    </w:pPr>
    <w:r>
      <w:tab/>
    </w:r>
    <w:r w:rsidR="006F794F">
      <w:fldChar w:fldCharType="begin"/>
    </w:r>
    <w:r w:rsidR="006F794F">
      <w:instrText xml:space="preserve"> DOCPROPERTY "Header" \* MERGEFORMAT </w:instrText>
    </w:r>
    <w:r w:rsidR="006F794F">
      <w:fldChar w:fldCharType="separate"/>
    </w:r>
    <w:r w:rsidR="00CE47B2" w:rsidRPr="00CE47B2">
      <w:rPr>
        <w:b/>
        <w:bCs/>
      </w:rPr>
      <w:t xml:space="preserve">Rec. </w:t>
    </w:r>
    <w:r w:rsidR="006F794F">
      <w:rPr>
        <w:b/>
        <w:bCs/>
      </w:rPr>
      <w:fldChar w:fldCharType="end"/>
    </w:r>
    <w:r w:rsidRPr="001B395D">
      <w:rPr>
        <w:b/>
        <w:bCs/>
      </w:rPr>
      <w:t xml:space="preserve"> </w:t>
    </w:r>
    <w:r w:rsidR="006870AA" w:rsidRPr="001B395D">
      <w:rPr>
        <w:b/>
        <w:bCs/>
      </w:rPr>
      <w:fldChar w:fldCharType="begin"/>
    </w:r>
    <w:r w:rsidRPr="001B395D">
      <w:rPr>
        <w:b/>
        <w:bCs/>
      </w:rPr>
      <w:instrText>styleref href</w:instrText>
    </w:r>
    <w:r w:rsidR="006870AA" w:rsidRPr="001B395D">
      <w:rPr>
        <w:b/>
        <w:bCs/>
      </w:rPr>
      <w:fldChar w:fldCharType="separate"/>
    </w:r>
    <w:r w:rsidR="00CE47B2">
      <w:rPr>
        <w:b/>
        <w:bCs/>
        <w:noProof/>
      </w:rPr>
      <w:t>UIT-R  M.1579</w:t>
    </w:r>
    <w:r w:rsidR="006870AA" w:rsidRPr="001B395D">
      <w:rPr>
        <w:b/>
        <w:bCs/>
      </w:rPr>
      <w:fldChar w:fldCharType="end"/>
    </w:r>
    <w:r w:rsidRPr="001B395D">
      <w:rPr>
        <w:b/>
        <w:bCs/>
      </w:rPr>
      <w:tab/>
    </w:r>
    <w:r w:rsidR="006870AA" w:rsidRPr="001B395D">
      <w:rPr>
        <w:rStyle w:val="PageNumber"/>
        <w:b/>
        <w:bCs/>
      </w:rPr>
      <w:fldChar w:fldCharType="begin"/>
    </w:r>
    <w:r w:rsidRPr="001B395D">
      <w:rPr>
        <w:rStyle w:val="PageNumber"/>
        <w:b/>
        <w:bCs/>
      </w:rPr>
      <w:instrText xml:space="preserve"> PAGE </w:instrText>
    </w:r>
    <w:r w:rsidR="006870AA" w:rsidRPr="001B395D">
      <w:rPr>
        <w:rStyle w:val="PageNumber"/>
        <w:b/>
        <w:bCs/>
      </w:rPr>
      <w:fldChar w:fldCharType="separate"/>
    </w:r>
    <w:r w:rsidR="00CE47B2">
      <w:rPr>
        <w:rStyle w:val="PageNumber"/>
        <w:b/>
        <w:bCs/>
        <w:noProof/>
      </w:rPr>
      <w:t>1</w:t>
    </w:r>
    <w:r w:rsidR="006870AA" w:rsidRPr="001B395D">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2292"/>
    <w:rsid w:val="00042292"/>
    <w:rsid w:val="00044D65"/>
    <w:rsid w:val="00197527"/>
    <w:rsid w:val="001B26B3"/>
    <w:rsid w:val="001B395D"/>
    <w:rsid w:val="002D76C4"/>
    <w:rsid w:val="00410F5B"/>
    <w:rsid w:val="00607D68"/>
    <w:rsid w:val="006870AA"/>
    <w:rsid w:val="006F794F"/>
    <w:rsid w:val="0076082A"/>
    <w:rsid w:val="00A07AEB"/>
    <w:rsid w:val="00A6617B"/>
    <w:rsid w:val="00AB0DC8"/>
    <w:rsid w:val="00B44E24"/>
    <w:rsid w:val="00C36A75"/>
    <w:rsid w:val="00CB1354"/>
    <w:rsid w:val="00CE47B2"/>
    <w:rsid w:val="00DF4176"/>
    <w:rsid w:val="00E704B6"/>
    <w:rsid w:val="00EE743D"/>
    <w:rsid w:val="00F30434"/>
    <w:rsid w:val="00FD7CE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D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4D65"/>
    <w:pPr>
      <w:keepNext/>
      <w:keepLines/>
      <w:spacing w:before="480"/>
      <w:ind w:left="794" w:hanging="794"/>
      <w:outlineLvl w:val="0"/>
    </w:pPr>
    <w:rPr>
      <w:b/>
    </w:rPr>
  </w:style>
  <w:style w:type="paragraph" w:styleId="Heading2">
    <w:name w:val="heading 2"/>
    <w:basedOn w:val="Heading1"/>
    <w:next w:val="Normal"/>
    <w:qFormat/>
    <w:rsid w:val="00044D65"/>
    <w:pPr>
      <w:spacing w:before="320"/>
      <w:outlineLvl w:val="1"/>
    </w:pPr>
  </w:style>
  <w:style w:type="paragraph" w:styleId="Heading3">
    <w:name w:val="heading 3"/>
    <w:basedOn w:val="Heading1"/>
    <w:next w:val="Normal"/>
    <w:qFormat/>
    <w:rsid w:val="00044D65"/>
    <w:pPr>
      <w:spacing w:before="200"/>
      <w:outlineLvl w:val="2"/>
    </w:pPr>
  </w:style>
  <w:style w:type="paragraph" w:styleId="Heading4">
    <w:name w:val="heading 4"/>
    <w:basedOn w:val="Heading3"/>
    <w:next w:val="Normal"/>
    <w:qFormat/>
    <w:rsid w:val="00044D65"/>
    <w:pPr>
      <w:tabs>
        <w:tab w:val="clear" w:pos="794"/>
        <w:tab w:val="left" w:pos="992"/>
      </w:tabs>
      <w:ind w:left="992" w:hanging="992"/>
      <w:outlineLvl w:val="3"/>
    </w:pPr>
  </w:style>
  <w:style w:type="paragraph" w:styleId="Heading5">
    <w:name w:val="heading 5"/>
    <w:basedOn w:val="Heading4"/>
    <w:next w:val="Normal"/>
    <w:qFormat/>
    <w:rsid w:val="00044D65"/>
    <w:pPr>
      <w:outlineLvl w:val="4"/>
    </w:pPr>
  </w:style>
  <w:style w:type="paragraph" w:styleId="Heading6">
    <w:name w:val="heading 6"/>
    <w:basedOn w:val="Heading4"/>
    <w:next w:val="Normal"/>
    <w:qFormat/>
    <w:rsid w:val="00044D65"/>
    <w:pPr>
      <w:tabs>
        <w:tab w:val="clear" w:pos="992"/>
        <w:tab w:val="clear" w:pos="1191"/>
      </w:tabs>
      <w:ind w:left="1588" w:hanging="1588"/>
      <w:outlineLvl w:val="5"/>
    </w:pPr>
  </w:style>
  <w:style w:type="paragraph" w:styleId="Heading7">
    <w:name w:val="heading 7"/>
    <w:basedOn w:val="Heading6"/>
    <w:next w:val="Normal"/>
    <w:qFormat/>
    <w:rsid w:val="00044D65"/>
    <w:pPr>
      <w:outlineLvl w:val="6"/>
    </w:pPr>
  </w:style>
  <w:style w:type="paragraph" w:styleId="Heading8">
    <w:name w:val="heading 8"/>
    <w:basedOn w:val="Heading6"/>
    <w:next w:val="Normal"/>
    <w:qFormat/>
    <w:rsid w:val="00044D65"/>
    <w:pPr>
      <w:outlineLvl w:val="7"/>
    </w:pPr>
  </w:style>
  <w:style w:type="paragraph" w:styleId="Heading9">
    <w:name w:val="heading 9"/>
    <w:basedOn w:val="Heading6"/>
    <w:next w:val="Normal"/>
    <w:qFormat/>
    <w:rsid w:val="00044D6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4D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4D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4D65"/>
  </w:style>
  <w:style w:type="paragraph" w:customStyle="1" w:styleId="Headingb">
    <w:name w:val="Heading_b"/>
    <w:basedOn w:val="Heading3"/>
    <w:next w:val="Normal"/>
    <w:rsid w:val="00044D65"/>
    <w:pPr>
      <w:spacing w:before="160"/>
      <w:ind w:left="0" w:firstLine="0"/>
      <w:outlineLvl w:val="9"/>
    </w:pPr>
  </w:style>
  <w:style w:type="paragraph" w:customStyle="1" w:styleId="Headingi">
    <w:name w:val="Heading_i"/>
    <w:basedOn w:val="Heading3"/>
    <w:next w:val="Normal"/>
    <w:rsid w:val="00044D65"/>
    <w:pPr>
      <w:spacing w:before="160"/>
      <w:ind w:left="0" w:firstLine="0"/>
    </w:pPr>
    <w:rPr>
      <w:b w:val="0"/>
      <w:i/>
    </w:rPr>
  </w:style>
  <w:style w:type="character" w:customStyle="1" w:styleId="href">
    <w:name w:val="href"/>
    <w:basedOn w:val="DefaultParagraphFont"/>
    <w:rsid w:val="00044D65"/>
  </w:style>
  <w:style w:type="paragraph" w:customStyle="1" w:styleId="enumlev1">
    <w:name w:val="enumlev1"/>
    <w:basedOn w:val="Normal"/>
    <w:rsid w:val="00044D65"/>
    <w:pPr>
      <w:spacing w:before="80"/>
      <w:ind w:left="794" w:hanging="794"/>
    </w:pPr>
  </w:style>
  <w:style w:type="paragraph" w:customStyle="1" w:styleId="enumlev2">
    <w:name w:val="enumlev2"/>
    <w:basedOn w:val="enumlev1"/>
    <w:rsid w:val="00044D65"/>
    <w:pPr>
      <w:ind w:left="1191" w:hanging="397"/>
    </w:pPr>
  </w:style>
  <w:style w:type="paragraph" w:customStyle="1" w:styleId="enumlev3">
    <w:name w:val="enumlev3"/>
    <w:basedOn w:val="enumlev2"/>
    <w:rsid w:val="00044D65"/>
    <w:pPr>
      <w:ind w:left="1588"/>
    </w:pPr>
  </w:style>
  <w:style w:type="paragraph" w:customStyle="1" w:styleId="Normalaftertitle">
    <w:name w:val="Normal_after_title"/>
    <w:basedOn w:val="Normal"/>
    <w:next w:val="Normal"/>
    <w:rsid w:val="00044D65"/>
    <w:pPr>
      <w:spacing w:before="320"/>
    </w:pPr>
  </w:style>
  <w:style w:type="paragraph" w:customStyle="1" w:styleId="Note">
    <w:name w:val="Note"/>
    <w:basedOn w:val="Normal"/>
    <w:rsid w:val="00044D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4D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4D65"/>
    <w:pPr>
      <w:spacing w:before="240"/>
    </w:pPr>
    <w:rPr>
      <w:sz w:val="22"/>
      <w:lang w:val="es-ES_tradnl"/>
    </w:rPr>
  </w:style>
  <w:style w:type="paragraph" w:customStyle="1" w:styleId="Recref">
    <w:name w:val="Rec_ref"/>
    <w:basedOn w:val="Normal"/>
    <w:next w:val="Recdate"/>
    <w:rsid w:val="00044D65"/>
    <w:pPr>
      <w:jc w:val="center"/>
    </w:pPr>
  </w:style>
  <w:style w:type="paragraph" w:customStyle="1" w:styleId="Recdate">
    <w:name w:val="Rec_date"/>
    <w:basedOn w:val="Recref"/>
    <w:next w:val="Normalaftertitle"/>
    <w:rsid w:val="00044D65"/>
    <w:pPr>
      <w:jc w:val="right"/>
    </w:pPr>
  </w:style>
  <w:style w:type="paragraph" w:customStyle="1" w:styleId="AnnexNoTitle">
    <w:name w:val="Annex_NoTitle"/>
    <w:basedOn w:val="Normal"/>
    <w:next w:val="Normalaftertitle"/>
    <w:rsid w:val="00044D65"/>
    <w:pPr>
      <w:keepNext/>
      <w:keepLines/>
      <w:spacing w:before="480" w:after="80"/>
      <w:jc w:val="center"/>
    </w:pPr>
    <w:rPr>
      <w:b/>
      <w:sz w:val="28"/>
    </w:rPr>
  </w:style>
  <w:style w:type="paragraph" w:customStyle="1" w:styleId="AppendixNoTitle">
    <w:name w:val="Appendix_NoTitle"/>
    <w:basedOn w:val="AnnexNoTitle"/>
    <w:next w:val="Normal"/>
    <w:rsid w:val="00044D65"/>
  </w:style>
  <w:style w:type="paragraph" w:customStyle="1" w:styleId="Tablefin">
    <w:name w:val="Table_fin"/>
    <w:basedOn w:val="Normal"/>
    <w:next w:val="Normal"/>
    <w:rsid w:val="00044D65"/>
    <w:pPr>
      <w:spacing w:before="0"/>
    </w:pPr>
    <w:rPr>
      <w:sz w:val="20"/>
      <w:lang w:val="en-GB"/>
    </w:rPr>
  </w:style>
  <w:style w:type="paragraph" w:customStyle="1" w:styleId="Tablehead">
    <w:name w:val="Table_head"/>
    <w:basedOn w:val="Normal"/>
    <w:next w:val="Normal"/>
    <w:rsid w:val="00044D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4D65"/>
    <w:pPr>
      <w:keepNext/>
      <w:spacing w:before="360" w:after="120"/>
      <w:jc w:val="center"/>
    </w:pPr>
  </w:style>
  <w:style w:type="paragraph" w:customStyle="1" w:styleId="Tabletext">
    <w:name w:val="Table_text"/>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4D65"/>
    <w:pPr>
      <w:tabs>
        <w:tab w:val="clear" w:pos="1191"/>
        <w:tab w:val="clear" w:pos="1588"/>
        <w:tab w:val="clear" w:pos="1985"/>
        <w:tab w:val="center" w:pos="4820"/>
        <w:tab w:val="right" w:pos="9639"/>
      </w:tabs>
    </w:pPr>
  </w:style>
  <w:style w:type="paragraph" w:customStyle="1" w:styleId="Equationlegend">
    <w:name w:val="Equation_legend"/>
    <w:basedOn w:val="NormalIndent"/>
    <w:rsid w:val="00044D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4D65"/>
    <w:pPr>
      <w:ind w:left="794"/>
    </w:pPr>
  </w:style>
  <w:style w:type="paragraph" w:customStyle="1" w:styleId="Figurelegend">
    <w:name w:val="Figure_legend"/>
    <w:basedOn w:val="Normal"/>
    <w:rsid w:val="00044D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4D65"/>
    <w:pPr>
      <w:keepNext/>
      <w:keepLines/>
      <w:spacing w:before="480" w:after="80"/>
      <w:jc w:val="center"/>
    </w:pPr>
    <w:rPr>
      <w:caps/>
      <w:sz w:val="18"/>
    </w:rPr>
  </w:style>
  <w:style w:type="paragraph" w:customStyle="1" w:styleId="tocpart">
    <w:name w:val="tocpart"/>
    <w:basedOn w:val="Normal"/>
    <w:rsid w:val="00044D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4D65"/>
    <w:pPr>
      <w:keepNext/>
      <w:keepLines/>
      <w:spacing w:before="480"/>
      <w:jc w:val="center"/>
    </w:pPr>
    <w:rPr>
      <w:sz w:val="28"/>
    </w:rPr>
  </w:style>
  <w:style w:type="paragraph" w:customStyle="1" w:styleId="Arttitle">
    <w:name w:val="Art_title"/>
    <w:basedOn w:val="Normal"/>
    <w:next w:val="Normalaftertitle"/>
    <w:rsid w:val="00044D65"/>
    <w:pPr>
      <w:keepNext/>
      <w:keepLines/>
      <w:spacing w:before="240"/>
      <w:jc w:val="center"/>
    </w:pPr>
    <w:rPr>
      <w:b/>
      <w:sz w:val="28"/>
    </w:rPr>
  </w:style>
  <w:style w:type="paragraph" w:customStyle="1" w:styleId="Blanc">
    <w:name w:val="Blanc"/>
    <w:basedOn w:val="Normal"/>
    <w:next w:val="Tabletext"/>
    <w:rsid w:val="00044D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4D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4D65"/>
    <w:pPr>
      <w:keepNext/>
      <w:keepLines/>
      <w:spacing w:before="160"/>
      <w:ind w:left="794"/>
    </w:pPr>
    <w:rPr>
      <w:i/>
    </w:rPr>
  </w:style>
  <w:style w:type="paragraph" w:customStyle="1" w:styleId="ChapNo">
    <w:name w:val="Chap_No"/>
    <w:basedOn w:val="ArtNo"/>
    <w:next w:val="Chaptitle"/>
    <w:rsid w:val="00044D65"/>
    <w:rPr>
      <w:b/>
    </w:rPr>
  </w:style>
  <w:style w:type="paragraph" w:customStyle="1" w:styleId="Chaptitle">
    <w:name w:val="Chap_title"/>
    <w:basedOn w:val="Arttitle"/>
    <w:next w:val="Normalaftertitle"/>
    <w:rsid w:val="00044D65"/>
  </w:style>
  <w:style w:type="character" w:styleId="FootnoteReference">
    <w:name w:val="footnote reference"/>
    <w:basedOn w:val="DefaultParagraphFont"/>
    <w:semiHidden/>
    <w:rsid w:val="00044D65"/>
    <w:rPr>
      <w:position w:val="6"/>
      <w:sz w:val="18"/>
    </w:rPr>
  </w:style>
  <w:style w:type="paragraph" w:styleId="FootnoteText">
    <w:name w:val="footnote text"/>
    <w:basedOn w:val="Normal"/>
    <w:semiHidden/>
    <w:rsid w:val="00044D65"/>
    <w:pPr>
      <w:keepLines/>
      <w:tabs>
        <w:tab w:val="left" w:pos="255"/>
      </w:tabs>
      <w:ind w:left="255" w:hanging="255"/>
    </w:pPr>
    <w:rPr>
      <w:sz w:val="22"/>
    </w:rPr>
  </w:style>
  <w:style w:type="paragraph" w:styleId="Index1">
    <w:name w:val="index 1"/>
    <w:basedOn w:val="Normal"/>
    <w:next w:val="Normal"/>
    <w:semiHidden/>
    <w:rsid w:val="00044D65"/>
  </w:style>
  <w:style w:type="paragraph" w:styleId="Index2">
    <w:name w:val="index 2"/>
    <w:basedOn w:val="Normal"/>
    <w:next w:val="Normal"/>
    <w:semiHidden/>
    <w:rsid w:val="00044D65"/>
    <w:pPr>
      <w:ind w:left="283"/>
    </w:pPr>
  </w:style>
  <w:style w:type="paragraph" w:styleId="Index3">
    <w:name w:val="index 3"/>
    <w:basedOn w:val="Normal"/>
    <w:next w:val="Normal"/>
    <w:semiHidden/>
    <w:rsid w:val="00044D65"/>
    <w:pPr>
      <w:ind w:left="566"/>
    </w:pPr>
  </w:style>
  <w:style w:type="paragraph" w:styleId="IndexHeading">
    <w:name w:val="index heading"/>
    <w:basedOn w:val="Normal"/>
    <w:next w:val="Index1"/>
    <w:semiHidden/>
    <w:rsid w:val="00044D65"/>
  </w:style>
  <w:style w:type="paragraph" w:customStyle="1" w:styleId="Line">
    <w:name w:val="Line"/>
    <w:basedOn w:val="Normal"/>
    <w:next w:val="Normal"/>
    <w:rsid w:val="00044D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4D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4D65"/>
  </w:style>
  <w:style w:type="paragraph" w:customStyle="1" w:styleId="Partref">
    <w:name w:val="Part_ref"/>
    <w:basedOn w:val="Normal"/>
    <w:next w:val="Normal"/>
    <w:rsid w:val="00044D65"/>
    <w:pPr>
      <w:keepNext/>
      <w:keepLines/>
      <w:spacing w:after="280"/>
      <w:jc w:val="center"/>
    </w:pPr>
  </w:style>
  <w:style w:type="paragraph" w:customStyle="1" w:styleId="Parttitle">
    <w:name w:val="Part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4D65"/>
  </w:style>
  <w:style w:type="paragraph" w:customStyle="1" w:styleId="QuestionNo">
    <w:name w:val="Question_No"/>
    <w:basedOn w:val="RecNo"/>
    <w:next w:val="Normal"/>
    <w:rsid w:val="00044D65"/>
  </w:style>
  <w:style w:type="paragraph" w:customStyle="1" w:styleId="Questionref">
    <w:name w:val="Question_ref"/>
    <w:basedOn w:val="Recref"/>
    <w:next w:val="Questiondate"/>
    <w:rsid w:val="00044D65"/>
  </w:style>
  <w:style w:type="paragraph" w:customStyle="1" w:styleId="Questiontitle">
    <w:name w:val="Question_title"/>
    <w:basedOn w:val="Normal"/>
    <w:next w:val="Questionref"/>
    <w:rsid w:val="00044D65"/>
  </w:style>
  <w:style w:type="paragraph" w:customStyle="1" w:styleId="Reftext">
    <w:name w:val="Ref_text"/>
    <w:basedOn w:val="Normal"/>
    <w:rsid w:val="00044D65"/>
    <w:pPr>
      <w:ind w:left="794" w:hanging="794"/>
    </w:pPr>
    <w:rPr>
      <w:sz w:val="22"/>
    </w:rPr>
  </w:style>
  <w:style w:type="paragraph" w:customStyle="1" w:styleId="Reftitle">
    <w:name w:val="Ref_title"/>
    <w:basedOn w:val="Normal"/>
    <w:next w:val="Reftext"/>
    <w:rsid w:val="00044D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4D65"/>
  </w:style>
  <w:style w:type="paragraph" w:customStyle="1" w:styleId="RepNo">
    <w:name w:val="Rep_No"/>
    <w:basedOn w:val="RecNo"/>
    <w:next w:val="Reptitle"/>
    <w:rsid w:val="00044D65"/>
  </w:style>
  <w:style w:type="paragraph" w:customStyle="1" w:styleId="Repref">
    <w:name w:val="Rep_ref"/>
    <w:basedOn w:val="Recref"/>
    <w:next w:val="Repdate"/>
    <w:rsid w:val="00044D65"/>
  </w:style>
  <w:style w:type="paragraph" w:customStyle="1" w:styleId="Reptitle">
    <w:name w:val="Rep_title"/>
    <w:basedOn w:val="Rectitle"/>
    <w:next w:val="Repref"/>
    <w:rsid w:val="00044D65"/>
  </w:style>
  <w:style w:type="paragraph" w:customStyle="1" w:styleId="Resdate">
    <w:name w:val="Res_date"/>
    <w:basedOn w:val="Recdate"/>
    <w:next w:val="Normalaftertitle"/>
    <w:rsid w:val="00044D65"/>
  </w:style>
  <w:style w:type="paragraph" w:customStyle="1" w:styleId="ResNo">
    <w:name w:val="Res_No"/>
    <w:basedOn w:val="RecNo"/>
    <w:next w:val="Restitle"/>
    <w:rsid w:val="00044D65"/>
  </w:style>
  <w:style w:type="paragraph" w:customStyle="1" w:styleId="Resref">
    <w:name w:val="Res_ref"/>
    <w:basedOn w:val="Recref"/>
    <w:next w:val="Resdate"/>
    <w:rsid w:val="00044D65"/>
  </w:style>
  <w:style w:type="paragraph" w:customStyle="1" w:styleId="Restitle">
    <w:name w:val="Res_title"/>
    <w:basedOn w:val="Normal"/>
    <w:next w:val="Resref"/>
    <w:rsid w:val="00044D65"/>
    <w:pPr>
      <w:spacing w:before="240"/>
      <w:jc w:val="center"/>
    </w:pPr>
    <w:rPr>
      <w:b/>
      <w:sz w:val="28"/>
    </w:rPr>
  </w:style>
  <w:style w:type="paragraph" w:customStyle="1" w:styleId="SectionNo">
    <w:name w:val="Section_No"/>
    <w:basedOn w:val="Normal"/>
    <w:next w:val="Normal"/>
    <w:rsid w:val="00044D65"/>
  </w:style>
  <w:style w:type="paragraph" w:customStyle="1" w:styleId="Sectiontitle">
    <w:name w:val="Section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4D65"/>
    <w:pPr>
      <w:tabs>
        <w:tab w:val="clear" w:pos="794"/>
        <w:tab w:val="clear" w:pos="1191"/>
        <w:tab w:val="clear" w:pos="1588"/>
        <w:tab w:val="clear" w:pos="1985"/>
        <w:tab w:val="right" w:pos="9611"/>
      </w:tabs>
    </w:pPr>
    <w:rPr>
      <w:i/>
    </w:rPr>
  </w:style>
  <w:style w:type="paragraph" w:styleId="TOC1">
    <w:name w:val="toc 1"/>
    <w:basedOn w:val="Normal"/>
    <w:semiHidden/>
    <w:rsid w:val="00044D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4D65"/>
    <w:pPr>
      <w:tabs>
        <w:tab w:val="clear" w:pos="567"/>
        <w:tab w:val="left" w:pos="1276"/>
      </w:tabs>
      <w:spacing w:before="160"/>
      <w:ind w:left="1276" w:hanging="709"/>
    </w:pPr>
  </w:style>
  <w:style w:type="paragraph" w:styleId="TOC3">
    <w:name w:val="toc 3"/>
    <w:basedOn w:val="TOC2"/>
    <w:semiHidden/>
    <w:rsid w:val="00044D65"/>
    <w:pPr>
      <w:tabs>
        <w:tab w:val="clear" w:pos="1276"/>
        <w:tab w:val="left" w:pos="2155"/>
      </w:tabs>
      <w:ind w:left="2155" w:hanging="879"/>
    </w:pPr>
  </w:style>
  <w:style w:type="paragraph" w:styleId="TOC4">
    <w:name w:val="toc 4"/>
    <w:basedOn w:val="TOC3"/>
    <w:semiHidden/>
    <w:rsid w:val="00044D65"/>
    <w:pPr>
      <w:tabs>
        <w:tab w:val="left" w:pos="3261"/>
      </w:tabs>
      <w:spacing w:before="80"/>
      <w:ind w:left="3261" w:hanging="993"/>
    </w:pPr>
  </w:style>
  <w:style w:type="paragraph" w:styleId="TOC5">
    <w:name w:val="toc 5"/>
    <w:basedOn w:val="TOC4"/>
    <w:semiHidden/>
    <w:rsid w:val="00044D65"/>
  </w:style>
  <w:style w:type="paragraph" w:styleId="TOC6">
    <w:name w:val="toc 6"/>
    <w:basedOn w:val="TOC4"/>
    <w:semiHidden/>
    <w:rsid w:val="00044D65"/>
  </w:style>
  <w:style w:type="paragraph" w:styleId="TOC7">
    <w:name w:val="toc 7"/>
    <w:basedOn w:val="TOC4"/>
    <w:semiHidden/>
    <w:rsid w:val="00044D65"/>
  </w:style>
  <w:style w:type="paragraph" w:styleId="TOC8">
    <w:name w:val="toc 8"/>
    <w:basedOn w:val="TOC4"/>
    <w:semiHidden/>
    <w:rsid w:val="00044D65"/>
  </w:style>
  <w:style w:type="paragraph" w:customStyle="1" w:styleId="Rectitle">
    <w:name w:val="Rec_title"/>
    <w:basedOn w:val="Normal"/>
    <w:next w:val="Recref"/>
    <w:rsid w:val="00044D65"/>
    <w:pPr>
      <w:keepNext/>
      <w:keepLines/>
      <w:spacing w:before="240"/>
      <w:jc w:val="center"/>
    </w:pPr>
    <w:rPr>
      <w:b/>
      <w:sz w:val="28"/>
    </w:rPr>
  </w:style>
  <w:style w:type="paragraph" w:customStyle="1" w:styleId="Annexref">
    <w:name w:val="Annex_ref"/>
    <w:basedOn w:val="Normal"/>
    <w:next w:val="Normalaftertitle"/>
    <w:rsid w:val="00044D65"/>
    <w:pPr>
      <w:keepNext/>
      <w:keepLines/>
      <w:spacing w:after="280"/>
      <w:jc w:val="center"/>
    </w:pPr>
  </w:style>
  <w:style w:type="paragraph" w:customStyle="1" w:styleId="Appendixref">
    <w:name w:val="Appendix_ref"/>
    <w:basedOn w:val="Annexref"/>
    <w:next w:val="Normalaftertitle"/>
    <w:rsid w:val="00044D65"/>
  </w:style>
  <w:style w:type="paragraph" w:customStyle="1" w:styleId="Figuretitle">
    <w:name w:val="Figure_title"/>
    <w:basedOn w:val="Normal"/>
    <w:next w:val="Figure"/>
    <w:rsid w:val="00044D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4D65"/>
    <w:pPr>
      <w:keepNext/>
      <w:spacing w:before="0" w:after="120"/>
      <w:jc w:val="center"/>
    </w:pPr>
    <w:rPr>
      <w:b/>
    </w:rPr>
  </w:style>
  <w:style w:type="paragraph" w:customStyle="1" w:styleId="Summary">
    <w:name w:val="Summary"/>
    <w:basedOn w:val="Normal"/>
    <w:next w:val="Normalaftertitle"/>
    <w:rsid w:val="00044D65"/>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044D65"/>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044D65"/>
    <w:pPr>
      <w:ind w:left="-85" w:firstLine="0"/>
    </w:pPr>
    <w:rPr>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44D65"/>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044D65"/>
    <w:pPr>
      <w:keepNext/>
      <w:keepLines/>
      <w:spacing w:before="480"/>
      <w:ind w:left="794" w:hanging="794"/>
      <w:outlineLvl w:val="0"/>
    </w:pPr>
    <w:rPr>
      <w:b/>
    </w:rPr>
  </w:style>
  <w:style w:type="paragraph" w:styleId="Heading2">
    <w:name w:val="heading 2"/>
    <w:basedOn w:val="Heading1"/>
    <w:next w:val="Normal"/>
    <w:qFormat/>
    <w:rsid w:val="00044D65"/>
    <w:pPr>
      <w:spacing w:before="320"/>
      <w:outlineLvl w:val="1"/>
    </w:pPr>
  </w:style>
  <w:style w:type="paragraph" w:styleId="Heading3">
    <w:name w:val="heading 3"/>
    <w:basedOn w:val="Heading1"/>
    <w:next w:val="Normal"/>
    <w:qFormat/>
    <w:rsid w:val="00044D65"/>
    <w:pPr>
      <w:spacing w:before="200"/>
      <w:outlineLvl w:val="2"/>
    </w:pPr>
  </w:style>
  <w:style w:type="paragraph" w:styleId="Heading4">
    <w:name w:val="heading 4"/>
    <w:basedOn w:val="Heading3"/>
    <w:next w:val="Normal"/>
    <w:qFormat/>
    <w:rsid w:val="00044D65"/>
    <w:pPr>
      <w:tabs>
        <w:tab w:val="clear" w:pos="794"/>
        <w:tab w:val="left" w:pos="992"/>
      </w:tabs>
      <w:ind w:left="992" w:hanging="992"/>
      <w:outlineLvl w:val="3"/>
    </w:pPr>
  </w:style>
  <w:style w:type="paragraph" w:styleId="Heading5">
    <w:name w:val="heading 5"/>
    <w:basedOn w:val="Heading4"/>
    <w:next w:val="Normal"/>
    <w:qFormat/>
    <w:rsid w:val="00044D65"/>
    <w:pPr>
      <w:outlineLvl w:val="4"/>
    </w:pPr>
  </w:style>
  <w:style w:type="paragraph" w:styleId="Heading6">
    <w:name w:val="heading 6"/>
    <w:basedOn w:val="Heading4"/>
    <w:next w:val="Normal"/>
    <w:qFormat/>
    <w:rsid w:val="00044D65"/>
    <w:pPr>
      <w:tabs>
        <w:tab w:val="clear" w:pos="992"/>
        <w:tab w:val="clear" w:pos="1191"/>
      </w:tabs>
      <w:ind w:left="1588" w:hanging="1588"/>
      <w:outlineLvl w:val="5"/>
    </w:pPr>
  </w:style>
  <w:style w:type="paragraph" w:styleId="Heading7">
    <w:name w:val="heading 7"/>
    <w:basedOn w:val="Heading6"/>
    <w:next w:val="Normal"/>
    <w:qFormat/>
    <w:rsid w:val="00044D65"/>
    <w:pPr>
      <w:outlineLvl w:val="6"/>
    </w:pPr>
  </w:style>
  <w:style w:type="paragraph" w:styleId="Heading8">
    <w:name w:val="heading 8"/>
    <w:basedOn w:val="Heading6"/>
    <w:next w:val="Normal"/>
    <w:qFormat/>
    <w:rsid w:val="00044D65"/>
    <w:pPr>
      <w:outlineLvl w:val="7"/>
    </w:pPr>
  </w:style>
  <w:style w:type="paragraph" w:styleId="Heading9">
    <w:name w:val="heading 9"/>
    <w:basedOn w:val="Heading6"/>
    <w:next w:val="Normal"/>
    <w:qFormat/>
    <w:rsid w:val="00044D65"/>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4D65"/>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044D65"/>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044D65"/>
  </w:style>
  <w:style w:type="paragraph" w:customStyle="1" w:styleId="Headingb">
    <w:name w:val="Heading_b"/>
    <w:basedOn w:val="Heading3"/>
    <w:next w:val="Normal"/>
    <w:rsid w:val="00044D65"/>
    <w:pPr>
      <w:spacing w:before="160"/>
      <w:ind w:left="0" w:firstLine="0"/>
      <w:outlineLvl w:val="9"/>
    </w:pPr>
  </w:style>
  <w:style w:type="paragraph" w:customStyle="1" w:styleId="Headingi">
    <w:name w:val="Heading_i"/>
    <w:basedOn w:val="Heading3"/>
    <w:next w:val="Normal"/>
    <w:rsid w:val="00044D65"/>
    <w:pPr>
      <w:spacing w:before="160"/>
      <w:ind w:left="0" w:firstLine="0"/>
    </w:pPr>
    <w:rPr>
      <w:b w:val="0"/>
      <w:i/>
    </w:rPr>
  </w:style>
  <w:style w:type="character" w:customStyle="1" w:styleId="href">
    <w:name w:val="href"/>
    <w:basedOn w:val="DefaultParagraphFont"/>
    <w:rsid w:val="00044D65"/>
  </w:style>
  <w:style w:type="paragraph" w:customStyle="1" w:styleId="enumlev1">
    <w:name w:val="enumlev1"/>
    <w:basedOn w:val="Normal"/>
    <w:rsid w:val="00044D65"/>
    <w:pPr>
      <w:spacing w:before="80"/>
      <w:ind w:left="794" w:hanging="794"/>
    </w:pPr>
  </w:style>
  <w:style w:type="paragraph" w:customStyle="1" w:styleId="enumlev2">
    <w:name w:val="enumlev2"/>
    <w:basedOn w:val="enumlev1"/>
    <w:rsid w:val="00044D65"/>
    <w:pPr>
      <w:ind w:left="1191" w:hanging="397"/>
    </w:pPr>
  </w:style>
  <w:style w:type="paragraph" w:customStyle="1" w:styleId="enumlev3">
    <w:name w:val="enumlev3"/>
    <w:basedOn w:val="enumlev2"/>
    <w:rsid w:val="00044D65"/>
    <w:pPr>
      <w:ind w:left="1588"/>
    </w:pPr>
  </w:style>
  <w:style w:type="paragraph" w:customStyle="1" w:styleId="Normalaftertitle">
    <w:name w:val="Normal_after_title"/>
    <w:basedOn w:val="Normal"/>
    <w:next w:val="Normal"/>
    <w:rsid w:val="00044D65"/>
    <w:pPr>
      <w:spacing w:before="320"/>
    </w:pPr>
  </w:style>
  <w:style w:type="paragraph" w:customStyle="1" w:styleId="Note">
    <w:name w:val="Note"/>
    <w:basedOn w:val="Normal"/>
    <w:rsid w:val="00044D65"/>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044D65"/>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rsid w:val="00044D65"/>
    <w:pPr>
      <w:spacing w:before="240"/>
    </w:pPr>
    <w:rPr>
      <w:sz w:val="22"/>
      <w:lang w:val="es-ES_tradnl"/>
    </w:rPr>
  </w:style>
  <w:style w:type="paragraph" w:customStyle="1" w:styleId="Recref">
    <w:name w:val="Rec_ref"/>
    <w:basedOn w:val="Normal"/>
    <w:next w:val="Recdate"/>
    <w:rsid w:val="00044D65"/>
    <w:pPr>
      <w:jc w:val="center"/>
    </w:pPr>
  </w:style>
  <w:style w:type="paragraph" w:customStyle="1" w:styleId="Recdate">
    <w:name w:val="Rec_date"/>
    <w:basedOn w:val="Recref"/>
    <w:next w:val="Normalaftertitle"/>
    <w:rsid w:val="00044D65"/>
    <w:pPr>
      <w:jc w:val="right"/>
    </w:pPr>
  </w:style>
  <w:style w:type="paragraph" w:customStyle="1" w:styleId="AnnexNoTitle">
    <w:name w:val="Annex_NoTitle"/>
    <w:basedOn w:val="Normal"/>
    <w:next w:val="Normalaftertitle"/>
    <w:rsid w:val="00044D65"/>
    <w:pPr>
      <w:keepNext/>
      <w:keepLines/>
      <w:spacing w:before="480" w:after="80"/>
      <w:jc w:val="center"/>
    </w:pPr>
    <w:rPr>
      <w:b/>
      <w:sz w:val="28"/>
    </w:rPr>
  </w:style>
  <w:style w:type="paragraph" w:customStyle="1" w:styleId="AppendixNoTitle">
    <w:name w:val="Appendix_NoTitle"/>
    <w:basedOn w:val="AnnexNoTitle"/>
    <w:next w:val="Normal"/>
    <w:rsid w:val="00044D65"/>
  </w:style>
  <w:style w:type="paragraph" w:customStyle="1" w:styleId="Tablefin">
    <w:name w:val="Table_fin"/>
    <w:basedOn w:val="Normal"/>
    <w:next w:val="Normal"/>
    <w:rsid w:val="00044D65"/>
    <w:pPr>
      <w:spacing w:before="0"/>
    </w:pPr>
    <w:rPr>
      <w:sz w:val="20"/>
      <w:lang w:val="en-GB"/>
    </w:rPr>
  </w:style>
  <w:style w:type="paragraph" w:customStyle="1" w:styleId="Tablehead">
    <w:name w:val="Table_head"/>
    <w:basedOn w:val="Normal"/>
    <w:next w:val="Normal"/>
    <w:rsid w:val="00044D65"/>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044D65"/>
    <w:pPr>
      <w:keepNext/>
      <w:spacing w:before="360" w:after="120"/>
      <w:jc w:val="center"/>
    </w:pPr>
  </w:style>
  <w:style w:type="paragraph" w:customStyle="1" w:styleId="Tabletext">
    <w:name w:val="Table_text"/>
    <w:basedOn w:val="Normal"/>
    <w:rsid w:val="00044D65"/>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044D65"/>
    <w:pPr>
      <w:tabs>
        <w:tab w:val="clear" w:pos="1191"/>
        <w:tab w:val="clear" w:pos="1588"/>
        <w:tab w:val="clear" w:pos="1985"/>
        <w:tab w:val="center" w:pos="4820"/>
        <w:tab w:val="right" w:pos="9639"/>
      </w:tabs>
    </w:pPr>
  </w:style>
  <w:style w:type="paragraph" w:customStyle="1" w:styleId="Equationlegend">
    <w:name w:val="Equation_legend"/>
    <w:basedOn w:val="NormalIndent"/>
    <w:rsid w:val="00044D65"/>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044D65"/>
    <w:pPr>
      <w:ind w:left="794"/>
    </w:pPr>
  </w:style>
  <w:style w:type="paragraph" w:customStyle="1" w:styleId="Figurelegend">
    <w:name w:val="Figure_legend"/>
    <w:basedOn w:val="Normal"/>
    <w:rsid w:val="00044D65"/>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044D65"/>
    <w:pPr>
      <w:keepNext/>
      <w:keepLines/>
      <w:spacing w:before="480" w:after="80"/>
      <w:jc w:val="center"/>
    </w:pPr>
    <w:rPr>
      <w:caps/>
      <w:sz w:val="18"/>
    </w:rPr>
  </w:style>
  <w:style w:type="paragraph" w:customStyle="1" w:styleId="tocpart">
    <w:name w:val="tocpart"/>
    <w:basedOn w:val="Normal"/>
    <w:rsid w:val="00044D65"/>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044D65"/>
    <w:pPr>
      <w:keepNext/>
      <w:keepLines/>
      <w:spacing w:before="480"/>
      <w:jc w:val="center"/>
    </w:pPr>
    <w:rPr>
      <w:sz w:val="28"/>
    </w:rPr>
  </w:style>
  <w:style w:type="paragraph" w:customStyle="1" w:styleId="Arttitle">
    <w:name w:val="Art_title"/>
    <w:basedOn w:val="Normal"/>
    <w:next w:val="Normalaftertitle"/>
    <w:rsid w:val="00044D65"/>
    <w:pPr>
      <w:keepNext/>
      <w:keepLines/>
      <w:spacing w:before="240"/>
      <w:jc w:val="center"/>
    </w:pPr>
    <w:rPr>
      <w:b/>
      <w:sz w:val="28"/>
    </w:rPr>
  </w:style>
  <w:style w:type="paragraph" w:customStyle="1" w:styleId="Blanc">
    <w:name w:val="Blanc"/>
    <w:basedOn w:val="Normal"/>
    <w:next w:val="Tabletext"/>
    <w:rsid w:val="00044D65"/>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044D65"/>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044D65"/>
    <w:pPr>
      <w:keepNext/>
      <w:keepLines/>
      <w:spacing w:before="160"/>
      <w:ind w:left="794"/>
    </w:pPr>
    <w:rPr>
      <w:i/>
    </w:rPr>
  </w:style>
  <w:style w:type="paragraph" w:customStyle="1" w:styleId="ChapNo">
    <w:name w:val="Chap_No"/>
    <w:basedOn w:val="ArtNo"/>
    <w:next w:val="Chaptitle"/>
    <w:rsid w:val="00044D65"/>
    <w:rPr>
      <w:b/>
    </w:rPr>
  </w:style>
  <w:style w:type="paragraph" w:customStyle="1" w:styleId="Chaptitle">
    <w:name w:val="Chap_title"/>
    <w:basedOn w:val="Arttitle"/>
    <w:next w:val="Normalaftertitle"/>
    <w:rsid w:val="00044D65"/>
  </w:style>
  <w:style w:type="character" w:styleId="FootnoteReference">
    <w:name w:val="footnote reference"/>
    <w:basedOn w:val="DefaultParagraphFont"/>
    <w:semiHidden/>
    <w:rsid w:val="00044D65"/>
    <w:rPr>
      <w:position w:val="6"/>
      <w:sz w:val="18"/>
    </w:rPr>
  </w:style>
  <w:style w:type="paragraph" w:styleId="FootnoteText">
    <w:name w:val="footnote text"/>
    <w:basedOn w:val="Normal"/>
    <w:semiHidden/>
    <w:rsid w:val="00044D65"/>
    <w:pPr>
      <w:keepLines/>
      <w:tabs>
        <w:tab w:val="left" w:pos="255"/>
      </w:tabs>
      <w:ind w:left="255" w:hanging="255"/>
    </w:pPr>
    <w:rPr>
      <w:sz w:val="22"/>
    </w:rPr>
  </w:style>
  <w:style w:type="paragraph" w:styleId="Index1">
    <w:name w:val="index 1"/>
    <w:basedOn w:val="Normal"/>
    <w:next w:val="Normal"/>
    <w:semiHidden/>
    <w:rsid w:val="00044D65"/>
  </w:style>
  <w:style w:type="paragraph" w:styleId="Index2">
    <w:name w:val="index 2"/>
    <w:basedOn w:val="Normal"/>
    <w:next w:val="Normal"/>
    <w:semiHidden/>
    <w:rsid w:val="00044D65"/>
    <w:pPr>
      <w:ind w:left="283"/>
    </w:pPr>
  </w:style>
  <w:style w:type="paragraph" w:styleId="Index3">
    <w:name w:val="index 3"/>
    <w:basedOn w:val="Normal"/>
    <w:next w:val="Normal"/>
    <w:semiHidden/>
    <w:rsid w:val="00044D65"/>
    <w:pPr>
      <w:ind w:left="566"/>
    </w:pPr>
  </w:style>
  <w:style w:type="paragraph" w:styleId="IndexHeading">
    <w:name w:val="index heading"/>
    <w:basedOn w:val="Normal"/>
    <w:next w:val="Index1"/>
    <w:semiHidden/>
    <w:rsid w:val="00044D65"/>
  </w:style>
  <w:style w:type="paragraph" w:customStyle="1" w:styleId="Line">
    <w:name w:val="Line"/>
    <w:basedOn w:val="Normal"/>
    <w:next w:val="Normal"/>
    <w:rsid w:val="00044D65"/>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044D65"/>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044D65"/>
  </w:style>
  <w:style w:type="paragraph" w:customStyle="1" w:styleId="Partref">
    <w:name w:val="Part_ref"/>
    <w:basedOn w:val="Normal"/>
    <w:next w:val="Normal"/>
    <w:rsid w:val="00044D65"/>
    <w:pPr>
      <w:keepNext/>
      <w:keepLines/>
      <w:spacing w:after="280"/>
      <w:jc w:val="center"/>
    </w:pPr>
  </w:style>
  <w:style w:type="paragraph" w:customStyle="1" w:styleId="Parttitle">
    <w:name w:val="Part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044D65"/>
  </w:style>
  <w:style w:type="paragraph" w:customStyle="1" w:styleId="QuestionNo">
    <w:name w:val="Question_No"/>
    <w:basedOn w:val="RecNo"/>
    <w:next w:val="Normal"/>
    <w:rsid w:val="00044D65"/>
  </w:style>
  <w:style w:type="paragraph" w:customStyle="1" w:styleId="Questionref">
    <w:name w:val="Question_ref"/>
    <w:basedOn w:val="Recref"/>
    <w:next w:val="Questiondate"/>
    <w:rsid w:val="00044D65"/>
  </w:style>
  <w:style w:type="paragraph" w:customStyle="1" w:styleId="Questiontitle">
    <w:name w:val="Question_title"/>
    <w:basedOn w:val="Normal"/>
    <w:next w:val="Questionref"/>
    <w:rsid w:val="00044D65"/>
  </w:style>
  <w:style w:type="paragraph" w:customStyle="1" w:styleId="Reftext">
    <w:name w:val="Ref_text"/>
    <w:basedOn w:val="Normal"/>
    <w:rsid w:val="00044D65"/>
    <w:pPr>
      <w:ind w:left="794" w:hanging="794"/>
    </w:pPr>
    <w:rPr>
      <w:sz w:val="22"/>
    </w:rPr>
  </w:style>
  <w:style w:type="paragraph" w:customStyle="1" w:styleId="Reftitle">
    <w:name w:val="Ref_title"/>
    <w:basedOn w:val="Normal"/>
    <w:next w:val="Reftext"/>
    <w:rsid w:val="00044D65"/>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044D65"/>
  </w:style>
  <w:style w:type="paragraph" w:customStyle="1" w:styleId="RepNo">
    <w:name w:val="Rep_No"/>
    <w:basedOn w:val="RecNo"/>
    <w:next w:val="Reptitle"/>
    <w:rsid w:val="00044D65"/>
  </w:style>
  <w:style w:type="paragraph" w:customStyle="1" w:styleId="Repref">
    <w:name w:val="Rep_ref"/>
    <w:basedOn w:val="Recref"/>
    <w:next w:val="Repdate"/>
    <w:rsid w:val="00044D65"/>
  </w:style>
  <w:style w:type="paragraph" w:customStyle="1" w:styleId="Reptitle">
    <w:name w:val="Rep_title"/>
    <w:basedOn w:val="Rectitle"/>
    <w:next w:val="Repref"/>
    <w:rsid w:val="00044D65"/>
  </w:style>
  <w:style w:type="paragraph" w:customStyle="1" w:styleId="Resdate">
    <w:name w:val="Res_date"/>
    <w:basedOn w:val="Recdate"/>
    <w:next w:val="Normalaftertitle"/>
    <w:rsid w:val="00044D65"/>
  </w:style>
  <w:style w:type="paragraph" w:customStyle="1" w:styleId="ResNo">
    <w:name w:val="Res_No"/>
    <w:basedOn w:val="RecNo"/>
    <w:next w:val="Restitle"/>
    <w:rsid w:val="00044D65"/>
  </w:style>
  <w:style w:type="paragraph" w:customStyle="1" w:styleId="Resref">
    <w:name w:val="Res_ref"/>
    <w:basedOn w:val="Recref"/>
    <w:next w:val="Resdate"/>
    <w:rsid w:val="00044D65"/>
  </w:style>
  <w:style w:type="paragraph" w:customStyle="1" w:styleId="Restitle">
    <w:name w:val="Res_title"/>
    <w:basedOn w:val="Normal"/>
    <w:next w:val="Resref"/>
    <w:rsid w:val="00044D65"/>
    <w:pPr>
      <w:spacing w:before="240"/>
      <w:jc w:val="center"/>
    </w:pPr>
    <w:rPr>
      <w:b/>
      <w:sz w:val="28"/>
    </w:rPr>
  </w:style>
  <w:style w:type="paragraph" w:customStyle="1" w:styleId="SectionNo">
    <w:name w:val="Section_No"/>
    <w:basedOn w:val="Normal"/>
    <w:next w:val="Normal"/>
    <w:rsid w:val="00044D65"/>
  </w:style>
  <w:style w:type="paragraph" w:customStyle="1" w:styleId="Sectiontitle">
    <w:name w:val="Section_title"/>
    <w:basedOn w:val="Normal"/>
    <w:next w:val="Normalaftertitle"/>
    <w:rsid w:val="00044D65"/>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044D65"/>
    <w:pPr>
      <w:tabs>
        <w:tab w:val="clear" w:pos="794"/>
        <w:tab w:val="clear" w:pos="1191"/>
        <w:tab w:val="clear" w:pos="1588"/>
        <w:tab w:val="clear" w:pos="1985"/>
        <w:tab w:val="right" w:pos="9611"/>
      </w:tabs>
    </w:pPr>
    <w:rPr>
      <w:i/>
    </w:rPr>
  </w:style>
  <w:style w:type="paragraph" w:styleId="TOC1">
    <w:name w:val="toc 1"/>
    <w:basedOn w:val="Normal"/>
    <w:semiHidden/>
    <w:rsid w:val="00044D65"/>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044D65"/>
    <w:pPr>
      <w:tabs>
        <w:tab w:val="clear" w:pos="567"/>
        <w:tab w:val="left" w:pos="1276"/>
      </w:tabs>
      <w:spacing w:before="160"/>
      <w:ind w:left="1276" w:hanging="709"/>
    </w:pPr>
  </w:style>
  <w:style w:type="paragraph" w:styleId="TOC3">
    <w:name w:val="toc 3"/>
    <w:basedOn w:val="TOC2"/>
    <w:semiHidden/>
    <w:rsid w:val="00044D65"/>
    <w:pPr>
      <w:tabs>
        <w:tab w:val="clear" w:pos="1276"/>
        <w:tab w:val="left" w:pos="2155"/>
      </w:tabs>
      <w:ind w:left="2155" w:hanging="879"/>
    </w:pPr>
  </w:style>
  <w:style w:type="paragraph" w:styleId="TOC4">
    <w:name w:val="toc 4"/>
    <w:basedOn w:val="TOC3"/>
    <w:semiHidden/>
    <w:rsid w:val="00044D65"/>
    <w:pPr>
      <w:tabs>
        <w:tab w:val="left" w:pos="3261"/>
      </w:tabs>
      <w:spacing w:before="80"/>
      <w:ind w:left="3261" w:hanging="993"/>
    </w:pPr>
  </w:style>
  <w:style w:type="paragraph" w:styleId="TOC5">
    <w:name w:val="toc 5"/>
    <w:basedOn w:val="TOC4"/>
    <w:semiHidden/>
    <w:rsid w:val="00044D65"/>
  </w:style>
  <w:style w:type="paragraph" w:styleId="TOC6">
    <w:name w:val="toc 6"/>
    <w:basedOn w:val="TOC4"/>
    <w:semiHidden/>
    <w:rsid w:val="00044D65"/>
  </w:style>
  <w:style w:type="paragraph" w:styleId="TOC7">
    <w:name w:val="toc 7"/>
    <w:basedOn w:val="TOC4"/>
    <w:semiHidden/>
    <w:rsid w:val="00044D65"/>
  </w:style>
  <w:style w:type="paragraph" w:styleId="TOC8">
    <w:name w:val="toc 8"/>
    <w:basedOn w:val="TOC4"/>
    <w:semiHidden/>
    <w:rsid w:val="00044D65"/>
  </w:style>
  <w:style w:type="paragraph" w:customStyle="1" w:styleId="Rectitle">
    <w:name w:val="Rec_title"/>
    <w:basedOn w:val="Normal"/>
    <w:next w:val="Recref"/>
    <w:rsid w:val="00044D65"/>
    <w:pPr>
      <w:keepNext/>
      <w:keepLines/>
      <w:spacing w:before="240"/>
      <w:jc w:val="center"/>
    </w:pPr>
    <w:rPr>
      <w:b/>
      <w:sz w:val="28"/>
    </w:rPr>
  </w:style>
  <w:style w:type="paragraph" w:customStyle="1" w:styleId="Annexref">
    <w:name w:val="Annex_ref"/>
    <w:basedOn w:val="Normal"/>
    <w:next w:val="Normalaftertitle"/>
    <w:rsid w:val="00044D65"/>
    <w:pPr>
      <w:keepNext/>
      <w:keepLines/>
      <w:spacing w:after="280"/>
      <w:jc w:val="center"/>
    </w:pPr>
  </w:style>
  <w:style w:type="paragraph" w:customStyle="1" w:styleId="Appendixref">
    <w:name w:val="Appendix_ref"/>
    <w:basedOn w:val="Annexref"/>
    <w:next w:val="Normalaftertitle"/>
    <w:rsid w:val="00044D65"/>
  </w:style>
  <w:style w:type="paragraph" w:customStyle="1" w:styleId="Figuretitle">
    <w:name w:val="Figure_title"/>
    <w:basedOn w:val="Normal"/>
    <w:next w:val="Figure"/>
    <w:rsid w:val="00044D65"/>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044D65"/>
    <w:pPr>
      <w:keepNext/>
      <w:spacing w:before="0" w:after="120"/>
      <w:jc w:val="center"/>
    </w:pPr>
    <w:rPr>
      <w:b/>
    </w:rPr>
  </w:style>
  <w:style w:type="paragraph" w:customStyle="1" w:styleId="Summary">
    <w:name w:val="Summary"/>
    <w:basedOn w:val="Normal"/>
    <w:next w:val="Normalaftertitle"/>
    <w:rsid w:val="00044D65"/>
    <w:pPr>
      <w:spacing w:after="480"/>
    </w:pPr>
    <w:rPr>
      <w:sz w:val="22"/>
      <w:lang w:val="es-ES_tradnl"/>
    </w:rPr>
  </w:style>
  <w:style w:type="character" w:styleId="Hyperlink">
    <w:name w:val="Hyperlink"/>
    <w:basedOn w:val="DefaultParagraphFont"/>
    <w:rsid w:val="00042292"/>
    <w:rPr>
      <w:color w:val="0000FF"/>
      <w:u w:val="single"/>
    </w:rPr>
  </w:style>
  <w:style w:type="paragraph" w:customStyle="1" w:styleId="Figure">
    <w:name w:val="Figure"/>
    <w:basedOn w:val="FigureNo"/>
    <w:next w:val="Normal"/>
    <w:rsid w:val="00044D65"/>
    <w:pPr>
      <w:keepNext w:val="0"/>
      <w:spacing w:before="0" w:after="240"/>
    </w:pPr>
  </w:style>
  <w:style w:type="table" w:styleId="TableGrid">
    <w:name w:val="Table Grid"/>
    <w:basedOn w:val="TableNormal"/>
    <w:rsid w:val="00042292"/>
    <w:pPr>
      <w:tabs>
        <w:tab w:val="left" w:pos="794"/>
        <w:tab w:val="left" w:pos="1191"/>
        <w:tab w:val="left" w:pos="1588"/>
        <w:tab w:val="left" w:pos="1985"/>
      </w:tabs>
      <w:overflowPunct w:val="0"/>
      <w:autoSpaceDE w:val="0"/>
      <w:autoSpaceDN w:val="0"/>
      <w:adjustRightInd w:val="0"/>
      <w:spacing w:before="12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LegendNote">
    <w:name w:val="Table_Legend_Note"/>
    <w:basedOn w:val="Tablelegend"/>
    <w:next w:val="Tablelegend"/>
    <w:rsid w:val="00044D65"/>
    <w:pPr>
      <w:ind w:left="-85" w:firstLine="0"/>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eader" Target="header6.xml"/><Relationship Id="rId10" Type="http://schemas.openxmlformats.org/officeDocument/2006/relationships/hyperlink" Target="http://www.itu.int/ITU-R/go/patents/es"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DBB300-8CF6-4A3B-A948-F539D1ADE7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TotalTime>
  <Pages>5</Pages>
  <Words>1711</Words>
  <Characters>9714</Characters>
  <Application>Microsoft Office Word</Application>
  <DocSecurity>0</DocSecurity>
  <Lines>222</Lines>
  <Paragraphs>100</Paragraphs>
  <ScaleCrop>false</ScaleCrop>
  <HeadingPairs>
    <vt:vector size="2" baseType="variant">
      <vt:variant>
        <vt:lpstr>Title</vt:lpstr>
      </vt:variant>
      <vt:variant>
        <vt:i4>1</vt:i4>
      </vt:variant>
    </vt:vector>
  </HeadingPairs>
  <TitlesOfParts>
    <vt:vector size="1" baseType="lpstr">
      <vt:lpstr>RECOMENDACIÓN  UIT-R  M.1579* - Circulación a nivel mundial de los terminales IMT-2000</vt:lpstr>
    </vt:vector>
  </TitlesOfParts>
  <Manager/>
  <Company>ITU</Company>
  <LinksUpToDate>false</LinksUpToDate>
  <CharactersWithSpaces>11352</CharactersWithSpaces>
  <SharedDoc>false</SharedDoc>
  <HLinks>
    <vt:vector size="12" baseType="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M.1579* - Circulación a nivel mundial de los terminales IMT-2000</dc:title>
  <dc:subject>Serie M = Servicios móviles, de radiodeterminación y de aficionados, incluidos los correspondientes servicios por satélite</dc:subject>
  <dc:creator>Oficina de Radiocomunicaciones del UIT (BR)</dc:creator>
  <cp:keywords>M,1579*</cp:keywords>
  <dc:description>Santosbo, 31.05.2011, MSB106309</dc:description>
  <cp:lastModifiedBy>santosbo</cp:lastModifiedBy>
  <cp:revision>5</cp:revision>
  <cp:lastPrinted>2005-02-10T14:54:00Z</cp:lastPrinted>
  <dcterms:created xsi:type="dcterms:W3CDTF">2011-05-31T07:17:00Z</dcterms:created>
  <dcterms:modified xsi:type="dcterms:W3CDTF">2011-05-31T07:24:00Z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31 May 2011</vt:lpwstr>
  </property>
</Properties>
</file>