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tbl>
      <w:tblPr>
        <w:tblW w:w="10089" w:type="dxa"/>
        <w:tblLook w:val="01E0" w:firstRow="1" w:lastRow="1" w:firstColumn="1" w:lastColumn="1" w:noHBand="0" w:noVBand="0"/>
      </w:tblPr>
      <w:tblGrid>
        <w:gridCol w:w="10089"/>
      </w:tblGrid>
      <w:tr w:rsidR="007A6723" w:rsidRPr="004F65E4" w:rsidTr="00AB5B6D">
        <w:tc>
          <w:tcPr>
            <w:tcW w:w="10089" w:type="dxa"/>
          </w:tcPr>
          <w:p w:rsidR="007A6723" w:rsidRPr="001511A6" w:rsidRDefault="007A6723" w:rsidP="00AB5B6D">
            <w:pPr>
              <w:spacing w:before="380" w:line="280" w:lineRule="exact"/>
              <w:jc w:val="right"/>
              <w:rPr>
                <w:rFonts w:ascii="Tahoma" w:hAnsi="Tahoma" w:cs="Tahoma"/>
                <w:b/>
                <w:bCs/>
                <w:iCs/>
                <w:color w:val="243285"/>
                <w:sz w:val="32"/>
                <w:szCs w:val="32"/>
                <w:lang w:val="en-US"/>
              </w:rPr>
            </w:pPr>
          </w:p>
          <w:p w:rsidR="007A6723" w:rsidRPr="004F65E4" w:rsidRDefault="007A6723" w:rsidP="00774A3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A56304">
              <w:rPr>
                <w:rFonts w:ascii="Tahoma" w:hAnsi="Tahoma" w:cs="Tahoma"/>
                <w:b/>
                <w:bCs/>
                <w:iCs/>
                <w:color w:val="243285"/>
                <w:sz w:val="36"/>
                <w:szCs w:val="36"/>
              </w:rPr>
              <w:t>1</w:t>
            </w:r>
            <w:r w:rsidR="00774A3C">
              <w:rPr>
                <w:rFonts w:ascii="Tahoma" w:hAnsi="Tahoma" w:cs="Tahoma"/>
                <w:b/>
                <w:bCs/>
                <w:iCs/>
                <w:color w:val="243285"/>
                <w:sz w:val="36"/>
                <w:szCs w:val="36"/>
              </w:rPr>
              <w:t>462</w:t>
            </w:r>
            <w:r w:rsidR="003F0D10">
              <w:rPr>
                <w:rFonts w:ascii="Tahoma" w:hAnsi="Tahoma" w:cs="Tahoma"/>
                <w:b/>
                <w:bCs/>
                <w:iCs/>
                <w:color w:val="243285"/>
                <w:sz w:val="36"/>
                <w:szCs w:val="36"/>
              </w:rPr>
              <w:t>-</w:t>
            </w:r>
            <w:r w:rsidR="00A56304">
              <w:rPr>
                <w:rFonts w:ascii="Tahoma" w:hAnsi="Tahoma" w:cs="Tahoma"/>
                <w:b/>
                <w:bCs/>
                <w:iCs/>
                <w:color w:val="243285"/>
                <w:sz w:val="36"/>
                <w:szCs w:val="36"/>
              </w:rPr>
              <w:t>1</w:t>
            </w:r>
          </w:p>
          <w:p w:rsidR="007A6723" w:rsidRPr="004F65E4" w:rsidRDefault="007A6723" w:rsidP="003F0D1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3F0D10">
              <w:rPr>
                <w:rFonts w:ascii="Tahoma" w:hAnsi="Tahoma" w:cs="Tahoma"/>
                <w:b/>
                <w:bCs/>
                <w:iCs/>
                <w:color w:val="243285"/>
                <w:szCs w:val="24"/>
              </w:rPr>
              <w:t>1</w:t>
            </w:r>
            <w:r w:rsidRPr="004F65E4">
              <w:rPr>
                <w:rFonts w:ascii="Tahoma" w:hAnsi="Tahoma" w:cs="Tahoma"/>
                <w:b/>
                <w:bCs/>
                <w:iCs/>
                <w:color w:val="243285"/>
                <w:szCs w:val="24"/>
              </w:rPr>
              <w:t>/</w:t>
            </w:r>
            <w:r>
              <w:rPr>
                <w:rFonts w:ascii="Tahoma" w:hAnsi="Tahoma" w:cs="Tahoma"/>
                <w:b/>
                <w:bCs/>
                <w:iCs/>
                <w:color w:val="243285"/>
                <w:szCs w:val="24"/>
              </w:rPr>
              <w:t>201</w:t>
            </w:r>
            <w:r w:rsidR="003F0D10">
              <w:rPr>
                <w:rFonts w:ascii="Tahoma" w:hAnsi="Tahoma" w:cs="Tahoma"/>
                <w:b/>
                <w:bCs/>
                <w:iCs/>
                <w:color w:val="243285"/>
                <w:szCs w:val="24"/>
              </w:rPr>
              <w:t>9</w:t>
            </w:r>
            <w:r w:rsidRPr="004F65E4">
              <w:rPr>
                <w:rFonts w:ascii="Tahoma" w:hAnsi="Tahoma" w:cs="Tahoma"/>
                <w:b/>
                <w:bCs/>
                <w:iCs/>
                <w:color w:val="243285"/>
                <w:szCs w:val="24"/>
              </w:rPr>
              <w:t>)</w:t>
            </w:r>
          </w:p>
        </w:tc>
      </w:tr>
      <w:tr w:rsidR="007A6723" w:rsidRPr="00D722CF" w:rsidTr="00AB5B6D">
        <w:tc>
          <w:tcPr>
            <w:tcW w:w="10089" w:type="dxa"/>
          </w:tcPr>
          <w:p w:rsidR="007A6723" w:rsidRPr="003E1DED" w:rsidRDefault="007A6723" w:rsidP="00AB5B6D">
            <w:pPr>
              <w:spacing w:before="80" w:line="500" w:lineRule="exact"/>
              <w:jc w:val="right"/>
              <w:rPr>
                <w:rFonts w:ascii="Tahoma" w:hAnsi="Tahoma" w:cs="Tahoma"/>
                <w:b/>
                <w:bCs/>
                <w:iCs/>
                <w:color w:val="243285"/>
                <w:sz w:val="44"/>
                <w:szCs w:val="44"/>
                <w:lang w:val="en-US"/>
              </w:rPr>
            </w:pPr>
          </w:p>
          <w:p w:rsidR="007A6723" w:rsidRPr="00774A3C" w:rsidRDefault="00774A3C" w:rsidP="00774A3C">
            <w:pPr>
              <w:spacing w:before="80" w:line="500" w:lineRule="exact"/>
              <w:jc w:val="right"/>
              <w:rPr>
                <w:rFonts w:ascii="Tahoma" w:hAnsi="Tahoma" w:cs="Tahoma"/>
                <w:b/>
                <w:bCs/>
                <w:iCs/>
                <w:color w:val="243285"/>
                <w:sz w:val="44"/>
                <w:szCs w:val="44"/>
                <w:lang w:val="en-GB"/>
              </w:rPr>
            </w:pPr>
            <w:r w:rsidRPr="00774A3C">
              <w:rPr>
                <w:rFonts w:ascii="Tahoma" w:hAnsi="Tahoma" w:cs="Tahoma"/>
                <w:b/>
                <w:bCs/>
                <w:iCs/>
                <w:color w:val="243285"/>
                <w:sz w:val="44"/>
                <w:szCs w:val="44"/>
                <w:lang w:val="en-GB"/>
              </w:rPr>
              <w:t>Characteristics of and protection criteria for radars operating in the radiolocation service in the frequency range 420-450 MHz</w:t>
            </w:r>
          </w:p>
        </w:tc>
      </w:tr>
      <w:tr w:rsidR="007A6723" w:rsidTr="00AB5B6D">
        <w:tc>
          <w:tcPr>
            <w:tcW w:w="10089" w:type="dxa"/>
          </w:tcPr>
          <w:p w:rsidR="007A6723" w:rsidRPr="00052F66" w:rsidRDefault="007A6723" w:rsidP="00AB5B6D">
            <w:pPr>
              <w:spacing w:before="80" w:line="280" w:lineRule="exact"/>
              <w:ind w:right="640"/>
              <w:rPr>
                <w:rFonts w:ascii="Tahoma" w:hAnsi="Tahoma" w:cs="Tahoma"/>
                <w:b/>
                <w:bCs/>
                <w:iCs/>
                <w:color w:val="243285"/>
                <w:sz w:val="32"/>
                <w:szCs w:val="32"/>
                <w:lang w:val="en-US"/>
              </w:rPr>
            </w:pPr>
          </w:p>
          <w:p w:rsidR="007A6723" w:rsidRPr="00052F66" w:rsidRDefault="007A6723" w:rsidP="00AB5B6D">
            <w:pPr>
              <w:spacing w:before="80" w:after="180" w:line="360" w:lineRule="exact"/>
              <w:ind w:right="720"/>
              <w:rPr>
                <w:rFonts w:ascii="Tahoma" w:hAnsi="Tahoma" w:cs="Tahoma"/>
                <w:b/>
                <w:bCs/>
                <w:iCs/>
                <w:color w:val="243285"/>
                <w:sz w:val="36"/>
                <w:szCs w:val="36"/>
                <w:lang w:val="en-US"/>
              </w:rPr>
            </w:pPr>
          </w:p>
          <w:p w:rsidR="007A6723" w:rsidRPr="001511A6" w:rsidRDefault="007A6723" w:rsidP="00AB5B6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7A6723" w:rsidRDefault="007A6723" w:rsidP="00AB5B6D">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7A6723" w:rsidRPr="0041667C" w:rsidRDefault="007A6723" w:rsidP="00AB5B6D">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pStyle w:val="Equation"/>
        <w:tabs>
          <w:tab w:val="clear" w:pos="4820"/>
          <w:tab w:val="clear" w:pos="9639"/>
          <w:tab w:val="left" w:pos="1191"/>
          <w:tab w:val="left" w:pos="1588"/>
          <w:tab w:val="left" w:pos="1985"/>
        </w:tabs>
        <w:rPr>
          <w:rFonts w:ascii="Palatino Linotype" w:hAnsi="Palatino Linotype"/>
          <w:lang w:val="en-US"/>
        </w:rPr>
        <w:sectPr w:rsidR="007A6723">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7A6723" w:rsidRPr="00586EF8" w:rsidRDefault="007A6723" w:rsidP="007A67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A6723" w:rsidRDefault="007A6723" w:rsidP="007A672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A6723" w:rsidRDefault="007A6723" w:rsidP="007A672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A6723" w:rsidRPr="00B714F3" w:rsidRDefault="007A6723" w:rsidP="007A6723">
      <w:pPr>
        <w:pStyle w:val="Heading1"/>
        <w:spacing w:before="680"/>
        <w:jc w:val="center"/>
        <w:rPr>
          <w:szCs w:val="24"/>
          <w:lang w:val="en-US"/>
        </w:rPr>
      </w:pPr>
      <w:r w:rsidRPr="00B714F3">
        <w:rPr>
          <w:szCs w:val="24"/>
          <w:lang w:val="en-US"/>
        </w:rPr>
        <w:t>Policy on Intellectual Property Right (IPR)</w:t>
      </w:r>
    </w:p>
    <w:p w:rsidR="007A6723" w:rsidRPr="00B714F3" w:rsidRDefault="007A6723" w:rsidP="007A672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A6723" w:rsidRDefault="007A6723" w:rsidP="007A6723">
      <w:pPr>
        <w:jc w:val="center"/>
        <w:rPr>
          <w:sz w:val="22"/>
          <w:lang w:val="en-US"/>
        </w:rPr>
      </w:pPr>
    </w:p>
    <w:p w:rsidR="007A6723" w:rsidRDefault="007A6723" w:rsidP="007A672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A6723" w:rsidRPr="00D722CF" w:rsidTr="00AB5B6D">
        <w:tc>
          <w:tcPr>
            <w:tcW w:w="9360" w:type="dxa"/>
            <w:gridSpan w:val="2"/>
          </w:tcPr>
          <w:p w:rsidR="007A6723" w:rsidRPr="00036EE3" w:rsidRDefault="007A6723" w:rsidP="00AB5B6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sz w:val="18"/>
                  <w:szCs w:val="18"/>
                  <w:lang w:val="en-US"/>
                </w:rPr>
                <w:t>http://www.itu.int/publ/R-REC/en</w:t>
              </w:r>
            </w:hyperlink>
            <w:r w:rsidRPr="00CE0A43">
              <w:rPr>
                <w:b w:val="0"/>
                <w:sz w:val="18"/>
                <w:szCs w:val="18"/>
                <w:lang w:val="en-US"/>
              </w:rPr>
              <w:t>)</w:t>
            </w:r>
          </w:p>
        </w:tc>
      </w:tr>
      <w:tr w:rsidR="007A6723" w:rsidRPr="00036EE3" w:rsidTr="00AB5B6D">
        <w:tc>
          <w:tcPr>
            <w:tcW w:w="1140" w:type="dxa"/>
          </w:tcPr>
          <w:p w:rsidR="007A6723" w:rsidRPr="00036EE3" w:rsidRDefault="007A6723" w:rsidP="00AB5B6D">
            <w:pPr>
              <w:spacing w:before="200" w:after="100"/>
              <w:ind w:left="57"/>
              <w:rPr>
                <w:b/>
                <w:bCs/>
                <w:sz w:val="20"/>
                <w:lang w:val="en-US"/>
              </w:rPr>
            </w:pPr>
            <w:r w:rsidRPr="00036EE3">
              <w:rPr>
                <w:b/>
                <w:bCs/>
                <w:sz w:val="20"/>
                <w:lang w:val="en-US"/>
              </w:rPr>
              <w:t>Series</w:t>
            </w:r>
          </w:p>
        </w:tc>
        <w:tc>
          <w:tcPr>
            <w:tcW w:w="8220" w:type="dxa"/>
          </w:tcPr>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BO</w:t>
            </w:r>
          </w:p>
        </w:tc>
        <w:tc>
          <w:tcPr>
            <w:tcW w:w="8220" w:type="dxa"/>
          </w:tcPr>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A6723" w:rsidRPr="00D722CF" w:rsidTr="00AB5B6D">
        <w:tc>
          <w:tcPr>
            <w:tcW w:w="1140" w:type="dxa"/>
            <w:tcBorders>
              <w:bottom w:val="nil"/>
            </w:tcBorders>
          </w:tcPr>
          <w:p w:rsidR="007A6723" w:rsidRPr="00036EE3" w:rsidRDefault="007A6723" w:rsidP="00AB5B6D">
            <w:pPr>
              <w:spacing w:before="30" w:after="30"/>
              <w:ind w:left="57"/>
              <w:jc w:val="left"/>
              <w:rPr>
                <w:b/>
                <w:bCs/>
                <w:sz w:val="20"/>
                <w:lang w:val="en-US"/>
              </w:rPr>
            </w:pPr>
            <w:r w:rsidRPr="00036EE3">
              <w:rPr>
                <w:b/>
                <w:bCs/>
                <w:sz w:val="20"/>
                <w:lang w:val="en-US"/>
              </w:rPr>
              <w:t>BR</w:t>
            </w:r>
          </w:p>
        </w:tc>
        <w:tc>
          <w:tcPr>
            <w:tcW w:w="8220" w:type="dxa"/>
            <w:tcBorders>
              <w:bottom w:val="nil"/>
            </w:tcBorders>
          </w:tcPr>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A6723" w:rsidRPr="00036EE3" w:rsidTr="00AB5B6D">
        <w:tc>
          <w:tcPr>
            <w:tcW w:w="1140" w:type="dxa"/>
            <w:tcBorders>
              <w:top w:val="nil"/>
              <w:bottom w:val="nil"/>
            </w:tcBorders>
            <w:shd w:val="clear" w:color="auto" w:fill="auto"/>
          </w:tcPr>
          <w:p w:rsidR="007A6723" w:rsidRPr="007D224F" w:rsidRDefault="007A6723" w:rsidP="00AB5B6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A6723" w:rsidRPr="007D224F"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A6723" w:rsidRPr="00ED2695" w:rsidTr="00AB5B6D">
        <w:tc>
          <w:tcPr>
            <w:tcW w:w="1140" w:type="dxa"/>
            <w:tcBorders>
              <w:top w:val="nil"/>
              <w:bottom w:val="nil"/>
            </w:tcBorders>
            <w:shd w:val="clear" w:color="auto" w:fill="auto"/>
          </w:tcPr>
          <w:p w:rsidR="007A6723" w:rsidRPr="00ED2695" w:rsidRDefault="007A6723" w:rsidP="00AB5B6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A6723" w:rsidRPr="00ED2695"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A6723" w:rsidRPr="007D224F" w:rsidTr="00AB5B6D">
        <w:tc>
          <w:tcPr>
            <w:tcW w:w="1140" w:type="dxa"/>
            <w:tcBorders>
              <w:top w:val="nil"/>
              <w:bottom w:val="nil"/>
            </w:tcBorders>
            <w:shd w:val="clear" w:color="auto" w:fill="auto"/>
          </w:tcPr>
          <w:p w:rsidR="007A6723" w:rsidRPr="0041667C" w:rsidRDefault="007A6723" w:rsidP="00AB5B6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A6723" w:rsidRPr="0041667C" w:rsidRDefault="007A6723" w:rsidP="00AB5B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A6723" w:rsidRPr="0041667C" w:rsidTr="00AB5B6D">
        <w:tc>
          <w:tcPr>
            <w:tcW w:w="1140" w:type="dxa"/>
            <w:tcBorders>
              <w:top w:val="nil"/>
              <w:bottom w:val="nil"/>
            </w:tcBorders>
            <w:shd w:val="clear" w:color="auto" w:fill="F3F3F3"/>
          </w:tcPr>
          <w:p w:rsidR="007A6723" w:rsidRPr="0041667C" w:rsidRDefault="007A6723" w:rsidP="00AB5B6D">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7A6723" w:rsidRPr="0041667C"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A6723" w:rsidRPr="00036EE3" w:rsidTr="00AB5B6D">
        <w:tc>
          <w:tcPr>
            <w:tcW w:w="1140" w:type="dxa"/>
            <w:tcBorders>
              <w:top w:val="nil"/>
            </w:tcBorders>
          </w:tcPr>
          <w:p w:rsidR="007A6723" w:rsidRPr="00036EE3" w:rsidRDefault="007A6723" w:rsidP="00AB5B6D">
            <w:pPr>
              <w:spacing w:before="30" w:after="30"/>
              <w:ind w:left="57"/>
              <w:jc w:val="left"/>
              <w:rPr>
                <w:b/>
                <w:bCs/>
                <w:sz w:val="20"/>
                <w:lang w:val="fr-CH"/>
              </w:rPr>
            </w:pPr>
            <w:r w:rsidRPr="00036EE3">
              <w:rPr>
                <w:b/>
                <w:bCs/>
                <w:sz w:val="20"/>
                <w:lang w:val="fr-CH"/>
              </w:rPr>
              <w:t>P</w:t>
            </w:r>
          </w:p>
        </w:tc>
        <w:tc>
          <w:tcPr>
            <w:tcW w:w="8220" w:type="dxa"/>
            <w:tcBorders>
              <w:top w:val="nil"/>
            </w:tcBorders>
          </w:tcPr>
          <w:p w:rsidR="007A6723" w:rsidRPr="00036EE3" w:rsidRDefault="007A6723" w:rsidP="00AB5B6D">
            <w:pPr>
              <w:spacing w:before="30" w:after="30"/>
              <w:jc w:val="left"/>
              <w:rPr>
                <w:sz w:val="20"/>
                <w:lang w:val="fr-CH"/>
              </w:rPr>
            </w:pPr>
            <w:r w:rsidRPr="00036EE3">
              <w:rPr>
                <w:sz w:val="20"/>
                <w:lang w:val="fr-CH"/>
              </w:rPr>
              <w:t>Radiowave propagation</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RA</w:t>
            </w:r>
          </w:p>
        </w:tc>
        <w:tc>
          <w:tcPr>
            <w:tcW w:w="8220" w:type="dxa"/>
          </w:tcPr>
          <w:p w:rsidR="007A6723" w:rsidRPr="00036EE3" w:rsidRDefault="007A6723" w:rsidP="00AB5B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RS</w:t>
            </w:r>
          </w:p>
        </w:tc>
        <w:tc>
          <w:tcPr>
            <w:tcW w:w="8220" w:type="dxa"/>
          </w:tcPr>
          <w:p w:rsidR="007A6723" w:rsidRPr="00036EE3" w:rsidRDefault="007A6723" w:rsidP="00AB5B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S</w:t>
            </w:r>
          </w:p>
        </w:tc>
        <w:tc>
          <w:tcPr>
            <w:tcW w:w="8220" w:type="dxa"/>
          </w:tcPr>
          <w:p w:rsidR="007A6723" w:rsidRPr="00036EE3" w:rsidRDefault="007A6723" w:rsidP="00AB5B6D">
            <w:pPr>
              <w:spacing w:before="30" w:after="30"/>
              <w:jc w:val="left"/>
              <w:rPr>
                <w:sz w:val="20"/>
                <w:lang w:val="en-US"/>
              </w:rPr>
            </w:pPr>
            <w:r w:rsidRPr="00036EE3">
              <w:rPr>
                <w:sz w:val="20"/>
                <w:lang w:val="en-US"/>
              </w:rPr>
              <w:t>Fixed-satellite service</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SA</w:t>
            </w:r>
          </w:p>
        </w:tc>
        <w:tc>
          <w:tcPr>
            <w:tcW w:w="8220" w:type="dxa"/>
          </w:tcPr>
          <w:p w:rsidR="007A6723" w:rsidRPr="00036EE3" w:rsidRDefault="007A6723" w:rsidP="00AB5B6D">
            <w:pPr>
              <w:spacing w:before="30" w:after="30"/>
              <w:jc w:val="left"/>
              <w:rPr>
                <w:sz w:val="20"/>
                <w:lang w:val="en-US"/>
              </w:rPr>
            </w:pPr>
            <w:r w:rsidRPr="00036EE3">
              <w:rPr>
                <w:sz w:val="20"/>
                <w:lang w:val="en-US"/>
              </w:rPr>
              <w:t>Space applications and meteorology</w:t>
            </w:r>
          </w:p>
        </w:tc>
      </w:tr>
      <w:tr w:rsidR="007A6723" w:rsidRPr="00D722CF" w:rsidTr="00AB5B6D">
        <w:tc>
          <w:tcPr>
            <w:tcW w:w="1140" w:type="dxa"/>
            <w:tcBorders>
              <w:bottom w:val="nil"/>
            </w:tcBorders>
          </w:tcPr>
          <w:p w:rsidR="007A6723" w:rsidRPr="00036EE3" w:rsidRDefault="007A6723" w:rsidP="00AB5B6D">
            <w:pPr>
              <w:spacing w:before="30" w:after="30"/>
              <w:ind w:left="57"/>
              <w:jc w:val="left"/>
              <w:rPr>
                <w:b/>
                <w:bCs/>
                <w:sz w:val="20"/>
                <w:lang w:val="en-US"/>
              </w:rPr>
            </w:pPr>
            <w:r w:rsidRPr="00036EE3">
              <w:rPr>
                <w:b/>
                <w:bCs/>
                <w:sz w:val="20"/>
                <w:lang w:val="en-US"/>
              </w:rPr>
              <w:t>SF</w:t>
            </w:r>
          </w:p>
        </w:tc>
        <w:tc>
          <w:tcPr>
            <w:tcW w:w="8220" w:type="dxa"/>
            <w:tcBorders>
              <w:bottom w:val="nil"/>
            </w:tcBorders>
          </w:tcPr>
          <w:p w:rsidR="007A6723" w:rsidRPr="00036EE3" w:rsidRDefault="007A6723" w:rsidP="00AB5B6D">
            <w:pPr>
              <w:spacing w:before="30" w:after="30"/>
              <w:jc w:val="left"/>
              <w:rPr>
                <w:sz w:val="20"/>
                <w:lang w:val="en-US"/>
              </w:rPr>
            </w:pPr>
            <w:r w:rsidRPr="00036EE3">
              <w:rPr>
                <w:sz w:val="20"/>
                <w:lang w:val="en-US"/>
              </w:rPr>
              <w:t>Frequency sharing and coordination between fixed-satellite and fixed service systems</w:t>
            </w:r>
          </w:p>
        </w:tc>
      </w:tr>
      <w:tr w:rsidR="007A6723" w:rsidRPr="00036EE3" w:rsidTr="00AB5B6D">
        <w:tc>
          <w:tcPr>
            <w:tcW w:w="1140" w:type="dxa"/>
            <w:tcBorders>
              <w:top w:val="nil"/>
              <w:bottom w:val="nil"/>
            </w:tcBorders>
            <w:shd w:val="clear" w:color="auto" w:fill="auto"/>
          </w:tcPr>
          <w:p w:rsidR="007A6723" w:rsidRPr="000A4386" w:rsidRDefault="007A6723" w:rsidP="00AB5B6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A6723" w:rsidRPr="000A4386" w:rsidRDefault="007A6723" w:rsidP="00AB5B6D">
            <w:pPr>
              <w:spacing w:before="30" w:after="30"/>
              <w:jc w:val="left"/>
              <w:rPr>
                <w:sz w:val="20"/>
                <w:lang w:val="en-US"/>
              </w:rPr>
            </w:pPr>
            <w:r w:rsidRPr="000A4386">
              <w:rPr>
                <w:sz w:val="20"/>
                <w:lang w:val="en-US"/>
              </w:rPr>
              <w:t>Spectrum management</w:t>
            </w:r>
          </w:p>
        </w:tc>
      </w:tr>
      <w:tr w:rsidR="007A6723" w:rsidRPr="00036EE3" w:rsidTr="00AB5B6D">
        <w:tc>
          <w:tcPr>
            <w:tcW w:w="1140" w:type="dxa"/>
            <w:tcBorders>
              <w:top w:val="nil"/>
            </w:tcBorders>
          </w:tcPr>
          <w:p w:rsidR="007A6723" w:rsidRPr="00036EE3" w:rsidRDefault="007A6723" w:rsidP="00AB5B6D">
            <w:pPr>
              <w:spacing w:before="30" w:after="30"/>
              <w:ind w:left="57"/>
              <w:jc w:val="left"/>
              <w:rPr>
                <w:b/>
                <w:bCs/>
                <w:sz w:val="20"/>
                <w:lang w:val="en-US"/>
              </w:rPr>
            </w:pPr>
            <w:r w:rsidRPr="00036EE3">
              <w:rPr>
                <w:b/>
                <w:bCs/>
                <w:sz w:val="20"/>
                <w:lang w:val="en-US"/>
              </w:rPr>
              <w:t>SNG</w:t>
            </w:r>
          </w:p>
        </w:tc>
        <w:tc>
          <w:tcPr>
            <w:tcW w:w="8220" w:type="dxa"/>
            <w:tcBorders>
              <w:top w:val="nil"/>
            </w:tcBorders>
          </w:tcPr>
          <w:p w:rsidR="007A6723" w:rsidRPr="00036EE3" w:rsidRDefault="007A6723" w:rsidP="00AB5B6D">
            <w:pPr>
              <w:spacing w:before="30" w:after="30"/>
              <w:jc w:val="left"/>
              <w:rPr>
                <w:sz w:val="20"/>
                <w:lang w:val="en-US"/>
              </w:rPr>
            </w:pPr>
            <w:r w:rsidRPr="00036EE3">
              <w:rPr>
                <w:sz w:val="20"/>
                <w:lang w:val="en-US"/>
              </w:rPr>
              <w:t>Satellite news gathering</w:t>
            </w:r>
          </w:p>
        </w:tc>
      </w:tr>
      <w:tr w:rsidR="007A6723" w:rsidRPr="00D722CF"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TF</w:t>
            </w:r>
          </w:p>
        </w:tc>
        <w:tc>
          <w:tcPr>
            <w:tcW w:w="8220" w:type="dxa"/>
          </w:tcPr>
          <w:p w:rsidR="007A6723" w:rsidRPr="00036EE3" w:rsidRDefault="007A6723" w:rsidP="00AB5B6D">
            <w:pPr>
              <w:spacing w:before="30" w:after="30"/>
              <w:jc w:val="left"/>
              <w:rPr>
                <w:sz w:val="20"/>
                <w:lang w:val="en-US"/>
              </w:rPr>
            </w:pPr>
            <w:r w:rsidRPr="00036EE3">
              <w:rPr>
                <w:sz w:val="20"/>
                <w:lang w:val="en-US"/>
              </w:rPr>
              <w:t>Time signals and frequency standards emissions</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V</w:t>
            </w:r>
          </w:p>
        </w:tc>
        <w:tc>
          <w:tcPr>
            <w:tcW w:w="8220" w:type="dxa"/>
          </w:tcPr>
          <w:p w:rsidR="007A6723" w:rsidRPr="00036EE3" w:rsidRDefault="007A6723" w:rsidP="00AB5B6D">
            <w:pPr>
              <w:spacing w:before="30" w:after="180"/>
              <w:jc w:val="left"/>
              <w:rPr>
                <w:sz w:val="20"/>
                <w:lang w:val="en-US"/>
              </w:rPr>
            </w:pPr>
            <w:r w:rsidRPr="00036EE3">
              <w:rPr>
                <w:sz w:val="20"/>
                <w:lang w:val="en-US"/>
              </w:rPr>
              <w:t>Vocabulary and related subjects</w:t>
            </w:r>
          </w:p>
        </w:tc>
      </w:tr>
    </w:tbl>
    <w:p w:rsidR="007A6723" w:rsidRPr="00036EE3" w:rsidRDefault="007A6723" w:rsidP="007A672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6723" w:rsidTr="00AB5B6D">
        <w:tc>
          <w:tcPr>
            <w:tcW w:w="720" w:type="dxa"/>
          </w:tcPr>
          <w:p w:rsidR="007A6723" w:rsidRDefault="007A6723" w:rsidP="00AB5B6D">
            <w:pPr>
              <w:jc w:val="center"/>
              <w:rPr>
                <w:sz w:val="22"/>
                <w:lang w:val="en-US"/>
              </w:rPr>
            </w:pPr>
          </w:p>
        </w:tc>
      </w:tr>
    </w:tbl>
    <w:p w:rsidR="007A6723" w:rsidRPr="00036EE3" w:rsidRDefault="007A6723" w:rsidP="007A672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A6723" w:rsidRPr="00D722CF" w:rsidTr="00AB5B6D">
        <w:tc>
          <w:tcPr>
            <w:tcW w:w="9360" w:type="dxa"/>
          </w:tcPr>
          <w:p w:rsidR="007A6723" w:rsidRPr="002F5199" w:rsidRDefault="007A6723" w:rsidP="00AB5B6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A6723" w:rsidRDefault="007A6723" w:rsidP="007A6723">
      <w:pPr>
        <w:spacing w:before="0"/>
        <w:jc w:val="center"/>
        <w:rPr>
          <w:sz w:val="22"/>
          <w:lang w:val="en-US"/>
        </w:rPr>
      </w:pPr>
    </w:p>
    <w:p w:rsidR="007A6723" w:rsidRDefault="007A6723" w:rsidP="007A6723">
      <w:pPr>
        <w:spacing w:before="0"/>
        <w:jc w:val="center"/>
        <w:rPr>
          <w:sz w:val="22"/>
          <w:lang w:val="en-US"/>
        </w:rPr>
      </w:pPr>
    </w:p>
    <w:p w:rsidR="007A6723" w:rsidRPr="002F5199" w:rsidRDefault="007A6723" w:rsidP="007A6723">
      <w:pPr>
        <w:spacing w:before="0"/>
        <w:jc w:val="right"/>
        <w:rPr>
          <w:i/>
          <w:iCs/>
          <w:sz w:val="20"/>
          <w:lang w:val="en-US"/>
        </w:rPr>
      </w:pPr>
      <w:r w:rsidRPr="002F5199">
        <w:rPr>
          <w:i/>
          <w:iCs/>
          <w:sz w:val="20"/>
          <w:lang w:val="en-US"/>
        </w:rPr>
        <w:t>Electronic Publication</w:t>
      </w:r>
    </w:p>
    <w:p w:rsidR="007A6723" w:rsidRPr="002F5199" w:rsidRDefault="007A6723" w:rsidP="003F0D1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F0D10">
        <w:rPr>
          <w:sz w:val="20"/>
          <w:lang w:val="en-US"/>
        </w:rPr>
        <w:t>9</w:t>
      </w:r>
    </w:p>
    <w:p w:rsidR="007A6723" w:rsidRDefault="007A6723" w:rsidP="007A6723">
      <w:pPr>
        <w:jc w:val="center"/>
        <w:rPr>
          <w:sz w:val="22"/>
          <w:lang w:val="en-US"/>
        </w:rPr>
      </w:pPr>
    </w:p>
    <w:p w:rsidR="007A6723" w:rsidRPr="00470E28" w:rsidRDefault="007A6723" w:rsidP="003F0D1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3F0D10">
        <w:rPr>
          <w:sz w:val="20"/>
          <w:lang w:val="en-US"/>
        </w:rPr>
        <w:t>9</w:t>
      </w:r>
    </w:p>
    <w:p w:rsidR="007A6723" w:rsidRPr="00470E28" w:rsidRDefault="007A6723" w:rsidP="007A672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A6723" w:rsidRDefault="007A6723" w:rsidP="007A6723">
      <w:pPr>
        <w:spacing w:before="160"/>
        <w:rPr>
          <w:i/>
          <w:sz w:val="20"/>
          <w:lang w:val="en-US"/>
        </w:rPr>
        <w:sectPr w:rsidR="007A6723"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A6723" w:rsidRPr="00052F66" w:rsidRDefault="007A6723" w:rsidP="00774A3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A56304">
        <w:rPr>
          <w:rStyle w:val="href"/>
          <w:lang w:val="en-US"/>
        </w:rPr>
        <w:t>1</w:t>
      </w:r>
      <w:r w:rsidR="00774A3C">
        <w:rPr>
          <w:rStyle w:val="href"/>
          <w:lang w:val="en-US"/>
        </w:rPr>
        <w:t>462</w:t>
      </w:r>
      <w:r w:rsidR="00A56304">
        <w:rPr>
          <w:rStyle w:val="href"/>
          <w:lang w:val="en-US"/>
        </w:rPr>
        <w:t>-1</w:t>
      </w:r>
    </w:p>
    <w:p w:rsidR="007A6723" w:rsidRPr="00774A3C" w:rsidRDefault="00774A3C" w:rsidP="00774A3C">
      <w:pPr>
        <w:pStyle w:val="Rectitle"/>
        <w:rPr>
          <w:lang w:val="en-GB"/>
        </w:rPr>
      </w:pPr>
      <w:r w:rsidRPr="00774A3C">
        <w:rPr>
          <w:lang w:val="en-GB"/>
        </w:rPr>
        <w:t>Characteristics of and protection criteria for radars operating in the radiolocation service in the frequency range 420-450 MHz</w:t>
      </w:r>
    </w:p>
    <w:p w:rsidR="003F0D10" w:rsidRDefault="003F0D10" w:rsidP="00774A3C">
      <w:pPr>
        <w:pStyle w:val="Recdate"/>
        <w:rPr>
          <w:sz w:val="22"/>
          <w:lang w:val="en-US"/>
        </w:rPr>
      </w:pPr>
      <w:r>
        <w:rPr>
          <w:lang w:val="en-US"/>
        </w:rPr>
        <w:t>(</w:t>
      </w:r>
      <w:r w:rsidR="00A56304">
        <w:rPr>
          <w:lang w:val="en-US"/>
        </w:rPr>
        <w:t>200</w:t>
      </w:r>
      <w:r w:rsidR="00774A3C">
        <w:rPr>
          <w:lang w:val="en-US"/>
        </w:rPr>
        <w:t>0</w:t>
      </w:r>
      <w:r w:rsidR="00A56304">
        <w:rPr>
          <w:lang w:val="en-US"/>
        </w:rPr>
        <w:t>-</w:t>
      </w:r>
      <w:r>
        <w:rPr>
          <w:lang w:val="en-US"/>
        </w:rPr>
        <w:t>2019)</w:t>
      </w:r>
    </w:p>
    <w:p w:rsidR="00774A3C" w:rsidRDefault="00774A3C" w:rsidP="00774A3C">
      <w:pPr>
        <w:pStyle w:val="HeadingSum"/>
        <w:rPr>
          <w:szCs w:val="22"/>
          <w:lang w:val="en-US"/>
        </w:rPr>
      </w:pPr>
      <w:r>
        <w:rPr>
          <w:szCs w:val="22"/>
          <w:lang w:val="en-US"/>
        </w:rPr>
        <w:t>Scope</w:t>
      </w:r>
    </w:p>
    <w:p w:rsidR="00774A3C" w:rsidRPr="00D722CF" w:rsidRDefault="00774A3C" w:rsidP="004550EE">
      <w:pPr>
        <w:pStyle w:val="Summary"/>
        <w:rPr>
          <w:lang w:val="en-GB"/>
        </w:rPr>
      </w:pPr>
      <w:r w:rsidRPr="00D722CF">
        <w:rPr>
          <w:lang w:val="en-GB"/>
        </w:rPr>
        <w:t>This Recommendation contains the technical and operational characteristics of the radiolocation systems operating in the frequency range 420</w:t>
      </w:r>
      <w:r w:rsidRPr="00D722CF">
        <w:rPr>
          <w:lang w:val="en-GB"/>
        </w:rPr>
        <w:noBreakHyphen/>
        <w:t>450 MHz. The parameters are intended to be used as a guideline in analyzing compatibility between radars operating in the radiodetermination service with systems in other services.</w:t>
      </w:r>
    </w:p>
    <w:p w:rsidR="00774A3C" w:rsidRDefault="00774A3C" w:rsidP="00774A3C">
      <w:pPr>
        <w:pStyle w:val="Headingb"/>
        <w:rPr>
          <w:lang w:val="en-GB"/>
        </w:rPr>
      </w:pPr>
      <w:r>
        <w:rPr>
          <w:lang w:val="en-US"/>
        </w:rPr>
        <w:t>Keywords</w:t>
      </w:r>
    </w:p>
    <w:p w:rsidR="00774A3C" w:rsidRDefault="00774A3C" w:rsidP="00774A3C">
      <w:pPr>
        <w:rPr>
          <w:lang w:val="en-GB"/>
        </w:rPr>
      </w:pPr>
      <w:r w:rsidRPr="004550EE">
        <w:rPr>
          <w:lang w:val="en-GB"/>
        </w:rPr>
        <w:t>Radar, characteristics, protection criteria</w:t>
      </w:r>
    </w:p>
    <w:p w:rsidR="00774A3C" w:rsidRDefault="00774A3C" w:rsidP="00774A3C">
      <w:pPr>
        <w:pStyle w:val="Headingb"/>
        <w:rPr>
          <w:lang w:val="en-GB"/>
        </w:rPr>
      </w:pPr>
      <w:r>
        <w:rPr>
          <w:lang w:val="en-US"/>
        </w:rPr>
        <w:t>Abbreviations</w:t>
      </w:r>
      <w:r>
        <w:rPr>
          <w:lang w:val="en-GB"/>
        </w:rPr>
        <w:t>/Glossary</w:t>
      </w:r>
    </w:p>
    <w:p w:rsidR="00774A3C" w:rsidRDefault="00774A3C" w:rsidP="00774A3C">
      <w:pPr>
        <w:rPr>
          <w:lang w:val="en-GB"/>
        </w:rPr>
      </w:pPr>
      <w:r w:rsidRPr="004550EE">
        <w:rPr>
          <w:lang w:val="en-GB"/>
        </w:rPr>
        <w:t xml:space="preserve">IF: </w:t>
      </w:r>
      <w:r w:rsidRPr="004550EE">
        <w:rPr>
          <w:lang w:val="en-GB"/>
        </w:rPr>
        <w:tab/>
        <w:t>Intermediate Frequency</w:t>
      </w:r>
    </w:p>
    <w:p w:rsidR="00774A3C" w:rsidRPr="004550EE" w:rsidRDefault="00774A3C" w:rsidP="00774A3C">
      <w:pPr>
        <w:rPr>
          <w:lang w:val="en-GB"/>
        </w:rPr>
      </w:pPr>
      <w:r w:rsidRPr="004550EE">
        <w:rPr>
          <w:lang w:val="en-GB"/>
        </w:rPr>
        <w:t>I/N:</w:t>
      </w:r>
      <w:r w:rsidRPr="004550EE">
        <w:rPr>
          <w:lang w:val="en-GB"/>
        </w:rPr>
        <w:tab/>
        <w:t>Interfering to noise ratio</w:t>
      </w:r>
    </w:p>
    <w:p w:rsidR="00774A3C" w:rsidRPr="004550EE" w:rsidRDefault="00774A3C" w:rsidP="00774A3C">
      <w:pPr>
        <w:rPr>
          <w:lang w:val="en-GB"/>
        </w:rPr>
      </w:pPr>
      <w:r w:rsidRPr="004550EE">
        <w:rPr>
          <w:lang w:val="en-GB"/>
        </w:rPr>
        <w:t>RF:</w:t>
      </w:r>
      <w:r w:rsidRPr="004550EE">
        <w:rPr>
          <w:lang w:val="en-GB"/>
        </w:rPr>
        <w:tab/>
        <w:t>Radio Frequency</w:t>
      </w:r>
    </w:p>
    <w:p w:rsidR="00774A3C" w:rsidRDefault="00774A3C" w:rsidP="00774A3C">
      <w:pPr>
        <w:pStyle w:val="Headingb"/>
        <w:rPr>
          <w:lang w:val="en-GB"/>
        </w:rPr>
      </w:pPr>
      <w:r>
        <w:rPr>
          <w:lang w:val="en-GB"/>
        </w:rPr>
        <w:t>Related ITU Recommendations, Reports</w:t>
      </w:r>
    </w:p>
    <w:p w:rsidR="00774A3C" w:rsidRDefault="00774A3C" w:rsidP="004550EE">
      <w:pPr>
        <w:pStyle w:val="Reftext"/>
        <w:rPr>
          <w:bCs/>
          <w:szCs w:val="24"/>
          <w:lang w:val="en-GB"/>
        </w:rPr>
      </w:pPr>
      <w:r w:rsidRPr="004550EE">
        <w:rPr>
          <w:lang w:val="en-GB"/>
        </w:rPr>
        <w:t xml:space="preserve">Recommendation </w:t>
      </w:r>
      <w:hyperlink r:id="rId13" w:history="1">
        <w:r w:rsidRPr="00D722CF">
          <w:rPr>
            <w:rStyle w:val="Hyperlink"/>
            <w:color w:val="auto"/>
            <w:u w:val="none"/>
            <w:lang w:val="en-GB"/>
          </w:rPr>
          <w:t>ITU-R M.1372</w:t>
        </w:r>
      </w:hyperlink>
      <w:r w:rsidRPr="004550EE">
        <w:rPr>
          <w:lang w:val="en-GB"/>
        </w:rPr>
        <w:t xml:space="preserve"> – Efficient use of the radio spectrum by radar stations in the radiodetermination service</w:t>
      </w:r>
    </w:p>
    <w:p w:rsidR="00774A3C" w:rsidRPr="004550EE" w:rsidRDefault="00774A3C" w:rsidP="004550EE">
      <w:pPr>
        <w:pStyle w:val="Reftext"/>
        <w:rPr>
          <w:bCs/>
          <w:szCs w:val="24"/>
          <w:lang w:val="en-GB"/>
        </w:rPr>
      </w:pPr>
      <w:r w:rsidRPr="00D722CF">
        <w:rPr>
          <w:lang w:val="en-GB"/>
        </w:rPr>
        <w:t>Recommendation</w:t>
      </w:r>
      <w:r w:rsidRPr="00D722CF">
        <w:rPr>
          <w:i/>
          <w:iCs/>
          <w:lang w:val="en-GB"/>
        </w:rPr>
        <w:t xml:space="preserve"> </w:t>
      </w:r>
      <w:hyperlink r:id="rId14" w:history="1">
        <w:r w:rsidRPr="00D722CF">
          <w:rPr>
            <w:rStyle w:val="Hyperlink"/>
            <w:color w:val="auto"/>
            <w:szCs w:val="24"/>
            <w:u w:val="none"/>
            <w:lang w:val="en-GB"/>
          </w:rPr>
          <w:t>ITU-R</w:t>
        </w:r>
        <w:r w:rsidRPr="00D722CF">
          <w:rPr>
            <w:rStyle w:val="Hyperlink"/>
            <w:color w:val="auto"/>
            <w:u w:val="none"/>
            <w:lang w:val="en-GB"/>
          </w:rPr>
          <w:t xml:space="preserve"> M.1461</w:t>
        </w:r>
      </w:hyperlink>
      <w:r w:rsidRPr="004550EE">
        <w:rPr>
          <w:lang w:val="en-GB"/>
        </w:rPr>
        <w:t xml:space="preserve"> – Procedures for determining the potential for interference between radars operating in the radiodetermination service and systems in other services</w:t>
      </w:r>
      <w:r w:rsidR="00D722CF">
        <w:rPr>
          <w:lang w:val="en-GB"/>
        </w:rPr>
        <w:t>.</w:t>
      </w:r>
    </w:p>
    <w:p w:rsidR="00774A3C" w:rsidRDefault="00774A3C" w:rsidP="00774A3C">
      <w:pPr>
        <w:pStyle w:val="Normalaftertitle0"/>
      </w:pPr>
      <w:r>
        <w:t>The ITU Radiocommunication Assembly,</w:t>
      </w:r>
    </w:p>
    <w:p w:rsidR="00774A3C" w:rsidRPr="004550EE" w:rsidRDefault="00774A3C" w:rsidP="00774A3C">
      <w:pPr>
        <w:pStyle w:val="Call"/>
        <w:rPr>
          <w:lang w:val="en-GB"/>
        </w:rPr>
      </w:pPr>
      <w:r w:rsidRPr="004550EE">
        <w:rPr>
          <w:lang w:val="en-GB"/>
        </w:rPr>
        <w:t>considering</w:t>
      </w:r>
    </w:p>
    <w:p w:rsidR="00774A3C" w:rsidRPr="004550EE" w:rsidRDefault="00774A3C" w:rsidP="00774A3C">
      <w:pPr>
        <w:rPr>
          <w:lang w:val="en-GB"/>
        </w:rPr>
      </w:pPr>
      <w:r w:rsidRPr="004550EE">
        <w:rPr>
          <w:i/>
          <w:iCs/>
          <w:lang w:val="en-GB"/>
        </w:rPr>
        <w:t>a)</w:t>
      </w:r>
      <w:r w:rsidRPr="004550EE">
        <w:rPr>
          <w:lang w:val="en-GB"/>
        </w:rPr>
        <w:tab/>
        <w:t>that antenna, signal propagation, target detection and large necessary bandwidth characteristics of radar to achieve their functions are optimum in certain frequency bands;</w:t>
      </w:r>
    </w:p>
    <w:p w:rsidR="00774A3C" w:rsidRPr="004550EE" w:rsidRDefault="00774A3C" w:rsidP="00774A3C">
      <w:pPr>
        <w:rPr>
          <w:lang w:val="en-GB"/>
        </w:rPr>
      </w:pPr>
      <w:r w:rsidRPr="004550EE">
        <w:rPr>
          <w:i/>
          <w:iCs/>
          <w:lang w:val="en-GB"/>
        </w:rPr>
        <w:t>b)</w:t>
      </w:r>
      <w:r w:rsidRPr="004550EE">
        <w:rPr>
          <w:lang w:val="en-GB"/>
        </w:rPr>
        <w:tab/>
        <w:t>that the technical characteristics of radars operating in the radiodetermination service are determined by the mission of the system and vary widely even within a band;</w:t>
      </w:r>
    </w:p>
    <w:p w:rsidR="00774A3C" w:rsidRPr="004550EE" w:rsidRDefault="00774A3C" w:rsidP="00AE24B0">
      <w:pPr>
        <w:rPr>
          <w:lang w:val="en-GB"/>
        </w:rPr>
      </w:pPr>
      <w:r w:rsidRPr="004550EE">
        <w:rPr>
          <w:i/>
          <w:iCs/>
          <w:lang w:val="en-GB"/>
        </w:rPr>
        <w:t>c)</w:t>
      </w:r>
      <w:r w:rsidRPr="004550EE">
        <w:rPr>
          <w:lang w:val="en-GB"/>
        </w:rPr>
        <w:tab/>
        <w:t>that propagation and target detection characteristics to achieve these functions are optimum in certain frequency bands, and that 420-450 MHz is particularly useful for very long range (e.g. space) object identification, tracking, and cataloguing by terrestrial radars</w:t>
      </w:r>
      <w:r w:rsidR="00AE24B0">
        <w:rPr>
          <w:lang w:val="en-GB"/>
        </w:rPr>
        <w:t>,</w:t>
      </w:r>
    </w:p>
    <w:p w:rsidR="00774A3C" w:rsidRPr="004550EE" w:rsidRDefault="00774A3C" w:rsidP="00774A3C">
      <w:pPr>
        <w:pStyle w:val="Call"/>
        <w:rPr>
          <w:lang w:val="en-GB"/>
        </w:rPr>
      </w:pPr>
      <w:r w:rsidRPr="004550EE">
        <w:rPr>
          <w:lang w:val="en-GB"/>
        </w:rPr>
        <w:t>recognizing</w:t>
      </w:r>
    </w:p>
    <w:p w:rsidR="00774A3C" w:rsidRPr="004550EE" w:rsidRDefault="00774A3C" w:rsidP="00774A3C">
      <w:pPr>
        <w:rPr>
          <w:lang w:val="en-GB"/>
        </w:rPr>
      </w:pPr>
      <w:r w:rsidRPr="004550EE">
        <w:rPr>
          <w:i/>
          <w:iCs/>
          <w:lang w:val="en-GB"/>
        </w:rPr>
        <w:t>a)</w:t>
      </w:r>
      <w:r w:rsidRPr="004550EE">
        <w:rPr>
          <w:lang w:val="en-GB"/>
        </w:rPr>
        <w:tab/>
        <w:t>that the frequency bands 420-450 MHz, or portions thereof, are allocated globally to the fixed, radiolocation, amateur, Earth exploration-satellite (active) and mobile except aeronautical mobile services;</w:t>
      </w:r>
    </w:p>
    <w:p w:rsidR="00774A3C" w:rsidRPr="004550EE" w:rsidRDefault="00774A3C" w:rsidP="00774A3C">
      <w:pPr>
        <w:rPr>
          <w:lang w:val="en-GB"/>
        </w:rPr>
      </w:pPr>
      <w:r w:rsidRPr="004550EE">
        <w:rPr>
          <w:i/>
          <w:iCs/>
          <w:lang w:val="en-GB"/>
        </w:rPr>
        <w:t>b)</w:t>
      </w:r>
      <w:r w:rsidRPr="004550EE">
        <w:rPr>
          <w:lang w:val="en-GB"/>
        </w:rPr>
        <w:tab/>
        <w:t>that there are several other allocations in the frequency range 420-450 MHz made by footnotes to the table of allocation,</w:t>
      </w:r>
    </w:p>
    <w:p w:rsidR="00774A3C" w:rsidRPr="004550EE" w:rsidRDefault="00774A3C" w:rsidP="00774A3C">
      <w:pPr>
        <w:pStyle w:val="Call"/>
        <w:rPr>
          <w:lang w:val="en-GB"/>
        </w:rPr>
      </w:pPr>
      <w:r w:rsidRPr="004550EE">
        <w:rPr>
          <w:lang w:val="en-GB"/>
        </w:rPr>
        <w:lastRenderedPageBreak/>
        <w:t>noting</w:t>
      </w:r>
    </w:p>
    <w:p w:rsidR="00774A3C" w:rsidRPr="004550EE" w:rsidRDefault="00774A3C" w:rsidP="00774A3C">
      <w:pPr>
        <w:rPr>
          <w:lang w:val="en-GB"/>
        </w:rPr>
      </w:pPr>
      <w:r w:rsidRPr="004550EE">
        <w:rPr>
          <w:lang w:val="en-GB"/>
        </w:rPr>
        <w:t xml:space="preserve">that when the radiolocation service, is allocated on a secondary basis, </w:t>
      </w:r>
      <w:r>
        <w:rPr>
          <w:lang w:val="en-US"/>
        </w:rPr>
        <w:t>mitigation techniques or operational measures</w:t>
      </w:r>
      <w:r w:rsidRPr="004550EE">
        <w:rPr>
          <w:lang w:val="en-GB"/>
        </w:rPr>
        <w:t xml:space="preserve"> may need to be applied to protect services which are allocated on a primary basis,</w:t>
      </w:r>
    </w:p>
    <w:p w:rsidR="00774A3C" w:rsidRPr="004550EE" w:rsidRDefault="00774A3C" w:rsidP="00774A3C">
      <w:pPr>
        <w:pStyle w:val="Call"/>
        <w:rPr>
          <w:lang w:val="en-GB"/>
        </w:rPr>
      </w:pPr>
      <w:r w:rsidRPr="004550EE">
        <w:rPr>
          <w:lang w:val="en-GB"/>
        </w:rPr>
        <w:t>recommends</w:t>
      </w:r>
    </w:p>
    <w:p w:rsidR="00774A3C" w:rsidRPr="004550EE" w:rsidRDefault="00774A3C" w:rsidP="00774A3C">
      <w:pPr>
        <w:rPr>
          <w:lang w:val="en-GB"/>
        </w:rPr>
      </w:pPr>
      <w:r w:rsidRPr="004550EE">
        <w:rPr>
          <w:b/>
          <w:bCs/>
          <w:lang w:val="en-GB"/>
        </w:rPr>
        <w:t>1</w:t>
      </w:r>
      <w:r w:rsidRPr="004550EE">
        <w:rPr>
          <w:lang w:val="en-GB"/>
        </w:rPr>
        <w:tab/>
        <w:t>that the technical and operational characteristics of the radiolocation systems described in Annex 1 should be considered representative of those operating in the frequency range 420</w:t>
      </w:r>
      <w:r w:rsidRPr="004550EE">
        <w:rPr>
          <w:lang w:val="en-GB"/>
        </w:rPr>
        <w:noBreakHyphen/>
        <w:t>450 MHz;</w:t>
      </w:r>
    </w:p>
    <w:p w:rsidR="00774A3C" w:rsidRPr="004550EE" w:rsidRDefault="00774A3C" w:rsidP="00774A3C">
      <w:pPr>
        <w:rPr>
          <w:lang w:val="en-GB"/>
        </w:rPr>
      </w:pPr>
      <w:r w:rsidRPr="004550EE">
        <w:rPr>
          <w:b/>
          <w:bCs/>
          <w:lang w:val="en-GB"/>
        </w:rPr>
        <w:t>2</w:t>
      </w:r>
      <w:r w:rsidRPr="004550EE">
        <w:rPr>
          <w:lang w:val="en-GB"/>
        </w:rPr>
        <w:tab/>
        <w:t>that Recommendation ITU-R M.1461 should be used as a guideline in analysing compatibility between radars operating in the radiodetermination service with systems in other services;</w:t>
      </w:r>
    </w:p>
    <w:p w:rsidR="00774A3C" w:rsidRPr="004550EE" w:rsidRDefault="00774A3C" w:rsidP="00AE24B0">
      <w:pPr>
        <w:rPr>
          <w:lang w:val="en-GB"/>
        </w:rPr>
      </w:pPr>
      <w:r w:rsidRPr="004550EE">
        <w:rPr>
          <w:b/>
          <w:bCs/>
          <w:lang w:val="en-GB"/>
        </w:rPr>
        <w:t>3</w:t>
      </w:r>
      <w:r w:rsidRPr="004550EE">
        <w:rPr>
          <w:lang w:val="en-GB"/>
        </w:rPr>
        <w:tab/>
        <w:t xml:space="preserve">that an interfering signal power to radar receiver noise power level, </w:t>
      </w:r>
      <w:r w:rsidRPr="004550EE">
        <w:rPr>
          <w:i/>
          <w:iCs/>
          <w:lang w:val="en-GB"/>
        </w:rPr>
        <w:t>I</w:t>
      </w:r>
      <w:r w:rsidRPr="004550EE">
        <w:rPr>
          <w:lang w:val="en-GB"/>
        </w:rPr>
        <w:t>/</w:t>
      </w:r>
      <w:r w:rsidRPr="004550EE">
        <w:rPr>
          <w:i/>
          <w:iCs/>
          <w:lang w:val="en-GB"/>
        </w:rPr>
        <w:t>N</w:t>
      </w:r>
      <w:r w:rsidRPr="004550EE">
        <w:rPr>
          <w:lang w:val="en-GB"/>
        </w:rPr>
        <w:t xml:space="preserve"> of </w:t>
      </w:r>
      <w:r w:rsidR="00AE24B0">
        <w:rPr>
          <w:lang w:val="en-GB"/>
        </w:rPr>
        <w:t>−</w:t>
      </w:r>
      <w:r w:rsidRPr="004550EE">
        <w:rPr>
          <w:lang w:val="en-GB"/>
        </w:rPr>
        <w:t xml:space="preserve">6 dB should be used as the required protection level for the radiolocation systems, and that this </w:t>
      </w:r>
      <w:r w:rsidRPr="004550EE">
        <w:rPr>
          <w:i/>
          <w:iCs/>
          <w:lang w:val="en-GB"/>
        </w:rPr>
        <w:t>I</w:t>
      </w:r>
      <w:r w:rsidRPr="004550EE">
        <w:rPr>
          <w:lang w:val="en-GB"/>
        </w:rPr>
        <w:t>/</w:t>
      </w:r>
      <w:r w:rsidRPr="004550EE">
        <w:rPr>
          <w:i/>
          <w:iCs/>
          <w:lang w:val="en-GB"/>
        </w:rPr>
        <w:t xml:space="preserve">N </w:t>
      </w:r>
      <w:r w:rsidRPr="004550EE">
        <w:rPr>
          <w:lang w:val="en-GB"/>
        </w:rPr>
        <w:t>represents the net protection level if multiple interferers are present (see Note 1).</w:t>
      </w:r>
    </w:p>
    <w:p w:rsidR="00774A3C" w:rsidRPr="004550EE" w:rsidRDefault="00774A3C" w:rsidP="00774A3C">
      <w:pPr>
        <w:rPr>
          <w:lang w:val="en-GB"/>
        </w:rPr>
      </w:pPr>
      <w:r w:rsidRPr="00AE24B0">
        <w:rPr>
          <w:b/>
          <w:bCs/>
          <w:lang w:val="en-GB"/>
        </w:rPr>
        <w:t>4</w:t>
      </w:r>
      <w:r w:rsidRPr="004550EE">
        <w:rPr>
          <w:lang w:val="en-GB"/>
        </w:rPr>
        <w:tab/>
        <w:t>that the following Note should be considered part of this Recommendation.</w:t>
      </w:r>
    </w:p>
    <w:p w:rsidR="00774A3C" w:rsidRPr="004550EE" w:rsidRDefault="00774A3C" w:rsidP="00AE24B0">
      <w:pPr>
        <w:rPr>
          <w:lang w:val="en-GB"/>
        </w:rPr>
      </w:pPr>
      <w:r w:rsidRPr="004550EE">
        <w:rPr>
          <w:lang w:val="en-GB"/>
        </w:rPr>
        <w:t>NOTE</w:t>
      </w:r>
      <w:r w:rsidR="00D722CF">
        <w:rPr>
          <w:lang w:val="en-GB"/>
        </w:rPr>
        <w:t xml:space="preserve"> 1</w:t>
      </w:r>
      <w:r w:rsidRPr="004550EE">
        <w:rPr>
          <w:lang w:val="en-GB"/>
        </w:rPr>
        <w:t xml:space="preserve"> – The protection criterion given in </w:t>
      </w:r>
      <w:r w:rsidRPr="004550EE">
        <w:rPr>
          <w:i/>
          <w:iCs/>
          <w:lang w:val="en-GB"/>
        </w:rPr>
        <w:t>recommends</w:t>
      </w:r>
      <w:r w:rsidRPr="004550EE">
        <w:rPr>
          <w:lang w:val="en-GB"/>
        </w:rPr>
        <w:t xml:space="preserve"> 3 should not be applied to the space object tracking radars described in Annex 1; these are highly sensitive radars that cannot tolerate the resulting 6% degradation in detection range (corresponding to a 19% loss of surveillance volume). Specialized studies of compatibility with these radars are required.</w:t>
      </w:r>
    </w:p>
    <w:p w:rsidR="00774A3C" w:rsidRDefault="00774A3C" w:rsidP="00774A3C">
      <w:pPr>
        <w:pStyle w:val="Note"/>
        <w:rPr>
          <w:lang w:val="en-GB"/>
        </w:rPr>
      </w:pPr>
    </w:p>
    <w:p w:rsidR="00AE24B0" w:rsidRPr="004550EE" w:rsidRDefault="00AE24B0" w:rsidP="00774A3C">
      <w:pPr>
        <w:pStyle w:val="Note"/>
        <w:rPr>
          <w:lang w:val="en-GB"/>
        </w:rPr>
      </w:pPr>
    </w:p>
    <w:p w:rsidR="00774A3C" w:rsidRPr="00AE24B0" w:rsidRDefault="00774A3C" w:rsidP="00AE24B0">
      <w:pPr>
        <w:pStyle w:val="AnnexNoTitle"/>
        <w:rPr>
          <w:lang w:val="en-GB"/>
        </w:rPr>
      </w:pPr>
      <w:r w:rsidRPr="00AE24B0">
        <w:rPr>
          <w:lang w:val="en-GB"/>
        </w:rPr>
        <w:t>A</w:t>
      </w:r>
      <w:r w:rsidR="00AE24B0" w:rsidRPr="00AE24B0">
        <w:rPr>
          <w:lang w:val="en-GB"/>
        </w:rPr>
        <w:t xml:space="preserve">nnex </w:t>
      </w:r>
      <w:r w:rsidRPr="00AE24B0">
        <w:rPr>
          <w:lang w:val="en-GB"/>
        </w:rPr>
        <w:t>1</w:t>
      </w:r>
      <w:r w:rsidR="00AE24B0" w:rsidRPr="00AE24B0">
        <w:rPr>
          <w:lang w:val="en-GB"/>
        </w:rPr>
        <w:br/>
      </w:r>
      <w:r w:rsidR="00AE24B0" w:rsidRPr="00AE24B0">
        <w:rPr>
          <w:lang w:val="en-GB"/>
        </w:rPr>
        <w:br/>
      </w:r>
      <w:r w:rsidRPr="00AE24B0">
        <w:rPr>
          <w:lang w:val="en-GB"/>
        </w:rPr>
        <w:t xml:space="preserve">Technical and operational characteristics of radiolocation systems </w:t>
      </w:r>
      <w:r w:rsidRPr="00AE24B0">
        <w:rPr>
          <w:lang w:val="en-GB"/>
        </w:rPr>
        <w:br/>
        <w:t>operating in the frequency range 420-450 MHz</w:t>
      </w:r>
    </w:p>
    <w:p w:rsidR="00774A3C" w:rsidRPr="004550EE" w:rsidRDefault="00774A3C" w:rsidP="00774A3C">
      <w:pPr>
        <w:pStyle w:val="Heading1"/>
        <w:rPr>
          <w:lang w:val="en-GB"/>
        </w:rPr>
      </w:pPr>
      <w:r w:rsidRPr="004550EE">
        <w:rPr>
          <w:lang w:val="en-GB"/>
        </w:rPr>
        <w:t>1</w:t>
      </w:r>
      <w:r w:rsidRPr="004550EE">
        <w:rPr>
          <w:lang w:val="en-GB"/>
        </w:rPr>
        <w:tab/>
        <w:t>Introduction</w:t>
      </w:r>
    </w:p>
    <w:p w:rsidR="00774A3C" w:rsidRPr="004550EE" w:rsidRDefault="00774A3C" w:rsidP="00774A3C">
      <w:pPr>
        <w:rPr>
          <w:lang w:val="en-GB"/>
        </w:rPr>
      </w:pPr>
      <w:r w:rsidRPr="004550EE">
        <w:rPr>
          <w:lang w:val="en-GB"/>
        </w:rPr>
        <w:t>High power airborne, shipborne and ground radars operate in the frequency range 420-450 MHz. Their operational and technical characteristics are described in the following sections.</w:t>
      </w:r>
    </w:p>
    <w:p w:rsidR="00774A3C" w:rsidRPr="004550EE" w:rsidRDefault="00774A3C" w:rsidP="00774A3C">
      <w:pPr>
        <w:pStyle w:val="Heading1"/>
        <w:rPr>
          <w:lang w:val="en-GB"/>
        </w:rPr>
      </w:pPr>
      <w:r w:rsidRPr="004550EE">
        <w:rPr>
          <w:lang w:val="en-GB"/>
        </w:rPr>
        <w:t>2</w:t>
      </w:r>
      <w:r w:rsidRPr="004550EE">
        <w:rPr>
          <w:lang w:val="en-GB"/>
        </w:rPr>
        <w:tab/>
        <w:t>Characteristics of radars in the 420-450 MHz range</w:t>
      </w:r>
    </w:p>
    <w:p w:rsidR="00774A3C" w:rsidRPr="004550EE" w:rsidRDefault="00774A3C" w:rsidP="00774A3C">
      <w:pPr>
        <w:rPr>
          <w:lang w:val="en-GB"/>
        </w:rPr>
      </w:pPr>
      <w:r w:rsidRPr="004550EE">
        <w:rPr>
          <w:lang w:val="en-GB"/>
        </w:rPr>
        <w:t>Representative characteristics of radiolocation systems in the band 420-450 MHz are provided in the following paragraphs. The information presented in this Annex is sufficient for general calculations to assess the compatibility between these radars and other systems.</w:t>
      </w:r>
    </w:p>
    <w:p w:rsidR="00774A3C" w:rsidRPr="004550EE" w:rsidRDefault="00774A3C" w:rsidP="00774A3C">
      <w:pPr>
        <w:pStyle w:val="Heading2"/>
        <w:rPr>
          <w:lang w:val="en-GB"/>
        </w:rPr>
      </w:pPr>
      <w:r w:rsidRPr="004550EE">
        <w:rPr>
          <w:lang w:val="en-GB"/>
        </w:rPr>
        <w:t>2.1</w:t>
      </w:r>
      <w:r w:rsidRPr="004550EE">
        <w:rPr>
          <w:lang w:val="en-GB"/>
        </w:rPr>
        <w:tab/>
        <w:t>Ground radars</w:t>
      </w:r>
    </w:p>
    <w:p w:rsidR="00774A3C" w:rsidRPr="004550EE" w:rsidRDefault="00774A3C" w:rsidP="00774A3C">
      <w:pPr>
        <w:rPr>
          <w:lang w:val="en-GB"/>
        </w:rPr>
      </w:pPr>
      <w:r w:rsidRPr="004550EE">
        <w:rPr>
          <w:lang w:val="en-GB"/>
        </w:rPr>
        <w:t xml:space="preserve">The frequency band 420-450 MHz provides unique characteristics that are ideal for long range detection, identification, and tracking of objects. </w:t>
      </w:r>
    </w:p>
    <w:p w:rsidR="00774A3C" w:rsidRPr="004550EE" w:rsidRDefault="00774A3C" w:rsidP="00774A3C">
      <w:pPr>
        <w:rPr>
          <w:lang w:val="en-GB"/>
        </w:rPr>
      </w:pPr>
      <w:r w:rsidRPr="004550EE">
        <w:rPr>
          <w:lang w:val="en-GB"/>
        </w:rPr>
        <w:t>Radar A tracks and catalogues space objects using transmitter output powers of up to 5 MW and high antenna gains. The radars operate continuously; around the clock and year round. They scan from a surveillance “fence” from around 3</w:t>
      </w:r>
      <w:r>
        <w:rPr>
          <w:rFonts w:ascii="Symbol" w:hAnsi="Symbol"/>
        </w:rPr>
        <w:t></w:t>
      </w:r>
      <w:r w:rsidRPr="004550EE">
        <w:rPr>
          <w:lang w:val="en-GB"/>
        </w:rPr>
        <w:t xml:space="preserve"> up to 60</w:t>
      </w:r>
      <w:r>
        <w:rPr>
          <w:rFonts w:ascii="Symbol" w:hAnsi="Symbol"/>
        </w:rPr>
        <w:t></w:t>
      </w:r>
      <w:r w:rsidRPr="004550EE">
        <w:rPr>
          <w:lang w:val="en-GB"/>
        </w:rPr>
        <w:t xml:space="preserve"> in elevation, in 120</w:t>
      </w:r>
      <w:r>
        <w:rPr>
          <w:rFonts w:ascii="Symbol" w:hAnsi="Symbol"/>
        </w:rPr>
        <w:t></w:t>
      </w:r>
      <w:r w:rsidRPr="004550EE">
        <w:rPr>
          <w:lang w:val="en-GB"/>
        </w:rPr>
        <w:t xml:space="preserve"> sectors in azimuth. The radar receivers are very sensitive in order to detect returns from exo</w:t>
      </w:r>
      <w:r w:rsidRPr="004550EE">
        <w:rPr>
          <w:lang w:val="en-GB"/>
        </w:rPr>
        <w:noBreakHyphen/>
        <w:t xml:space="preserve">atmospheric and space objects. </w:t>
      </w:r>
      <w:r w:rsidRPr="004550EE">
        <w:rPr>
          <w:lang w:val="en-GB"/>
        </w:rPr>
        <w:lastRenderedPageBreak/>
        <w:t>Because of their specialized function and requisite design characteristics (e.g. very large antenna arrays) these particular ground radars are not numerous, but because of their sensitivity and function they deserve special recognition and protection. Table 1 gives the characteristics of the radars, and Table 2 gives the identified locations for many of these radars.</w:t>
      </w:r>
    </w:p>
    <w:p w:rsidR="00774A3C" w:rsidRPr="004550EE" w:rsidRDefault="00774A3C" w:rsidP="00774A3C">
      <w:pPr>
        <w:rPr>
          <w:lang w:val="en-GB"/>
        </w:rPr>
      </w:pPr>
      <w:r w:rsidRPr="004550EE">
        <w:rPr>
          <w:lang w:val="en-GB"/>
        </w:rPr>
        <w:t>Radar B is a system to accomplish high altitude surveillance and tracking functions, at fixed locations and transportable on vehicles.</w:t>
      </w:r>
    </w:p>
    <w:p w:rsidR="00774A3C" w:rsidRPr="004550EE" w:rsidRDefault="00774A3C" w:rsidP="00774A3C">
      <w:pPr>
        <w:rPr>
          <w:lang w:val="en-GB"/>
        </w:rPr>
      </w:pPr>
      <w:r w:rsidRPr="004550EE">
        <w:rPr>
          <w:lang w:val="en-GB"/>
        </w:rPr>
        <w:t>Radar C is a transportable system for surface and air search of moving objects at short range around the radar location.</w:t>
      </w:r>
    </w:p>
    <w:p w:rsidR="00774A3C" w:rsidRPr="004550EE" w:rsidRDefault="00774A3C" w:rsidP="00774A3C">
      <w:pPr>
        <w:pStyle w:val="TableNo"/>
        <w:rPr>
          <w:lang w:val="en-GB"/>
        </w:rPr>
      </w:pPr>
      <w:r w:rsidRPr="004550EE">
        <w:rPr>
          <w:lang w:val="en-GB"/>
        </w:rPr>
        <w:t>TABLE 1</w:t>
      </w:r>
    </w:p>
    <w:p w:rsidR="00774A3C" w:rsidRDefault="00774A3C" w:rsidP="00774A3C">
      <w:pPr>
        <w:pStyle w:val="Tabletitle"/>
        <w:rPr>
          <w:lang w:val="en-US"/>
        </w:rPr>
      </w:pPr>
      <w:r>
        <w:rPr>
          <w:lang w:val="en-US"/>
        </w:rPr>
        <w:t>Characteristics of ground radars in the 420-450 MHz range</w:t>
      </w:r>
    </w:p>
    <w:tbl>
      <w:tblPr>
        <w:tblW w:w="93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10"/>
        <w:gridCol w:w="1985"/>
        <w:gridCol w:w="2126"/>
        <w:gridCol w:w="2410"/>
      </w:tblGrid>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head"/>
              <w:rPr>
                <w:lang w:val="en-US"/>
              </w:rPr>
            </w:pPr>
            <w:r>
              <w:rPr>
                <w:lang w:val="en-US"/>
              </w:rPr>
              <w:t>Parameter</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head"/>
              <w:rPr>
                <w:lang w:val="en-US"/>
              </w:rPr>
            </w:pPr>
            <w:r>
              <w:rPr>
                <w:lang w:val="en-US"/>
              </w:rPr>
              <w:t>Radar A</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head"/>
              <w:rPr>
                <w:lang w:val="en-US"/>
              </w:rPr>
            </w:pPr>
            <w:r>
              <w:rPr>
                <w:lang w:val="en-US"/>
              </w:rPr>
              <w:t>Radar B</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head"/>
              <w:rPr>
                <w:lang w:val="en-US"/>
              </w:rPr>
            </w:pPr>
            <w:r>
              <w:rPr>
                <w:lang w:val="en-US"/>
              </w:rPr>
              <w:t>Radar C</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Application</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Space object tracking</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High altitude surveillance</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Surface and air search</w:t>
            </w:r>
          </w:p>
        </w:tc>
      </w:tr>
      <w:tr w:rsidR="00774A3C" w:rsidRPr="00D722CF"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Deployment area</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Worldwide,</w:t>
            </w:r>
            <w:r>
              <w:rPr>
                <w:lang w:val="en-US"/>
              </w:rPr>
              <w:br/>
              <w:t>fixed site</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Worldwide,</w:t>
            </w:r>
            <w:r>
              <w:rPr>
                <w:lang w:val="en-US"/>
              </w:rPr>
              <w:br/>
              <w:t>fixed site and transportable</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Worldwide,</w:t>
            </w:r>
            <w:r>
              <w:rPr>
                <w:lang w:val="en-US"/>
              </w:rPr>
              <w:br/>
              <w:t>fixed site and transportable</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Tuning type; range (MHz)</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Frequency agile;</w:t>
            </w:r>
          </w:p>
          <w:p w:rsidR="00774A3C" w:rsidRDefault="00774A3C" w:rsidP="00AE24B0">
            <w:pPr>
              <w:pStyle w:val="Tabletext"/>
              <w:jc w:val="center"/>
              <w:rPr>
                <w:lang w:val="en-US"/>
              </w:rPr>
            </w:pPr>
            <w:r>
              <w:rPr>
                <w:lang w:val="en-US"/>
              </w:rPr>
              <w:t>420-450</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Frequency agile;</w:t>
            </w:r>
          </w:p>
          <w:p w:rsidR="00774A3C" w:rsidRDefault="00774A3C" w:rsidP="00AE24B0">
            <w:pPr>
              <w:pStyle w:val="Tabletext"/>
              <w:jc w:val="center"/>
              <w:rPr>
                <w:lang w:val="en-US"/>
              </w:rPr>
            </w:pPr>
            <w:r>
              <w:rPr>
                <w:lang w:val="en-US"/>
              </w:rPr>
              <w:t>420-450</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Frequency agile;</w:t>
            </w:r>
          </w:p>
          <w:p w:rsidR="00774A3C" w:rsidRDefault="00774A3C" w:rsidP="00AE24B0">
            <w:pPr>
              <w:pStyle w:val="Tabletext"/>
              <w:jc w:val="center"/>
              <w:rPr>
                <w:lang w:val="en-US"/>
              </w:rPr>
            </w:pPr>
            <w:r>
              <w:rPr>
                <w:lang w:val="en-US"/>
              </w:rPr>
              <w:t>420-450</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Peak RF output power (MW)</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1-5</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0.3</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0.01</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Polarization</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Circular</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Circular</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Linear</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pPr>
            <w:r>
              <w:t>Pulse duration (ms)</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pPr>
            <w:r>
              <w:t>0.25, 0.5, 1, 2, 4, 8, 16</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pPr>
            <w:r>
              <w:rPr>
                <w:lang w:val="en-US"/>
              </w:rPr>
              <w:t>0.01-16</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pPr>
            <w:r>
              <w:rPr>
                <w:lang w:val="en-US"/>
              </w:rPr>
              <w:t>0.001-1</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Duty cycle (average) (%)</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25</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1-25</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1-10</w:t>
            </w:r>
          </w:p>
        </w:tc>
      </w:tr>
      <w:tr w:rsidR="00774A3C" w:rsidRPr="00D722CF"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 xml:space="preserve">Pulse frequency modulation </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 xml:space="preserve">Search: </w:t>
            </w:r>
            <w:r w:rsidR="00D722CF">
              <w:rPr>
                <w:lang w:val="en-US"/>
              </w:rPr>
              <w:br/>
            </w:r>
            <w:r>
              <w:rPr>
                <w:lang w:val="en-US"/>
              </w:rPr>
              <w:t>100-350 kHz chirp track: 1 or 5 MHz linear chirp</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2 MHz linear chirp</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 or 0.3 MHz linear chirp</w:t>
            </w:r>
          </w:p>
        </w:tc>
      </w:tr>
      <w:tr w:rsidR="00774A3C" w:rsidRPr="00D722CF"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Pulse repetition rate (Hz)</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Up to 41</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15-400</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100-3 000</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Antenna type</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Planar array; 22+ metre diameter</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Phased array</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Phased array</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Radar height relative to the ground (m)</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15</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5-20</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5-10</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Antenna gain (dBi)</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38.5</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28-40</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10</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Antenna scan</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3-85</w:t>
            </w:r>
            <w:r>
              <w:rPr>
                <w:rFonts w:ascii="Symbol" w:hAnsi="Symbol"/>
                <w:lang w:val="en-US"/>
              </w:rPr>
              <w:t></w:t>
            </w:r>
            <w:r>
              <w:rPr>
                <w:lang w:val="en-US"/>
              </w:rPr>
              <w:t xml:space="preserve"> elevation; </w:t>
            </w:r>
            <w:r>
              <w:rPr>
                <w:rFonts w:ascii="Symbol" w:hAnsi="Symbol"/>
                <w:lang w:val="en-US"/>
              </w:rPr>
              <w:sym w:font="Symbol" w:char="F0B1"/>
            </w:r>
            <w:r>
              <w:rPr>
                <w:lang w:val="en-US"/>
              </w:rPr>
              <w:t>60</w:t>
            </w:r>
            <w:r>
              <w:rPr>
                <w:rFonts w:ascii="Symbol" w:hAnsi="Symbol"/>
                <w:lang w:val="en-US"/>
              </w:rPr>
              <w:t></w:t>
            </w:r>
            <w:r>
              <w:rPr>
                <w:lang w:val="en-US"/>
              </w:rPr>
              <w:t xml:space="preserve"> azimuth per each of 2 planar arrays </w:t>
            </w:r>
            <w:r>
              <w:rPr>
                <w:lang w:val="en-US"/>
              </w:rPr>
              <w:br/>
              <w:t>for total 240</w:t>
            </w:r>
            <w:r>
              <w:rPr>
                <w:rFonts w:ascii="Symbol" w:hAnsi="Symbol"/>
                <w:lang w:val="en-US"/>
              </w:rPr>
              <w:t></w:t>
            </w:r>
            <w:r>
              <w:rPr>
                <w:lang w:val="en-US"/>
              </w:rPr>
              <w:t xml:space="preserve"> azimuth scan</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 xml:space="preserve">Sector </w:t>
            </w:r>
            <w:r w:rsidR="00AE24B0">
              <w:rPr>
                <w:lang w:val="en-US"/>
              </w:rPr>
              <w:t>±</w:t>
            </w:r>
            <w:r>
              <w:rPr>
                <w:lang w:val="en-US"/>
              </w:rPr>
              <w:t>60° azimuth scan, with rotating or random modes</w:t>
            </w:r>
            <w:r>
              <w:rPr>
                <w:lang w:val="en-US"/>
              </w:rPr>
              <w:br/>
              <w:t>3-85° elevation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Omnidirectional 360° azimuth scan</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Antenna beamwidth  in azimuth (degrees)</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2.2</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Typical 1.8</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80</w:t>
            </w:r>
          </w:p>
        </w:tc>
      </w:tr>
      <w:tr w:rsidR="00774A3C" w:rsidTr="00AE24B0">
        <w:trPr>
          <w:cantSplit/>
          <w:jc w:val="center"/>
        </w:trPr>
        <w:tc>
          <w:tcPr>
            <w:tcW w:w="28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Antenna beamwidth in elevation (degrees)</w:t>
            </w:r>
          </w:p>
        </w:tc>
        <w:tc>
          <w:tcPr>
            <w:tcW w:w="1985"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2.2</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Typical 1.8</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60</w:t>
            </w:r>
          </w:p>
        </w:tc>
      </w:tr>
    </w:tbl>
    <w:p w:rsidR="00AE24B0" w:rsidRDefault="00AE24B0">
      <w:r>
        <w:br w:type="page"/>
      </w:r>
    </w:p>
    <w:p w:rsidR="00AE24B0" w:rsidRPr="004550EE" w:rsidRDefault="00AE24B0" w:rsidP="00AE24B0">
      <w:pPr>
        <w:pStyle w:val="TableNo"/>
        <w:rPr>
          <w:lang w:val="en-GB"/>
        </w:rPr>
      </w:pPr>
      <w:r w:rsidRPr="004550EE">
        <w:rPr>
          <w:lang w:val="en-GB"/>
        </w:rPr>
        <w:lastRenderedPageBreak/>
        <w:t>TABLE 1</w:t>
      </w:r>
      <w:r>
        <w:rPr>
          <w:lang w:val="en-GB"/>
        </w:rPr>
        <w:t xml:space="preserve"> (</w:t>
      </w:r>
      <w:r w:rsidRPr="00AE24B0">
        <w:rPr>
          <w:i/>
          <w:iCs/>
          <w:lang w:val="en-GB"/>
        </w:rPr>
        <w:t>end</w:t>
      </w:r>
      <w:r>
        <w:rPr>
          <w:lang w:val="en-GB"/>
        </w:rPr>
        <w:t>)</w:t>
      </w:r>
    </w:p>
    <w:tbl>
      <w:tblPr>
        <w:tblW w:w="93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23"/>
        <w:gridCol w:w="1972"/>
        <w:gridCol w:w="2126"/>
        <w:gridCol w:w="2410"/>
      </w:tblGrid>
      <w:tr w:rsidR="00AE24B0" w:rsidTr="00D722CF">
        <w:trPr>
          <w:cantSplit/>
          <w:jc w:val="center"/>
        </w:trPr>
        <w:tc>
          <w:tcPr>
            <w:tcW w:w="2823" w:type="dxa"/>
            <w:tcBorders>
              <w:top w:val="single" w:sz="6" w:space="0" w:color="auto"/>
              <w:left w:val="single" w:sz="6" w:space="0" w:color="auto"/>
              <w:bottom w:val="single" w:sz="6" w:space="0" w:color="auto"/>
              <w:right w:val="single" w:sz="6" w:space="0" w:color="auto"/>
            </w:tcBorders>
            <w:hideMark/>
          </w:tcPr>
          <w:p w:rsidR="00AE24B0" w:rsidRDefault="00AE24B0" w:rsidP="005E1BA4">
            <w:pPr>
              <w:pStyle w:val="Tablehead"/>
              <w:rPr>
                <w:lang w:val="en-US"/>
              </w:rPr>
            </w:pPr>
            <w:r>
              <w:rPr>
                <w:lang w:val="en-US"/>
              </w:rPr>
              <w:t>Parameter</w:t>
            </w:r>
          </w:p>
        </w:tc>
        <w:tc>
          <w:tcPr>
            <w:tcW w:w="1972" w:type="dxa"/>
            <w:tcBorders>
              <w:top w:val="single" w:sz="6" w:space="0" w:color="auto"/>
              <w:left w:val="single" w:sz="6" w:space="0" w:color="auto"/>
              <w:bottom w:val="single" w:sz="6" w:space="0" w:color="auto"/>
              <w:right w:val="single" w:sz="6" w:space="0" w:color="auto"/>
            </w:tcBorders>
            <w:hideMark/>
          </w:tcPr>
          <w:p w:rsidR="00AE24B0" w:rsidRDefault="00AE24B0" w:rsidP="005E1BA4">
            <w:pPr>
              <w:pStyle w:val="Tablehead"/>
              <w:rPr>
                <w:lang w:val="en-US"/>
              </w:rPr>
            </w:pPr>
            <w:r>
              <w:rPr>
                <w:lang w:val="en-US"/>
              </w:rPr>
              <w:t>Radar A</w:t>
            </w:r>
          </w:p>
        </w:tc>
        <w:tc>
          <w:tcPr>
            <w:tcW w:w="2126" w:type="dxa"/>
            <w:tcBorders>
              <w:top w:val="single" w:sz="6" w:space="0" w:color="auto"/>
              <w:left w:val="single" w:sz="6" w:space="0" w:color="auto"/>
              <w:bottom w:val="single" w:sz="6" w:space="0" w:color="auto"/>
              <w:right w:val="single" w:sz="6" w:space="0" w:color="auto"/>
            </w:tcBorders>
            <w:hideMark/>
          </w:tcPr>
          <w:p w:rsidR="00AE24B0" w:rsidRDefault="00AE24B0" w:rsidP="005E1BA4">
            <w:pPr>
              <w:pStyle w:val="Tablehead"/>
              <w:rPr>
                <w:lang w:val="en-US"/>
              </w:rPr>
            </w:pPr>
            <w:r>
              <w:rPr>
                <w:lang w:val="en-US"/>
              </w:rPr>
              <w:t>Radar B</w:t>
            </w:r>
          </w:p>
        </w:tc>
        <w:tc>
          <w:tcPr>
            <w:tcW w:w="2410" w:type="dxa"/>
            <w:tcBorders>
              <w:top w:val="single" w:sz="6" w:space="0" w:color="auto"/>
              <w:left w:val="single" w:sz="6" w:space="0" w:color="auto"/>
              <w:bottom w:val="single" w:sz="6" w:space="0" w:color="auto"/>
              <w:right w:val="single" w:sz="6" w:space="0" w:color="auto"/>
            </w:tcBorders>
            <w:hideMark/>
          </w:tcPr>
          <w:p w:rsidR="00AE24B0" w:rsidRDefault="00AE24B0" w:rsidP="005E1BA4">
            <w:pPr>
              <w:pStyle w:val="Tablehead"/>
              <w:rPr>
                <w:lang w:val="en-US"/>
              </w:rPr>
            </w:pPr>
            <w:r>
              <w:rPr>
                <w:lang w:val="en-US"/>
              </w:rPr>
              <w:t>Radar C</w:t>
            </w:r>
          </w:p>
        </w:tc>
      </w:tr>
      <w:tr w:rsidR="00774A3C" w:rsidTr="00D722CF">
        <w:trPr>
          <w:cantSplit/>
          <w:jc w:val="center"/>
        </w:trPr>
        <w:tc>
          <w:tcPr>
            <w:tcW w:w="2823"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Receiver noise temperature (K)</w:t>
            </w:r>
          </w:p>
        </w:tc>
        <w:tc>
          <w:tcPr>
            <w:tcW w:w="1972"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sym w:font="Symbol" w:char="F0A3"/>
            </w:r>
            <w:r>
              <w:rPr>
                <w:lang w:val="en-US"/>
              </w:rPr>
              <w:t xml:space="preserve"> 450</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sym w:font="Symbol" w:char="F0A3"/>
            </w:r>
            <w:r>
              <w:rPr>
                <w:lang w:val="en-US"/>
              </w:rPr>
              <w:t xml:space="preserve"> 435</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sym w:font="Symbol" w:char="F0A3"/>
            </w:r>
            <w:r>
              <w:rPr>
                <w:lang w:val="en-US"/>
              </w:rPr>
              <w:t xml:space="preserve"> 435</w:t>
            </w:r>
          </w:p>
        </w:tc>
      </w:tr>
      <w:tr w:rsidR="00774A3C" w:rsidTr="00D722CF">
        <w:trPr>
          <w:cantSplit/>
          <w:jc w:val="center"/>
        </w:trPr>
        <w:tc>
          <w:tcPr>
            <w:tcW w:w="2823"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Noise factor (dB)</w:t>
            </w:r>
          </w:p>
        </w:tc>
        <w:tc>
          <w:tcPr>
            <w:tcW w:w="1972" w:type="dxa"/>
            <w:tcBorders>
              <w:top w:val="single" w:sz="6" w:space="0" w:color="auto"/>
              <w:left w:val="single" w:sz="6" w:space="0" w:color="auto"/>
              <w:bottom w:val="single" w:sz="6" w:space="0" w:color="auto"/>
              <w:right w:val="single" w:sz="6" w:space="0" w:color="auto"/>
            </w:tcBorders>
          </w:tcPr>
          <w:p w:rsidR="00774A3C" w:rsidRDefault="00774A3C" w:rsidP="00AE24B0">
            <w:pPr>
              <w:pStyle w:val="Tabletext"/>
              <w:jc w:val="center"/>
              <w:rPr>
                <w:lang w:val="en-US"/>
              </w:rPr>
            </w:pP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sym w:font="Symbol" w:char="F0A3"/>
            </w:r>
            <w:r>
              <w:rPr>
                <w:lang w:val="en-US"/>
              </w:rPr>
              <w:t xml:space="preserve"> 2.5</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sym w:font="Symbol" w:char="F0A3"/>
            </w:r>
            <w:r>
              <w:rPr>
                <w:lang w:val="en-US"/>
              </w:rPr>
              <w:t xml:space="preserve"> 2.5</w:t>
            </w:r>
          </w:p>
        </w:tc>
      </w:tr>
      <w:tr w:rsidR="00774A3C" w:rsidTr="00D722CF">
        <w:trPr>
          <w:cantSplit/>
          <w:jc w:val="center"/>
        </w:trPr>
        <w:tc>
          <w:tcPr>
            <w:tcW w:w="2823"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Receiver RF bandwidth (MHz)</w:t>
            </w:r>
          </w:p>
        </w:tc>
        <w:tc>
          <w:tcPr>
            <w:tcW w:w="1972" w:type="dxa"/>
            <w:tcBorders>
              <w:top w:val="single" w:sz="6" w:space="0" w:color="auto"/>
              <w:left w:val="single" w:sz="6" w:space="0" w:color="auto"/>
              <w:bottom w:val="single" w:sz="6" w:space="0" w:color="auto"/>
              <w:right w:val="single" w:sz="6" w:space="0" w:color="auto"/>
            </w:tcBorders>
          </w:tcPr>
          <w:p w:rsidR="00774A3C" w:rsidRDefault="00774A3C" w:rsidP="00AE24B0">
            <w:pPr>
              <w:pStyle w:val="Tabletext"/>
              <w:jc w:val="center"/>
              <w:rPr>
                <w:lang w:val="en-US"/>
              </w:rPr>
            </w:pP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30</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30</w:t>
            </w:r>
          </w:p>
        </w:tc>
      </w:tr>
      <w:tr w:rsidR="00774A3C" w:rsidTr="00D722CF">
        <w:trPr>
          <w:cantSplit/>
          <w:jc w:val="center"/>
        </w:trPr>
        <w:tc>
          <w:tcPr>
            <w:tcW w:w="2823"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Receiver IF bandwidth (MHz)</w:t>
            </w:r>
          </w:p>
        </w:tc>
        <w:tc>
          <w:tcPr>
            <w:tcW w:w="1972"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 or 5 (see chirp width)</w:t>
            </w:r>
          </w:p>
        </w:tc>
        <w:tc>
          <w:tcPr>
            <w:tcW w:w="2126"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2</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 or 0.3</w:t>
            </w:r>
          </w:p>
        </w:tc>
      </w:tr>
    </w:tbl>
    <w:p w:rsidR="00774A3C" w:rsidRDefault="00774A3C" w:rsidP="00774A3C">
      <w:pPr>
        <w:pStyle w:val="Tablefin"/>
      </w:pPr>
    </w:p>
    <w:p w:rsidR="00774A3C" w:rsidRDefault="00774A3C" w:rsidP="00774A3C">
      <w:pPr>
        <w:pStyle w:val="TableNo"/>
      </w:pPr>
      <w:r>
        <w:t>TABLE 2</w:t>
      </w:r>
    </w:p>
    <w:p w:rsidR="00774A3C" w:rsidRPr="004550EE" w:rsidRDefault="00774A3C" w:rsidP="00774A3C">
      <w:pPr>
        <w:pStyle w:val="Tabletitle"/>
        <w:rPr>
          <w:lang w:val="en-GB"/>
        </w:rPr>
      </w:pPr>
      <w:r w:rsidRPr="004550EE">
        <w:rPr>
          <w:lang w:val="en-GB"/>
        </w:rPr>
        <w:t>Location of space object tracking radars operating in the 420-450 MHz range</w:t>
      </w: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4819"/>
        <w:gridCol w:w="2410"/>
        <w:gridCol w:w="2410"/>
      </w:tblGrid>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head"/>
            </w:pPr>
            <w:r>
              <w:t>Radar Location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head"/>
            </w:pPr>
            <w:r>
              <w:t>Latitude</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head"/>
              <w:rPr>
                <w:lang w:val="en-US"/>
              </w:rPr>
            </w:pPr>
            <w:r>
              <w:rPr>
                <w:lang w:val="en-US"/>
              </w:rPr>
              <w:t>Longitude</w:t>
            </w:r>
          </w:p>
        </w:tc>
      </w:tr>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Massachusetts (United States of America)</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41.8</w:t>
            </w:r>
            <w:r>
              <w:rPr>
                <w:rFonts w:ascii="Symbol" w:hAnsi="Symbol"/>
                <w:lang w:val="en-US"/>
              </w:rPr>
              <w:t></w:t>
            </w:r>
            <w:r>
              <w:rPr>
                <w:lang w:val="en-US"/>
              </w:rPr>
              <w:t>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70.5</w:t>
            </w:r>
            <w:r>
              <w:rPr>
                <w:rFonts w:ascii="Symbol" w:hAnsi="Symbol"/>
                <w:lang w:val="en-US"/>
              </w:rPr>
              <w:t></w:t>
            </w:r>
            <w:r>
              <w:rPr>
                <w:lang w:val="en-US"/>
              </w:rPr>
              <w:t>W</w:t>
            </w:r>
          </w:p>
        </w:tc>
      </w:tr>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Texas (United States of America)</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31.0</w:t>
            </w:r>
            <w:r>
              <w:rPr>
                <w:rFonts w:ascii="Symbol" w:hAnsi="Symbol"/>
                <w:lang w:val="en-US"/>
              </w:rPr>
              <w:t></w:t>
            </w:r>
            <w:r>
              <w:rPr>
                <w:lang w:val="en-US"/>
              </w:rPr>
              <w:t>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100.6</w:t>
            </w:r>
            <w:r>
              <w:rPr>
                <w:rFonts w:ascii="Symbol" w:hAnsi="Symbol"/>
                <w:lang w:val="en-US"/>
              </w:rPr>
              <w:t></w:t>
            </w:r>
            <w:r>
              <w:rPr>
                <w:lang w:val="en-US"/>
              </w:rPr>
              <w:t>W</w:t>
            </w:r>
          </w:p>
        </w:tc>
      </w:tr>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California (United States of America)</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39.1</w:t>
            </w:r>
            <w:r>
              <w:rPr>
                <w:rFonts w:ascii="Symbol" w:hAnsi="Symbol"/>
                <w:lang w:val="en-US"/>
              </w:rPr>
              <w:t></w:t>
            </w:r>
            <w:r>
              <w:rPr>
                <w:lang w:val="en-US"/>
              </w:rPr>
              <w:t>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121.5</w:t>
            </w:r>
            <w:r>
              <w:rPr>
                <w:rFonts w:ascii="Symbol" w:hAnsi="Symbol"/>
                <w:lang w:val="en-US"/>
              </w:rPr>
              <w:t></w:t>
            </w:r>
            <w:r>
              <w:rPr>
                <w:lang w:val="en-US"/>
              </w:rPr>
              <w:t>W</w:t>
            </w:r>
          </w:p>
        </w:tc>
      </w:tr>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Georgia (United States of America)</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32.6</w:t>
            </w:r>
            <w:r>
              <w:rPr>
                <w:rFonts w:ascii="Symbol" w:hAnsi="Symbol"/>
                <w:lang w:val="en-US"/>
              </w:rPr>
              <w:t></w:t>
            </w:r>
            <w:r>
              <w:rPr>
                <w:lang w:val="en-US"/>
              </w:rPr>
              <w:t>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83.6</w:t>
            </w:r>
            <w:r>
              <w:rPr>
                <w:rFonts w:ascii="Symbol" w:hAnsi="Symbol"/>
                <w:lang w:val="en-US"/>
              </w:rPr>
              <w:t></w:t>
            </w:r>
            <w:r>
              <w:rPr>
                <w:lang w:val="en-US"/>
              </w:rPr>
              <w:t>W</w:t>
            </w:r>
          </w:p>
        </w:tc>
      </w:tr>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Florida (United States of America)</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30.6</w:t>
            </w:r>
            <w:r>
              <w:rPr>
                <w:rFonts w:ascii="Symbol" w:hAnsi="Symbol"/>
                <w:lang w:val="en-US"/>
              </w:rPr>
              <w:t></w:t>
            </w:r>
            <w:r>
              <w:rPr>
                <w:lang w:val="en-US"/>
              </w:rPr>
              <w:t>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86.2</w:t>
            </w:r>
            <w:r>
              <w:rPr>
                <w:rFonts w:ascii="Symbol" w:hAnsi="Symbol"/>
                <w:lang w:val="en-US"/>
              </w:rPr>
              <w:t></w:t>
            </w:r>
            <w:r>
              <w:rPr>
                <w:lang w:val="en-US"/>
              </w:rPr>
              <w:t>W</w:t>
            </w:r>
          </w:p>
        </w:tc>
      </w:tr>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N. Dakota (United States of America)</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48.7</w:t>
            </w:r>
            <w:r>
              <w:rPr>
                <w:rFonts w:ascii="Symbol" w:hAnsi="Symbol"/>
                <w:lang w:val="en-US"/>
              </w:rPr>
              <w:t></w:t>
            </w:r>
            <w:r>
              <w:rPr>
                <w:lang w:val="en-US"/>
              </w:rPr>
              <w:t>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97.9</w:t>
            </w:r>
            <w:r>
              <w:rPr>
                <w:rFonts w:ascii="Symbol" w:hAnsi="Symbol"/>
                <w:lang w:val="en-US"/>
              </w:rPr>
              <w:t></w:t>
            </w:r>
            <w:r>
              <w:rPr>
                <w:lang w:val="en-US"/>
              </w:rPr>
              <w:t>W</w:t>
            </w:r>
          </w:p>
        </w:tc>
      </w:tr>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Alaska (United States of America)</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64.3</w:t>
            </w:r>
            <w:r>
              <w:rPr>
                <w:rFonts w:ascii="Symbol" w:hAnsi="Symbol"/>
                <w:lang w:val="en-US"/>
              </w:rPr>
              <w:t></w:t>
            </w:r>
            <w:r>
              <w:rPr>
                <w:lang w:val="en-US"/>
              </w:rPr>
              <w:t>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149.2</w:t>
            </w:r>
            <w:r>
              <w:rPr>
                <w:rFonts w:ascii="Symbol" w:hAnsi="Symbol"/>
                <w:lang w:val="en-US"/>
              </w:rPr>
              <w:t></w:t>
            </w:r>
            <w:r>
              <w:rPr>
                <w:lang w:val="en-US"/>
              </w:rPr>
              <w:t>W</w:t>
            </w:r>
          </w:p>
        </w:tc>
      </w:tr>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Thule (Greenland)</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76.6</w:t>
            </w:r>
            <w:r>
              <w:rPr>
                <w:rFonts w:ascii="Symbol" w:hAnsi="Symbol"/>
                <w:lang w:val="en-US"/>
              </w:rPr>
              <w:t></w:t>
            </w:r>
            <w:r>
              <w:rPr>
                <w:lang w:val="en-US"/>
              </w:rPr>
              <w:t>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68.3</w:t>
            </w:r>
            <w:r>
              <w:rPr>
                <w:rFonts w:ascii="Symbol" w:hAnsi="Symbol"/>
                <w:lang w:val="en-US"/>
              </w:rPr>
              <w:t></w:t>
            </w:r>
            <w:r>
              <w:rPr>
                <w:lang w:val="en-US"/>
              </w:rPr>
              <w:t>W</w:t>
            </w:r>
          </w:p>
        </w:tc>
      </w:tr>
      <w:tr w:rsidR="00774A3C" w:rsidTr="00AE24B0">
        <w:trPr>
          <w:cantSplit/>
          <w:jc w:val="center"/>
        </w:trPr>
        <w:tc>
          <w:tcPr>
            <w:tcW w:w="4819"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rPr>
                <w:lang w:val="en-US"/>
              </w:rPr>
            </w:pPr>
            <w:r>
              <w:rPr>
                <w:lang w:val="en-US"/>
              </w:rPr>
              <w:t>Fylingdales Moor (United Kingdom)</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54.5</w:t>
            </w:r>
            <w:r>
              <w:rPr>
                <w:rFonts w:ascii="Symbol" w:hAnsi="Symbol"/>
                <w:lang w:val="en-US"/>
              </w:rPr>
              <w:t></w:t>
            </w:r>
            <w:r>
              <w:rPr>
                <w:lang w:val="en-US"/>
              </w:rPr>
              <w:t>N</w:t>
            </w:r>
          </w:p>
        </w:tc>
        <w:tc>
          <w:tcPr>
            <w:tcW w:w="2410" w:type="dxa"/>
            <w:tcBorders>
              <w:top w:val="single" w:sz="6" w:space="0" w:color="auto"/>
              <w:left w:val="single" w:sz="6" w:space="0" w:color="auto"/>
              <w:bottom w:val="single" w:sz="6" w:space="0" w:color="auto"/>
              <w:right w:val="single" w:sz="6" w:space="0" w:color="auto"/>
            </w:tcBorders>
            <w:hideMark/>
          </w:tcPr>
          <w:p w:rsidR="00774A3C" w:rsidRDefault="00774A3C" w:rsidP="00AE24B0">
            <w:pPr>
              <w:pStyle w:val="Tabletext"/>
              <w:jc w:val="center"/>
              <w:rPr>
                <w:lang w:val="en-US"/>
              </w:rPr>
            </w:pPr>
            <w:r>
              <w:rPr>
                <w:lang w:val="en-US"/>
              </w:rPr>
              <w:t>4.0</w:t>
            </w:r>
            <w:r>
              <w:rPr>
                <w:rFonts w:ascii="Symbol" w:hAnsi="Symbol"/>
                <w:lang w:val="en-US"/>
              </w:rPr>
              <w:t></w:t>
            </w:r>
            <w:r>
              <w:rPr>
                <w:lang w:val="en-US"/>
              </w:rPr>
              <w:t>W</w:t>
            </w:r>
          </w:p>
        </w:tc>
      </w:tr>
    </w:tbl>
    <w:p w:rsidR="00774A3C" w:rsidRDefault="00774A3C" w:rsidP="00774A3C">
      <w:pPr>
        <w:pStyle w:val="Tablefin"/>
        <w:rPr>
          <w:lang w:val="es-ES"/>
        </w:rPr>
      </w:pPr>
    </w:p>
    <w:p w:rsidR="00774A3C" w:rsidRDefault="00774A3C" w:rsidP="00774A3C">
      <w:pPr>
        <w:pStyle w:val="Heading2"/>
        <w:ind w:left="0" w:firstLine="0"/>
        <w:rPr>
          <w:lang w:val="es-ES"/>
        </w:rPr>
      </w:pPr>
      <w:r>
        <w:rPr>
          <w:lang w:val="es-ES"/>
        </w:rPr>
        <w:t>2.2</w:t>
      </w:r>
      <w:r>
        <w:rPr>
          <w:lang w:val="es-ES"/>
        </w:rPr>
        <w:tab/>
        <w:t>Airborne radars</w:t>
      </w:r>
    </w:p>
    <w:p w:rsidR="00774A3C" w:rsidRDefault="00774A3C" w:rsidP="009F01B9">
      <w:pPr>
        <w:rPr>
          <w:lang w:val="en-GB"/>
        </w:rPr>
      </w:pPr>
      <w:r w:rsidRPr="004550EE">
        <w:rPr>
          <w:lang w:val="en-GB"/>
        </w:rPr>
        <w:t>Three lower radiolocation bands (420-450 MHz, 1</w:t>
      </w:r>
      <w:r w:rsidRPr="004550EE">
        <w:rPr>
          <w:rFonts w:ascii="Tms Rmn" w:hAnsi="Tms Rmn"/>
          <w:sz w:val="12"/>
          <w:lang w:val="en-GB"/>
        </w:rPr>
        <w:t> </w:t>
      </w:r>
      <w:r w:rsidRPr="004550EE">
        <w:rPr>
          <w:lang w:val="en-GB"/>
        </w:rPr>
        <w:t>215-1</w:t>
      </w:r>
      <w:r w:rsidRPr="004550EE">
        <w:rPr>
          <w:rFonts w:ascii="Tms Rmn" w:hAnsi="Tms Rmn"/>
          <w:sz w:val="12"/>
          <w:lang w:val="en-GB"/>
        </w:rPr>
        <w:t> </w:t>
      </w:r>
      <w:r w:rsidRPr="004550EE">
        <w:rPr>
          <w:lang w:val="en-GB"/>
        </w:rPr>
        <w:t>400 MHz and 3</w:t>
      </w:r>
      <w:r w:rsidRPr="004550EE">
        <w:rPr>
          <w:rFonts w:ascii="Tms Rmn" w:hAnsi="Tms Rmn"/>
          <w:sz w:val="12"/>
          <w:lang w:val="en-GB"/>
        </w:rPr>
        <w:t> </w:t>
      </w:r>
      <w:r w:rsidRPr="004550EE">
        <w:rPr>
          <w:lang w:val="en-GB"/>
        </w:rPr>
        <w:t>100-3</w:t>
      </w:r>
      <w:r w:rsidRPr="004550EE">
        <w:rPr>
          <w:rFonts w:ascii="Tms Rmn" w:hAnsi="Tms Rmn"/>
          <w:sz w:val="12"/>
          <w:lang w:val="en-GB"/>
        </w:rPr>
        <w:t> </w:t>
      </w:r>
      <w:r w:rsidRPr="004550EE">
        <w:rPr>
          <w:lang w:val="en-GB"/>
        </w:rPr>
        <w:t>700 MHz) have been and will continue to be essential for the development and operation of airborne radar surveillance systems. These systems operate worldwide, for extended periods (hours to days) once in their intended areas of operation. Long range object detection, acquisition, and tracking are essential functions to sense and control air traffic. Ground-based radars are extremely limited by the radar horizon, and the employment of long-range radars on airborne platforms is an excellent way to extend an individual radar</w:t>
      </w:r>
      <w:r w:rsidR="009F01B9">
        <w:rPr>
          <w:lang w:val="en-GB"/>
        </w:rPr>
        <w:t>ʼ</w:t>
      </w:r>
      <w:r w:rsidRPr="004550EE">
        <w:rPr>
          <w:lang w:val="en-GB"/>
        </w:rPr>
        <w:t>s capability. Similar to ground air surveillance radars, airborne radars employ rotating scans in azimuth and scan over a specified range in elevation either by electronically scanning in elevation or by using a relatively wide elevation beamwidth. The radar will be operating during aircraft ascent and descent as well as at operating altitudes; aircraft ceiling altitude is around 9 km. Table 3 gives the characteristics of a representative airborne radar system operating in the frequency band 420-450 MHz.</w:t>
      </w:r>
    </w:p>
    <w:p w:rsidR="00774A3C" w:rsidRPr="004550EE" w:rsidRDefault="00774A3C" w:rsidP="00774A3C">
      <w:pPr>
        <w:pStyle w:val="TableNo"/>
        <w:rPr>
          <w:lang w:val="en-GB"/>
        </w:rPr>
      </w:pPr>
      <w:r w:rsidRPr="004550EE">
        <w:rPr>
          <w:lang w:val="en-GB"/>
        </w:rPr>
        <w:lastRenderedPageBreak/>
        <w:t>TABLE 3</w:t>
      </w:r>
    </w:p>
    <w:p w:rsidR="00774A3C" w:rsidRPr="004550EE" w:rsidRDefault="00774A3C" w:rsidP="00774A3C">
      <w:pPr>
        <w:pStyle w:val="Tabletitle"/>
        <w:rPr>
          <w:lang w:val="en-GB"/>
        </w:rPr>
      </w:pPr>
      <w:r w:rsidRPr="004550EE">
        <w:rPr>
          <w:lang w:val="en-GB"/>
        </w:rPr>
        <w:t>Characteristics of airborne radars operating in the 420-450 MHz range</w:t>
      </w:r>
    </w:p>
    <w:p w:rsidR="00774A3C" w:rsidRDefault="00774A3C" w:rsidP="00774A3C">
      <w:pPr>
        <w:pStyle w:val="Blanc"/>
      </w:pP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6"/>
        <w:gridCol w:w="3092"/>
        <w:gridCol w:w="3543"/>
      </w:tblGrid>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head"/>
              <w:rPr>
                <w:lang w:val="en-US"/>
              </w:rPr>
            </w:pPr>
            <w:r>
              <w:rPr>
                <w:lang w:val="en-US"/>
              </w:rPr>
              <w:t>Parameter</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head"/>
              <w:rPr>
                <w:lang w:val="en-US"/>
              </w:rPr>
            </w:pPr>
            <w:r>
              <w:rPr>
                <w:lang w:val="en-US"/>
              </w:rPr>
              <w:t>Radar 1</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head"/>
              <w:rPr>
                <w:lang w:val="en-US"/>
              </w:rPr>
            </w:pPr>
            <w:r>
              <w:rPr>
                <w:lang w:val="en-US"/>
              </w:rPr>
              <w:t>Radar 2</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Tuning type; range</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Fixed frequency or frequency agile; 420-450 MHz</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Frequency agile; 420-450 MHz</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Peak RF output power (MW)</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2</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2.5</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Polarization</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Horizontal</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Horizontal</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Pulse duration (</w:t>
            </w:r>
            <w:r>
              <w:rPr>
                <w:lang w:val="en-US"/>
              </w:rPr>
              <w:sym w:font="Symbol" w:char="F06D"/>
            </w:r>
            <w:r>
              <w:rPr>
                <w:lang w:val="en-US"/>
              </w:rPr>
              <w:t>s)</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1, 2, 4, 8</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30, 35, 100</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Pulse modulation</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Unmodulated pulses</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Linear FM</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Pulse repetition rate (kHz)</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0.1-2</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Up to 3</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Antenna type</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Yagi element array or planar array</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Linear Array</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Antenna gain (dBi)</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22</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19</w:t>
            </w:r>
          </w:p>
        </w:tc>
      </w:tr>
      <w:tr w:rsidR="00774A3C" w:rsidRPr="00D722CF"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Antenna scan</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rFonts w:ascii="Symbol" w:hAnsi="Symbol"/>
                <w:lang w:val="en-US"/>
              </w:rPr>
              <w:sym w:font="Symbol" w:char="F0B1"/>
            </w:r>
            <w:r>
              <w:rPr>
                <w:lang w:val="en-US"/>
              </w:rPr>
              <w:t>60</w:t>
            </w:r>
            <w:r>
              <w:rPr>
                <w:rFonts w:ascii="Symbol" w:hAnsi="Symbol"/>
                <w:lang w:val="en-US"/>
              </w:rPr>
              <w:sym w:font="Symbol" w:char="F0B0"/>
            </w:r>
            <w:r>
              <w:rPr>
                <w:lang w:val="en-US"/>
              </w:rPr>
              <w:t xml:space="preserve"> elevation (mechanically positioned or electronically scanned); </w:t>
            </w:r>
            <w:r>
              <w:rPr>
                <w:lang w:val="en-US"/>
              </w:rPr>
              <w:br/>
              <w:t>360</w:t>
            </w:r>
            <w:r>
              <w:rPr>
                <w:rFonts w:ascii="Symbol" w:hAnsi="Symbol"/>
                <w:lang w:val="en-US"/>
              </w:rPr>
              <w:sym w:font="Symbol" w:char="F0B0"/>
            </w:r>
            <w:r>
              <w:rPr>
                <w:lang w:val="en-US"/>
              </w:rPr>
              <w:t xml:space="preserve"> azimuth at 3-7 rpm</w:t>
            </w:r>
          </w:p>
        </w:tc>
        <w:tc>
          <w:tcPr>
            <w:tcW w:w="3543" w:type="dxa"/>
            <w:tcBorders>
              <w:top w:val="single" w:sz="6" w:space="0" w:color="auto"/>
              <w:left w:val="single" w:sz="6" w:space="0" w:color="auto"/>
              <w:bottom w:val="single" w:sz="6" w:space="0" w:color="auto"/>
              <w:right w:val="single" w:sz="6" w:space="0" w:color="auto"/>
            </w:tcBorders>
            <w:vAlign w:val="center"/>
            <w:hideMark/>
          </w:tcPr>
          <w:p w:rsidR="00774A3C" w:rsidRDefault="00774A3C" w:rsidP="009F01B9">
            <w:pPr>
              <w:pStyle w:val="Tabletext"/>
              <w:jc w:val="center"/>
              <w:rPr>
                <w:rFonts w:ascii="Symbol" w:hAnsi="Symbol"/>
                <w:lang w:val="en-US"/>
              </w:rPr>
            </w:pPr>
            <w:r>
              <w:rPr>
                <w:lang w:val="en-US"/>
              </w:rPr>
              <w:t>Fixed</w:t>
            </w:r>
            <w:r w:rsidR="009F01B9">
              <w:rPr>
                <w:lang w:val="en-US"/>
              </w:rPr>
              <w:t xml:space="preserve"> </w:t>
            </w:r>
            <w:r>
              <w:rPr>
                <w:rFonts w:ascii="Symbol" w:hAnsi="Symbol"/>
                <w:lang w:val="en-US"/>
              </w:rPr>
              <w:sym w:font="Symbol" w:char="F0B1"/>
            </w:r>
            <w:r>
              <w:rPr>
                <w:lang w:val="en-US"/>
              </w:rPr>
              <w:t>45</w:t>
            </w:r>
            <w:r>
              <w:rPr>
                <w:rFonts w:ascii="Symbol" w:hAnsi="Symbol"/>
                <w:lang w:val="en-US"/>
              </w:rPr>
              <w:sym w:font="Symbol" w:char="F0B0"/>
            </w:r>
            <w:r>
              <w:rPr>
                <w:lang w:val="en-US"/>
              </w:rPr>
              <w:t xml:space="preserve"> elevation (electronically scanned, mechanically fixed);</w:t>
            </w:r>
            <w:r w:rsidR="009F01B9">
              <w:rPr>
                <w:lang w:val="en-US"/>
              </w:rPr>
              <w:br/>
            </w:r>
            <w:r>
              <w:rPr>
                <w:lang w:val="en-US"/>
              </w:rPr>
              <w:t>360</w:t>
            </w:r>
            <w:r>
              <w:rPr>
                <w:rFonts w:ascii="Symbol" w:hAnsi="Symbol"/>
                <w:lang w:val="en-US"/>
              </w:rPr>
              <w:sym w:font="Symbol" w:char="F0B0"/>
            </w:r>
            <w:r>
              <w:rPr>
                <w:lang w:val="en-US"/>
              </w:rPr>
              <w:t xml:space="preserve"> azimuth</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Antenna beamwidth</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6-20</w:t>
            </w:r>
            <w:r>
              <w:rPr>
                <w:rFonts w:ascii="Symbol" w:hAnsi="Symbol"/>
                <w:lang w:val="en-US"/>
              </w:rPr>
              <w:sym w:font="Symbol" w:char="F0B0"/>
            </w:r>
            <w:r>
              <w:rPr>
                <w:lang w:val="en-US"/>
              </w:rPr>
              <w:t xml:space="preserve"> elevation (depending upon scan type); 6</w:t>
            </w:r>
            <w:r>
              <w:rPr>
                <w:rFonts w:ascii="Symbol" w:hAnsi="Symbol"/>
                <w:lang w:val="en-US"/>
              </w:rPr>
              <w:sym w:font="Symbol" w:char="F0B0"/>
            </w:r>
            <w:r>
              <w:rPr>
                <w:lang w:val="en-US"/>
              </w:rPr>
              <w:t xml:space="preserve"> azimuth</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sz w:val="18"/>
                <w:lang w:val="en-US"/>
              </w:rPr>
            </w:pPr>
            <w:r w:rsidRPr="009F01B9">
              <w:rPr>
                <w:szCs w:val="22"/>
                <w:lang w:val="en-US"/>
              </w:rPr>
              <w:t>Up to 60</w:t>
            </w:r>
            <w:r w:rsidRPr="009F01B9">
              <w:rPr>
                <w:rFonts w:ascii="Symbol" w:hAnsi="Symbol"/>
                <w:szCs w:val="22"/>
                <w:lang w:val="en-US"/>
              </w:rPr>
              <w:sym w:font="Symbol" w:char="F0B0"/>
            </w:r>
            <w:r w:rsidRPr="009F01B9">
              <w:rPr>
                <w:rFonts w:ascii="Symbol" w:hAnsi="Symbol"/>
                <w:szCs w:val="22"/>
                <w:lang w:val="en-US"/>
              </w:rPr>
              <w:t></w:t>
            </w:r>
            <w:r w:rsidRPr="009F01B9">
              <w:rPr>
                <w:szCs w:val="22"/>
                <w:lang w:val="en-US"/>
              </w:rPr>
              <w:t>Eelevation</w:t>
            </w:r>
            <w:r w:rsidR="009F01B9">
              <w:rPr>
                <w:szCs w:val="22"/>
                <w:lang w:val="en-US"/>
              </w:rPr>
              <w:br/>
            </w:r>
            <w:r>
              <w:rPr>
                <w:lang w:val="en-US"/>
              </w:rPr>
              <w:t>7</w:t>
            </w:r>
            <w:r>
              <w:rPr>
                <w:rFonts w:ascii="Symbol" w:hAnsi="Symbol"/>
                <w:lang w:val="en-US"/>
              </w:rPr>
              <w:sym w:font="Symbol" w:char="F0B0"/>
            </w:r>
            <w:r>
              <w:rPr>
                <w:rFonts w:ascii="Symbol" w:hAnsi="Symbol"/>
                <w:lang w:val="en-US"/>
              </w:rPr>
              <w:t></w:t>
            </w:r>
            <w:r>
              <w:rPr>
                <w:lang w:val="en-US"/>
              </w:rPr>
              <w:t>Azimuth</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Receiver noise figure (dB)</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5</w:t>
            </w:r>
          </w:p>
        </w:tc>
        <w:tc>
          <w:tcPr>
            <w:tcW w:w="3543"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3</w:t>
            </w:r>
          </w:p>
        </w:tc>
      </w:tr>
      <w:tr w:rsidR="00774A3C" w:rsidTr="009F01B9">
        <w:trPr>
          <w:cantSplit/>
          <w:jc w:val="center"/>
        </w:trPr>
        <w:tc>
          <w:tcPr>
            <w:tcW w:w="2686"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Receiver IF bandwidth (MHz)</w:t>
            </w:r>
          </w:p>
        </w:tc>
        <w:tc>
          <w:tcPr>
            <w:tcW w:w="3092"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1</w:t>
            </w:r>
          </w:p>
        </w:tc>
        <w:tc>
          <w:tcPr>
            <w:tcW w:w="3543" w:type="dxa"/>
            <w:tcBorders>
              <w:top w:val="single" w:sz="6" w:space="0" w:color="auto"/>
              <w:left w:val="single" w:sz="6" w:space="0" w:color="auto"/>
              <w:bottom w:val="single" w:sz="6" w:space="0" w:color="auto"/>
              <w:right w:val="single" w:sz="6" w:space="0" w:color="auto"/>
            </w:tcBorders>
            <w:vAlign w:val="center"/>
            <w:hideMark/>
          </w:tcPr>
          <w:p w:rsidR="00774A3C" w:rsidRDefault="00774A3C" w:rsidP="009F01B9">
            <w:pPr>
              <w:pStyle w:val="Tabletext"/>
              <w:jc w:val="center"/>
              <w:rPr>
                <w:lang w:val="en-US"/>
              </w:rPr>
            </w:pPr>
            <w:r>
              <w:rPr>
                <w:lang w:val="en-US"/>
              </w:rPr>
              <w:t>33</w:t>
            </w:r>
          </w:p>
        </w:tc>
      </w:tr>
    </w:tbl>
    <w:p w:rsidR="00774A3C" w:rsidRDefault="00774A3C" w:rsidP="00774A3C">
      <w:pPr>
        <w:pStyle w:val="Tablefin"/>
      </w:pPr>
    </w:p>
    <w:p w:rsidR="00774A3C" w:rsidRDefault="00774A3C" w:rsidP="00774A3C">
      <w:pPr>
        <w:pStyle w:val="Heading2"/>
      </w:pPr>
      <w:r>
        <w:t>2.3</w:t>
      </w:r>
      <w:r>
        <w:tab/>
        <w:t>Shipborne radars</w:t>
      </w:r>
    </w:p>
    <w:p w:rsidR="00774A3C" w:rsidRPr="004550EE" w:rsidRDefault="00774A3C" w:rsidP="00774A3C">
      <w:pPr>
        <w:rPr>
          <w:lang w:val="en-GB"/>
        </w:rPr>
      </w:pPr>
      <w:r w:rsidRPr="004550EE">
        <w:rPr>
          <w:lang w:val="en-GB"/>
        </w:rPr>
        <w:t>Shipborne surveillance radars are also operated in the frequency range 420-450 MHz. They normally operate at sea, though operations in coastal waters as well in naval ports should be expected. As is typical with surveillance radars, the system scans 360</w:t>
      </w:r>
      <w:r>
        <w:rPr>
          <w:rFonts w:ascii="Symbol" w:hAnsi="Symbol"/>
        </w:rPr>
        <w:sym w:font="Symbol" w:char="F0B0"/>
      </w:r>
      <w:r w:rsidRPr="004550EE">
        <w:rPr>
          <w:lang w:val="en-GB"/>
        </w:rPr>
        <w:t xml:space="preserve"> in azimuth, and operations are on a continuous basis. Table 4 gives the characteristics of a representative shipborne radar in the frequency band 420-450 MHz.</w:t>
      </w:r>
    </w:p>
    <w:p w:rsidR="009F01B9" w:rsidRDefault="009F01B9" w:rsidP="009F01B9">
      <w:pPr>
        <w:pStyle w:val="TableNo"/>
        <w:rPr>
          <w:lang w:val="en-GB"/>
        </w:rPr>
      </w:pPr>
      <w:r>
        <w:rPr>
          <w:lang w:val="en-GB"/>
        </w:rPr>
        <w:br w:type="page"/>
      </w:r>
    </w:p>
    <w:p w:rsidR="00774A3C" w:rsidRPr="00D722CF" w:rsidRDefault="009F01B9" w:rsidP="009F01B9">
      <w:pPr>
        <w:pStyle w:val="TableNo"/>
        <w:rPr>
          <w:lang w:val="en-GB"/>
        </w:rPr>
      </w:pPr>
      <w:r w:rsidRPr="009F01B9">
        <w:rPr>
          <w:lang w:val="en-GB"/>
        </w:rPr>
        <w:lastRenderedPageBreak/>
        <w:t>TABLE</w:t>
      </w:r>
      <w:r w:rsidRPr="00D722CF">
        <w:rPr>
          <w:lang w:val="en-GB"/>
        </w:rPr>
        <w:t xml:space="preserve"> </w:t>
      </w:r>
      <w:r w:rsidR="00774A3C" w:rsidRPr="00D722CF">
        <w:rPr>
          <w:lang w:val="en-GB"/>
        </w:rPr>
        <w:t>4</w:t>
      </w:r>
    </w:p>
    <w:p w:rsidR="00774A3C" w:rsidRPr="00D722CF" w:rsidRDefault="00774A3C" w:rsidP="009F01B9">
      <w:pPr>
        <w:pStyle w:val="Tabletitle"/>
        <w:rPr>
          <w:lang w:val="en-GB"/>
        </w:rPr>
      </w:pPr>
      <w:r w:rsidRPr="00D722CF">
        <w:rPr>
          <w:lang w:val="en-GB"/>
        </w:rPr>
        <w:t>Characteristics of shipborne radars operating in the 420-450 MHz range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13"/>
        <w:gridCol w:w="6326"/>
      </w:tblGrid>
      <w:tr w:rsidR="00774A3C" w:rsidTr="009F01B9">
        <w:trPr>
          <w:cantSplit/>
          <w:jc w:val="center"/>
        </w:trPr>
        <w:tc>
          <w:tcPr>
            <w:tcW w:w="2969"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head"/>
              <w:rPr>
                <w:lang w:val="en-US"/>
              </w:rPr>
            </w:pPr>
            <w:r>
              <w:rPr>
                <w:lang w:val="en-US"/>
              </w:rPr>
              <w:t>Parameter</w:t>
            </w:r>
          </w:p>
        </w:tc>
        <w:tc>
          <w:tcPr>
            <w:tcW w:w="567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head"/>
              <w:rPr>
                <w:lang w:val="en-US"/>
              </w:rPr>
            </w:pPr>
            <w:r>
              <w:rPr>
                <w:lang w:val="en-US"/>
              </w:rPr>
              <w:t>Value</w:t>
            </w:r>
          </w:p>
        </w:tc>
      </w:tr>
      <w:tr w:rsidR="00774A3C" w:rsidTr="009F01B9">
        <w:trPr>
          <w:cantSplit/>
          <w:jc w:val="center"/>
        </w:trPr>
        <w:tc>
          <w:tcPr>
            <w:tcW w:w="2969"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Tuning type; range</w:t>
            </w:r>
          </w:p>
        </w:tc>
        <w:tc>
          <w:tcPr>
            <w:tcW w:w="567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Fixed frequencies; 420-450 MHz</w:t>
            </w:r>
          </w:p>
        </w:tc>
      </w:tr>
      <w:tr w:rsidR="00774A3C" w:rsidTr="009F01B9">
        <w:trPr>
          <w:cantSplit/>
          <w:jc w:val="center"/>
        </w:trPr>
        <w:tc>
          <w:tcPr>
            <w:tcW w:w="2969"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Peak RF output power (MW)</w:t>
            </w:r>
          </w:p>
        </w:tc>
        <w:tc>
          <w:tcPr>
            <w:tcW w:w="567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2</w:t>
            </w:r>
          </w:p>
        </w:tc>
      </w:tr>
      <w:tr w:rsidR="00774A3C" w:rsidTr="009F01B9">
        <w:trPr>
          <w:cantSplit/>
          <w:jc w:val="center"/>
        </w:trPr>
        <w:tc>
          <w:tcPr>
            <w:tcW w:w="2969"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Pulse modulation</w:t>
            </w:r>
          </w:p>
        </w:tc>
        <w:tc>
          <w:tcPr>
            <w:tcW w:w="567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Unmodulated pulses</w:t>
            </w:r>
          </w:p>
        </w:tc>
      </w:tr>
      <w:tr w:rsidR="00774A3C" w:rsidTr="009F01B9">
        <w:trPr>
          <w:cantSplit/>
          <w:jc w:val="center"/>
        </w:trPr>
        <w:tc>
          <w:tcPr>
            <w:tcW w:w="2969"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Antenna gain (dBi)</w:t>
            </w:r>
          </w:p>
        </w:tc>
        <w:tc>
          <w:tcPr>
            <w:tcW w:w="567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 xml:space="preserve">30 (mainbeam) </w:t>
            </w:r>
            <w:r>
              <w:rPr>
                <w:lang w:val="en-US"/>
              </w:rPr>
              <w:br/>
            </w:r>
            <w:r>
              <w:rPr>
                <w:lang w:val="en-US"/>
              </w:rPr>
              <w:tab/>
              <w:t>0 (median sidelobe)</w:t>
            </w:r>
          </w:p>
        </w:tc>
      </w:tr>
      <w:tr w:rsidR="00774A3C" w:rsidRPr="00D722CF" w:rsidTr="009F01B9">
        <w:trPr>
          <w:cantSplit/>
          <w:jc w:val="center"/>
        </w:trPr>
        <w:tc>
          <w:tcPr>
            <w:tcW w:w="2969"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Transmitter RF emission curve</w:t>
            </w:r>
          </w:p>
        </w:tc>
        <w:tc>
          <w:tcPr>
            <w:tcW w:w="5670" w:type="dxa"/>
            <w:tcBorders>
              <w:top w:val="single" w:sz="6" w:space="0" w:color="auto"/>
              <w:left w:val="single" w:sz="6" w:space="0" w:color="auto"/>
              <w:bottom w:val="single" w:sz="6" w:space="0" w:color="auto"/>
              <w:right w:val="single" w:sz="6" w:space="0" w:color="auto"/>
            </w:tcBorders>
            <w:hideMark/>
          </w:tcPr>
          <w:p w:rsidR="00774A3C" w:rsidRPr="004550EE" w:rsidRDefault="009F01B9" w:rsidP="009F01B9">
            <w:pPr>
              <w:pStyle w:val="Tabletext"/>
              <w:tabs>
                <w:tab w:val="clear" w:pos="284"/>
                <w:tab w:val="clear" w:pos="567"/>
                <w:tab w:val="clear" w:pos="851"/>
                <w:tab w:val="clear" w:pos="1134"/>
                <w:tab w:val="clear" w:pos="1418"/>
                <w:tab w:val="clear" w:pos="1985"/>
                <w:tab w:val="clear" w:pos="2268"/>
                <w:tab w:val="clear" w:pos="2552"/>
                <w:tab w:val="clear" w:pos="2835"/>
              </w:tabs>
              <w:rPr>
                <w:lang w:val="de-CH"/>
              </w:rPr>
            </w:pPr>
            <w:r>
              <w:rPr>
                <w:lang w:val="de-CH"/>
              </w:rPr>
              <w:tab/>
              <w:t>−</w:t>
            </w:r>
            <w:r w:rsidR="00774A3C" w:rsidRPr="004550EE">
              <w:rPr>
                <w:lang w:val="de-CH"/>
              </w:rPr>
              <w:t>3 dB</w:t>
            </w:r>
            <w:r w:rsidR="00774A3C" w:rsidRPr="004550EE">
              <w:rPr>
                <w:lang w:val="de-CH"/>
              </w:rPr>
              <w:tab/>
              <w:t>2 MHz</w:t>
            </w:r>
            <w:r w:rsidR="00774A3C" w:rsidRPr="004550EE">
              <w:rPr>
                <w:lang w:val="de-CH"/>
              </w:rPr>
              <w:br/>
            </w:r>
            <w:r w:rsidR="00774A3C" w:rsidRPr="004550EE">
              <w:rPr>
                <w:lang w:val="de-CH"/>
              </w:rPr>
              <w:tab/>
            </w:r>
            <w:r>
              <w:rPr>
                <w:lang w:val="de-CH"/>
              </w:rPr>
              <w:t>−</w:t>
            </w:r>
            <w:r w:rsidR="00774A3C" w:rsidRPr="004550EE">
              <w:rPr>
                <w:lang w:val="de-CH"/>
              </w:rPr>
              <w:t>20 dB</w:t>
            </w:r>
            <w:r w:rsidR="00774A3C" w:rsidRPr="004550EE">
              <w:rPr>
                <w:lang w:val="de-CH"/>
              </w:rPr>
              <w:tab/>
              <w:t>3 MHz</w:t>
            </w:r>
            <w:r w:rsidR="00774A3C" w:rsidRPr="004550EE">
              <w:rPr>
                <w:lang w:val="de-CH"/>
              </w:rPr>
              <w:br/>
            </w:r>
            <w:r w:rsidR="00774A3C" w:rsidRPr="004550EE">
              <w:rPr>
                <w:lang w:val="de-CH"/>
              </w:rPr>
              <w:tab/>
            </w:r>
            <w:r>
              <w:rPr>
                <w:lang w:val="de-CH"/>
              </w:rPr>
              <w:t>−</w:t>
            </w:r>
            <w:r w:rsidR="00774A3C" w:rsidRPr="004550EE">
              <w:rPr>
                <w:lang w:val="de-CH"/>
              </w:rPr>
              <w:t>70 dB</w:t>
            </w:r>
            <w:r w:rsidR="00774A3C" w:rsidRPr="004550EE">
              <w:rPr>
                <w:lang w:val="de-CH"/>
              </w:rPr>
              <w:tab/>
              <w:t>20 MHz</w:t>
            </w:r>
          </w:p>
        </w:tc>
      </w:tr>
      <w:tr w:rsidR="00774A3C" w:rsidTr="009F01B9">
        <w:trPr>
          <w:cantSplit/>
          <w:jc w:val="center"/>
        </w:trPr>
        <w:tc>
          <w:tcPr>
            <w:tcW w:w="2969"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 xml:space="preserve">Receiver IF selectivity </w:t>
            </w:r>
          </w:p>
        </w:tc>
        <w:tc>
          <w:tcPr>
            <w:tcW w:w="5670" w:type="dxa"/>
            <w:tcBorders>
              <w:top w:val="single" w:sz="6" w:space="0" w:color="auto"/>
              <w:left w:val="single" w:sz="6" w:space="0" w:color="auto"/>
              <w:bottom w:val="single" w:sz="6" w:space="0" w:color="auto"/>
              <w:right w:val="single" w:sz="6" w:space="0" w:color="auto"/>
            </w:tcBorders>
            <w:hideMark/>
          </w:tcPr>
          <w:p w:rsidR="00774A3C" w:rsidRDefault="009F01B9" w:rsidP="009F01B9">
            <w:pPr>
              <w:pStyle w:val="Tabletext"/>
              <w:tabs>
                <w:tab w:val="clear" w:pos="284"/>
                <w:tab w:val="clear" w:pos="567"/>
                <w:tab w:val="clear" w:pos="851"/>
                <w:tab w:val="clear" w:pos="1134"/>
                <w:tab w:val="clear" w:pos="1418"/>
                <w:tab w:val="clear" w:pos="1985"/>
                <w:tab w:val="clear" w:pos="2268"/>
                <w:tab w:val="clear" w:pos="2552"/>
                <w:tab w:val="clear" w:pos="2835"/>
              </w:tabs>
              <w:rPr>
                <w:lang w:val="en-US"/>
              </w:rPr>
            </w:pPr>
            <w:r>
              <w:rPr>
                <w:lang w:val="en-US"/>
              </w:rPr>
              <w:tab/>
            </w:r>
            <w:r>
              <w:rPr>
                <w:lang w:val="de-CH"/>
              </w:rPr>
              <w:t>−</w:t>
            </w:r>
            <w:r w:rsidR="00774A3C">
              <w:rPr>
                <w:lang w:val="en-US"/>
              </w:rPr>
              <w:t>3 dB</w:t>
            </w:r>
            <w:r w:rsidR="00774A3C">
              <w:rPr>
                <w:lang w:val="en-US"/>
              </w:rPr>
              <w:tab/>
              <w:t>2 MHz</w:t>
            </w:r>
            <w:r w:rsidR="00774A3C">
              <w:rPr>
                <w:lang w:val="en-US"/>
              </w:rPr>
              <w:br/>
            </w:r>
            <w:r w:rsidR="00774A3C">
              <w:rPr>
                <w:lang w:val="en-US"/>
              </w:rPr>
              <w:tab/>
            </w:r>
            <w:r>
              <w:rPr>
                <w:lang w:val="de-CH"/>
              </w:rPr>
              <w:t>−</w:t>
            </w:r>
            <w:r w:rsidR="00774A3C">
              <w:rPr>
                <w:lang w:val="en-US"/>
              </w:rPr>
              <w:t>103 dB</w:t>
            </w:r>
            <w:r w:rsidR="00774A3C">
              <w:rPr>
                <w:lang w:val="en-US"/>
              </w:rPr>
              <w:tab/>
              <w:t>20 MHz</w:t>
            </w:r>
          </w:p>
        </w:tc>
      </w:tr>
      <w:tr w:rsidR="00774A3C" w:rsidTr="009F01B9">
        <w:trPr>
          <w:cantSplit/>
          <w:jc w:val="center"/>
        </w:trPr>
        <w:tc>
          <w:tcPr>
            <w:tcW w:w="2969"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Receiver noise level (dBW)</w:t>
            </w:r>
          </w:p>
        </w:tc>
        <w:tc>
          <w:tcPr>
            <w:tcW w:w="5670" w:type="dxa"/>
            <w:tcBorders>
              <w:top w:val="single" w:sz="6" w:space="0" w:color="auto"/>
              <w:left w:val="single" w:sz="6" w:space="0" w:color="auto"/>
              <w:bottom w:val="single" w:sz="6" w:space="0" w:color="auto"/>
              <w:right w:val="single" w:sz="6" w:space="0" w:color="auto"/>
            </w:tcBorders>
            <w:hideMark/>
          </w:tcPr>
          <w:p w:rsidR="00774A3C" w:rsidRDefault="009F01B9" w:rsidP="009F01B9">
            <w:pPr>
              <w:pStyle w:val="Tabletext"/>
              <w:jc w:val="center"/>
              <w:rPr>
                <w:lang w:val="en-US"/>
              </w:rPr>
            </w:pPr>
            <w:r>
              <w:rPr>
                <w:lang w:val="de-CH"/>
              </w:rPr>
              <w:t>−</w:t>
            </w:r>
            <w:r w:rsidR="00774A3C">
              <w:rPr>
                <w:lang w:val="en-US"/>
              </w:rPr>
              <w:t>136</w:t>
            </w:r>
          </w:p>
        </w:tc>
      </w:tr>
      <w:tr w:rsidR="00774A3C" w:rsidTr="009F01B9">
        <w:trPr>
          <w:cantSplit/>
          <w:jc w:val="center"/>
        </w:trPr>
        <w:tc>
          <w:tcPr>
            <w:tcW w:w="2969"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rPr>
                <w:lang w:val="en-US"/>
              </w:rPr>
            </w:pPr>
            <w:r>
              <w:rPr>
                <w:lang w:val="en-US"/>
              </w:rPr>
              <w:t>Antenna type</w:t>
            </w:r>
          </w:p>
        </w:tc>
        <w:tc>
          <w:tcPr>
            <w:tcW w:w="5670" w:type="dxa"/>
            <w:tcBorders>
              <w:top w:val="single" w:sz="6" w:space="0" w:color="auto"/>
              <w:left w:val="single" w:sz="6" w:space="0" w:color="auto"/>
              <w:bottom w:val="single" w:sz="6" w:space="0" w:color="auto"/>
              <w:right w:val="single" w:sz="6" w:space="0" w:color="auto"/>
            </w:tcBorders>
            <w:hideMark/>
          </w:tcPr>
          <w:p w:rsidR="00774A3C" w:rsidRDefault="00774A3C" w:rsidP="009F01B9">
            <w:pPr>
              <w:pStyle w:val="Tabletext"/>
              <w:jc w:val="center"/>
              <w:rPr>
                <w:lang w:val="en-US"/>
              </w:rPr>
            </w:pPr>
            <w:r>
              <w:rPr>
                <w:lang w:val="en-US"/>
              </w:rPr>
              <w:t>Parabolic reflector</w:t>
            </w:r>
          </w:p>
        </w:tc>
      </w:tr>
    </w:tbl>
    <w:p w:rsidR="00774A3C" w:rsidRDefault="00774A3C" w:rsidP="00774A3C">
      <w:pPr>
        <w:pStyle w:val="Tablefin"/>
      </w:pPr>
    </w:p>
    <w:p w:rsidR="00774A3C" w:rsidRDefault="00774A3C" w:rsidP="00774A3C">
      <w:pPr>
        <w:pStyle w:val="Heading1"/>
      </w:pPr>
      <w:r>
        <w:t>3</w:t>
      </w:r>
      <w:r>
        <w:tab/>
        <w:t>Protection criteria</w:t>
      </w:r>
    </w:p>
    <w:p w:rsidR="00774A3C" w:rsidRPr="00774A3C" w:rsidRDefault="00774A3C" w:rsidP="009F01B9">
      <w:pPr>
        <w:rPr>
          <w:lang w:val="en-GB"/>
        </w:rPr>
      </w:pPr>
      <w:r w:rsidRPr="00774A3C">
        <w:rPr>
          <w:lang w:val="en-GB"/>
        </w:rPr>
        <w:t xml:space="preserve">The desensitizing effect on radiodetermination radars from other services of a continuous-wave or noise-like type modulation is predictably related to its intensity. In any azimuth sectors in which such interference arrives, its power spectral density can, to within a reasonable approximation, simply be added to the power spectral density of the radar receiver thermal noise. If power spectral density of radar-receiver noise in the absence of interference is denoted by </w:t>
      </w:r>
      <w:r w:rsidRPr="00774A3C">
        <w:rPr>
          <w:i/>
          <w:iCs/>
          <w:lang w:val="en-GB"/>
        </w:rPr>
        <w:t>N</w:t>
      </w:r>
      <w:r w:rsidRPr="00774A3C">
        <w:rPr>
          <w:position w:val="-4"/>
          <w:sz w:val="16"/>
          <w:lang w:val="en-GB"/>
        </w:rPr>
        <w:t>0</w:t>
      </w:r>
      <w:r w:rsidRPr="00774A3C">
        <w:rPr>
          <w:lang w:val="en-GB"/>
        </w:rPr>
        <w:t xml:space="preserve"> and that of noise-like interference by </w:t>
      </w:r>
      <w:r w:rsidRPr="00774A3C">
        <w:rPr>
          <w:i/>
          <w:iCs/>
          <w:lang w:val="en-GB"/>
        </w:rPr>
        <w:t>I</w:t>
      </w:r>
      <w:r w:rsidRPr="00774A3C">
        <w:rPr>
          <w:position w:val="-4"/>
          <w:sz w:val="16"/>
          <w:lang w:val="en-GB"/>
        </w:rPr>
        <w:t>0</w:t>
      </w:r>
      <w:r w:rsidRPr="00774A3C">
        <w:rPr>
          <w:lang w:val="en-GB"/>
        </w:rPr>
        <w:t xml:space="preserve">, the resultant effective noise power spectral density becomes simply </w:t>
      </w:r>
      <w:r w:rsidRPr="00774A3C">
        <w:rPr>
          <w:i/>
          <w:iCs/>
          <w:lang w:val="en-GB"/>
        </w:rPr>
        <w:t>I</w:t>
      </w:r>
      <w:r w:rsidRPr="00774A3C">
        <w:rPr>
          <w:position w:val="-4"/>
          <w:sz w:val="16"/>
          <w:lang w:val="en-GB"/>
        </w:rPr>
        <w:t>0</w:t>
      </w:r>
      <w:r w:rsidRPr="00774A3C">
        <w:rPr>
          <w:lang w:val="en-GB"/>
        </w:rPr>
        <w:t xml:space="preserve"> </w:t>
      </w:r>
      <w:r>
        <w:rPr>
          <w:rFonts w:ascii="Symbol" w:hAnsi="Symbol"/>
        </w:rPr>
        <w:t></w:t>
      </w:r>
      <w:r w:rsidRPr="00774A3C">
        <w:rPr>
          <w:lang w:val="en-GB"/>
        </w:rPr>
        <w:t xml:space="preserve"> </w:t>
      </w:r>
      <w:r w:rsidRPr="00774A3C">
        <w:rPr>
          <w:i/>
          <w:iCs/>
          <w:lang w:val="en-GB"/>
        </w:rPr>
        <w:t>N</w:t>
      </w:r>
      <w:r w:rsidRPr="00774A3C">
        <w:rPr>
          <w:position w:val="-4"/>
          <w:sz w:val="16"/>
          <w:lang w:val="en-GB"/>
        </w:rPr>
        <w:t>0</w:t>
      </w:r>
      <w:r w:rsidRPr="00774A3C">
        <w:rPr>
          <w:lang w:val="en-GB"/>
        </w:rPr>
        <w:t>. An increase of about 1 dB would constitute significant degradation, equivalent to a detection-range reduction of about 6</w:t>
      </w:r>
      <w:r>
        <w:rPr>
          <w:rFonts w:ascii="Symbol" w:hAnsi="Symbol"/>
        </w:rPr>
        <w:t></w:t>
      </w:r>
      <w:r w:rsidRPr="00774A3C">
        <w:rPr>
          <w:lang w:val="en-GB"/>
        </w:rPr>
        <w:t>. Such an increase corresponds to an (</w:t>
      </w:r>
      <w:r w:rsidRPr="00774A3C">
        <w:rPr>
          <w:i/>
          <w:iCs/>
          <w:lang w:val="en-GB"/>
        </w:rPr>
        <w:t>I</w:t>
      </w:r>
      <w:r w:rsidRPr="00774A3C">
        <w:rPr>
          <w:lang w:val="en-GB"/>
        </w:rPr>
        <w:t xml:space="preserve"> </w:t>
      </w:r>
      <w:r>
        <w:rPr>
          <w:rFonts w:ascii="Symbol" w:hAnsi="Symbol"/>
        </w:rPr>
        <w:t></w:t>
      </w:r>
      <w:r w:rsidRPr="00774A3C">
        <w:rPr>
          <w:lang w:val="en-GB"/>
        </w:rPr>
        <w:t xml:space="preserve"> </w:t>
      </w:r>
      <w:r w:rsidRPr="00774A3C">
        <w:rPr>
          <w:i/>
          <w:iCs/>
          <w:lang w:val="en-GB"/>
        </w:rPr>
        <w:t>N</w:t>
      </w:r>
      <w:r w:rsidRPr="00774A3C">
        <w:rPr>
          <w:lang w:val="en-GB"/>
        </w:rPr>
        <w:t>)/</w:t>
      </w:r>
      <w:r w:rsidRPr="00774A3C">
        <w:rPr>
          <w:i/>
          <w:iCs/>
          <w:lang w:val="en-GB"/>
        </w:rPr>
        <w:t>N</w:t>
      </w:r>
      <w:r w:rsidRPr="00774A3C">
        <w:rPr>
          <w:lang w:val="en-GB"/>
        </w:rPr>
        <w:t xml:space="preserve"> ratio of 1.26, or an </w:t>
      </w:r>
      <w:r w:rsidRPr="00774A3C">
        <w:rPr>
          <w:i/>
          <w:iCs/>
          <w:lang w:val="en-GB"/>
        </w:rPr>
        <w:t>I</w:t>
      </w:r>
      <w:r w:rsidRPr="00774A3C">
        <w:rPr>
          <w:lang w:val="en-GB"/>
        </w:rPr>
        <w:t>/</w:t>
      </w:r>
      <w:r w:rsidRPr="00774A3C">
        <w:rPr>
          <w:i/>
          <w:iCs/>
          <w:lang w:val="en-GB"/>
        </w:rPr>
        <w:t>N</w:t>
      </w:r>
      <w:r w:rsidRPr="00774A3C">
        <w:rPr>
          <w:lang w:val="en-GB"/>
        </w:rPr>
        <w:t xml:space="preserve"> of about </w:t>
      </w:r>
      <w:r w:rsidR="009F01B9">
        <w:rPr>
          <w:lang w:val="en-GB"/>
        </w:rPr>
        <w:t>−</w:t>
      </w:r>
      <w:r w:rsidRPr="00774A3C">
        <w:rPr>
          <w:lang w:val="en-GB"/>
        </w:rPr>
        <w:t xml:space="preserve">6 dB. This represents the aggregate effect of multiple interferers, when present; the tolerable </w:t>
      </w:r>
      <w:r w:rsidRPr="00774A3C">
        <w:rPr>
          <w:i/>
          <w:iCs/>
          <w:lang w:val="en-GB"/>
        </w:rPr>
        <w:t>I</w:t>
      </w:r>
      <w:r w:rsidRPr="00774A3C">
        <w:rPr>
          <w:lang w:val="en-GB"/>
        </w:rPr>
        <w:t>/</w:t>
      </w:r>
      <w:r w:rsidRPr="00774A3C">
        <w:rPr>
          <w:i/>
          <w:iCs/>
          <w:lang w:val="en-GB"/>
        </w:rPr>
        <w:t>N</w:t>
      </w:r>
      <w:r w:rsidRPr="00774A3C">
        <w:rPr>
          <w:lang w:val="en-GB"/>
        </w:rPr>
        <w:t xml:space="preserve"> for an individual interferer depends on the number of interferers and their geometry, and needs to be assessed in the course of analysis of a given scenario. If continuous-wave interference were received from most azimuth directions, a lower </w:t>
      </w:r>
      <w:r w:rsidRPr="00774A3C">
        <w:rPr>
          <w:i/>
          <w:iCs/>
          <w:lang w:val="en-GB"/>
        </w:rPr>
        <w:t>I</w:t>
      </w:r>
      <w:r w:rsidRPr="00774A3C">
        <w:rPr>
          <w:lang w:val="en-GB"/>
        </w:rPr>
        <w:t>/</w:t>
      </w:r>
      <w:r w:rsidRPr="00774A3C">
        <w:rPr>
          <w:i/>
          <w:iCs/>
          <w:lang w:val="en-GB"/>
        </w:rPr>
        <w:t>N</w:t>
      </w:r>
      <w:r w:rsidRPr="00774A3C">
        <w:rPr>
          <w:lang w:val="en-GB"/>
        </w:rPr>
        <w:t xml:space="preserve"> would need to be maintained.</w:t>
      </w:r>
    </w:p>
    <w:p w:rsidR="00774A3C" w:rsidRPr="00774A3C" w:rsidRDefault="00774A3C" w:rsidP="00774A3C">
      <w:pPr>
        <w:rPr>
          <w:lang w:val="en-GB"/>
        </w:rPr>
      </w:pPr>
      <w:r w:rsidRPr="00774A3C">
        <w:rPr>
          <w:lang w:val="en-GB"/>
        </w:rPr>
        <w:t>The aggregation factor can be very substantial in the case of certain communication systems in which a great number of stations can be deployed.</w:t>
      </w:r>
    </w:p>
    <w:p w:rsidR="003F0D10" w:rsidRPr="00A56304" w:rsidRDefault="00774A3C" w:rsidP="009F01B9">
      <w:pPr>
        <w:rPr>
          <w:lang w:val="en-US"/>
        </w:rPr>
      </w:pPr>
      <w:r w:rsidRPr="00D722CF">
        <w:rPr>
          <w:lang w:val="en-GB"/>
        </w:rPr>
        <w:t>The effect of pulsed interference is more difficult to quantify and is strongly dependent on receivers/processor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In general, numerous features of radiodetermination radars can be expected to help suppress low-duty cycle pulsed interference, especially from a few isolated sources. Techniques for suppression of low-duty cycle pulsed interfe</w:t>
      </w:r>
      <w:r w:rsidR="009F01B9" w:rsidRPr="00D722CF">
        <w:rPr>
          <w:lang w:val="en-GB"/>
        </w:rPr>
        <w:t>rence are contained in Recommen</w:t>
      </w:r>
      <w:r w:rsidRPr="00D722CF">
        <w:rPr>
          <w:lang w:val="en-GB"/>
        </w:rPr>
        <w:t>dation ITU-R M.1372 – Efficient use of the radio spectrum by radar stations in the radiodetermination service.</w:t>
      </w:r>
      <w:bookmarkStart w:id="3" w:name="_GoBack"/>
      <w:bookmarkEnd w:id="3"/>
    </w:p>
    <w:p w:rsidR="00A6617B" w:rsidRPr="003F0D10" w:rsidRDefault="00A6617B" w:rsidP="002434DD">
      <w:pPr>
        <w:pStyle w:val="Line"/>
      </w:pPr>
    </w:p>
    <w:sectPr w:rsidR="00A6617B" w:rsidRPr="003F0D10" w:rsidSect="002434DD">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723" w:rsidRDefault="007A6723">
      <w:r>
        <w:separator/>
      </w:r>
    </w:p>
  </w:endnote>
  <w:endnote w:type="continuationSeparator" w:id="0">
    <w:p w:rsidR="007A6723" w:rsidRDefault="007A6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723" w:rsidRDefault="007A6723">
      <w:r>
        <w:separator/>
      </w:r>
    </w:p>
  </w:footnote>
  <w:footnote w:type="continuationSeparator" w:id="0">
    <w:p w:rsidR="007A6723" w:rsidRDefault="007A6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Default="007A672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Default="007A6723" w:rsidP="00B033C8">
    <w:pPr>
      <w:ind w:right="360" w:firstLine="360"/>
    </w:pPr>
    <w:r>
      <w:rPr>
        <w:noProof/>
        <w:lang w:val="en-GB" w:eastAsia="zh-CN"/>
      </w:rPr>
      <w:drawing>
        <wp:anchor distT="0" distB="0" distL="114300" distR="114300" simplePos="0" relativeHeight="251659264" behindDoc="1" locked="0" layoutInCell="1" allowOverlap="1" wp14:anchorId="01E96F63" wp14:editId="7362EB9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Pr="00FC42AF" w:rsidRDefault="007A6723"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FC028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C0287">
      <w:rPr>
        <w:b/>
        <w:bCs/>
        <w:noProof/>
      </w:rPr>
      <w:t>ITU-R  M.2120-0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Pr="00FC42AF" w:rsidRDefault="007A672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722CF">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FC028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722CF">
      <w:rPr>
        <w:b/>
        <w:bCs/>
        <w:noProof/>
      </w:rPr>
      <w:t>ITU-R  M.1462-1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723" w:rsidRDefault="007A6723">
    <w:r>
      <w:tab/>
    </w:r>
    <w:r>
      <w:rPr>
        <w:b/>
        <w:bCs/>
      </w:rPr>
      <w:fldChar w:fldCharType="begin"/>
    </w:r>
    <w:r>
      <w:rPr>
        <w:b/>
        <w:bCs/>
      </w:rPr>
      <w:instrText xml:space="preserve"> DOCPROPERTY "Header" \* MERGEFORMAT </w:instrText>
    </w:r>
    <w:r>
      <w:rPr>
        <w:b/>
        <w:bCs/>
      </w:rPr>
      <w:fldChar w:fldCharType="separate"/>
    </w:r>
    <w:r w:rsidR="00FC02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C0287">
      <w:rPr>
        <w:b/>
        <w:bCs/>
        <w:noProof/>
      </w:rPr>
      <w:t>ITU-R  M.2120-0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722C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C0287" w:rsidRPr="00FC028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722CF">
      <w:rPr>
        <w:b/>
        <w:bCs/>
        <w:noProof/>
      </w:rPr>
      <w:t>ITU-R  M.1462-1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FC0287">
      <w:rPr>
        <w:b/>
        <w:bCs/>
      </w:rPr>
      <w:fldChar w:fldCharType="begin"/>
    </w:r>
    <w:r w:rsidR="00FC0287">
      <w:rPr>
        <w:b/>
        <w:bCs/>
      </w:rPr>
      <w:instrText xml:space="preserve"> DOCPROPERTY "Header" \* MERGEFORMAT </w:instrText>
    </w:r>
    <w:r w:rsidR="00FC0287">
      <w:rPr>
        <w:b/>
        <w:bCs/>
      </w:rPr>
      <w:fldChar w:fldCharType="separate"/>
    </w:r>
    <w:r w:rsidR="00FC0287">
      <w:rPr>
        <w:b/>
        <w:bCs/>
      </w:rPr>
      <w:t xml:space="preserve">Rec. </w:t>
    </w:r>
    <w:r w:rsidR="00FC0287">
      <w:rPr>
        <w:b/>
        <w:bCs/>
      </w:rPr>
      <w:fldChar w:fldCharType="end"/>
    </w:r>
    <w:r>
      <w:rPr>
        <w:b/>
        <w:bCs/>
      </w:rPr>
      <w:t xml:space="preserve"> </w:t>
    </w:r>
    <w:r>
      <w:rPr>
        <w:b/>
        <w:bCs/>
      </w:rPr>
      <w:fldChar w:fldCharType="begin"/>
    </w:r>
    <w:r>
      <w:rPr>
        <w:b/>
        <w:bCs/>
      </w:rPr>
      <w:instrText>styleref href</w:instrText>
    </w:r>
    <w:r>
      <w:rPr>
        <w:b/>
        <w:bCs/>
      </w:rPr>
      <w:fldChar w:fldCharType="separate"/>
    </w:r>
    <w:r w:rsidR="00D722CF">
      <w:rPr>
        <w:b/>
        <w:bCs/>
        <w:noProof/>
      </w:rPr>
      <w:t>ITU-R  M.1462-1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722C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723"/>
    <w:rsid w:val="00217EBF"/>
    <w:rsid w:val="00242AEE"/>
    <w:rsid w:val="002434DD"/>
    <w:rsid w:val="002D76C4"/>
    <w:rsid w:val="003F0D10"/>
    <w:rsid w:val="004550EE"/>
    <w:rsid w:val="0052529D"/>
    <w:rsid w:val="00607D68"/>
    <w:rsid w:val="007468DA"/>
    <w:rsid w:val="00774A3C"/>
    <w:rsid w:val="007A6723"/>
    <w:rsid w:val="009E00A8"/>
    <w:rsid w:val="009F01B9"/>
    <w:rsid w:val="009F57F0"/>
    <w:rsid w:val="00A56304"/>
    <w:rsid w:val="00A6617B"/>
    <w:rsid w:val="00AB0DC8"/>
    <w:rsid w:val="00AE24B0"/>
    <w:rsid w:val="00AE5F9E"/>
    <w:rsid w:val="00B44E24"/>
    <w:rsid w:val="00C20AFB"/>
    <w:rsid w:val="00D554B6"/>
    <w:rsid w:val="00D722CF"/>
    <w:rsid w:val="00DF4176"/>
    <w:rsid w:val="00FC02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177650AD-D963-4210-8BBD-0E8588BF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4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E24B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D554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4550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7A6723"/>
    <w:rPr>
      <w:b/>
      <w:sz w:val="22"/>
      <w:lang w:val="fr-FR" w:eastAsia="en-US"/>
    </w:rPr>
  </w:style>
  <w:style w:type="character" w:customStyle="1" w:styleId="TabletextChar">
    <w:name w:val="Table_text Char"/>
    <w:basedOn w:val="DefaultParagraphFont"/>
    <w:link w:val="Tabletext"/>
    <w:locked/>
    <w:rsid w:val="00D554B6"/>
    <w:rPr>
      <w:sz w:val="22"/>
      <w:lang w:val="fr-FR" w:eastAsia="en-US"/>
    </w:rPr>
  </w:style>
  <w:style w:type="character" w:styleId="Hyperlink">
    <w:name w:val="Hyperlink"/>
    <w:basedOn w:val="DefaultParagraphFont"/>
    <w:rsid w:val="007A6723"/>
    <w:rPr>
      <w:color w:val="0000FF"/>
      <w:u w:val="single"/>
    </w:rPr>
  </w:style>
  <w:style w:type="character" w:customStyle="1" w:styleId="CallChar">
    <w:name w:val="Call Char"/>
    <w:link w:val="Call"/>
    <w:locked/>
    <w:rsid w:val="003F0D10"/>
    <w:rPr>
      <w:i/>
      <w:sz w:val="24"/>
      <w:lang w:val="fr-FR" w:eastAsia="en-US"/>
    </w:rPr>
  </w:style>
  <w:style w:type="character" w:customStyle="1" w:styleId="enumlev1Char">
    <w:name w:val="enumlev1 Char"/>
    <w:link w:val="enumlev1"/>
    <w:locked/>
    <w:rsid w:val="003F0D10"/>
    <w:rPr>
      <w:sz w:val="24"/>
      <w:lang w:val="fr-FR" w:eastAsia="en-US"/>
    </w:rPr>
  </w:style>
  <w:style w:type="character" w:customStyle="1" w:styleId="TableNoChar">
    <w:name w:val="Table_No Char"/>
    <w:basedOn w:val="DefaultParagraphFont"/>
    <w:link w:val="TableNo"/>
    <w:locked/>
    <w:rsid w:val="003F0D10"/>
    <w:rPr>
      <w:sz w:val="24"/>
      <w:lang w:val="fr-FR" w:eastAsia="en-US"/>
    </w:rPr>
  </w:style>
  <w:style w:type="character" w:customStyle="1" w:styleId="HeadingbChar">
    <w:name w:val="Heading_b Char"/>
    <w:link w:val="Headingb"/>
    <w:locked/>
    <w:rsid w:val="003F0D10"/>
    <w:rPr>
      <w:b/>
      <w:sz w:val="24"/>
      <w:lang w:val="fr-FR" w:eastAsia="en-US"/>
    </w:rPr>
  </w:style>
  <w:style w:type="paragraph" w:customStyle="1" w:styleId="AnnexNo">
    <w:name w:val="Annex_No"/>
    <w:basedOn w:val="Normal"/>
    <w:next w:val="Normal"/>
    <w:rsid w:val="003F0D10"/>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3F0D10"/>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character" w:customStyle="1" w:styleId="Artdef">
    <w:name w:val="Art_def"/>
    <w:basedOn w:val="DefaultParagraphFont"/>
    <w:rsid w:val="003F0D10"/>
    <w:rPr>
      <w:rFonts w:ascii="Times New Roman" w:hAnsi="Times New Roman" w:cs="Times New Roman" w:hint="default"/>
      <w:b/>
      <w:bCs w:val="0"/>
    </w:rPr>
  </w:style>
  <w:style w:type="character" w:customStyle="1" w:styleId="FootnoteTextChar">
    <w:name w:val="Footnote Text Char"/>
    <w:basedOn w:val="DefaultParagraphFont"/>
    <w:link w:val="FootnoteText"/>
    <w:uiPriority w:val="99"/>
    <w:semiHidden/>
    <w:rsid w:val="00A56304"/>
    <w:rPr>
      <w:sz w:val="22"/>
      <w:lang w:val="fr-FR" w:eastAsia="en-US"/>
    </w:rPr>
  </w:style>
  <w:style w:type="paragraph" w:customStyle="1" w:styleId="Normalaftertitle0">
    <w:name w:val="Normal after title"/>
    <w:basedOn w:val="Normal"/>
    <w:next w:val="Normal"/>
    <w:rsid w:val="00A56304"/>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paragraph" w:customStyle="1" w:styleId="TableText0">
    <w:name w:val="Table_Text"/>
    <w:basedOn w:val="Normal"/>
    <w:rsid w:val="00774A3C"/>
    <w:pPr>
      <w:keepNext/>
      <w:spacing w:before="100" w:after="100" w:line="190" w:lineRule="exact"/>
      <w:textAlignment w:val="auto"/>
    </w:pPr>
    <w:rPr>
      <w:sz w:val="18"/>
      <w:lang w:val="en-GB"/>
    </w:rPr>
  </w:style>
  <w:style w:type="paragraph" w:customStyle="1" w:styleId="TableTitle0">
    <w:name w:val="Table_Title"/>
    <w:basedOn w:val="Table"/>
    <w:next w:val="Blanc"/>
    <w:rsid w:val="00774A3C"/>
    <w:pPr>
      <w:spacing w:before="0"/>
    </w:pPr>
    <w:rPr>
      <w:b/>
    </w:rPr>
  </w:style>
  <w:style w:type="paragraph" w:customStyle="1" w:styleId="Table">
    <w:name w:val="Table_#"/>
    <w:basedOn w:val="Normal"/>
    <w:next w:val="TableTitle0"/>
    <w:rsid w:val="00774A3C"/>
    <w:pPr>
      <w:keepNext/>
      <w:tabs>
        <w:tab w:val="clear" w:pos="794"/>
        <w:tab w:val="clear" w:pos="1191"/>
        <w:tab w:val="clear" w:pos="1588"/>
        <w:tab w:val="clear" w:pos="1985"/>
      </w:tabs>
      <w:spacing w:before="567" w:after="113"/>
      <w:jc w:val="center"/>
      <w:textAlignment w:val="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125653">
      <w:bodyDiv w:val="1"/>
      <w:marLeft w:val="0"/>
      <w:marRight w:val="0"/>
      <w:marTop w:val="0"/>
      <w:marBottom w:val="0"/>
      <w:divBdr>
        <w:top w:val="none" w:sz="0" w:space="0" w:color="auto"/>
        <w:left w:val="none" w:sz="0" w:space="0" w:color="auto"/>
        <w:bottom w:val="none" w:sz="0" w:space="0" w:color="auto"/>
        <w:right w:val="none" w:sz="0" w:space="0" w:color="auto"/>
      </w:divBdr>
    </w:div>
    <w:div w:id="1567187572">
      <w:bodyDiv w:val="1"/>
      <w:marLeft w:val="0"/>
      <w:marRight w:val="0"/>
      <w:marTop w:val="0"/>
      <w:marBottom w:val="0"/>
      <w:divBdr>
        <w:top w:val="none" w:sz="0" w:space="0" w:color="auto"/>
        <w:left w:val="none" w:sz="0" w:space="0" w:color="auto"/>
        <w:bottom w:val="none" w:sz="0" w:space="0" w:color="auto"/>
        <w:right w:val="none" w:sz="0" w:space="0" w:color="auto"/>
      </w:divBdr>
    </w:div>
    <w:div w:id="194091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www.itu.int/rec/R-REC-M.1372/e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yperlink" Target="http://www.itu.int/rec/R-REC-M.146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8</Pages>
  <Words>2219</Words>
  <Characters>12649</Characters>
  <Application>Microsoft Office Word</Application>
  <DocSecurity>0</DocSecurity>
  <Lines>105</Lines>
  <Paragraphs>29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14839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Gomez, Yoanni</cp:lastModifiedBy>
  <cp:revision>14</cp:revision>
  <cp:lastPrinted>2019-01-29T12:41:00Z</cp:lastPrinted>
  <dcterms:created xsi:type="dcterms:W3CDTF">2019-01-29T12:33:00Z</dcterms:created>
  <dcterms:modified xsi:type="dcterms:W3CDTF">2019-02-05T10:48:00Z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