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A6A" w:rsidRDefault="00995A6A" w:rsidP="00425A80">
      <w:bookmarkStart w:id="0" w:name="_GoBack"/>
      <w:bookmarkEnd w:id="0"/>
    </w:p>
    <w:p w:rsidR="00995A6A" w:rsidRDefault="00995A6A" w:rsidP="00425A80"/>
    <w:p w:rsidR="00995A6A" w:rsidRDefault="00995A6A" w:rsidP="00425A80"/>
    <w:p w:rsidR="00995A6A" w:rsidRDefault="00995A6A" w:rsidP="00425A80"/>
    <w:p w:rsidR="00995A6A" w:rsidRDefault="00995A6A" w:rsidP="00425A80"/>
    <w:p w:rsidR="00995A6A" w:rsidRDefault="00995A6A" w:rsidP="00425A80"/>
    <w:p w:rsidR="00995A6A" w:rsidRDefault="00995A6A" w:rsidP="00425A80"/>
    <w:p w:rsidR="00995A6A" w:rsidRDefault="00995A6A" w:rsidP="00425A80"/>
    <w:p w:rsidR="00995A6A" w:rsidRDefault="00995A6A" w:rsidP="00425A80"/>
    <w:p w:rsidR="00995A6A" w:rsidRDefault="00995A6A" w:rsidP="00425A80"/>
    <w:p w:rsidR="00995A6A" w:rsidRDefault="00995A6A" w:rsidP="00425A80"/>
    <w:tbl>
      <w:tblPr>
        <w:tblW w:w="10089" w:type="dxa"/>
        <w:tblLook w:val="01E0" w:firstRow="1" w:lastRow="1" w:firstColumn="1" w:lastColumn="1" w:noHBand="0" w:noVBand="0"/>
      </w:tblPr>
      <w:tblGrid>
        <w:gridCol w:w="10089"/>
      </w:tblGrid>
      <w:tr w:rsidR="00995A6A" w:rsidRPr="00A443C2">
        <w:tc>
          <w:tcPr>
            <w:tcW w:w="10089" w:type="dxa"/>
          </w:tcPr>
          <w:p w:rsidR="00995A6A" w:rsidRPr="00995A6A" w:rsidRDefault="00995A6A" w:rsidP="00425A80">
            <w:pPr>
              <w:spacing w:before="380"/>
              <w:jc w:val="right"/>
              <w:rPr>
                <w:rFonts w:ascii="Tahoma" w:hAnsi="Tahoma" w:cs="Tahoma"/>
                <w:b/>
                <w:bCs/>
                <w:iCs/>
                <w:color w:val="243285"/>
                <w:sz w:val="32"/>
                <w:szCs w:val="32"/>
                <w:lang w:val="en-US"/>
              </w:rPr>
            </w:pPr>
          </w:p>
          <w:p w:rsidR="00995A6A" w:rsidRPr="00995A6A" w:rsidRDefault="00995A6A" w:rsidP="00425A80">
            <w:pPr>
              <w:spacing w:before="380"/>
              <w:jc w:val="right"/>
              <w:rPr>
                <w:rFonts w:ascii="Tahoma" w:hAnsi="Tahoma" w:cs="Tahoma"/>
                <w:b/>
                <w:bCs/>
                <w:iCs/>
                <w:color w:val="243285"/>
                <w:sz w:val="36"/>
                <w:szCs w:val="36"/>
              </w:rPr>
            </w:pPr>
            <w:proofErr w:type="gramStart"/>
            <w:r w:rsidRPr="00995A6A">
              <w:rPr>
                <w:rFonts w:ascii="Tahoma" w:hAnsi="Tahoma" w:cs="Tahoma"/>
                <w:b/>
                <w:bCs/>
                <w:iCs/>
                <w:color w:val="243285"/>
                <w:sz w:val="36"/>
                <w:szCs w:val="36"/>
              </w:rPr>
              <w:t>Recommandation  UIT</w:t>
            </w:r>
            <w:proofErr w:type="gramEnd"/>
            <w:r w:rsidRPr="00995A6A">
              <w:rPr>
                <w:rFonts w:ascii="Tahoma" w:hAnsi="Tahoma" w:cs="Tahoma"/>
                <w:b/>
                <w:bCs/>
                <w:iCs/>
                <w:color w:val="243285"/>
                <w:sz w:val="36"/>
                <w:szCs w:val="36"/>
              </w:rPr>
              <w:t>-R  M.</w:t>
            </w:r>
            <w:r w:rsidR="00AC25D5">
              <w:rPr>
                <w:rFonts w:ascii="Tahoma" w:hAnsi="Tahoma" w:cs="Tahoma"/>
                <w:b/>
                <w:bCs/>
                <w:iCs/>
                <w:color w:val="243285"/>
                <w:sz w:val="36"/>
                <w:szCs w:val="36"/>
              </w:rPr>
              <w:t>1461-</w:t>
            </w:r>
            <w:r w:rsidR="001D57A9">
              <w:rPr>
                <w:rFonts w:ascii="Tahoma" w:hAnsi="Tahoma" w:cs="Tahoma"/>
                <w:b/>
                <w:bCs/>
                <w:iCs/>
                <w:color w:val="243285"/>
                <w:sz w:val="36"/>
                <w:szCs w:val="36"/>
              </w:rPr>
              <w:t>2</w:t>
            </w:r>
          </w:p>
          <w:p w:rsidR="00995A6A" w:rsidRPr="00995A6A" w:rsidRDefault="00995A6A" w:rsidP="00425A80">
            <w:pPr>
              <w:spacing w:before="80"/>
              <w:jc w:val="right"/>
              <w:rPr>
                <w:rFonts w:ascii="Tahoma" w:hAnsi="Tahoma" w:cs="Tahoma"/>
                <w:b/>
                <w:bCs/>
                <w:iCs/>
                <w:color w:val="243285"/>
                <w:szCs w:val="24"/>
              </w:rPr>
            </w:pPr>
            <w:r w:rsidRPr="00995A6A">
              <w:rPr>
                <w:rFonts w:ascii="Tahoma" w:hAnsi="Tahoma" w:cs="Tahoma"/>
                <w:b/>
                <w:bCs/>
                <w:iCs/>
                <w:color w:val="243285"/>
                <w:szCs w:val="24"/>
              </w:rPr>
              <w:t>(</w:t>
            </w:r>
            <w:r w:rsidR="001D57A9">
              <w:rPr>
                <w:rFonts w:ascii="Tahoma" w:hAnsi="Tahoma" w:cs="Tahoma"/>
                <w:b/>
                <w:bCs/>
                <w:iCs/>
                <w:color w:val="243285"/>
                <w:szCs w:val="24"/>
              </w:rPr>
              <w:t>01/2018</w:t>
            </w:r>
            <w:r w:rsidRPr="00995A6A">
              <w:rPr>
                <w:rFonts w:ascii="Tahoma" w:hAnsi="Tahoma" w:cs="Tahoma"/>
                <w:b/>
                <w:bCs/>
                <w:iCs/>
                <w:color w:val="243285"/>
                <w:szCs w:val="24"/>
              </w:rPr>
              <w:t>)</w:t>
            </w:r>
          </w:p>
        </w:tc>
      </w:tr>
      <w:tr w:rsidR="00995A6A" w:rsidRPr="00995A6A">
        <w:tc>
          <w:tcPr>
            <w:tcW w:w="10089" w:type="dxa"/>
          </w:tcPr>
          <w:p w:rsidR="00995A6A" w:rsidRPr="00995A6A" w:rsidRDefault="00995A6A" w:rsidP="00425A80">
            <w:pPr>
              <w:spacing w:before="80"/>
              <w:jc w:val="right"/>
              <w:rPr>
                <w:rFonts w:ascii="Tahoma" w:hAnsi="Tahoma" w:cs="Tahoma"/>
                <w:b/>
                <w:bCs/>
                <w:iCs/>
                <w:color w:val="243285"/>
                <w:sz w:val="44"/>
                <w:szCs w:val="44"/>
              </w:rPr>
            </w:pPr>
          </w:p>
          <w:p w:rsidR="00995A6A" w:rsidRPr="00995A6A" w:rsidRDefault="00AC25D5" w:rsidP="00425A80">
            <w:pPr>
              <w:spacing w:before="80"/>
              <w:jc w:val="right"/>
              <w:rPr>
                <w:rFonts w:ascii="Tahoma" w:hAnsi="Tahoma" w:cs="Tahoma"/>
                <w:b/>
                <w:bCs/>
                <w:iCs/>
                <w:color w:val="243285"/>
                <w:sz w:val="44"/>
                <w:szCs w:val="44"/>
              </w:rPr>
            </w:pPr>
            <w:r w:rsidRPr="005420D1">
              <w:rPr>
                <w:rFonts w:ascii="Tahoma" w:hAnsi="Tahoma" w:cs="Tahoma"/>
                <w:b/>
                <w:bCs/>
                <w:color w:val="243285"/>
                <w:sz w:val="44"/>
                <w:szCs w:val="44"/>
                <w:lang w:val="fr-CH"/>
              </w:rPr>
              <w:t xml:space="preserve">Procédures d'évaluation des risques </w:t>
            </w:r>
            <w:r>
              <w:rPr>
                <w:rFonts w:ascii="Tahoma" w:hAnsi="Tahoma" w:cs="Tahoma"/>
                <w:b/>
                <w:bCs/>
                <w:color w:val="243285"/>
                <w:sz w:val="44"/>
                <w:szCs w:val="44"/>
                <w:lang w:val="fr-CH"/>
              </w:rPr>
              <w:br/>
            </w:r>
            <w:r w:rsidRPr="005420D1">
              <w:rPr>
                <w:rFonts w:ascii="Tahoma" w:hAnsi="Tahoma" w:cs="Tahoma"/>
                <w:b/>
                <w:bCs/>
                <w:color w:val="243285"/>
                <w:sz w:val="44"/>
                <w:szCs w:val="44"/>
                <w:lang w:val="fr-CH"/>
              </w:rPr>
              <w:t xml:space="preserve">de brouillage entre des radars </w:t>
            </w:r>
            <w:r w:rsidRPr="005420D1">
              <w:rPr>
                <w:rFonts w:ascii="Tahoma" w:hAnsi="Tahoma" w:cs="Tahoma"/>
                <w:b/>
                <w:bCs/>
                <w:color w:val="243285"/>
                <w:sz w:val="44"/>
                <w:szCs w:val="44"/>
                <w:lang w:val="fr-CH"/>
              </w:rPr>
              <w:br/>
              <w:t>fonctionnant dans le service de</w:t>
            </w:r>
            <w:r>
              <w:rPr>
                <w:rFonts w:ascii="Tahoma" w:hAnsi="Tahoma" w:cs="Tahoma"/>
                <w:b/>
                <w:bCs/>
                <w:color w:val="243285"/>
                <w:sz w:val="44"/>
                <w:szCs w:val="44"/>
                <w:lang w:val="fr-CH"/>
              </w:rPr>
              <w:t xml:space="preserve"> </w:t>
            </w:r>
            <w:r w:rsidRPr="005420D1">
              <w:rPr>
                <w:rFonts w:ascii="Tahoma" w:hAnsi="Tahoma" w:cs="Tahoma"/>
                <w:b/>
                <w:bCs/>
                <w:color w:val="243285"/>
                <w:sz w:val="44"/>
                <w:szCs w:val="44"/>
                <w:lang w:val="fr-CH"/>
              </w:rPr>
              <w:t>radiorepérage</w:t>
            </w:r>
            <w:r>
              <w:rPr>
                <w:rFonts w:ascii="Tahoma" w:hAnsi="Tahoma" w:cs="Tahoma"/>
                <w:b/>
                <w:bCs/>
                <w:color w:val="243285"/>
                <w:sz w:val="44"/>
                <w:szCs w:val="44"/>
                <w:lang w:val="fr-CH"/>
              </w:rPr>
              <w:t xml:space="preserve"> </w:t>
            </w:r>
            <w:r w:rsidRPr="005420D1">
              <w:rPr>
                <w:rFonts w:ascii="Tahoma" w:hAnsi="Tahoma" w:cs="Tahoma"/>
                <w:b/>
                <w:bCs/>
                <w:color w:val="243285"/>
                <w:sz w:val="44"/>
                <w:szCs w:val="44"/>
                <w:lang w:val="fr-CH"/>
              </w:rPr>
              <w:t xml:space="preserve">et les systèmes </w:t>
            </w:r>
            <w:r>
              <w:rPr>
                <w:rFonts w:ascii="Tahoma" w:hAnsi="Tahoma" w:cs="Tahoma"/>
                <w:b/>
                <w:bCs/>
                <w:color w:val="243285"/>
                <w:sz w:val="44"/>
                <w:szCs w:val="44"/>
                <w:lang w:val="fr-CH"/>
              </w:rPr>
              <w:br/>
            </w:r>
            <w:r w:rsidRPr="005420D1">
              <w:rPr>
                <w:rFonts w:ascii="Tahoma" w:hAnsi="Tahoma" w:cs="Tahoma"/>
                <w:b/>
                <w:bCs/>
                <w:color w:val="243285"/>
                <w:sz w:val="44"/>
                <w:szCs w:val="44"/>
                <w:lang w:val="fr-CH"/>
              </w:rPr>
              <w:t>d'autres services</w:t>
            </w:r>
          </w:p>
          <w:p w:rsidR="00995A6A" w:rsidRPr="00995A6A" w:rsidRDefault="00995A6A" w:rsidP="00425A80">
            <w:pPr>
              <w:spacing w:before="80"/>
              <w:jc w:val="right"/>
              <w:rPr>
                <w:rFonts w:ascii="Tahoma" w:hAnsi="Tahoma" w:cs="Tahoma"/>
                <w:b/>
                <w:bCs/>
                <w:iCs/>
                <w:color w:val="243285"/>
                <w:sz w:val="44"/>
                <w:szCs w:val="44"/>
              </w:rPr>
            </w:pPr>
          </w:p>
        </w:tc>
      </w:tr>
      <w:tr w:rsidR="00995A6A" w:rsidRPr="00F54FBD">
        <w:tc>
          <w:tcPr>
            <w:tcW w:w="10089" w:type="dxa"/>
          </w:tcPr>
          <w:p w:rsidR="00995A6A" w:rsidRPr="00995A6A" w:rsidRDefault="00995A6A" w:rsidP="00425A80">
            <w:pPr>
              <w:spacing w:before="80"/>
              <w:ind w:right="640"/>
              <w:rPr>
                <w:rFonts w:ascii="Tahoma" w:hAnsi="Tahoma" w:cs="Tahoma"/>
                <w:b/>
                <w:bCs/>
                <w:iCs/>
                <w:color w:val="243285"/>
                <w:sz w:val="32"/>
                <w:szCs w:val="32"/>
              </w:rPr>
            </w:pPr>
          </w:p>
          <w:p w:rsidR="00995A6A" w:rsidRPr="00995A6A" w:rsidRDefault="00995A6A" w:rsidP="00425A80">
            <w:pPr>
              <w:spacing w:before="80"/>
              <w:ind w:right="640"/>
              <w:rPr>
                <w:rFonts w:ascii="Tahoma" w:hAnsi="Tahoma" w:cs="Tahoma"/>
                <w:b/>
                <w:bCs/>
                <w:iCs/>
                <w:color w:val="243285"/>
                <w:sz w:val="32"/>
                <w:szCs w:val="32"/>
              </w:rPr>
            </w:pPr>
          </w:p>
          <w:p w:rsidR="00995A6A" w:rsidRPr="00995A6A" w:rsidRDefault="00995A6A" w:rsidP="00425A80">
            <w:pPr>
              <w:spacing w:before="80" w:after="180"/>
              <w:ind w:right="720"/>
              <w:rPr>
                <w:rFonts w:ascii="Tahoma" w:hAnsi="Tahoma" w:cs="Tahoma"/>
                <w:b/>
                <w:bCs/>
                <w:iCs/>
                <w:color w:val="243285"/>
                <w:sz w:val="36"/>
                <w:szCs w:val="36"/>
              </w:rPr>
            </w:pPr>
          </w:p>
          <w:p w:rsidR="00995A6A" w:rsidRPr="00995A6A" w:rsidRDefault="00995A6A" w:rsidP="00425A80">
            <w:pPr>
              <w:spacing w:before="80" w:after="180"/>
              <w:jc w:val="right"/>
              <w:rPr>
                <w:rFonts w:ascii="Tahoma" w:hAnsi="Tahoma" w:cs="Tahoma"/>
                <w:b/>
                <w:bCs/>
                <w:iCs/>
                <w:color w:val="243285"/>
                <w:sz w:val="36"/>
                <w:szCs w:val="36"/>
              </w:rPr>
            </w:pPr>
            <w:r w:rsidRPr="00995A6A">
              <w:rPr>
                <w:rFonts w:ascii="Tahoma" w:hAnsi="Tahoma" w:cs="Tahoma"/>
                <w:b/>
                <w:bCs/>
                <w:iCs/>
                <w:color w:val="243285"/>
                <w:sz w:val="36"/>
                <w:szCs w:val="36"/>
              </w:rPr>
              <w:t>Série M</w:t>
            </w:r>
          </w:p>
          <w:p w:rsidR="00995A6A" w:rsidRPr="00995A6A" w:rsidRDefault="00995A6A" w:rsidP="00425A80">
            <w:pPr>
              <w:spacing w:before="80"/>
              <w:jc w:val="right"/>
              <w:rPr>
                <w:rFonts w:ascii="Tahoma" w:hAnsi="Tahoma" w:cs="Tahoma"/>
                <w:b/>
                <w:bCs/>
                <w:iCs/>
                <w:color w:val="243285"/>
                <w:sz w:val="36"/>
                <w:szCs w:val="36"/>
              </w:rPr>
            </w:pPr>
            <w:r w:rsidRPr="00995A6A">
              <w:rPr>
                <w:rFonts w:ascii="Tahoma" w:hAnsi="Tahoma" w:cs="Tahoma"/>
                <w:b/>
                <w:bCs/>
                <w:iCs/>
                <w:color w:val="243285"/>
                <w:sz w:val="36"/>
                <w:szCs w:val="36"/>
              </w:rPr>
              <w:t>Services mobile, de radiorepérage et d’amateur</w:t>
            </w:r>
            <w:r w:rsidRPr="00995A6A">
              <w:rPr>
                <w:rFonts w:ascii="Tahoma" w:hAnsi="Tahoma" w:cs="Tahoma"/>
                <w:b/>
                <w:bCs/>
                <w:iCs/>
                <w:color w:val="243285"/>
                <w:sz w:val="36"/>
                <w:szCs w:val="36"/>
              </w:rPr>
              <w:br/>
              <w:t>y compris les services par satellite associés</w:t>
            </w:r>
          </w:p>
        </w:tc>
      </w:tr>
    </w:tbl>
    <w:p w:rsidR="00995A6A" w:rsidRDefault="00995A6A" w:rsidP="00425A80">
      <w:pPr>
        <w:spacing w:before="80"/>
        <w:rPr>
          <w:i/>
          <w:sz w:val="22"/>
        </w:rPr>
      </w:pPr>
    </w:p>
    <w:p w:rsidR="00995A6A" w:rsidRPr="00F54FBD" w:rsidRDefault="00995A6A" w:rsidP="00425A80">
      <w:pPr>
        <w:spacing w:before="80"/>
        <w:rPr>
          <w:i/>
          <w:sz w:val="22"/>
        </w:rPr>
      </w:pPr>
    </w:p>
    <w:p w:rsidR="00995A6A" w:rsidRPr="00F54FBD" w:rsidRDefault="00995A6A" w:rsidP="00425A80">
      <w:pPr>
        <w:pStyle w:val="Equation"/>
        <w:tabs>
          <w:tab w:val="clear" w:pos="4820"/>
          <w:tab w:val="clear" w:pos="9639"/>
          <w:tab w:val="left" w:pos="1191"/>
          <w:tab w:val="left" w:pos="1588"/>
          <w:tab w:val="left" w:pos="1985"/>
        </w:tabs>
        <w:rPr>
          <w:rFonts w:ascii="Palatino Linotype" w:hAnsi="Palatino Linotype"/>
        </w:rPr>
        <w:sectPr w:rsidR="00995A6A" w:rsidRPr="00F54FBD" w:rsidSect="00995A6A">
          <w:headerReference w:type="even" r:id="rId7"/>
          <w:headerReference w:type="default" r:id="rId8"/>
          <w:pgSz w:w="11907" w:h="16834" w:code="9"/>
          <w:pgMar w:top="1418" w:right="1134" w:bottom="1134" w:left="1134" w:header="720" w:footer="482" w:gutter="0"/>
          <w:paperSrc w:first="15" w:other="15"/>
          <w:cols w:space="720"/>
        </w:sectPr>
      </w:pPr>
    </w:p>
    <w:p w:rsidR="00995A6A" w:rsidRPr="00F54FBD" w:rsidRDefault="00995A6A" w:rsidP="00425A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995A6A" w:rsidRPr="00F54FBD" w:rsidRDefault="00995A6A" w:rsidP="00425A8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95A6A" w:rsidRPr="00F54FBD" w:rsidRDefault="00995A6A" w:rsidP="00425A8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95A6A" w:rsidRPr="00E44CBB" w:rsidRDefault="00995A6A" w:rsidP="00425A8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95A6A" w:rsidRPr="00E44CBB" w:rsidRDefault="00995A6A" w:rsidP="00425A80">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Les formulaires que les titulaires de brevets doivent utiliser pour soumettre les déclarations de brevet et d'octroi de licence sont accessibles à l'adresse</w:t>
      </w:r>
      <w:hyperlink r:id="rId9" w:history="1">
        <w:r w:rsidR="00002294">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95A6A" w:rsidRPr="00425A80" w:rsidRDefault="00995A6A" w:rsidP="00425A80">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95A6A" w:rsidRPr="009454F8">
        <w:tc>
          <w:tcPr>
            <w:tcW w:w="9360" w:type="dxa"/>
            <w:gridSpan w:val="2"/>
          </w:tcPr>
          <w:p w:rsidR="00995A6A" w:rsidRPr="009454F8" w:rsidRDefault="00995A6A" w:rsidP="00425A8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95A6A" w:rsidRPr="009454F8" w:rsidRDefault="00995A6A" w:rsidP="00425A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Egalement disponible en ligne:</w:t>
            </w:r>
            <w:hyperlink r:id="rId10" w:history="1">
              <w:r w:rsidR="00002294">
                <w:rPr>
                  <w:rStyle w:val="Hyperlink"/>
                  <w:b w:val="0"/>
                  <w:sz w:val="18"/>
                  <w:szCs w:val="18"/>
                </w:rPr>
                <w:t>https://www.itu.int/pub/R-REC/fr</w:t>
              </w:r>
            </w:hyperlink>
            <w:r w:rsidRPr="00BC0651">
              <w:rPr>
                <w:b w:val="0"/>
                <w:bCs/>
                <w:sz w:val="18"/>
                <w:szCs w:val="18"/>
              </w:rPr>
              <w:t>)</w:t>
            </w:r>
          </w:p>
        </w:tc>
      </w:tr>
      <w:tr w:rsidR="00995A6A" w:rsidRPr="00036EE3">
        <w:tc>
          <w:tcPr>
            <w:tcW w:w="1140" w:type="dxa"/>
          </w:tcPr>
          <w:p w:rsidR="00995A6A" w:rsidRPr="00614CC6" w:rsidRDefault="00995A6A" w:rsidP="00425A80">
            <w:pPr>
              <w:spacing w:before="90" w:after="100"/>
              <w:ind w:left="57"/>
              <w:rPr>
                <w:b/>
                <w:bCs/>
                <w:sz w:val="20"/>
                <w:lang w:val="en-US"/>
              </w:rPr>
            </w:pPr>
            <w:r w:rsidRPr="00614CC6">
              <w:rPr>
                <w:b/>
                <w:bCs/>
                <w:sz w:val="20"/>
                <w:lang w:val="en-US"/>
              </w:rPr>
              <w:t>Séries</w:t>
            </w:r>
          </w:p>
        </w:tc>
        <w:tc>
          <w:tcPr>
            <w:tcW w:w="8220" w:type="dxa"/>
          </w:tcPr>
          <w:p w:rsidR="00995A6A" w:rsidRPr="00614CC6" w:rsidRDefault="00995A6A" w:rsidP="00425A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95A6A" w:rsidRPr="00036EE3">
        <w:tc>
          <w:tcPr>
            <w:tcW w:w="1140" w:type="dxa"/>
          </w:tcPr>
          <w:p w:rsidR="00995A6A" w:rsidRPr="00614CC6" w:rsidRDefault="00995A6A" w:rsidP="00425A80">
            <w:pPr>
              <w:spacing w:before="30" w:after="30"/>
              <w:ind w:left="57"/>
              <w:jc w:val="left"/>
              <w:rPr>
                <w:b/>
                <w:bCs/>
                <w:sz w:val="20"/>
                <w:lang w:val="en-US"/>
              </w:rPr>
            </w:pPr>
            <w:r w:rsidRPr="00614CC6">
              <w:rPr>
                <w:b/>
                <w:bCs/>
                <w:sz w:val="20"/>
                <w:lang w:val="en-US"/>
              </w:rPr>
              <w:t>BO</w:t>
            </w:r>
          </w:p>
        </w:tc>
        <w:tc>
          <w:tcPr>
            <w:tcW w:w="8220" w:type="dxa"/>
          </w:tcPr>
          <w:p w:rsidR="00995A6A" w:rsidRPr="00614CC6" w:rsidRDefault="00995A6A" w:rsidP="00425A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995A6A" w:rsidRPr="009454F8">
        <w:tc>
          <w:tcPr>
            <w:tcW w:w="1140" w:type="dxa"/>
          </w:tcPr>
          <w:p w:rsidR="00995A6A" w:rsidRPr="00614CC6" w:rsidRDefault="00995A6A" w:rsidP="00425A80">
            <w:pPr>
              <w:spacing w:before="30" w:after="30"/>
              <w:ind w:left="57"/>
              <w:jc w:val="left"/>
              <w:rPr>
                <w:b/>
                <w:bCs/>
                <w:sz w:val="20"/>
                <w:lang w:val="en-US"/>
              </w:rPr>
            </w:pPr>
            <w:r w:rsidRPr="00614CC6">
              <w:rPr>
                <w:b/>
                <w:bCs/>
                <w:sz w:val="20"/>
                <w:lang w:val="en-US"/>
              </w:rPr>
              <w:t>BR</w:t>
            </w:r>
          </w:p>
        </w:tc>
        <w:tc>
          <w:tcPr>
            <w:tcW w:w="8220" w:type="dxa"/>
          </w:tcPr>
          <w:p w:rsidR="00995A6A" w:rsidRPr="00614CC6" w:rsidRDefault="00995A6A" w:rsidP="00425A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95A6A" w:rsidRPr="00036EE3">
        <w:tc>
          <w:tcPr>
            <w:tcW w:w="1140" w:type="dxa"/>
          </w:tcPr>
          <w:p w:rsidR="00995A6A" w:rsidRPr="00614CC6" w:rsidRDefault="00995A6A" w:rsidP="00425A80">
            <w:pPr>
              <w:spacing w:before="30" w:after="30"/>
              <w:ind w:left="57"/>
              <w:jc w:val="left"/>
              <w:rPr>
                <w:b/>
                <w:bCs/>
                <w:sz w:val="20"/>
                <w:lang w:val="en-US"/>
              </w:rPr>
            </w:pPr>
            <w:r w:rsidRPr="00614CC6">
              <w:rPr>
                <w:b/>
                <w:bCs/>
                <w:sz w:val="20"/>
                <w:lang w:val="en-US"/>
              </w:rPr>
              <w:t>BS</w:t>
            </w:r>
          </w:p>
        </w:tc>
        <w:tc>
          <w:tcPr>
            <w:tcW w:w="8220" w:type="dxa"/>
          </w:tcPr>
          <w:p w:rsidR="00995A6A" w:rsidRPr="00614CC6" w:rsidRDefault="00995A6A" w:rsidP="00425A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95A6A" w:rsidRPr="00ED2695">
        <w:tc>
          <w:tcPr>
            <w:tcW w:w="1140" w:type="dxa"/>
            <w:shd w:val="clear" w:color="auto" w:fill="auto"/>
          </w:tcPr>
          <w:p w:rsidR="00995A6A" w:rsidRPr="00614CC6" w:rsidRDefault="00995A6A" w:rsidP="00425A80">
            <w:pPr>
              <w:spacing w:before="30" w:after="30"/>
              <w:ind w:left="57"/>
              <w:jc w:val="left"/>
              <w:rPr>
                <w:b/>
                <w:bCs/>
                <w:sz w:val="20"/>
                <w:lang w:val="en-US"/>
              </w:rPr>
            </w:pPr>
            <w:r w:rsidRPr="00614CC6">
              <w:rPr>
                <w:b/>
                <w:bCs/>
                <w:sz w:val="20"/>
                <w:lang w:val="en-US"/>
              </w:rPr>
              <w:t>BT</w:t>
            </w:r>
          </w:p>
        </w:tc>
        <w:tc>
          <w:tcPr>
            <w:tcW w:w="8220" w:type="dxa"/>
            <w:shd w:val="clear" w:color="auto" w:fill="auto"/>
          </w:tcPr>
          <w:p w:rsidR="00995A6A" w:rsidRPr="00614CC6" w:rsidRDefault="00995A6A" w:rsidP="00425A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95A6A" w:rsidRPr="00036EE3">
        <w:tc>
          <w:tcPr>
            <w:tcW w:w="1140" w:type="dxa"/>
            <w:shd w:val="clear" w:color="auto" w:fill="auto"/>
          </w:tcPr>
          <w:p w:rsidR="00995A6A" w:rsidRPr="00614CC6" w:rsidRDefault="00995A6A" w:rsidP="00425A80">
            <w:pPr>
              <w:spacing w:before="30" w:after="30"/>
              <w:ind w:left="57"/>
              <w:jc w:val="left"/>
              <w:rPr>
                <w:b/>
                <w:bCs/>
                <w:sz w:val="20"/>
                <w:lang w:val="fr-CH"/>
              </w:rPr>
            </w:pPr>
            <w:r w:rsidRPr="00614CC6">
              <w:rPr>
                <w:b/>
                <w:bCs/>
                <w:sz w:val="20"/>
                <w:lang w:val="fr-CH"/>
              </w:rPr>
              <w:t>F</w:t>
            </w:r>
          </w:p>
        </w:tc>
        <w:tc>
          <w:tcPr>
            <w:tcW w:w="8220" w:type="dxa"/>
            <w:shd w:val="clear" w:color="auto" w:fill="auto"/>
          </w:tcPr>
          <w:p w:rsidR="00995A6A" w:rsidRPr="00614CC6" w:rsidRDefault="00995A6A" w:rsidP="00425A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95A6A" w:rsidRPr="00592F9F">
        <w:tc>
          <w:tcPr>
            <w:tcW w:w="1140" w:type="dxa"/>
            <w:shd w:val="clear" w:color="auto" w:fill="F3F3F3"/>
          </w:tcPr>
          <w:p w:rsidR="00995A6A" w:rsidRPr="00592F9F" w:rsidRDefault="00995A6A" w:rsidP="00425A80">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995A6A" w:rsidRPr="00592F9F" w:rsidRDefault="00995A6A" w:rsidP="00425A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995A6A" w:rsidRPr="00036EE3">
        <w:tc>
          <w:tcPr>
            <w:tcW w:w="1140" w:type="dxa"/>
          </w:tcPr>
          <w:p w:rsidR="00995A6A" w:rsidRPr="00614CC6" w:rsidRDefault="00995A6A" w:rsidP="00425A80">
            <w:pPr>
              <w:spacing w:before="30" w:after="30"/>
              <w:ind w:left="57"/>
              <w:jc w:val="left"/>
              <w:rPr>
                <w:b/>
                <w:bCs/>
                <w:sz w:val="20"/>
                <w:lang w:val="fr-CH"/>
              </w:rPr>
            </w:pPr>
            <w:r w:rsidRPr="00614CC6">
              <w:rPr>
                <w:b/>
                <w:bCs/>
                <w:sz w:val="20"/>
                <w:lang w:val="fr-CH"/>
              </w:rPr>
              <w:t>P</w:t>
            </w:r>
          </w:p>
        </w:tc>
        <w:tc>
          <w:tcPr>
            <w:tcW w:w="8220" w:type="dxa"/>
          </w:tcPr>
          <w:p w:rsidR="00995A6A" w:rsidRPr="00614CC6" w:rsidRDefault="00995A6A" w:rsidP="00425A80">
            <w:pPr>
              <w:spacing w:before="30" w:after="30"/>
              <w:jc w:val="left"/>
              <w:rPr>
                <w:sz w:val="20"/>
                <w:lang w:val="fr-CH"/>
              </w:rPr>
            </w:pPr>
            <w:r w:rsidRPr="00614CC6">
              <w:rPr>
                <w:sz w:val="20"/>
              </w:rPr>
              <w:t>Propagation des ondes radioélectriques</w:t>
            </w:r>
          </w:p>
        </w:tc>
      </w:tr>
      <w:tr w:rsidR="00995A6A" w:rsidRPr="00036EE3">
        <w:tc>
          <w:tcPr>
            <w:tcW w:w="1140" w:type="dxa"/>
          </w:tcPr>
          <w:p w:rsidR="00995A6A" w:rsidRPr="00614CC6" w:rsidRDefault="00995A6A" w:rsidP="00425A80">
            <w:pPr>
              <w:spacing w:before="30" w:after="30"/>
              <w:ind w:left="57"/>
              <w:jc w:val="left"/>
              <w:rPr>
                <w:b/>
                <w:bCs/>
                <w:sz w:val="20"/>
                <w:lang w:val="en-US"/>
              </w:rPr>
            </w:pPr>
            <w:r w:rsidRPr="00614CC6">
              <w:rPr>
                <w:b/>
                <w:bCs/>
                <w:sz w:val="20"/>
                <w:lang w:val="en-US"/>
              </w:rPr>
              <w:t>RA</w:t>
            </w:r>
          </w:p>
        </w:tc>
        <w:tc>
          <w:tcPr>
            <w:tcW w:w="8220" w:type="dxa"/>
          </w:tcPr>
          <w:p w:rsidR="00995A6A" w:rsidRPr="00614CC6" w:rsidRDefault="00995A6A" w:rsidP="00425A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95A6A" w:rsidRPr="00036EE3">
        <w:tc>
          <w:tcPr>
            <w:tcW w:w="1140" w:type="dxa"/>
          </w:tcPr>
          <w:p w:rsidR="00995A6A" w:rsidRPr="00614CC6" w:rsidRDefault="00995A6A" w:rsidP="00425A80">
            <w:pPr>
              <w:spacing w:before="30" w:after="30"/>
              <w:ind w:left="57"/>
              <w:jc w:val="left"/>
              <w:rPr>
                <w:b/>
                <w:bCs/>
                <w:sz w:val="20"/>
                <w:lang w:val="en-US"/>
              </w:rPr>
            </w:pPr>
            <w:r w:rsidRPr="00614CC6">
              <w:rPr>
                <w:b/>
                <w:bCs/>
                <w:sz w:val="20"/>
                <w:lang w:val="en-US"/>
              </w:rPr>
              <w:t>RS</w:t>
            </w:r>
          </w:p>
        </w:tc>
        <w:tc>
          <w:tcPr>
            <w:tcW w:w="8220" w:type="dxa"/>
          </w:tcPr>
          <w:p w:rsidR="00995A6A" w:rsidRPr="00614CC6" w:rsidRDefault="00995A6A" w:rsidP="00425A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95A6A" w:rsidRPr="00036EE3">
        <w:tc>
          <w:tcPr>
            <w:tcW w:w="1140" w:type="dxa"/>
          </w:tcPr>
          <w:p w:rsidR="00995A6A" w:rsidRPr="00614CC6" w:rsidRDefault="00995A6A" w:rsidP="00425A80">
            <w:pPr>
              <w:spacing w:before="30" w:after="30"/>
              <w:ind w:left="57"/>
              <w:jc w:val="left"/>
              <w:rPr>
                <w:b/>
                <w:bCs/>
                <w:sz w:val="20"/>
                <w:lang w:val="en-US"/>
              </w:rPr>
            </w:pPr>
            <w:r w:rsidRPr="00614CC6">
              <w:rPr>
                <w:b/>
                <w:bCs/>
                <w:sz w:val="20"/>
                <w:lang w:val="en-US"/>
              </w:rPr>
              <w:t>S</w:t>
            </w:r>
          </w:p>
        </w:tc>
        <w:tc>
          <w:tcPr>
            <w:tcW w:w="8220" w:type="dxa"/>
          </w:tcPr>
          <w:p w:rsidR="00995A6A" w:rsidRPr="00614CC6" w:rsidRDefault="00995A6A" w:rsidP="00425A80">
            <w:pPr>
              <w:spacing w:before="30" w:after="30"/>
              <w:jc w:val="left"/>
              <w:rPr>
                <w:sz w:val="20"/>
                <w:lang w:val="en-US"/>
              </w:rPr>
            </w:pPr>
            <w:r w:rsidRPr="00614CC6">
              <w:rPr>
                <w:sz w:val="20"/>
              </w:rPr>
              <w:t>Service fixe par satellite</w:t>
            </w:r>
          </w:p>
        </w:tc>
      </w:tr>
      <w:tr w:rsidR="00995A6A" w:rsidRPr="00036EE3">
        <w:tc>
          <w:tcPr>
            <w:tcW w:w="1140" w:type="dxa"/>
          </w:tcPr>
          <w:p w:rsidR="00995A6A" w:rsidRPr="00614CC6" w:rsidRDefault="00995A6A" w:rsidP="00425A80">
            <w:pPr>
              <w:spacing w:before="30" w:after="30"/>
              <w:ind w:left="57"/>
              <w:jc w:val="left"/>
              <w:rPr>
                <w:b/>
                <w:bCs/>
                <w:sz w:val="20"/>
                <w:lang w:val="en-US"/>
              </w:rPr>
            </w:pPr>
            <w:r w:rsidRPr="00614CC6">
              <w:rPr>
                <w:b/>
                <w:bCs/>
                <w:sz w:val="20"/>
                <w:lang w:val="en-US"/>
              </w:rPr>
              <w:t>SA</w:t>
            </w:r>
          </w:p>
        </w:tc>
        <w:tc>
          <w:tcPr>
            <w:tcW w:w="8220" w:type="dxa"/>
          </w:tcPr>
          <w:p w:rsidR="00995A6A" w:rsidRPr="00614CC6" w:rsidRDefault="00995A6A" w:rsidP="00425A80">
            <w:pPr>
              <w:spacing w:before="30" w:after="30"/>
              <w:jc w:val="left"/>
              <w:rPr>
                <w:sz w:val="20"/>
                <w:lang w:val="en-US"/>
              </w:rPr>
            </w:pPr>
            <w:r w:rsidRPr="00614CC6">
              <w:rPr>
                <w:sz w:val="20"/>
              </w:rPr>
              <w:t>Applications spatiales et météorologie</w:t>
            </w:r>
          </w:p>
        </w:tc>
      </w:tr>
      <w:tr w:rsidR="00995A6A" w:rsidRPr="00614CC6">
        <w:tc>
          <w:tcPr>
            <w:tcW w:w="1140" w:type="dxa"/>
          </w:tcPr>
          <w:p w:rsidR="00995A6A" w:rsidRPr="00614CC6" w:rsidRDefault="00995A6A" w:rsidP="00425A80">
            <w:pPr>
              <w:spacing w:before="30" w:after="30"/>
              <w:ind w:left="57"/>
              <w:jc w:val="left"/>
              <w:rPr>
                <w:b/>
                <w:bCs/>
                <w:sz w:val="20"/>
                <w:lang w:val="en-US"/>
              </w:rPr>
            </w:pPr>
            <w:r w:rsidRPr="00614CC6">
              <w:rPr>
                <w:b/>
                <w:bCs/>
                <w:sz w:val="20"/>
                <w:lang w:val="en-US"/>
              </w:rPr>
              <w:t>SF</w:t>
            </w:r>
          </w:p>
        </w:tc>
        <w:tc>
          <w:tcPr>
            <w:tcW w:w="8220" w:type="dxa"/>
          </w:tcPr>
          <w:p w:rsidR="00995A6A" w:rsidRPr="00614CC6" w:rsidRDefault="00995A6A" w:rsidP="00425A80">
            <w:pPr>
              <w:spacing w:before="30" w:after="30"/>
              <w:jc w:val="left"/>
              <w:rPr>
                <w:sz w:val="20"/>
              </w:rPr>
            </w:pPr>
            <w:r w:rsidRPr="00614CC6">
              <w:rPr>
                <w:sz w:val="20"/>
              </w:rPr>
              <w:t>Partage des fréquences et coordination entre les systèmes du service fixe par satellite et du service fixe</w:t>
            </w:r>
          </w:p>
        </w:tc>
      </w:tr>
      <w:tr w:rsidR="00995A6A" w:rsidRPr="00036EE3">
        <w:tc>
          <w:tcPr>
            <w:tcW w:w="1140" w:type="dxa"/>
            <w:shd w:val="clear" w:color="auto" w:fill="auto"/>
          </w:tcPr>
          <w:p w:rsidR="00995A6A" w:rsidRPr="00592F9F" w:rsidRDefault="00995A6A" w:rsidP="00425A80">
            <w:pPr>
              <w:spacing w:before="30" w:after="30"/>
              <w:ind w:left="57"/>
              <w:jc w:val="left"/>
              <w:rPr>
                <w:b/>
                <w:bCs/>
                <w:sz w:val="20"/>
                <w:lang w:val="en-US"/>
              </w:rPr>
            </w:pPr>
            <w:r w:rsidRPr="00592F9F">
              <w:rPr>
                <w:b/>
                <w:bCs/>
                <w:sz w:val="20"/>
                <w:lang w:val="en-US"/>
              </w:rPr>
              <w:t>SM</w:t>
            </w:r>
          </w:p>
        </w:tc>
        <w:tc>
          <w:tcPr>
            <w:tcW w:w="8220" w:type="dxa"/>
            <w:shd w:val="clear" w:color="auto" w:fill="auto"/>
          </w:tcPr>
          <w:p w:rsidR="00995A6A" w:rsidRPr="00592F9F" w:rsidRDefault="00995A6A" w:rsidP="00425A80">
            <w:pPr>
              <w:spacing w:before="30" w:after="30"/>
              <w:jc w:val="left"/>
              <w:rPr>
                <w:sz w:val="20"/>
                <w:lang w:val="en-US"/>
              </w:rPr>
            </w:pPr>
            <w:r w:rsidRPr="00592F9F">
              <w:rPr>
                <w:sz w:val="20"/>
              </w:rPr>
              <w:t>Gestion du spectre</w:t>
            </w:r>
          </w:p>
        </w:tc>
      </w:tr>
      <w:tr w:rsidR="00995A6A" w:rsidRPr="00036EE3">
        <w:tc>
          <w:tcPr>
            <w:tcW w:w="1140" w:type="dxa"/>
          </w:tcPr>
          <w:p w:rsidR="00995A6A" w:rsidRPr="00614CC6" w:rsidRDefault="00995A6A" w:rsidP="00425A80">
            <w:pPr>
              <w:spacing w:before="30" w:after="30"/>
              <w:ind w:left="57"/>
              <w:jc w:val="left"/>
              <w:rPr>
                <w:b/>
                <w:bCs/>
                <w:sz w:val="20"/>
                <w:lang w:val="en-US"/>
              </w:rPr>
            </w:pPr>
            <w:r w:rsidRPr="00614CC6">
              <w:rPr>
                <w:b/>
                <w:bCs/>
                <w:sz w:val="20"/>
                <w:lang w:val="en-US"/>
              </w:rPr>
              <w:t>SNG</w:t>
            </w:r>
          </w:p>
        </w:tc>
        <w:tc>
          <w:tcPr>
            <w:tcW w:w="8220" w:type="dxa"/>
          </w:tcPr>
          <w:p w:rsidR="00995A6A" w:rsidRPr="00614CC6" w:rsidRDefault="00995A6A" w:rsidP="00425A80">
            <w:pPr>
              <w:spacing w:before="30" w:after="30"/>
              <w:jc w:val="left"/>
              <w:rPr>
                <w:sz w:val="20"/>
                <w:lang w:val="en-US"/>
              </w:rPr>
            </w:pPr>
            <w:r w:rsidRPr="00614CC6">
              <w:rPr>
                <w:sz w:val="20"/>
              </w:rPr>
              <w:t>Reportage d'actualités par satellite</w:t>
            </w:r>
          </w:p>
        </w:tc>
      </w:tr>
      <w:tr w:rsidR="00995A6A" w:rsidRPr="00614CC6">
        <w:tc>
          <w:tcPr>
            <w:tcW w:w="1140" w:type="dxa"/>
          </w:tcPr>
          <w:p w:rsidR="00995A6A" w:rsidRPr="00614CC6" w:rsidRDefault="00995A6A" w:rsidP="00425A80">
            <w:pPr>
              <w:spacing w:before="30" w:after="30"/>
              <w:ind w:left="57"/>
              <w:jc w:val="left"/>
              <w:rPr>
                <w:b/>
                <w:bCs/>
                <w:sz w:val="20"/>
                <w:lang w:val="en-US"/>
              </w:rPr>
            </w:pPr>
            <w:r w:rsidRPr="00614CC6">
              <w:rPr>
                <w:b/>
                <w:bCs/>
                <w:sz w:val="20"/>
                <w:lang w:val="en-US"/>
              </w:rPr>
              <w:t>TF</w:t>
            </w:r>
          </w:p>
        </w:tc>
        <w:tc>
          <w:tcPr>
            <w:tcW w:w="8220" w:type="dxa"/>
          </w:tcPr>
          <w:p w:rsidR="00995A6A" w:rsidRPr="00614CC6" w:rsidRDefault="00995A6A" w:rsidP="00425A80">
            <w:pPr>
              <w:spacing w:before="30" w:after="30"/>
              <w:jc w:val="left"/>
              <w:rPr>
                <w:sz w:val="20"/>
              </w:rPr>
            </w:pPr>
            <w:r w:rsidRPr="00614CC6">
              <w:rPr>
                <w:sz w:val="20"/>
              </w:rPr>
              <w:t>Emissions de fréquences étalon et de signaux horaires</w:t>
            </w:r>
          </w:p>
        </w:tc>
      </w:tr>
      <w:tr w:rsidR="00995A6A" w:rsidRPr="00036EE3">
        <w:tc>
          <w:tcPr>
            <w:tcW w:w="1140" w:type="dxa"/>
          </w:tcPr>
          <w:p w:rsidR="00995A6A" w:rsidRPr="00614CC6" w:rsidRDefault="00995A6A" w:rsidP="00425A80">
            <w:pPr>
              <w:spacing w:before="30" w:after="30"/>
              <w:ind w:left="57"/>
              <w:jc w:val="left"/>
              <w:rPr>
                <w:b/>
                <w:bCs/>
                <w:sz w:val="20"/>
                <w:lang w:val="en-US"/>
              </w:rPr>
            </w:pPr>
            <w:r w:rsidRPr="00614CC6">
              <w:rPr>
                <w:b/>
                <w:bCs/>
                <w:sz w:val="20"/>
                <w:lang w:val="en-US"/>
              </w:rPr>
              <w:t>V</w:t>
            </w:r>
          </w:p>
        </w:tc>
        <w:tc>
          <w:tcPr>
            <w:tcW w:w="8220" w:type="dxa"/>
          </w:tcPr>
          <w:p w:rsidR="00995A6A" w:rsidRPr="00614CC6" w:rsidRDefault="00995A6A" w:rsidP="00425A80">
            <w:pPr>
              <w:spacing w:before="30" w:after="140"/>
              <w:jc w:val="left"/>
              <w:rPr>
                <w:sz w:val="20"/>
                <w:lang w:val="en-US"/>
              </w:rPr>
            </w:pPr>
            <w:r w:rsidRPr="00614CC6">
              <w:rPr>
                <w:sz w:val="20"/>
              </w:rPr>
              <w:t>Vocabulaire et sujets associés</w:t>
            </w:r>
          </w:p>
        </w:tc>
      </w:tr>
    </w:tbl>
    <w:p w:rsidR="00995A6A" w:rsidRPr="00036EE3" w:rsidRDefault="00995A6A" w:rsidP="00425A80">
      <w:pPr>
        <w:spacing w:before="0"/>
        <w:jc w:val="center"/>
        <w:rPr>
          <w:sz w:val="20"/>
          <w:lang w:val="en-US"/>
        </w:rPr>
      </w:pPr>
    </w:p>
    <w:p w:rsidR="00995A6A" w:rsidRPr="00036EE3" w:rsidRDefault="00995A6A" w:rsidP="00425A8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95A6A" w:rsidRPr="00756B4D">
        <w:tc>
          <w:tcPr>
            <w:tcW w:w="9360" w:type="dxa"/>
          </w:tcPr>
          <w:p w:rsidR="00995A6A" w:rsidRPr="00756B4D" w:rsidRDefault="00995A6A" w:rsidP="00425A80">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995A6A" w:rsidRPr="00756B4D" w:rsidRDefault="00995A6A" w:rsidP="00425A80">
      <w:pPr>
        <w:spacing w:before="0"/>
        <w:jc w:val="center"/>
        <w:rPr>
          <w:sz w:val="22"/>
        </w:rPr>
      </w:pPr>
    </w:p>
    <w:p w:rsidR="00995A6A" w:rsidRPr="00614CC6" w:rsidRDefault="00995A6A" w:rsidP="00425A80">
      <w:pPr>
        <w:spacing w:before="100"/>
        <w:jc w:val="right"/>
        <w:rPr>
          <w:i/>
          <w:iCs/>
          <w:sz w:val="20"/>
        </w:rPr>
      </w:pPr>
      <w:r w:rsidRPr="00614CC6">
        <w:rPr>
          <w:i/>
          <w:iCs/>
          <w:sz w:val="20"/>
        </w:rPr>
        <w:t>Publication électronique</w:t>
      </w:r>
    </w:p>
    <w:p w:rsidR="00995A6A" w:rsidRPr="00614CC6" w:rsidRDefault="00995A6A" w:rsidP="00425A80">
      <w:pPr>
        <w:spacing w:before="0"/>
        <w:jc w:val="right"/>
        <w:rPr>
          <w:sz w:val="20"/>
        </w:rPr>
      </w:pPr>
      <w:r w:rsidRPr="00614CC6">
        <w:rPr>
          <w:sz w:val="20"/>
        </w:rPr>
        <w:t xml:space="preserve">Genève, </w:t>
      </w:r>
      <w:r w:rsidR="00002294">
        <w:rPr>
          <w:sz w:val="20"/>
        </w:rPr>
        <w:t>2018</w:t>
      </w:r>
    </w:p>
    <w:p w:rsidR="00995A6A" w:rsidRPr="00614CC6" w:rsidRDefault="00995A6A" w:rsidP="00425A80">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00002294">
        <w:rPr>
          <w:sz w:val="20"/>
        </w:rPr>
        <w:t>2018</w:t>
      </w:r>
    </w:p>
    <w:p w:rsidR="00995A6A" w:rsidRPr="00614CC6" w:rsidRDefault="00995A6A" w:rsidP="00425A8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95A6A" w:rsidRPr="00614CC6" w:rsidRDefault="00995A6A" w:rsidP="00425A80">
      <w:pPr>
        <w:spacing w:before="160"/>
        <w:rPr>
          <w:i/>
          <w:sz w:val="20"/>
          <w:highlight w:val="yellow"/>
        </w:rPr>
        <w:sectPr w:rsidR="00995A6A" w:rsidRPr="00614CC6" w:rsidSect="00995A6A">
          <w:headerReference w:type="even" r:id="rId11"/>
          <w:headerReference w:type="default" r:id="rId12"/>
          <w:pgSz w:w="11907" w:h="16834" w:code="9"/>
          <w:pgMar w:top="1418" w:right="1134" w:bottom="1134" w:left="1134" w:header="720" w:footer="482" w:gutter="0"/>
          <w:pgNumType w:fmt="lowerRoman" w:start="2"/>
          <w:cols w:space="720"/>
        </w:sectPr>
      </w:pPr>
    </w:p>
    <w:p w:rsidR="00995A6A" w:rsidRPr="00756B4D" w:rsidRDefault="00995A6A" w:rsidP="00425A80">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M.1461</w:t>
      </w:r>
      <w:r>
        <w:rPr>
          <w:rStyle w:val="href"/>
        </w:rPr>
        <w:noBreakHyphen/>
      </w:r>
      <w:r w:rsidR="00002294">
        <w:rPr>
          <w:rStyle w:val="href"/>
        </w:rPr>
        <w:t>2</w:t>
      </w:r>
      <w:r w:rsidRPr="00995A6A">
        <w:rPr>
          <w:rStyle w:val="FootnoteReference"/>
          <w:position w:val="0"/>
          <w:sz w:val="24"/>
          <w:vertAlign w:val="superscript"/>
        </w:rPr>
        <w:footnoteReference w:customMarkFollows="1" w:id="1"/>
        <w:t>*</w:t>
      </w:r>
    </w:p>
    <w:p w:rsidR="00201D3C" w:rsidRDefault="00201D3C" w:rsidP="00425A80">
      <w:pPr>
        <w:pStyle w:val="Rectitle"/>
        <w:rPr>
          <w:lang w:val="fr-CH"/>
        </w:rPr>
      </w:pPr>
      <w:r>
        <w:rPr>
          <w:lang w:val="fr-CH"/>
        </w:rPr>
        <w:t xml:space="preserve">Procédures d'évaluation des risques de brouillage entre des radars </w:t>
      </w:r>
      <w:r>
        <w:rPr>
          <w:lang w:val="fr-CH"/>
        </w:rPr>
        <w:br/>
        <w:t xml:space="preserve">fonctionnant dans le service de radiorepérage </w:t>
      </w:r>
      <w:r>
        <w:rPr>
          <w:lang w:val="fr-CH"/>
        </w:rPr>
        <w:br/>
        <w:t>et les systèmes d'autres services</w:t>
      </w:r>
    </w:p>
    <w:p w:rsidR="00201D3C" w:rsidRDefault="00201D3C" w:rsidP="00425A80">
      <w:pPr>
        <w:pStyle w:val="Recref"/>
      </w:pPr>
      <w:r>
        <w:t>(Question UIT-R 226/5)</w:t>
      </w:r>
    </w:p>
    <w:p w:rsidR="00201D3C" w:rsidRDefault="00201D3C" w:rsidP="00425A80">
      <w:pPr>
        <w:pStyle w:val="Recdate"/>
      </w:pPr>
      <w:r>
        <w:t>(2000</w:t>
      </w:r>
      <w:r>
        <w:noBreakHyphen/>
        <w:t>2003</w:t>
      </w:r>
      <w:r w:rsidR="00002294">
        <w:t>-2018</w:t>
      </w:r>
      <w:r>
        <w:t>)</w:t>
      </w:r>
    </w:p>
    <w:p w:rsidR="00201D3C" w:rsidRPr="004E484D" w:rsidRDefault="00201D3C" w:rsidP="00425A80">
      <w:pPr>
        <w:pStyle w:val="HeadingSum"/>
        <w:rPr>
          <w:lang w:val="fr-CH"/>
        </w:rPr>
      </w:pPr>
      <w:r w:rsidRPr="004E484D">
        <w:rPr>
          <w:lang w:val="fr-CH"/>
        </w:rPr>
        <w:t>Domaine d'application</w:t>
      </w:r>
    </w:p>
    <w:p w:rsidR="00201D3C" w:rsidRPr="004E484D" w:rsidRDefault="00201D3C" w:rsidP="00425A80">
      <w:pPr>
        <w:pStyle w:val="Summary"/>
        <w:rPr>
          <w:lang w:val="fr-CH"/>
        </w:rPr>
      </w:pPr>
      <w:r w:rsidRPr="004E484D">
        <w:rPr>
          <w:lang w:val="fr-CH"/>
        </w:rPr>
        <w:t>La présente Recommandation propose des orientations et des procédures pour déterminer les risques de brouillage entre des radars fonctionnant dans le service de radiorepérage et des systèmes d'autres services.</w:t>
      </w:r>
    </w:p>
    <w:p w:rsidR="004E484D" w:rsidRPr="00425A80" w:rsidRDefault="00425A80" w:rsidP="00425A80">
      <w:pPr>
        <w:pStyle w:val="Headingb"/>
        <w:rPr>
          <w:lang w:val="fr-CH"/>
        </w:rPr>
      </w:pPr>
      <w:r>
        <w:rPr>
          <w:lang w:val="fr-CH"/>
        </w:rPr>
        <w:t xml:space="preserve">Mots </w:t>
      </w:r>
      <w:r w:rsidR="004E484D" w:rsidRPr="00425A80">
        <w:rPr>
          <w:lang w:val="fr-CH"/>
        </w:rPr>
        <w:t>clés</w:t>
      </w:r>
    </w:p>
    <w:p w:rsidR="004E484D" w:rsidRPr="00425A80" w:rsidRDefault="004E484D" w:rsidP="00425A80">
      <w:pPr>
        <w:rPr>
          <w:lang w:val="fr-CH"/>
        </w:rPr>
      </w:pPr>
      <w:r w:rsidRPr="00425A80">
        <w:rPr>
          <w:lang w:val="fr-CH"/>
        </w:rPr>
        <w:t>Radar, procédure, brouillage, critère de protection</w:t>
      </w:r>
    </w:p>
    <w:p w:rsidR="00002294" w:rsidRPr="00425A80" w:rsidRDefault="004E484D" w:rsidP="00425A80">
      <w:pPr>
        <w:pStyle w:val="Headingb"/>
        <w:rPr>
          <w:lang w:val="fr-CH"/>
        </w:rPr>
      </w:pPr>
      <w:r w:rsidRPr="00425A80">
        <w:rPr>
          <w:lang w:val="fr-CH"/>
        </w:rPr>
        <w:t>Abréviations/</w:t>
      </w:r>
      <w:r w:rsidR="006B4A39">
        <w:rPr>
          <w:lang w:val="fr-CH"/>
        </w:rPr>
        <w:t>G</w:t>
      </w:r>
      <w:r w:rsidRPr="00425A80">
        <w:rPr>
          <w:lang w:val="fr-CH"/>
        </w:rPr>
        <w:t>lossaire</w:t>
      </w:r>
    </w:p>
    <w:p w:rsidR="00425A80" w:rsidRPr="00425A80" w:rsidRDefault="00425A80" w:rsidP="003C4D7B">
      <w:pPr>
        <w:rPr>
          <w:lang w:val="fr-CH"/>
        </w:rPr>
      </w:pPr>
      <w:r>
        <w:rPr>
          <w:lang w:val="fr-CH"/>
        </w:rPr>
        <w:t>AFB</w:t>
      </w:r>
      <w:r>
        <w:rPr>
          <w:lang w:val="fr-CH"/>
        </w:rPr>
        <w:tab/>
      </w:r>
      <w:r>
        <w:rPr>
          <w:lang w:val="fr-CH"/>
        </w:rPr>
        <w:tab/>
      </w:r>
      <w:r w:rsidR="003C4D7B">
        <w:rPr>
          <w:lang w:val="fr-CH"/>
        </w:rPr>
        <w:t>a</w:t>
      </w:r>
      <w:r>
        <w:rPr>
          <w:lang w:val="fr-CH"/>
        </w:rPr>
        <w:t>mplificateur à faible bruit</w:t>
      </w:r>
    </w:p>
    <w:p w:rsidR="00425A80" w:rsidRPr="00425A80" w:rsidRDefault="00425A80" w:rsidP="003C4D7B">
      <w:pPr>
        <w:rPr>
          <w:i/>
          <w:iCs/>
          <w:lang w:val="fr-CH"/>
        </w:rPr>
      </w:pPr>
      <w:r>
        <w:rPr>
          <w:lang w:val="fr-CH"/>
        </w:rPr>
        <w:t xml:space="preserve">CW </w:t>
      </w:r>
      <w:r>
        <w:rPr>
          <w:lang w:val="fr-CH"/>
        </w:rPr>
        <w:tab/>
      </w:r>
      <w:r>
        <w:rPr>
          <w:lang w:val="fr-CH"/>
        </w:rPr>
        <w:tab/>
      </w:r>
      <w:r w:rsidR="003C4D7B">
        <w:rPr>
          <w:lang w:val="fr-CH"/>
        </w:rPr>
        <w:t>o</w:t>
      </w:r>
      <w:r>
        <w:rPr>
          <w:lang w:val="fr-CH"/>
        </w:rPr>
        <w:t xml:space="preserve">nde entretenue </w:t>
      </w:r>
      <w:r>
        <w:rPr>
          <w:i/>
          <w:iCs/>
          <w:lang w:val="fr-CH"/>
        </w:rPr>
        <w:t>(continuous-wave)</w:t>
      </w:r>
    </w:p>
    <w:p w:rsidR="00425A80" w:rsidRPr="00425A80" w:rsidRDefault="00425A80" w:rsidP="003C4D7B">
      <w:pPr>
        <w:rPr>
          <w:i/>
          <w:iCs/>
          <w:lang w:val="fr-CH"/>
        </w:rPr>
      </w:pPr>
      <w:r>
        <w:rPr>
          <w:lang w:val="fr-CH"/>
        </w:rPr>
        <w:t>FDR</w:t>
      </w:r>
      <w:r w:rsidRPr="00425A80">
        <w:rPr>
          <w:lang w:val="fr-CH"/>
        </w:rPr>
        <w:tab/>
      </w:r>
      <w:r>
        <w:rPr>
          <w:lang w:val="fr-CH"/>
        </w:rPr>
        <w:tab/>
      </w:r>
      <w:r w:rsidR="003C4D7B">
        <w:rPr>
          <w:lang w:val="fr-CH"/>
        </w:rPr>
        <w:t>r</w:t>
      </w:r>
      <w:r>
        <w:rPr>
          <w:lang w:val="fr-CH"/>
        </w:rPr>
        <w:t xml:space="preserve">ejet dépendant de la fréquence </w:t>
      </w:r>
      <w:r>
        <w:rPr>
          <w:i/>
          <w:iCs/>
          <w:lang w:val="fr-CH"/>
        </w:rPr>
        <w:t>(frequency dependent rejection)</w:t>
      </w:r>
    </w:p>
    <w:p w:rsidR="00425A80" w:rsidRPr="00425A80" w:rsidRDefault="00425A80" w:rsidP="003C4D7B">
      <w:pPr>
        <w:rPr>
          <w:lang w:val="fr-CH"/>
        </w:rPr>
      </w:pPr>
      <w:r>
        <w:rPr>
          <w:lang w:val="fr-CH"/>
        </w:rPr>
        <w:t>MDP-2</w:t>
      </w:r>
      <w:r w:rsidRPr="00425A80">
        <w:rPr>
          <w:lang w:val="fr-CH"/>
        </w:rPr>
        <w:t xml:space="preserve"> </w:t>
      </w:r>
      <w:r>
        <w:rPr>
          <w:lang w:val="fr-CH"/>
        </w:rPr>
        <w:tab/>
      </w:r>
      <w:r>
        <w:rPr>
          <w:lang w:val="fr-CH"/>
        </w:rPr>
        <w:tab/>
      </w:r>
      <w:r w:rsidR="003C4D7B">
        <w:rPr>
          <w:lang w:val="fr-CH"/>
        </w:rPr>
        <w:t>m</w:t>
      </w:r>
      <w:r w:rsidRPr="00425A80">
        <w:rPr>
          <w:lang w:val="fr-CH"/>
        </w:rPr>
        <w:t>odulation par déplacement de phase bivalente</w:t>
      </w:r>
      <w:r>
        <w:rPr>
          <w:lang w:val="fr-CH"/>
        </w:rPr>
        <w:t xml:space="preserve"> (</w:t>
      </w:r>
      <w:r w:rsidRPr="003C4D7B">
        <w:rPr>
          <w:i/>
          <w:lang w:val="fr-CH"/>
        </w:rPr>
        <w:t>binary phase shift keying</w:t>
      </w:r>
      <w:r w:rsidRPr="003C4D7B">
        <w:rPr>
          <w:lang w:val="fr-CH"/>
        </w:rPr>
        <w:t>)</w:t>
      </w:r>
    </w:p>
    <w:p w:rsidR="00425A80" w:rsidRPr="00425A80" w:rsidRDefault="00425A80" w:rsidP="003C4D7B">
      <w:pPr>
        <w:pStyle w:val="Normalaftertitle"/>
        <w:spacing w:before="120"/>
        <w:rPr>
          <w:i/>
          <w:iCs/>
          <w:lang w:val="fr-CH"/>
        </w:rPr>
      </w:pPr>
      <w:r w:rsidRPr="00425A80">
        <w:rPr>
          <w:lang w:val="fr-CH"/>
        </w:rPr>
        <w:t>MDP-4:</w:t>
      </w:r>
      <w:r w:rsidRPr="003C5BEF">
        <w:rPr>
          <w:lang w:val="fr-CH"/>
        </w:rPr>
        <w:tab/>
      </w:r>
      <w:r>
        <w:rPr>
          <w:lang w:val="fr-CH"/>
        </w:rPr>
        <w:tab/>
      </w:r>
      <w:r w:rsidR="003C4D7B">
        <w:rPr>
          <w:lang w:val="fr-CH"/>
        </w:rPr>
        <w:t>m</w:t>
      </w:r>
      <w:r w:rsidRPr="003C5BEF">
        <w:rPr>
          <w:lang w:val="fr-CH"/>
        </w:rPr>
        <w:t>odulation par déplacement de phase quadrivalente</w:t>
      </w:r>
      <w:r>
        <w:rPr>
          <w:lang w:val="fr-CH"/>
        </w:rPr>
        <w:t xml:space="preserve"> </w:t>
      </w:r>
      <w:r>
        <w:rPr>
          <w:i/>
          <w:iCs/>
          <w:lang w:val="fr-CH"/>
        </w:rPr>
        <w:t>(quadrature phase shift keying)</w:t>
      </w:r>
    </w:p>
    <w:p w:rsidR="00425A80" w:rsidRPr="00425A80" w:rsidRDefault="00425A80" w:rsidP="003C4D7B">
      <w:pPr>
        <w:rPr>
          <w:i/>
          <w:iCs/>
          <w:lang w:val="en-US"/>
        </w:rPr>
      </w:pPr>
      <w:r w:rsidRPr="00425A80">
        <w:rPr>
          <w:lang w:val="en-US"/>
        </w:rPr>
        <w:t>OFR</w:t>
      </w:r>
      <w:r w:rsidRPr="00425A80">
        <w:rPr>
          <w:lang w:val="en-US"/>
        </w:rPr>
        <w:tab/>
      </w:r>
      <w:r w:rsidRPr="00425A80">
        <w:rPr>
          <w:lang w:val="en-US"/>
        </w:rPr>
        <w:tab/>
      </w:r>
      <w:r w:rsidR="003C4D7B">
        <w:rPr>
          <w:lang w:val="en-US"/>
        </w:rPr>
        <w:t>r</w:t>
      </w:r>
      <w:r w:rsidRPr="00425A80">
        <w:rPr>
          <w:lang w:val="en-US"/>
        </w:rPr>
        <w:t xml:space="preserve">ejet hors fréquence </w:t>
      </w:r>
      <w:r w:rsidRPr="00425A80">
        <w:rPr>
          <w:i/>
          <w:iCs/>
          <w:lang w:val="en-US"/>
        </w:rPr>
        <w:t>(off-frequency rejection)</w:t>
      </w:r>
    </w:p>
    <w:p w:rsidR="00425A80" w:rsidRPr="00425A80" w:rsidRDefault="00425A80" w:rsidP="003C4D7B">
      <w:pPr>
        <w:rPr>
          <w:i/>
          <w:iCs/>
          <w:lang w:val="fr-CH"/>
        </w:rPr>
      </w:pPr>
      <w:r>
        <w:rPr>
          <w:lang w:val="fr-CH"/>
        </w:rPr>
        <w:t>OTR</w:t>
      </w:r>
      <w:r w:rsidRPr="00425A80">
        <w:rPr>
          <w:lang w:val="fr-CH"/>
        </w:rPr>
        <w:tab/>
      </w:r>
      <w:r>
        <w:rPr>
          <w:lang w:val="fr-CH"/>
        </w:rPr>
        <w:tab/>
      </w:r>
      <w:r w:rsidR="003C4D7B">
        <w:rPr>
          <w:lang w:val="fr-CH"/>
        </w:rPr>
        <w:t>r</w:t>
      </w:r>
      <w:r>
        <w:rPr>
          <w:lang w:val="fr-CH"/>
        </w:rPr>
        <w:t xml:space="preserve">ejet à la fréquence d'accord </w:t>
      </w:r>
      <w:r>
        <w:rPr>
          <w:i/>
          <w:iCs/>
          <w:lang w:val="fr-CH"/>
        </w:rPr>
        <w:t>(on-tune rejection)</w:t>
      </w:r>
    </w:p>
    <w:p w:rsidR="00201D3C" w:rsidRDefault="00201D3C" w:rsidP="00425A80">
      <w:pPr>
        <w:pStyle w:val="Normalaftertitle"/>
      </w:pPr>
      <w:r>
        <w:t>L'Assemblée des radiocommunications de l'UIT,</w:t>
      </w:r>
    </w:p>
    <w:p w:rsidR="00201D3C" w:rsidRDefault="00201D3C" w:rsidP="00425A80">
      <w:pPr>
        <w:pStyle w:val="Call"/>
        <w:rPr>
          <w:lang w:val="fr-CH"/>
        </w:rPr>
      </w:pPr>
      <w:proofErr w:type="gramStart"/>
      <w:r>
        <w:rPr>
          <w:lang w:val="fr-CH"/>
        </w:rPr>
        <w:t>considérant</w:t>
      </w:r>
      <w:proofErr w:type="gramEnd"/>
    </w:p>
    <w:p w:rsidR="00201D3C" w:rsidRDefault="00201D3C" w:rsidP="00425A80">
      <w:pPr>
        <w:rPr>
          <w:lang w:val="fr-CH"/>
        </w:rPr>
      </w:pPr>
      <w:r w:rsidRPr="00425A80">
        <w:rPr>
          <w:i/>
          <w:lang w:val="fr-CH"/>
        </w:rPr>
        <w:t>a)</w:t>
      </w:r>
      <w:r>
        <w:rPr>
          <w:lang w:val="fr-CH"/>
        </w:rPr>
        <w:tab/>
        <w:t>que les caractéristiques d'antenne, de propagation du signal, de détection des cibles et de grande largeur de bande nécessaire propres aux radars pour remplir leur fonction sont optimales dans certaines bandes de fréquences;</w:t>
      </w:r>
    </w:p>
    <w:p w:rsidR="00201D3C" w:rsidRDefault="00201D3C" w:rsidP="00425A80">
      <w:pPr>
        <w:rPr>
          <w:lang w:val="fr-CH"/>
        </w:rPr>
      </w:pPr>
      <w:r w:rsidRPr="00425A80">
        <w:rPr>
          <w:i/>
          <w:lang w:val="fr-CH"/>
        </w:rPr>
        <w:t>b)</w:t>
      </w:r>
      <w:r>
        <w:rPr>
          <w:lang w:val="fr-CH"/>
        </w:rPr>
        <w:tab/>
        <w:t>que les caractéristiques techniques des radars fonctionnant dans le service de radiorepérage sont déterminées par les objectifs du système et varient grandement, même à l'intérieur d'une bande</w:t>
      </w:r>
      <w:r w:rsidR="009D225A">
        <w:rPr>
          <w:lang w:val="fr-CH"/>
        </w:rPr>
        <w:t xml:space="preserve"> de fréquences</w:t>
      </w:r>
      <w:r>
        <w:rPr>
          <w:lang w:val="fr-CH"/>
        </w:rPr>
        <w:t>;</w:t>
      </w:r>
    </w:p>
    <w:p w:rsidR="00201D3C" w:rsidRDefault="00201D3C" w:rsidP="00425A80">
      <w:pPr>
        <w:rPr>
          <w:lang w:val="fr-CH"/>
        </w:rPr>
      </w:pPr>
      <w:r w:rsidRPr="00425A80">
        <w:rPr>
          <w:i/>
          <w:lang w:val="fr-CH"/>
        </w:rPr>
        <w:t>c)</w:t>
      </w:r>
      <w:r>
        <w:rPr>
          <w:lang w:val="fr-CH"/>
        </w:rPr>
        <w:tab/>
        <w:t>que le service de radionavigation est un service de sécurité au sens du numéro 4.10 du Règlement des radiocommunications (RR) et qu'aucun brouillage préjudiciable à son encontre ne peut être toléré;</w:t>
      </w:r>
    </w:p>
    <w:p w:rsidR="00201D3C" w:rsidRDefault="00002294" w:rsidP="00425A80">
      <w:pPr>
        <w:rPr>
          <w:lang w:val="fr-CH"/>
        </w:rPr>
      </w:pPr>
      <w:r w:rsidRPr="00425A80">
        <w:rPr>
          <w:i/>
          <w:lang w:val="fr-CH"/>
        </w:rPr>
        <w:t>d</w:t>
      </w:r>
      <w:r w:rsidR="00201D3C" w:rsidRPr="00425A80">
        <w:rPr>
          <w:i/>
          <w:lang w:val="fr-CH"/>
        </w:rPr>
        <w:t>)</w:t>
      </w:r>
      <w:r w:rsidR="00201D3C">
        <w:rPr>
          <w:lang w:val="fr-CH"/>
        </w:rPr>
        <w:tab/>
        <w:t xml:space="preserve">que certains groupes techniques de l'UIT-R envisagent la possibilité d'introduire de nouveaux types de systèmes (par exemple, systèmes d'accès hertzien fixe ou systèmes fixes ou mobiles à haute </w:t>
      </w:r>
      <w:r w:rsidR="00201D3C">
        <w:rPr>
          <w:lang w:val="fr-CH"/>
        </w:rPr>
        <w:lastRenderedPageBreak/>
        <w:t>densité) ou de services dans des bandes</w:t>
      </w:r>
      <w:r w:rsidR="009D225A">
        <w:rPr>
          <w:lang w:val="fr-CH"/>
        </w:rPr>
        <w:t xml:space="preserve"> de fréquences</w:t>
      </w:r>
      <w:r w:rsidR="00201D3C">
        <w:rPr>
          <w:lang w:val="fr-CH"/>
        </w:rPr>
        <w:t xml:space="preserve"> entre 420 MHz et 34 GHz utilisées par des </w:t>
      </w:r>
      <w:proofErr w:type="gramStart"/>
      <w:r w:rsidR="00201D3C">
        <w:rPr>
          <w:lang w:val="fr-CH"/>
        </w:rPr>
        <w:t>radars</w:t>
      </w:r>
      <w:proofErr w:type="gramEnd"/>
      <w:r w:rsidR="00201D3C">
        <w:rPr>
          <w:lang w:val="fr-CH"/>
        </w:rPr>
        <w:t xml:space="preserve"> du service de radiorepérage;</w:t>
      </w:r>
    </w:p>
    <w:p w:rsidR="00201D3C" w:rsidRDefault="00002294" w:rsidP="00425A80">
      <w:pPr>
        <w:rPr>
          <w:lang w:val="fr-CH"/>
        </w:rPr>
      </w:pPr>
      <w:r w:rsidRPr="00425A80">
        <w:rPr>
          <w:i/>
          <w:lang w:val="fr-CH"/>
        </w:rPr>
        <w:t>e</w:t>
      </w:r>
      <w:r w:rsidR="00201D3C" w:rsidRPr="00425A80">
        <w:rPr>
          <w:i/>
          <w:lang w:val="fr-CH"/>
        </w:rPr>
        <w:t>)</w:t>
      </w:r>
      <w:r w:rsidR="00201D3C">
        <w:rPr>
          <w:lang w:val="fr-CH"/>
        </w:rPr>
        <w:tab/>
        <w:t>que des caractéristiques techniques et d'exploitation représentatives des systèmes fonctionnant dans les bandes</w:t>
      </w:r>
      <w:r w:rsidR="00772D4D">
        <w:rPr>
          <w:lang w:val="fr-CH"/>
        </w:rPr>
        <w:t xml:space="preserve"> de fréquences</w:t>
      </w:r>
      <w:r w:rsidR="00201D3C">
        <w:rPr>
          <w:lang w:val="fr-CH"/>
        </w:rPr>
        <w:t xml:space="preserve"> attribuées au service de radiorepérage sont nécessaires pour déterminer la possibilité d'introduire de nouveaux types de systèmes; </w:t>
      </w:r>
    </w:p>
    <w:p w:rsidR="00201D3C" w:rsidRDefault="00002294" w:rsidP="00425A80">
      <w:pPr>
        <w:rPr>
          <w:lang w:val="fr-CH"/>
        </w:rPr>
      </w:pPr>
      <w:r w:rsidRPr="00425A80">
        <w:rPr>
          <w:i/>
          <w:lang w:val="fr-CH"/>
        </w:rPr>
        <w:t>f</w:t>
      </w:r>
      <w:r w:rsidR="00201D3C" w:rsidRPr="00425A80">
        <w:rPr>
          <w:i/>
          <w:lang w:val="fr-CH"/>
        </w:rPr>
        <w:t>)</w:t>
      </w:r>
      <w:r w:rsidR="00201D3C">
        <w:rPr>
          <w:lang w:val="fr-CH"/>
        </w:rPr>
        <w:tab/>
        <w:t>que des procédures et des méthodologies sont nécessaires pour analyser la compatibilité des radars fonctionnant dans le service de radiorepérage avec les systèmes d'autres services,</w:t>
      </w:r>
    </w:p>
    <w:p w:rsidR="00201D3C" w:rsidRDefault="00201D3C" w:rsidP="00425A80">
      <w:pPr>
        <w:pStyle w:val="Call"/>
      </w:pPr>
      <w:proofErr w:type="gramStart"/>
      <w:r>
        <w:t>recommande</w:t>
      </w:r>
      <w:proofErr w:type="gramEnd"/>
    </w:p>
    <w:p w:rsidR="00201D3C" w:rsidRDefault="00201D3C" w:rsidP="00425A80">
      <w:pPr>
        <w:rPr>
          <w:lang w:val="fr-CH"/>
        </w:rPr>
      </w:pPr>
      <w:r>
        <w:rPr>
          <w:b/>
          <w:bCs/>
          <w:lang w:val="fr-CH"/>
        </w:rPr>
        <w:t>1</w:t>
      </w:r>
      <w:r>
        <w:rPr>
          <w:lang w:val="fr-CH"/>
        </w:rPr>
        <w:tab/>
        <w:t>que les procédures figurant à l'Annexe 1 soient utilisées pour calculer les risques de brouillage entre les radars fonctionnant dans le service de radiorepérage et dans les systèmes d'autres services;</w:t>
      </w:r>
    </w:p>
    <w:p w:rsidR="00201D3C" w:rsidRDefault="00201D3C" w:rsidP="00425A80">
      <w:pPr>
        <w:rPr>
          <w:lang w:val="fr-CH"/>
        </w:rPr>
      </w:pPr>
      <w:r>
        <w:rPr>
          <w:b/>
          <w:bCs/>
          <w:lang w:val="fr-CH"/>
        </w:rPr>
        <w:t>2</w:t>
      </w:r>
      <w:r>
        <w:rPr>
          <w:lang w:val="fr-CH"/>
        </w:rPr>
        <w:tab/>
        <w:t>que les caractéristiques des radars contenues dans les Recommandations UIT-R appropriées soient utilisées pour la bande de fréquences considérée.</w:t>
      </w:r>
    </w:p>
    <w:p w:rsidR="006D30F1" w:rsidRDefault="006D30F1" w:rsidP="00425A80">
      <w:pPr>
        <w:rPr>
          <w:lang w:val="fr-CH"/>
        </w:rPr>
      </w:pPr>
    </w:p>
    <w:p w:rsidR="006D30F1" w:rsidRDefault="006D30F1" w:rsidP="00425A80">
      <w:pPr>
        <w:rPr>
          <w:lang w:val="fr-CH"/>
        </w:rPr>
      </w:pPr>
    </w:p>
    <w:p w:rsidR="00201D3C" w:rsidRDefault="00201D3C" w:rsidP="00425A80">
      <w:pPr>
        <w:pStyle w:val="AnnexNoTitle"/>
        <w:rPr>
          <w:lang w:val="fr-CH"/>
        </w:rPr>
      </w:pPr>
      <w:r>
        <w:rPr>
          <w:lang w:val="fr-CH"/>
        </w:rPr>
        <w:t>Annexe 1</w:t>
      </w:r>
      <w:r>
        <w:rPr>
          <w:lang w:val="fr-CH"/>
        </w:rPr>
        <w:br/>
      </w:r>
      <w:r>
        <w:rPr>
          <w:lang w:val="fr-CH"/>
        </w:rPr>
        <w:br/>
        <w:t>Procédures d'évaluation des risques de brouillage entre des</w:t>
      </w:r>
      <w:r>
        <w:rPr>
          <w:lang w:val="fr-CH"/>
        </w:rPr>
        <w:br/>
        <w:t xml:space="preserve">radars fonctionnant dans le service de radiorepérage </w:t>
      </w:r>
      <w:r>
        <w:rPr>
          <w:lang w:val="fr-CH"/>
        </w:rPr>
        <w:br/>
        <w:t>et les systèmes d'autres services</w:t>
      </w:r>
    </w:p>
    <w:p w:rsidR="00201D3C" w:rsidRDefault="00201D3C" w:rsidP="00425A80">
      <w:pPr>
        <w:pStyle w:val="Heading1"/>
        <w:rPr>
          <w:lang w:val="fr-CH"/>
        </w:rPr>
      </w:pPr>
      <w:r>
        <w:rPr>
          <w:lang w:val="fr-CH"/>
        </w:rPr>
        <w:t>1</w:t>
      </w:r>
      <w:r>
        <w:rPr>
          <w:lang w:val="fr-CH"/>
        </w:rPr>
        <w:tab/>
        <w:t>Introduction</w:t>
      </w:r>
    </w:p>
    <w:p w:rsidR="00201D3C" w:rsidRDefault="00201D3C" w:rsidP="00425A80">
      <w:pPr>
        <w:rPr>
          <w:lang w:val="fr-CH"/>
        </w:rPr>
      </w:pPr>
      <w:r>
        <w:rPr>
          <w:lang w:val="fr-CH"/>
        </w:rPr>
        <w:t>Des procédures d'analyse ont été mises au point. Etant donné la forte puissance de sortie de l'émetteur (de 50 kW à plusieurs MW) et du gain d'antenne (de 30 à 45 dBi) des radars fonctionnant dans le service de radiorepérage (simplement dénommés radars ci</w:t>
      </w:r>
      <w:r>
        <w:rPr>
          <w:lang w:val="fr-CH"/>
        </w:rPr>
        <w:noBreakHyphen/>
        <w:t>après), la compatibilité entre les radars et les systèmes d'autres services est en grande partie évaluée grâce à l'analyse des effets des émissions radar sur les systèmes de réception d'autres services. Cette procédure d'analyse porte donc essentiellement sur les méthodes suivies pour évaluer les risques de brouillage à partir de radars. On traitera d'autre part brièvement de la question de la désensibilisation potentielle des récepteurs radars par des émissions provenant de systèmes modulés en ondes entretenues d'autres services.</w:t>
      </w:r>
    </w:p>
    <w:p w:rsidR="00201D3C" w:rsidRDefault="00201D3C" w:rsidP="00425A80">
      <w:pPr>
        <w:rPr>
          <w:lang w:val="fr-CH"/>
        </w:rPr>
      </w:pPr>
      <w:r>
        <w:rPr>
          <w:lang w:val="fr-CH"/>
        </w:rPr>
        <w:t xml:space="preserve">Du fait même des missions qui leur sont confiées, bon nombre de radars sont mobiles et ne peuvent être maintenus dans des zones d'exploitation préétablies. Par ailleurs, ces missions exigent souvent souplesse de fréquence et utilisation intégrale de la bande allouée. Mais lorsque l'on prévoit d'exploiter des radars dans certaines zones proches d'autres systèmes, on peut évaluer les risques de brouillage en suivant les procédures indiquées dans la présente Recommandation. </w:t>
      </w:r>
    </w:p>
    <w:p w:rsidR="00201D3C" w:rsidRDefault="00201D3C" w:rsidP="00425A80">
      <w:pPr>
        <w:pStyle w:val="Heading1"/>
        <w:rPr>
          <w:lang w:val="fr-CH"/>
        </w:rPr>
      </w:pPr>
      <w:r>
        <w:rPr>
          <w:lang w:val="fr-CH"/>
        </w:rPr>
        <w:t>2</w:t>
      </w:r>
      <w:r>
        <w:rPr>
          <w:lang w:val="fr-CH"/>
        </w:rPr>
        <w:tab/>
        <w:t>Brouillage causé par les radars aux systèmes d'autres services</w:t>
      </w:r>
    </w:p>
    <w:p w:rsidR="00201D3C" w:rsidRDefault="00201D3C" w:rsidP="00425A80">
      <w:pPr>
        <w:rPr>
          <w:lang w:val="fr-CH"/>
        </w:rPr>
      </w:pPr>
      <w:r>
        <w:rPr>
          <w:lang w:val="fr-CH"/>
        </w:rPr>
        <w:t>Des enquêtes sur plusieurs cas de brouillage ont permis de repérer deux mécanismes de couplage de brouillage électromagnétique primaire entre des systèmes radars à grande puissance et d'autres services: la surcharge de l'étage d'entrée du récepteur et les émissions radar couplées au niveau de la bande passante FI du récepteur. Les mécanismes de brouillage sont étudiés ci-dessous.</w:t>
      </w:r>
    </w:p>
    <w:p w:rsidR="00201D3C" w:rsidRDefault="00201D3C" w:rsidP="00425A80">
      <w:pPr>
        <w:pStyle w:val="Heading2"/>
        <w:rPr>
          <w:lang w:val="fr-CH"/>
        </w:rPr>
      </w:pPr>
      <w:r>
        <w:rPr>
          <w:lang w:val="fr-CH"/>
        </w:rPr>
        <w:lastRenderedPageBreak/>
        <w:t>2.1</w:t>
      </w:r>
      <w:r>
        <w:rPr>
          <w:lang w:val="fr-CH"/>
        </w:rPr>
        <w:tab/>
        <w:t>Surcharge de l'étage d'entrée des récepteurs</w:t>
      </w:r>
    </w:p>
    <w:p w:rsidR="00201D3C" w:rsidRDefault="00201D3C" w:rsidP="00425A80">
      <w:pPr>
        <w:keepNext/>
        <w:keepLines/>
        <w:rPr>
          <w:lang w:val="fr-CH"/>
        </w:rPr>
      </w:pPr>
      <w:r>
        <w:rPr>
          <w:lang w:val="fr-CH"/>
        </w:rPr>
        <w:t>Ce mécanisme de brouillage intervient lorsque l'énergie émanant de la fréquence fondamentale (émissions nécessaires) d'un signal brouilleur sature l'étage d'entrée du récepteur victime (amplificateur à faible bruit (AFB) dans certains systèmes) ce qui entraîne une compression de gain du signal utile suffisante pour nuire à la performance du récepteur. La surcharge de l'étage d'entrée des récepteurs est normalement due à une mauvaise sélectivité RF dans l'étage d'entrée du récepteur victime.</w:t>
      </w:r>
    </w:p>
    <w:p w:rsidR="00201D3C" w:rsidRDefault="00201D3C" w:rsidP="00425A80">
      <w:pPr>
        <w:pStyle w:val="Heading3"/>
        <w:rPr>
          <w:lang w:val="fr-CH"/>
        </w:rPr>
      </w:pPr>
      <w:r>
        <w:rPr>
          <w:lang w:val="fr-CH"/>
        </w:rPr>
        <w:t>2.1.1</w:t>
      </w:r>
      <w:r>
        <w:rPr>
          <w:lang w:val="fr-CH"/>
        </w:rPr>
        <w:tab/>
        <w:t>Evaluation des risques de surcharge de l'étage d'entrée d'un récepteur</w:t>
      </w:r>
    </w:p>
    <w:p w:rsidR="00201D3C" w:rsidRDefault="00201D3C" w:rsidP="00425A80">
      <w:pPr>
        <w:rPr>
          <w:lang w:val="fr-CH"/>
        </w:rPr>
      </w:pPr>
      <w:r>
        <w:rPr>
          <w:lang w:val="fr-CH"/>
        </w:rPr>
        <w:t xml:space="preserve">Le seuil d'entrée auquel la surcharge de l'étage d'entrée du récepteur se produit est fonction du niveau de compression de gain à la sortie (niveau de saturation) de 1 dB et du gain de l'étage d'entrée du récepteur ou de l'amplificateur AFB à l'étage d'entrée, à savoir: </w:t>
      </w:r>
    </w:p>
    <w:p w:rsidR="006C35DB" w:rsidRPr="004E484D" w:rsidRDefault="006C35DB" w:rsidP="00425A80">
      <w:pPr>
        <w:pStyle w:val="Blanc"/>
        <w:rPr>
          <w:lang w:val="fr-CH"/>
        </w:rPr>
      </w:pPr>
    </w:p>
    <w:p w:rsidR="00201D3C" w:rsidRDefault="00201D3C" w:rsidP="00425A80">
      <w:pPr>
        <w:pStyle w:val="Equation"/>
        <w:rPr>
          <w:lang w:val="fr-CH"/>
        </w:rPr>
      </w:pPr>
      <w:r>
        <w:rPr>
          <w:lang w:val="fr-CH"/>
        </w:rPr>
        <w:tab/>
      </w:r>
      <w:r>
        <w:rPr>
          <w:lang w:val="fr-CH"/>
        </w:rPr>
        <w:tab/>
      </w:r>
      <w:r>
        <w:rPr>
          <w:i/>
          <w:iCs/>
          <w:lang w:val="fr-CH"/>
        </w:rPr>
        <w:t>T</w:t>
      </w:r>
      <w:r>
        <w:rPr>
          <w:lang w:val="fr-CH"/>
        </w:rPr>
        <w:t xml:space="preserve"> </w:t>
      </w:r>
      <w:r>
        <w:rPr>
          <w:lang w:val="fr-CH"/>
        </w:rPr>
        <w:sym w:font="Symbol" w:char="F03D"/>
      </w:r>
      <w:r>
        <w:rPr>
          <w:lang w:val="fr-CH"/>
        </w:rPr>
        <w:t xml:space="preserve"> </w:t>
      </w:r>
      <w:r>
        <w:rPr>
          <w:i/>
          <w:iCs/>
          <w:lang w:val="fr-CH"/>
        </w:rPr>
        <w:t>C</w:t>
      </w:r>
      <w:r>
        <w:rPr>
          <w:lang w:val="fr-CH"/>
        </w:rPr>
        <w:t xml:space="preserve"> – </w:t>
      </w:r>
      <w:r>
        <w:rPr>
          <w:i/>
          <w:iCs/>
          <w:lang w:val="fr-CH"/>
        </w:rPr>
        <w:t>G</w:t>
      </w:r>
      <w:r>
        <w:rPr>
          <w:lang w:val="fr-CH"/>
        </w:rPr>
        <w:tab/>
        <w:t>(1)</w:t>
      </w:r>
    </w:p>
    <w:p w:rsidR="00201D3C" w:rsidRDefault="00201D3C" w:rsidP="00425A80">
      <w:pPr>
        <w:rPr>
          <w:lang w:val="fr-CH"/>
        </w:rPr>
      </w:pPr>
      <w:proofErr w:type="gramStart"/>
      <w:r>
        <w:rPr>
          <w:lang w:val="fr-CH"/>
        </w:rPr>
        <w:t>où</w:t>
      </w:r>
      <w:proofErr w:type="gramEnd"/>
      <w:r>
        <w:rPr>
          <w:lang w:val="fr-CH"/>
        </w:rPr>
        <w:t>:</w:t>
      </w:r>
    </w:p>
    <w:p w:rsidR="00201D3C" w:rsidRDefault="00201D3C" w:rsidP="00425A80">
      <w:pPr>
        <w:pStyle w:val="Equationlegend"/>
        <w:rPr>
          <w:lang w:val="fr-CH"/>
        </w:rPr>
      </w:pPr>
      <w:r>
        <w:rPr>
          <w:lang w:val="fr-CH"/>
        </w:rPr>
        <w:tab/>
      </w:r>
      <w:r>
        <w:rPr>
          <w:i/>
          <w:iCs/>
          <w:lang w:val="fr-CH"/>
        </w:rPr>
        <w:t>T</w:t>
      </w:r>
      <w:r>
        <w:rPr>
          <w:rFonts w:ascii="Tms Rmn" w:hAnsi="Tms Rmn"/>
          <w:sz w:val="12"/>
          <w:lang w:val="fr-CH"/>
        </w:rPr>
        <w:t> </w:t>
      </w:r>
      <w:r>
        <w:rPr>
          <w:lang w:val="fr-CH"/>
        </w:rPr>
        <w:t>:</w:t>
      </w:r>
      <w:r>
        <w:rPr>
          <w:lang w:val="fr-CH"/>
        </w:rPr>
        <w:tab/>
        <w:t>seuil d'entrée à partir duquel il y a surcharge de l'étage d'entrée du récepteur (dBm)</w:t>
      </w:r>
    </w:p>
    <w:p w:rsidR="00201D3C" w:rsidRDefault="00201D3C" w:rsidP="00425A80">
      <w:pPr>
        <w:pStyle w:val="Equationlegend"/>
        <w:rPr>
          <w:lang w:val="fr-CH"/>
        </w:rPr>
      </w:pPr>
      <w:r>
        <w:rPr>
          <w:lang w:val="fr-CH"/>
        </w:rPr>
        <w:tab/>
      </w:r>
      <w:r>
        <w:rPr>
          <w:i/>
          <w:iCs/>
          <w:lang w:val="fr-CH"/>
        </w:rPr>
        <w:t>C</w:t>
      </w:r>
      <w:r>
        <w:rPr>
          <w:rFonts w:ascii="Tms Rmn" w:hAnsi="Tms Rmn"/>
          <w:sz w:val="12"/>
          <w:lang w:val="fr-CH"/>
        </w:rPr>
        <w:t> </w:t>
      </w:r>
      <w:r>
        <w:rPr>
          <w:lang w:val="fr-CH"/>
        </w:rPr>
        <w:t>:</w:t>
      </w:r>
      <w:r>
        <w:rPr>
          <w:lang w:val="fr-CH"/>
        </w:rPr>
        <w:tab/>
        <w:t>niveau de compression (saturation) de gain à la sortie de 1 dB de l'étage d'entrée du récepteur ou de l'AFB (dBm)</w:t>
      </w:r>
    </w:p>
    <w:p w:rsidR="00201D3C" w:rsidRDefault="00201D3C" w:rsidP="00425A80">
      <w:pPr>
        <w:pStyle w:val="Equationlegend"/>
        <w:rPr>
          <w:lang w:val="fr-CH"/>
        </w:rPr>
      </w:pPr>
      <w:r>
        <w:rPr>
          <w:lang w:val="fr-CH"/>
        </w:rPr>
        <w:tab/>
      </w:r>
      <w:r>
        <w:rPr>
          <w:i/>
          <w:iCs/>
          <w:lang w:val="fr-CH"/>
        </w:rPr>
        <w:t>G</w:t>
      </w:r>
      <w:r>
        <w:rPr>
          <w:rFonts w:ascii="Tms Rmn" w:hAnsi="Tms Rmn"/>
          <w:sz w:val="12"/>
          <w:lang w:val="fr-CH"/>
        </w:rPr>
        <w:t> </w:t>
      </w:r>
      <w:r>
        <w:rPr>
          <w:lang w:val="fr-CH"/>
        </w:rPr>
        <w:t>:</w:t>
      </w:r>
      <w:r>
        <w:rPr>
          <w:lang w:val="fr-CH"/>
        </w:rPr>
        <w:tab/>
        <w:t>gain de l'étage d'entrée du récepteur ou de l'AFB et fréquence fondamentale du radar (dB).</w:t>
      </w:r>
    </w:p>
    <w:p w:rsidR="00201D3C" w:rsidRDefault="00201D3C" w:rsidP="003A60F2">
      <w:pPr>
        <w:rPr>
          <w:lang w:val="fr-CH"/>
        </w:rPr>
      </w:pPr>
      <w:r>
        <w:rPr>
          <w:lang w:val="fr-CH"/>
        </w:rPr>
        <w:t xml:space="preserve">Par exemple, si les récepteurs utilisent des AFB ayant un gain de 50 à 65 dB et qu'ils ont un niveau de compression de gain à la sortie de 1 dB d'une valeur de </w:t>
      </w:r>
      <w:r>
        <w:rPr>
          <w:rFonts w:ascii="Symbol" w:hAnsi="Symbol"/>
          <w:lang w:val="fr-CH"/>
        </w:rPr>
        <w:t></w:t>
      </w:r>
      <w:r>
        <w:rPr>
          <w:lang w:val="fr-CH"/>
        </w:rPr>
        <w:t xml:space="preserve">10 dBm, la gamme des valeurs de </w:t>
      </w:r>
      <w:r>
        <w:rPr>
          <w:i/>
          <w:iCs/>
          <w:lang w:val="fr-CH"/>
        </w:rPr>
        <w:t>T</w:t>
      </w:r>
      <w:r>
        <w:rPr>
          <w:lang w:val="fr-CH"/>
        </w:rPr>
        <w:t xml:space="preserve"> va de </w:t>
      </w:r>
      <w:r w:rsidR="003A60F2">
        <w:rPr>
          <w:lang w:val="fr-CH"/>
        </w:rPr>
        <w:t>−</w:t>
      </w:r>
      <w:r>
        <w:rPr>
          <w:lang w:val="fr-CH"/>
        </w:rPr>
        <w:t xml:space="preserve">55 dBm à </w:t>
      </w:r>
      <w:r w:rsidR="003A60F2">
        <w:rPr>
          <w:lang w:val="fr-CH"/>
        </w:rPr>
        <w:t>−</w:t>
      </w:r>
      <w:r>
        <w:rPr>
          <w:lang w:val="fr-CH"/>
        </w:rPr>
        <w:t>40 dBm selon le gain de l'AFB.</w:t>
      </w:r>
    </w:p>
    <w:p w:rsidR="00201D3C" w:rsidRDefault="00201D3C" w:rsidP="00425A80">
      <w:pPr>
        <w:rPr>
          <w:lang w:val="fr-CH"/>
        </w:rPr>
      </w:pPr>
      <w:r>
        <w:rPr>
          <w:lang w:val="fr-CH"/>
        </w:rPr>
        <w:t>Il y a donc risque de brouillage par suite d'une surcharge de l'étage d'entrée du récepteur chaque fois que:</w:t>
      </w:r>
    </w:p>
    <w:p w:rsidR="00201D3C" w:rsidRPr="00E00205" w:rsidRDefault="00201D3C" w:rsidP="00425A80">
      <w:pPr>
        <w:pStyle w:val="Equation"/>
      </w:pPr>
      <w:r w:rsidRPr="00E00205">
        <w:tab/>
      </w:r>
      <w:r w:rsidRPr="00E00205">
        <w:tab/>
      </w:r>
      <w:r w:rsidR="007405D0">
        <w:rPr>
          <w:position w:val="-10"/>
          <w:lang w:val="en-US"/>
        </w:rPr>
        <w:object w:dxaOrig="169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pt;height:17.75pt" o:ole="">
            <v:imagedata r:id="rId13" o:title=""/>
          </v:shape>
          <o:OLEObject Type="Embed" ProgID="Equation.3" ShapeID="_x0000_i1025" DrawAspect="Content" ObjectID="_1591161447" r:id="rId14"/>
        </w:object>
      </w:r>
      <w:r w:rsidRPr="00E00205">
        <w:tab/>
        <w:t>(2)</w:t>
      </w:r>
    </w:p>
    <w:p w:rsidR="00201D3C" w:rsidRDefault="00201D3C" w:rsidP="00425A80">
      <w:pPr>
        <w:rPr>
          <w:lang w:val="fr-CH"/>
        </w:rPr>
      </w:pPr>
      <w:proofErr w:type="gramStart"/>
      <w:r>
        <w:rPr>
          <w:lang w:val="fr-CH"/>
        </w:rPr>
        <w:t>où</w:t>
      </w:r>
      <w:proofErr w:type="gramEnd"/>
      <w:r>
        <w:rPr>
          <w:lang w:val="fr-CH"/>
        </w:rPr>
        <w:t>:</w:t>
      </w:r>
    </w:p>
    <w:p w:rsidR="00201D3C" w:rsidRDefault="00201D3C" w:rsidP="00425A80">
      <w:pPr>
        <w:pStyle w:val="Equationlegend"/>
        <w:rPr>
          <w:lang w:val="fr-CH"/>
        </w:rPr>
      </w:pPr>
      <w:r>
        <w:rPr>
          <w:lang w:val="fr-CH"/>
        </w:rPr>
        <w:tab/>
      </w:r>
      <w:r>
        <w:rPr>
          <w:i/>
          <w:iCs/>
          <w:lang w:val="fr-CH"/>
        </w:rPr>
        <w:t>I</w:t>
      </w:r>
      <w:r w:rsidRPr="004E484D">
        <w:rPr>
          <w:i/>
          <w:iCs/>
          <w:vertAlign w:val="subscript"/>
          <w:lang w:val="fr-CH"/>
        </w:rPr>
        <w:t>T</w:t>
      </w:r>
      <w:r>
        <w:rPr>
          <w:rFonts w:ascii="Tms Rmn" w:hAnsi="Tms Rmn"/>
          <w:sz w:val="12"/>
          <w:lang w:val="fr-CH"/>
        </w:rPr>
        <w:t> </w:t>
      </w:r>
      <w:r>
        <w:rPr>
          <w:lang w:val="fr-CH"/>
        </w:rPr>
        <w:t>:</w:t>
      </w:r>
      <w:r>
        <w:rPr>
          <w:lang w:val="fr-CH"/>
        </w:rPr>
        <w:tab/>
        <w:t>niveau de crête du signal radar à la sortie de l'antenne ou à l'entrée du récepteur qui provoque une surcharge de l'étage d'entrée du récepteur (dBm)</w:t>
      </w:r>
    </w:p>
    <w:p w:rsidR="00201D3C" w:rsidRDefault="00201D3C" w:rsidP="00425A80">
      <w:pPr>
        <w:pStyle w:val="Equationlegend"/>
        <w:rPr>
          <w:lang w:val="fr-CH"/>
        </w:rPr>
      </w:pPr>
      <w:r>
        <w:rPr>
          <w:lang w:val="fr-CH"/>
        </w:rPr>
        <w:tab/>
      </w:r>
      <w:r>
        <w:rPr>
          <w:i/>
          <w:iCs/>
          <w:lang w:val="fr-CH"/>
        </w:rPr>
        <w:t>T</w:t>
      </w:r>
      <w:r>
        <w:rPr>
          <w:rFonts w:ascii="Tms Rmn" w:hAnsi="Tms Rmn"/>
          <w:sz w:val="12"/>
          <w:lang w:val="fr-CH"/>
        </w:rPr>
        <w:t> </w:t>
      </w:r>
      <w:r>
        <w:rPr>
          <w:lang w:val="fr-CH"/>
        </w:rPr>
        <w:t>:</w:t>
      </w:r>
      <w:r>
        <w:rPr>
          <w:lang w:val="fr-CH"/>
        </w:rPr>
        <w:tab/>
        <w:t>seuil d'entrée à partir duquel il y a surcharge de l'étage d'entrée du récepteur (dBm)</w:t>
      </w:r>
    </w:p>
    <w:p w:rsidR="00201D3C" w:rsidRDefault="00201D3C" w:rsidP="00425A80">
      <w:pPr>
        <w:pStyle w:val="Equationlegend"/>
        <w:rPr>
          <w:lang w:val="fr-CH"/>
        </w:rPr>
      </w:pPr>
      <w:r>
        <w:rPr>
          <w:lang w:val="fr-CH"/>
        </w:rPr>
        <w:tab/>
      </w:r>
      <w:r>
        <w:rPr>
          <w:i/>
          <w:iCs/>
          <w:lang w:val="fr-CH"/>
        </w:rPr>
        <w:t>FDR</w:t>
      </w:r>
      <w:r w:rsidRPr="004E484D">
        <w:rPr>
          <w:i/>
          <w:iCs/>
          <w:vertAlign w:val="subscript"/>
          <w:lang w:val="fr-CH"/>
        </w:rPr>
        <w:t>RF</w:t>
      </w:r>
      <w:r>
        <w:rPr>
          <w:rFonts w:ascii="Tms Rmn" w:hAnsi="Tms Rmn"/>
          <w:sz w:val="12"/>
          <w:lang w:val="fr-CH"/>
        </w:rPr>
        <w:t> </w:t>
      </w:r>
      <w:r>
        <w:rPr>
          <w:lang w:val="fr-CH"/>
        </w:rPr>
        <w:t>:</w:t>
      </w:r>
      <w:r>
        <w:rPr>
          <w:lang w:val="fr-CH"/>
        </w:rPr>
        <w:tab/>
        <w:t>rejet de la fréquence fondamentale du radar dépendant de la fréquence par la sélectivité RF pouvant se situer avant l'amplificateur (AFB) RF du récepteur ou être intégrée à l'amplificateur (AFB) proprement dit.</w:t>
      </w:r>
    </w:p>
    <w:p w:rsidR="00201D3C" w:rsidRDefault="00201D3C" w:rsidP="00425A80">
      <w:pPr>
        <w:rPr>
          <w:lang w:val="fr-CH"/>
        </w:rPr>
      </w:pPr>
      <w:r>
        <w:rPr>
          <w:lang w:val="fr-CH"/>
        </w:rPr>
        <w:t xml:space="preserve">L'équation suivante (3) sert à déterminer le risque d'une surcharge de l'étage d'entrée du récepteur lorsque des radars fonctionnent à </w:t>
      </w:r>
      <w:r w:rsidR="007405D0">
        <w:rPr>
          <w:lang w:val="fr-CH"/>
        </w:rPr>
        <w:t>une distance donnée</w:t>
      </w:r>
      <w:r>
        <w:rPr>
          <w:lang w:val="fr-CH"/>
        </w:rPr>
        <w:t xml:space="preserve"> d'autres stations et à diverses fréquences.</w:t>
      </w:r>
    </w:p>
    <w:p w:rsidR="00995A6A" w:rsidRPr="004E484D" w:rsidRDefault="00995A6A" w:rsidP="00425A80">
      <w:pPr>
        <w:pStyle w:val="Blanc"/>
        <w:rPr>
          <w:lang w:val="fr-CH"/>
        </w:rPr>
      </w:pPr>
    </w:p>
    <w:p w:rsidR="00201D3C" w:rsidRPr="00E00205" w:rsidRDefault="00201D3C" w:rsidP="00425A80">
      <w:pPr>
        <w:pStyle w:val="Equation"/>
      </w:pPr>
      <w:r w:rsidRPr="00E00205">
        <w:tab/>
      </w:r>
      <w:r w:rsidRPr="00E00205">
        <w:tab/>
      </w:r>
      <w:r w:rsidR="00400764">
        <w:rPr>
          <w:noProof/>
          <w:position w:val="-10"/>
          <w:lang w:val="en-GB" w:eastAsia="en-GB"/>
        </w:rPr>
        <w:drawing>
          <wp:inline distT="0" distB="0" distL="0" distR="0">
            <wp:extent cx="2162175" cy="2190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219075"/>
                    </a:xfrm>
                    <a:prstGeom prst="rect">
                      <a:avLst/>
                    </a:prstGeom>
                    <a:noFill/>
                    <a:ln>
                      <a:noFill/>
                    </a:ln>
                  </pic:spPr>
                </pic:pic>
              </a:graphicData>
            </a:graphic>
          </wp:inline>
        </w:drawing>
      </w:r>
      <w:r w:rsidRPr="00E00205">
        <w:tab/>
      </w:r>
      <w:r>
        <w:rPr>
          <w:lang w:val="sv-SE"/>
        </w:rPr>
        <w:t>(3)</w:t>
      </w:r>
    </w:p>
    <w:p w:rsidR="00995A6A" w:rsidRPr="004E484D" w:rsidRDefault="00995A6A" w:rsidP="00425A80">
      <w:pPr>
        <w:pStyle w:val="Blanc"/>
        <w:rPr>
          <w:lang w:val="fr-CH"/>
        </w:rPr>
      </w:pPr>
    </w:p>
    <w:p w:rsidR="00201D3C" w:rsidRDefault="00201D3C" w:rsidP="00425A80">
      <w:pPr>
        <w:rPr>
          <w:lang w:val="fr-CH"/>
        </w:rPr>
      </w:pPr>
      <w:proofErr w:type="gramStart"/>
      <w:r>
        <w:rPr>
          <w:lang w:val="fr-CH"/>
        </w:rPr>
        <w:t>où</w:t>
      </w:r>
      <w:proofErr w:type="gramEnd"/>
      <w:r>
        <w:rPr>
          <w:lang w:val="fr-CH"/>
        </w:rPr>
        <w:t>:</w:t>
      </w:r>
    </w:p>
    <w:p w:rsidR="00201D3C" w:rsidRDefault="00201D3C" w:rsidP="00425A80">
      <w:pPr>
        <w:pStyle w:val="Equationlegend"/>
        <w:rPr>
          <w:lang w:val="fr-CH"/>
        </w:rPr>
      </w:pPr>
      <w:r>
        <w:rPr>
          <w:lang w:val="fr-CH"/>
        </w:rPr>
        <w:tab/>
      </w:r>
      <w:r>
        <w:rPr>
          <w:i/>
          <w:iCs/>
          <w:lang w:val="fr-CH"/>
        </w:rPr>
        <w:t>I</w:t>
      </w:r>
      <w:r>
        <w:rPr>
          <w:rFonts w:ascii="Tms Rmn" w:hAnsi="Tms Rmn"/>
          <w:sz w:val="12"/>
          <w:lang w:val="fr-CH"/>
        </w:rPr>
        <w:t> </w:t>
      </w:r>
      <w:r>
        <w:rPr>
          <w:lang w:val="fr-CH"/>
        </w:rPr>
        <w:t>:</w:t>
      </w:r>
      <w:r>
        <w:rPr>
          <w:lang w:val="fr-CH"/>
        </w:rPr>
        <w:tab/>
        <w:t>puissance de crête des impulsions radar, à la fréquence fondamentale du radar, à la sortie de l'antenne de réception ou à l'entrée du récepteur (dBm)</w:t>
      </w:r>
    </w:p>
    <w:p w:rsidR="00201D3C" w:rsidRDefault="00201D3C" w:rsidP="00425A80">
      <w:pPr>
        <w:pStyle w:val="Equationlegend"/>
        <w:rPr>
          <w:lang w:val="fr-CH"/>
        </w:rPr>
      </w:pPr>
      <w:r>
        <w:rPr>
          <w:lang w:val="fr-CH"/>
        </w:rPr>
        <w:tab/>
      </w:r>
      <w:r>
        <w:rPr>
          <w:i/>
          <w:iCs/>
          <w:lang w:val="fr-CH"/>
        </w:rPr>
        <w:t>P</w:t>
      </w:r>
      <w:r w:rsidRPr="004E484D">
        <w:rPr>
          <w:i/>
          <w:iCs/>
          <w:vertAlign w:val="subscript"/>
          <w:lang w:val="fr-CH"/>
        </w:rPr>
        <w:t>T</w:t>
      </w:r>
      <w:r>
        <w:rPr>
          <w:lang w:val="fr-CH"/>
        </w:rPr>
        <w:t xml:space="preserve"> :</w:t>
      </w:r>
      <w:r>
        <w:rPr>
          <w:lang w:val="fr-CH"/>
        </w:rPr>
        <w:tab/>
        <w:t>puissance de crête de l'émetteur radar (dBm)</w:t>
      </w:r>
    </w:p>
    <w:p w:rsidR="00201D3C" w:rsidRDefault="00201D3C" w:rsidP="00425A80">
      <w:pPr>
        <w:pStyle w:val="Equationlegend"/>
        <w:rPr>
          <w:lang w:val="fr-CH"/>
        </w:rPr>
      </w:pPr>
      <w:r>
        <w:rPr>
          <w:lang w:val="fr-CH"/>
        </w:rPr>
        <w:lastRenderedPageBreak/>
        <w:tab/>
      </w:r>
      <w:r>
        <w:rPr>
          <w:i/>
          <w:iCs/>
          <w:lang w:val="fr-CH"/>
        </w:rPr>
        <w:t>G</w:t>
      </w:r>
      <w:r w:rsidRPr="004E484D">
        <w:rPr>
          <w:i/>
          <w:iCs/>
          <w:vertAlign w:val="subscript"/>
          <w:lang w:val="fr-CH"/>
        </w:rPr>
        <w:t>T</w:t>
      </w:r>
      <w:r>
        <w:rPr>
          <w:rFonts w:ascii="Tms Rmn" w:hAnsi="Tms Rmn"/>
          <w:sz w:val="12"/>
          <w:lang w:val="fr-CH"/>
        </w:rPr>
        <w:t> </w:t>
      </w:r>
      <w:r>
        <w:rPr>
          <w:lang w:val="fr-CH"/>
        </w:rPr>
        <w:t>:</w:t>
      </w:r>
      <w:r>
        <w:rPr>
          <w:lang w:val="fr-CH"/>
        </w:rPr>
        <w:tab/>
        <w:t>gain d'antenne dans le faisceau principal du radar (voir la Note 1) (dBi)</w:t>
      </w:r>
    </w:p>
    <w:p w:rsidR="00201D3C" w:rsidRDefault="00201D3C" w:rsidP="00425A80">
      <w:pPr>
        <w:pStyle w:val="Equationlegend"/>
        <w:rPr>
          <w:lang w:val="fr-CH"/>
        </w:rPr>
      </w:pPr>
      <w:r>
        <w:rPr>
          <w:lang w:val="fr-CH"/>
        </w:rPr>
        <w:tab/>
      </w:r>
      <w:r>
        <w:rPr>
          <w:i/>
          <w:iCs/>
          <w:lang w:val="fr-CH"/>
        </w:rPr>
        <w:t>G</w:t>
      </w:r>
      <w:r w:rsidRPr="004E484D">
        <w:rPr>
          <w:i/>
          <w:iCs/>
          <w:vertAlign w:val="subscript"/>
          <w:lang w:val="fr-CH"/>
        </w:rPr>
        <w:t>R</w:t>
      </w:r>
      <w:r>
        <w:rPr>
          <w:rFonts w:ascii="Tms Rmn" w:hAnsi="Tms Rmn"/>
          <w:sz w:val="12"/>
          <w:lang w:val="fr-CH"/>
        </w:rPr>
        <w:t> </w:t>
      </w:r>
      <w:r>
        <w:rPr>
          <w:lang w:val="fr-CH"/>
        </w:rPr>
        <w:t>:</w:t>
      </w:r>
      <w:r>
        <w:rPr>
          <w:lang w:val="fr-CH"/>
        </w:rPr>
        <w:tab/>
        <w:t>gain de l'antenne de réception dans la direction de la station radar analysée (dBi)</w:t>
      </w:r>
    </w:p>
    <w:p w:rsidR="00201D3C" w:rsidRDefault="00201D3C" w:rsidP="00425A80">
      <w:pPr>
        <w:pStyle w:val="Equationlegend"/>
        <w:rPr>
          <w:lang w:val="fr-CH"/>
        </w:rPr>
      </w:pPr>
      <w:r>
        <w:rPr>
          <w:lang w:val="fr-CH"/>
        </w:rPr>
        <w:tab/>
      </w:r>
      <w:r>
        <w:rPr>
          <w:i/>
          <w:iCs/>
          <w:lang w:val="fr-CH"/>
        </w:rPr>
        <w:t>L</w:t>
      </w:r>
      <w:r w:rsidRPr="004E484D">
        <w:rPr>
          <w:i/>
          <w:iCs/>
          <w:vertAlign w:val="subscript"/>
          <w:lang w:val="fr-CH"/>
        </w:rPr>
        <w:t>T</w:t>
      </w:r>
      <w:r>
        <w:rPr>
          <w:rFonts w:ascii="Tms Rmn" w:hAnsi="Tms Rmn"/>
          <w:sz w:val="12"/>
          <w:lang w:val="fr-CH"/>
        </w:rPr>
        <w:t> </w:t>
      </w:r>
      <w:r>
        <w:rPr>
          <w:lang w:val="fr-CH"/>
        </w:rPr>
        <w:t>:</w:t>
      </w:r>
      <w:r>
        <w:rPr>
          <w:lang w:val="fr-CH"/>
        </w:rPr>
        <w:tab/>
        <w:t>affaiblissement dans l'émetteur de la station radar (dB) (estimé à 2 dB)</w:t>
      </w:r>
    </w:p>
    <w:p w:rsidR="00201D3C" w:rsidRDefault="00201D3C" w:rsidP="00425A80">
      <w:pPr>
        <w:pStyle w:val="Equationlegend"/>
        <w:rPr>
          <w:lang w:val="fr-CH"/>
        </w:rPr>
      </w:pPr>
      <w:r>
        <w:rPr>
          <w:lang w:val="fr-CH"/>
        </w:rPr>
        <w:tab/>
      </w:r>
      <w:r>
        <w:rPr>
          <w:i/>
          <w:iCs/>
          <w:lang w:val="fr-CH"/>
        </w:rPr>
        <w:t>L</w:t>
      </w:r>
      <w:r w:rsidRPr="004E484D">
        <w:rPr>
          <w:i/>
          <w:iCs/>
          <w:vertAlign w:val="subscript"/>
          <w:lang w:val="fr-CH"/>
        </w:rPr>
        <w:t>R</w:t>
      </w:r>
      <w:r>
        <w:rPr>
          <w:rFonts w:ascii="Tms Rmn" w:hAnsi="Tms Rmn"/>
          <w:sz w:val="12"/>
          <w:lang w:val="fr-CH"/>
        </w:rPr>
        <w:t> </w:t>
      </w:r>
      <w:r>
        <w:rPr>
          <w:lang w:val="fr-CH"/>
        </w:rPr>
        <w:t>:</w:t>
      </w:r>
      <w:r>
        <w:rPr>
          <w:lang w:val="fr-CH"/>
        </w:rPr>
        <w:tab/>
        <w:t>affaiblissement d'insertion dans le récepteur victime (dB)</w:t>
      </w:r>
    </w:p>
    <w:p w:rsidR="00201D3C" w:rsidRDefault="00201D3C" w:rsidP="00425A80">
      <w:pPr>
        <w:pStyle w:val="Equationlegend"/>
        <w:rPr>
          <w:lang w:val="fr-CH"/>
        </w:rPr>
      </w:pPr>
      <w:r>
        <w:rPr>
          <w:lang w:val="fr-CH"/>
        </w:rPr>
        <w:tab/>
      </w:r>
      <w:r>
        <w:rPr>
          <w:i/>
          <w:iCs/>
          <w:lang w:val="fr-CH"/>
        </w:rPr>
        <w:t>L</w:t>
      </w:r>
      <w:r w:rsidRPr="004E484D">
        <w:rPr>
          <w:i/>
          <w:iCs/>
          <w:vertAlign w:val="subscript"/>
          <w:lang w:val="fr-CH"/>
        </w:rPr>
        <w:t>P</w:t>
      </w:r>
      <w:r>
        <w:rPr>
          <w:rFonts w:ascii="Tms Rmn" w:hAnsi="Tms Rmn"/>
          <w:sz w:val="12"/>
          <w:lang w:val="fr-CH"/>
        </w:rPr>
        <w:t> </w:t>
      </w:r>
      <w:r>
        <w:rPr>
          <w:lang w:val="fr-CH"/>
        </w:rPr>
        <w:t>:</w:t>
      </w:r>
      <w:r>
        <w:rPr>
          <w:lang w:val="fr-CH"/>
        </w:rPr>
        <w:tab/>
        <w:t>affaiblissement de propagation entre l'antenne d'émission et l'antenne de réception (dB).</w:t>
      </w:r>
    </w:p>
    <w:p w:rsidR="00201D3C" w:rsidRDefault="00201D3C" w:rsidP="00425A80">
      <w:pPr>
        <w:rPr>
          <w:lang w:val="fr-CH"/>
        </w:rPr>
      </w:pPr>
      <w:r>
        <w:rPr>
          <w:lang w:val="fr-CH"/>
        </w:rPr>
        <w:t xml:space="preserve">Pour calculer l'affaiblissement de propagation, il convient d'utiliser des modèles de propagation appropriés et éventuellement un couplage indirect en tenant compte des hauteurs d'antenne et du terrain lorsqu'on le juge utile. Si la puissance de crête calculée des impulsions radar, à la fréquence fondamentale, </w:t>
      </w:r>
      <w:r>
        <w:rPr>
          <w:i/>
          <w:iCs/>
          <w:lang w:val="fr-CH"/>
        </w:rPr>
        <w:t>I</w:t>
      </w:r>
      <w:r>
        <w:rPr>
          <w:lang w:val="fr-CH"/>
        </w:rPr>
        <w:t xml:space="preserve">, dépasse le seuil à partir duquel la surcharge de l'étage d'entrée du récepteur se produit, </w:t>
      </w:r>
      <w:r>
        <w:rPr>
          <w:i/>
          <w:iCs/>
          <w:lang w:val="fr-CH"/>
        </w:rPr>
        <w:t>I</w:t>
      </w:r>
      <w:r>
        <w:rPr>
          <w:i/>
          <w:iCs/>
          <w:position w:val="-4"/>
          <w:sz w:val="16"/>
          <w:lang w:val="fr-CH"/>
        </w:rPr>
        <w:t>T</w:t>
      </w:r>
      <w:r>
        <w:rPr>
          <w:lang w:val="fr-CH"/>
        </w:rPr>
        <w:t>, il faudra faire le nécessaire pour assurer la compatibilité.</w:t>
      </w:r>
    </w:p>
    <w:p w:rsidR="00201D3C" w:rsidRDefault="00201D3C" w:rsidP="00425A80">
      <w:pPr>
        <w:pStyle w:val="Note"/>
        <w:rPr>
          <w:lang w:val="fr-CH"/>
        </w:rPr>
      </w:pPr>
      <w:r>
        <w:rPr>
          <w:lang w:val="fr-CH"/>
        </w:rPr>
        <w:t>NOTE 1 – On a relevé des cas d'émissions radar entraînant une surcharge de l'étage d'entrée du récepteur en ce qui concerne le couplage dans le faisceau principal. Il est donc recommandé d'utiliser le gain dans le faisceau principal du radar pour évaluer le risque maximum de brouillage provoqué par la surcharge de l'étage d'entrée du récepteur.</w:t>
      </w:r>
    </w:p>
    <w:p w:rsidR="00201D3C" w:rsidRDefault="00201D3C" w:rsidP="00425A80">
      <w:pPr>
        <w:pStyle w:val="Heading2"/>
        <w:rPr>
          <w:lang w:val="fr-CH"/>
        </w:rPr>
      </w:pPr>
      <w:r>
        <w:rPr>
          <w:lang w:val="fr-CH"/>
        </w:rPr>
        <w:t>2.2</w:t>
      </w:r>
      <w:r>
        <w:rPr>
          <w:lang w:val="fr-CH"/>
        </w:rPr>
        <w:tab/>
        <w:t>Couplage d'émissions radar</w:t>
      </w:r>
    </w:p>
    <w:p w:rsidR="00201D3C" w:rsidRDefault="00201D3C" w:rsidP="00425A80">
      <w:pPr>
        <w:rPr>
          <w:lang w:val="fr-CH"/>
        </w:rPr>
      </w:pPr>
      <w:r>
        <w:rPr>
          <w:lang w:val="fr-CH"/>
        </w:rPr>
        <w:t>Ce mécanisme de brouillage se produit lorsque l'énergie émise tombe dans la bande passante du récepteur FI. Cette énergie passe ensuite par la chaîne de réception avec un affaiblissement nul ou très faible. Lorsque les niveaux d'émissions radar dans la bande passante du récepteur sont élevés par rapport au niveau de signal utile, la performance du récepteur peut en souffrir.</w:t>
      </w:r>
    </w:p>
    <w:p w:rsidR="00201D3C" w:rsidRDefault="00201D3C" w:rsidP="00425A80">
      <w:pPr>
        <w:pStyle w:val="Heading3"/>
        <w:rPr>
          <w:lang w:val="fr-CH"/>
        </w:rPr>
      </w:pPr>
      <w:r>
        <w:rPr>
          <w:lang w:val="fr-CH"/>
        </w:rPr>
        <w:t>2.2.1</w:t>
      </w:r>
      <w:r>
        <w:rPr>
          <w:lang w:val="fr-CH"/>
        </w:rPr>
        <w:tab/>
        <w:t>Evaluation des risques de brouillage causé par les émissions radar</w:t>
      </w:r>
    </w:p>
    <w:p w:rsidR="00201D3C" w:rsidRDefault="00201D3C" w:rsidP="00425A80">
      <w:pPr>
        <w:rPr>
          <w:lang w:val="fr-CH"/>
        </w:rPr>
      </w:pPr>
      <w:r>
        <w:rPr>
          <w:lang w:val="fr-CH"/>
        </w:rPr>
        <w:t xml:space="preserve">La première chose à faire pour évaluer la compatibilité est de calculer le niveau du signal auquel la performance du récepteur commence à baisser, </w:t>
      </w:r>
      <w:r>
        <w:rPr>
          <w:i/>
          <w:iCs/>
          <w:lang w:val="fr-CH"/>
        </w:rPr>
        <w:t>I</w:t>
      </w:r>
      <w:r>
        <w:rPr>
          <w:i/>
          <w:iCs/>
          <w:vertAlign w:val="subscript"/>
        </w:rPr>
        <w:t>T</w:t>
      </w:r>
      <w:r>
        <w:t>.</w:t>
      </w:r>
    </w:p>
    <w:p w:rsidR="00E226E4" w:rsidRPr="004E484D" w:rsidRDefault="00E226E4" w:rsidP="00425A80">
      <w:pPr>
        <w:pStyle w:val="Blanc"/>
        <w:rPr>
          <w:lang w:val="fr-CH"/>
        </w:rPr>
      </w:pPr>
    </w:p>
    <w:p w:rsidR="00201D3C" w:rsidRDefault="00201D3C" w:rsidP="00425A80">
      <w:pPr>
        <w:pStyle w:val="Equation"/>
        <w:rPr>
          <w:lang w:val="sv-SE"/>
        </w:rPr>
      </w:pPr>
      <w:r w:rsidRPr="00E00205">
        <w:tab/>
      </w:r>
      <w:r w:rsidRPr="00E00205">
        <w:tab/>
      </w:r>
      <w:r>
        <w:rPr>
          <w:i/>
          <w:iCs/>
          <w:lang w:val="sv-SE"/>
        </w:rPr>
        <w:t>I</w:t>
      </w:r>
      <w:r w:rsidRPr="00E00205">
        <w:rPr>
          <w:i/>
          <w:iCs/>
          <w:sz w:val="28"/>
          <w:vertAlign w:val="subscript"/>
        </w:rPr>
        <w:t>T</w:t>
      </w:r>
      <w:r>
        <w:rPr>
          <w:lang w:val="sv-SE"/>
        </w:rPr>
        <w:t xml:space="preserve"> </w:t>
      </w:r>
      <w:r>
        <w:sym w:font="Symbol" w:char="F03D"/>
      </w:r>
      <w:r>
        <w:rPr>
          <w:lang w:val="sv-SE"/>
        </w:rPr>
        <w:t xml:space="preserve"> </w:t>
      </w:r>
      <w:r>
        <w:rPr>
          <w:i/>
          <w:iCs/>
          <w:lang w:val="sv-SE"/>
        </w:rPr>
        <w:t>I</w:t>
      </w:r>
      <w:r>
        <w:rPr>
          <w:lang w:val="sv-SE"/>
        </w:rPr>
        <w:t>/</w:t>
      </w:r>
      <w:r>
        <w:rPr>
          <w:i/>
          <w:iCs/>
          <w:lang w:val="sv-SE"/>
        </w:rPr>
        <w:t>N</w:t>
      </w:r>
      <w:r>
        <w:rPr>
          <w:lang w:val="sv-SE"/>
        </w:rPr>
        <w:t xml:space="preserve"> </w:t>
      </w:r>
      <w:r>
        <w:sym w:font="Symbol" w:char="F02B"/>
      </w:r>
      <w:r>
        <w:rPr>
          <w:lang w:val="sv-SE"/>
        </w:rPr>
        <w:t xml:space="preserve"> </w:t>
      </w:r>
      <w:r>
        <w:rPr>
          <w:i/>
          <w:iCs/>
          <w:lang w:val="sv-SE"/>
        </w:rPr>
        <w:t>N</w:t>
      </w:r>
      <w:r>
        <w:rPr>
          <w:lang w:val="sv-SE"/>
        </w:rPr>
        <w:tab/>
        <w:t>(4)</w:t>
      </w:r>
    </w:p>
    <w:p w:rsidR="00E226E4" w:rsidRPr="004E484D" w:rsidRDefault="00E226E4" w:rsidP="00425A80">
      <w:pPr>
        <w:pStyle w:val="Blanc"/>
        <w:rPr>
          <w:lang w:val="fr-CH"/>
        </w:rPr>
      </w:pPr>
    </w:p>
    <w:p w:rsidR="00201D3C" w:rsidRDefault="00201D3C" w:rsidP="00425A80">
      <w:pPr>
        <w:rPr>
          <w:lang w:val="fr-CH"/>
        </w:rPr>
      </w:pPr>
      <w:proofErr w:type="gramStart"/>
      <w:r>
        <w:rPr>
          <w:lang w:val="fr-CH"/>
        </w:rPr>
        <w:t>où</w:t>
      </w:r>
      <w:proofErr w:type="gramEnd"/>
      <w:r>
        <w:rPr>
          <w:lang w:val="fr-CH"/>
        </w:rPr>
        <w:t>:</w:t>
      </w:r>
    </w:p>
    <w:p w:rsidR="00201D3C" w:rsidRDefault="00201D3C" w:rsidP="00425A80">
      <w:pPr>
        <w:pStyle w:val="Equationlegend"/>
        <w:jc w:val="left"/>
        <w:rPr>
          <w:lang w:val="fr-CH"/>
        </w:rPr>
      </w:pPr>
      <w:r>
        <w:rPr>
          <w:lang w:val="fr-CH"/>
        </w:rPr>
        <w:tab/>
      </w:r>
      <w:r>
        <w:rPr>
          <w:i/>
          <w:iCs/>
          <w:lang w:val="fr-CH"/>
        </w:rPr>
        <w:t>I</w:t>
      </w:r>
      <w:r>
        <w:rPr>
          <w:lang w:val="fr-CH"/>
        </w:rPr>
        <w:t>/</w:t>
      </w:r>
      <w:r>
        <w:rPr>
          <w:i/>
          <w:iCs/>
          <w:lang w:val="fr-CH"/>
        </w:rPr>
        <w:t>N</w:t>
      </w:r>
      <w:r>
        <w:rPr>
          <w:rFonts w:ascii="Tms Rmn" w:hAnsi="Tms Rmn"/>
          <w:sz w:val="12"/>
          <w:lang w:val="fr-CH"/>
        </w:rPr>
        <w:t> </w:t>
      </w:r>
      <w:r>
        <w:rPr>
          <w:lang w:val="fr-CH"/>
        </w:rPr>
        <w:t>:</w:t>
      </w:r>
      <w:r>
        <w:rPr>
          <w:lang w:val="fr-CH"/>
        </w:rPr>
        <w:tab/>
        <w:t>rapport brouillage sur bruit à l'entrée du détecteur (sortie FI) nécessaire au maintien de critères de performance acceptables (dB)</w:t>
      </w:r>
    </w:p>
    <w:p w:rsidR="00201D3C" w:rsidRDefault="00201D3C" w:rsidP="003A60F2">
      <w:pPr>
        <w:pStyle w:val="Equationlegend"/>
        <w:jc w:val="left"/>
        <w:rPr>
          <w:lang w:val="fr-CH"/>
        </w:rPr>
      </w:pPr>
      <w:r>
        <w:rPr>
          <w:lang w:val="fr-CH"/>
        </w:rPr>
        <w:tab/>
      </w:r>
      <w:r>
        <w:rPr>
          <w:i/>
          <w:iCs/>
          <w:lang w:val="fr-CH"/>
        </w:rPr>
        <w:t>N</w:t>
      </w:r>
      <w:r>
        <w:rPr>
          <w:rFonts w:ascii="Tms Rmn" w:hAnsi="Tms Rmn"/>
          <w:sz w:val="12"/>
          <w:lang w:val="fr-CH"/>
        </w:rPr>
        <w:t> </w:t>
      </w:r>
      <w:r>
        <w:rPr>
          <w:lang w:val="fr-CH"/>
        </w:rPr>
        <w:t>:</w:t>
      </w:r>
      <w:r>
        <w:rPr>
          <w:lang w:val="fr-CH"/>
        </w:rPr>
        <w:tab/>
        <w:t>niveau de bruit intrinsèque du récepteur (dBm)</w:t>
      </w:r>
      <w:r>
        <w:rPr>
          <w:lang w:val="fr-CH"/>
        </w:rPr>
        <w:br/>
        <w:t>(</w:t>
      </w:r>
      <w:r>
        <w:rPr>
          <w:i/>
          <w:lang w:val="fr-CH"/>
        </w:rPr>
        <w:t>N</w:t>
      </w:r>
      <w:r>
        <w:rPr>
          <w:lang w:val="fr-CH"/>
        </w:rPr>
        <w:t> </w:t>
      </w:r>
      <w:r>
        <w:sym w:font="Symbol" w:char="F03D"/>
      </w:r>
      <w:r>
        <w:rPr>
          <w:lang w:val="fr-CH"/>
        </w:rPr>
        <w:t> </w:t>
      </w:r>
      <w:r w:rsidR="003A60F2">
        <w:rPr>
          <w:lang w:val="fr-CH"/>
        </w:rPr>
        <w:t>−</w:t>
      </w:r>
      <w:r>
        <w:rPr>
          <w:lang w:val="fr-CH"/>
        </w:rPr>
        <w:t xml:space="preserve">144 dBm </w:t>
      </w:r>
      <w:r>
        <w:sym w:font="Symbol" w:char="F02B"/>
      </w:r>
      <w:r>
        <w:rPr>
          <w:lang w:val="fr-CH"/>
        </w:rPr>
        <w:t xml:space="preserve"> 10 log </w:t>
      </w:r>
      <w:r>
        <w:rPr>
          <w:i/>
          <w:lang w:val="fr-CH"/>
        </w:rPr>
        <w:t>B</w:t>
      </w:r>
      <w:r>
        <w:rPr>
          <w:i/>
          <w:position w:val="-4"/>
          <w:sz w:val="16"/>
          <w:lang w:val="fr-CH"/>
        </w:rPr>
        <w:t>IF</w:t>
      </w:r>
      <w:r>
        <w:rPr>
          <w:lang w:val="fr-CH"/>
        </w:rPr>
        <w:t xml:space="preserve"> (kHz) </w:t>
      </w:r>
      <w:r>
        <w:sym w:font="Symbol" w:char="F02B"/>
      </w:r>
      <w:r>
        <w:rPr>
          <w:lang w:val="fr-CH"/>
        </w:rPr>
        <w:t xml:space="preserve"> </w:t>
      </w:r>
      <w:r>
        <w:rPr>
          <w:i/>
          <w:lang w:val="fr-CH"/>
        </w:rPr>
        <w:t>NF</w:t>
      </w:r>
    </w:p>
    <w:p w:rsidR="00201D3C" w:rsidRDefault="00201D3C" w:rsidP="00425A80">
      <w:pPr>
        <w:pStyle w:val="Equationlegend"/>
        <w:rPr>
          <w:lang w:val="fr-CH"/>
        </w:rPr>
      </w:pPr>
      <w:r>
        <w:rPr>
          <w:lang w:val="fr-CH"/>
        </w:rPr>
        <w:tab/>
      </w:r>
      <w:r>
        <w:rPr>
          <w:lang w:val="fr-CH"/>
        </w:rPr>
        <w:tab/>
      </w:r>
      <w:proofErr w:type="gramStart"/>
      <w:r>
        <w:rPr>
          <w:lang w:val="fr-CH"/>
        </w:rPr>
        <w:t>ou</w:t>
      </w:r>
      <w:proofErr w:type="gramEnd"/>
    </w:p>
    <w:p w:rsidR="00201D3C" w:rsidRPr="003A60F2" w:rsidRDefault="00201D3C" w:rsidP="003A60F2">
      <w:pPr>
        <w:pStyle w:val="Equationlegend"/>
        <w:tabs>
          <w:tab w:val="left" w:pos="2552"/>
        </w:tabs>
        <w:rPr>
          <w:lang w:val="de-CH"/>
        </w:rPr>
      </w:pPr>
      <w:r>
        <w:rPr>
          <w:lang w:val="fr-CH"/>
        </w:rPr>
        <w:tab/>
      </w:r>
      <w:r>
        <w:rPr>
          <w:lang w:val="fr-CH"/>
        </w:rPr>
        <w:tab/>
      </w:r>
      <w:r w:rsidRPr="003A60F2">
        <w:rPr>
          <w:i/>
          <w:lang w:val="de-CH"/>
        </w:rPr>
        <w:t>N</w:t>
      </w:r>
      <w:r w:rsidRPr="003A60F2">
        <w:rPr>
          <w:lang w:val="de-CH"/>
        </w:rPr>
        <w:t xml:space="preserve"> </w:t>
      </w:r>
      <w:r>
        <w:sym w:font="Symbol" w:char="F03D"/>
      </w:r>
      <w:r w:rsidRPr="003A60F2">
        <w:rPr>
          <w:lang w:val="de-CH"/>
        </w:rPr>
        <w:tab/>
      </w:r>
      <w:r w:rsidR="003A60F2" w:rsidRPr="003A60F2">
        <w:rPr>
          <w:lang w:val="de-CH"/>
        </w:rPr>
        <w:t>−</w:t>
      </w:r>
      <w:r w:rsidRPr="003A60F2">
        <w:rPr>
          <w:lang w:val="de-CH"/>
        </w:rPr>
        <w:t xml:space="preserve">168,6 dBm </w:t>
      </w:r>
      <w:r>
        <w:sym w:font="Symbol" w:char="F02B"/>
      </w:r>
      <w:r w:rsidRPr="003A60F2">
        <w:rPr>
          <w:lang w:val="de-CH"/>
        </w:rPr>
        <w:t xml:space="preserve"> 10 log </w:t>
      </w:r>
      <w:r w:rsidRPr="003A60F2">
        <w:rPr>
          <w:i/>
          <w:lang w:val="de-CH"/>
        </w:rPr>
        <w:t>B</w:t>
      </w:r>
      <w:r w:rsidRPr="003A60F2">
        <w:rPr>
          <w:i/>
          <w:iCs/>
          <w:vertAlign w:val="subscript"/>
          <w:lang w:val="de-CH"/>
        </w:rPr>
        <w:t>IF</w:t>
      </w:r>
      <w:r w:rsidRPr="003A60F2">
        <w:rPr>
          <w:lang w:val="de-CH"/>
        </w:rPr>
        <w:t xml:space="preserve"> (kHz) </w:t>
      </w:r>
      <w:r>
        <w:sym w:font="Symbol" w:char="F02B"/>
      </w:r>
      <w:r w:rsidRPr="003A60F2">
        <w:rPr>
          <w:lang w:val="de-CH"/>
        </w:rPr>
        <w:t xml:space="preserve"> 10 log </w:t>
      </w:r>
      <w:r w:rsidRPr="003A60F2">
        <w:rPr>
          <w:i/>
          <w:lang w:val="de-CH"/>
        </w:rPr>
        <w:t>T</w:t>
      </w:r>
      <w:r w:rsidRPr="003A60F2">
        <w:rPr>
          <w:iCs/>
          <w:lang w:val="de-CH"/>
        </w:rPr>
        <w:t>)</w:t>
      </w:r>
    </w:p>
    <w:p w:rsidR="00201D3C" w:rsidRDefault="00201D3C" w:rsidP="00425A80">
      <w:pPr>
        <w:pStyle w:val="Equationlegend"/>
        <w:rPr>
          <w:lang w:val="fr-CH"/>
        </w:rPr>
      </w:pPr>
      <w:r w:rsidRPr="003A60F2">
        <w:rPr>
          <w:lang w:val="de-CH"/>
        </w:rPr>
        <w:tab/>
      </w:r>
      <w:proofErr w:type="gramStart"/>
      <w:r>
        <w:rPr>
          <w:lang w:val="fr-CH"/>
        </w:rPr>
        <w:t>où</w:t>
      </w:r>
      <w:proofErr w:type="gramEnd"/>
      <w:r>
        <w:rPr>
          <w:lang w:val="fr-CH"/>
        </w:rPr>
        <w:t>:</w:t>
      </w:r>
    </w:p>
    <w:p w:rsidR="00201D3C" w:rsidRDefault="003A60F2" w:rsidP="003A60F2">
      <w:pPr>
        <w:pStyle w:val="Equationlegend"/>
        <w:tabs>
          <w:tab w:val="clear" w:pos="1985"/>
          <w:tab w:val="right" w:pos="3060"/>
          <w:tab w:val="left" w:pos="3420"/>
        </w:tabs>
        <w:ind w:left="3420" w:hanging="3420"/>
        <w:rPr>
          <w:lang w:val="fr-CH"/>
        </w:rPr>
      </w:pPr>
      <w:r>
        <w:rPr>
          <w:lang w:val="fr-CH"/>
        </w:rPr>
        <w:tab/>
      </w:r>
      <w:r w:rsidR="00201D3C">
        <w:rPr>
          <w:i/>
          <w:iCs/>
          <w:lang w:val="fr-CH"/>
        </w:rPr>
        <w:t>B</w:t>
      </w:r>
      <w:r w:rsidR="00201D3C">
        <w:rPr>
          <w:i/>
          <w:iCs/>
          <w:vertAlign w:val="subscript"/>
          <w:lang w:val="fr-CH"/>
        </w:rPr>
        <w:t>IF</w:t>
      </w:r>
      <w:r w:rsidR="00201D3C">
        <w:rPr>
          <w:rFonts w:ascii="Tms Rmn" w:hAnsi="Tms Rmn"/>
          <w:sz w:val="12"/>
          <w:lang w:val="fr-CH"/>
        </w:rPr>
        <w:t> </w:t>
      </w:r>
      <w:r w:rsidR="00201D3C">
        <w:rPr>
          <w:lang w:val="fr-CH"/>
        </w:rPr>
        <w:t>:</w:t>
      </w:r>
      <w:r>
        <w:rPr>
          <w:lang w:val="fr-CH"/>
        </w:rPr>
        <w:tab/>
      </w:r>
      <w:r w:rsidR="00201D3C">
        <w:rPr>
          <w:lang w:val="fr-CH"/>
        </w:rPr>
        <w:t xml:space="preserve">largeur de bande FI du récepteur (kHz) </w:t>
      </w:r>
    </w:p>
    <w:p w:rsidR="00201D3C" w:rsidRDefault="00201D3C" w:rsidP="00425A80">
      <w:pPr>
        <w:pStyle w:val="Equationlegend"/>
        <w:tabs>
          <w:tab w:val="clear" w:pos="1985"/>
          <w:tab w:val="right" w:pos="3060"/>
          <w:tab w:val="left" w:pos="3420"/>
        </w:tabs>
        <w:ind w:left="3420" w:hanging="3420"/>
        <w:rPr>
          <w:lang w:val="fr-CH"/>
        </w:rPr>
      </w:pPr>
      <w:r>
        <w:rPr>
          <w:lang w:val="fr-CH"/>
        </w:rPr>
        <w:tab/>
      </w:r>
      <w:r>
        <w:rPr>
          <w:i/>
          <w:iCs/>
          <w:lang w:val="fr-CH"/>
        </w:rPr>
        <w:t>NF</w:t>
      </w:r>
      <w:r>
        <w:rPr>
          <w:rFonts w:ascii="Tms Rmn" w:hAnsi="Tms Rmn"/>
          <w:sz w:val="12"/>
          <w:lang w:val="fr-CH"/>
        </w:rPr>
        <w:t> </w:t>
      </w:r>
      <w:r>
        <w:rPr>
          <w:lang w:val="fr-CH"/>
        </w:rPr>
        <w:t>:</w:t>
      </w:r>
      <w:r>
        <w:rPr>
          <w:lang w:val="fr-CH"/>
        </w:rPr>
        <w:tab/>
        <w:t>facteur de bruit (dB)</w:t>
      </w:r>
    </w:p>
    <w:p w:rsidR="00201D3C" w:rsidRDefault="00201D3C" w:rsidP="00425A80">
      <w:pPr>
        <w:pStyle w:val="Equationlegend"/>
        <w:tabs>
          <w:tab w:val="clear" w:pos="1985"/>
          <w:tab w:val="right" w:pos="3060"/>
          <w:tab w:val="left" w:pos="3420"/>
        </w:tabs>
        <w:ind w:left="3420" w:hanging="3420"/>
        <w:rPr>
          <w:lang w:val="fr-CH"/>
        </w:rPr>
      </w:pPr>
      <w:r>
        <w:rPr>
          <w:lang w:val="fr-CH"/>
        </w:rPr>
        <w:tab/>
      </w:r>
      <w:r>
        <w:rPr>
          <w:i/>
          <w:iCs/>
          <w:lang w:val="fr-CH"/>
        </w:rPr>
        <w:t>T</w:t>
      </w:r>
      <w:r>
        <w:rPr>
          <w:rFonts w:ascii="Tms Rmn" w:hAnsi="Tms Rmn"/>
          <w:sz w:val="12"/>
          <w:lang w:val="fr-CH"/>
        </w:rPr>
        <w:t> </w:t>
      </w:r>
      <w:r>
        <w:rPr>
          <w:lang w:val="fr-CH"/>
        </w:rPr>
        <w:t>:</w:t>
      </w:r>
      <w:r>
        <w:rPr>
          <w:lang w:val="fr-CH"/>
        </w:rPr>
        <w:tab/>
        <w:t>température de bruit du système (K).</w:t>
      </w:r>
    </w:p>
    <w:p w:rsidR="00201D3C" w:rsidRDefault="00201D3C" w:rsidP="00425A80">
      <w:pPr>
        <w:rPr>
          <w:lang w:val="fr-CH"/>
        </w:rPr>
      </w:pPr>
      <w:r>
        <w:rPr>
          <w:lang w:val="fr-CH"/>
        </w:rPr>
        <w:t xml:space="preserve">D'autre part, le niveau du signal auquel la performance d'un récepteur commence à baisser, </w:t>
      </w:r>
      <w:r>
        <w:rPr>
          <w:i/>
          <w:iCs/>
          <w:lang w:val="fr-CH"/>
        </w:rPr>
        <w:t>I</w:t>
      </w:r>
      <w:r>
        <w:rPr>
          <w:i/>
          <w:iCs/>
          <w:position w:val="-4"/>
          <w:sz w:val="16"/>
          <w:lang w:val="fr-CH"/>
        </w:rPr>
        <w:t>T</w:t>
      </w:r>
      <w:r>
        <w:rPr>
          <w:lang w:val="fr-CH"/>
        </w:rPr>
        <w:t>, peut se calculer selon l'équation (5):</w:t>
      </w:r>
    </w:p>
    <w:p w:rsidR="00E226E4" w:rsidRPr="004E484D" w:rsidRDefault="00E226E4" w:rsidP="00425A80">
      <w:pPr>
        <w:pStyle w:val="Blanc"/>
        <w:rPr>
          <w:lang w:val="fr-CH"/>
        </w:rPr>
      </w:pPr>
    </w:p>
    <w:p w:rsidR="00201D3C" w:rsidRPr="00E00205" w:rsidRDefault="00201D3C" w:rsidP="00425A80">
      <w:pPr>
        <w:pStyle w:val="Equation"/>
      </w:pPr>
      <w:r w:rsidRPr="00E00205">
        <w:tab/>
      </w:r>
      <w:r w:rsidRPr="00E00205">
        <w:tab/>
      </w:r>
      <w:r w:rsidRPr="00E00205">
        <w:rPr>
          <w:i/>
          <w:iCs/>
        </w:rPr>
        <w:t>I</w:t>
      </w:r>
      <w:r w:rsidRPr="00E00205">
        <w:rPr>
          <w:i/>
          <w:iCs/>
          <w:sz w:val="28"/>
          <w:vertAlign w:val="subscript"/>
        </w:rPr>
        <w:t>T</w:t>
      </w:r>
      <w:r w:rsidRPr="00E00205">
        <w:t xml:space="preserve"> </w:t>
      </w:r>
      <w:r>
        <w:rPr>
          <w:rFonts w:ascii="Symbol" w:hAnsi="Symbol"/>
        </w:rPr>
        <w:t></w:t>
      </w:r>
      <w:r w:rsidRPr="00E00205">
        <w:t xml:space="preserve"> </w:t>
      </w:r>
      <w:r w:rsidRPr="00E00205">
        <w:rPr>
          <w:i/>
          <w:iCs/>
        </w:rPr>
        <w:t>C</w:t>
      </w:r>
      <w:r w:rsidRPr="00E00205">
        <w:t xml:space="preserve"> – (</w:t>
      </w:r>
      <w:r w:rsidRPr="00E00205">
        <w:rPr>
          <w:i/>
          <w:iCs/>
        </w:rPr>
        <w:t>C</w:t>
      </w:r>
      <w:r w:rsidRPr="00E00205">
        <w:t>/</w:t>
      </w:r>
      <w:r w:rsidRPr="00E00205">
        <w:rPr>
          <w:i/>
          <w:iCs/>
        </w:rPr>
        <w:t>I</w:t>
      </w:r>
      <w:r w:rsidRPr="00E00205">
        <w:t>)</w:t>
      </w:r>
      <w:r w:rsidRPr="00E00205">
        <w:tab/>
        <w:t>(5)</w:t>
      </w:r>
    </w:p>
    <w:p w:rsidR="00E226E4" w:rsidRPr="004E484D" w:rsidRDefault="00E226E4" w:rsidP="00425A80">
      <w:pPr>
        <w:pStyle w:val="Blanc"/>
        <w:rPr>
          <w:lang w:val="fr-CH"/>
        </w:rPr>
      </w:pPr>
    </w:p>
    <w:p w:rsidR="00201D3C" w:rsidRDefault="00201D3C" w:rsidP="00425A80">
      <w:pPr>
        <w:rPr>
          <w:lang w:val="fr-CH"/>
        </w:rPr>
      </w:pPr>
      <w:r>
        <w:rPr>
          <w:lang w:val="fr-CH"/>
        </w:rPr>
        <w:br w:type="page"/>
      </w:r>
      <w:proofErr w:type="gramStart"/>
      <w:r>
        <w:rPr>
          <w:lang w:val="fr-CH"/>
        </w:rPr>
        <w:lastRenderedPageBreak/>
        <w:t>où</w:t>
      </w:r>
      <w:proofErr w:type="gramEnd"/>
      <w:r>
        <w:rPr>
          <w:lang w:val="fr-CH"/>
        </w:rPr>
        <w:t>:</w:t>
      </w:r>
    </w:p>
    <w:p w:rsidR="00201D3C" w:rsidRDefault="00201D3C" w:rsidP="00425A80">
      <w:pPr>
        <w:pStyle w:val="Equationlegend"/>
        <w:rPr>
          <w:lang w:val="fr-CH"/>
        </w:rPr>
      </w:pPr>
      <w:r>
        <w:rPr>
          <w:lang w:val="fr-CH"/>
        </w:rPr>
        <w:tab/>
      </w:r>
      <w:r>
        <w:rPr>
          <w:i/>
          <w:iCs/>
          <w:lang w:val="fr-CH"/>
        </w:rPr>
        <w:t>C</w:t>
      </w:r>
      <w:r>
        <w:rPr>
          <w:lang w:val="fr-CH"/>
        </w:rPr>
        <w:t>:</w:t>
      </w:r>
      <w:r>
        <w:rPr>
          <w:lang w:val="fr-CH"/>
        </w:rPr>
        <w:tab/>
        <w:t>niveau de signal de la porteuse utile à la sortie d'antenne (entrée du récepteur) (dBm)</w:t>
      </w:r>
    </w:p>
    <w:p w:rsidR="00201D3C" w:rsidRDefault="00201D3C" w:rsidP="00425A80">
      <w:pPr>
        <w:pStyle w:val="Equationlegend"/>
        <w:rPr>
          <w:lang w:val="fr-CH"/>
        </w:rPr>
      </w:pPr>
      <w:r>
        <w:rPr>
          <w:lang w:val="fr-CH"/>
        </w:rPr>
        <w:tab/>
      </w:r>
      <w:r>
        <w:rPr>
          <w:i/>
          <w:iCs/>
          <w:lang w:val="fr-CH"/>
        </w:rPr>
        <w:t>C</w:t>
      </w:r>
      <w:r>
        <w:rPr>
          <w:lang w:val="fr-CH"/>
        </w:rPr>
        <w:t>/</w:t>
      </w:r>
      <w:r>
        <w:rPr>
          <w:i/>
          <w:iCs/>
          <w:lang w:val="fr-CH"/>
        </w:rPr>
        <w:t>I</w:t>
      </w:r>
      <w:r>
        <w:rPr>
          <w:rFonts w:ascii="Tms Rmn" w:hAnsi="Tms Rmn"/>
          <w:sz w:val="12"/>
          <w:lang w:val="fr-CH"/>
        </w:rPr>
        <w:t> </w:t>
      </w:r>
      <w:r>
        <w:rPr>
          <w:lang w:val="fr-CH"/>
        </w:rPr>
        <w:t>:</w:t>
      </w:r>
      <w:r>
        <w:rPr>
          <w:lang w:val="fr-CH"/>
        </w:rPr>
        <w:tab/>
        <w:t>rapport porteuse sur brouillage à l'entrée du prédétecteur (sortie FI) nécessaire au maintien de critères de performance acceptables (dB).</w:t>
      </w:r>
    </w:p>
    <w:p w:rsidR="00201D3C" w:rsidRDefault="00201D3C" w:rsidP="00425A80">
      <w:pPr>
        <w:rPr>
          <w:lang w:val="fr-CH"/>
        </w:rPr>
      </w:pPr>
      <w:r>
        <w:rPr>
          <w:lang w:val="fr-CH"/>
        </w:rPr>
        <w:t>L'équation (6) sert à déterminer si les émissions radar risquent de créer un brouillage lorsque les radars fonctionnent à des distances données d'autres stations et à diverses fréquences.</w:t>
      </w:r>
    </w:p>
    <w:p w:rsidR="00BA4BD1" w:rsidRPr="004E484D" w:rsidRDefault="00BA4BD1" w:rsidP="00425A80">
      <w:pPr>
        <w:pStyle w:val="Blanc"/>
        <w:rPr>
          <w:lang w:val="fr-CH"/>
        </w:rPr>
      </w:pPr>
    </w:p>
    <w:p w:rsidR="00201D3C" w:rsidRDefault="00201D3C" w:rsidP="00425A80">
      <w:pPr>
        <w:pStyle w:val="Equation"/>
        <w:rPr>
          <w:lang w:val="sv-SE"/>
        </w:rPr>
      </w:pPr>
      <w:r w:rsidRPr="00E00205">
        <w:tab/>
      </w:r>
      <w:r w:rsidRPr="00E00205">
        <w:tab/>
      </w:r>
      <w:r>
        <w:rPr>
          <w:i/>
          <w:iCs/>
          <w:lang w:val="sv-SE"/>
        </w:rPr>
        <w:t>I</w:t>
      </w:r>
      <w:r>
        <w:rPr>
          <w:lang w:val="sv-SE"/>
        </w:rPr>
        <w:t xml:space="preserve"> </w:t>
      </w:r>
      <w:r>
        <w:sym w:font="Symbol" w:char="F03D"/>
      </w:r>
      <w:r>
        <w:rPr>
          <w:lang w:val="sv-SE"/>
        </w:rPr>
        <w:t xml:space="preserve"> </w:t>
      </w:r>
      <w:r>
        <w:rPr>
          <w:i/>
          <w:iCs/>
          <w:spacing w:val="-20"/>
          <w:lang w:val="sv-SE"/>
        </w:rPr>
        <w:t>P</w:t>
      </w:r>
      <w:r>
        <w:rPr>
          <w:i/>
          <w:iCs/>
          <w:spacing w:val="-20"/>
          <w:sz w:val="28"/>
          <w:vertAlign w:val="subscript"/>
          <w:lang w:val="en-US"/>
        </w:rPr>
        <w:t>T</w:t>
      </w:r>
      <w:r>
        <w:rPr>
          <w:lang w:val="sv-SE"/>
        </w:rPr>
        <w:t xml:space="preserve"> </w:t>
      </w:r>
      <w:r>
        <w:sym w:font="Symbol" w:char="F02B"/>
      </w:r>
      <w:r>
        <w:rPr>
          <w:lang w:val="sv-SE"/>
        </w:rPr>
        <w:t xml:space="preserve"> </w:t>
      </w:r>
      <w:r>
        <w:rPr>
          <w:i/>
          <w:iCs/>
          <w:lang w:val="sv-SE"/>
        </w:rPr>
        <w:t>G</w:t>
      </w:r>
      <w:r>
        <w:rPr>
          <w:i/>
          <w:iCs/>
          <w:sz w:val="28"/>
          <w:vertAlign w:val="subscript"/>
          <w:lang w:val="en-US"/>
        </w:rPr>
        <w:t>T</w:t>
      </w:r>
      <w:r>
        <w:rPr>
          <w:lang w:val="sv-SE"/>
        </w:rPr>
        <w:t xml:space="preserve"> </w:t>
      </w:r>
      <w:r>
        <w:sym w:font="Symbol" w:char="F02B"/>
      </w:r>
      <w:r>
        <w:rPr>
          <w:lang w:val="en-US"/>
        </w:rPr>
        <w:t xml:space="preserve"> </w:t>
      </w:r>
      <w:r>
        <w:rPr>
          <w:i/>
          <w:iCs/>
          <w:lang w:val="sv-SE"/>
        </w:rPr>
        <w:t>G</w:t>
      </w:r>
      <w:r>
        <w:rPr>
          <w:i/>
          <w:iCs/>
          <w:sz w:val="28"/>
          <w:vertAlign w:val="subscript"/>
          <w:lang w:val="en-US"/>
        </w:rPr>
        <w:t>R</w:t>
      </w:r>
      <w:r>
        <w:rPr>
          <w:lang w:val="sv-SE"/>
        </w:rPr>
        <w:t xml:space="preserve"> – </w:t>
      </w:r>
      <w:r>
        <w:rPr>
          <w:i/>
          <w:iCs/>
          <w:lang w:val="sv-SE"/>
        </w:rPr>
        <w:t>L</w:t>
      </w:r>
      <w:r>
        <w:rPr>
          <w:i/>
          <w:iCs/>
          <w:sz w:val="28"/>
          <w:vertAlign w:val="subscript"/>
          <w:lang w:val="en-US"/>
        </w:rPr>
        <w:t>T</w:t>
      </w:r>
      <w:r>
        <w:rPr>
          <w:lang w:val="sv-SE"/>
        </w:rPr>
        <w:t xml:space="preserve"> – </w:t>
      </w:r>
      <w:r>
        <w:rPr>
          <w:i/>
          <w:iCs/>
          <w:lang w:val="sv-SE"/>
        </w:rPr>
        <w:t>L</w:t>
      </w:r>
      <w:r>
        <w:rPr>
          <w:i/>
          <w:iCs/>
          <w:sz w:val="28"/>
          <w:vertAlign w:val="subscript"/>
          <w:lang w:val="en-US"/>
        </w:rPr>
        <w:t>R</w:t>
      </w:r>
      <w:r>
        <w:rPr>
          <w:lang w:val="sv-SE"/>
        </w:rPr>
        <w:t xml:space="preserve"> – </w:t>
      </w:r>
      <w:r>
        <w:rPr>
          <w:i/>
          <w:iCs/>
          <w:lang w:val="sv-SE"/>
        </w:rPr>
        <w:t>L</w:t>
      </w:r>
      <w:r>
        <w:rPr>
          <w:i/>
          <w:iCs/>
          <w:sz w:val="28"/>
          <w:vertAlign w:val="subscript"/>
          <w:lang w:val="en-US"/>
        </w:rPr>
        <w:t>P</w:t>
      </w:r>
      <w:r>
        <w:rPr>
          <w:lang w:val="sv-SE"/>
        </w:rPr>
        <w:t xml:space="preserve"> – </w:t>
      </w:r>
      <w:r>
        <w:rPr>
          <w:i/>
          <w:iCs/>
          <w:lang w:val="sv-SE"/>
        </w:rPr>
        <w:t>FDR</w:t>
      </w:r>
      <w:r>
        <w:rPr>
          <w:i/>
          <w:iCs/>
          <w:sz w:val="28"/>
          <w:vertAlign w:val="subscript"/>
          <w:lang w:val="en-US"/>
        </w:rPr>
        <w:t>IF</w:t>
      </w:r>
      <w:r>
        <w:rPr>
          <w:lang w:val="sv-SE"/>
        </w:rPr>
        <w:tab/>
        <w:t>(6)</w:t>
      </w:r>
    </w:p>
    <w:p w:rsidR="00BA4BD1" w:rsidRDefault="00BA4BD1" w:rsidP="00425A80">
      <w:pPr>
        <w:pStyle w:val="Blanc"/>
      </w:pPr>
    </w:p>
    <w:p w:rsidR="00201D3C" w:rsidRDefault="00201D3C" w:rsidP="00425A80">
      <w:pPr>
        <w:rPr>
          <w:lang w:val="fr-CH"/>
        </w:rPr>
      </w:pPr>
      <w:proofErr w:type="gramStart"/>
      <w:r>
        <w:rPr>
          <w:lang w:val="fr-CH"/>
        </w:rPr>
        <w:t>où</w:t>
      </w:r>
      <w:proofErr w:type="gramEnd"/>
      <w:r>
        <w:rPr>
          <w:lang w:val="fr-CH"/>
        </w:rPr>
        <w:t>:</w:t>
      </w:r>
    </w:p>
    <w:p w:rsidR="00201D3C" w:rsidRDefault="00201D3C" w:rsidP="00425A80">
      <w:pPr>
        <w:pStyle w:val="Equationlegend"/>
        <w:rPr>
          <w:lang w:val="fr-CH"/>
        </w:rPr>
      </w:pPr>
      <w:r>
        <w:rPr>
          <w:lang w:val="fr-CH"/>
        </w:rPr>
        <w:tab/>
      </w:r>
      <w:r>
        <w:rPr>
          <w:i/>
          <w:iCs/>
          <w:lang w:val="fr-CH"/>
        </w:rPr>
        <w:t>I</w:t>
      </w:r>
      <w:r>
        <w:rPr>
          <w:rFonts w:ascii="Tms Rmn" w:hAnsi="Tms Rmn"/>
          <w:sz w:val="12"/>
          <w:lang w:val="fr-CH"/>
        </w:rPr>
        <w:t> </w:t>
      </w:r>
      <w:r>
        <w:rPr>
          <w:lang w:val="fr-CH"/>
        </w:rPr>
        <w:t>:</w:t>
      </w:r>
      <w:r>
        <w:rPr>
          <w:lang w:val="fr-CH"/>
        </w:rPr>
        <w:tab/>
        <w:t>puissance de crête des impulsions radar à l'entrée du récepteur (dBm)</w:t>
      </w:r>
    </w:p>
    <w:p w:rsidR="00201D3C" w:rsidRDefault="00201D3C" w:rsidP="00425A80">
      <w:pPr>
        <w:pStyle w:val="Equationlegend"/>
        <w:rPr>
          <w:lang w:val="fr-CH"/>
        </w:rPr>
      </w:pPr>
      <w:r>
        <w:rPr>
          <w:lang w:val="fr-CH"/>
        </w:rPr>
        <w:tab/>
      </w:r>
      <w:r>
        <w:rPr>
          <w:i/>
          <w:iCs/>
          <w:lang w:val="fr-CH"/>
        </w:rPr>
        <w:t>P</w:t>
      </w:r>
      <w:r w:rsidRPr="004E484D">
        <w:rPr>
          <w:i/>
          <w:iCs/>
          <w:vertAlign w:val="subscript"/>
          <w:lang w:val="fr-CH"/>
        </w:rPr>
        <w:t>T</w:t>
      </w:r>
      <w:r>
        <w:rPr>
          <w:rFonts w:ascii="Tms Rmn" w:hAnsi="Tms Rmn"/>
          <w:sz w:val="12"/>
          <w:lang w:val="fr-CH"/>
        </w:rPr>
        <w:t> </w:t>
      </w:r>
      <w:r>
        <w:rPr>
          <w:lang w:val="fr-CH"/>
        </w:rPr>
        <w:t xml:space="preserve">: </w:t>
      </w:r>
      <w:r>
        <w:rPr>
          <w:lang w:val="fr-CH"/>
        </w:rPr>
        <w:tab/>
        <w:t>puissance de crête de l'émetteur radar analysé (dBm)</w:t>
      </w:r>
    </w:p>
    <w:p w:rsidR="00201D3C" w:rsidRDefault="00201D3C" w:rsidP="00425A80">
      <w:pPr>
        <w:pStyle w:val="Equationlegend"/>
        <w:rPr>
          <w:lang w:val="fr-CH"/>
        </w:rPr>
      </w:pPr>
      <w:r>
        <w:rPr>
          <w:lang w:val="fr-CH"/>
        </w:rPr>
        <w:tab/>
      </w:r>
      <w:r>
        <w:rPr>
          <w:i/>
          <w:iCs/>
          <w:lang w:val="fr-CH"/>
        </w:rPr>
        <w:t>G</w:t>
      </w:r>
      <w:r w:rsidRPr="004E484D">
        <w:rPr>
          <w:i/>
          <w:iCs/>
          <w:vertAlign w:val="subscript"/>
          <w:lang w:val="fr-CH"/>
        </w:rPr>
        <w:t>T</w:t>
      </w:r>
      <w:r>
        <w:rPr>
          <w:rFonts w:ascii="Tms Rmn" w:hAnsi="Tms Rmn"/>
          <w:sz w:val="12"/>
          <w:lang w:val="fr-CH"/>
        </w:rPr>
        <w:t> </w:t>
      </w:r>
      <w:r>
        <w:rPr>
          <w:lang w:val="fr-CH"/>
        </w:rPr>
        <w:t xml:space="preserve">: </w:t>
      </w:r>
      <w:r>
        <w:rPr>
          <w:lang w:val="fr-CH"/>
        </w:rPr>
        <w:tab/>
        <w:t>gain d'antenne dans le faisceau principal du radar (voir la Note 2) (dBi)</w:t>
      </w:r>
    </w:p>
    <w:p w:rsidR="00201D3C" w:rsidRDefault="00201D3C" w:rsidP="00425A80">
      <w:pPr>
        <w:pStyle w:val="Equationlegend"/>
        <w:rPr>
          <w:lang w:val="fr-CH"/>
        </w:rPr>
      </w:pPr>
      <w:r>
        <w:rPr>
          <w:lang w:val="fr-CH"/>
        </w:rPr>
        <w:tab/>
      </w:r>
      <w:r>
        <w:rPr>
          <w:i/>
          <w:iCs/>
          <w:lang w:val="fr-CH"/>
        </w:rPr>
        <w:t>G</w:t>
      </w:r>
      <w:r w:rsidRPr="004E484D">
        <w:rPr>
          <w:i/>
          <w:iCs/>
          <w:vertAlign w:val="subscript"/>
          <w:lang w:val="fr-CH"/>
        </w:rPr>
        <w:t>R</w:t>
      </w:r>
      <w:r>
        <w:rPr>
          <w:rFonts w:ascii="Tms Rmn" w:hAnsi="Tms Rmn"/>
          <w:sz w:val="12"/>
          <w:lang w:val="fr-CH"/>
        </w:rPr>
        <w:t> </w:t>
      </w:r>
      <w:r>
        <w:rPr>
          <w:lang w:val="fr-CH"/>
        </w:rPr>
        <w:t xml:space="preserve">: </w:t>
      </w:r>
      <w:r>
        <w:rPr>
          <w:lang w:val="fr-CH"/>
        </w:rPr>
        <w:tab/>
        <w:t>gain de l'antenne de réception dans la direction de la station radar analysée (dBi)</w:t>
      </w:r>
    </w:p>
    <w:p w:rsidR="00201D3C" w:rsidRDefault="00201D3C" w:rsidP="00425A80">
      <w:pPr>
        <w:pStyle w:val="Equationlegend"/>
        <w:rPr>
          <w:lang w:val="fr-CH"/>
        </w:rPr>
      </w:pPr>
      <w:r>
        <w:rPr>
          <w:lang w:val="fr-CH"/>
        </w:rPr>
        <w:tab/>
      </w:r>
      <w:r>
        <w:rPr>
          <w:i/>
          <w:iCs/>
          <w:lang w:val="fr-CH"/>
        </w:rPr>
        <w:t>L</w:t>
      </w:r>
      <w:r w:rsidRPr="004E484D">
        <w:rPr>
          <w:i/>
          <w:iCs/>
          <w:vertAlign w:val="subscript"/>
          <w:lang w:val="fr-CH"/>
        </w:rPr>
        <w:t>T</w:t>
      </w:r>
      <w:r>
        <w:rPr>
          <w:rFonts w:ascii="Tms Rmn" w:hAnsi="Tms Rmn"/>
          <w:sz w:val="12"/>
          <w:lang w:val="fr-CH"/>
        </w:rPr>
        <w:t> </w:t>
      </w:r>
      <w:r>
        <w:rPr>
          <w:lang w:val="fr-CH"/>
        </w:rPr>
        <w:t xml:space="preserve">: </w:t>
      </w:r>
      <w:r>
        <w:rPr>
          <w:lang w:val="fr-CH"/>
        </w:rPr>
        <w:tab/>
        <w:t>affaiblissement d'insertion dans l'émetteur de la station radar (dB)</w:t>
      </w:r>
    </w:p>
    <w:p w:rsidR="00201D3C" w:rsidRDefault="00201D3C" w:rsidP="00425A80">
      <w:pPr>
        <w:pStyle w:val="Equationlegend"/>
        <w:rPr>
          <w:lang w:val="fr-CH"/>
        </w:rPr>
      </w:pPr>
      <w:r>
        <w:rPr>
          <w:lang w:val="fr-CH"/>
        </w:rPr>
        <w:tab/>
      </w:r>
      <w:r>
        <w:rPr>
          <w:i/>
          <w:iCs/>
          <w:lang w:val="fr-CH"/>
        </w:rPr>
        <w:t>L</w:t>
      </w:r>
      <w:r w:rsidRPr="004E484D">
        <w:rPr>
          <w:i/>
          <w:iCs/>
          <w:vertAlign w:val="subscript"/>
          <w:lang w:val="fr-CH"/>
        </w:rPr>
        <w:t>R</w:t>
      </w:r>
      <w:r>
        <w:rPr>
          <w:rFonts w:ascii="Tms Rmn" w:hAnsi="Tms Rmn"/>
          <w:sz w:val="12"/>
          <w:lang w:val="fr-CH"/>
        </w:rPr>
        <w:t> </w:t>
      </w:r>
      <w:r>
        <w:rPr>
          <w:lang w:val="fr-CH"/>
        </w:rPr>
        <w:t xml:space="preserve">: </w:t>
      </w:r>
      <w:r>
        <w:rPr>
          <w:lang w:val="fr-CH"/>
        </w:rPr>
        <w:tab/>
        <w:t>affaiblissement d'insertion dans le récepteur victime (dB)</w:t>
      </w:r>
    </w:p>
    <w:p w:rsidR="00201D3C" w:rsidRDefault="00201D3C" w:rsidP="00425A80">
      <w:pPr>
        <w:pStyle w:val="Equationlegend"/>
        <w:rPr>
          <w:lang w:val="fr-CH"/>
        </w:rPr>
      </w:pPr>
      <w:r>
        <w:rPr>
          <w:lang w:val="fr-CH"/>
        </w:rPr>
        <w:tab/>
      </w:r>
      <w:r>
        <w:rPr>
          <w:i/>
          <w:iCs/>
          <w:lang w:val="fr-CH"/>
        </w:rPr>
        <w:t>L</w:t>
      </w:r>
      <w:r w:rsidRPr="004E484D">
        <w:rPr>
          <w:i/>
          <w:iCs/>
          <w:vertAlign w:val="subscript"/>
          <w:lang w:val="fr-CH"/>
        </w:rPr>
        <w:t>P</w:t>
      </w:r>
      <w:r>
        <w:rPr>
          <w:rFonts w:ascii="Tms Rmn" w:hAnsi="Tms Rmn"/>
          <w:sz w:val="12"/>
          <w:lang w:val="fr-CH"/>
        </w:rPr>
        <w:t> </w:t>
      </w:r>
      <w:r>
        <w:rPr>
          <w:lang w:val="fr-CH"/>
        </w:rPr>
        <w:t>:</w:t>
      </w:r>
      <w:r>
        <w:rPr>
          <w:lang w:val="fr-CH"/>
        </w:rPr>
        <w:tab/>
        <w:t>affaiblissement de propagation entre l'antenne d'émission et l'antenne de réception (dB)</w:t>
      </w:r>
    </w:p>
    <w:p w:rsidR="00201D3C" w:rsidRDefault="00201D3C" w:rsidP="00425A80">
      <w:pPr>
        <w:pStyle w:val="Equationlegend"/>
        <w:rPr>
          <w:lang w:val="fr-CH"/>
        </w:rPr>
      </w:pPr>
      <w:r>
        <w:rPr>
          <w:lang w:val="fr-CH"/>
        </w:rPr>
        <w:tab/>
      </w:r>
      <w:r>
        <w:rPr>
          <w:i/>
          <w:iCs/>
          <w:lang w:val="fr-CH"/>
        </w:rPr>
        <w:t>FDR</w:t>
      </w:r>
      <w:r w:rsidRPr="001D57A9">
        <w:rPr>
          <w:i/>
          <w:iCs/>
          <w:vertAlign w:val="subscript"/>
          <w:lang w:val="fr-FR"/>
        </w:rPr>
        <w:t>IF</w:t>
      </w:r>
      <w:r>
        <w:rPr>
          <w:rFonts w:ascii="Tms Rmn" w:hAnsi="Tms Rmn"/>
          <w:sz w:val="12"/>
          <w:lang w:val="fr-CH"/>
        </w:rPr>
        <w:t> </w:t>
      </w:r>
      <w:r>
        <w:rPr>
          <w:lang w:val="fr-CH"/>
        </w:rPr>
        <w:t>:</w:t>
      </w:r>
      <w:r>
        <w:rPr>
          <w:lang w:val="fr-CH"/>
        </w:rPr>
        <w:tab/>
        <w:t xml:space="preserve">rejet dépendant </w:t>
      </w:r>
      <w:proofErr w:type="gramStart"/>
      <w:r>
        <w:rPr>
          <w:lang w:val="fr-CH"/>
        </w:rPr>
        <w:t>de la fréquence provoqué</w:t>
      </w:r>
      <w:proofErr w:type="gramEnd"/>
      <w:r>
        <w:rPr>
          <w:lang w:val="fr-CH"/>
        </w:rPr>
        <w:t xml:space="preserve"> par la courbe de sélectivité FI du récepteur sur le spectre d'émission brouilleur (dB).</w:t>
      </w:r>
    </w:p>
    <w:p w:rsidR="00201D3C" w:rsidRDefault="00201D3C" w:rsidP="00425A80">
      <w:pPr>
        <w:pStyle w:val="Note"/>
      </w:pPr>
      <w:r>
        <w:t>NOTE 2 – Des cas de brouillage par des émissions radar causant une dégradation à la réception par couplage des lobes principaux ont été signalés. Il est donc recommandé d'utiliser le gain de lobes principaux du radar pour évaluer le risque maximum de brouillage causé par les émissions radar dans la bande FI du récepteur.</w:t>
      </w:r>
    </w:p>
    <w:p w:rsidR="00201D3C" w:rsidRDefault="00201D3C" w:rsidP="00425A80">
      <w:pPr>
        <w:rPr>
          <w:lang w:val="fr-CH"/>
        </w:rPr>
      </w:pPr>
      <w:r>
        <w:rPr>
          <w:lang w:val="fr-CH"/>
        </w:rPr>
        <w:t>La valeur FDR à utiliser dans l'équation (6) peut être calculée grâce à la Recommandation UIT</w:t>
      </w:r>
      <w:r>
        <w:rPr>
          <w:lang w:val="fr-CH"/>
        </w:rPr>
        <w:noBreakHyphen/>
        <w:t xml:space="preserve">R SM.337. La caractéristique FDR peut être divisée en deux termes, le rejet à la fréquence d'accord (OTR, </w:t>
      </w:r>
      <w:r>
        <w:rPr>
          <w:i/>
          <w:iCs/>
          <w:lang w:val="fr-CH"/>
        </w:rPr>
        <w:t>on-tune rejection</w:t>
      </w:r>
      <w:r>
        <w:rPr>
          <w:lang w:val="fr-CH"/>
        </w:rPr>
        <w:t xml:space="preserve">) et le rejet hors fréquence (OFR, </w:t>
      </w:r>
      <w:r>
        <w:rPr>
          <w:i/>
          <w:iCs/>
          <w:lang w:val="fr-CH"/>
        </w:rPr>
        <w:t>off-frequency rejection</w:t>
      </w:r>
      <w:r>
        <w:rPr>
          <w:lang w:val="fr-CH"/>
        </w:rPr>
        <w:t>) qui est le rejet supplémentaire résultant du désaccord entre le radar et le récepteur.</w:t>
      </w:r>
    </w:p>
    <w:p w:rsidR="00BA4BD1" w:rsidRPr="004E484D" w:rsidRDefault="00BA4BD1" w:rsidP="00425A80">
      <w:pPr>
        <w:pStyle w:val="Blanc"/>
        <w:rPr>
          <w:lang w:val="fr-CH"/>
        </w:rPr>
      </w:pPr>
    </w:p>
    <w:p w:rsidR="00201D3C" w:rsidRDefault="00201D3C" w:rsidP="00425A80">
      <w:pPr>
        <w:pStyle w:val="Equation"/>
        <w:rPr>
          <w:lang w:val="fr-CH"/>
        </w:rPr>
      </w:pPr>
      <w:r w:rsidRPr="00E00205">
        <w:tab/>
      </w:r>
      <w:r w:rsidRPr="00E00205">
        <w:tab/>
      </w:r>
      <w:r>
        <w:rPr>
          <w:position w:val="-10"/>
          <w:lang w:val="en-US"/>
        </w:rPr>
        <w:object w:dxaOrig="3120" w:dyaOrig="340">
          <v:shape id="_x0000_i1026" type="#_x0000_t75" style="width:155.8pt;height:17.75pt" o:ole="">
            <v:imagedata r:id="rId16" o:title=""/>
          </v:shape>
          <o:OLEObject Type="Embed" ProgID="Equation.3" ShapeID="_x0000_i1026" DrawAspect="Content" ObjectID="_1591161448" r:id="rId17"/>
        </w:object>
      </w:r>
      <w:r>
        <w:rPr>
          <w:lang w:val="fr-CH"/>
        </w:rPr>
        <w:tab/>
        <w:t>(7)</w:t>
      </w:r>
    </w:p>
    <w:p w:rsidR="00BA4BD1" w:rsidRPr="004E484D" w:rsidRDefault="00BA4BD1" w:rsidP="00425A80">
      <w:pPr>
        <w:pStyle w:val="Blanc"/>
        <w:rPr>
          <w:lang w:val="fr-CH"/>
        </w:rPr>
      </w:pPr>
    </w:p>
    <w:p w:rsidR="00201D3C" w:rsidRDefault="00201D3C" w:rsidP="00425A80">
      <w:pPr>
        <w:rPr>
          <w:lang w:val="fr-CH"/>
        </w:rPr>
      </w:pPr>
      <w:r>
        <w:rPr>
          <w:lang w:val="fr-CH"/>
        </w:rPr>
        <w:t>En cas de signaux à impulsions en ondes entretenues et de signaux à impulsions codées en phase, le facteur de rejet à la fréquence d'accord est donné par la formule:</w:t>
      </w:r>
    </w:p>
    <w:p w:rsidR="00201D3C" w:rsidRDefault="00201D3C" w:rsidP="00425A80">
      <w:pPr>
        <w:pStyle w:val="Equation"/>
        <w:tabs>
          <w:tab w:val="left" w:pos="3420"/>
          <w:tab w:val="left" w:pos="5580"/>
        </w:tabs>
        <w:rPr>
          <w:lang w:val="fr-CH"/>
        </w:rPr>
      </w:pPr>
      <w:r>
        <w:rPr>
          <w:lang w:val="fr-CH"/>
        </w:rPr>
        <w:tab/>
      </w:r>
      <w:r>
        <w:rPr>
          <w:lang w:val="fr-CH"/>
        </w:rPr>
        <w:tab/>
      </w:r>
      <w:r>
        <w:rPr>
          <w:i/>
          <w:iCs/>
          <w:lang w:val="fr-CH"/>
        </w:rPr>
        <w:t>OTR</w:t>
      </w:r>
      <w:r>
        <w:rPr>
          <w:lang w:val="fr-CH"/>
        </w:rPr>
        <w:t xml:space="preserve"> </w:t>
      </w:r>
      <w:r>
        <w:rPr>
          <w:rFonts w:ascii="Symbol" w:hAnsi="Symbol"/>
          <w:lang w:val="fr-CH"/>
        </w:rPr>
        <w:t></w:t>
      </w:r>
      <w:r>
        <w:rPr>
          <w:lang w:val="fr-CH"/>
        </w:rPr>
        <w:t xml:space="preserve"> 0</w:t>
      </w:r>
      <w:r>
        <w:rPr>
          <w:lang w:val="fr-CH"/>
        </w:rPr>
        <w:tab/>
      </w:r>
      <w:r>
        <w:rPr>
          <w:lang w:val="fr-CH"/>
        </w:rPr>
        <w:tab/>
        <w:t xml:space="preserve">pour </w:t>
      </w:r>
      <w:r>
        <w:rPr>
          <w:i/>
          <w:iCs/>
          <w:lang w:val="fr-CH"/>
        </w:rPr>
        <w:t>B</w:t>
      </w:r>
      <w:r>
        <w:rPr>
          <w:i/>
          <w:iCs/>
          <w:sz w:val="28"/>
          <w:vertAlign w:val="subscript"/>
        </w:rPr>
        <w:t>R</w:t>
      </w:r>
      <w:r>
        <w:rPr>
          <w:lang w:val="fr-CH"/>
        </w:rPr>
        <w:t xml:space="preserve"> </w:t>
      </w:r>
      <w:r>
        <w:rPr>
          <w:rFonts w:ascii="Symbol" w:hAnsi="Symbol"/>
          <w:lang w:val="fr-CH"/>
        </w:rPr>
        <w:sym w:font="Symbol" w:char="F0B3"/>
      </w:r>
      <w:r>
        <w:rPr>
          <w:lang w:val="fr-CH"/>
        </w:rPr>
        <w:t xml:space="preserve"> </w:t>
      </w:r>
      <w:r>
        <w:rPr>
          <w:i/>
          <w:iCs/>
          <w:lang w:val="fr-CH"/>
        </w:rPr>
        <w:t>B</w:t>
      </w:r>
      <w:r>
        <w:rPr>
          <w:i/>
          <w:iCs/>
          <w:sz w:val="28"/>
          <w:vertAlign w:val="subscript"/>
        </w:rPr>
        <w:t>T</w:t>
      </w:r>
      <w:r>
        <w:rPr>
          <w:lang w:val="fr-CH"/>
        </w:rPr>
        <w:tab/>
        <w:t>(8)</w:t>
      </w:r>
    </w:p>
    <w:p w:rsidR="00201D3C" w:rsidRDefault="00201D3C" w:rsidP="00425A80">
      <w:pPr>
        <w:pStyle w:val="Equation"/>
        <w:tabs>
          <w:tab w:val="left" w:pos="2700"/>
          <w:tab w:val="left" w:pos="5580"/>
        </w:tabs>
        <w:rPr>
          <w:lang w:val="fr-CH"/>
        </w:rPr>
      </w:pPr>
      <w:r>
        <w:rPr>
          <w:lang w:val="fr-CH"/>
        </w:rPr>
        <w:tab/>
      </w:r>
      <w:r>
        <w:rPr>
          <w:lang w:val="fr-CH"/>
        </w:rPr>
        <w:tab/>
      </w:r>
      <w:r>
        <w:rPr>
          <w:i/>
          <w:iCs/>
          <w:lang w:val="fr-CH"/>
        </w:rPr>
        <w:t>OTR</w:t>
      </w:r>
      <w:r>
        <w:rPr>
          <w:lang w:val="fr-CH"/>
        </w:rPr>
        <w:t xml:space="preserve"> </w:t>
      </w:r>
      <w:r>
        <w:rPr>
          <w:rFonts w:ascii="Symbol" w:hAnsi="Symbol"/>
          <w:lang w:val="fr-CH"/>
        </w:rPr>
        <w:t></w:t>
      </w:r>
      <w:r>
        <w:rPr>
          <w:lang w:val="fr-CH"/>
        </w:rPr>
        <w:t xml:space="preserve"> 20 log (</w:t>
      </w:r>
      <w:r>
        <w:rPr>
          <w:i/>
          <w:iCs/>
          <w:lang w:val="fr-CH"/>
        </w:rPr>
        <w:t>B</w:t>
      </w:r>
      <w:r>
        <w:rPr>
          <w:i/>
          <w:iCs/>
          <w:vertAlign w:val="subscript"/>
        </w:rPr>
        <w:t>T</w:t>
      </w:r>
      <w:r>
        <w:t xml:space="preserve"> </w:t>
      </w:r>
      <w:r>
        <w:rPr>
          <w:lang w:val="fr-CH"/>
        </w:rPr>
        <w:t xml:space="preserve">/ </w:t>
      </w:r>
      <w:r>
        <w:rPr>
          <w:i/>
          <w:iCs/>
          <w:lang w:val="fr-CH"/>
        </w:rPr>
        <w:t>B</w:t>
      </w:r>
      <w:r>
        <w:rPr>
          <w:i/>
          <w:iCs/>
          <w:vertAlign w:val="subscript"/>
        </w:rPr>
        <w:t>R</w:t>
      </w:r>
      <w:r>
        <w:rPr>
          <w:lang w:val="fr-CH"/>
        </w:rPr>
        <w:t>)</w:t>
      </w:r>
      <w:r>
        <w:rPr>
          <w:lang w:val="fr-CH"/>
        </w:rPr>
        <w:tab/>
        <w:t xml:space="preserve">pour </w:t>
      </w:r>
      <w:r>
        <w:rPr>
          <w:i/>
          <w:iCs/>
          <w:lang w:val="fr-CH"/>
        </w:rPr>
        <w:t>B</w:t>
      </w:r>
      <w:r>
        <w:rPr>
          <w:i/>
          <w:iCs/>
          <w:sz w:val="28"/>
          <w:vertAlign w:val="subscript"/>
        </w:rPr>
        <w:t>R</w:t>
      </w:r>
      <w:r>
        <w:rPr>
          <w:lang w:val="fr-CH"/>
        </w:rPr>
        <w:t xml:space="preserve"> </w:t>
      </w:r>
      <w:r>
        <w:rPr>
          <w:rFonts w:ascii="Symbol" w:hAnsi="Symbol"/>
          <w:lang w:val="fr-CH"/>
        </w:rPr>
        <w:t></w:t>
      </w:r>
      <w:r>
        <w:rPr>
          <w:lang w:val="fr-CH"/>
        </w:rPr>
        <w:t xml:space="preserve"> </w:t>
      </w:r>
      <w:r>
        <w:rPr>
          <w:i/>
          <w:iCs/>
          <w:lang w:val="fr-CH"/>
        </w:rPr>
        <w:t>B</w:t>
      </w:r>
      <w:r>
        <w:rPr>
          <w:i/>
          <w:iCs/>
          <w:sz w:val="28"/>
          <w:vertAlign w:val="subscript"/>
        </w:rPr>
        <w:t>T</w:t>
      </w:r>
      <w:r>
        <w:rPr>
          <w:lang w:val="fr-CH"/>
        </w:rPr>
        <w:tab/>
        <w:t>(9)</w:t>
      </w:r>
    </w:p>
    <w:p w:rsidR="00201D3C" w:rsidRDefault="00201D3C" w:rsidP="00425A80">
      <w:pPr>
        <w:rPr>
          <w:lang w:val="fr-CH"/>
        </w:rPr>
      </w:pPr>
      <w:proofErr w:type="gramStart"/>
      <w:r>
        <w:rPr>
          <w:lang w:val="fr-CH"/>
        </w:rPr>
        <w:t>où</w:t>
      </w:r>
      <w:proofErr w:type="gramEnd"/>
      <w:r>
        <w:rPr>
          <w:lang w:val="fr-CH"/>
        </w:rPr>
        <w:t xml:space="preserve">: </w:t>
      </w:r>
    </w:p>
    <w:p w:rsidR="00201D3C" w:rsidRDefault="00201D3C" w:rsidP="00425A80">
      <w:pPr>
        <w:pStyle w:val="Equationlegend"/>
        <w:rPr>
          <w:lang w:val="fr-CH"/>
        </w:rPr>
      </w:pPr>
      <w:r>
        <w:rPr>
          <w:lang w:val="fr-CH"/>
        </w:rPr>
        <w:tab/>
      </w:r>
      <w:r>
        <w:rPr>
          <w:i/>
          <w:iCs/>
          <w:lang w:val="fr-CH"/>
        </w:rPr>
        <w:t>B</w:t>
      </w:r>
      <w:r w:rsidRPr="004E484D">
        <w:rPr>
          <w:i/>
          <w:iCs/>
          <w:vertAlign w:val="subscript"/>
          <w:lang w:val="fr-CH"/>
        </w:rPr>
        <w:t>R</w:t>
      </w:r>
      <w:r>
        <w:rPr>
          <w:rFonts w:ascii="Tms Rmn" w:hAnsi="Tms Rmn"/>
          <w:sz w:val="12"/>
          <w:lang w:val="fr-CH"/>
        </w:rPr>
        <w:t> </w:t>
      </w:r>
      <w:r>
        <w:rPr>
          <w:lang w:val="fr-CH"/>
        </w:rPr>
        <w:t>:</w:t>
      </w:r>
      <w:r>
        <w:rPr>
          <w:lang w:val="fr-CH"/>
        </w:rPr>
        <w:tab/>
        <w:t>largeur de bande du récepteur à 3 dB (Hz)</w:t>
      </w:r>
    </w:p>
    <w:p w:rsidR="00201D3C" w:rsidRDefault="00201D3C" w:rsidP="00425A80">
      <w:pPr>
        <w:pStyle w:val="Equationlegend"/>
        <w:rPr>
          <w:lang w:val="fr-CH"/>
        </w:rPr>
      </w:pPr>
      <w:r>
        <w:rPr>
          <w:lang w:val="fr-CH"/>
        </w:rPr>
        <w:tab/>
      </w:r>
      <w:r>
        <w:rPr>
          <w:i/>
          <w:iCs/>
          <w:lang w:val="fr-CH"/>
        </w:rPr>
        <w:t>B</w:t>
      </w:r>
      <w:r w:rsidRPr="004E484D">
        <w:rPr>
          <w:i/>
          <w:iCs/>
          <w:vertAlign w:val="subscript"/>
          <w:lang w:val="fr-CH"/>
        </w:rPr>
        <w:t>T</w:t>
      </w:r>
      <w:r>
        <w:rPr>
          <w:rFonts w:ascii="Tms Rmn" w:hAnsi="Tms Rmn"/>
          <w:sz w:val="12"/>
          <w:lang w:val="fr-CH"/>
        </w:rPr>
        <w:t> </w:t>
      </w:r>
      <w:r>
        <w:rPr>
          <w:lang w:val="fr-CH"/>
        </w:rPr>
        <w:t>:</w:t>
      </w:r>
      <w:r>
        <w:rPr>
          <w:lang w:val="fr-CH"/>
        </w:rPr>
        <w:tab/>
        <w:t>largeur de bande de l'émetteur à 3 dB (Hz).</w:t>
      </w:r>
    </w:p>
    <w:p w:rsidR="00201D3C" w:rsidRDefault="00201D3C" w:rsidP="00425A80">
      <w:pPr>
        <w:rPr>
          <w:lang w:val="fr-CH"/>
        </w:rPr>
      </w:pPr>
      <w:r>
        <w:rPr>
          <w:lang w:val="fr-CH"/>
        </w:rPr>
        <w:t>Dans le cas de signaux à impulsions modulées en fréquence, le facteur de rejet à la fréquence d'accord est donné par la formule:</w:t>
      </w:r>
    </w:p>
    <w:p w:rsidR="00201D3C" w:rsidRDefault="00201D3C" w:rsidP="00425A80">
      <w:pPr>
        <w:pStyle w:val="Equation"/>
        <w:tabs>
          <w:tab w:val="left" w:pos="3420"/>
          <w:tab w:val="left" w:pos="5580"/>
        </w:tabs>
        <w:rPr>
          <w:lang w:val="fr-CH"/>
        </w:rPr>
      </w:pPr>
      <w:r>
        <w:tab/>
      </w:r>
      <w:r>
        <w:tab/>
      </w:r>
      <w:r>
        <w:rPr>
          <w:i/>
          <w:lang w:val="fr-CH"/>
        </w:rPr>
        <w:t>OTR</w:t>
      </w:r>
      <w:r>
        <w:rPr>
          <w:lang w:val="fr-CH"/>
        </w:rPr>
        <w:t xml:space="preserve"> </w:t>
      </w:r>
      <w:r>
        <w:sym w:font="Symbol" w:char="F03D"/>
      </w:r>
      <w:r>
        <w:rPr>
          <w:lang w:val="fr-CH"/>
        </w:rPr>
        <w:t xml:space="preserve"> 0</w:t>
      </w:r>
      <w:r>
        <w:rPr>
          <w:lang w:val="fr-CH"/>
        </w:rPr>
        <w:tab/>
      </w:r>
      <w:r>
        <w:rPr>
          <w:lang w:val="fr-CH"/>
        </w:rPr>
        <w:tab/>
        <w:t xml:space="preserve">pour </w:t>
      </w:r>
      <w:r>
        <w:rPr>
          <w:i/>
          <w:lang w:val="fr-CH"/>
        </w:rPr>
        <w:t>B</w:t>
      </w:r>
      <w:r>
        <w:rPr>
          <w:i/>
          <w:iCs/>
          <w:sz w:val="28"/>
          <w:vertAlign w:val="subscript"/>
        </w:rPr>
        <w:t>C</w:t>
      </w:r>
      <w:r>
        <w:rPr>
          <w:lang w:val="fr-CH"/>
        </w:rPr>
        <w:t xml:space="preserve"> / (</w:t>
      </w:r>
      <w:r>
        <w:rPr>
          <w:i/>
          <w:lang w:val="fr-CH"/>
        </w:rPr>
        <w:t>B</w:t>
      </w:r>
      <w:r>
        <w:rPr>
          <w:i/>
          <w:iCs/>
          <w:sz w:val="28"/>
          <w:vertAlign w:val="subscript"/>
        </w:rPr>
        <w:t>R</w:t>
      </w:r>
      <w:r>
        <w:rPr>
          <w:sz w:val="28"/>
          <w:vertAlign w:val="superscript"/>
        </w:rPr>
        <w:t>2</w:t>
      </w:r>
      <w:r>
        <w:rPr>
          <w:lang w:val="fr-CH"/>
        </w:rPr>
        <w:t xml:space="preserve"> </w:t>
      </w:r>
      <w:r>
        <w:rPr>
          <w:i/>
          <w:lang w:val="fr-CH"/>
        </w:rPr>
        <w:t>T</w:t>
      </w:r>
      <w:r>
        <w:rPr>
          <w:lang w:val="fr-CH"/>
        </w:rPr>
        <w:t xml:space="preserve">) </w:t>
      </w:r>
      <w:r>
        <w:sym w:font="Symbol" w:char="F0A3"/>
      </w:r>
      <w:r>
        <w:rPr>
          <w:lang w:val="fr-CH"/>
        </w:rPr>
        <w:t xml:space="preserve"> 1</w:t>
      </w:r>
      <w:r>
        <w:rPr>
          <w:lang w:val="fr-CH"/>
        </w:rPr>
        <w:tab/>
        <w:t>(10)</w:t>
      </w:r>
    </w:p>
    <w:p w:rsidR="00201D3C" w:rsidRDefault="00201D3C" w:rsidP="00425A80">
      <w:pPr>
        <w:pStyle w:val="Equation"/>
        <w:tabs>
          <w:tab w:val="left" w:pos="2340"/>
          <w:tab w:val="left" w:pos="5580"/>
        </w:tabs>
        <w:rPr>
          <w:lang w:val="fr-CH"/>
        </w:rPr>
      </w:pPr>
      <w:r>
        <w:rPr>
          <w:lang w:val="fr-CH"/>
        </w:rPr>
        <w:tab/>
      </w:r>
      <w:r>
        <w:rPr>
          <w:lang w:val="fr-CH"/>
        </w:rPr>
        <w:tab/>
      </w:r>
      <w:r>
        <w:rPr>
          <w:i/>
          <w:lang w:val="fr-CH"/>
        </w:rPr>
        <w:t>OTR</w:t>
      </w:r>
      <w:r>
        <w:rPr>
          <w:lang w:val="fr-CH"/>
        </w:rPr>
        <w:t xml:space="preserve"> </w:t>
      </w:r>
      <w:r>
        <w:sym w:font="Symbol" w:char="F03D"/>
      </w:r>
      <w:r>
        <w:rPr>
          <w:lang w:val="fr-CH"/>
        </w:rPr>
        <w:t xml:space="preserve"> 10 log (</w:t>
      </w:r>
      <w:r>
        <w:rPr>
          <w:i/>
          <w:lang w:val="fr-CH"/>
        </w:rPr>
        <w:t>B</w:t>
      </w:r>
      <w:r>
        <w:rPr>
          <w:i/>
          <w:iCs/>
          <w:sz w:val="28"/>
          <w:vertAlign w:val="subscript"/>
        </w:rPr>
        <w:t>C</w:t>
      </w:r>
      <w:r>
        <w:rPr>
          <w:lang w:val="fr-CH"/>
        </w:rPr>
        <w:t xml:space="preserve"> / (</w:t>
      </w:r>
      <w:r>
        <w:rPr>
          <w:i/>
          <w:lang w:val="fr-CH"/>
        </w:rPr>
        <w:t>B</w:t>
      </w:r>
      <w:r>
        <w:rPr>
          <w:i/>
          <w:iCs/>
          <w:sz w:val="28"/>
          <w:vertAlign w:val="subscript"/>
        </w:rPr>
        <w:t>R</w:t>
      </w:r>
      <w:r>
        <w:rPr>
          <w:sz w:val="28"/>
          <w:vertAlign w:val="superscript"/>
        </w:rPr>
        <w:t>2</w:t>
      </w:r>
      <w:r>
        <w:rPr>
          <w:lang w:val="fr-CH"/>
        </w:rPr>
        <w:t xml:space="preserve"> </w:t>
      </w:r>
      <w:r>
        <w:rPr>
          <w:i/>
          <w:lang w:val="fr-CH"/>
        </w:rPr>
        <w:t>T</w:t>
      </w:r>
      <w:r>
        <w:rPr>
          <w:lang w:val="fr-CH"/>
        </w:rPr>
        <w:t>))</w:t>
      </w:r>
      <w:r>
        <w:rPr>
          <w:lang w:val="fr-CH"/>
        </w:rPr>
        <w:tab/>
        <w:t xml:space="preserve">pour </w:t>
      </w:r>
      <w:r>
        <w:rPr>
          <w:i/>
          <w:lang w:val="fr-CH"/>
        </w:rPr>
        <w:t>B</w:t>
      </w:r>
      <w:r>
        <w:rPr>
          <w:i/>
          <w:iCs/>
          <w:sz w:val="28"/>
          <w:vertAlign w:val="subscript"/>
        </w:rPr>
        <w:t>C</w:t>
      </w:r>
      <w:r>
        <w:t xml:space="preserve"> </w:t>
      </w:r>
      <w:r>
        <w:rPr>
          <w:lang w:val="fr-CH"/>
        </w:rPr>
        <w:t>/ (</w:t>
      </w:r>
      <w:r>
        <w:rPr>
          <w:i/>
          <w:lang w:val="fr-CH"/>
        </w:rPr>
        <w:t>B</w:t>
      </w:r>
      <w:r>
        <w:rPr>
          <w:i/>
          <w:iCs/>
          <w:sz w:val="28"/>
          <w:vertAlign w:val="subscript"/>
        </w:rPr>
        <w:t>R</w:t>
      </w:r>
      <w:r>
        <w:rPr>
          <w:sz w:val="28"/>
          <w:vertAlign w:val="superscript"/>
        </w:rPr>
        <w:t>2</w:t>
      </w:r>
      <w:r>
        <w:rPr>
          <w:lang w:val="fr-CH"/>
        </w:rPr>
        <w:t xml:space="preserve"> </w:t>
      </w:r>
      <w:r>
        <w:rPr>
          <w:i/>
          <w:lang w:val="fr-CH"/>
        </w:rPr>
        <w:t>T</w:t>
      </w:r>
      <w:r>
        <w:rPr>
          <w:lang w:val="fr-CH"/>
        </w:rPr>
        <w:t xml:space="preserve">) </w:t>
      </w:r>
      <w:r>
        <w:t>&gt;</w:t>
      </w:r>
      <w:r>
        <w:rPr>
          <w:lang w:val="fr-CH"/>
        </w:rPr>
        <w:t xml:space="preserve"> 1</w:t>
      </w:r>
      <w:r>
        <w:rPr>
          <w:lang w:val="fr-CH"/>
        </w:rPr>
        <w:tab/>
        <w:t>(11)</w:t>
      </w:r>
    </w:p>
    <w:p w:rsidR="00201D3C" w:rsidRDefault="00201D3C" w:rsidP="00425A80">
      <w:pPr>
        <w:rPr>
          <w:lang w:val="fr-CH"/>
        </w:rPr>
      </w:pPr>
      <w:r>
        <w:rPr>
          <w:lang w:val="fr-CH"/>
        </w:rPr>
        <w:br w:type="page"/>
      </w:r>
      <w:proofErr w:type="gramStart"/>
      <w:r>
        <w:rPr>
          <w:lang w:val="fr-CH"/>
        </w:rPr>
        <w:lastRenderedPageBreak/>
        <w:t>où</w:t>
      </w:r>
      <w:proofErr w:type="gramEnd"/>
      <w:r>
        <w:rPr>
          <w:lang w:val="fr-CH"/>
        </w:rPr>
        <w:t>:</w:t>
      </w:r>
    </w:p>
    <w:p w:rsidR="00201D3C" w:rsidRDefault="00201D3C" w:rsidP="00425A80">
      <w:pPr>
        <w:pStyle w:val="Equationlegend"/>
        <w:rPr>
          <w:lang w:val="fr-CH"/>
        </w:rPr>
      </w:pPr>
      <w:r>
        <w:rPr>
          <w:lang w:val="fr-CH"/>
        </w:rPr>
        <w:tab/>
      </w:r>
      <w:r>
        <w:rPr>
          <w:i/>
          <w:iCs/>
          <w:lang w:val="fr-CH"/>
        </w:rPr>
        <w:t>T</w:t>
      </w:r>
      <w:r>
        <w:rPr>
          <w:rFonts w:ascii="Tms Rmn" w:hAnsi="Tms Rmn"/>
          <w:sz w:val="12"/>
          <w:lang w:val="fr-CH"/>
        </w:rPr>
        <w:t> </w:t>
      </w:r>
      <w:r>
        <w:rPr>
          <w:lang w:val="fr-CH"/>
        </w:rPr>
        <w:t>:</w:t>
      </w:r>
      <w:r>
        <w:rPr>
          <w:lang w:val="fr-CH"/>
        </w:rPr>
        <w:tab/>
        <w:t>largeur d'impulsion modulée en fréquence (s)</w:t>
      </w:r>
    </w:p>
    <w:p w:rsidR="00201D3C" w:rsidRDefault="00201D3C" w:rsidP="00425A80">
      <w:pPr>
        <w:pStyle w:val="Equationlegend"/>
        <w:rPr>
          <w:lang w:val="fr-CH"/>
        </w:rPr>
      </w:pPr>
      <w:r>
        <w:rPr>
          <w:lang w:val="fr-CH"/>
        </w:rPr>
        <w:tab/>
      </w:r>
      <w:r>
        <w:rPr>
          <w:i/>
          <w:iCs/>
          <w:lang w:val="fr-CH"/>
        </w:rPr>
        <w:t>B</w:t>
      </w:r>
      <w:r w:rsidRPr="004E484D">
        <w:rPr>
          <w:i/>
          <w:iCs/>
          <w:vertAlign w:val="subscript"/>
          <w:lang w:val="fr-CH"/>
        </w:rPr>
        <w:t>C</w:t>
      </w:r>
      <w:r>
        <w:rPr>
          <w:rFonts w:ascii="Tms Rmn" w:hAnsi="Tms Rmn"/>
          <w:sz w:val="12"/>
          <w:lang w:val="fr-CH"/>
        </w:rPr>
        <w:t> </w:t>
      </w:r>
      <w:r>
        <w:rPr>
          <w:lang w:val="fr-CH"/>
        </w:rPr>
        <w:t>:</w:t>
      </w:r>
      <w:r>
        <w:rPr>
          <w:lang w:val="fr-CH"/>
        </w:rPr>
        <w:tab/>
        <w:t xml:space="preserve">largeur de bande modulée de l'émetteur pendant la largeur d'impulsion, </w:t>
      </w:r>
      <w:r>
        <w:rPr>
          <w:i/>
          <w:iCs/>
          <w:lang w:val="fr-CH"/>
        </w:rPr>
        <w:t>T</w:t>
      </w:r>
      <w:r>
        <w:rPr>
          <w:lang w:val="fr-CH"/>
        </w:rPr>
        <w:t>, (Hz).</w:t>
      </w:r>
    </w:p>
    <w:p w:rsidR="00201D3C" w:rsidRDefault="00201D3C" w:rsidP="00425A80">
      <w:pPr>
        <w:rPr>
          <w:lang w:val="fr-CH"/>
        </w:rPr>
      </w:pPr>
      <w:r>
        <w:rPr>
          <w:lang w:val="fr-CH"/>
        </w:rPr>
        <w:t>Pour calculer le rejet hors fréquence, OFR, il faut connaître la réponse du récepteur en FI et les caractéristiques du spectre d'émission des radars. L'UIT-R a indiqué des méthodes pour calculer les caractéristiques du spectre des émissions des radars modulés en ondes entretenues et en fréquence. Si l'on ne dispose pas d'informations sur les caractéristiques de l'émetteur radar en termes de temps de montée et de descente, il faut calculer les enveloppes des émissions radar pour un temps nominal de montée et de descente de 0,1 </w:t>
      </w:r>
      <w:r>
        <w:rPr>
          <w:rFonts w:ascii="Symbol" w:hAnsi="Symbol"/>
          <w:lang w:val="fr-CH"/>
        </w:rPr>
        <w:sym w:font="Symbol" w:char="F06D"/>
      </w:r>
      <w:r>
        <w:rPr>
          <w:lang w:val="fr-CH"/>
        </w:rPr>
        <w:t>s. Les niveaux de rayonnements non essentiels émis par les émetteurs radar sont fonction du dispositif de sortie de l'émetteur. Les niveaux de rayonnements non essentiels représentatifs sont indiqués dans la Recommandation UIT-R M.1314 pour divers dispositifs de sortie radar. Etant donné la forte puissance d'émission et les forts gains d'antenne propres à de nombreux radars, il peut être nécessaire, pour assurer la compatibilité, de prévoir de grandes séparations en fréquence et des bandes de garde.</w:t>
      </w:r>
    </w:p>
    <w:p w:rsidR="00201D3C" w:rsidRDefault="00201D3C" w:rsidP="00425A80">
      <w:pPr>
        <w:rPr>
          <w:lang w:val="fr-CH"/>
        </w:rPr>
      </w:pPr>
      <w:r>
        <w:t xml:space="preserve">Pour calculer l'affaiblissement de propagation, il convient d'utiliser des modèles de propagation appropriés et éventuellement un couplage indirect en tenant compte des hauteurs d'antennes et du terrain, lorsqu'on le juge utile. Si la puissance de crête calculée des impulsions radar, à l'entrée du récepteur, </w:t>
      </w:r>
      <w:r>
        <w:rPr>
          <w:i/>
          <w:iCs/>
        </w:rPr>
        <w:t>I</w:t>
      </w:r>
      <w:r>
        <w:t xml:space="preserve">, dépasse le seuil de dégradation de la qualité de fonctionnement du récepteur, </w:t>
      </w:r>
      <w:r>
        <w:rPr>
          <w:i/>
          <w:iCs/>
        </w:rPr>
        <w:t>I</w:t>
      </w:r>
      <w:r>
        <w:rPr>
          <w:i/>
          <w:iCs/>
          <w:vertAlign w:val="subscript"/>
        </w:rPr>
        <w:t>T</w:t>
      </w:r>
      <w:r>
        <w:t>, il y a lieu de prendre les mesures nécessaires pour assurer la compatibilité.</w:t>
      </w:r>
    </w:p>
    <w:p w:rsidR="00201D3C" w:rsidRDefault="00201D3C" w:rsidP="00425A80">
      <w:pPr>
        <w:pStyle w:val="Heading1"/>
        <w:rPr>
          <w:lang w:val="fr-CH"/>
        </w:rPr>
      </w:pPr>
      <w:r>
        <w:rPr>
          <w:lang w:val="fr-CH"/>
        </w:rPr>
        <w:t>3</w:t>
      </w:r>
      <w:r>
        <w:rPr>
          <w:lang w:val="fr-CH"/>
        </w:rPr>
        <w:tab/>
        <w:t>Brouillage causé aux radars par des systèmes d'autres services</w:t>
      </w:r>
    </w:p>
    <w:p w:rsidR="00201D3C" w:rsidRDefault="00201D3C" w:rsidP="00425A80">
      <w:pPr>
        <w:pStyle w:val="Headingb"/>
        <w:rPr>
          <w:lang w:val="fr-CH"/>
        </w:rPr>
      </w:pPr>
      <w:r>
        <w:rPr>
          <w:lang w:val="fr-CH"/>
        </w:rPr>
        <w:t xml:space="preserve">Introduction </w:t>
      </w:r>
    </w:p>
    <w:p w:rsidR="00201D3C" w:rsidRDefault="00201D3C" w:rsidP="00425A80">
      <w:pPr>
        <w:rPr>
          <w:lang w:val="fr-CH"/>
        </w:rPr>
      </w:pPr>
      <w:r>
        <w:rPr>
          <w:lang w:val="fr-CH"/>
        </w:rPr>
        <w:t xml:space="preserve">Il existe deux principales situations de brouillage électromagnétique d'un système radar par des signaux brouilleurs provenant de systèmes d'autres services. La première est causée par une surcharge de l'étage d'entrée entraînant une saturation et la production de produits d'intermodulation. La seconde résulte des émissions brouilleuses dans la bande FI du récepteur qui causent une désensibilisation et une dégradation des performances se traduisant par une baisse générale des performances du radar. </w:t>
      </w:r>
    </w:p>
    <w:p w:rsidR="00201D3C" w:rsidRDefault="00201D3C" w:rsidP="00425A80">
      <w:pPr>
        <w:pStyle w:val="Heading2"/>
        <w:rPr>
          <w:lang w:val="fr-CH"/>
        </w:rPr>
      </w:pPr>
      <w:r>
        <w:rPr>
          <w:lang w:val="fr-CH"/>
        </w:rPr>
        <w:t>3.1</w:t>
      </w:r>
      <w:r>
        <w:rPr>
          <w:lang w:val="fr-CH"/>
        </w:rPr>
        <w:tab/>
        <w:t>Surcharge de l'étage d'entrée du récepteur</w:t>
      </w:r>
    </w:p>
    <w:p w:rsidR="00201D3C" w:rsidRDefault="00201D3C" w:rsidP="00425A80">
      <w:pPr>
        <w:pStyle w:val="Heading3"/>
        <w:rPr>
          <w:lang w:val="fr-CH"/>
        </w:rPr>
      </w:pPr>
      <w:r>
        <w:rPr>
          <w:lang w:val="fr-CH"/>
        </w:rPr>
        <w:t>3.1.1</w:t>
      </w:r>
      <w:r>
        <w:rPr>
          <w:lang w:val="fr-CH"/>
        </w:rPr>
        <w:tab/>
        <w:t>Saturation de l'étage d'entrée</w:t>
      </w:r>
    </w:p>
    <w:p w:rsidR="00201D3C" w:rsidRDefault="00201D3C" w:rsidP="00425A80">
      <w:pPr>
        <w:rPr>
          <w:lang w:val="fr-CH"/>
        </w:rPr>
      </w:pPr>
      <w:r>
        <w:rPr>
          <w:lang w:val="fr-CH"/>
        </w:rPr>
        <w:t xml:space="preserve">Cette situation de brouillage se produit lorsque de l'énergie d'un signal non souhaité sature l'AFB de l'étage d'entrée du récepteur radar, se traduisant par une compression du gain sur le signal utile suffisante pour dégrader les performances du récepteur. Le seuil auquel survient la surcharge de l'étage d'entrée est fonction du point de compression à 1 dB (saturation) et du gain de l'étage d'entrée du récepteur. Pour un récepteur radar ayant une largeur de bande RF d'entrée </w:t>
      </w:r>
      <w:r>
        <w:rPr>
          <w:i/>
          <w:iCs/>
          <w:lang w:val="fr-CH"/>
        </w:rPr>
        <w:t>B</w:t>
      </w:r>
      <w:r>
        <w:rPr>
          <w:i/>
          <w:iCs/>
          <w:vertAlign w:val="subscript"/>
          <w:lang w:val="fr-CH"/>
        </w:rPr>
        <w:t>RF</w:t>
      </w:r>
      <w:r>
        <w:rPr>
          <w:lang w:val="fr-CH"/>
        </w:rPr>
        <w:t xml:space="preserve"> et un point de compression à 1 dB d'entrée </w:t>
      </w:r>
      <w:r>
        <w:rPr>
          <w:i/>
          <w:iCs/>
          <w:lang w:val="fr-CH"/>
        </w:rPr>
        <w:t>P</w:t>
      </w:r>
      <w:r>
        <w:rPr>
          <w:vertAlign w:val="subscript"/>
        </w:rPr>
        <w:t xml:space="preserve">1 </w:t>
      </w:r>
      <w:r>
        <w:rPr>
          <w:vertAlign w:val="subscript"/>
          <w:lang w:val="fr-CH"/>
        </w:rPr>
        <w:t>dB</w:t>
      </w:r>
      <w:r>
        <w:rPr>
          <w:lang w:val="fr-CH"/>
        </w:rPr>
        <w:t xml:space="preserve"> (dBm), la puissance brouilleuse totale dans la largeur de bande </w:t>
      </w:r>
      <w:r>
        <w:rPr>
          <w:i/>
          <w:iCs/>
          <w:lang w:val="fr-CH"/>
        </w:rPr>
        <w:t>B</w:t>
      </w:r>
      <w:r>
        <w:rPr>
          <w:i/>
          <w:iCs/>
          <w:vertAlign w:val="subscript"/>
          <w:lang w:val="fr-CH"/>
        </w:rPr>
        <w:t>RF</w:t>
      </w:r>
      <w:r>
        <w:rPr>
          <w:lang w:val="fr-CH"/>
        </w:rPr>
        <w:t xml:space="preserve"> entrant dans le récepteur du radar ne doit pas dépasser:</w:t>
      </w:r>
    </w:p>
    <w:p w:rsidR="00BA4BD1" w:rsidRPr="004E484D" w:rsidRDefault="00BA4BD1" w:rsidP="00425A80">
      <w:pPr>
        <w:pStyle w:val="Blanc"/>
        <w:rPr>
          <w:lang w:val="fr-CH"/>
        </w:rPr>
      </w:pPr>
    </w:p>
    <w:p w:rsidR="00201D3C" w:rsidRPr="00383723" w:rsidRDefault="00201D3C" w:rsidP="00425A80">
      <w:pPr>
        <w:pStyle w:val="Equation"/>
        <w:tabs>
          <w:tab w:val="left" w:pos="2700"/>
          <w:tab w:val="left" w:pos="7200"/>
        </w:tabs>
        <w:rPr>
          <w:lang w:val="fr-CH"/>
        </w:rPr>
      </w:pPr>
      <w:r>
        <w:rPr>
          <w:lang w:val="fr-CH"/>
        </w:rPr>
        <w:tab/>
      </w:r>
      <w:r>
        <w:rPr>
          <w:lang w:val="fr-CH"/>
        </w:rPr>
        <w:tab/>
      </w:r>
      <w:r w:rsidRPr="00383723">
        <w:rPr>
          <w:i/>
          <w:iCs/>
          <w:lang w:val="fr-CH"/>
        </w:rPr>
        <w:t>P</w:t>
      </w:r>
      <w:r w:rsidRPr="00383723">
        <w:rPr>
          <w:i/>
          <w:iCs/>
          <w:sz w:val="28"/>
          <w:vertAlign w:val="subscript"/>
          <w:lang w:val="fr-CH"/>
        </w:rPr>
        <w:t>I, RF max</w:t>
      </w:r>
      <w:r w:rsidRPr="00383723">
        <w:rPr>
          <w:lang w:val="fr-CH"/>
        </w:rPr>
        <w:t xml:space="preserve"> = </w:t>
      </w:r>
      <w:r w:rsidRPr="00383723">
        <w:rPr>
          <w:i/>
          <w:iCs/>
          <w:lang w:val="fr-CH"/>
        </w:rPr>
        <w:t>P</w:t>
      </w:r>
      <w:r w:rsidRPr="00383723">
        <w:rPr>
          <w:sz w:val="28"/>
          <w:vertAlign w:val="subscript"/>
          <w:lang w:val="fr-CH"/>
        </w:rPr>
        <w:t>1 dB</w:t>
      </w:r>
      <w:r w:rsidRPr="00383723">
        <w:rPr>
          <w:lang w:val="fr-CH"/>
        </w:rPr>
        <w:t xml:space="preserve"> + </w:t>
      </w:r>
      <w:r w:rsidRPr="00383723">
        <w:rPr>
          <w:i/>
          <w:iCs/>
          <w:lang w:val="fr-CH"/>
        </w:rPr>
        <w:t>k</w:t>
      </w:r>
      <w:r w:rsidRPr="00383723">
        <w:rPr>
          <w:i/>
          <w:iCs/>
          <w:sz w:val="28"/>
          <w:vertAlign w:val="subscript"/>
          <w:lang w:val="fr-CH"/>
        </w:rPr>
        <w:t>sat</w:t>
      </w:r>
      <w:r w:rsidRPr="00383723">
        <w:rPr>
          <w:lang w:val="fr-CH"/>
        </w:rPr>
        <w:t xml:space="preserve"> = </w:t>
      </w:r>
      <w:r w:rsidRPr="00383723">
        <w:rPr>
          <w:i/>
          <w:iCs/>
          <w:lang w:val="fr-CH"/>
        </w:rPr>
        <w:t>C</w:t>
      </w:r>
      <w:r w:rsidRPr="00383723">
        <w:rPr>
          <w:lang w:val="fr-CH"/>
        </w:rPr>
        <w:t xml:space="preserve"> – </w:t>
      </w:r>
      <w:r w:rsidRPr="00383723">
        <w:rPr>
          <w:i/>
          <w:iCs/>
          <w:lang w:val="fr-CH"/>
        </w:rPr>
        <w:t>G</w:t>
      </w:r>
      <w:r w:rsidRPr="00383723">
        <w:rPr>
          <w:lang w:val="fr-CH"/>
        </w:rPr>
        <w:t xml:space="preserve"> + </w:t>
      </w:r>
      <w:r w:rsidRPr="00383723">
        <w:rPr>
          <w:i/>
          <w:iCs/>
          <w:lang w:val="fr-CH"/>
        </w:rPr>
        <w:t>k</w:t>
      </w:r>
      <w:r w:rsidRPr="00383723">
        <w:rPr>
          <w:i/>
          <w:iCs/>
          <w:sz w:val="28"/>
          <w:vertAlign w:val="subscript"/>
          <w:lang w:val="fr-CH"/>
        </w:rPr>
        <w:t>sat</w:t>
      </w:r>
      <w:r w:rsidRPr="00383723">
        <w:rPr>
          <w:lang w:val="fr-CH"/>
        </w:rPr>
        <w:tab/>
        <w:t>dBm</w:t>
      </w:r>
      <w:r w:rsidRPr="00383723">
        <w:rPr>
          <w:lang w:val="fr-CH"/>
        </w:rPr>
        <w:tab/>
        <w:t>(12)</w:t>
      </w:r>
    </w:p>
    <w:p w:rsidR="00BA4BD1" w:rsidRPr="00383723" w:rsidRDefault="00BA4BD1" w:rsidP="00425A80">
      <w:pPr>
        <w:pStyle w:val="Blanc"/>
        <w:rPr>
          <w:lang w:val="fr-CH"/>
        </w:rPr>
      </w:pPr>
    </w:p>
    <w:p w:rsidR="00201D3C" w:rsidRDefault="00201D3C" w:rsidP="00425A80">
      <w:pPr>
        <w:rPr>
          <w:lang w:val="fr-CH"/>
        </w:rPr>
      </w:pPr>
      <w:proofErr w:type="gramStart"/>
      <w:r>
        <w:rPr>
          <w:lang w:val="fr-CH"/>
        </w:rPr>
        <w:t>où</w:t>
      </w:r>
      <w:proofErr w:type="gramEnd"/>
      <w:r>
        <w:rPr>
          <w:lang w:val="fr-CH"/>
        </w:rPr>
        <w:t>:</w:t>
      </w:r>
    </w:p>
    <w:p w:rsidR="00201D3C" w:rsidRDefault="00201D3C" w:rsidP="00425A80">
      <w:pPr>
        <w:pStyle w:val="Equationlegend"/>
        <w:rPr>
          <w:lang w:val="fr-CH"/>
        </w:rPr>
      </w:pPr>
      <w:r>
        <w:rPr>
          <w:lang w:val="fr-CH"/>
        </w:rPr>
        <w:tab/>
      </w:r>
      <w:r>
        <w:rPr>
          <w:i/>
          <w:iCs/>
          <w:lang w:val="fr-CH"/>
        </w:rPr>
        <w:t>P</w:t>
      </w:r>
      <w:r>
        <w:rPr>
          <w:i/>
          <w:iCs/>
          <w:vertAlign w:val="subscript"/>
          <w:lang w:val="fr-CH"/>
        </w:rPr>
        <w:t>I, RF</w:t>
      </w:r>
      <w:r>
        <w:rPr>
          <w:vertAlign w:val="subscript"/>
          <w:lang w:val="fr-CH"/>
        </w:rPr>
        <w:t xml:space="preserve"> </w:t>
      </w:r>
      <w:r>
        <w:rPr>
          <w:i/>
          <w:iCs/>
          <w:vertAlign w:val="subscript"/>
          <w:lang w:val="fr-CH"/>
        </w:rPr>
        <w:t>max</w:t>
      </w:r>
      <w:r>
        <w:rPr>
          <w:lang w:val="fr-CH"/>
        </w:rPr>
        <w:t>:</w:t>
      </w:r>
      <w:r>
        <w:rPr>
          <w:lang w:val="fr-CH"/>
        </w:rPr>
        <w:tab/>
        <w:t>puissance de brouillage maximale admissible dans la bande RF (dBm)</w:t>
      </w:r>
    </w:p>
    <w:p w:rsidR="00201D3C" w:rsidRDefault="00201D3C" w:rsidP="00425A80">
      <w:pPr>
        <w:pStyle w:val="Equationlegend"/>
        <w:rPr>
          <w:lang w:val="fr-CH"/>
        </w:rPr>
      </w:pPr>
      <w:r>
        <w:rPr>
          <w:lang w:val="fr-CH"/>
        </w:rPr>
        <w:tab/>
      </w:r>
      <w:proofErr w:type="gramStart"/>
      <w:r>
        <w:rPr>
          <w:i/>
          <w:iCs/>
          <w:lang w:val="fr-CH"/>
        </w:rPr>
        <w:t>k</w:t>
      </w:r>
      <w:r>
        <w:rPr>
          <w:i/>
          <w:iCs/>
          <w:vertAlign w:val="subscript"/>
          <w:lang w:val="fr-CH"/>
        </w:rPr>
        <w:t>sat</w:t>
      </w:r>
      <w:proofErr w:type="gramEnd"/>
      <w:r>
        <w:rPr>
          <w:lang w:val="fr-CH"/>
        </w:rPr>
        <w:t>:</w:t>
      </w:r>
      <w:r>
        <w:rPr>
          <w:lang w:val="fr-CH"/>
        </w:rPr>
        <w:tab/>
        <w:t>marge de saturation (dB) qui doit être déterminée individuellement pour chaque radar et chaque type de brouillage (</w:t>
      </w:r>
      <w:r>
        <w:rPr>
          <w:i/>
          <w:iCs/>
          <w:lang w:val="fr-CH"/>
        </w:rPr>
        <w:t>k</w:t>
      </w:r>
      <w:r>
        <w:rPr>
          <w:i/>
          <w:iCs/>
          <w:vertAlign w:val="subscript"/>
          <w:lang w:val="fr-CH"/>
        </w:rPr>
        <w:t>sat</w:t>
      </w:r>
      <w:r>
        <w:rPr>
          <w:lang w:val="fr-CH"/>
        </w:rPr>
        <w:t xml:space="preserve"> est généralement négative)</w:t>
      </w:r>
    </w:p>
    <w:p w:rsidR="00201D3C" w:rsidRDefault="00201D3C" w:rsidP="00425A80">
      <w:pPr>
        <w:pStyle w:val="Equationlegend"/>
        <w:rPr>
          <w:lang w:val="fr-CH"/>
        </w:rPr>
      </w:pPr>
      <w:r>
        <w:rPr>
          <w:lang w:val="fr-CH"/>
        </w:rPr>
        <w:lastRenderedPageBreak/>
        <w:tab/>
      </w:r>
      <w:r>
        <w:rPr>
          <w:i/>
          <w:iCs/>
          <w:lang w:val="fr-CH"/>
        </w:rPr>
        <w:t>P</w:t>
      </w:r>
      <w:r>
        <w:rPr>
          <w:vertAlign w:val="subscript"/>
          <w:lang w:val="fr-CH"/>
        </w:rPr>
        <w:t>1 dB</w:t>
      </w:r>
      <w:r>
        <w:rPr>
          <w:lang w:val="fr-CH"/>
        </w:rPr>
        <w:t xml:space="preserve">: </w:t>
      </w:r>
      <w:r>
        <w:rPr>
          <w:lang w:val="fr-CH"/>
        </w:rPr>
        <w:tab/>
        <w:t>défini comme étant le point de compression à 1 dB (dBm) à l'entrée de l'étage d'entrée du récepteur, autrement dit le point où le gain de l'ensemble de la chaîne de réception a diminué de 1 dB</w:t>
      </w:r>
    </w:p>
    <w:p w:rsidR="00201D3C" w:rsidRDefault="00201D3C" w:rsidP="00425A80">
      <w:pPr>
        <w:pStyle w:val="Equationlegend"/>
        <w:rPr>
          <w:lang w:val="fr-CH"/>
        </w:rPr>
      </w:pPr>
      <w:r>
        <w:rPr>
          <w:lang w:val="fr-CH"/>
        </w:rPr>
        <w:tab/>
      </w:r>
      <w:r>
        <w:rPr>
          <w:i/>
          <w:lang w:val="fr-CH"/>
        </w:rPr>
        <w:t>C</w:t>
      </w:r>
      <w:r>
        <w:rPr>
          <w:lang w:val="fr-CH"/>
        </w:rPr>
        <w:t>:</w:t>
      </w:r>
      <w:r>
        <w:rPr>
          <w:lang w:val="fr-CH"/>
        </w:rPr>
        <w:tab/>
        <w:t>point de compression à 1 dB (saturation) en sortie de l'étage d'entrée du récepteur ou de l'AFB (dBm)</w:t>
      </w:r>
    </w:p>
    <w:p w:rsidR="00201D3C" w:rsidRDefault="00201D3C" w:rsidP="00425A80">
      <w:pPr>
        <w:pStyle w:val="Equationlegend"/>
        <w:rPr>
          <w:lang w:val="fr-CH"/>
        </w:rPr>
      </w:pPr>
      <w:r>
        <w:rPr>
          <w:lang w:val="fr-CH"/>
        </w:rPr>
        <w:tab/>
      </w:r>
      <w:r>
        <w:rPr>
          <w:i/>
          <w:lang w:val="fr-CH"/>
        </w:rPr>
        <w:t>G</w:t>
      </w:r>
      <w:r>
        <w:rPr>
          <w:lang w:val="fr-CH"/>
        </w:rPr>
        <w:t>:</w:t>
      </w:r>
      <w:r>
        <w:rPr>
          <w:lang w:val="fr-CH"/>
        </w:rPr>
        <w:tab/>
        <w:t>gain de l'étage d'entrée du récepteur à la fréquence fondamentale de la source de brouillage potentiel (dB).</w:t>
      </w:r>
    </w:p>
    <w:p w:rsidR="00201D3C" w:rsidRDefault="00201D3C" w:rsidP="00425A80">
      <w:pPr>
        <w:rPr>
          <w:lang w:val="fr-CH"/>
        </w:rPr>
      </w:pPr>
      <w:r>
        <w:rPr>
          <w:lang w:val="fr-CH"/>
        </w:rPr>
        <w:t xml:space="preserve">A titre d'exemple, si les récepteurs utilisent des AFB avec un gain de 60 dB et un point de compression à 1 dB en sortie d'une valeur de +10 dBm, la valeur de </w:t>
      </w:r>
      <w:r>
        <w:rPr>
          <w:i/>
          <w:iCs/>
          <w:lang w:val="fr-CH"/>
        </w:rPr>
        <w:t>P</w:t>
      </w:r>
      <w:r>
        <w:rPr>
          <w:vertAlign w:val="subscript"/>
        </w:rPr>
        <w:t>1 dB</w:t>
      </w:r>
      <w:r>
        <w:rPr>
          <w:lang w:val="fr-CH"/>
        </w:rPr>
        <w:t xml:space="preserve"> est de 10 </w:t>
      </w:r>
      <w:r>
        <w:rPr>
          <w:lang w:val="fr-CH"/>
        </w:rPr>
        <w:sym w:font="Symbol" w:char="F02D"/>
      </w:r>
      <w:r>
        <w:rPr>
          <w:lang w:val="fr-CH"/>
        </w:rPr>
        <w:t> 60 = </w:t>
      </w:r>
      <w:r w:rsidR="00425A80">
        <w:rPr>
          <w:lang w:val="fr-CH"/>
        </w:rPr>
        <w:t>–</w:t>
      </w:r>
      <w:r>
        <w:rPr>
          <w:lang w:val="fr-CH"/>
        </w:rPr>
        <w:t>50 dBm.</w:t>
      </w:r>
    </w:p>
    <w:p w:rsidR="00201D3C" w:rsidRDefault="00201D3C" w:rsidP="00425A80">
      <w:pPr>
        <w:rPr>
          <w:lang w:val="fr-CH"/>
        </w:rPr>
      </w:pPr>
      <w:r>
        <w:rPr>
          <w:lang w:val="fr-CH"/>
        </w:rPr>
        <w:t>Le respect de la valeur de l'équation (12) est indispensable pour éviter que le récepteur n'approche ou n'atteigne l'état de saturation et donc pour conserver une dynamique suffisante pour le signal de l'écho radar proprement dit. De plus, la fraction de puissance brouilleuse qui se trouve dans la largeur de bande FI du récepteur du radar doit aussi satisfaire aux exigences indiquées dans les Recommandations pertinentes de l'UIT.</w:t>
      </w:r>
    </w:p>
    <w:p w:rsidR="00201D3C" w:rsidRDefault="00201D3C" w:rsidP="00425A80">
      <w:pPr>
        <w:rPr>
          <w:lang w:val="fr-CH"/>
        </w:rPr>
      </w:pPr>
      <w:r>
        <w:rPr>
          <w:lang w:val="fr-CH"/>
        </w:rPr>
        <w:t>Il y a risque de surcharge de l'étage d'entrée du récepteur par brouillage lorsque:</w:t>
      </w:r>
    </w:p>
    <w:p w:rsidR="00BA4BD1" w:rsidRPr="004E484D" w:rsidRDefault="00BA4BD1" w:rsidP="00425A80">
      <w:pPr>
        <w:pStyle w:val="Blanc"/>
        <w:rPr>
          <w:lang w:val="fr-CH"/>
        </w:rPr>
      </w:pPr>
    </w:p>
    <w:p w:rsidR="00201D3C" w:rsidRPr="00E00205" w:rsidRDefault="00201D3C" w:rsidP="00425A80">
      <w:pPr>
        <w:pStyle w:val="Equation"/>
        <w:rPr>
          <w:rFonts w:ascii="Arial" w:hAnsi="Arial" w:cs="Arial"/>
          <w:i/>
          <w:iCs/>
        </w:rPr>
      </w:pPr>
      <w:r w:rsidRPr="00E00205">
        <w:tab/>
      </w:r>
      <w:r w:rsidRPr="00E00205">
        <w:tab/>
      </w:r>
      <w:r w:rsidR="00AA497E">
        <w:rPr>
          <w:position w:val="-16"/>
          <w:lang w:val="en-US"/>
        </w:rPr>
        <w:object w:dxaOrig="2535" w:dyaOrig="405">
          <v:shape id="_x0000_i1027" type="#_x0000_t75" style="width:126.25pt;height:20.4pt" o:ole="">
            <v:imagedata r:id="rId18" o:title=""/>
          </v:shape>
          <o:OLEObject Type="Embed" ProgID="Equation.3" ShapeID="_x0000_i1027" DrawAspect="Content" ObjectID="_1591161449" r:id="rId19"/>
        </w:object>
      </w:r>
      <w:r w:rsidRPr="00E00205">
        <w:tab/>
        <w:t>(13)</w:t>
      </w:r>
    </w:p>
    <w:p w:rsidR="00BA4BD1" w:rsidRPr="004E484D" w:rsidRDefault="00BA4BD1" w:rsidP="00425A80">
      <w:pPr>
        <w:pStyle w:val="Blanc"/>
        <w:rPr>
          <w:lang w:val="fr-CH"/>
        </w:rPr>
      </w:pPr>
    </w:p>
    <w:p w:rsidR="00201D3C" w:rsidRDefault="00201D3C" w:rsidP="00425A80">
      <w:pPr>
        <w:rPr>
          <w:lang w:val="fr-CH"/>
        </w:rPr>
      </w:pPr>
      <w:proofErr w:type="gramStart"/>
      <w:r>
        <w:rPr>
          <w:lang w:val="fr-CH"/>
        </w:rPr>
        <w:t>où</w:t>
      </w:r>
      <w:proofErr w:type="gramEnd"/>
      <w:r>
        <w:rPr>
          <w:lang w:val="fr-CH"/>
        </w:rPr>
        <w:t>:</w:t>
      </w:r>
    </w:p>
    <w:p w:rsidR="00201D3C" w:rsidRDefault="00201D3C" w:rsidP="00425A80">
      <w:pPr>
        <w:pStyle w:val="Equationlegend"/>
        <w:rPr>
          <w:lang w:val="fr-CH"/>
        </w:rPr>
      </w:pPr>
      <w:r>
        <w:rPr>
          <w:lang w:val="fr-CH"/>
        </w:rPr>
        <w:tab/>
      </w:r>
      <w:r>
        <w:rPr>
          <w:i/>
          <w:lang w:val="fr-CH"/>
        </w:rPr>
        <w:t>I</w:t>
      </w:r>
      <w:r>
        <w:rPr>
          <w:i/>
          <w:sz w:val="28"/>
          <w:vertAlign w:val="subscript"/>
          <w:lang w:val="fr-CH"/>
        </w:rPr>
        <w:t>T</w:t>
      </w:r>
      <w:r>
        <w:rPr>
          <w:lang w:val="fr-CH"/>
        </w:rPr>
        <w:t>:</w:t>
      </w:r>
      <w:r>
        <w:rPr>
          <w:lang w:val="fr-CH"/>
        </w:rPr>
        <w:tab/>
        <w:t>niveau du signal brouilleur à l'entrée du récepteur qui produit une surcharge de l'étage d'entrée (dBm)</w:t>
      </w:r>
    </w:p>
    <w:p w:rsidR="00201D3C" w:rsidRDefault="00201D3C" w:rsidP="00425A80">
      <w:pPr>
        <w:pStyle w:val="Equationlegend"/>
        <w:rPr>
          <w:lang w:val="fr-CH"/>
        </w:rPr>
      </w:pPr>
      <w:r>
        <w:rPr>
          <w:lang w:val="fr-CH"/>
        </w:rPr>
        <w:tab/>
      </w:r>
      <w:r>
        <w:rPr>
          <w:i/>
          <w:lang w:val="fr-CH"/>
        </w:rPr>
        <w:t>FDR</w:t>
      </w:r>
      <w:r>
        <w:rPr>
          <w:i/>
          <w:sz w:val="28"/>
          <w:vertAlign w:val="subscript"/>
          <w:lang w:val="fr-CH"/>
        </w:rPr>
        <w:t>RF</w:t>
      </w:r>
      <w:r>
        <w:rPr>
          <w:lang w:val="fr-CH"/>
        </w:rPr>
        <w:t>:</w:t>
      </w:r>
      <w:r>
        <w:rPr>
          <w:lang w:val="fr-CH"/>
        </w:rPr>
        <w:tab/>
        <w:t>rejet, dépendant de la fréquence, de la source de brouillage dû à tout phénomène sélectif RF en amont de l'amplificateur (AFB) RF du récepteur ou propre à cet amplificateur.</w:t>
      </w:r>
    </w:p>
    <w:p w:rsidR="00201D3C" w:rsidRDefault="00201D3C" w:rsidP="00425A80">
      <w:pPr>
        <w:rPr>
          <w:lang w:val="fr-CH"/>
        </w:rPr>
      </w:pPr>
      <w:r>
        <w:rPr>
          <w:lang w:val="fr-CH"/>
        </w:rPr>
        <w:t xml:space="preserve">La puissance de brouillage reçue, totalisée sur l'ensemble de la largeur de bande RF, ne doit pas dépasser le niveau auquel la puissance de sortie de l'élément particulier de la chaîne de récepteur qui est le premier à saturer maintient une marge suffisante au-dessous du point de compression à 1 dB. Ceci a pour objet de limiter la réduction de la dynamique et d'empêcher que les produits d'intermodulation du troisième ordre ne dépassent le rapport </w:t>
      </w:r>
      <w:r>
        <w:rPr>
          <w:i/>
          <w:iCs/>
          <w:lang w:val="fr-CH"/>
        </w:rPr>
        <w:t>I</w:t>
      </w:r>
      <w:r>
        <w:t>/</w:t>
      </w:r>
      <w:r>
        <w:rPr>
          <w:i/>
          <w:iCs/>
          <w:lang w:val="fr-CH"/>
        </w:rPr>
        <w:t>N</w:t>
      </w:r>
      <w:r>
        <w:rPr>
          <w:lang w:val="fr-CH"/>
        </w:rPr>
        <w:t xml:space="preserve"> acceptable dans la largeur de bande FI du récepteur.</w:t>
      </w:r>
    </w:p>
    <w:p w:rsidR="00201D3C" w:rsidRDefault="00201D3C" w:rsidP="00425A80">
      <w:pPr>
        <w:rPr>
          <w:lang w:val="fr-CH"/>
        </w:rPr>
      </w:pPr>
      <w:r>
        <w:rPr>
          <w:lang w:val="fr-CH"/>
        </w:rPr>
        <w:t xml:space="preserve">On peut utiliser l'équation (13) pour déterminer le niveau du signal brouilleur à l'entrée du premier étage de l'amplificateur de la chaîne de réception lorsque les sources de brouillage agissent à </w:t>
      </w:r>
      <w:r w:rsidR="00AA497E">
        <w:rPr>
          <w:lang w:val="fr-CH"/>
        </w:rPr>
        <w:t>une distance donnée</w:t>
      </w:r>
      <w:r>
        <w:rPr>
          <w:lang w:val="fr-CH"/>
        </w:rPr>
        <w:t xml:space="preserve"> d'autres stations et qu'elles sont séparées par des valeurs de fréquence données tout en restant dans la largeur de bande RF du récepteur:</w:t>
      </w:r>
    </w:p>
    <w:p w:rsidR="00BA4BD1" w:rsidRPr="004E484D" w:rsidRDefault="00BA4BD1" w:rsidP="00425A80">
      <w:pPr>
        <w:pStyle w:val="Blanc"/>
        <w:rPr>
          <w:lang w:val="fr-CH"/>
        </w:rPr>
      </w:pPr>
    </w:p>
    <w:p w:rsidR="00201D3C" w:rsidRDefault="00201D3C" w:rsidP="00425A80">
      <w:pPr>
        <w:pStyle w:val="Equation"/>
        <w:rPr>
          <w:lang w:val="sv-SE"/>
        </w:rPr>
      </w:pPr>
      <w:r w:rsidRPr="00E00205">
        <w:tab/>
      </w:r>
      <w:r w:rsidRPr="00E00205">
        <w:tab/>
      </w:r>
      <w:r>
        <w:rPr>
          <w:i/>
          <w:iCs/>
          <w:lang w:val="sv-SE"/>
        </w:rPr>
        <w:t>I</w:t>
      </w:r>
      <w:r>
        <w:rPr>
          <w:lang w:val="sv-SE"/>
        </w:rPr>
        <w:t xml:space="preserve"> = </w:t>
      </w:r>
      <w:r>
        <w:rPr>
          <w:i/>
          <w:iCs/>
          <w:spacing w:val="-20"/>
          <w:lang w:val="sv-SE"/>
        </w:rPr>
        <w:t>P</w:t>
      </w:r>
      <w:r>
        <w:rPr>
          <w:i/>
          <w:iCs/>
          <w:spacing w:val="-20"/>
          <w:sz w:val="28"/>
          <w:szCs w:val="28"/>
          <w:vertAlign w:val="subscript"/>
          <w:lang w:val="en-US"/>
        </w:rPr>
        <w:t>T</w:t>
      </w:r>
      <w:r>
        <w:rPr>
          <w:lang w:val="sv-SE"/>
        </w:rPr>
        <w:t xml:space="preserve"> + </w:t>
      </w:r>
      <w:r>
        <w:rPr>
          <w:i/>
          <w:iCs/>
          <w:lang w:val="sv-SE"/>
        </w:rPr>
        <w:t>G</w:t>
      </w:r>
      <w:r>
        <w:rPr>
          <w:i/>
          <w:iCs/>
          <w:sz w:val="28"/>
          <w:szCs w:val="28"/>
          <w:vertAlign w:val="subscript"/>
          <w:lang w:val="en-US"/>
        </w:rPr>
        <w:t>T</w:t>
      </w:r>
      <w:r>
        <w:rPr>
          <w:lang w:val="sv-SE"/>
        </w:rPr>
        <w:t xml:space="preserve"> + </w:t>
      </w:r>
      <w:r>
        <w:rPr>
          <w:i/>
          <w:iCs/>
          <w:lang w:val="sv-SE"/>
        </w:rPr>
        <w:t>G</w:t>
      </w:r>
      <w:r>
        <w:rPr>
          <w:i/>
          <w:iCs/>
          <w:sz w:val="28"/>
          <w:szCs w:val="28"/>
          <w:vertAlign w:val="subscript"/>
          <w:lang w:val="en-US"/>
        </w:rPr>
        <w:t>R</w:t>
      </w:r>
      <w:r>
        <w:rPr>
          <w:lang w:val="sv-SE"/>
        </w:rPr>
        <w:t xml:space="preserve"> – </w:t>
      </w:r>
      <w:r>
        <w:rPr>
          <w:i/>
          <w:iCs/>
          <w:lang w:val="sv-SE"/>
        </w:rPr>
        <w:t>L</w:t>
      </w:r>
      <w:r>
        <w:rPr>
          <w:i/>
          <w:iCs/>
          <w:sz w:val="28"/>
          <w:szCs w:val="28"/>
          <w:vertAlign w:val="subscript"/>
          <w:lang w:val="sv-SE"/>
        </w:rPr>
        <w:t>t</w:t>
      </w:r>
      <w:r>
        <w:rPr>
          <w:lang w:val="sv-SE"/>
        </w:rPr>
        <w:t xml:space="preserve"> – </w:t>
      </w:r>
      <w:r>
        <w:rPr>
          <w:i/>
          <w:iCs/>
          <w:lang w:val="sv-SE"/>
        </w:rPr>
        <w:t>L</w:t>
      </w:r>
      <w:r>
        <w:rPr>
          <w:i/>
          <w:iCs/>
          <w:sz w:val="28"/>
          <w:szCs w:val="28"/>
          <w:vertAlign w:val="subscript"/>
          <w:lang w:val="en-US"/>
        </w:rPr>
        <w:t>R</w:t>
      </w:r>
      <w:r>
        <w:rPr>
          <w:lang w:val="sv-SE"/>
        </w:rPr>
        <w:t xml:space="preserve"> – </w:t>
      </w:r>
      <w:r>
        <w:rPr>
          <w:i/>
          <w:iCs/>
          <w:lang w:val="sv-SE"/>
        </w:rPr>
        <w:t>L</w:t>
      </w:r>
      <w:r>
        <w:rPr>
          <w:i/>
          <w:iCs/>
          <w:sz w:val="28"/>
          <w:szCs w:val="28"/>
          <w:vertAlign w:val="subscript"/>
          <w:lang w:val="en-US"/>
        </w:rPr>
        <w:t>P</w:t>
      </w:r>
      <w:r>
        <w:rPr>
          <w:lang w:val="sv-SE"/>
        </w:rPr>
        <w:tab/>
        <w:t>(14)</w:t>
      </w:r>
    </w:p>
    <w:p w:rsidR="00201D3C" w:rsidRDefault="00201D3C" w:rsidP="00425A80">
      <w:pPr>
        <w:spacing w:before="0"/>
        <w:rPr>
          <w:lang w:val="fr-CH"/>
        </w:rPr>
      </w:pPr>
      <w:proofErr w:type="gramStart"/>
      <w:r>
        <w:rPr>
          <w:lang w:val="fr-CH"/>
        </w:rPr>
        <w:t>où</w:t>
      </w:r>
      <w:proofErr w:type="gramEnd"/>
      <w:r>
        <w:rPr>
          <w:lang w:val="fr-CH"/>
        </w:rPr>
        <w:t>:</w:t>
      </w:r>
    </w:p>
    <w:p w:rsidR="00201D3C" w:rsidRDefault="00201D3C" w:rsidP="00425A80">
      <w:pPr>
        <w:pStyle w:val="Equationlegend"/>
        <w:rPr>
          <w:lang w:val="fr-CH"/>
        </w:rPr>
      </w:pPr>
      <w:r>
        <w:rPr>
          <w:lang w:val="fr-CH"/>
        </w:rPr>
        <w:tab/>
      </w:r>
      <w:r>
        <w:rPr>
          <w:i/>
          <w:lang w:val="fr-CH"/>
        </w:rPr>
        <w:t>I</w:t>
      </w:r>
      <w:r>
        <w:rPr>
          <w:lang w:val="fr-CH"/>
        </w:rPr>
        <w:t>:</w:t>
      </w:r>
      <w:r>
        <w:rPr>
          <w:lang w:val="fr-CH"/>
        </w:rPr>
        <w:tab/>
        <w:t>puissance crête du signal brouilleur à l'entrée du récepteur (dBm)</w:t>
      </w:r>
    </w:p>
    <w:p w:rsidR="00201D3C" w:rsidRDefault="00201D3C" w:rsidP="00425A80">
      <w:pPr>
        <w:pStyle w:val="Equationlegend"/>
        <w:rPr>
          <w:lang w:val="fr-CH"/>
        </w:rPr>
      </w:pPr>
      <w:r>
        <w:rPr>
          <w:lang w:val="fr-CH"/>
        </w:rPr>
        <w:tab/>
      </w:r>
      <w:r>
        <w:rPr>
          <w:i/>
          <w:lang w:val="fr-CH"/>
        </w:rPr>
        <w:t>P</w:t>
      </w:r>
      <w:r w:rsidRPr="004E484D">
        <w:rPr>
          <w:i/>
          <w:iCs/>
          <w:vertAlign w:val="subscript"/>
          <w:lang w:val="fr-CH"/>
        </w:rPr>
        <w:t>T</w:t>
      </w:r>
      <w:r>
        <w:rPr>
          <w:lang w:val="fr-CH"/>
        </w:rPr>
        <w:t>:</w:t>
      </w:r>
      <w:r>
        <w:rPr>
          <w:lang w:val="fr-CH"/>
        </w:rPr>
        <w:tab/>
        <w:t>puissance crête de l'émetteur de la source de brouillage (dBm)</w:t>
      </w:r>
    </w:p>
    <w:p w:rsidR="00201D3C" w:rsidRDefault="00201D3C" w:rsidP="00425A80">
      <w:pPr>
        <w:pStyle w:val="Equationlegend"/>
        <w:rPr>
          <w:lang w:val="fr-CH"/>
        </w:rPr>
      </w:pPr>
      <w:r>
        <w:rPr>
          <w:lang w:val="fr-CH"/>
        </w:rPr>
        <w:tab/>
      </w:r>
      <w:r>
        <w:rPr>
          <w:i/>
          <w:lang w:val="fr-CH"/>
        </w:rPr>
        <w:t>G</w:t>
      </w:r>
      <w:r w:rsidRPr="004E484D">
        <w:rPr>
          <w:i/>
          <w:iCs/>
          <w:vertAlign w:val="subscript"/>
          <w:lang w:val="fr-CH"/>
        </w:rPr>
        <w:t>T</w:t>
      </w:r>
      <w:r>
        <w:rPr>
          <w:lang w:val="fr-CH"/>
        </w:rPr>
        <w:t>:</w:t>
      </w:r>
      <w:r>
        <w:rPr>
          <w:lang w:val="fr-CH"/>
        </w:rPr>
        <w:tab/>
        <w:t>gain de l'antenne de la source de brouillage dans la direction du radar analysé (dBi)</w:t>
      </w:r>
    </w:p>
    <w:p w:rsidR="00201D3C" w:rsidRDefault="00201D3C" w:rsidP="00425A80">
      <w:pPr>
        <w:pStyle w:val="Equationlegend"/>
        <w:rPr>
          <w:lang w:val="fr-CH"/>
        </w:rPr>
      </w:pPr>
      <w:r>
        <w:rPr>
          <w:lang w:val="fr-CH"/>
        </w:rPr>
        <w:tab/>
      </w:r>
      <w:r>
        <w:rPr>
          <w:i/>
          <w:lang w:val="fr-CH"/>
        </w:rPr>
        <w:t>G</w:t>
      </w:r>
      <w:r w:rsidRPr="004E484D">
        <w:rPr>
          <w:i/>
          <w:iCs/>
          <w:vertAlign w:val="subscript"/>
          <w:lang w:val="fr-CH"/>
        </w:rPr>
        <w:t>R</w:t>
      </w:r>
      <w:r>
        <w:rPr>
          <w:lang w:val="fr-CH"/>
        </w:rPr>
        <w:t>:</w:t>
      </w:r>
      <w:r>
        <w:rPr>
          <w:lang w:val="fr-CH"/>
        </w:rPr>
        <w:tab/>
        <w:t>gain de l'antenne du radar dans la direction de la source de brouillage (dBi)</w:t>
      </w:r>
    </w:p>
    <w:p w:rsidR="00201D3C" w:rsidRDefault="00201D3C" w:rsidP="00425A80">
      <w:pPr>
        <w:pStyle w:val="Equationlegend"/>
        <w:rPr>
          <w:lang w:val="fr-CH"/>
        </w:rPr>
      </w:pPr>
      <w:r>
        <w:rPr>
          <w:lang w:val="fr-CH"/>
        </w:rPr>
        <w:tab/>
      </w:r>
      <w:r>
        <w:rPr>
          <w:i/>
          <w:iCs/>
          <w:lang w:val="fr-CH"/>
        </w:rPr>
        <w:t>L</w:t>
      </w:r>
      <w:r w:rsidRPr="004E484D">
        <w:rPr>
          <w:i/>
          <w:iCs/>
          <w:vertAlign w:val="subscript"/>
          <w:lang w:val="fr-CH"/>
        </w:rPr>
        <w:t>t</w:t>
      </w:r>
      <w:r>
        <w:rPr>
          <w:lang w:val="fr-CH"/>
        </w:rPr>
        <w:t xml:space="preserve">: </w:t>
      </w:r>
      <w:r>
        <w:rPr>
          <w:lang w:val="fr-CH"/>
        </w:rPr>
        <w:tab/>
        <w:t xml:space="preserve">perte d'insertion dans l'émetteur (dB) </w:t>
      </w:r>
    </w:p>
    <w:p w:rsidR="00201D3C" w:rsidRDefault="00201D3C" w:rsidP="00425A80">
      <w:pPr>
        <w:pStyle w:val="Equationlegend"/>
        <w:rPr>
          <w:lang w:val="fr-CH"/>
        </w:rPr>
      </w:pPr>
      <w:r>
        <w:rPr>
          <w:lang w:val="fr-CH"/>
        </w:rPr>
        <w:tab/>
      </w:r>
      <w:r>
        <w:rPr>
          <w:i/>
          <w:lang w:val="fr-CH"/>
        </w:rPr>
        <w:t>L</w:t>
      </w:r>
      <w:r w:rsidRPr="004E484D">
        <w:rPr>
          <w:i/>
          <w:iCs/>
          <w:vertAlign w:val="subscript"/>
          <w:lang w:val="fr-CH"/>
        </w:rPr>
        <w:t>R</w:t>
      </w:r>
      <w:r>
        <w:rPr>
          <w:lang w:val="fr-CH"/>
        </w:rPr>
        <w:t>:</w:t>
      </w:r>
      <w:r>
        <w:rPr>
          <w:lang w:val="fr-CH"/>
        </w:rPr>
        <w:tab/>
        <w:t>perte d'insertion dans le récepteur du radar (dB)</w:t>
      </w:r>
    </w:p>
    <w:p w:rsidR="00201D3C" w:rsidRDefault="00201D3C" w:rsidP="00425A80">
      <w:pPr>
        <w:pStyle w:val="Equationlegend"/>
        <w:rPr>
          <w:lang w:val="fr-CH"/>
        </w:rPr>
      </w:pPr>
      <w:r>
        <w:rPr>
          <w:lang w:val="fr-CH"/>
        </w:rPr>
        <w:tab/>
      </w:r>
      <w:r>
        <w:rPr>
          <w:i/>
          <w:lang w:val="fr-CH"/>
        </w:rPr>
        <w:t>L</w:t>
      </w:r>
      <w:r w:rsidRPr="004E484D">
        <w:rPr>
          <w:i/>
          <w:iCs/>
          <w:vertAlign w:val="subscript"/>
          <w:lang w:val="fr-CH"/>
        </w:rPr>
        <w:t>P</w:t>
      </w:r>
      <w:r>
        <w:rPr>
          <w:lang w:val="fr-CH"/>
        </w:rPr>
        <w:t>:</w:t>
      </w:r>
      <w:r>
        <w:rPr>
          <w:lang w:val="fr-CH"/>
        </w:rPr>
        <w:tab/>
        <w:t>perte de propagation entre les antennes d'émission et de réception (dB).</w:t>
      </w:r>
    </w:p>
    <w:p w:rsidR="00201D3C" w:rsidRDefault="00201D3C" w:rsidP="00425A80">
      <w:pPr>
        <w:rPr>
          <w:lang w:val="fr-CH"/>
        </w:rPr>
      </w:pPr>
      <w:r>
        <w:rPr>
          <w:lang w:val="fr-CH"/>
        </w:rPr>
        <w:lastRenderedPageBreak/>
        <w:t>Pour déterminer la perte de propagation, il convient d'utiliser les modèles de propagation appropriés et l'éventuel couplage indirect en tenant compte, au besoin, des hauteurs d'antenne et du terrain (voir le § 3.3). Si la puissance calculée de l'ensemble des sources de brouillage dépasse le seuil </w:t>
      </w:r>
      <w:r>
        <w:rPr>
          <w:i/>
          <w:lang w:val="fr-CH"/>
        </w:rPr>
        <w:t>I</w:t>
      </w:r>
      <w:r>
        <w:rPr>
          <w:i/>
          <w:iCs/>
          <w:vertAlign w:val="subscript"/>
        </w:rPr>
        <w:t>T</w:t>
      </w:r>
      <w:r>
        <w:t xml:space="preserve"> </w:t>
      </w:r>
      <w:r>
        <w:rPr>
          <w:lang w:val="fr-CH"/>
        </w:rPr>
        <w:t>auquel survient la surcharge de l'étage d'entrée du récepteur, il faut prendre les mesures nécessaires pour obtenir la compatibilité.</w:t>
      </w:r>
    </w:p>
    <w:p w:rsidR="00201D3C" w:rsidRDefault="00201D3C" w:rsidP="00425A80">
      <w:pPr>
        <w:pStyle w:val="Heading3"/>
        <w:rPr>
          <w:lang w:val="fr-CH"/>
        </w:rPr>
      </w:pPr>
      <w:r>
        <w:rPr>
          <w:lang w:val="fr-CH"/>
        </w:rPr>
        <w:t>3.1.2</w:t>
      </w:r>
      <w:r>
        <w:rPr>
          <w:lang w:val="fr-CH"/>
        </w:rPr>
        <w:tab/>
        <w:t>Intermodulation</w:t>
      </w:r>
    </w:p>
    <w:p w:rsidR="00201D3C" w:rsidRDefault="00201D3C" w:rsidP="00425A80">
      <w:pPr>
        <w:rPr>
          <w:lang w:val="fr-CH"/>
        </w:rPr>
      </w:pPr>
      <w:r>
        <w:rPr>
          <w:lang w:val="fr-CH"/>
        </w:rPr>
        <w:t xml:space="preserve">Dans le cas d'un récepteur radar équipé d'un étage d'entrée à large bande RF, </w:t>
      </w:r>
      <w:r>
        <w:rPr>
          <w:i/>
          <w:iCs/>
          <w:lang w:val="fr-CH"/>
        </w:rPr>
        <w:t>B</w:t>
      </w:r>
      <w:r>
        <w:rPr>
          <w:i/>
          <w:iCs/>
          <w:vertAlign w:val="subscript"/>
          <w:lang w:val="fr-CH"/>
        </w:rPr>
        <w:t>RF</w:t>
      </w:r>
      <w:r w:rsidR="00425A80">
        <w:rPr>
          <w:lang w:val="fr-CH"/>
        </w:rPr>
        <w:t>, (tel que défini au </w:t>
      </w:r>
      <w:r>
        <w:rPr>
          <w:lang w:val="fr-CH"/>
        </w:rPr>
        <w:t>§</w:t>
      </w:r>
      <w:r w:rsidR="00455901">
        <w:rPr>
          <w:lang w:val="fr-CH"/>
        </w:rPr>
        <w:t> </w:t>
      </w:r>
      <w:r>
        <w:rPr>
          <w:lang w:val="fr-CH"/>
        </w:rPr>
        <w:t>3.1.1) et dont la largeur de bande FI est, comme cela est habituellement le cas, beaucoup plus étroite, il faut tenir compte des effets de l'intermodulation du 3</w:t>
      </w:r>
      <w:r w:rsidRPr="00425A80">
        <w:t>ème</w:t>
      </w:r>
      <w:r>
        <w:rPr>
          <w:lang w:val="fr-CH"/>
        </w:rPr>
        <w:t xml:space="preserve"> ordre qui a pour effet de transférer dans la </w:t>
      </w:r>
      <w:r w:rsidR="000A5E20">
        <w:rPr>
          <w:lang w:val="fr-CH"/>
        </w:rPr>
        <w:t xml:space="preserve">largeur de </w:t>
      </w:r>
      <w:r>
        <w:rPr>
          <w:lang w:val="fr-CH"/>
        </w:rPr>
        <w:t>bande FI de l'énergie du signal extérieure à la</w:t>
      </w:r>
      <w:r w:rsidR="000A5E20">
        <w:rPr>
          <w:lang w:val="fr-CH"/>
        </w:rPr>
        <w:t xml:space="preserve"> largeur de</w:t>
      </w:r>
      <w:r>
        <w:rPr>
          <w:lang w:val="fr-CH"/>
        </w:rPr>
        <w:t xml:space="preserve"> bande FI (mais dans la </w:t>
      </w:r>
      <w:r w:rsidR="000A5E20">
        <w:rPr>
          <w:lang w:val="fr-CH"/>
        </w:rPr>
        <w:t xml:space="preserve">largeur de </w:t>
      </w:r>
      <w:r>
        <w:rPr>
          <w:lang w:val="fr-CH"/>
        </w:rPr>
        <w:t>bande RF).</w:t>
      </w:r>
    </w:p>
    <w:p w:rsidR="00201D3C" w:rsidRDefault="00201D3C" w:rsidP="00425A80">
      <w:pPr>
        <w:rPr>
          <w:lang w:val="fr-CH"/>
        </w:rPr>
      </w:pPr>
      <w:r>
        <w:rPr>
          <w:lang w:val="fr-CH"/>
        </w:rPr>
        <w:t xml:space="preserve">Toute paire de porteuses de fréquences («sons») </w:t>
      </w:r>
      <w:r>
        <w:rPr>
          <w:i/>
          <w:iCs/>
          <w:lang w:val="fr-CH"/>
        </w:rPr>
        <w:t>f</w:t>
      </w:r>
      <w:r>
        <w:rPr>
          <w:vertAlign w:val="subscript"/>
          <w:lang w:val="fr-CH"/>
        </w:rPr>
        <w:t>1</w:t>
      </w:r>
      <w:r>
        <w:rPr>
          <w:lang w:val="fr-CH"/>
        </w:rPr>
        <w:t xml:space="preserve"> et </w:t>
      </w:r>
      <w:r>
        <w:rPr>
          <w:i/>
          <w:iCs/>
          <w:lang w:val="fr-CH"/>
        </w:rPr>
        <w:t>f</w:t>
      </w:r>
      <w:r>
        <w:rPr>
          <w:vertAlign w:val="subscript"/>
          <w:lang w:val="fr-CH"/>
        </w:rPr>
        <w:t>2</w:t>
      </w:r>
      <w:r>
        <w:rPr>
          <w:lang w:val="fr-CH"/>
        </w:rPr>
        <w:t xml:space="preserve"> peut engendrer des produits du 3</w:t>
      </w:r>
      <w:r w:rsidRPr="00425A80">
        <w:t>ème</w:t>
      </w:r>
      <w:r>
        <w:rPr>
          <w:lang w:val="fr-CH"/>
        </w:rPr>
        <w:t xml:space="preserve"> ordre de </w:t>
      </w:r>
      <w:r>
        <w:rPr>
          <w:i/>
          <w:iCs/>
          <w:lang w:val="fr-CH"/>
        </w:rPr>
        <w:t>f</w:t>
      </w:r>
      <w:r>
        <w:rPr>
          <w:vertAlign w:val="subscript"/>
          <w:lang w:val="fr-CH"/>
        </w:rPr>
        <w:t>3</w:t>
      </w:r>
      <w:r>
        <w:rPr>
          <w:lang w:val="fr-CH"/>
        </w:rPr>
        <w:t> = 2*</w:t>
      </w:r>
      <w:r>
        <w:rPr>
          <w:i/>
          <w:iCs/>
          <w:lang w:val="fr-CH"/>
        </w:rPr>
        <w:t>f</w:t>
      </w:r>
      <w:r>
        <w:rPr>
          <w:vertAlign w:val="subscript"/>
          <w:lang w:val="fr-CH"/>
        </w:rPr>
        <w:t>1</w:t>
      </w:r>
      <w:r>
        <w:rPr>
          <w:lang w:val="fr-CH"/>
        </w:rPr>
        <w:t> </w:t>
      </w:r>
      <w:r>
        <w:rPr>
          <w:lang w:val="fr-CH"/>
        </w:rPr>
        <w:sym w:font="Symbol" w:char="F02D"/>
      </w:r>
      <w:r>
        <w:rPr>
          <w:lang w:val="fr-CH"/>
        </w:rPr>
        <w:t xml:space="preserve"> </w:t>
      </w:r>
      <w:r>
        <w:rPr>
          <w:i/>
          <w:iCs/>
          <w:lang w:val="fr-CH"/>
        </w:rPr>
        <w:t>f</w:t>
      </w:r>
      <w:r>
        <w:rPr>
          <w:vertAlign w:val="subscript"/>
          <w:lang w:val="fr-CH"/>
        </w:rPr>
        <w:t>2</w:t>
      </w:r>
      <w:r>
        <w:rPr>
          <w:lang w:val="fr-CH"/>
        </w:rPr>
        <w:t xml:space="preserve"> ou </w:t>
      </w:r>
      <w:r>
        <w:rPr>
          <w:i/>
          <w:iCs/>
          <w:lang w:val="fr-CH"/>
        </w:rPr>
        <w:t>f</w:t>
      </w:r>
      <w:r>
        <w:rPr>
          <w:vertAlign w:val="subscript"/>
          <w:lang w:val="fr-CH"/>
        </w:rPr>
        <w:t>3</w:t>
      </w:r>
      <w:r>
        <w:rPr>
          <w:lang w:val="fr-CH"/>
        </w:rPr>
        <w:t xml:space="preserve"> = 2*</w:t>
      </w:r>
      <w:r>
        <w:rPr>
          <w:i/>
          <w:iCs/>
          <w:lang w:val="fr-CH"/>
        </w:rPr>
        <w:t>f</w:t>
      </w:r>
      <w:r>
        <w:rPr>
          <w:vertAlign w:val="subscript"/>
          <w:lang w:val="fr-CH"/>
        </w:rPr>
        <w:t>2</w:t>
      </w:r>
      <w:r>
        <w:rPr>
          <w:lang w:val="fr-CH"/>
        </w:rPr>
        <w:t xml:space="preserve"> </w:t>
      </w:r>
      <w:r>
        <w:rPr>
          <w:lang w:val="fr-CH"/>
        </w:rPr>
        <w:sym w:font="Symbol" w:char="F02D"/>
      </w:r>
      <w:r>
        <w:rPr>
          <w:lang w:val="fr-CH"/>
        </w:rPr>
        <w:t xml:space="preserve"> </w:t>
      </w:r>
      <w:r>
        <w:rPr>
          <w:i/>
          <w:iCs/>
          <w:lang w:val="fr-CH"/>
        </w:rPr>
        <w:t>f</w:t>
      </w:r>
      <w:r>
        <w:rPr>
          <w:vertAlign w:val="subscript"/>
          <w:lang w:val="fr-CH"/>
        </w:rPr>
        <w:t>1</w:t>
      </w:r>
      <w:r>
        <w:rPr>
          <w:lang w:val="fr-CH"/>
        </w:rPr>
        <w:t xml:space="preserve">. Si la fréquence </w:t>
      </w:r>
      <w:r>
        <w:rPr>
          <w:i/>
          <w:iCs/>
          <w:lang w:val="fr-CH"/>
        </w:rPr>
        <w:t>f</w:t>
      </w:r>
      <w:r>
        <w:rPr>
          <w:vertAlign w:val="subscript"/>
          <w:lang w:val="fr-CH"/>
        </w:rPr>
        <w:t>3</w:t>
      </w:r>
      <w:r>
        <w:rPr>
          <w:lang w:val="fr-CH"/>
        </w:rPr>
        <w:t xml:space="preserve"> se trouve dans la </w:t>
      </w:r>
      <w:r w:rsidR="00425A80">
        <w:rPr>
          <w:lang w:val="fr-CH"/>
        </w:rPr>
        <w:t xml:space="preserve">largeur de </w:t>
      </w:r>
      <w:r>
        <w:rPr>
          <w:lang w:val="fr-CH"/>
        </w:rPr>
        <w:t>bande FI, il se produit une puissance de brouillage à la fréquence d'accord qui est ensuite amplifiée et traitée par les sections de FI et de bande de base des récepteurs radar.</w:t>
      </w:r>
    </w:p>
    <w:p w:rsidR="00201D3C" w:rsidRDefault="00201D3C" w:rsidP="00425A80">
      <w:r>
        <w:rPr>
          <w:lang w:val="fr-CH"/>
        </w:rPr>
        <w:t>Les effets de l'intermodulation augmentent considérablement avec le niveau de puissance d'une fréquence donnée. Une augmentation de 10 dB de la puissance sur une fréquence produit une augmentation de 30 dB de la puissance du produit d'intermodulation. Le point (théorique) où la puissance des produits d'intermodulation du 3</w:t>
      </w:r>
      <w:r w:rsidRPr="00425A80">
        <w:t>ème</w:t>
      </w:r>
      <w:r>
        <w:rPr>
          <w:lang w:val="fr-CH"/>
        </w:rPr>
        <w:t> ordre dépasse la puissance amplifiée d'une seule fréquence est appelé le point d'interception de sortie du 3</w:t>
      </w:r>
      <w:r w:rsidRPr="00425A80">
        <w:t>ème</w:t>
      </w:r>
      <w:r>
        <w:rPr>
          <w:lang w:val="fr-CH"/>
        </w:rPr>
        <w:t> ordre (IP3</w:t>
      </w:r>
      <w:r>
        <w:rPr>
          <w:i/>
          <w:iCs/>
          <w:vertAlign w:val="subscript"/>
          <w:lang w:val="fr-CH"/>
        </w:rPr>
        <w:t>out</w:t>
      </w:r>
      <w:r>
        <w:rPr>
          <w:lang w:val="fr-CH"/>
        </w:rPr>
        <w:t>). Dans le cas des AFB RF comme ceux utilisés dans l'étage d'entrée des radars, IP3</w:t>
      </w:r>
      <w:r>
        <w:rPr>
          <w:i/>
          <w:iCs/>
          <w:vertAlign w:val="subscript"/>
          <w:lang w:val="fr-CH"/>
        </w:rPr>
        <w:t>out</w:t>
      </w:r>
      <w:r>
        <w:rPr>
          <w:lang w:val="fr-CH"/>
        </w:rPr>
        <w:t xml:space="preserve"> se situe entre 10 et 15 dB au-dessus du point de compression de 1 dB à la sortie </w:t>
      </w:r>
      <w:r>
        <w:rPr>
          <w:i/>
          <w:iCs/>
          <w:lang w:val="fr-CH"/>
        </w:rPr>
        <w:t>P</w:t>
      </w:r>
      <w:r>
        <w:rPr>
          <w:vertAlign w:val="subscript"/>
          <w:lang w:val="fr-CH"/>
        </w:rPr>
        <w:t>1</w:t>
      </w:r>
      <w:r>
        <w:t xml:space="preserve"> </w:t>
      </w:r>
      <w:proofErr w:type="gramStart"/>
      <w:r>
        <w:rPr>
          <w:vertAlign w:val="subscript"/>
          <w:lang w:val="fr-CH"/>
        </w:rPr>
        <w:t>dB,</w:t>
      </w:r>
      <w:r>
        <w:rPr>
          <w:i/>
          <w:iCs/>
          <w:vertAlign w:val="subscript"/>
          <w:lang w:val="fr-CH"/>
        </w:rPr>
        <w:t>out</w:t>
      </w:r>
      <w:proofErr w:type="gramEnd"/>
      <w:r>
        <w:t>.</w:t>
      </w:r>
    </w:p>
    <w:p w:rsidR="003737B6" w:rsidRPr="00C864EB" w:rsidRDefault="000B51C1" w:rsidP="00425A80">
      <w:pPr>
        <w:rPr>
          <w:lang w:val="fr-CH"/>
        </w:rPr>
      </w:pPr>
      <w:r w:rsidRPr="00425A80">
        <w:t>En cas de signaux multiporteuse</w:t>
      </w:r>
      <w:r w:rsidR="00D67586">
        <w:t>s</w:t>
      </w:r>
      <w:r w:rsidRPr="00425A80">
        <w:t xml:space="preserve">, </w:t>
      </w:r>
      <w:r w:rsidR="00C864EB">
        <w:t>les</w:t>
      </w:r>
      <w:r w:rsidRPr="00425A80">
        <w:t xml:space="preserve"> phénomène</w:t>
      </w:r>
      <w:r w:rsidR="00C864EB">
        <w:t>s</w:t>
      </w:r>
      <w:r w:rsidRPr="00425A80">
        <w:t xml:space="preserve"> d'intermodulation </w:t>
      </w:r>
      <w:r w:rsidR="00673C02">
        <w:t>d'ordre inférieur ou égal à 5</w:t>
      </w:r>
      <w:r>
        <w:t xml:space="preserve"> pourrai</w:t>
      </w:r>
      <w:r w:rsidR="00C864EB">
        <w:t>en</w:t>
      </w:r>
      <w:r>
        <w:t xml:space="preserve">t représenter une source considérable de brouillages </w:t>
      </w:r>
      <w:r w:rsidR="00C864EB">
        <w:t>q</w:t>
      </w:r>
      <w:r w:rsidR="0052300C">
        <w:t>u'il conviendrait</w:t>
      </w:r>
      <w:r w:rsidR="00C864EB">
        <w:t xml:space="preserve"> de</w:t>
      </w:r>
      <w:r>
        <w:t xml:space="preserve"> prendre en considération. </w:t>
      </w:r>
    </w:p>
    <w:p w:rsidR="00201D3C" w:rsidRDefault="00201D3C" w:rsidP="00425A80">
      <w:pPr>
        <w:rPr>
          <w:lang w:val="fr-CH"/>
        </w:rPr>
      </w:pPr>
      <w:r>
        <w:rPr>
          <w:lang w:val="fr-CH"/>
        </w:rPr>
        <w:t>La puissance de brouillage transférée par l'intermodulation</w:t>
      </w:r>
      <w:r w:rsidR="000A5E20">
        <w:rPr>
          <w:lang w:val="fr-CH"/>
        </w:rPr>
        <w:t xml:space="preserve"> d'ordre supérieur ou égal </w:t>
      </w:r>
      <w:proofErr w:type="gramStart"/>
      <w:r w:rsidR="000A5E20">
        <w:rPr>
          <w:lang w:val="fr-CH"/>
        </w:rPr>
        <w:t>à  3</w:t>
      </w:r>
      <w:proofErr w:type="gramEnd"/>
      <w:r w:rsidR="000A5E20">
        <w:rPr>
          <w:lang w:val="fr-CH"/>
        </w:rPr>
        <w:t xml:space="preserve"> </w:t>
      </w:r>
      <w:r>
        <w:rPr>
          <w:lang w:val="fr-CH"/>
        </w:rPr>
        <w:t xml:space="preserve">de l'extérieur à l'intérieur de la largeur de bande FI doit être considérée comme un brouillage à l'accord, c'est-à-dire qu'elle doit être combinée à la puissance de brouillage entrant directement dans la </w:t>
      </w:r>
      <w:r w:rsidR="006B4A39">
        <w:rPr>
          <w:lang w:val="fr-CH"/>
        </w:rPr>
        <w:t xml:space="preserve">largeur de </w:t>
      </w:r>
      <w:r>
        <w:rPr>
          <w:lang w:val="fr-CH"/>
        </w:rPr>
        <w:t xml:space="preserve">bande FI et elle doit satisfaire à la condition fixée pour le rapport </w:t>
      </w:r>
      <w:r>
        <w:rPr>
          <w:i/>
          <w:iCs/>
          <w:lang w:val="fr-CH"/>
        </w:rPr>
        <w:t>I</w:t>
      </w:r>
      <w:r>
        <w:rPr>
          <w:lang w:val="fr-CH"/>
        </w:rPr>
        <w:t>/</w:t>
      </w:r>
      <w:r>
        <w:rPr>
          <w:i/>
          <w:iCs/>
          <w:lang w:val="fr-CH"/>
        </w:rPr>
        <w:t>N</w:t>
      </w:r>
      <w:r>
        <w:rPr>
          <w:lang w:val="fr-CH"/>
        </w:rPr>
        <w:t xml:space="preserve"> dans la Recommandation UIT</w:t>
      </w:r>
      <w:r>
        <w:rPr>
          <w:lang w:val="fr-CH"/>
        </w:rPr>
        <w:noBreakHyphen/>
        <w:t>R pertinente.</w:t>
      </w:r>
    </w:p>
    <w:p w:rsidR="00201D3C" w:rsidRDefault="00201D3C" w:rsidP="00425A80">
      <w:pPr>
        <w:pStyle w:val="Heading2"/>
        <w:rPr>
          <w:lang w:val="fr-CH"/>
        </w:rPr>
      </w:pPr>
      <w:r>
        <w:rPr>
          <w:lang w:val="fr-CH"/>
        </w:rPr>
        <w:t>3.2</w:t>
      </w:r>
      <w:r>
        <w:rPr>
          <w:lang w:val="fr-CH"/>
        </w:rPr>
        <w:tab/>
        <w:t>Dégradation de la sensibilité</w:t>
      </w:r>
    </w:p>
    <w:p w:rsidR="00201D3C" w:rsidRDefault="00201D3C" w:rsidP="00425A80">
      <w:pPr>
        <w:rPr>
          <w:lang w:val="fr-CH"/>
        </w:rPr>
      </w:pPr>
      <w:r>
        <w:rPr>
          <w:lang w:val="fr-CH"/>
        </w:rPr>
        <w:t>L'effet de désensibilisation sur les radars de radiorepérage due à une modulation assimilable à une onde entretenue ou à du bruit, causé par d'autres services, est probablement lié à l'intensité de cette modulation. Dans n'importe quel secteur d'azimut où ce type de brouillage se produit, il suffit simplement d'ajouter la densité spectrale de puissance de ce brouillage à la densité spectrale de puissance du bruit thermique du récepteur du radar pour obtenir un résultat relativement fiable.</w:t>
      </w:r>
    </w:p>
    <w:p w:rsidR="00201D3C" w:rsidRDefault="00201D3C" w:rsidP="00425A80">
      <w:pPr>
        <w:rPr>
          <w:lang w:val="fr-CH"/>
        </w:rPr>
      </w:pPr>
      <w:r>
        <w:rPr>
          <w:lang w:val="fr-CH"/>
        </w:rPr>
        <w:t xml:space="preserve">Pour évaluer la compatibilité, il convient avant tout de calculer le niveau de signal, correspondant au seuil de dégradation de la qualité de fonctionnement du récepteur radar, </w:t>
      </w:r>
      <w:r>
        <w:rPr>
          <w:i/>
          <w:iCs/>
          <w:lang w:val="fr-CH"/>
        </w:rPr>
        <w:t>I</w:t>
      </w:r>
      <w:r>
        <w:rPr>
          <w:i/>
          <w:iCs/>
          <w:vertAlign w:val="subscript"/>
        </w:rPr>
        <w:t>T</w:t>
      </w:r>
      <w:r>
        <w:rPr>
          <w:lang w:val="fr-CH"/>
        </w:rPr>
        <w:t>.</w:t>
      </w:r>
    </w:p>
    <w:p w:rsidR="00BA4BD1" w:rsidRPr="004E484D" w:rsidRDefault="00BA4BD1" w:rsidP="00425A80">
      <w:pPr>
        <w:pStyle w:val="Blanc"/>
        <w:rPr>
          <w:lang w:val="fr-CH"/>
        </w:rPr>
      </w:pPr>
    </w:p>
    <w:p w:rsidR="00201D3C" w:rsidRDefault="00201D3C" w:rsidP="00425A80">
      <w:pPr>
        <w:pStyle w:val="Equation"/>
        <w:rPr>
          <w:lang w:val="sv-SE"/>
        </w:rPr>
      </w:pPr>
      <w:r w:rsidRPr="00E00205">
        <w:tab/>
      </w:r>
      <w:r w:rsidRPr="00E00205">
        <w:tab/>
      </w:r>
      <w:r>
        <w:rPr>
          <w:i/>
          <w:iCs/>
          <w:lang w:val="sv-SE"/>
        </w:rPr>
        <w:t>I</w:t>
      </w:r>
      <w:r w:rsidRPr="00E00205">
        <w:rPr>
          <w:i/>
          <w:iCs/>
          <w:sz w:val="28"/>
          <w:szCs w:val="28"/>
          <w:vertAlign w:val="subscript"/>
        </w:rPr>
        <w:t>T</w:t>
      </w:r>
      <w:r>
        <w:rPr>
          <w:lang w:val="sv-SE"/>
        </w:rPr>
        <w:t xml:space="preserve"> </w:t>
      </w:r>
      <w:r>
        <w:sym w:font="Symbol" w:char="F03D"/>
      </w:r>
      <w:r>
        <w:rPr>
          <w:lang w:val="sv-SE"/>
        </w:rPr>
        <w:t xml:space="preserve"> </w:t>
      </w:r>
      <w:r>
        <w:rPr>
          <w:i/>
          <w:iCs/>
          <w:lang w:val="sv-SE"/>
        </w:rPr>
        <w:t>I</w:t>
      </w:r>
      <w:r>
        <w:rPr>
          <w:lang w:val="sv-SE"/>
        </w:rPr>
        <w:t>/</w:t>
      </w:r>
      <w:r>
        <w:rPr>
          <w:i/>
          <w:iCs/>
          <w:lang w:val="sv-SE"/>
        </w:rPr>
        <w:t>N</w:t>
      </w:r>
      <w:r>
        <w:rPr>
          <w:lang w:val="sv-SE"/>
        </w:rPr>
        <w:t xml:space="preserve"> </w:t>
      </w:r>
      <w:r>
        <w:sym w:font="Symbol" w:char="F02B"/>
      </w:r>
      <w:r>
        <w:rPr>
          <w:lang w:val="sv-SE"/>
        </w:rPr>
        <w:t xml:space="preserve"> </w:t>
      </w:r>
      <w:r>
        <w:rPr>
          <w:i/>
          <w:iCs/>
          <w:lang w:val="sv-SE"/>
        </w:rPr>
        <w:t>N</w:t>
      </w:r>
      <w:r>
        <w:rPr>
          <w:lang w:val="sv-SE"/>
        </w:rPr>
        <w:tab/>
        <w:t>(15)</w:t>
      </w:r>
    </w:p>
    <w:p w:rsidR="00BA4BD1" w:rsidRPr="004E484D" w:rsidRDefault="00BA4BD1" w:rsidP="00425A80">
      <w:pPr>
        <w:pStyle w:val="Blanc"/>
        <w:rPr>
          <w:lang w:val="fr-CH"/>
        </w:rPr>
      </w:pPr>
    </w:p>
    <w:p w:rsidR="00DD1B08" w:rsidRDefault="00DD1B08" w:rsidP="00425A80">
      <w:pPr>
        <w:rPr>
          <w:lang w:val="fr-CH"/>
        </w:rPr>
      </w:pPr>
      <w:r>
        <w:rPr>
          <w:lang w:val="fr-CH"/>
        </w:rPr>
        <w:br w:type="page"/>
      </w:r>
    </w:p>
    <w:p w:rsidR="00201D3C" w:rsidRDefault="00201D3C" w:rsidP="00425A80">
      <w:pPr>
        <w:rPr>
          <w:lang w:val="fr-CH"/>
        </w:rPr>
      </w:pPr>
      <w:proofErr w:type="gramStart"/>
      <w:r>
        <w:rPr>
          <w:lang w:val="fr-CH"/>
        </w:rPr>
        <w:lastRenderedPageBreak/>
        <w:t>où</w:t>
      </w:r>
      <w:proofErr w:type="gramEnd"/>
      <w:r>
        <w:rPr>
          <w:lang w:val="fr-CH"/>
        </w:rPr>
        <w:t>:</w:t>
      </w:r>
    </w:p>
    <w:p w:rsidR="00201D3C" w:rsidRDefault="00201D3C" w:rsidP="00425A80">
      <w:pPr>
        <w:pStyle w:val="Equationlegend"/>
        <w:rPr>
          <w:lang w:val="fr-CH"/>
        </w:rPr>
      </w:pPr>
      <w:r>
        <w:rPr>
          <w:lang w:val="fr-CH"/>
        </w:rPr>
        <w:tab/>
      </w:r>
      <w:r>
        <w:rPr>
          <w:i/>
          <w:iCs/>
          <w:lang w:val="fr-CH"/>
        </w:rPr>
        <w:t>I</w:t>
      </w:r>
      <w:r>
        <w:rPr>
          <w:lang w:val="fr-CH"/>
        </w:rPr>
        <w:t>/</w:t>
      </w:r>
      <w:r>
        <w:rPr>
          <w:i/>
          <w:iCs/>
          <w:lang w:val="fr-CH"/>
        </w:rPr>
        <w:t>N</w:t>
      </w:r>
      <w:r>
        <w:rPr>
          <w:rFonts w:ascii="Tms Rmn" w:hAnsi="Tms Rmn"/>
          <w:sz w:val="12"/>
          <w:lang w:val="fr-CH"/>
        </w:rPr>
        <w:t> </w:t>
      </w:r>
      <w:r>
        <w:rPr>
          <w:lang w:val="fr-CH"/>
        </w:rPr>
        <w:t>:</w:t>
      </w:r>
      <w:r>
        <w:rPr>
          <w:lang w:val="fr-CH"/>
        </w:rPr>
        <w:tab/>
        <w:t>rapport brouillage sur bruit à l'entrée du détecteur (sortie FI) nécessaire pour maintenir des critères de performance acceptables (dB)</w:t>
      </w:r>
    </w:p>
    <w:p w:rsidR="00201D3C" w:rsidRDefault="00201D3C" w:rsidP="00425A80">
      <w:pPr>
        <w:pStyle w:val="Equationlegend"/>
        <w:rPr>
          <w:lang w:val="fr-CH"/>
        </w:rPr>
      </w:pPr>
      <w:r>
        <w:rPr>
          <w:lang w:val="fr-CH"/>
        </w:rPr>
        <w:tab/>
      </w:r>
      <w:r>
        <w:rPr>
          <w:i/>
          <w:iCs/>
          <w:lang w:val="fr-CH"/>
        </w:rPr>
        <w:t>N</w:t>
      </w:r>
      <w:r>
        <w:rPr>
          <w:lang w:val="fr-CH"/>
        </w:rPr>
        <w:t>:</w:t>
      </w:r>
      <w:r>
        <w:rPr>
          <w:lang w:val="fr-CH"/>
        </w:rPr>
        <w:tab/>
        <w:t>niveau de bruit intrinsèque dû au récepteur (dBm)</w:t>
      </w:r>
    </w:p>
    <w:p w:rsidR="00201D3C" w:rsidRDefault="00201D3C" w:rsidP="00751796">
      <w:pPr>
        <w:pStyle w:val="Equationlegend"/>
        <w:rPr>
          <w:i/>
          <w:iCs/>
          <w:lang w:val="fr-CH"/>
        </w:rPr>
      </w:pPr>
      <w:r>
        <w:rPr>
          <w:lang w:val="fr-CH"/>
        </w:rPr>
        <w:tab/>
      </w:r>
      <w:r>
        <w:rPr>
          <w:lang w:val="fr-CH"/>
        </w:rPr>
        <w:tab/>
      </w:r>
      <w:r>
        <w:rPr>
          <w:i/>
          <w:iCs/>
          <w:lang w:val="fr-CH"/>
        </w:rPr>
        <w:t>N</w:t>
      </w:r>
      <w:r>
        <w:rPr>
          <w:lang w:val="fr-CH"/>
        </w:rPr>
        <w:t> </w:t>
      </w:r>
      <w:r>
        <w:rPr>
          <w:lang w:val="fr-CH"/>
        </w:rPr>
        <w:sym w:font="Symbol" w:char="F03D"/>
      </w:r>
      <w:r>
        <w:rPr>
          <w:lang w:val="fr-CH"/>
        </w:rPr>
        <w:t xml:space="preserve"> </w:t>
      </w:r>
      <w:r w:rsidR="00751796">
        <w:rPr>
          <w:lang w:val="fr-CH"/>
        </w:rPr>
        <w:t>−</w:t>
      </w:r>
      <w:r>
        <w:rPr>
          <w:lang w:val="fr-CH"/>
        </w:rPr>
        <w:t xml:space="preserve">114 dBm </w:t>
      </w:r>
      <w:r>
        <w:rPr>
          <w:rFonts w:ascii="Symbol" w:hAnsi="Symbol"/>
          <w:lang w:val="fr-CH"/>
        </w:rPr>
        <w:t></w:t>
      </w:r>
      <w:r>
        <w:rPr>
          <w:lang w:val="fr-CH"/>
        </w:rPr>
        <w:t xml:space="preserve"> 10 log </w:t>
      </w:r>
      <w:r>
        <w:rPr>
          <w:i/>
          <w:iCs/>
          <w:lang w:val="fr-CH"/>
        </w:rPr>
        <w:t>B</w:t>
      </w:r>
      <w:r w:rsidRPr="00425A80">
        <w:rPr>
          <w:i/>
          <w:iCs/>
          <w:vertAlign w:val="subscript"/>
          <w:lang w:val="fr-CH"/>
        </w:rPr>
        <w:t>IF</w:t>
      </w:r>
      <w:r>
        <w:rPr>
          <w:lang w:val="fr-CH"/>
        </w:rPr>
        <w:t xml:space="preserve"> (MHz) </w:t>
      </w:r>
      <w:r>
        <w:rPr>
          <w:rFonts w:ascii="Symbol" w:hAnsi="Symbol"/>
          <w:lang w:val="fr-CH"/>
        </w:rPr>
        <w:t></w:t>
      </w:r>
      <w:r>
        <w:rPr>
          <w:lang w:val="fr-CH"/>
        </w:rPr>
        <w:t xml:space="preserve"> </w:t>
      </w:r>
      <w:r>
        <w:rPr>
          <w:i/>
          <w:iCs/>
          <w:lang w:val="fr-CH"/>
        </w:rPr>
        <w:t>NF</w:t>
      </w:r>
    </w:p>
    <w:p w:rsidR="00201D3C" w:rsidRDefault="00201D3C" w:rsidP="00425A80">
      <w:pPr>
        <w:pStyle w:val="Equationlegend"/>
        <w:rPr>
          <w:lang w:val="fr-CH"/>
        </w:rPr>
      </w:pPr>
      <w:r>
        <w:rPr>
          <w:lang w:val="fr-CH"/>
        </w:rPr>
        <w:tab/>
      </w:r>
      <w:r>
        <w:rPr>
          <w:lang w:val="fr-CH"/>
        </w:rPr>
        <w:tab/>
      </w:r>
      <w:proofErr w:type="gramStart"/>
      <w:r>
        <w:rPr>
          <w:lang w:val="fr-CH"/>
        </w:rPr>
        <w:t>où</w:t>
      </w:r>
      <w:proofErr w:type="gramEnd"/>
      <w:r>
        <w:rPr>
          <w:lang w:val="fr-CH"/>
        </w:rPr>
        <w:t>:</w:t>
      </w:r>
    </w:p>
    <w:p w:rsidR="00201D3C" w:rsidRDefault="00201D3C" w:rsidP="00425A80">
      <w:pPr>
        <w:pStyle w:val="Equationlegend"/>
        <w:tabs>
          <w:tab w:val="left" w:pos="2694"/>
          <w:tab w:val="left" w:pos="3420"/>
        </w:tabs>
        <w:rPr>
          <w:lang w:val="fr-CH"/>
        </w:rPr>
      </w:pPr>
      <w:r>
        <w:rPr>
          <w:lang w:val="fr-CH"/>
        </w:rPr>
        <w:tab/>
      </w:r>
      <w:r>
        <w:rPr>
          <w:lang w:val="fr-CH"/>
        </w:rPr>
        <w:tab/>
      </w:r>
      <w:r>
        <w:rPr>
          <w:lang w:val="fr-CH"/>
        </w:rPr>
        <w:tab/>
      </w:r>
      <w:r>
        <w:rPr>
          <w:i/>
          <w:iCs/>
          <w:lang w:val="fr-CH"/>
        </w:rPr>
        <w:t>B</w:t>
      </w:r>
      <w:r w:rsidRPr="004E484D">
        <w:rPr>
          <w:i/>
          <w:iCs/>
          <w:vertAlign w:val="subscript"/>
          <w:lang w:val="fr-CH"/>
        </w:rPr>
        <w:t>IF</w:t>
      </w:r>
      <w:r>
        <w:rPr>
          <w:rFonts w:ascii="Tms Rmn" w:hAnsi="Tms Rmn"/>
          <w:sz w:val="12"/>
          <w:lang w:val="fr-CH"/>
        </w:rPr>
        <w:t> </w:t>
      </w:r>
      <w:r>
        <w:rPr>
          <w:lang w:val="fr-CH"/>
        </w:rPr>
        <w:t>:</w:t>
      </w:r>
      <w:r>
        <w:rPr>
          <w:lang w:val="fr-CH"/>
        </w:rPr>
        <w:tab/>
        <w:t>largeur de bande FI du récepteur (MHz)</w:t>
      </w:r>
    </w:p>
    <w:p w:rsidR="00201D3C" w:rsidRDefault="00201D3C" w:rsidP="00425A80">
      <w:pPr>
        <w:pStyle w:val="Equationlegend"/>
        <w:tabs>
          <w:tab w:val="left" w:pos="2694"/>
          <w:tab w:val="left" w:pos="3420"/>
        </w:tabs>
        <w:rPr>
          <w:lang w:val="fr-CH"/>
        </w:rPr>
      </w:pPr>
      <w:r>
        <w:rPr>
          <w:lang w:val="fr-CH"/>
        </w:rPr>
        <w:tab/>
      </w:r>
      <w:r>
        <w:rPr>
          <w:lang w:val="fr-CH"/>
        </w:rPr>
        <w:tab/>
      </w:r>
      <w:r>
        <w:rPr>
          <w:lang w:val="fr-CH"/>
        </w:rPr>
        <w:tab/>
      </w:r>
      <w:r>
        <w:rPr>
          <w:i/>
          <w:iCs/>
          <w:lang w:val="fr-CH"/>
        </w:rPr>
        <w:t>NF</w:t>
      </w:r>
      <w:r>
        <w:rPr>
          <w:rFonts w:ascii="Tms Rmn" w:hAnsi="Tms Rmn"/>
          <w:sz w:val="12"/>
          <w:lang w:val="fr-CH"/>
        </w:rPr>
        <w:t> </w:t>
      </w:r>
      <w:r>
        <w:rPr>
          <w:lang w:val="fr-CH"/>
        </w:rPr>
        <w:t xml:space="preserve">: </w:t>
      </w:r>
      <w:r>
        <w:rPr>
          <w:lang w:val="fr-CH"/>
        </w:rPr>
        <w:tab/>
        <w:t>valeur du bruit du récepteur (dB).</w:t>
      </w:r>
    </w:p>
    <w:p w:rsidR="00201D3C" w:rsidRDefault="00201D3C" w:rsidP="00425A80">
      <w:pPr>
        <w:rPr>
          <w:lang w:val="fr-CH"/>
        </w:rPr>
      </w:pPr>
      <w:r>
        <w:rPr>
          <w:lang w:val="fr-CH"/>
        </w:rPr>
        <w:t>L'équation (15) sert à déterminer si les systèmes d'autres services peuvent fonctionner à des distances données des radars et à diverses fréquences.</w:t>
      </w:r>
    </w:p>
    <w:p w:rsidR="00BA4BD1" w:rsidRPr="004E484D" w:rsidRDefault="00BA4BD1" w:rsidP="00425A80">
      <w:pPr>
        <w:pStyle w:val="Blanc"/>
        <w:rPr>
          <w:lang w:val="fr-CH"/>
        </w:rPr>
      </w:pPr>
    </w:p>
    <w:p w:rsidR="00201D3C" w:rsidRDefault="00201D3C" w:rsidP="00425A80">
      <w:pPr>
        <w:pStyle w:val="Equation"/>
        <w:rPr>
          <w:lang w:val="en-US"/>
        </w:rPr>
      </w:pPr>
      <w:r w:rsidRPr="00E00205">
        <w:tab/>
      </w:r>
      <w:r w:rsidRPr="00E00205">
        <w:tab/>
      </w:r>
      <w:r>
        <w:rPr>
          <w:i/>
          <w:iCs/>
          <w:lang w:val="en-US"/>
        </w:rPr>
        <w:t>I</w:t>
      </w:r>
      <w:r>
        <w:rPr>
          <w:lang w:val="en-US"/>
        </w:rPr>
        <w:t xml:space="preserve"> </w:t>
      </w:r>
      <w:r>
        <w:rPr>
          <w:lang w:val="fr-CH"/>
        </w:rPr>
        <w:sym w:font="Symbol" w:char="F03D"/>
      </w:r>
      <w:r>
        <w:rPr>
          <w:lang w:val="en-US"/>
        </w:rPr>
        <w:t xml:space="preserve"> </w:t>
      </w:r>
      <w:r>
        <w:rPr>
          <w:i/>
          <w:iCs/>
          <w:spacing w:val="-20"/>
          <w:lang w:val="en-US"/>
        </w:rPr>
        <w:t>P</w:t>
      </w:r>
      <w:r>
        <w:rPr>
          <w:i/>
          <w:iCs/>
          <w:spacing w:val="-20"/>
          <w:sz w:val="28"/>
          <w:szCs w:val="28"/>
          <w:vertAlign w:val="subscript"/>
          <w:lang w:val="en-US"/>
        </w:rPr>
        <w:t>T</w:t>
      </w:r>
      <w:r>
        <w:rPr>
          <w:lang w:val="en-US"/>
        </w:rPr>
        <w:t> </w:t>
      </w:r>
      <w:r>
        <w:rPr>
          <w:lang w:val="fr-CH"/>
        </w:rPr>
        <w:sym w:font="Symbol" w:char="F02B"/>
      </w:r>
      <w:r>
        <w:rPr>
          <w:lang w:val="en-US"/>
        </w:rPr>
        <w:t xml:space="preserve"> </w:t>
      </w:r>
      <w:r>
        <w:rPr>
          <w:i/>
          <w:iCs/>
          <w:lang w:val="en-US"/>
        </w:rPr>
        <w:t>G</w:t>
      </w:r>
      <w:r>
        <w:rPr>
          <w:i/>
          <w:iCs/>
          <w:sz w:val="28"/>
          <w:szCs w:val="28"/>
          <w:vertAlign w:val="subscript"/>
          <w:lang w:val="en-US"/>
        </w:rPr>
        <w:t>T</w:t>
      </w:r>
      <w:r>
        <w:rPr>
          <w:lang w:val="en-US"/>
        </w:rPr>
        <w:t xml:space="preserve"> </w:t>
      </w:r>
      <w:r>
        <w:rPr>
          <w:lang w:val="fr-CH"/>
        </w:rPr>
        <w:sym w:font="Symbol" w:char="F02B"/>
      </w:r>
      <w:r>
        <w:rPr>
          <w:lang w:val="en-US"/>
        </w:rPr>
        <w:t xml:space="preserve"> </w:t>
      </w:r>
      <w:r>
        <w:rPr>
          <w:i/>
          <w:iCs/>
          <w:lang w:val="en-US"/>
        </w:rPr>
        <w:t>G</w:t>
      </w:r>
      <w:r>
        <w:rPr>
          <w:i/>
          <w:iCs/>
          <w:sz w:val="28"/>
          <w:szCs w:val="28"/>
          <w:vertAlign w:val="subscript"/>
          <w:lang w:val="en-US"/>
        </w:rPr>
        <w:t>R</w:t>
      </w:r>
      <w:r>
        <w:rPr>
          <w:lang w:val="en-US"/>
        </w:rPr>
        <w:t xml:space="preserve"> – </w:t>
      </w:r>
      <w:r>
        <w:rPr>
          <w:i/>
          <w:iCs/>
          <w:lang w:val="en-US"/>
        </w:rPr>
        <w:t>L</w:t>
      </w:r>
      <w:r>
        <w:rPr>
          <w:i/>
          <w:iCs/>
          <w:sz w:val="28"/>
          <w:szCs w:val="28"/>
          <w:vertAlign w:val="subscript"/>
          <w:lang w:val="en-US"/>
        </w:rPr>
        <w:t>T</w:t>
      </w:r>
      <w:r>
        <w:rPr>
          <w:lang w:val="en-US"/>
        </w:rPr>
        <w:t xml:space="preserve"> – </w:t>
      </w:r>
      <w:r>
        <w:rPr>
          <w:i/>
          <w:iCs/>
          <w:lang w:val="en-US"/>
        </w:rPr>
        <w:t>L</w:t>
      </w:r>
      <w:r>
        <w:rPr>
          <w:i/>
          <w:iCs/>
          <w:sz w:val="28"/>
          <w:szCs w:val="28"/>
          <w:vertAlign w:val="subscript"/>
          <w:lang w:val="en-US"/>
        </w:rPr>
        <w:t>R</w:t>
      </w:r>
      <w:r>
        <w:rPr>
          <w:lang w:val="en-US"/>
        </w:rPr>
        <w:t xml:space="preserve"> – </w:t>
      </w:r>
      <w:r>
        <w:rPr>
          <w:i/>
          <w:iCs/>
          <w:lang w:val="en-US"/>
        </w:rPr>
        <w:t>L</w:t>
      </w:r>
      <w:r>
        <w:rPr>
          <w:i/>
          <w:iCs/>
          <w:sz w:val="28"/>
          <w:szCs w:val="28"/>
          <w:vertAlign w:val="subscript"/>
          <w:lang w:val="en-US"/>
        </w:rPr>
        <w:t>P</w:t>
      </w:r>
      <w:r>
        <w:rPr>
          <w:lang w:val="en-US"/>
        </w:rPr>
        <w:t xml:space="preserve"> – </w:t>
      </w:r>
      <w:r>
        <w:rPr>
          <w:i/>
          <w:iCs/>
          <w:lang w:val="en-US"/>
        </w:rPr>
        <w:t>FDR</w:t>
      </w:r>
      <w:r>
        <w:rPr>
          <w:i/>
          <w:iCs/>
          <w:sz w:val="28"/>
          <w:szCs w:val="28"/>
          <w:vertAlign w:val="subscript"/>
          <w:lang w:val="en-US"/>
        </w:rPr>
        <w:t>IF</w:t>
      </w:r>
      <w:r>
        <w:rPr>
          <w:lang w:val="en-US"/>
        </w:rPr>
        <w:tab/>
        <w:t>(16)</w:t>
      </w:r>
    </w:p>
    <w:p w:rsidR="00BA4BD1" w:rsidRDefault="00BA4BD1" w:rsidP="00425A80">
      <w:pPr>
        <w:pStyle w:val="Blanc"/>
      </w:pPr>
    </w:p>
    <w:p w:rsidR="00201D3C" w:rsidRDefault="00201D3C" w:rsidP="00425A80">
      <w:pPr>
        <w:rPr>
          <w:lang w:val="fr-CH"/>
        </w:rPr>
      </w:pPr>
      <w:proofErr w:type="gramStart"/>
      <w:r>
        <w:rPr>
          <w:lang w:val="fr-CH"/>
        </w:rPr>
        <w:t>où</w:t>
      </w:r>
      <w:proofErr w:type="gramEnd"/>
      <w:r>
        <w:rPr>
          <w:lang w:val="fr-CH"/>
        </w:rPr>
        <w:t>:</w:t>
      </w:r>
    </w:p>
    <w:p w:rsidR="00201D3C" w:rsidRDefault="00201D3C" w:rsidP="00425A80">
      <w:pPr>
        <w:pStyle w:val="Equationlegend"/>
        <w:rPr>
          <w:lang w:val="fr-CH"/>
        </w:rPr>
      </w:pPr>
      <w:r>
        <w:rPr>
          <w:lang w:val="fr-CH"/>
        </w:rPr>
        <w:tab/>
      </w:r>
      <w:r>
        <w:rPr>
          <w:i/>
          <w:iCs/>
          <w:lang w:val="fr-CH"/>
        </w:rPr>
        <w:t>I</w:t>
      </w:r>
      <w:r>
        <w:rPr>
          <w:rFonts w:ascii="Tms Rmn" w:hAnsi="Tms Rmn"/>
          <w:sz w:val="12"/>
          <w:lang w:val="fr-CH"/>
        </w:rPr>
        <w:t> </w:t>
      </w:r>
      <w:r>
        <w:rPr>
          <w:lang w:val="fr-CH"/>
        </w:rPr>
        <w:t>:</w:t>
      </w:r>
      <w:r>
        <w:rPr>
          <w:lang w:val="fr-CH"/>
        </w:rPr>
        <w:tab/>
        <w:t>puissance de crête du signal brouilleur à l'étage d'entrée du récepteur radar (dBm)</w:t>
      </w:r>
    </w:p>
    <w:p w:rsidR="00201D3C" w:rsidRDefault="00201D3C" w:rsidP="00425A80">
      <w:pPr>
        <w:pStyle w:val="Equationlegend"/>
        <w:rPr>
          <w:lang w:val="fr-CH"/>
        </w:rPr>
      </w:pPr>
      <w:r>
        <w:rPr>
          <w:lang w:val="fr-CH"/>
        </w:rPr>
        <w:tab/>
      </w:r>
      <w:r>
        <w:rPr>
          <w:i/>
          <w:iCs/>
          <w:lang w:val="fr-CH"/>
        </w:rPr>
        <w:t>P</w:t>
      </w:r>
      <w:r w:rsidRPr="004E484D">
        <w:rPr>
          <w:i/>
          <w:iCs/>
          <w:vertAlign w:val="subscript"/>
          <w:lang w:val="fr-CH"/>
        </w:rPr>
        <w:t>T</w:t>
      </w:r>
      <w:r>
        <w:rPr>
          <w:rFonts w:ascii="Tms Rmn" w:hAnsi="Tms Rmn"/>
          <w:sz w:val="12"/>
          <w:lang w:val="fr-CH"/>
        </w:rPr>
        <w:t> </w:t>
      </w:r>
      <w:r>
        <w:rPr>
          <w:lang w:val="fr-CH"/>
        </w:rPr>
        <w:t xml:space="preserve">: </w:t>
      </w:r>
      <w:r>
        <w:rPr>
          <w:lang w:val="fr-CH"/>
        </w:rPr>
        <w:tab/>
        <w:t>puissance de crête de l'émetteur brouilleur analysé (dBm)</w:t>
      </w:r>
    </w:p>
    <w:p w:rsidR="00201D3C" w:rsidRDefault="00201D3C" w:rsidP="00425A80">
      <w:pPr>
        <w:pStyle w:val="Equationlegend"/>
        <w:rPr>
          <w:lang w:val="fr-CH"/>
        </w:rPr>
      </w:pPr>
      <w:r>
        <w:rPr>
          <w:lang w:val="fr-CH"/>
        </w:rPr>
        <w:tab/>
      </w:r>
      <w:r>
        <w:rPr>
          <w:i/>
          <w:iCs/>
          <w:lang w:val="fr-CH"/>
        </w:rPr>
        <w:t>G</w:t>
      </w:r>
      <w:r w:rsidRPr="004E484D">
        <w:rPr>
          <w:i/>
          <w:iCs/>
          <w:vertAlign w:val="subscript"/>
          <w:lang w:val="fr-CH"/>
        </w:rPr>
        <w:t>T</w:t>
      </w:r>
      <w:r>
        <w:rPr>
          <w:rFonts w:ascii="Tms Rmn" w:hAnsi="Tms Rmn"/>
          <w:sz w:val="12"/>
          <w:lang w:val="fr-CH"/>
        </w:rPr>
        <w:t> </w:t>
      </w:r>
      <w:r>
        <w:rPr>
          <w:lang w:val="fr-CH"/>
        </w:rPr>
        <w:t>:</w:t>
      </w:r>
      <w:r>
        <w:rPr>
          <w:lang w:val="fr-CH"/>
        </w:rPr>
        <w:tab/>
        <w:t>gain d'antenne du système brouilleur dans la direction du radar analysé (dBi)</w:t>
      </w:r>
    </w:p>
    <w:p w:rsidR="00201D3C" w:rsidRDefault="00201D3C" w:rsidP="00425A80">
      <w:pPr>
        <w:pStyle w:val="Equationlegend"/>
        <w:rPr>
          <w:lang w:val="fr-CH"/>
        </w:rPr>
      </w:pPr>
      <w:r>
        <w:rPr>
          <w:lang w:val="fr-CH"/>
        </w:rPr>
        <w:tab/>
      </w:r>
      <w:r>
        <w:rPr>
          <w:i/>
          <w:iCs/>
          <w:lang w:val="fr-CH"/>
        </w:rPr>
        <w:t>G</w:t>
      </w:r>
      <w:r w:rsidRPr="004E484D">
        <w:rPr>
          <w:i/>
          <w:iCs/>
          <w:vertAlign w:val="subscript"/>
          <w:lang w:val="fr-CH"/>
        </w:rPr>
        <w:t>R</w:t>
      </w:r>
      <w:r>
        <w:rPr>
          <w:rFonts w:ascii="Tms Rmn" w:hAnsi="Tms Rmn"/>
          <w:sz w:val="12"/>
          <w:lang w:val="fr-CH"/>
        </w:rPr>
        <w:t> </w:t>
      </w:r>
      <w:r>
        <w:rPr>
          <w:lang w:val="fr-CH"/>
        </w:rPr>
        <w:t>:</w:t>
      </w:r>
      <w:r>
        <w:rPr>
          <w:lang w:val="fr-CH"/>
        </w:rPr>
        <w:tab/>
        <w:t>gain d'antenne de la station radar dans la direction du système analysé (voir la Note 3) (dBi)</w:t>
      </w:r>
    </w:p>
    <w:p w:rsidR="00201D3C" w:rsidRDefault="00201D3C" w:rsidP="00425A80">
      <w:pPr>
        <w:pStyle w:val="Equationlegend"/>
        <w:rPr>
          <w:lang w:val="fr-CH"/>
        </w:rPr>
      </w:pPr>
      <w:r>
        <w:rPr>
          <w:lang w:val="fr-CH"/>
        </w:rPr>
        <w:tab/>
      </w:r>
      <w:r>
        <w:rPr>
          <w:i/>
          <w:iCs/>
          <w:lang w:val="fr-CH"/>
        </w:rPr>
        <w:t>L</w:t>
      </w:r>
      <w:r w:rsidRPr="004E484D">
        <w:rPr>
          <w:i/>
          <w:iCs/>
          <w:vertAlign w:val="subscript"/>
          <w:lang w:val="fr-CH"/>
        </w:rPr>
        <w:t>T</w:t>
      </w:r>
      <w:r>
        <w:rPr>
          <w:rFonts w:ascii="Tms Rmn" w:hAnsi="Tms Rmn"/>
          <w:sz w:val="12"/>
          <w:lang w:val="fr-CH"/>
        </w:rPr>
        <w:t> </w:t>
      </w:r>
      <w:r>
        <w:rPr>
          <w:lang w:val="fr-CH"/>
        </w:rPr>
        <w:t>:</w:t>
      </w:r>
      <w:r>
        <w:rPr>
          <w:lang w:val="fr-CH"/>
        </w:rPr>
        <w:tab/>
        <w:t>affaiblissement d'insertion dans l'émetteur (dB)</w:t>
      </w:r>
    </w:p>
    <w:p w:rsidR="00201D3C" w:rsidRDefault="00201D3C" w:rsidP="00425A80">
      <w:pPr>
        <w:pStyle w:val="Equationlegend"/>
        <w:rPr>
          <w:lang w:val="fr-CH"/>
        </w:rPr>
      </w:pPr>
      <w:r>
        <w:rPr>
          <w:lang w:val="fr-CH"/>
        </w:rPr>
        <w:tab/>
      </w:r>
      <w:r>
        <w:rPr>
          <w:i/>
          <w:iCs/>
          <w:lang w:val="fr-CH"/>
        </w:rPr>
        <w:t>L</w:t>
      </w:r>
      <w:r w:rsidRPr="004E484D">
        <w:rPr>
          <w:i/>
          <w:iCs/>
          <w:vertAlign w:val="subscript"/>
          <w:lang w:val="fr-CH"/>
        </w:rPr>
        <w:t>R</w:t>
      </w:r>
      <w:r>
        <w:rPr>
          <w:rFonts w:ascii="Tms Rmn" w:hAnsi="Tms Rmn"/>
          <w:sz w:val="12"/>
          <w:lang w:val="fr-CH"/>
        </w:rPr>
        <w:t> </w:t>
      </w:r>
      <w:r>
        <w:rPr>
          <w:lang w:val="fr-CH"/>
        </w:rPr>
        <w:t>:</w:t>
      </w:r>
      <w:r>
        <w:rPr>
          <w:lang w:val="fr-CH"/>
        </w:rPr>
        <w:tab/>
        <w:t>affaiblissement d'insertion dans le récepteur radar (dB)</w:t>
      </w:r>
    </w:p>
    <w:p w:rsidR="00201D3C" w:rsidRDefault="00201D3C" w:rsidP="00425A80">
      <w:pPr>
        <w:pStyle w:val="Equationlegend"/>
        <w:rPr>
          <w:lang w:val="fr-CH"/>
        </w:rPr>
      </w:pPr>
      <w:r>
        <w:rPr>
          <w:lang w:val="fr-CH"/>
        </w:rPr>
        <w:tab/>
      </w:r>
      <w:r>
        <w:rPr>
          <w:i/>
          <w:iCs/>
          <w:lang w:val="fr-CH"/>
        </w:rPr>
        <w:t>L</w:t>
      </w:r>
      <w:r w:rsidRPr="004E484D">
        <w:rPr>
          <w:i/>
          <w:iCs/>
          <w:vertAlign w:val="subscript"/>
          <w:lang w:val="fr-CH"/>
        </w:rPr>
        <w:t>P</w:t>
      </w:r>
      <w:r>
        <w:rPr>
          <w:rFonts w:ascii="Tms Rmn" w:hAnsi="Tms Rmn"/>
          <w:sz w:val="12"/>
          <w:lang w:val="fr-CH"/>
        </w:rPr>
        <w:t> </w:t>
      </w:r>
      <w:r>
        <w:rPr>
          <w:lang w:val="fr-CH"/>
        </w:rPr>
        <w:t>:</w:t>
      </w:r>
      <w:r>
        <w:rPr>
          <w:lang w:val="fr-CH"/>
        </w:rPr>
        <w:tab/>
        <w:t>affaiblissement de propagation entre l'antenne d'émission et l'antenne de réception (dB)</w:t>
      </w:r>
    </w:p>
    <w:p w:rsidR="00201D3C" w:rsidRDefault="00201D3C" w:rsidP="00425A80">
      <w:pPr>
        <w:pStyle w:val="Equationlegend"/>
        <w:rPr>
          <w:lang w:val="fr-CH"/>
        </w:rPr>
      </w:pPr>
      <w:r>
        <w:rPr>
          <w:lang w:val="fr-CH"/>
        </w:rPr>
        <w:tab/>
      </w:r>
      <w:r>
        <w:rPr>
          <w:i/>
          <w:iCs/>
          <w:lang w:val="fr-CH"/>
        </w:rPr>
        <w:t>FDR</w:t>
      </w:r>
      <w:r w:rsidRPr="004E484D">
        <w:rPr>
          <w:i/>
          <w:iCs/>
          <w:vertAlign w:val="subscript"/>
          <w:lang w:val="fr-CH"/>
        </w:rPr>
        <w:t>IF</w:t>
      </w:r>
      <w:r>
        <w:rPr>
          <w:rFonts w:ascii="Tms Rmn" w:hAnsi="Tms Rmn"/>
          <w:sz w:val="12"/>
          <w:lang w:val="fr-CH"/>
        </w:rPr>
        <w:t> </w:t>
      </w:r>
      <w:r>
        <w:rPr>
          <w:lang w:val="fr-CH"/>
        </w:rPr>
        <w:t>:</w:t>
      </w:r>
      <w:r>
        <w:rPr>
          <w:lang w:val="fr-CH"/>
        </w:rPr>
        <w:tab/>
        <w:t xml:space="preserve">rejet dépendant </w:t>
      </w:r>
      <w:proofErr w:type="gramStart"/>
      <w:r>
        <w:rPr>
          <w:lang w:val="fr-CH"/>
        </w:rPr>
        <w:t>de la fréquence provoqué</w:t>
      </w:r>
      <w:proofErr w:type="gramEnd"/>
      <w:r>
        <w:rPr>
          <w:lang w:val="fr-CH"/>
        </w:rPr>
        <w:t xml:space="preserve"> par la courbe de sélectivité FI du récepteur sur le spectre de l'émetteur brouilleur (dB).</w:t>
      </w:r>
    </w:p>
    <w:p w:rsidR="00201D3C" w:rsidRDefault="00201D3C" w:rsidP="00425A80">
      <w:pPr>
        <w:pStyle w:val="Note"/>
        <w:rPr>
          <w:lang w:val="fr-CH"/>
        </w:rPr>
      </w:pPr>
      <w:r>
        <w:rPr>
          <w:lang w:val="fr-CH"/>
        </w:rPr>
        <w:t>NOTE 3 – La plupart des antennes de radar de radiorepérage balayent sur 360° en azimut jusqu'à des angles d'élévation élevés. Certaines le font par secteurs</w:t>
      </w:r>
      <w:r w:rsidR="006D3778">
        <w:rPr>
          <w:lang w:val="fr-CH"/>
        </w:rPr>
        <w:t xml:space="preserve"> </w:t>
      </w:r>
      <w:r w:rsidR="00E63DDA">
        <w:rPr>
          <w:lang w:val="fr-CH"/>
        </w:rPr>
        <w:t>ou</w:t>
      </w:r>
      <w:r w:rsidR="006D3778">
        <w:rPr>
          <w:lang w:val="fr-CH"/>
        </w:rPr>
        <w:t xml:space="preserve"> de manière aléatoire</w:t>
      </w:r>
      <w:r>
        <w:rPr>
          <w:lang w:val="fr-CH"/>
        </w:rPr>
        <w:t>, mais la plate-forme du radar est généralement orientable dans n'importe quelle direction azimutale. Le brouillage des systèmes radar se produit généralement lorsque le lobe principal de l'antenne est dirigé vers le signal non désiré, c'est pourquoi le lobe principal doit être pris en compte dans l'analyse. Dans certaines situations particulières, il se peut que le lobe principal n'illumine pas la station considérée (par inactivation sectorielle), auquel cas c'est le niveau des lobes secondaires qu'il convient d'utiliser.</w:t>
      </w:r>
    </w:p>
    <w:p w:rsidR="00201D3C" w:rsidRDefault="00201D3C" w:rsidP="00425A80">
      <w:pPr>
        <w:rPr>
          <w:lang w:val="fr-CH"/>
        </w:rPr>
      </w:pPr>
      <w:r>
        <w:rPr>
          <w:lang w:val="fr-CH"/>
        </w:rPr>
        <w:t>La valeur FDR à utiliser dans l'équation (16) peut se calculer grâce à la Recommandation UIT</w:t>
      </w:r>
      <w:r>
        <w:rPr>
          <w:lang w:val="fr-CH"/>
        </w:rPr>
        <w:noBreakHyphen/>
        <w:t>R SM.337. Pour calculer cette valeur, on doit avoir la réponse de sélectivité de FI du récepteur radar et les caractéristiques du spectre de l'émetteur radar. Si la réponse de sélectivité FI du récepteur radar n'est pas fournie, il convient d'utiliser une sélectivité avec décroissance de 80 dB par décade à partir de la</w:t>
      </w:r>
      <w:r w:rsidR="00952856">
        <w:rPr>
          <w:lang w:val="fr-CH"/>
        </w:rPr>
        <w:t xml:space="preserve"> fréquence du bord de la</w:t>
      </w:r>
      <w:r>
        <w:rPr>
          <w:lang w:val="fr-CH"/>
        </w:rPr>
        <w:t xml:space="preserve"> largeur de bande à 3 dB</w:t>
      </w:r>
      <w:r w:rsidR="00952856">
        <w:rPr>
          <w:lang w:val="fr-CH"/>
        </w:rPr>
        <w:t xml:space="preserve"> jusqu'</w:t>
      </w:r>
      <w:r w:rsidR="00E63DDA">
        <w:rPr>
          <w:lang w:val="fr-CH"/>
        </w:rPr>
        <w:t>à un</w:t>
      </w:r>
      <w:r w:rsidR="00952856">
        <w:rPr>
          <w:lang w:val="fr-CH"/>
        </w:rPr>
        <w:t xml:space="preserve"> seuil de sélectivité de 70 dB qui représente la valeur plancher</w:t>
      </w:r>
      <w:r>
        <w:rPr>
          <w:lang w:val="fr-CH"/>
        </w:rPr>
        <w:t>.</w:t>
      </w:r>
    </w:p>
    <w:p w:rsidR="00201D3C" w:rsidRDefault="00201D3C" w:rsidP="00425A80">
      <w:pPr>
        <w:pStyle w:val="Heading2"/>
        <w:rPr>
          <w:lang w:val="fr-CH"/>
        </w:rPr>
      </w:pPr>
      <w:r>
        <w:rPr>
          <w:lang w:val="fr-CH"/>
        </w:rPr>
        <w:t>3.3</w:t>
      </w:r>
      <w:r>
        <w:rPr>
          <w:lang w:val="fr-CH"/>
        </w:rPr>
        <w:tab/>
        <w:t>Critères de protection</w:t>
      </w:r>
    </w:p>
    <w:p w:rsidR="00201D3C" w:rsidRDefault="00201D3C" w:rsidP="003B6497">
      <w:pPr>
        <w:rPr>
          <w:lang w:val="fr-CH"/>
        </w:rPr>
      </w:pPr>
      <w:r>
        <w:rPr>
          <w:lang w:val="fr-CH"/>
        </w:rPr>
        <w:t xml:space="preserve">En général, les utilisateurs de radars acceptent un signal provenant d'un autre service à facteur de forme élevé (par exemple de type onde </w:t>
      </w:r>
      <w:r w:rsidR="00425A80">
        <w:rPr>
          <w:lang w:val="fr-CH"/>
        </w:rPr>
        <w:t>entretenu</w:t>
      </w:r>
      <w:r>
        <w:rPr>
          <w:lang w:val="fr-CH"/>
        </w:rPr>
        <w:t>e, MDP-2, MDP</w:t>
      </w:r>
      <w:r>
        <w:rPr>
          <w:lang w:val="fr-CH"/>
        </w:rPr>
        <w:noBreakHyphen/>
        <w:t xml:space="preserve">4, à caractère de bruit, etc.) se traduisant par un rapport </w:t>
      </w:r>
      <w:r>
        <w:rPr>
          <w:i/>
          <w:iCs/>
          <w:lang w:val="fr-CH"/>
        </w:rPr>
        <w:t>I</w:t>
      </w:r>
      <w:r>
        <w:rPr>
          <w:lang w:val="fr-CH"/>
        </w:rPr>
        <w:t>/</w:t>
      </w:r>
      <w:r>
        <w:rPr>
          <w:i/>
          <w:iCs/>
          <w:lang w:val="fr-CH"/>
        </w:rPr>
        <w:t>N</w:t>
      </w:r>
      <w:r>
        <w:rPr>
          <w:lang w:val="fr-CH"/>
        </w:rPr>
        <w:t xml:space="preserve"> inférieur à </w:t>
      </w:r>
      <w:r w:rsidR="003B6497">
        <w:rPr>
          <w:lang w:val="fr-CH"/>
        </w:rPr>
        <w:t>−</w:t>
      </w:r>
      <w:r>
        <w:rPr>
          <w:lang w:val="fr-CH"/>
        </w:rPr>
        <w:t xml:space="preserve">6 dB. Un rapport de </w:t>
      </w:r>
      <w:r w:rsidR="003B6497">
        <w:rPr>
          <w:lang w:val="fr-CH"/>
        </w:rPr>
        <w:t>−</w:t>
      </w:r>
      <w:r>
        <w:rPr>
          <w:lang w:val="fr-CH"/>
        </w:rPr>
        <w:t>6 dB entraîne une augmentation de (</w:t>
      </w:r>
      <w:r>
        <w:rPr>
          <w:i/>
          <w:iCs/>
          <w:lang w:val="fr-CH"/>
        </w:rPr>
        <w:t>I</w:t>
      </w:r>
      <w:r>
        <w:t> </w:t>
      </w:r>
      <w:r>
        <w:rPr>
          <w:i/>
          <w:iCs/>
          <w:lang w:val="fr-CH"/>
        </w:rPr>
        <w:t>+</w:t>
      </w:r>
      <w:r>
        <w:t> </w:t>
      </w:r>
      <w:proofErr w:type="gramStart"/>
      <w:r>
        <w:rPr>
          <w:i/>
          <w:iCs/>
          <w:lang w:val="fr-CH"/>
        </w:rPr>
        <w:t>N</w:t>
      </w:r>
      <w:r>
        <w:rPr>
          <w:lang w:val="fr-CH"/>
        </w:rPr>
        <w:t>)/</w:t>
      </w:r>
      <w:proofErr w:type="gramEnd"/>
      <w:r>
        <w:rPr>
          <w:i/>
          <w:iCs/>
          <w:lang w:val="fr-CH"/>
        </w:rPr>
        <w:t>N</w:t>
      </w:r>
      <w:r>
        <w:rPr>
          <w:lang w:val="fr-CH"/>
        </w:rPr>
        <w:t xml:space="preserve"> de 1,26, correspondant à une augmentation de la puissance de bruit dans le récepteur radars de 1 dB environ. Dans certains cas cette valeur de </w:t>
      </w:r>
      <w:r w:rsidR="003737B6">
        <w:rPr>
          <w:lang w:val="fr-CH"/>
        </w:rPr>
        <w:t>-</w:t>
      </w:r>
      <w:r>
        <w:rPr>
          <w:lang w:val="fr-CH"/>
        </w:rPr>
        <w:t xml:space="preserve">6 dB peut ne pas être acceptable, et il faudra de nouvelles études ou de mesures de compatibilité pour évaluer le brouillage en termes d'impact </w:t>
      </w:r>
      <w:r>
        <w:rPr>
          <w:lang w:val="fr-CH"/>
        </w:rPr>
        <w:lastRenderedPageBreak/>
        <w:t>opérationnel sur les performances du radar. Dans le cas des systèmes radar fonctionnant dans une bande</w:t>
      </w:r>
      <w:r w:rsidR="00212677">
        <w:rPr>
          <w:lang w:val="fr-CH"/>
        </w:rPr>
        <w:t xml:space="preserve"> de fréquences</w:t>
      </w:r>
      <w:r>
        <w:rPr>
          <w:lang w:val="fr-CH"/>
        </w:rPr>
        <w:t xml:space="preserve"> pour laquelle il existe une Recommandation UIT-R traitant des caractéristiques des radars et des critères de protection, il convient de consulter la Recommandation</w:t>
      </w:r>
      <w:r>
        <w:rPr>
          <w:rStyle w:val="FootnoteReference"/>
          <w:lang w:val="fr-CH"/>
        </w:rPr>
        <w:footnoteReference w:customMarkFollows="1" w:id="2"/>
        <w:t>1</w:t>
      </w:r>
      <w:r>
        <w:rPr>
          <w:lang w:val="fr-CH"/>
        </w:rPr>
        <w:t xml:space="preserve"> concernée qui contient des indications spécifiques.</w:t>
      </w:r>
    </w:p>
    <w:p w:rsidR="00201D3C" w:rsidRDefault="00201D3C" w:rsidP="00425A80">
      <w:pPr>
        <w:rPr>
          <w:lang w:val="fr-CH"/>
        </w:rPr>
      </w:pPr>
      <w:r>
        <w:rPr>
          <w:lang w:val="fr-CH"/>
        </w:rPr>
        <w:t>L'effet d'un brouillage pulsé est relativement difficile à quantifier et dépend fortement de la conception du récepteur/processeur et du mode de fonctionnement du système. En particulier, les gains différentiels résultant du traitement de l'écho de cible, qui est pulsé de façon synchrone, et des impulsions de brouillage, qui sont généralement asynchrones, ont souvent des effets importants sur les niveaux donnés de brouillage impulsionnel. Cette désensibilisation peut être à l'origine de différents types de dégradation de performance. L'évaluation de la désensibilisation constituera un objectif d'analyse des interactions entre certains types de radar. On s'attend, en général, à ce que les nombreuses fonctions des radars de radiorepérage contribuent à supprimer le brouillage par impulsions à faible facteur de forme lorsque, en particulier, il provient de quelques sources isolées. La Recommandation UIT-R M.1372 – Utilisation efficace du spectre radioélectrique par les stations radar du service de radiorepérage, traite de plusieurs techniques de suppression du brouillage pulsé émanant de sources à faible facteur de forme.</w:t>
      </w:r>
    </w:p>
    <w:p w:rsidR="00201D3C" w:rsidRDefault="00201D3C" w:rsidP="00425A80">
      <w:pPr>
        <w:rPr>
          <w:lang w:val="fr-CH"/>
        </w:rPr>
      </w:pPr>
      <w:r>
        <w:rPr>
          <w:lang w:val="fr-CH"/>
        </w:rPr>
        <w:t xml:space="preserve">En présence de plusieurs brouilleurs, le critère de protection </w:t>
      </w:r>
      <w:r>
        <w:rPr>
          <w:i/>
          <w:iCs/>
          <w:lang w:val="fr-CH"/>
        </w:rPr>
        <w:t>I</w:t>
      </w:r>
      <w:r>
        <w:rPr>
          <w:lang w:val="fr-CH"/>
        </w:rPr>
        <w:t>/</w:t>
      </w:r>
      <w:r>
        <w:rPr>
          <w:i/>
          <w:iCs/>
          <w:lang w:val="fr-CH"/>
        </w:rPr>
        <w:t>N</w:t>
      </w:r>
      <w:r>
        <w:rPr>
          <w:lang w:val="fr-CH"/>
        </w:rPr>
        <w:t xml:space="preserve"> est inchangé (car il dépend du type de récepteur du radar et des caractéristiques de son traitement du signal). Toutefois, le niveau de brouillage total parvenant au récepteur du radar (qu'il convient de vérifier au plan des critères de protection </w:t>
      </w:r>
      <w:r>
        <w:rPr>
          <w:i/>
          <w:iCs/>
          <w:lang w:val="fr-CH"/>
        </w:rPr>
        <w:t>I</w:t>
      </w:r>
      <w:r>
        <w:rPr>
          <w:lang w:val="fr-CH"/>
        </w:rPr>
        <w:t>/</w:t>
      </w:r>
      <w:r>
        <w:rPr>
          <w:i/>
          <w:iCs/>
          <w:lang w:val="fr-CH"/>
        </w:rPr>
        <w:t>N</w:t>
      </w:r>
      <w:r>
        <w:rPr>
          <w:lang w:val="fr-CH"/>
        </w:rPr>
        <w:t xml:space="preserve">) dépend du nombre de brouilleurs, de leur distribution spatiale et de leur structure de signal, et il convient de le déterminer au moyen d'une analyse globale d'un scénario donné. Le facteur de regroupement peut être considérable dans le cas de certains systèmes de communication à haute densité. Si les brouillages proviennent de plusieurs directions en azimut, une analyse globale doit </w:t>
      </w:r>
      <w:r w:rsidR="00F70F6E">
        <w:rPr>
          <w:lang w:val="fr-CH"/>
        </w:rPr>
        <w:t>ac</w:t>
      </w:r>
      <w:r>
        <w:rPr>
          <w:lang w:val="fr-CH"/>
        </w:rPr>
        <w:t xml:space="preserve">cumuler les contributions simultanées captées par le lobe principal et/ou les lobes latéraux de l'antenne pour déterminer le rapport de protection </w:t>
      </w:r>
      <w:r>
        <w:rPr>
          <w:i/>
          <w:iCs/>
          <w:lang w:val="fr-CH"/>
        </w:rPr>
        <w:t>I</w:t>
      </w:r>
      <w:r>
        <w:rPr>
          <w:lang w:val="fr-CH"/>
        </w:rPr>
        <w:t>/</w:t>
      </w:r>
      <w:r>
        <w:rPr>
          <w:i/>
          <w:iCs/>
          <w:lang w:val="fr-CH"/>
        </w:rPr>
        <w:t>N</w:t>
      </w:r>
      <w:r>
        <w:rPr>
          <w:lang w:val="fr-CH"/>
        </w:rPr>
        <w:t xml:space="preserve"> réel. </w:t>
      </w:r>
    </w:p>
    <w:p w:rsidR="00201D3C" w:rsidRDefault="00201D3C" w:rsidP="00425A80">
      <w:pPr>
        <w:pStyle w:val="Heading1"/>
        <w:rPr>
          <w:lang w:val="fr-CH"/>
        </w:rPr>
      </w:pPr>
      <w:r>
        <w:rPr>
          <w:lang w:val="fr-CH"/>
        </w:rPr>
        <w:t>4</w:t>
      </w:r>
      <w:r>
        <w:rPr>
          <w:lang w:val="fr-CH"/>
        </w:rPr>
        <w:tab/>
        <w:t>Choix du modèle de propagation</w:t>
      </w:r>
    </w:p>
    <w:p w:rsidR="00201D3C" w:rsidRDefault="00201D3C" w:rsidP="00425A80">
      <w:pPr>
        <w:rPr>
          <w:lang w:val="fr-CH"/>
        </w:rPr>
      </w:pPr>
      <w:r>
        <w:rPr>
          <w:lang w:val="fr-CH"/>
        </w:rPr>
        <w:t xml:space="preserve">Pour calculer l'affaiblissement de propagation, il faut utiliser des modèles de propagation appropriés et éventuellement un couplage indirect en tenant compte des hauteurs d'antenne et du terrain lorsqu'on le juge utile. En général, il ne faudrait pas tenir compte de l'effet d'écran des obstacles naturels ou artificiels. Dans les cas de partage spécifiques dans lesquels il existe des données précises, on peut faire une analyse détaillée du trajet et un calcul précis de l'affaiblissement; si l'affaiblissement de propagation entre les sites du radar brouilleur et du radar brouillé est déterminé expérimentalement pour toutes les fréquences présentant de l'intérêt, ceci peut être accepté. Si la puissance crête calculée de l'ensemble des sources de brouillage à l'entrée du récepteur du radar, </w:t>
      </w:r>
      <w:r>
        <w:rPr>
          <w:i/>
          <w:iCs/>
          <w:lang w:val="fr-CH"/>
        </w:rPr>
        <w:t>I</w:t>
      </w:r>
      <w:r>
        <w:t>,</w:t>
      </w:r>
      <w:r>
        <w:rPr>
          <w:lang w:val="fr-CH"/>
        </w:rPr>
        <w:t xml:space="preserve"> dépasse le seuil de dégradation de la qualité de fonctionnement du récepteur, </w:t>
      </w:r>
      <w:r>
        <w:rPr>
          <w:i/>
          <w:iCs/>
          <w:lang w:val="fr-CH"/>
        </w:rPr>
        <w:t>I</w:t>
      </w:r>
      <w:r>
        <w:rPr>
          <w:i/>
          <w:iCs/>
          <w:vertAlign w:val="subscript"/>
        </w:rPr>
        <w:t>T</w:t>
      </w:r>
      <w:r>
        <w:rPr>
          <w:lang w:val="fr-CH"/>
        </w:rPr>
        <w:t>, il convient de prendre les mesures nécessaires pour assurer la compatibilité.</w:t>
      </w:r>
    </w:p>
    <w:p w:rsidR="00201D3C" w:rsidRDefault="00201D3C" w:rsidP="00425A80">
      <w:pPr>
        <w:rPr>
          <w:lang w:val="fr-CH"/>
        </w:rPr>
      </w:pPr>
      <w:r>
        <w:rPr>
          <w:lang w:val="fr-CH"/>
        </w:rPr>
        <w:t>Dans le cas des radars ayant des fonctions de sécurité, la surveillance du trafic aérien, par exemple, le modèle de propagation doit tenir compte de tous les phénomènes d'accentuation qui, même pendant de brefs instants, peuvent causer un dépassement de la limite acceptable. En raison de leurs conditions d'exploitation, les radars utilisés pour la sécurité de la vie humaine, tels que les radars de surveillance aéroportuaire, doivent être protégés tant contre les brouillages de brève que de longue durée. Le cas d'un signal brouilleur d'origine inconnue et de courte durée mérite une attention particulière.</w:t>
      </w:r>
    </w:p>
    <w:p w:rsidR="005A61B2" w:rsidRDefault="005A61B2" w:rsidP="00425A80">
      <w:pPr>
        <w:jc w:val="center"/>
      </w:pPr>
      <w:r>
        <w:t>______________</w:t>
      </w:r>
    </w:p>
    <w:sectPr w:rsidR="005A61B2" w:rsidSect="00995A6A">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5E7" w:rsidRDefault="001135E7">
      <w:r>
        <w:separator/>
      </w:r>
    </w:p>
  </w:endnote>
  <w:endnote w:type="continuationSeparator" w:id="0">
    <w:p w:rsidR="001135E7" w:rsidRDefault="00113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5E7" w:rsidRDefault="001135E7">
      <w:r>
        <w:separator/>
      </w:r>
    </w:p>
  </w:footnote>
  <w:footnote w:type="continuationSeparator" w:id="0">
    <w:p w:rsidR="001135E7" w:rsidRDefault="001135E7">
      <w:r>
        <w:continuationSeparator/>
      </w:r>
    </w:p>
  </w:footnote>
  <w:footnote w:id="1">
    <w:p w:rsidR="005A61B2" w:rsidRPr="00E923A4" w:rsidRDefault="005A61B2" w:rsidP="00995A6A">
      <w:pPr>
        <w:pStyle w:val="FootnoteText"/>
      </w:pPr>
      <w:r>
        <w:rPr>
          <w:rStyle w:val="FootnoteReference"/>
        </w:rPr>
        <w:t>*</w:t>
      </w:r>
      <w:r>
        <w:t xml:space="preserve"> </w:t>
      </w:r>
      <w:r>
        <w:tab/>
        <w:t>La présente Recommandation doit être portée à l'attention de l'Organisation maritime internationale (OMI), de l'Organisation de l'aviation civile internationale (OACI), du Comité international radiomaritime (CIRM) et de l'Organisation météorologique mondiale (OMM).</w:t>
      </w:r>
    </w:p>
  </w:footnote>
  <w:footnote w:id="2">
    <w:p w:rsidR="005A61B2" w:rsidRDefault="005A61B2">
      <w:pPr>
        <w:pStyle w:val="FootnoteText"/>
        <w:pPrChange w:id="4" w:author="Royer, Veronique" w:date="2018-06-21T13:45:00Z">
          <w:pPr>
            <w:pStyle w:val="FootnoteText"/>
            <w:spacing w:line="480" w:lineRule="auto"/>
          </w:pPr>
        </w:pPrChange>
      </w:pPr>
      <w:r>
        <w:rPr>
          <w:rStyle w:val="FootnoteReference"/>
        </w:rPr>
        <w:t>1</w:t>
      </w:r>
      <w:r>
        <w:tab/>
        <w:t xml:space="preserve">Parmi les Recommandations UIT-R donnant les caractéristiques techniques et les critères de protection pour des bandes </w:t>
      </w:r>
      <w:r w:rsidR="00F54060">
        <w:t xml:space="preserve">de fréquences </w:t>
      </w:r>
      <w:r>
        <w:t>spécifiques on peut citer les suivantes: Recommandations UIT</w:t>
      </w:r>
      <w:r>
        <w:noBreakHyphen/>
        <w:t>R M.1460, UIT</w:t>
      </w:r>
      <w:r>
        <w:noBreakHyphen/>
        <w:t>R M.1462, UIT-R M.1463, UIT-R M.1464, UIT-R M.1465 et UIT-R M.1466.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B2" w:rsidRDefault="005A61B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B2" w:rsidRDefault="00400764" w:rsidP="00995A6A">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B2" w:rsidRPr="00837CB5" w:rsidRDefault="005A61B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B6497">
      <w:rPr>
        <w:rStyle w:val="PageNumber"/>
        <w:b/>
        <w:bCs/>
        <w:noProof/>
      </w:rPr>
      <w:t>ii</w:t>
    </w:r>
    <w:r>
      <w:rPr>
        <w:rStyle w:val="PageNumber"/>
        <w:b/>
        <w:bCs/>
      </w:rPr>
      <w:fldChar w:fldCharType="end"/>
    </w:r>
    <w:r w:rsidRPr="00837CB5">
      <w:tab/>
    </w:r>
    <w:r>
      <w:rPr>
        <w:b/>
        <w:bCs/>
      </w:rPr>
      <w:fldChar w:fldCharType="begin"/>
    </w:r>
    <w:r w:rsidRPr="00837CB5">
      <w:rPr>
        <w:b/>
        <w:bCs/>
      </w:rPr>
      <w:instrText xml:space="preserve"> DOCPROPERTY "Header" \* MERGEFORMAT </w:instrText>
    </w:r>
    <w:r>
      <w:rPr>
        <w:b/>
        <w:bCs/>
      </w:rPr>
      <w:fldChar w:fldCharType="separate"/>
    </w:r>
    <w:r w:rsidR="00FC625E">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B6497">
      <w:rPr>
        <w:b/>
        <w:bCs/>
        <w:noProof/>
      </w:rPr>
      <w:t>UIT-R  M.1461-2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B2" w:rsidRDefault="005A61B2">
    <w:pPr>
      <w:pStyle w:val="Header"/>
    </w:pPr>
    <w:r>
      <w:tab/>
    </w:r>
    <w:r>
      <w:rPr>
        <w:b/>
        <w:bCs/>
      </w:rPr>
      <w:fldChar w:fldCharType="begin"/>
    </w:r>
    <w:r>
      <w:rPr>
        <w:b/>
        <w:bCs/>
      </w:rPr>
      <w:instrText xml:space="preserve"> DOCPROPERTY "Header" \* MERGEFORMAT </w:instrText>
    </w:r>
    <w:r>
      <w:rPr>
        <w:b/>
        <w:bCs/>
      </w:rPr>
      <w:fldChar w:fldCharType="separate"/>
    </w:r>
    <w:r w:rsidR="00FC625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C625E">
      <w:rPr>
        <w:b/>
        <w:bCs/>
        <w:noProof/>
      </w:rPr>
      <w:t>UIT-R  M.1461-12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B2" w:rsidRDefault="005A61B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B6497">
      <w:rPr>
        <w:rStyle w:val="PageNumber"/>
        <w:b/>
        <w:bCs/>
        <w:noProof/>
        <w:lang w:val="en-US"/>
      </w:rPr>
      <w:t>10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FC625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3B6497">
      <w:rPr>
        <w:b/>
        <w:bCs/>
        <w:noProof/>
      </w:rPr>
      <w:t>UIT-R  M.1461-2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B2" w:rsidRDefault="005A61B2">
    <w:pPr>
      <w:pStyle w:val="Header"/>
    </w:pPr>
    <w:r>
      <w:tab/>
    </w:r>
    <w:r>
      <w:rPr>
        <w:b/>
        <w:bCs/>
      </w:rPr>
      <w:fldChar w:fldCharType="begin"/>
    </w:r>
    <w:r>
      <w:rPr>
        <w:b/>
        <w:bCs/>
      </w:rPr>
      <w:instrText xml:space="preserve"> DOCPROPERTY "Header" \* MERGEFORMAT </w:instrText>
    </w:r>
    <w:r>
      <w:rPr>
        <w:b/>
        <w:bCs/>
      </w:rPr>
      <w:fldChar w:fldCharType="separate"/>
    </w:r>
    <w:r w:rsidR="00FC625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B6497">
      <w:rPr>
        <w:b/>
        <w:bCs/>
        <w:noProof/>
      </w:rPr>
      <w:t>UIT-R  M.1461-2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B6497">
      <w:rPr>
        <w:rStyle w:val="PageNumber"/>
        <w:b/>
        <w:bCs/>
        <w:noProof/>
      </w:rPr>
      <w:t>9</w:t>
    </w:r>
    <w:r>
      <w:rPr>
        <w:rStyle w:val="PageNumber"/>
        <w:b/>
        <w:bCs/>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yer, Veronique">
    <w15:presenceInfo w15:providerId="AD" w15:userId="S-1-5-21-8740799-900759487-1415713722-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D3C"/>
    <w:rsid w:val="00002294"/>
    <w:rsid w:val="00024E37"/>
    <w:rsid w:val="000A5E20"/>
    <w:rsid w:val="000B51C1"/>
    <w:rsid w:val="001135E7"/>
    <w:rsid w:val="001845DB"/>
    <w:rsid w:val="001D57A9"/>
    <w:rsid w:val="00201D3C"/>
    <w:rsid w:val="00212677"/>
    <w:rsid w:val="00246132"/>
    <w:rsid w:val="002D76C4"/>
    <w:rsid w:val="00312EDF"/>
    <w:rsid w:val="003737B6"/>
    <w:rsid w:val="00383723"/>
    <w:rsid w:val="003844F5"/>
    <w:rsid w:val="003A60F2"/>
    <w:rsid w:val="003B6497"/>
    <w:rsid w:val="003C4D7B"/>
    <w:rsid w:val="003C5BEF"/>
    <w:rsid w:val="00400764"/>
    <w:rsid w:val="00425A80"/>
    <w:rsid w:val="00455901"/>
    <w:rsid w:val="004E484D"/>
    <w:rsid w:val="0052300C"/>
    <w:rsid w:val="00535F2C"/>
    <w:rsid w:val="005420D1"/>
    <w:rsid w:val="005A61B2"/>
    <w:rsid w:val="005D1DF0"/>
    <w:rsid w:val="00607D68"/>
    <w:rsid w:val="00673C02"/>
    <w:rsid w:val="006B4A39"/>
    <w:rsid w:val="006C35DB"/>
    <w:rsid w:val="006D30F1"/>
    <w:rsid w:val="006D3778"/>
    <w:rsid w:val="00705E53"/>
    <w:rsid w:val="007405D0"/>
    <w:rsid w:val="007468DA"/>
    <w:rsid w:val="00751796"/>
    <w:rsid w:val="00772D4D"/>
    <w:rsid w:val="00792FA0"/>
    <w:rsid w:val="00883BE4"/>
    <w:rsid w:val="008E666C"/>
    <w:rsid w:val="008F1A89"/>
    <w:rsid w:val="00952856"/>
    <w:rsid w:val="00995A6A"/>
    <w:rsid w:val="009D225A"/>
    <w:rsid w:val="00A12D31"/>
    <w:rsid w:val="00A6617B"/>
    <w:rsid w:val="00AA497E"/>
    <w:rsid w:val="00AB0DC8"/>
    <w:rsid w:val="00AC25D5"/>
    <w:rsid w:val="00AE67BA"/>
    <w:rsid w:val="00B44E24"/>
    <w:rsid w:val="00BA4BD1"/>
    <w:rsid w:val="00C267B1"/>
    <w:rsid w:val="00C864EB"/>
    <w:rsid w:val="00CA7E21"/>
    <w:rsid w:val="00CF5435"/>
    <w:rsid w:val="00D67586"/>
    <w:rsid w:val="00DD1B08"/>
    <w:rsid w:val="00DF4176"/>
    <w:rsid w:val="00E07537"/>
    <w:rsid w:val="00E226E4"/>
    <w:rsid w:val="00E57E40"/>
    <w:rsid w:val="00E63DDA"/>
    <w:rsid w:val="00EE576C"/>
    <w:rsid w:val="00F54060"/>
    <w:rsid w:val="00F705B4"/>
    <w:rsid w:val="00F70F6E"/>
    <w:rsid w:val="00FC625E"/>
    <w:rsid w:val="00FE7F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D12D8B3"/>
  <w15:chartTrackingRefBased/>
  <w15:docId w15:val="{412BADF6-4828-4B14-B400-A32B9C03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7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38372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rsid w:val="00995A6A"/>
    <w:rPr>
      <w:color w:val="0000FF"/>
      <w:u w:val="single"/>
    </w:rPr>
  </w:style>
  <w:style w:type="character" w:styleId="FollowedHyperlink">
    <w:name w:val="FollowedHyperlink"/>
    <w:rsid w:val="00002294"/>
    <w:rPr>
      <w:color w:val="954F72"/>
      <w:u w:val="single"/>
    </w:rPr>
  </w:style>
  <w:style w:type="paragraph" w:styleId="CommentText">
    <w:name w:val="annotation text"/>
    <w:basedOn w:val="Normal"/>
    <w:link w:val="CommentTextChar"/>
    <w:rsid w:val="00002294"/>
    <w:rPr>
      <w:sz w:val="20"/>
    </w:rPr>
  </w:style>
  <w:style w:type="character" w:customStyle="1" w:styleId="CommentTextChar">
    <w:name w:val="Comment Text Char"/>
    <w:link w:val="CommentText"/>
    <w:rsid w:val="00002294"/>
    <w:rPr>
      <w:lang w:eastAsia="en-US"/>
    </w:rPr>
  </w:style>
  <w:style w:type="paragraph" w:customStyle="1" w:styleId="Reasons">
    <w:name w:val="Reasons"/>
    <w:basedOn w:val="Normal"/>
    <w:qFormat/>
    <w:rsid w:val="005A61B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5.wmf"/><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microsoft.com/office/2011/relationships/people" Target="people.xml"/><Relationship Id="rId10" Type="http://schemas.openxmlformats.org/officeDocument/2006/relationships/hyperlink" Target="https://www.itu.int/pub/R-REC/fr"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s://www.itu.int/net/ITU-R/index.asp?redirect=true&amp;category=study-groups&amp;rlink=patents&amp;company=&amp;recommendation=&amp;patent=&amp;country=&amp;receiveddate_type=&amp;receiveddate_dd=&amp;receiveddate_mm=&amp;receiveddate_yyyy=&amp;SearchText=&amp;lang=fr"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2CED6-DE12-4057-803A-F1C03EFA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21</TotalTime>
  <Pages>12</Pages>
  <Words>4931</Words>
  <Characters>26718</Characters>
  <Application>Microsoft Office Word</Application>
  <DocSecurity>0</DocSecurity>
  <Lines>222</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31586</CharactersWithSpaces>
  <SharedDoc>false</SharedDoc>
  <HLinks>
    <vt:vector size="18" baseType="variant">
      <vt:variant>
        <vt:i4>1835094</vt:i4>
      </vt:variant>
      <vt:variant>
        <vt:i4>9</vt:i4>
      </vt:variant>
      <vt:variant>
        <vt:i4>0</vt:i4>
      </vt:variant>
      <vt:variant>
        <vt:i4>5</vt:i4>
      </vt:variant>
      <vt:variant>
        <vt:lpwstr>https://www.itu.int/pub/R-REC/fr</vt:lpwstr>
      </vt:variant>
      <vt:variant>
        <vt:lpwstr/>
      </vt:variant>
      <vt:variant>
        <vt:i4>4063336</vt:i4>
      </vt:variant>
      <vt:variant>
        <vt:i4>3</vt:i4>
      </vt:variant>
      <vt:variant>
        <vt:i4>0</vt:i4>
      </vt:variant>
      <vt:variant>
        <vt:i4>5</vt:i4>
      </vt:variant>
      <vt:variant>
        <vt:lpwstr>https://www.itu.int/net/ITU-R/index.asp?redirect=true&amp;category=study-groups&amp;rlink=patents&amp;company=&amp;recommendation=&amp;patent=&amp;country=&amp;receiveddate_type=&amp;receiveddate_dd=&amp;receiveddate_mm=&amp;receiveddate_yyyy=&amp;SearchText=&amp;lang=fr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27.01.10 - sc</dc:description>
  <cp:lastModifiedBy>Gachet, Christelle</cp:lastModifiedBy>
  <cp:revision>5</cp:revision>
  <cp:lastPrinted>2018-05-09T14:33:00Z</cp:lastPrinted>
  <dcterms:created xsi:type="dcterms:W3CDTF">2018-06-22T05:04:00Z</dcterms:created>
  <dcterms:modified xsi:type="dcterms:W3CDTF">2018-06-22T06:29:00Z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